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F3FF1" w14:textId="66127E23" w:rsidR="00CC1B62" w:rsidRPr="00F91AFC" w:rsidRDefault="00CC1B62" w:rsidP="00804BB3">
      <w:pPr>
        <w:spacing w:line="276" w:lineRule="auto"/>
        <w:rPr>
          <w:b/>
        </w:rPr>
      </w:pPr>
      <w:r w:rsidRPr="00F91AFC">
        <w:rPr>
          <w:b/>
        </w:rPr>
        <w:t>Islands of Incarceration and Empire Building in Colonial Australia</w:t>
      </w:r>
    </w:p>
    <w:p w14:paraId="2385F105" w14:textId="77777777" w:rsidR="00804BB3" w:rsidRDefault="00804BB3" w:rsidP="00804BB3">
      <w:pPr>
        <w:spacing w:line="276" w:lineRule="auto"/>
        <w:rPr>
          <w:b/>
          <w:bCs/>
        </w:rPr>
      </w:pPr>
    </w:p>
    <w:p w14:paraId="6B84135A" w14:textId="217E9C42" w:rsidR="007C185B" w:rsidRPr="00804BB3" w:rsidRDefault="00B43174" w:rsidP="00804BB3">
      <w:pPr>
        <w:spacing w:line="276" w:lineRule="auto"/>
        <w:rPr>
          <w:b/>
          <w:bCs/>
        </w:rPr>
      </w:pPr>
      <w:r w:rsidRPr="00804BB3">
        <w:rPr>
          <w:b/>
          <w:bCs/>
        </w:rPr>
        <w:t>Katherine Roscoe</w:t>
      </w:r>
      <w:r w:rsidR="0052289C">
        <w:rPr>
          <w:rStyle w:val="FootnoteReference"/>
          <w:b/>
          <w:bCs/>
        </w:rPr>
        <w:footnoteReference w:id="2"/>
      </w:r>
      <w:r w:rsidRPr="00804BB3">
        <w:rPr>
          <w:b/>
          <w:bCs/>
        </w:rPr>
        <w:t xml:space="preserve"> </w:t>
      </w:r>
    </w:p>
    <w:p w14:paraId="096B1223" w14:textId="77777777" w:rsidR="00804BB3" w:rsidRDefault="00804BB3" w:rsidP="00804BB3">
      <w:pPr>
        <w:spacing w:line="276" w:lineRule="auto"/>
      </w:pPr>
    </w:p>
    <w:p w14:paraId="53E0256B" w14:textId="79E9616D" w:rsidR="00C84F8E" w:rsidRPr="00F91AFC" w:rsidRDefault="00575BF2" w:rsidP="00804BB3">
      <w:pPr>
        <w:spacing w:line="276" w:lineRule="auto"/>
      </w:pPr>
      <w:r w:rsidRPr="00F91AFC">
        <w:t>This chapter examines</w:t>
      </w:r>
      <w:r w:rsidR="00764C1D" w:rsidRPr="00F91AFC">
        <w:t xml:space="preserve"> the key roles played by Australia’s offshore prison islands in </w:t>
      </w:r>
      <w:r w:rsidR="00323492" w:rsidRPr="00F91AFC">
        <w:t xml:space="preserve">the </w:t>
      </w:r>
      <w:r w:rsidR="00764C1D" w:rsidRPr="00F91AFC">
        <w:t xml:space="preserve">British </w:t>
      </w:r>
      <w:r w:rsidR="00F17A24">
        <w:t>E</w:t>
      </w:r>
      <w:r w:rsidR="00764C1D" w:rsidRPr="00F91AFC">
        <w:t>mpire</w:t>
      </w:r>
      <w:r w:rsidR="00A4414A" w:rsidRPr="00F91AFC">
        <w:t xml:space="preserve">. </w:t>
      </w:r>
      <w:r w:rsidR="00B11725" w:rsidRPr="00F91AFC">
        <w:t xml:space="preserve">It begins with </w:t>
      </w:r>
      <w:r w:rsidR="00376FD8" w:rsidRPr="00F91AFC">
        <w:t xml:space="preserve">the </w:t>
      </w:r>
      <w:r w:rsidR="003F09DF" w:rsidRPr="00F91AFC">
        <w:t xml:space="preserve">arrival of </w:t>
      </w:r>
      <w:r w:rsidR="00376FD8" w:rsidRPr="00F91AFC">
        <w:t xml:space="preserve">the </w:t>
      </w:r>
      <w:r w:rsidR="003D65AC">
        <w:t>'</w:t>
      </w:r>
      <w:r w:rsidR="00376FD8" w:rsidRPr="00F91AFC">
        <w:t>First</w:t>
      </w:r>
      <w:r w:rsidR="003D65AC">
        <w:t>'</w:t>
      </w:r>
      <w:r w:rsidR="00376FD8" w:rsidRPr="00F91AFC">
        <w:t xml:space="preserve"> Fleet</w:t>
      </w:r>
      <w:r w:rsidR="003F09DF" w:rsidRPr="00F91AFC">
        <w:t xml:space="preserve"> to Botany Bay in 1788</w:t>
      </w:r>
      <w:r w:rsidR="00376FD8" w:rsidRPr="00F91AFC">
        <w:t>, and ends in 1868</w:t>
      </w:r>
      <w:r w:rsidR="00A6037B" w:rsidRPr="00F91AFC">
        <w:t xml:space="preserve">, when </w:t>
      </w:r>
      <w:r w:rsidR="00376FD8" w:rsidRPr="00F91AFC">
        <w:t xml:space="preserve">the last </w:t>
      </w:r>
      <w:r w:rsidR="006F596A" w:rsidRPr="00F91AFC">
        <w:t>Antipodean</w:t>
      </w:r>
      <w:r w:rsidR="00376FD8" w:rsidRPr="00F91AFC">
        <w:t xml:space="preserve"> colony, Western Australia, stopped accepting convicts. </w:t>
      </w:r>
      <w:r w:rsidR="006641C0" w:rsidRPr="00F91AFC">
        <w:t>It builds on the volume’s positioning of islands as integral to</w:t>
      </w:r>
      <w:r w:rsidR="004A6587" w:rsidRPr="00F91AFC">
        <w:t xml:space="preserve"> the</w:t>
      </w:r>
      <w:r w:rsidR="006641C0" w:rsidRPr="00F91AFC">
        <w:t xml:space="preserve"> imperial project </w:t>
      </w:r>
      <w:r w:rsidR="004A6587" w:rsidRPr="00F91AFC">
        <w:t>but</w:t>
      </w:r>
      <w:r w:rsidR="006641C0" w:rsidRPr="00F91AFC">
        <w:t xml:space="preserve"> </w:t>
      </w:r>
      <w:r w:rsidR="004A6587" w:rsidRPr="00F91AFC">
        <w:t>centres</w:t>
      </w:r>
      <w:r w:rsidR="00467622" w:rsidRPr="00F91AFC">
        <w:t xml:space="preserve"> </w:t>
      </w:r>
      <w:r w:rsidR="006641C0" w:rsidRPr="00F91AFC">
        <w:t>the</w:t>
      </w:r>
      <w:r w:rsidR="00467622" w:rsidRPr="00F91AFC">
        <w:t xml:space="preserve"> specific</w:t>
      </w:r>
      <w:r w:rsidR="006641C0" w:rsidRPr="00F91AFC">
        <w:t xml:space="preserve"> role </w:t>
      </w:r>
      <w:r w:rsidR="0090427C" w:rsidRPr="00F91AFC">
        <w:t>played by</w:t>
      </w:r>
      <w:r w:rsidR="006641C0" w:rsidRPr="00F91AFC">
        <w:t xml:space="preserve"> </w:t>
      </w:r>
      <w:r w:rsidR="00A97543" w:rsidRPr="00F91AFC">
        <w:t>prison labour</w:t>
      </w:r>
      <w:r w:rsidR="0090427C" w:rsidRPr="00F91AFC">
        <w:t>ers</w:t>
      </w:r>
      <w:r w:rsidR="00467622" w:rsidRPr="00F91AFC">
        <w:t>.</w:t>
      </w:r>
      <w:r w:rsidR="007B47F7" w:rsidRPr="00F91AFC">
        <w:t xml:space="preserve"> </w:t>
      </w:r>
      <w:r w:rsidR="007B594A" w:rsidRPr="00F91AFC">
        <w:t>Parado</w:t>
      </w:r>
      <w:r w:rsidR="00BE3E57" w:rsidRPr="00F91AFC">
        <w:t>xi</w:t>
      </w:r>
      <w:r w:rsidR="007B594A" w:rsidRPr="00F91AFC">
        <w:t>cally, islands embod</w:t>
      </w:r>
      <w:r w:rsidR="001A3A7C" w:rsidRPr="00F91AFC">
        <w:t>ied</w:t>
      </w:r>
      <w:r w:rsidR="007B594A" w:rsidRPr="00F91AFC">
        <w:t xml:space="preserve"> both isolation and connection in the </w:t>
      </w:r>
      <w:r w:rsidR="00B830A2" w:rsidRPr="00F91AFC">
        <w:t>w</w:t>
      </w:r>
      <w:r w:rsidR="007B594A" w:rsidRPr="00F91AFC">
        <w:t>estern imagination</w:t>
      </w:r>
      <w:r w:rsidR="001A3A7C" w:rsidRPr="00F91AFC">
        <w:t xml:space="preserve">, </w:t>
      </w:r>
      <w:r w:rsidR="007B594A" w:rsidRPr="00F91AFC">
        <w:t xml:space="preserve">prison islands </w:t>
      </w:r>
      <w:r w:rsidR="006F596A" w:rsidRPr="00F91AFC">
        <w:t>especially</w:t>
      </w:r>
      <w:r w:rsidR="007B594A" w:rsidRPr="00F91AFC">
        <w:t xml:space="preserve"> so. The British government strategically deployed isolation</w:t>
      </w:r>
      <w:r w:rsidR="006F596A" w:rsidRPr="00F91AFC">
        <w:t xml:space="preserve">, </w:t>
      </w:r>
      <w:r w:rsidR="007B594A" w:rsidRPr="00F91AFC">
        <w:t>by exiling populations resistant to frontier expansion to islands</w:t>
      </w:r>
      <w:r w:rsidR="00FF099A" w:rsidRPr="00F91AFC">
        <w:t xml:space="preserve">, </w:t>
      </w:r>
      <w:r w:rsidR="006D7B2E" w:rsidRPr="00F91AFC">
        <w:t>and</w:t>
      </w:r>
      <w:r w:rsidR="003F09DF" w:rsidRPr="00F91AFC">
        <w:t xml:space="preserve"> connection, by exploiting convict labour on islands to tap into </w:t>
      </w:r>
      <w:r w:rsidR="006D7B2E" w:rsidRPr="00F91AFC">
        <w:t xml:space="preserve">imperial networks of communication and commerce. </w:t>
      </w:r>
      <w:r w:rsidR="00330907" w:rsidRPr="00F91AFC">
        <w:t xml:space="preserve">The Australian colonies were Britain’s </w:t>
      </w:r>
      <w:r w:rsidR="001240F7" w:rsidRPr="00F91AFC">
        <w:t xml:space="preserve">most </w:t>
      </w:r>
      <w:r w:rsidR="00330907" w:rsidRPr="00F91AFC">
        <w:t xml:space="preserve">remote imperial possessions, </w:t>
      </w:r>
      <w:r w:rsidR="001240F7" w:rsidRPr="00F91AFC">
        <w:t xml:space="preserve">with </w:t>
      </w:r>
      <w:r w:rsidR="00F91AFC" w:rsidRPr="00F91AFC">
        <w:t>sai</w:t>
      </w:r>
      <w:r w:rsidR="00F91AFC">
        <w:t xml:space="preserve">ling </w:t>
      </w:r>
      <w:r w:rsidR="00F91AFC" w:rsidRPr="00F91AFC">
        <w:t xml:space="preserve">ships </w:t>
      </w:r>
      <w:r w:rsidR="001240F7" w:rsidRPr="00F91AFC">
        <w:t xml:space="preserve">journeying several months to reach </w:t>
      </w:r>
      <w:r w:rsidR="00D84EF8" w:rsidRPr="00F91AFC">
        <w:t xml:space="preserve">its shores. The positionality of islands at the cusp of </w:t>
      </w:r>
      <w:r w:rsidR="004C1EAE" w:rsidRPr="00F91AFC">
        <w:t>Australia</w:t>
      </w:r>
      <w:r w:rsidR="00D84EF8" w:rsidRPr="00F91AFC">
        <w:t xml:space="preserve"> and the </w:t>
      </w:r>
      <w:r w:rsidR="004C1EAE" w:rsidRPr="00F91AFC">
        <w:t>ocean</w:t>
      </w:r>
      <w:r w:rsidR="00D84EF8" w:rsidRPr="00F91AFC">
        <w:t xml:space="preserve">, enabled </w:t>
      </w:r>
      <w:r w:rsidR="004104DD" w:rsidRPr="00F91AFC">
        <w:t>them to act in multiple overlapping roles as prisons, trading outposts,</w:t>
      </w:r>
      <w:r w:rsidR="004C1EAE" w:rsidRPr="00F91AFC">
        <w:t xml:space="preserve"> Aboriginal ‘reserves’,</w:t>
      </w:r>
      <w:r w:rsidR="004104DD" w:rsidRPr="00F91AFC">
        <w:t xml:space="preserve"> </w:t>
      </w:r>
      <w:r w:rsidR="008D6E43" w:rsidRPr="00F91AFC">
        <w:t>hubs of infrastructure and</w:t>
      </w:r>
      <w:r w:rsidR="00C84F8E" w:rsidRPr="00F91AFC">
        <w:t xml:space="preserve"> natural laboratories.</w:t>
      </w:r>
    </w:p>
    <w:p w14:paraId="7CC0145D" w14:textId="77777777" w:rsidR="00804BB3" w:rsidRDefault="00804BB3" w:rsidP="00804BB3">
      <w:pPr>
        <w:spacing w:line="276" w:lineRule="auto"/>
      </w:pPr>
    </w:p>
    <w:p w14:paraId="35F07D5D" w14:textId="7477EF63" w:rsidR="003D65AC" w:rsidRDefault="008A685F" w:rsidP="00804BB3">
      <w:pPr>
        <w:spacing w:line="276" w:lineRule="auto"/>
      </w:pPr>
      <w:r w:rsidRPr="00F91AFC">
        <w:t>The island continent of Australia was first coloni</w:t>
      </w:r>
      <w:r w:rsidR="00753E90">
        <w:t>z</w:t>
      </w:r>
      <w:r w:rsidRPr="00F91AFC">
        <w:t>ed by the British in 1788 using convicts as its primary labour force.</w:t>
      </w:r>
      <w:r w:rsidR="001752B4" w:rsidRPr="00F91AFC">
        <w:t xml:space="preserve"> </w:t>
      </w:r>
      <w:r w:rsidR="0096268D" w:rsidRPr="00F91AFC">
        <w:t>T</w:t>
      </w:r>
      <w:r w:rsidRPr="00F91AFC">
        <w:t>ransported men and women</w:t>
      </w:r>
      <w:r w:rsidR="0096268D" w:rsidRPr="00F91AFC">
        <w:t>, primarily from Britain and Ireland,</w:t>
      </w:r>
      <w:r w:rsidRPr="00F91AFC">
        <w:t xml:space="preserve"> </w:t>
      </w:r>
      <w:r w:rsidR="002C2CB4" w:rsidRPr="00F91AFC">
        <w:t xml:space="preserve">were free to earn their living after </w:t>
      </w:r>
      <w:r w:rsidR="002E1A3F" w:rsidRPr="00F91AFC">
        <w:t>receiving</w:t>
      </w:r>
      <w:r w:rsidR="002C2CB4" w:rsidRPr="00F91AFC">
        <w:t xml:space="preserve"> their ticket-of-leave in the colony</w:t>
      </w:r>
      <w:r w:rsidR="002E1A3F" w:rsidRPr="00F91AFC">
        <w:t xml:space="preserve"> and</w:t>
      </w:r>
      <w:r w:rsidR="003D65AC">
        <w:t>,</w:t>
      </w:r>
      <w:r w:rsidR="003D65AC" w:rsidRPr="00F91AFC">
        <w:t xml:space="preserve"> through land grants</w:t>
      </w:r>
      <w:r w:rsidR="003D65AC">
        <w:t>,</w:t>
      </w:r>
      <w:r w:rsidR="002E1A3F" w:rsidRPr="00F91AFC">
        <w:t xml:space="preserve"> were </w:t>
      </w:r>
      <w:r w:rsidR="00F91AFC" w:rsidRPr="00F91AFC">
        <w:t>incentivi</w:t>
      </w:r>
      <w:r w:rsidR="00F91AFC">
        <w:t>z</w:t>
      </w:r>
      <w:r w:rsidR="00F91AFC" w:rsidRPr="00F91AFC">
        <w:t xml:space="preserve">ed </w:t>
      </w:r>
      <w:r w:rsidR="002E1A3F" w:rsidRPr="00F91AFC">
        <w:t>to marry.</w:t>
      </w:r>
      <w:r w:rsidRPr="00F91AFC">
        <w:t xml:space="preserve"> </w:t>
      </w:r>
      <w:r w:rsidR="00F91AFC" w:rsidRPr="00F91AFC">
        <w:t xml:space="preserve">Britain denied Indigenous claims to territorial sovereignty on the basis of </w:t>
      </w:r>
      <w:r w:rsidR="00F91AFC" w:rsidRPr="00F91AFC">
        <w:rPr>
          <w:i/>
          <w:iCs/>
        </w:rPr>
        <w:t>terra nullius (</w:t>
      </w:r>
      <w:r w:rsidR="00F91AFC" w:rsidRPr="00F91AFC">
        <w:t>nobody’s land), though the term was not populari</w:t>
      </w:r>
      <w:r w:rsidR="00F91AFC">
        <w:t>z</w:t>
      </w:r>
      <w:r w:rsidR="00F91AFC" w:rsidRPr="00F91AFC">
        <w:t>ed until the late 1800s.</w:t>
      </w:r>
      <w:r w:rsidR="00F91AFC" w:rsidRPr="00F91AFC">
        <w:rPr>
          <w:rStyle w:val="FootnoteReference"/>
        </w:rPr>
        <w:footnoteReference w:id="3"/>
      </w:r>
      <w:r w:rsidR="00F91AFC" w:rsidRPr="00F91AFC">
        <w:t xml:space="preserve"> </w:t>
      </w:r>
      <w:r w:rsidR="003D65AC">
        <w:t>This view was justified by</w:t>
      </w:r>
      <w:r w:rsidR="003D65AC" w:rsidRPr="00F91AFC">
        <w:t xml:space="preserve"> </w:t>
      </w:r>
      <w:r w:rsidR="00F91AFC" w:rsidRPr="00F91AFC">
        <w:t xml:space="preserve">stadial theory, </w:t>
      </w:r>
      <w:r w:rsidR="003D65AC">
        <w:t xml:space="preserve">in which </w:t>
      </w:r>
      <w:r w:rsidR="00F91AFC" w:rsidRPr="00F91AFC">
        <w:rPr>
          <w:rFonts w:eastAsia="MS Mincho"/>
        </w:rPr>
        <w:t xml:space="preserve">farming was </w:t>
      </w:r>
      <w:r w:rsidR="003D65AC">
        <w:rPr>
          <w:rFonts w:eastAsia="MS Mincho"/>
        </w:rPr>
        <w:t xml:space="preserve">regarded </w:t>
      </w:r>
      <w:r w:rsidR="00F91AFC" w:rsidRPr="00F91AFC">
        <w:rPr>
          <w:rFonts w:eastAsia="MS Mincho"/>
        </w:rPr>
        <w:t>as a necessary stage in human development.</w:t>
      </w:r>
      <w:r w:rsidR="00F91AFC" w:rsidRPr="00F91AFC">
        <w:rPr>
          <w:rStyle w:val="FootnoteReference"/>
          <w:rFonts w:eastAsia="MS Mincho"/>
        </w:rPr>
        <w:footnoteReference w:id="4"/>
      </w:r>
      <w:r w:rsidR="00F91AFC" w:rsidRPr="00F91AFC">
        <w:rPr>
          <w:rFonts w:eastAsia="MS Mincho"/>
        </w:rPr>
        <w:t xml:space="preserve"> </w:t>
      </w:r>
      <w:r w:rsidR="00D90F54">
        <w:rPr>
          <w:rFonts w:eastAsia="MS Mincho"/>
        </w:rPr>
        <w:t>Emerich de</w:t>
      </w:r>
      <w:r w:rsidR="008135E3">
        <w:rPr>
          <w:rFonts w:eastAsia="MS Mincho"/>
        </w:rPr>
        <w:t xml:space="preserve"> </w:t>
      </w:r>
      <w:r w:rsidR="00F91AFC" w:rsidRPr="00F91AFC">
        <w:rPr>
          <w:rFonts w:eastAsia="MS Mincho"/>
        </w:rPr>
        <w:t xml:space="preserve">Vattel’s </w:t>
      </w:r>
      <w:r w:rsidR="00F91AFC" w:rsidRPr="00F91AFC">
        <w:rPr>
          <w:rFonts w:eastAsia="MS Mincho"/>
          <w:i/>
          <w:iCs/>
        </w:rPr>
        <w:t xml:space="preserve">Law of Nations </w:t>
      </w:r>
      <w:r w:rsidR="00F91AFC" w:rsidRPr="00F91AFC">
        <w:rPr>
          <w:rFonts w:eastAsia="MS Mincho"/>
        </w:rPr>
        <w:t>(1758) expanded on this idea, claiming</w:t>
      </w:r>
      <w:r w:rsidR="00F91AFC" w:rsidRPr="00F91AFC">
        <w:rPr>
          <w:rFonts w:eastAsia="MS Mincho"/>
          <w:i/>
          <w:iCs/>
        </w:rPr>
        <w:t xml:space="preserve"> </w:t>
      </w:r>
      <w:r w:rsidR="00F91AFC" w:rsidRPr="00F91AFC">
        <w:rPr>
          <w:rFonts w:eastAsia="MS Mincho"/>
        </w:rPr>
        <w:t>that since cultivation underpinn</w:t>
      </w:r>
      <w:r w:rsidR="00753E90">
        <w:rPr>
          <w:rFonts w:eastAsia="MS Mincho"/>
        </w:rPr>
        <w:t>ed</w:t>
      </w:r>
      <w:r w:rsidR="00F91AFC" w:rsidRPr="00F91AFC">
        <w:rPr>
          <w:rFonts w:eastAsia="MS Mincho"/>
        </w:rPr>
        <w:t xml:space="preserve"> the development of property rights and law, then hunter-gatherers could not claim territorial sovereignty.</w:t>
      </w:r>
      <w:r w:rsidR="00F91AFC" w:rsidRPr="00F91AFC">
        <w:rPr>
          <w:rStyle w:val="FootnoteReference"/>
          <w:rFonts w:eastAsia="MS Mincho"/>
        </w:rPr>
        <w:footnoteReference w:id="5"/>
      </w:r>
      <w:r w:rsidR="00F91AFC" w:rsidRPr="00F91AFC">
        <w:rPr>
          <w:rFonts w:eastAsia="MS Mincho"/>
        </w:rPr>
        <w:t xml:space="preserve"> Convinced of their racial superiority,</w:t>
      </w:r>
      <w:r w:rsidR="00F91AFC" w:rsidRPr="00F91AFC">
        <w:t xml:space="preserve"> Europeans failed to recogni</w:t>
      </w:r>
      <w:r w:rsidR="00753E90">
        <w:t>z</w:t>
      </w:r>
      <w:r w:rsidR="00F91AFC" w:rsidRPr="00F91AFC">
        <w:t>e that Aboriginal people did, in fact, practi</w:t>
      </w:r>
      <w:r w:rsidR="00753E90">
        <w:t>s</w:t>
      </w:r>
      <w:r w:rsidR="00F91AFC" w:rsidRPr="00F91AFC">
        <w:t>e land management, including farming, irrigating, harvesting, and controlled burning.</w:t>
      </w:r>
      <w:r w:rsidR="00F91AFC" w:rsidRPr="00F91AFC">
        <w:rPr>
          <w:rStyle w:val="FootnoteReference"/>
        </w:rPr>
        <w:footnoteReference w:id="6"/>
      </w:r>
      <w:r w:rsidR="00F91AFC">
        <w:t xml:space="preserve"> Instead the</w:t>
      </w:r>
      <w:r w:rsidR="0096268D" w:rsidRPr="00F91AFC">
        <w:t xml:space="preserve"> settlers, with the assistance of state actors, dispossessed</w:t>
      </w:r>
      <w:r w:rsidR="00F91AFC">
        <w:t xml:space="preserve"> land from</w:t>
      </w:r>
      <w:r w:rsidR="0096268D" w:rsidRPr="00F91AFC">
        <w:t xml:space="preserve"> large numbers of Aboriginal and </w:t>
      </w:r>
      <w:r w:rsidR="005F3272" w:rsidRPr="00F91AFC">
        <w:t>Torres Strait Islanders</w:t>
      </w:r>
      <w:r w:rsidR="004A4D1F" w:rsidRPr="00F91AFC">
        <w:t>. A</w:t>
      </w:r>
      <w:r w:rsidR="00AF4247" w:rsidRPr="00F91AFC">
        <w:t xml:space="preserve">s the </w:t>
      </w:r>
      <w:r w:rsidR="0052289C">
        <w:t xml:space="preserve">settler </w:t>
      </w:r>
      <w:r w:rsidR="00AF4247" w:rsidRPr="00F91AFC">
        <w:t>frontier advanced</w:t>
      </w:r>
      <w:r w:rsidR="004A4D1F" w:rsidRPr="00F91AFC">
        <w:t>,</w:t>
      </w:r>
      <w:r w:rsidR="00AF4247" w:rsidRPr="00F91AFC">
        <w:t xml:space="preserve"> Indigenous people were subjected to </w:t>
      </w:r>
      <w:r w:rsidR="0096268D" w:rsidRPr="00F91AFC">
        <w:t xml:space="preserve">physical and sexual violence, </w:t>
      </w:r>
      <w:r w:rsidR="00AF4247" w:rsidRPr="00F91AFC">
        <w:t xml:space="preserve">kidnapping, </w:t>
      </w:r>
      <w:r w:rsidR="0096268D" w:rsidRPr="00F91AFC">
        <w:t>disease</w:t>
      </w:r>
      <w:r w:rsidR="00753E90">
        <w:t>,</w:t>
      </w:r>
      <w:r w:rsidR="004A4D1F" w:rsidRPr="00F91AFC">
        <w:t xml:space="preserve"> and s</w:t>
      </w:r>
      <w:r w:rsidR="00AF4247" w:rsidRPr="00F91AFC">
        <w:t>tarvation</w:t>
      </w:r>
      <w:r w:rsidR="004A4D1F" w:rsidRPr="00F91AFC">
        <w:t>.</w:t>
      </w:r>
    </w:p>
    <w:p w14:paraId="46C155BA" w14:textId="77777777" w:rsidR="000B4270" w:rsidRDefault="000B4270" w:rsidP="00804BB3">
      <w:pPr>
        <w:spacing w:line="276" w:lineRule="auto"/>
      </w:pPr>
    </w:p>
    <w:p w14:paraId="72D3717B" w14:textId="78393C0A" w:rsidR="00C33741" w:rsidRPr="00F91AFC" w:rsidRDefault="008A685F" w:rsidP="00804BB3">
      <w:pPr>
        <w:spacing w:line="276" w:lineRule="auto"/>
      </w:pPr>
      <w:r w:rsidRPr="00F91AFC">
        <w:t>The nation now know</w:t>
      </w:r>
      <w:r w:rsidR="00F91AFC">
        <w:t>n</w:t>
      </w:r>
      <w:r w:rsidRPr="00F91AFC">
        <w:t xml:space="preserve"> as Australia was administered </w:t>
      </w:r>
      <w:r w:rsidR="005F3272" w:rsidRPr="00F91AFC">
        <w:t xml:space="preserve">from London </w:t>
      </w:r>
      <w:r w:rsidRPr="00F91AFC">
        <w:t>by the Colonial Office as separate colonies.</w:t>
      </w:r>
      <w:r w:rsidR="00C9646A" w:rsidRPr="00F91AFC">
        <w:t xml:space="preserve"> </w:t>
      </w:r>
      <w:r w:rsidRPr="00F91AFC">
        <w:t>New South Wales received around 83,000 convicts from Britain and Ireland between 1788 and 18</w:t>
      </w:r>
      <w:r w:rsidR="006F72D9" w:rsidRPr="00F91AFC">
        <w:t>5</w:t>
      </w:r>
      <w:r w:rsidRPr="00F91AFC">
        <w:t>0.</w:t>
      </w:r>
      <w:r w:rsidR="00753E90">
        <w:t xml:space="preserve"> </w:t>
      </w:r>
      <w:r w:rsidRPr="00F91AFC">
        <w:t>Australia’s largest island, Van Diemen’s Land (now Tasmania), was a penal colony from 1814</w:t>
      </w:r>
      <w:r w:rsidR="00753E90">
        <w:t xml:space="preserve"> to 18</w:t>
      </w:r>
      <w:r w:rsidRPr="00F91AFC">
        <w:t xml:space="preserve">53, </w:t>
      </w:r>
      <w:r w:rsidR="003D65AC">
        <w:t>housing</w:t>
      </w:r>
      <w:r w:rsidR="003D65AC" w:rsidRPr="00F91AFC">
        <w:t xml:space="preserve"> </w:t>
      </w:r>
      <w:r w:rsidRPr="00F91AFC">
        <w:t>around 67,000 convicts from Britain and Ireland</w:t>
      </w:r>
      <w:r w:rsidR="005F3272" w:rsidRPr="00F91AFC">
        <w:t xml:space="preserve"> </w:t>
      </w:r>
      <w:r w:rsidRPr="00F91AFC">
        <w:t>and 5000</w:t>
      </w:r>
      <w:r w:rsidR="005F3272" w:rsidRPr="00F91AFC">
        <w:t xml:space="preserve"> transported</w:t>
      </w:r>
      <w:r w:rsidRPr="00F91AFC">
        <w:t xml:space="preserve"> from other parts of the empire.</w:t>
      </w:r>
      <w:r w:rsidR="005E7F28" w:rsidRPr="00F91AFC">
        <w:rPr>
          <w:rStyle w:val="FootnoteReference"/>
        </w:rPr>
        <w:footnoteReference w:id="7"/>
      </w:r>
      <w:r w:rsidRPr="00F91AFC">
        <w:t xml:space="preserve"> In the Pacific, Norfolk Island was run as a dependency of New South Wales (until its transfer to Van Diemen’s Land in 1844). It had two periods of settlement, as a convict settlement from 1788</w:t>
      </w:r>
      <w:r w:rsidR="00753E90">
        <w:t>–</w:t>
      </w:r>
      <w:r w:rsidRPr="00F91AFC">
        <w:t xml:space="preserve">1814, and </w:t>
      </w:r>
      <w:r w:rsidR="00753E90">
        <w:t xml:space="preserve">a </w:t>
      </w:r>
      <w:r w:rsidR="000D15A3" w:rsidRPr="00F91AFC">
        <w:t>site of secondary punishment</w:t>
      </w:r>
      <w:r w:rsidRPr="00F91AFC">
        <w:t xml:space="preserve"> from 1825</w:t>
      </w:r>
      <w:r w:rsidR="00753E90">
        <w:t>–</w:t>
      </w:r>
      <w:r w:rsidRPr="00F91AFC">
        <w:t>55.</w:t>
      </w:r>
      <w:r w:rsidR="002D0DCF" w:rsidRPr="00F91AFC">
        <w:rPr>
          <w:rStyle w:val="FootnoteReference"/>
        </w:rPr>
        <w:footnoteReference w:id="8"/>
      </w:r>
      <w:r w:rsidRPr="00F91AFC">
        <w:t xml:space="preserve"> Western Australia was established as a free colony in 1829</w:t>
      </w:r>
      <w:r w:rsidR="005F3272" w:rsidRPr="00F91AFC">
        <w:t>, but a</w:t>
      </w:r>
      <w:r w:rsidRPr="00F91AFC">
        <w:t xml:space="preserve">fter </w:t>
      </w:r>
      <w:r w:rsidR="0066578B" w:rsidRPr="00F91AFC">
        <w:t xml:space="preserve">using small numbers of </w:t>
      </w:r>
      <w:r w:rsidRPr="00F91AFC">
        <w:t xml:space="preserve">Aboriginal </w:t>
      </w:r>
      <w:r w:rsidR="0066578B" w:rsidRPr="00F91AFC">
        <w:t>prisoners</w:t>
      </w:r>
      <w:r w:rsidRPr="00F91AFC">
        <w:t xml:space="preserve"> to build infrastructure (1842</w:t>
      </w:r>
      <w:r w:rsidR="00753E90">
        <w:t>–</w:t>
      </w:r>
      <w:r w:rsidRPr="00F91AFC">
        <w:t>55),</w:t>
      </w:r>
      <w:r w:rsidR="005F3272" w:rsidRPr="00F91AFC">
        <w:t xml:space="preserve"> they</w:t>
      </w:r>
      <w:r w:rsidRPr="00F91AFC">
        <w:t xml:space="preserve"> accepted </w:t>
      </w:r>
      <w:r w:rsidR="00A654B0" w:rsidRPr="00F91AFC">
        <w:t>nearly 10,000</w:t>
      </w:r>
      <w:r w:rsidR="005F3272" w:rsidRPr="00F91AFC">
        <w:t xml:space="preserve"> European</w:t>
      </w:r>
      <w:r w:rsidRPr="00F91AFC">
        <w:t xml:space="preserve"> convicts from the metropole </w:t>
      </w:r>
      <w:r w:rsidR="0066578B" w:rsidRPr="00F91AFC">
        <w:t>between</w:t>
      </w:r>
      <w:r w:rsidRPr="00F91AFC">
        <w:t xml:space="preserve"> 1850</w:t>
      </w:r>
      <w:r w:rsidR="004D4219">
        <w:t xml:space="preserve"> and 18</w:t>
      </w:r>
      <w:r w:rsidRPr="00F91AFC">
        <w:t>68.</w:t>
      </w:r>
      <w:r w:rsidR="00A654B0" w:rsidRPr="00F91AFC">
        <w:rPr>
          <w:rStyle w:val="FootnoteReference"/>
        </w:rPr>
        <w:footnoteReference w:id="9"/>
      </w:r>
      <w:r w:rsidRPr="00F91AFC">
        <w:t xml:space="preserve"> By the time convict transportation to </w:t>
      </w:r>
      <w:r w:rsidR="0066578B" w:rsidRPr="00F91AFC">
        <w:t>Australia</w:t>
      </w:r>
      <w:r w:rsidRPr="00F91AFC">
        <w:t xml:space="preserve"> </w:t>
      </w:r>
      <w:r w:rsidR="0066578B" w:rsidRPr="00F91AFC">
        <w:t>ended</w:t>
      </w:r>
      <w:r w:rsidRPr="00F91AFC">
        <w:t xml:space="preserve"> in 1868, five out of six Australian colonies were self-governing and able to pass legislation without British parliamentary approval.</w:t>
      </w:r>
      <w:r w:rsidRPr="00F91AFC">
        <w:rPr>
          <w:rStyle w:val="FootnoteReference"/>
        </w:rPr>
        <w:footnoteReference w:id="10"/>
      </w:r>
      <w:r w:rsidRPr="00F91AFC">
        <w:t xml:space="preserve"> </w:t>
      </w:r>
    </w:p>
    <w:p w14:paraId="6911F831" w14:textId="77777777" w:rsidR="00804BB3" w:rsidRDefault="00804BB3" w:rsidP="00804BB3">
      <w:pPr>
        <w:spacing w:line="276" w:lineRule="auto"/>
      </w:pPr>
    </w:p>
    <w:p w14:paraId="05B3EC7F" w14:textId="0B8EA35A" w:rsidR="00B4255C" w:rsidRDefault="009F4F43" w:rsidP="00804BB3">
      <w:pPr>
        <w:spacing w:line="276" w:lineRule="auto"/>
      </w:pPr>
      <w:r w:rsidRPr="00F91AFC">
        <w:t>The British government</w:t>
      </w:r>
      <w:r w:rsidR="003D65AC">
        <w:t xml:space="preserve"> </w:t>
      </w:r>
      <w:r w:rsidR="0066578B" w:rsidRPr="00F91AFC">
        <w:t xml:space="preserve">widely </w:t>
      </w:r>
      <w:r w:rsidR="0052289C" w:rsidRPr="00F91AFC">
        <w:t xml:space="preserve">used </w:t>
      </w:r>
      <w:r w:rsidR="0066578B" w:rsidRPr="00F91AFC">
        <w:t xml:space="preserve">islands in the Indian and Atlantic oceans for exile of deposed monarchs and anti-colonial leaders, and as penal colonies for non-elite political rebels and ‘common’ criminals from across the </w:t>
      </w:r>
      <w:r w:rsidR="004D4219">
        <w:t>E</w:t>
      </w:r>
      <w:r w:rsidR="0066578B" w:rsidRPr="00F91AFC">
        <w:t>mpire.</w:t>
      </w:r>
      <w:r w:rsidR="00696DC8" w:rsidRPr="00F91AFC">
        <w:rPr>
          <w:rStyle w:val="FootnoteReference"/>
        </w:rPr>
        <w:footnoteReference w:id="11"/>
      </w:r>
      <w:r w:rsidR="004146A4" w:rsidRPr="00F91AFC">
        <w:t xml:space="preserve"> Uma Kothari and Rorden Wilkinson have described the western imaginary of islands as ‘barren and remote [which] led them to be conceived of as ideal places for the incarceration of prisoners and political detainees’.</w:t>
      </w:r>
      <w:r w:rsidR="004146A4" w:rsidRPr="00F91AFC">
        <w:rPr>
          <w:rStyle w:val="FootnoteReference"/>
        </w:rPr>
        <w:footnoteReference w:id="12"/>
      </w:r>
      <w:r w:rsidR="002E2A68" w:rsidRPr="00F91AFC">
        <w:t xml:space="preserve"> The </w:t>
      </w:r>
      <w:r w:rsidRPr="00F91AFC">
        <w:t>use of Australia’s offshore islands</w:t>
      </w:r>
      <w:r w:rsidR="002E2A68" w:rsidRPr="00F91AFC">
        <w:t xml:space="preserve"> </w:t>
      </w:r>
      <w:r w:rsidR="003D65AC">
        <w:t>to imprison</w:t>
      </w:r>
      <w:r w:rsidR="00F33FC5" w:rsidRPr="00F91AFC">
        <w:t xml:space="preserve"> its colonial population</w:t>
      </w:r>
      <w:r w:rsidR="00EC3D89" w:rsidRPr="00F91AFC">
        <w:t>s</w:t>
      </w:r>
      <w:r w:rsidR="00F33FC5" w:rsidRPr="00F91AFC">
        <w:t xml:space="preserve">, including both Aboriginal people and European convicts, </w:t>
      </w:r>
      <w:r w:rsidR="00CE3D61" w:rsidRPr="00F91AFC">
        <w:t xml:space="preserve">fits into </w:t>
      </w:r>
      <w:r w:rsidR="002E2A68" w:rsidRPr="00F91AFC">
        <w:t xml:space="preserve">these </w:t>
      </w:r>
      <w:r w:rsidR="00CE3D61" w:rsidRPr="00F91AFC">
        <w:t xml:space="preserve">wider </w:t>
      </w:r>
      <w:r w:rsidR="00046D45" w:rsidRPr="00F91AFC">
        <w:t xml:space="preserve">imperial </w:t>
      </w:r>
      <w:r w:rsidR="00CE3D61" w:rsidRPr="00F91AFC">
        <w:t>strategies of control</w:t>
      </w:r>
      <w:r w:rsidR="002E2A68" w:rsidRPr="00F91AFC">
        <w:t xml:space="preserve">. </w:t>
      </w:r>
      <w:r w:rsidR="00252F7F" w:rsidRPr="00F91AFC">
        <w:t>C</w:t>
      </w:r>
      <w:r w:rsidR="00CE3D61" w:rsidRPr="00F91AFC">
        <w:t xml:space="preserve">olonial </w:t>
      </w:r>
      <w:r w:rsidR="00046D45" w:rsidRPr="00F91AFC">
        <w:t>officials</w:t>
      </w:r>
      <w:r w:rsidR="00DE667D" w:rsidRPr="00F91AFC">
        <w:t xml:space="preserve"> regularly</w:t>
      </w:r>
      <w:r w:rsidR="00CE3D61" w:rsidRPr="00F91AFC">
        <w:t xml:space="preserve"> described </w:t>
      </w:r>
      <w:r w:rsidR="00252F7F" w:rsidRPr="00F91AFC">
        <w:t xml:space="preserve">Australian </w:t>
      </w:r>
      <w:r w:rsidR="00CE3D61" w:rsidRPr="00F91AFC">
        <w:t>islands as</w:t>
      </w:r>
      <w:r w:rsidR="002D11B0" w:rsidRPr="00F91AFC">
        <w:t xml:space="preserve"> natural prisons</w:t>
      </w:r>
      <w:r w:rsidR="00046D45" w:rsidRPr="00F91AFC">
        <w:t>.</w:t>
      </w:r>
      <w:r w:rsidR="00B1149D" w:rsidRPr="00F91AFC">
        <w:t xml:space="preserve"> </w:t>
      </w:r>
      <w:r w:rsidR="004D4219">
        <w:t xml:space="preserve">In 1824, the </w:t>
      </w:r>
      <w:r w:rsidR="00252F7F" w:rsidRPr="00F91AFC">
        <w:t xml:space="preserve">Secretary of State for the Colonies, </w:t>
      </w:r>
      <w:r w:rsidR="008F3398" w:rsidRPr="00F91AFC">
        <w:t>Earl Bathurst</w:t>
      </w:r>
      <w:r w:rsidR="00252F7F" w:rsidRPr="00F91AFC">
        <w:t>,</w:t>
      </w:r>
      <w:r w:rsidR="00B1149D" w:rsidRPr="00F91AFC">
        <w:t xml:space="preserve"> </w:t>
      </w:r>
      <w:r w:rsidR="00D74986" w:rsidRPr="00F91AFC">
        <w:t>instructed</w:t>
      </w:r>
      <w:r w:rsidR="00B1149D" w:rsidRPr="00F91AFC">
        <w:t xml:space="preserve"> </w:t>
      </w:r>
      <w:r w:rsidR="001E5E55" w:rsidRPr="00F91AFC">
        <w:t>that</w:t>
      </w:r>
      <w:r w:rsidR="008A685F" w:rsidRPr="00F91AFC">
        <w:t xml:space="preserve"> Norfolk Island </w:t>
      </w:r>
      <w:r w:rsidR="00570125" w:rsidRPr="00F91AFC">
        <w:t xml:space="preserve">be occupied ‘upon the principle of a </w:t>
      </w:r>
      <w:r w:rsidR="00E53D8B" w:rsidRPr="00F91AFC">
        <w:t>g</w:t>
      </w:r>
      <w:r w:rsidR="00570125" w:rsidRPr="00F91AFC">
        <w:t xml:space="preserve">reat </w:t>
      </w:r>
      <w:r w:rsidR="00E53D8B" w:rsidRPr="00F91AFC">
        <w:t>H</w:t>
      </w:r>
      <w:r w:rsidR="00570125" w:rsidRPr="00F91AFC">
        <w:t xml:space="preserve">ulk or </w:t>
      </w:r>
      <w:r w:rsidR="00E53D8B" w:rsidRPr="00F91AFC">
        <w:t>P</w:t>
      </w:r>
      <w:r w:rsidR="00570125" w:rsidRPr="00F91AFC">
        <w:t xml:space="preserve">enitentiary’ </w:t>
      </w:r>
      <w:r w:rsidR="0018762D" w:rsidRPr="00F91AFC">
        <w:t xml:space="preserve">for ‘the </w:t>
      </w:r>
      <w:r w:rsidR="0068793D" w:rsidRPr="00F91AFC">
        <w:t>w</w:t>
      </w:r>
      <w:r w:rsidR="0018762D" w:rsidRPr="00F91AFC">
        <w:t xml:space="preserve">orst description of </w:t>
      </w:r>
      <w:r w:rsidR="0068793D" w:rsidRPr="00F91AFC">
        <w:t>C</w:t>
      </w:r>
      <w:r w:rsidR="0018762D" w:rsidRPr="00F91AFC">
        <w:t>onvicts</w:t>
      </w:r>
      <w:r w:rsidR="004F7FF9" w:rsidRPr="00F91AFC">
        <w:t>’,</w:t>
      </w:r>
      <w:r w:rsidR="00D74986" w:rsidRPr="00F91AFC">
        <w:t xml:space="preserve"> </w:t>
      </w:r>
      <w:r w:rsidR="0068793D" w:rsidRPr="00F91AFC">
        <w:t xml:space="preserve">rather than </w:t>
      </w:r>
      <w:r w:rsidR="004F7FF9" w:rsidRPr="00F91AFC">
        <w:t>punishing them</w:t>
      </w:r>
      <w:r w:rsidR="0068793D" w:rsidRPr="00F91AFC">
        <w:t xml:space="preserve"> in the ‘midst of a thriving and prosperous Colony’</w:t>
      </w:r>
      <w:r w:rsidR="00570125" w:rsidRPr="00F91AFC">
        <w:t>.</w:t>
      </w:r>
      <w:r w:rsidR="00B42741" w:rsidRPr="00F91AFC">
        <w:rPr>
          <w:rStyle w:val="FootnoteReference"/>
        </w:rPr>
        <w:footnoteReference w:id="13"/>
      </w:r>
      <w:r w:rsidR="00570125" w:rsidRPr="00F91AFC">
        <w:t xml:space="preserve"> </w:t>
      </w:r>
      <w:r w:rsidR="00C34C58" w:rsidRPr="00F91AFC">
        <w:t xml:space="preserve">This island imaginary </w:t>
      </w:r>
      <w:r w:rsidR="00EC3D89" w:rsidRPr="00F91AFC">
        <w:t xml:space="preserve">even </w:t>
      </w:r>
      <w:r w:rsidR="00C34C58" w:rsidRPr="00F91AFC">
        <w:lastRenderedPageBreak/>
        <w:t>extended to</w:t>
      </w:r>
      <w:r w:rsidR="008F3398" w:rsidRPr="00F91AFC">
        <w:t xml:space="preserve"> harbour islands</w:t>
      </w:r>
      <w:r w:rsidR="00EC3D89" w:rsidRPr="00F91AFC">
        <w:t>,</w:t>
      </w:r>
      <w:r w:rsidR="008F3398" w:rsidRPr="00F91AFC">
        <w:t xml:space="preserve"> like Cockatoo Island</w:t>
      </w:r>
      <w:r w:rsidR="004D4219">
        <w:t>,</w:t>
      </w:r>
      <w:r w:rsidR="008F3398" w:rsidRPr="00F91AFC">
        <w:t xml:space="preserve"> </w:t>
      </w:r>
      <w:r w:rsidR="00C34C58" w:rsidRPr="00F91AFC">
        <w:t xml:space="preserve">which Governor George Gipps </w:t>
      </w:r>
      <w:r w:rsidR="008F3398" w:rsidRPr="00F91AFC">
        <w:t>described as</w:t>
      </w:r>
      <w:r w:rsidR="00C34C58" w:rsidRPr="00F91AFC">
        <w:t xml:space="preserve"> the ‘place of greatest security not actually a prison’</w:t>
      </w:r>
      <w:r w:rsidR="002D11B0" w:rsidRPr="00F91AFC">
        <w:t>.</w:t>
      </w:r>
      <w:r w:rsidR="00C34C58" w:rsidRPr="00F91AFC">
        <w:rPr>
          <w:rStyle w:val="FootnoteReference"/>
        </w:rPr>
        <w:footnoteReference w:id="14"/>
      </w:r>
      <w:r w:rsidR="002D11B0" w:rsidRPr="00F91AFC">
        <w:t xml:space="preserve"> </w:t>
      </w:r>
    </w:p>
    <w:p w14:paraId="0B3DE4D4" w14:textId="77777777" w:rsidR="003D65AC" w:rsidRDefault="003D65AC" w:rsidP="00804BB3">
      <w:pPr>
        <w:spacing w:line="276" w:lineRule="auto"/>
      </w:pPr>
    </w:p>
    <w:p w14:paraId="3E564ED5" w14:textId="77777777" w:rsidR="00804BB3" w:rsidRDefault="00046D45" w:rsidP="00804BB3">
      <w:pPr>
        <w:spacing w:line="276" w:lineRule="auto"/>
      </w:pPr>
      <w:r w:rsidRPr="00F91AFC">
        <w:t>Unlike</w:t>
      </w:r>
      <w:r w:rsidR="002C3FE1" w:rsidRPr="00F91AFC">
        <w:t xml:space="preserve"> </w:t>
      </w:r>
      <w:r w:rsidR="00463EC9" w:rsidRPr="00F91AFC">
        <w:t xml:space="preserve">most of </w:t>
      </w:r>
      <w:r w:rsidR="00252F7F" w:rsidRPr="00F91AFC">
        <w:t xml:space="preserve">Britain’s island penal colonies in the Indian and Atlantic Oceans, </w:t>
      </w:r>
      <w:r w:rsidR="002C3FE1" w:rsidRPr="00F91AFC">
        <w:t xml:space="preserve">Australia’s offshore prison islands </w:t>
      </w:r>
      <w:r w:rsidR="003C2EA9" w:rsidRPr="00F91AFC">
        <w:t>were defined in juxtaposition to the continental Antipodean landmass.</w:t>
      </w:r>
      <w:r w:rsidR="004D3BC1" w:rsidRPr="00F91AFC">
        <w:t xml:space="preserve"> </w:t>
      </w:r>
      <w:r w:rsidR="00B76103" w:rsidRPr="00F91AFC">
        <w:t xml:space="preserve">As </w:t>
      </w:r>
      <w:r w:rsidR="00441C80" w:rsidRPr="00F91AFC">
        <w:t>Grace Karskens has argued</w:t>
      </w:r>
      <w:r w:rsidR="00463EC9" w:rsidRPr="00F91AFC">
        <w:t xml:space="preserve">, in officials’ imaginations </w:t>
      </w:r>
      <w:r w:rsidR="00441C80" w:rsidRPr="00F91AFC">
        <w:t>the vast wilderness of the bush represented</w:t>
      </w:r>
      <w:r w:rsidR="008F3398" w:rsidRPr="00F91AFC">
        <w:t xml:space="preserve"> </w:t>
      </w:r>
      <w:r w:rsidR="00441C80" w:rsidRPr="00F91AFC">
        <w:t xml:space="preserve">‘nefarious geographies’ </w:t>
      </w:r>
      <w:r w:rsidR="00463EC9" w:rsidRPr="00F91AFC">
        <w:t>of</w:t>
      </w:r>
      <w:r w:rsidR="00441C80" w:rsidRPr="00F91AFC">
        <w:t xml:space="preserve"> absconding convicts and hostile </w:t>
      </w:r>
      <w:r w:rsidR="00D36823" w:rsidRPr="00F91AFC">
        <w:t>Indigenous people</w:t>
      </w:r>
      <w:r w:rsidR="003D68F0" w:rsidRPr="00F91AFC">
        <w:t xml:space="preserve"> </w:t>
      </w:r>
      <w:r w:rsidR="00463EC9" w:rsidRPr="00F91AFC">
        <w:t>who resisted</w:t>
      </w:r>
      <w:r w:rsidR="003D68F0" w:rsidRPr="00F91AFC">
        <w:t xml:space="preserve"> colonial authority</w:t>
      </w:r>
      <w:r w:rsidR="00441C80" w:rsidRPr="00F91AFC">
        <w:t>.</w:t>
      </w:r>
      <w:r w:rsidR="00441C80" w:rsidRPr="00F91AFC">
        <w:rPr>
          <w:rStyle w:val="FootnoteReference"/>
        </w:rPr>
        <w:footnoteReference w:id="15"/>
      </w:r>
      <w:r w:rsidR="00C5262B" w:rsidRPr="00F91AFC">
        <w:rPr>
          <w:rStyle w:val="FootnoteReference"/>
        </w:rPr>
        <w:t xml:space="preserve"> </w:t>
      </w:r>
      <w:r w:rsidR="00140586" w:rsidRPr="00F91AFC">
        <w:t>In this context,</w:t>
      </w:r>
      <w:r w:rsidR="00463EC9" w:rsidRPr="00F91AFC">
        <w:t xml:space="preserve"> the colonial government conceptuali</w:t>
      </w:r>
      <w:r w:rsidR="00804BB3">
        <w:t>z</w:t>
      </w:r>
      <w:r w:rsidR="00463EC9" w:rsidRPr="00F91AFC">
        <w:t xml:space="preserve">ed </w:t>
      </w:r>
      <w:r w:rsidR="00E0327D" w:rsidRPr="00F91AFC">
        <w:t>offshore islands as</w:t>
      </w:r>
      <w:r w:rsidR="003D68F0" w:rsidRPr="00F91AFC">
        <w:t xml:space="preserve"> sites of security and control, ideal for </w:t>
      </w:r>
      <w:r w:rsidR="00E0327D" w:rsidRPr="00F91AFC">
        <w:t>imprison</w:t>
      </w:r>
      <w:r w:rsidR="003D68F0" w:rsidRPr="00F91AFC">
        <w:t>ing these groups</w:t>
      </w:r>
      <w:r w:rsidR="00C750D2" w:rsidRPr="00F91AFC">
        <w:t>.</w:t>
      </w:r>
      <w:r w:rsidR="00C5262B" w:rsidRPr="00F91AFC">
        <w:rPr>
          <w:rStyle w:val="FootnoteReference"/>
        </w:rPr>
        <w:footnoteReference w:id="16"/>
      </w:r>
      <w:r w:rsidR="00D24B51" w:rsidRPr="00F91AFC">
        <w:rPr>
          <w:rStyle w:val="FootnoteReference"/>
        </w:rPr>
        <w:t xml:space="preserve"> </w:t>
      </w:r>
      <w:r w:rsidR="00AB6B87" w:rsidRPr="00F91AFC">
        <w:t xml:space="preserve">This chapter excludes Van Diemen’s Land from the analysis because as Australia’s largest island </w:t>
      </w:r>
      <w:r w:rsidR="00AB4C0B" w:rsidRPr="00F91AFC">
        <w:t>it</w:t>
      </w:r>
      <w:r w:rsidR="00AB6B87" w:rsidRPr="00F91AFC">
        <w:t xml:space="preserve"> comprised a colony itself</w:t>
      </w:r>
      <w:r w:rsidR="0066718E" w:rsidRPr="00F91AFC">
        <w:t xml:space="preserve"> and </w:t>
      </w:r>
      <w:r w:rsidR="00AB6B87" w:rsidRPr="00F91AFC">
        <w:t xml:space="preserve">had its own </w:t>
      </w:r>
      <w:r w:rsidR="00AB4C0B" w:rsidRPr="00F91AFC">
        <w:t xml:space="preserve">insular and peninsular </w:t>
      </w:r>
      <w:r w:rsidR="00AB6B87" w:rsidRPr="00F91AFC">
        <w:t>sites of colonial punishment. Instead, this chapter focuses on smaller islands which were spatially distinct from</w:t>
      </w:r>
      <w:r w:rsidR="00AB4C0B" w:rsidRPr="00F91AFC">
        <w:t>,</w:t>
      </w:r>
      <w:r w:rsidR="00AB6B87" w:rsidRPr="00F91AFC">
        <w:t xml:space="preserve"> but </w:t>
      </w:r>
      <w:r w:rsidR="008F3398" w:rsidRPr="00F91AFC">
        <w:t xml:space="preserve">managed </w:t>
      </w:r>
      <w:r w:rsidR="00AB4C0B" w:rsidRPr="00F91AFC">
        <w:t>as part of,</w:t>
      </w:r>
      <w:r w:rsidR="008F3398" w:rsidRPr="00F91AFC">
        <w:t xml:space="preserve"> Australia’s </w:t>
      </w:r>
      <w:r w:rsidR="00AB4C0B" w:rsidRPr="00F91AFC">
        <w:t>colonies.</w:t>
      </w:r>
      <w:r w:rsidR="00804BB3">
        <w:t xml:space="preserve"> </w:t>
      </w:r>
    </w:p>
    <w:p w14:paraId="7C31F687" w14:textId="77777777" w:rsidR="00804BB3" w:rsidRDefault="00804BB3" w:rsidP="00804BB3">
      <w:pPr>
        <w:spacing w:line="276" w:lineRule="auto"/>
      </w:pPr>
    </w:p>
    <w:p w14:paraId="37AA0EBF" w14:textId="2044D220" w:rsidR="00412257" w:rsidRPr="00F91AFC" w:rsidRDefault="007038CC" w:rsidP="00804BB3">
      <w:pPr>
        <w:spacing w:line="276" w:lineRule="auto"/>
      </w:pPr>
      <w:r w:rsidRPr="00F91AFC">
        <w:t>Islands encapsulate the contradictory geographies</w:t>
      </w:r>
      <w:r w:rsidR="00CB04EE" w:rsidRPr="00F91AFC">
        <w:t xml:space="preserve"> of isolation and connection</w:t>
      </w:r>
      <w:r w:rsidR="005E6E54" w:rsidRPr="00F91AFC">
        <w:t>. In</w:t>
      </w:r>
      <w:r w:rsidR="00CB04EE" w:rsidRPr="00F91AFC">
        <w:t xml:space="preserve"> Elaine Stratford’s words island</w:t>
      </w:r>
      <w:r w:rsidR="00264988" w:rsidRPr="00F91AFC">
        <w:t xml:space="preserve">s </w:t>
      </w:r>
      <w:r w:rsidR="003D68F0" w:rsidRPr="00F91AFC">
        <w:t>acted as</w:t>
      </w:r>
      <w:r w:rsidR="00264988" w:rsidRPr="00F91AFC">
        <w:t xml:space="preserve"> ‘relative spac</w:t>
      </w:r>
      <w:r w:rsidR="006479F0" w:rsidRPr="00F91AFC">
        <w:t>es</w:t>
      </w:r>
      <w:r w:rsidR="00804BB3">
        <w:t xml:space="preserve">: </w:t>
      </w:r>
      <w:r w:rsidR="00062819" w:rsidRPr="00F91AFC">
        <w:t>bounded but porous; isolated, connected, colonized’.</w:t>
      </w:r>
      <w:r w:rsidR="00062819" w:rsidRPr="00F91AFC">
        <w:rPr>
          <w:rStyle w:val="FootnoteReference"/>
        </w:rPr>
        <w:footnoteReference w:id="17"/>
      </w:r>
      <w:r w:rsidR="00062819" w:rsidRPr="00F91AFC">
        <w:t xml:space="preserve"> </w:t>
      </w:r>
      <w:r w:rsidR="006479F0" w:rsidRPr="00F91AFC">
        <w:t>Prison islands embod</w:t>
      </w:r>
      <w:r w:rsidR="003D68F0" w:rsidRPr="00F91AFC">
        <w:t>ied</w:t>
      </w:r>
      <w:r w:rsidR="006479F0" w:rsidRPr="00F91AFC">
        <w:t xml:space="preserve"> this geography even more fully as </w:t>
      </w:r>
      <w:r w:rsidR="00D2247D" w:rsidRPr="00F91AFC">
        <w:t xml:space="preserve">isolation was central </w:t>
      </w:r>
      <w:r w:rsidR="006479F0" w:rsidRPr="00F91AFC">
        <w:t xml:space="preserve">to their ideological function </w:t>
      </w:r>
      <w:r w:rsidR="004D4219">
        <w:t>although,</w:t>
      </w:r>
      <w:r w:rsidR="004D4219" w:rsidRPr="00F91AFC">
        <w:t xml:space="preserve"> </w:t>
      </w:r>
      <w:r w:rsidR="00D2247D" w:rsidRPr="00F91AFC">
        <w:t xml:space="preserve">in </w:t>
      </w:r>
      <w:r w:rsidR="004D4219" w:rsidRPr="00F91AFC">
        <w:t>practice</w:t>
      </w:r>
      <w:r w:rsidR="004D4219">
        <w:t xml:space="preserve">, </w:t>
      </w:r>
      <w:r w:rsidR="006479F0" w:rsidRPr="00F91AFC">
        <w:t>they</w:t>
      </w:r>
      <w:r w:rsidR="00D2247D" w:rsidRPr="00F91AFC">
        <w:t xml:space="preserve"> could only operate through connection</w:t>
      </w:r>
      <w:r w:rsidR="008F3398" w:rsidRPr="00F91AFC">
        <w:t>.</w:t>
      </w:r>
      <w:r w:rsidR="00D75696" w:rsidRPr="00F91AFC">
        <w:t xml:space="preserve"> </w:t>
      </w:r>
      <w:r w:rsidR="00AB4C0B" w:rsidRPr="00F91AFC">
        <w:t>Carceral islands</w:t>
      </w:r>
      <w:r w:rsidR="00D2247D" w:rsidRPr="00F91AFC">
        <w:t xml:space="preserve"> needed to be accessible by ships to receive supplies and to </w:t>
      </w:r>
      <w:r w:rsidR="00DA12A8" w:rsidRPr="00F91AFC">
        <w:t>operate</w:t>
      </w:r>
      <w:r w:rsidR="004D4219">
        <w:t xml:space="preserve"> the</w:t>
      </w:r>
      <w:r w:rsidR="00DA12A8" w:rsidRPr="00F91AFC">
        <w:t xml:space="preserve"> </w:t>
      </w:r>
      <w:r w:rsidR="00D2247D" w:rsidRPr="00F91AFC">
        <w:t xml:space="preserve">prison industries </w:t>
      </w:r>
      <w:r w:rsidR="00DA12A8" w:rsidRPr="00F91AFC">
        <w:t xml:space="preserve">that </w:t>
      </w:r>
      <w:r w:rsidR="00D2247D" w:rsidRPr="00F91AFC">
        <w:t>offset running costs.</w:t>
      </w:r>
      <w:r w:rsidR="00506F66" w:rsidRPr="00F91AFC">
        <w:t xml:space="preserve"> </w:t>
      </w:r>
      <w:r w:rsidR="003D098C" w:rsidRPr="00F91AFC">
        <w:t>The role of penal labour is an important counterpoint to other kinds of unfree workers</w:t>
      </w:r>
      <w:r w:rsidR="00DA12A8" w:rsidRPr="00F91AFC">
        <w:t>,</w:t>
      </w:r>
      <w:r w:rsidR="003D098C" w:rsidRPr="00F91AFC">
        <w:t xml:space="preserve"> including indentured and enslaved labourers</w:t>
      </w:r>
      <w:r w:rsidR="00DA12A8" w:rsidRPr="00F91AFC">
        <w:t xml:space="preserve">, </w:t>
      </w:r>
      <w:r w:rsidR="003D098C" w:rsidRPr="00F91AFC">
        <w:t>who shaped the economies of imperial islands discussed elsewhere in the volume.</w:t>
      </w:r>
    </w:p>
    <w:p w14:paraId="54839A7A" w14:textId="77777777" w:rsidR="00804BB3" w:rsidRDefault="00804BB3" w:rsidP="00804BB3">
      <w:pPr>
        <w:spacing w:line="276" w:lineRule="auto"/>
      </w:pPr>
    </w:p>
    <w:p w14:paraId="6F05B8E6" w14:textId="4549F7B2" w:rsidR="00F84C89" w:rsidRDefault="00CE3151" w:rsidP="00804BB3">
      <w:pPr>
        <w:spacing w:line="276" w:lineRule="auto"/>
      </w:pPr>
      <w:r>
        <w:t>Between</w:t>
      </w:r>
      <w:r w:rsidRPr="00F91AFC">
        <w:t xml:space="preserve"> </w:t>
      </w:r>
      <w:r w:rsidR="00D75F00" w:rsidRPr="00F91AFC">
        <w:t xml:space="preserve">1788 </w:t>
      </w:r>
      <w:r>
        <w:t>and</w:t>
      </w:r>
      <w:r w:rsidRPr="00F91AFC">
        <w:t xml:space="preserve"> </w:t>
      </w:r>
      <w:r w:rsidR="00615597" w:rsidRPr="00F91AFC">
        <w:t xml:space="preserve">1813, </w:t>
      </w:r>
      <w:r w:rsidR="00A7585B" w:rsidRPr="00F91AFC">
        <w:t xml:space="preserve">Australia only received </w:t>
      </w:r>
      <w:r w:rsidR="00412257" w:rsidRPr="00F91AFC">
        <w:t>naval or British East India Company</w:t>
      </w:r>
      <w:r w:rsidR="00406C10" w:rsidRPr="00F91AFC">
        <w:t xml:space="preserve"> (EIC) </w:t>
      </w:r>
      <w:r w:rsidR="00412257" w:rsidRPr="00F91AFC">
        <w:t>vessels</w:t>
      </w:r>
      <w:r w:rsidR="00A7585B" w:rsidRPr="00F91AFC">
        <w:t xml:space="preserve"> in their ports</w:t>
      </w:r>
      <w:r w:rsidR="00A72167" w:rsidRPr="00F91AFC">
        <w:t xml:space="preserve">. </w:t>
      </w:r>
      <w:r w:rsidR="0076742E" w:rsidRPr="00F91AFC">
        <w:t>The speed of journey of these sail</w:t>
      </w:r>
      <w:r w:rsidR="004D4219">
        <w:t xml:space="preserve">ing </w:t>
      </w:r>
      <w:r w:rsidR="0076742E" w:rsidRPr="00F91AFC">
        <w:t>ship</w:t>
      </w:r>
      <w:r w:rsidR="007D6F4E" w:rsidRPr="00F91AFC">
        <w:t xml:space="preserve"> convict transports </w:t>
      </w:r>
      <w:r w:rsidR="00804BB3">
        <w:t>was</w:t>
      </w:r>
      <w:r w:rsidR="0076742E" w:rsidRPr="00F91AFC">
        <w:t xml:space="preserve"> little changed from the First Fleet, taking </w:t>
      </w:r>
      <w:r w:rsidR="002F2D2D" w:rsidRPr="00F91AFC">
        <w:t>several</w:t>
      </w:r>
      <w:r w:rsidR="0076742E" w:rsidRPr="00F91AFC">
        <w:t xml:space="preserve"> months to reach the eastern coast </w:t>
      </w:r>
      <w:r w:rsidR="00096546" w:rsidRPr="00F91AFC">
        <w:t>of Australia</w:t>
      </w:r>
      <w:r w:rsidR="0076742E" w:rsidRPr="00F91AFC">
        <w:t xml:space="preserve"> from England or Ireland</w:t>
      </w:r>
      <w:r w:rsidR="00A72167" w:rsidRPr="00F91AFC">
        <w:t>.</w:t>
      </w:r>
      <w:r w:rsidR="00A72167" w:rsidRPr="00F91AFC">
        <w:rPr>
          <w:rStyle w:val="FootnoteReference"/>
        </w:rPr>
        <w:footnoteReference w:id="18"/>
      </w:r>
      <w:r w:rsidR="00DA12A8" w:rsidRPr="00F91AFC">
        <w:t xml:space="preserve"> </w:t>
      </w:r>
      <w:r w:rsidR="00F10B87" w:rsidRPr="00F91AFC">
        <w:t xml:space="preserve">From the 1830s, </w:t>
      </w:r>
      <w:r w:rsidR="00DA12A8" w:rsidRPr="00F91AFC">
        <w:t xml:space="preserve">convict vessels were </w:t>
      </w:r>
      <w:r w:rsidR="009E2A21" w:rsidRPr="00F91AFC">
        <w:t>repurposed</w:t>
      </w:r>
      <w:r w:rsidR="00DA12A8" w:rsidRPr="00F91AFC">
        <w:t xml:space="preserve"> for </w:t>
      </w:r>
      <w:r w:rsidR="004D4219" w:rsidRPr="00F91AFC">
        <w:t>imm</w:t>
      </w:r>
      <w:r w:rsidR="004D4219">
        <w:t>i</w:t>
      </w:r>
      <w:r w:rsidR="004D4219" w:rsidRPr="00F91AFC">
        <w:t xml:space="preserve">grants </w:t>
      </w:r>
      <w:r w:rsidR="00F10B87" w:rsidRPr="00F91AFC">
        <w:t xml:space="preserve">arriving under </w:t>
      </w:r>
      <w:r w:rsidR="009E2A21" w:rsidRPr="00F91AFC">
        <w:t xml:space="preserve">the </w:t>
      </w:r>
      <w:r w:rsidR="00F10B87" w:rsidRPr="00F91AFC">
        <w:t>governmen</w:t>
      </w:r>
      <w:r w:rsidR="009E2A21" w:rsidRPr="00F91AFC">
        <w:t>t-assisted</w:t>
      </w:r>
      <w:r w:rsidR="00F10B87" w:rsidRPr="00F91AFC">
        <w:t xml:space="preserve"> scheme.</w:t>
      </w:r>
      <w:r w:rsidR="00DA12A8" w:rsidRPr="00F91AFC">
        <w:rPr>
          <w:rStyle w:val="FootnoteReference"/>
        </w:rPr>
        <w:footnoteReference w:id="19"/>
      </w:r>
      <w:r w:rsidR="00DA12A8" w:rsidRPr="00F91AFC">
        <w:t xml:space="preserve"> </w:t>
      </w:r>
      <w:r w:rsidR="00615597" w:rsidRPr="00F91AFC">
        <w:t xml:space="preserve">After the abolition of </w:t>
      </w:r>
      <w:r w:rsidR="00804BB3">
        <w:t xml:space="preserve">the </w:t>
      </w:r>
      <w:r w:rsidR="00406C10" w:rsidRPr="00F91AFC">
        <w:t>EIC’s</w:t>
      </w:r>
      <w:r w:rsidR="00615597" w:rsidRPr="00F91AFC">
        <w:t xml:space="preserve"> </w:t>
      </w:r>
      <w:r w:rsidR="004C401B" w:rsidRPr="00F91AFC">
        <w:t>monopoly</w:t>
      </w:r>
      <w:r w:rsidR="00615597" w:rsidRPr="00F91AFC">
        <w:t xml:space="preserve"> in 1813, </w:t>
      </w:r>
      <w:r w:rsidR="0076742E" w:rsidRPr="00F91AFC">
        <w:t xml:space="preserve">international </w:t>
      </w:r>
      <w:r w:rsidR="00615597" w:rsidRPr="00F91AFC">
        <w:t xml:space="preserve">private vessels </w:t>
      </w:r>
      <w:r w:rsidR="0076742E" w:rsidRPr="00F91AFC">
        <w:t xml:space="preserve">were allowed into </w:t>
      </w:r>
      <w:r w:rsidR="0076742E" w:rsidRPr="00F91AFC">
        <w:lastRenderedPageBreak/>
        <w:t>Australian ports</w:t>
      </w:r>
      <w:r w:rsidR="00D55441" w:rsidRPr="00F91AFC">
        <w:t xml:space="preserve"> for the first time</w:t>
      </w:r>
      <w:r w:rsidR="0036566A" w:rsidRPr="00F91AFC">
        <w:t>.</w:t>
      </w:r>
      <w:r w:rsidR="00D55441" w:rsidRPr="00F91AFC">
        <w:t xml:space="preserve"> </w:t>
      </w:r>
      <w:r w:rsidR="0036566A" w:rsidRPr="00F91AFC">
        <w:t xml:space="preserve">After </w:t>
      </w:r>
      <w:r w:rsidR="002F6B12" w:rsidRPr="00F91AFC">
        <w:t>the First Opium War forced</w:t>
      </w:r>
      <w:r w:rsidR="00CE6BBD" w:rsidRPr="00F91AFC">
        <w:t xml:space="preserve"> open</w:t>
      </w:r>
      <w:r w:rsidR="002F6B12" w:rsidRPr="00F91AFC">
        <w:t xml:space="preserve"> Chinese ports in 1842, Sydney became an important port in triangular voyage</w:t>
      </w:r>
      <w:r w:rsidR="003C51D1" w:rsidRPr="00F91AFC">
        <w:t>s</w:t>
      </w:r>
      <w:r w:rsidR="002F6B12" w:rsidRPr="00F91AFC">
        <w:t xml:space="preserve"> from Europe or America to Australia, then on</w:t>
      </w:r>
      <w:r w:rsidR="00804BB3">
        <w:t xml:space="preserve"> </w:t>
      </w:r>
      <w:r w:rsidR="002F6B12" w:rsidRPr="00F91AFC">
        <w:t>to China, before returning home.</w:t>
      </w:r>
      <w:r w:rsidR="002F6B12" w:rsidRPr="00F91AFC">
        <w:rPr>
          <w:rStyle w:val="FootnoteReference"/>
        </w:rPr>
        <w:footnoteReference w:id="20"/>
      </w:r>
      <w:r w:rsidR="002F6B12" w:rsidRPr="00F91AFC">
        <w:t xml:space="preserve"> </w:t>
      </w:r>
      <w:r w:rsidR="00F10B87" w:rsidRPr="00F91AFC">
        <w:t>Most of these vessels were sailing ships or auxiliary steamers (both steam</w:t>
      </w:r>
      <w:r w:rsidR="003C51D1" w:rsidRPr="00F91AFC">
        <w:t>-</w:t>
      </w:r>
      <w:r w:rsidR="00F10B87" w:rsidRPr="00F91AFC">
        <w:t xml:space="preserve"> and sai</w:t>
      </w:r>
      <w:r w:rsidR="003C51D1" w:rsidRPr="00F91AFC">
        <w:t>l-</w:t>
      </w:r>
      <w:r w:rsidR="00F10B87" w:rsidRPr="00F91AFC">
        <w:t xml:space="preserve">power) </w:t>
      </w:r>
      <w:r w:rsidR="003C51D1" w:rsidRPr="00F91AFC">
        <w:t>which</w:t>
      </w:r>
      <w:r w:rsidR="00F10B87" w:rsidRPr="00F91AFC">
        <w:t xml:space="preserve"> ran West to East through the Southern Ocean to reach Australia, taking advantage of the strong westerlies between </w:t>
      </w:r>
      <w:r w:rsidR="004D4219">
        <w:t xml:space="preserve">the latitudes of </w:t>
      </w:r>
      <w:r w:rsidR="00F10B87" w:rsidRPr="00F91AFC">
        <w:t>40</w:t>
      </w:r>
      <w:r w:rsidR="004D4219">
        <w:t xml:space="preserve">° and </w:t>
      </w:r>
      <w:r w:rsidR="00F10B87" w:rsidRPr="00F91AFC">
        <w:t>50°.</w:t>
      </w:r>
      <w:r w:rsidR="008135E3">
        <w:rPr>
          <w:rStyle w:val="FootnoteReference"/>
        </w:rPr>
        <w:footnoteReference w:id="21"/>
      </w:r>
      <w:r w:rsidR="00F10B87" w:rsidRPr="00F91AFC">
        <w:t xml:space="preserve"> After several months’ voyage, vessels encountered coastal islands as a welcome sign of arrival to Australia. These islands often housed a convict-built lighthouse, pilot boat station, breakwater or dry dock to aid ships’ entry into port and safe journey onwards.</w:t>
      </w:r>
    </w:p>
    <w:p w14:paraId="201CD8C7" w14:textId="77777777" w:rsidR="00804BB3" w:rsidRPr="00F91AFC" w:rsidRDefault="00804BB3" w:rsidP="00804BB3">
      <w:pPr>
        <w:spacing w:line="276" w:lineRule="auto"/>
      </w:pPr>
    </w:p>
    <w:p w14:paraId="30A57EA6" w14:textId="540080AF" w:rsidR="003C28FD" w:rsidRDefault="00E54063" w:rsidP="00804BB3">
      <w:pPr>
        <w:spacing w:line="276" w:lineRule="auto"/>
      </w:pPr>
      <w:r w:rsidRPr="00F91AFC">
        <w:t>This chapter</w:t>
      </w:r>
      <w:r w:rsidR="00F84C89" w:rsidRPr="00F91AFC">
        <w:t>’s</w:t>
      </w:r>
      <w:r w:rsidRPr="00F91AFC">
        <w:t xml:space="preserve"> key argument is that Australia’s offshore islands played a distinctive role in colonial governance. Australia was a penal</w:t>
      </w:r>
      <w:r w:rsidR="008135E3">
        <w:t xml:space="preserve">- </w:t>
      </w:r>
      <w:r w:rsidRPr="00F91AFC">
        <w:t>and settler</w:t>
      </w:r>
      <w:r w:rsidR="008135E3">
        <w:t xml:space="preserve">- </w:t>
      </w:r>
      <w:r w:rsidRPr="00F91AFC">
        <w:t>colony</w:t>
      </w:r>
      <w:r w:rsidR="0097473F" w:rsidRPr="00F91AFC">
        <w:t>, so displacement to islands</w:t>
      </w:r>
      <w:r w:rsidRPr="00F91AFC">
        <w:t xml:space="preserve"> was</w:t>
      </w:r>
      <w:r w:rsidR="0097473F" w:rsidRPr="00F91AFC">
        <w:t xml:space="preserve"> used to govern</w:t>
      </w:r>
      <w:r w:rsidRPr="00F91AFC">
        <w:t xml:space="preserve"> Indigenous people </w:t>
      </w:r>
      <w:r w:rsidR="0097473F" w:rsidRPr="00F91AFC">
        <w:t xml:space="preserve">who resisted frontier expansion </w:t>
      </w:r>
      <w:r w:rsidR="004D4219">
        <w:t xml:space="preserve">as well as </w:t>
      </w:r>
      <w:r w:rsidRPr="00F91AFC">
        <w:t xml:space="preserve">to punish recidivist convicts who did not rehabilitate into colonial society. Once on islands, prison labour was turned to account for the imperial project. Convicts claimed territory and gathered resources at imperial frontiers in a bid to extend Britain’s strategic presence in the Pacific and Indian Ocean arenas. Closer to the shore, convicts built maritime infrastructures to connect colonial </w:t>
      </w:r>
      <w:r w:rsidR="0097473F" w:rsidRPr="00F91AFC">
        <w:t>port-</w:t>
      </w:r>
      <w:r w:rsidRPr="00F91AFC">
        <w:t xml:space="preserve">cities to Britain. </w:t>
      </w:r>
      <w:r w:rsidR="0097473F" w:rsidRPr="00F91AFC">
        <w:t xml:space="preserve">Convicts also helped natural-scientists who </w:t>
      </w:r>
      <w:r w:rsidRPr="00F91AFC">
        <w:t xml:space="preserve">were attracted to the unique maritime ecologies of </w:t>
      </w:r>
      <w:r w:rsidR="0097473F" w:rsidRPr="00F91AFC">
        <w:t>offshore</w:t>
      </w:r>
      <w:r w:rsidRPr="00F91AFC">
        <w:t xml:space="preserve"> islands</w:t>
      </w:r>
      <w:r w:rsidR="0097473F" w:rsidRPr="00F91AFC">
        <w:t xml:space="preserve"> to collect specimens and develop scientific knowledge</w:t>
      </w:r>
      <w:r w:rsidR="003E057F" w:rsidRPr="00F91AFC">
        <w:t xml:space="preserve"> that travelled through imperial circuits</w:t>
      </w:r>
      <w:r w:rsidR="006E2CCA" w:rsidRPr="00F91AFC">
        <w:t>.</w:t>
      </w:r>
      <w:r w:rsidR="009E2A21" w:rsidRPr="00F91AFC">
        <w:t xml:space="preserve"> It was through the efforts of</w:t>
      </w:r>
      <w:r w:rsidR="003E057F" w:rsidRPr="00F91AFC">
        <w:t xml:space="preserve"> Aboriginal and European </w:t>
      </w:r>
      <w:r w:rsidR="009E2A21" w:rsidRPr="00F91AFC">
        <w:t xml:space="preserve">prisoners that these islands were connected </w:t>
      </w:r>
      <w:r w:rsidR="003E057F" w:rsidRPr="00F91AFC">
        <w:t xml:space="preserve">to </w:t>
      </w:r>
      <w:r w:rsidR="009E2A21" w:rsidRPr="00F91AFC">
        <w:t xml:space="preserve">maritime </w:t>
      </w:r>
      <w:r w:rsidR="003E057F" w:rsidRPr="00F91AFC">
        <w:t>networks of commerce and correspondence.</w:t>
      </w:r>
    </w:p>
    <w:p w14:paraId="5344AAFE" w14:textId="77777777" w:rsidR="00804BB3" w:rsidRPr="00F91AFC" w:rsidRDefault="00804BB3" w:rsidP="00804BB3">
      <w:pPr>
        <w:spacing w:line="276" w:lineRule="auto"/>
      </w:pPr>
    </w:p>
    <w:p w14:paraId="47A73066" w14:textId="6C269B93" w:rsidR="001E2A2D" w:rsidRDefault="00EF718B" w:rsidP="00804BB3">
      <w:pPr>
        <w:pStyle w:val="Heading1"/>
        <w:spacing w:before="0" w:line="276" w:lineRule="auto"/>
        <w:rPr>
          <w:rFonts w:ascii="Times New Roman" w:hAnsi="Times New Roman" w:cs="Times New Roman"/>
          <w:b/>
          <w:color w:val="auto"/>
          <w:sz w:val="24"/>
          <w:szCs w:val="24"/>
        </w:rPr>
      </w:pPr>
      <w:r w:rsidRPr="00804BB3">
        <w:rPr>
          <w:rFonts w:ascii="Times New Roman" w:hAnsi="Times New Roman" w:cs="Times New Roman"/>
          <w:b/>
          <w:color w:val="auto"/>
          <w:sz w:val="24"/>
          <w:szCs w:val="24"/>
        </w:rPr>
        <w:t>Strategic Sites and Imperial Rivalry</w:t>
      </w:r>
    </w:p>
    <w:p w14:paraId="202B55B5" w14:textId="77777777" w:rsidR="00804BB3" w:rsidRPr="00804BB3" w:rsidRDefault="00804BB3" w:rsidP="00804BB3"/>
    <w:p w14:paraId="4A507795" w14:textId="16E4A913" w:rsidR="001161ED" w:rsidRDefault="008135E3" w:rsidP="00804BB3">
      <w:pPr>
        <w:spacing w:line="276" w:lineRule="auto"/>
      </w:pPr>
      <w:r>
        <w:t>In the two decades</w:t>
      </w:r>
      <w:r w:rsidRPr="00F91AFC">
        <w:t xml:space="preserve"> </w:t>
      </w:r>
      <w:r w:rsidR="002A0773" w:rsidRPr="00F91AFC">
        <w:t xml:space="preserve">after Britain </w:t>
      </w:r>
      <w:r w:rsidR="004D4219" w:rsidRPr="00F91AFC">
        <w:t>coloni</w:t>
      </w:r>
      <w:r w:rsidR="004D4219">
        <w:t>z</w:t>
      </w:r>
      <w:r w:rsidR="004D4219" w:rsidRPr="00F91AFC">
        <w:t xml:space="preserve">ed </w:t>
      </w:r>
      <w:r w:rsidR="002A0773" w:rsidRPr="00F91AFC">
        <w:t>Australia</w:t>
      </w:r>
      <w:r w:rsidR="00316DA4" w:rsidRPr="00F91AFC">
        <w:t xml:space="preserve"> (</w:t>
      </w:r>
      <w:r w:rsidR="00B23CA7" w:rsidRPr="00F91AFC">
        <w:t>1788</w:t>
      </w:r>
      <w:r w:rsidR="00804BB3">
        <w:t>–</w:t>
      </w:r>
      <w:r w:rsidR="00B23CA7" w:rsidRPr="00F91AFC">
        <w:t>182</w:t>
      </w:r>
      <w:r>
        <w:t>9</w:t>
      </w:r>
      <w:r w:rsidR="00316DA4" w:rsidRPr="00F91AFC">
        <w:t>),</w:t>
      </w:r>
      <w:r w:rsidR="00B23CA7" w:rsidRPr="00F91AFC">
        <w:t xml:space="preserve"> when </w:t>
      </w:r>
      <w:r w:rsidR="00470541" w:rsidRPr="00F91AFC">
        <w:t>much of the continent</w:t>
      </w:r>
      <w:r w:rsidR="00C6260E">
        <w:t>al landmass</w:t>
      </w:r>
      <w:r w:rsidR="00470541" w:rsidRPr="00F91AFC">
        <w:t xml:space="preserve"> remained uncolonized</w:t>
      </w:r>
      <w:r w:rsidR="00B23CA7" w:rsidRPr="00F91AFC">
        <w:t xml:space="preserve">, </w:t>
      </w:r>
      <w:r w:rsidR="00F84C89" w:rsidRPr="00F91AFC">
        <w:t xml:space="preserve">islands remote from Sydney were occupied as </w:t>
      </w:r>
      <w:r w:rsidR="00D34885" w:rsidRPr="00F91AFC">
        <w:t>geopolitically strategic sites to extend Brit</w:t>
      </w:r>
      <w:r w:rsidR="00191764" w:rsidRPr="00F91AFC">
        <w:t xml:space="preserve">ain’s naval and commercial influence overseas. </w:t>
      </w:r>
      <w:r w:rsidR="00AC3A7B" w:rsidRPr="00F91AFC">
        <w:t>Lauren Benton has argued</w:t>
      </w:r>
      <w:r w:rsidR="00FF53A0" w:rsidRPr="00F91AFC">
        <w:t xml:space="preserve"> that</w:t>
      </w:r>
      <w:r w:rsidR="00AC3A7B" w:rsidRPr="00F91AFC">
        <w:t xml:space="preserve"> in the late eighteen</w:t>
      </w:r>
      <w:r w:rsidR="004D4219">
        <w:t>th</w:t>
      </w:r>
      <w:r w:rsidR="00AC3A7B" w:rsidRPr="00F91AFC">
        <w:t xml:space="preserve"> century</w:t>
      </w:r>
      <w:r w:rsidR="00C6260E">
        <w:t>,</w:t>
      </w:r>
      <w:r w:rsidR="00FF53A0" w:rsidRPr="00F91AFC">
        <w:t xml:space="preserve"> both the Spanish and British empires </w:t>
      </w:r>
      <w:r w:rsidR="00AC3A7B" w:rsidRPr="00F91AFC">
        <w:t>‘forced settlers, sometimes to strategically located islands’ which were used as</w:t>
      </w:r>
      <w:r w:rsidR="00404826" w:rsidRPr="00F91AFC">
        <w:t xml:space="preserve"> overlapping</w:t>
      </w:r>
      <w:r w:rsidR="00AC3A7B" w:rsidRPr="00F91AFC">
        <w:t xml:space="preserve"> ‘sites of military garrisons, protected commercial nodes, agricultural stations and places of natural confinement’.</w:t>
      </w:r>
      <w:r w:rsidR="00AC3A7B" w:rsidRPr="00F91AFC">
        <w:rPr>
          <w:rStyle w:val="FootnoteReference"/>
        </w:rPr>
        <w:footnoteReference w:id="22"/>
      </w:r>
      <w:r w:rsidR="00FF53A0" w:rsidRPr="00F91AFC">
        <w:t xml:space="preserve"> </w:t>
      </w:r>
      <w:r w:rsidR="004D4219">
        <w:t>In this way, s</w:t>
      </w:r>
      <w:r w:rsidR="00FF53A0" w:rsidRPr="00F91AFC">
        <w:t>mall groups of convicts and soldiers were sent from Sydney to Norfolk Island, 1500 kilometres eastwards in the Pacific, between 1788</w:t>
      </w:r>
      <w:r w:rsidR="004D4219">
        <w:t xml:space="preserve"> and</w:t>
      </w:r>
      <w:r w:rsidR="00C6260E">
        <w:t xml:space="preserve"> </w:t>
      </w:r>
      <w:r w:rsidR="00FF53A0" w:rsidRPr="00F91AFC">
        <w:t>1815</w:t>
      </w:r>
      <w:r w:rsidR="0020496E" w:rsidRPr="00F91AFC">
        <w:t>,</w:t>
      </w:r>
      <w:r w:rsidR="00FF53A0" w:rsidRPr="00F91AFC">
        <w:t xml:space="preserve"> and to Melville Island (known </w:t>
      </w:r>
      <w:r w:rsidR="00406C10" w:rsidRPr="00F91AFC">
        <w:t>Y</w:t>
      </w:r>
      <w:r w:rsidR="00FF53A0" w:rsidRPr="00F91AFC">
        <w:t>ermalnear by the indigenous Tiwi Islanders) over 3000 kilometres northwards, between 1824</w:t>
      </w:r>
      <w:r w:rsidR="004D4219">
        <w:t xml:space="preserve"> and 1829</w:t>
      </w:r>
      <w:r w:rsidR="00FF53A0" w:rsidRPr="00F91AFC">
        <w:t xml:space="preserve">. These convict-settlers claimed valuable territory for Britain in </w:t>
      </w:r>
      <w:r w:rsidR="00FF53A0" w:rsidRPr="00F91AFC">
        <w:lastRenderedPageBreak/>
        <w:t>contested ocean</w:t>
      </w:r>
      <w:r w:rsidR="00C6260E">
        <w:t>ic</w:t>
      </w:r>
      <w:r w:rsidR="00FF53A0" w:rsidRPr="00F91AFC">
        <w:t xml:space="preserve"> arenas and cultivated valuable resources to shore up Britain’s naval and commercial shipping interests.   </w:t>
      </w:r>
    </w:p>
    <w:p w14:paraId="73E052CC" w14:textId="77777777" w:rsidR="00C6260E" w:rsidRPr="00F91AFC" w:rsidRDefault="00C6260E" w:rsidP="00804BB3">
      <w:pPr>
        <w:spacing w:line="276" w:lineRule="auto"/>
      </w:pPr>
    </w:p>
    <w:p w14:paraId="6131823E" w14:textId="1728CB47" w:rsidR="00832205" w:rsidRDefault="00141A8C" w:rsidP="00804BB3">
      <w:pPr>
        <w:tabs>
          <w:tab w:val="left" w:pos="6946"/>
        </w:tabs>
        <w:spacing w:line="276" w:lineRule="auto"/>
      </w:pPr>
      <w:r w:rsidRPr="00F91AFC">
        <w:t>John Call, a</w:t>
      </w:r>
      <w:r w:rsidR="00B56713" w:rsidRPr="00F91AFC">
        <w:t xml:space="preserve">dviser to Prime </w:t>
      </w:r>
      <w:r w:rsidRPr="00F91AFC">
        <w:t>M</w:t>
      </w:r>
      <w:r w:rsidR="00B56713" w:rsidRPr="00F91AFC">
        <w:t xml:space="preserve">inister </w:t>
      </w:r>
      <w:r w:rsidR="00C6260E">
        <w:t xml:space="preserve">William </w:t>
      </w:r>
      <w:r w:rsidR="00B56713" w:rsidRPr="00F91AFC">
        <w:t>Pitt, proposed</w:t>
      </w:r>
      <w:r w:rsidR="001E4C2A" w:rsidRPr="00F91AFC">
        <w:t xml:space="preserve"> </w:t>
      </w:r>
      <w:r w:rsidR="00B56713" w:rsidRPr="00F91AFC">
        <w:t>in</w:t>
      </w:r>
      <w:r w:rsidR="000725DB" w:rsidRPr="00F91AFC">
        <w:t xml:space="preserve"> 178</w:t>
      </w:r>
      <w:r w:rsidR="001E4C2A" w:rsidRPr="00F91AFC">
        <w:t>4</w:t>
      </w:r>
      <w:r w:rsidR="00B56713" w:rsidRPr="00F91AFC">
        <w:t xml:space="preserve"> that Britain </w:t>
      </w:r>
      <w:r w:rsidR="000725DB" w:rsidRPr="00F91AFC">
        <w:t>colonize the Pacific region</w:t>
      </w:r>
      <w:r w:rsidR="00B56713" w:rsidRPr="00F91AFC">
        <w:t>, suggesting</w:t>
      </w:r>
      <w:r w:rsidR="001E4C2A" w:rsidRPr="00F91AFC">
        <w:t xml:space="preserve"> that the islands of New Caledonia and Norfolk Island would be two ‘useful </w:t>
      </w:r>
      <w:r w:rsidR="00B56713" w:rsidRPr="00F91AFC">
        <w:t>auxiliaries’</w:t>
      </w:r>
      <w:r w:rsidR="001E4C2A" w:rsidRPr="00F91AFC">
        <w:t xml:space="preserve"> to a colony at New South Wales</w:t>
      </w:r>
      <w:r w:rsidR="001161ED" w:rsidRPr="00F91AFC">
        <w:t>.</w:t>
      </w:r>
      <w:r w:rsidR="001161ED" w:rsidRPr="00F91AFC">
        <w:rPr>
          <w:rStyle w:val="FootnoteReference"/>
        </w:rPr>
        <w:footnoteReference w:id="23"/>
      </w:r>
      <w:r w:rsidR="001161ED" w:rsidRPr="00F91AFC">
        <w:t xml:space="preserve"> </w:t>
      </w:r>
      <w:r w:rsidR="00B56713" w:rsidRPr="00F91AFC">
        <w:t>I</w:t>
      </w:r>
      <w:r w:rsidR="001161ED" w:rsidRPr="00F91AFC">
        <w:t xml:space="preserve">n </w:t>
      </w:r>
      <w:r w:rsidR="005C3F5F" w:rsidRPr="00F91AFC">
        <w:t>1787</w:t>
      </w:r>
      <w:r w:rsidR="00191764" w:rsidRPr="00F91AFC">
        <w:t>,</w:t>
      </w:r>
      <w:r w:rsidR="001161ED" w:rsidRPr="00F91AFC">
        <w:t xml:space="preserve"> </w:t>
      </w:r>
      <w:r w:rsidR="005D098F">
        <w:t>the King</w:t>
      </w:r>
      <w:r w:rsidR="001161ED" w:rsidRPr="00F91AFC">
        <w:t xml:space="preserve"> instructed the first governor of New South Wales, </w:t>
      </w:r>
      <w:r w:rsidR="005C3F5F" w:rsidRPr="00F91AFC">
        <w:t xml:space="preserve">Captain </w:t>
      </w:r>
      <w:r w:rsidR="001161ED" w:rsidRPr="00F91AFC">
        <w:rPr>
          <w:rFonts w:eastAsia="MS Mincho"/>
        </w:rPr>
        <w:t>Arthur Phillip, to colonize Norfolk Island as ‘a spot which may hereafter become useful’.</w:t>
      </w:r>
      <w:r w:rsidR="001161ED" w:rsidRPr="00F91AFC">
        <w:rPr>
          <w:rFonts w:eastAsia="MS Mincho"/>
          <w:vertAlign w:val="superscript"/>
        </w:rPr>
        <w:footnoteReference w:id="24"/>
      </w:r>
      <w:r w:rsidR="001161ED" w:rsidRPr="00F91AFC">
        <w:rPr>
          <w:rFonts w:eastAsia="MS Mincho"/>
        </w:rPr>
        <w:t xml:space="preserve"> Norfolk Island’s utility was as a strategic site to tap into the China trade, linked by the South Equatorial current to the heart of the </w:t>
      </w:r>
      <w:r w:rsidR="00406C10" w:rsidRPr="00F91AFC">
        <w:rPr>
          <w:rFonts w:eastAsia="MS Mincho"/>
        </w:rPr>
        <w:t>EIC’s</w:t>
      </w:r>
      <w:r w:rsidR="001161ED" w:rsidRPr="00F91AFC">
        <w:rPr>
          <w:rFonts w:eastAsia="MS Mincho"/>
        </w:rPr>
        <w:t xml:space="preserve"> trading grounds</w:t>
      </w:r>
      <w:r w:rsidR="001161ED" w:rsidRPr="00F91AFC">
        <w:t>.</w:t>
      </w:r>
      <w:r w:rsidR="001161ED" w:rsidRPr="00F91AFC">
        <w:rPr>
          <w:rStyle w:val="FootnoteReference"/>
        </w:rPr>
        <w:footnoteReference w:id="25"/>
      </w:r>
      <w:r w:rsidR="001161ED" w:rsidRPr="00F91AFC">
        <w:t xml:space="preserve"> </w:t>
      </w:r>
    </w:p>
    <w:p w14:paraId="130B3059" w14:textId="77777777" w:rsidR="00C6260E" w:rsidRPr="00F91AFC" w:rsidRDefault="00C6260E" w:rsidP="00804BB3">
      <w:pPr>
        <w:tabs>
          <w:tab w:val="left" w:pos="6946"/>
        </w:tabs>
        <w:spacing w:line="276" w:lineRule="auto"/>
      </w:pPr>
    </w:p>
    <w:p w14:paraId="224ECAEE" w14:textId="4AE38865" w:rsidR="0020496E" w:rsidRPr="00F91AFC" w:rsidRDefault="001161ED" w:rsidP="00DE552E">
      <w:pPr>
        <w:tabs>
          <w:tab w:val="left" w:pos="6946"/>
        </w:tabs>
        <w:spacing w:line="276" w:lineRule="auto"/>
        <w:rPr>
          <w:rFonts w:eastAsia="MS Mincho"/>
        </w:rPr>
      </w:pPr>
      <w:r w:rsidRPr="00F91AFC">
        <w:rPr>
          <w:rFonts w:eastAsia="MS Mincho"/>
        </w:rPr>
        <w:t>Norfolk Island</w:t>
      </w:r>
      <w:r w:rsidR="00FF53A0" w:rsidRPr="00F91AFC">
        <w:rPr>
          <w:rFonts w:eastAsia="MS Mincho"/>
        </w:rPr>
        <w:t xml:space="preserve"> also offered</w:t>
      </w:r>
      <w:r w:rsidRPr="00F91AFC">
        <w:rPr>
          <w:rFonts w:eastAsia="MS Mincho"/>
        </w:rPr>
        <w:t xml:space="preserve"> </w:t>
      </w:r>
      <w:r w:rsidR="00FF53A0" w:rsidRPr="00F91AFC">
        <w:rPr>
          <w:rFonts w:eastAsia="MS Mincho"/>
        </w:rPr>
        <w:t xml:space="preserve">important </w:t>
      </w:r>
      <w:r w:rsidRPr="00F91AFC">
        <w:rPr>
          <w:rFonts w:eastAsia="MS Mincho"/>
        </w:rPr>
        <w:t>naval resources</w:t>
      </w:r>
      <w:r w:rsidR="00FA23B4" w:rsidRPr="00F91AFC">
        <w:rPr>
          <w:rFonts w:eastAsia="MS Mincho"/>
        </w:rPr>
        <w:t xml:space="preserve"> </w:t>
      </w:r>
      <w:r w:rsidR="0020496E" w:rsidRPr="00F91AFC">
        <w:rPr>
          <w:rFonts w:eastAsia="MS Mincho"/>
        </w:rPr>
        <w:t>needed</w:t>
      </w:r>
      <w:r w:rsidR="00FA23B4" w:rsidRPr="00F91AFC">
        <w:rPr>
          <w:rFonts w:eastAsia="MS Mincho"/>
        </w:rPr>
        <w:t xml:space="preserve"> for </w:t>
      </w:r>
      <w:r w:rsidR="00F010A6" w:rsidRPr="00F91AFC">
        <w:rPr>
          <w:rFonts w:eastAsia="MS Mincho"/>
        </w:rPr>
        <w:t xml:space="preserve">Britain’s </w:t>
      </w:r>
      <w:r w:rsidR="00FA23B4" w:rsidRPr="00F91AFC">
        <w:rPr>
          <w:rFonts w:eastAsia="MS Mincho"/>
        </w:rPr>
        <w:t xml:space="preserve">war with </w:t>
      </w:r>
      <w:r w:rsidR="00F010A6" w:rsidRPr="00F91AFC">
        <w:rPr>
          <w:rFonts w:eastAsia="MS Mincho"/>
        </w:rPr>
        <w:t xml:space="preserve">Napoleonic </w:t>
      </w:r>
      <w:r w:rsidR="00FA23B4" w:rsidRPr="00F91AFC">
        <w:rPr>
          <w:rFonts w:eastAsia="MS Mincho"/>
        </w:rPr>
        <w:t xml:space="preserve">France </w:t>
      </w:r>
      <w:r w:rsidR="00C6260E">
        <w:rPr>
          <w:rFonts w:eastAsia="MS Mincho"/>
        </w:rPr>
        <w:t>(</w:t>
      </w:r>
      <w:r w:rsidR="00F010A6" w:rsidRPr="00F91AFC">
        <w:rPr>
          <w:rFonts w:eastAsia="MS Mincho"/>
        </w:rPr>
        <w:t>1803</w:t>
      </w:r>
      <w:r w:rsidR="00C6260E">
        <w:rPr>
          <w:rFonts w:eastAsia="MS Mincho"/>
        </w:rPr>
        <w:t>–</w:t>
      </w:r>
      <w:r w:rsidR="00F010A6" w:rsidRPr="00F91AFC">
        <w:rPr>
          <w:rFonts w:eastAsia="MS Mincho"/>
        </w:rPr>
        <w:t>15</w:t>
      </w:r>
      <w:r w:rsidR="00C6260E">
        <w:rPr>
          <w:rFonts w:eastAsia="MS Mincho"/>
        </w:rPr>
        <w:t>)</w:t>
      </w:r>
      <w:r w:rsidR="00F010A6" w:rsidRPr="00F91AFC">
        <w:rPr>
          <w:rFonts w:eastAsia="MS Mincho"/>
        </w:rPr>
        <w:t>.</w:t>
      </w:r>
      <w:r w:rsidR="00FA23B4" w:rsidRPr="00F91AFC">
        <w:rPr>
          <w:rFonts w:eastAsia="MS Mincho"/>
        </w:rPr>
        <w:t xml:space="preserve"> After the American War of Independence ended in 1783, Britain faced the permanent loss of timber</w:t>
      </w:r>
      <w:r w:rsidR="00CE3151">
        <w:rPr>
          <w:rFonts w:eastAsia="MS Mincho"/>
        </w:rPr>
        <w:t xml:space="preserve"> supplies</w:t>
      </w:r>
      <w:r w:rsidR="00FA23B4" w:rsidRPr="00F91AFC">
        <w:rPr>
          <w:rFonts w:eastAsia="MS Mincho"/>
        </w:rPr>
        <w:t>.</w:t>
      </w:r>
      <w:r w:rsidRPr="00F91AFC">
        <w:rPr>
          <w:rStyle w:val="FootnoteReference"/>
        </w:rPr>
        <w:footnoteReference w:id="26"/>
      </w:r>
      <w:r w:rsidR="009C447F" w:rsidRPr="00F91AFC">
        <w:rPr>
          <w:rFonts w:eastAsia="MS Mincho"/>
        </w:rPr>
        <w:t xml:space="preserve"> Not only </w:t>
      </w:r>
      <w:r w:rsidR="005D098F" w:rsidRPr="00F91AFC">
        <w:rPr>
          <w:rFonts w:eastAsia="MS Mincho"/>
        </w:rPr>
        <w:t>w</w:t>
      </w:r>
      <w:r w:rsidR="005D098F">
        <w:rPr>
          <w:rFonts w:eastAsia="MS Mincho"/>
        </w:rPr>
        <w:t xml:space="preserve">as the total </w:t>
      </w:r>
      <w:r w:rsidR="009C447F" w:rsidRPr="00F91AFC">
        <w:rPr>
          <w:rFonts w:eastAsia="MS Mincho"/>
        </w:rPr>
        <w:t>tonnage</w:t>
      </w:r>
      <w:r w:rsidR="005D098F">
        <w:rPr>
          <w:rFonts w:eastAsia="MS Mincho"/>
        </w:rPr>
        <w:t xml:space="preserve"> of</w:t>
      </w:r>
      <w:r w:rsidR="009C447F" w:rsidRPr="00F91AFC">
        <w:rPr>
          <w:rFonts w:eastAsia="MS Mincho"/>
        </w:rPr>
        <w:t xml:space="preserve"> warships on the rise, from 120,00</w:t>
      </w:r>
      <w:r w:rsidR="00C6260E">
        <w:rPr>
          <w:rFonts w:eastAsia="MS Mincho"/>
        </w:rPr>
        <w:t>0</w:t>
      </w:r>
      <w:r w:rsidR="005D098F">
        <w:rPr>
          <w:rFonts w:eastAsia="MS Mincho"/>
        </w:rPr>
        <w:t xml:space="preserve"> in 1760</w:t>
      </w:r>
      <w:r w:rsidR="009C447F" w:rsidRPr="00F91AFC">
        <w:rPr>
          <w:rFonts w:eastAsia="MS Mincho"/>
        </w:rPr>
        <w:t xml:space="preserve"> to 231,000 tons </w:t>
      </w:r>
      <w:r w:rsidR="005D098F">
        <w:rPr>
          <w:rFonts w:eastAsia="MS Mincho"/>
        </w:rPr>
        <w:t xml:space="preserve">in </w:t>
      </w:r>
      <w:r w:rsidR="009C447F" w:rsidRPr="00F91AFC">
        <w:rPr>
          <w:rFonts w:eastAsia="MS Mincho"/>
        </w:rPr>
        <w:t xml:space="preserve">1800, the number of </w:t>
      </w:r>
      <w:r w:rsidR="00406C10" w:rsidRPr="00F91AFC">
        <w:rPr>
          <w:rFonts w:eastAsia="MS Mincho"/>
        </w:rPr>
        <w:t>EIC</w:t>
      </w:r>
      <w:r w:rsidR="009C447F" w:rsidRPr="00F91AFC">
        <w:rPr>
          <w:rFonts w:eastAsia="MS Mincho"/>
        </w:rPr>
        <w:t xml:space="preserve"> ships </w:t>
      </w:r>
      <w:r w:rsidR="00F010A6" w:rsidRPr="00F91AFC">
        <w:rPr>
          <w:rFonts w:eastAsia="MS Mincho"/>
        </w:rPr>
        <w:t xml:space="preserve">had </w:t>
      </w:r>
      <w:r w:rsidR="005D098F">
        <w:rPr>
          <w:rFonts w:eastAsia="MS Mincho"/>
        </w:rPr>
        <w:t xml:space="preserve">also </w:t>
      </w:r>
      <w:r w:rsidR="009C447F" w:rsidRPr="00F91AFC">
        <w:rPr>
          <w:rFonts w:eastAsia="MS Mincho"/>
        </w:rPr>
        <w:t>doubled in the same period</w:t>
      </w:r>
      <w:r w:rsidR="000727E1" w:rsidRPr="00F91AFC">
        <w:rPr>
          <w:rFonts w:eastAsia="MS Mincho"/>
        </w:rPr>
        <w:t>.</w:t>
      </w:r>
      <w:r w:rsidR="000727E1" w:rsidRPr="00F91AFC">
        <w:rPr>
          <w:rStyle w:val="FootnoteReference"/>
          <w:rFonts w:eastAsia="MS Mincho"/>
        </w:rPr>
        <w:footnoteReference w:id="27"/>
      </w:r>
      <w:r w:rsidR="000727E1" w:rsidRPr="00F91AFC">
        <w:rPr>
          <w:rFonts w:eastAsia="MS Mincho"/>
        </w:rPr>
        <w:t xml:space="preserve"> </w:t>
      </w:r>
      <w:r w:rsidR="003C2215" w:rsidRPr="00F91AFC">
        <w:rPr>
          <w:rFonts w:eastAsia="MS Mincho"/>
        </w:rPr>
        <w:t xml:space="preserve">By May 1788, Captain Phillip reported to London that he ‘apprehend[ed] </w:t>
      </w:r>
      <w:r w:rsidR="00C6260E">
        <w:rPr>
          <w:rFonts w:eastAsia="MS Mincho"/>
        </w:rPr>
        <w:t>His</w:t>
      </w:r>
      <w:r w:rsidR="00C6260E" w:rsidRPr="00F91AFC">
        <w:rPr>
          <w:rFonts w:eastAsia="MS Mincho"/>
        </w:rPr>
        <w:t xml:space="preserve"> </w:t>
      </w:r>
      <w:r w:rsidR="003C2215" w:rsidRPr="00F91AFC">
        <w:rPr>
          <w:rFonts w:eastAsia="MS Mincho"/>
        </w:rPr>
        <w:t>Majesty’s Ships in the East Indies may be supplied from this</w:t>
      </w:r>
      <w:r w:rsidR="009C447F" w:rsidRPr="00F91AFC">
        <w:rPr>
          <w:rFonts w:eastAsia="MS Mincho"/>
        </w:rPr>
        <w:t xml:space="preserve"> </w:t>
      </w:r>
      <w:r w:rsidR="003C2215" w:rsidRPr="00F91AFC">
        <w:rPr>
          <w:rFonts w:eastAsia="MS Mincho"/>
        </w:rPr>
        <w:t>island with masts and yards which will render it a very valuable acquisition’.</w:t>
      </w:r>
      <w:r w:rsidR="003C2215" w:rsidRPr="00F91AFC">
        <w:rPr>
          <w:rStyle w:val="FootnoteReference"/>
          <w:rFonts w:eastAsia="MS Mincho"/>
        </w:rPr>
        <w:footnoteReference w:id="28"/>
      </w:r>
      <w:r w:rsidR="003C2215" w:rsidRPr="00F91AFC">
        <w:rPr>
          <w:rFonts w:eastAsia="MS Mincho"/>
        </w:rPr>
        <w:t xml:space="preserve"> </w:t>
      </w:r>
      <w:r w:rsidR="003500D2" w:rsidRPr="00F91AFC">
        <w:rPr>
          <w:rFonts w:eastAsia="MS Mincho"/>
        </w:rPr>
        <w:t xml:space="preserve">Hemp </w:t>
      </w:r>
      <w:r w:rsidR="009C447F" w:rsidRPr="00F91AFC">
        <w:rPr>
          <w:rFonts w:eastAsia="MS Mincho"/>
        </w:rPr>
        <w:t xml:space="preserve">and flax </w:t>
      </w:r>
      <w:r w:rsidR="00AC77B5" w:rsidRPr="00F91AFC">
        <w:rPr>
          <w:rFonts w:eastAsia="MS Mincho"/>
        </w:rPr>
        <w:t xml:space="preserve">were </w:t>
      </w:r>
      <w:r w:rsidR="003500D2" w:rsidRPr="00F91AFC">
        <w:rPr>
          <w:rFonts w:eastAsia="MS Mincho"/>
        </w:rPr>
        <w:t>used to make rope and canvas</w:t>
      </w:r>
      <w:r w:rsidR="00AC77B5" w:rsidRPr="00F91AFC">
        <w:rPr>
          <w:rFonts w:eastAsia="MS Mincho"/>
        </w:rPr>
        <w:t xml:space="preserve"> for ships</w:t>
      </w:r>
      <w:r w:rsidR="00EF6804" w:rsidRPr="00F91AFC">
        <w:rPr>
          <w:rFonts w:eastAsia="MS Mincho"/>
        </w:rPr>
        <w:t>. In the 1790s, Britain imported over 95</w:t>
      </w:r>
      <w:r w:rsidR="00C6260E">
        <w:rPr>
          <w:rFonts w:eastAsia="MS Mincho"/>
        </w:rPr>
        <w:t xml:space="preserve"> per cent</w:t>
      </w:r>
      <w:r w:rsidR="00EF6804" w:rsidRPr="00F91AFC">
        <w:rPr>
          <w:rFonts w:eastAsia="MS Mincho"/>
        </w:rPr>
        <w:t xml:space="preserve"> of its hemp from Russia, </w:t>
      </w:r>
      <w:r w:rsidR="008E7B44" w:rsidRPr="00F91AFC">
        <w:rPr>
          <w:rFonts w:eastAsia="MS Mincho"/>
        </w:rPr>
        <w:t>but access to the resource was precarious.</w:t>
      </w:r>
      <w:r w:rsidRPr="00F91AFC">
        <w:rPr>
          <w:rStyle w:val="FootnoteReference"/>
          <w:rFonts w:eastAsia="MS Mincho"/>
        </w:rPr>
        <w:footnoteReference w:id="29"/>
      </w:r>
      <w:r w:rsidR="00852D8E" w:rsidRPr="00F91AFC">
        <w:rPr>
          <w:rFonts w:eastAsia="MS Mincho"/>
        </w:rPr>
        <w:t xml:space="preserve"> </w:t>
      </w:r>
      <w:r w:rsidR="00AC77B5" w:rsidRPr="00F91AFC">
        <w:rPr>
          <w:rFonts w:eastAsia="MS Mincho"/>
        </w:rPr>
        <w:t xml:space="preserve">Norfolk Island had large flax plants which, Captain </w:t>
      </w:r>
      <w:r w:rsidR="00832205" w:rsidRPr="00F91AFC">
        <w:rPr>
          <w:rFonts w:eastAsia="MS Mincho"/>
        </w:rPr>
        <w:t>P</w:t>
      </w:r>
      <w:r w:rsidR="00AC77B5" w:rsidRPr="00F91AFC">
        <w:rPr>
          <w:rFonts w:eastAsia="MS Mincho"/>
        </w:rPr>
        <w:t xml:space="preserve">hillip </w:t>
      </w:r>
      <w:r w:rsidR="00832205" w:rsidRPr="00F91AFC">
        <w:rPr>
          <w:rFonts w:eastAsia="MS Mincho"/>
        </w:rPr>
        <w:t>reported to the Colonial Office</w:t>
      </w:r>
      <w:r w:rsidR="00AC77B5" w:rsidRPr="00F91AFC">
        <w:rPr>
          <w:rFonts w:eastAsia="MS Mincho"/>
        </w:rPr>
        <w:t xml:space="preserve">, </w:t>
      </w:r>
      <w:r w:rsidR="0020496E" w:rsidRPr="00F91AFC">
        <w:rPr>
          <w:rFonts w:eastAsia="MS Mincho"/>
        </w:rPr>
        <w:t>could be cultivated by</w:t>
      </w:r>
      <w:r w:rsidR="00AC77B5" w:rsidRPr="00F91AFC">
        <w:rPr>
          <w:rFonts w:eastAsia="MS Mincho"/>
        </w:rPr>
        <w:t xml:space="preserve"> convicts</w:t>
      </w:r>
      <w:r w:rsidR="0020496E" w:rsidRPr="00F91AFC">
        <w:rPr>
          <w:rFonts w:eastAsia="MS Mincho"/>
        </w:rPr>
        <w:t xml:space="preserve"> who were, after all, on a</w:t>
      </w:r>
      <w:r w:rsidR="00832205" w:rsidRPr="00F91AFC">
        <w:rPr>
          <w:rFonts w:eastAsia="MS Mincho"/>
        </w:rPr>
        <w:t xml:space="preserve"> remote island from which they would ‘very seldom be able to escape’.</w:t>
      </w:r>
      <w:r w:rsidR="007A1E39" w:rsidRPr="00F91AFC">
        <w:rPr>
          <w:rStyle w:val="FootnoteReference"/>
          <w:rFonts w:eastAsia="MS Mincho"/>
        </w:rPr>
        <w:footnoteReference w:id="30"/>
      </w:r>
      <w:r w:rsidR="00827CBA" w:rsidRPr="00F91AFC">
        <w:rPr>
          <w:rFonts w:eastAsia="MS Mincho"/>
        </w:rPr>
        <w:t xml:space="preserve"> </w:t>
      </w:r>
    </w:p>
    <w:p w14:paraId="6AD5E91F" w14:textId="77777777" w:rsidR="00C6260E" w:rsidRDefault="00C6260E" w:rsidP="00C6260E">
      <w:pPr>
        <w:spacing w:line="276" w:lineRule="auto"/>
      </w:pPr>
    </w:p>
    <w:p w14:paraId="37EED024" w14:textId="5D370C0D" w:rsidR="003502D8" w:rsidRDefault="002C79A1" w:rsidP="00C6260E">
      <w:pPr>
        <w:spacing w:line="276" w:lineRule="auto"/>
        <w:rPr>
          <w:rFonts w:eastAsia="MS Mincho"/>
        </w:rPr>
      </w:pPr>
      <w:r w:rsidRPr="00F91AFC">
        <w:t xml:space="preserve">The </w:t>
      </w:r>
      <w:r w:rsidRPr="00F91AFC">
        <w:rPr>
          <w:i/>
          <w:iCs/>
        </w:rPr>
        <w:t>Supply</w:t>
      </w:r>
      <w:r w:rsidRPr="00F91AFC">
        <w:t xml:space="preserve"> sailed from Port Jackson on 15 February 1788, carrying </w:t>
      </w:r>
      <w:r w:rsidR="0020496E" w:rsidRPr="00F91AFC">
        <w:t>twenty-three</w:t>
      </w:r>
      <w:r w:rsidRPr="00F91AFC">
        <w:t xml:space="preserve"> people </w:t>
      </w:r>
      <w:r w:rsidR="00832205" w:rsidRPr="00F91AFC">
        <w:t xml:space="preserve">(including </w:t>
      </w:r>
      <w:r w:rsidR="0020496E" w:rsidRPr="00F91AFC">
        <w:t>nine</w:t>
      </w:r>
      <w:r w:rsidRPr="00F91AFC">
        <w:t xml:space="preserve"> male and </w:t>
      </w:r>
      <w:r w:rsidR="0020496E" w:rsidRPr="00F91AFC">
        <w:t>six</w:t>
      </w:r>
      <w:r w:rsidRPr="00F91AFC">
        <w:t xml:space="preserve"> female convicts</w:t>
      </w:r>
      <w:r w:rsidR="00832205" w:rsidRPr="00F91AFC">
        <w:t>)</w:t>
      </w:r>
      <w:r w:rsidRPr="00F91AFC">
        <w:t xml:space="preserve"> </w:t>
      </w:r>
      <w:r w:rsidR="00CC5174" w:rsidRPr="00F91AFC">
        <w:rPr>
          <w:rFonts w:eastAsia="MS Mincho"/>
        </w:rPr>
        <w:t>to</w:t>
      </w:r>
      <w:r w:rsidRPr="00F91AFC">
        <w:rPr>
          <w:rFonts w:eastAsia="MS Mincho"/>
        </w:rPr>
        <w:t xml:space="preserve"> coloni</w:t>
      </w:r>
      <w:r w:rsidR="005D098F">
        <w:rPr>
          <w:rFonts w:eastAsia="MS Mincho"/>
        </w:rPr>
        <w:t>z</w:t>
      </w:r>
      <w:r w:rsidRPr="00F91AFC">
        <w:rPr>
          <w:rFonts w:eastAsia="MS Mincho"/>
        </w:rPr>
        <w:t>e</w:t>
      </w:r>
      <w:r w:rsidR="000A2E0F" w:rsidRPr="00F91AFC">
        <w:rPr>
          <w:rFonts w:eastAsia="MS Mincho"/>
        </w:rPr>
        <w:t xml:space="preserve"> Norfolk </w:t>
      </w:r>
      <w:r w:rsidR="005D098F">
        <w:rPr>
          <w:rFonts w:eastAsia="MS Mincho"/>
        </w:rPr>
        <w:t>I</w:t>
      </w:r>
      <w:r w:rsidR="000A2E0F" w:rsidRPr="00F91AFC">
        <w:rPr>
          <w:rFonts w:eastAsia="MS Mincho"/>
        </w:rPr>
        <w:t>sland.</w:t>
      </w:r>
      <w:r w:rsidR="000A2E0F" w:rsidRPr="00F91AFC">
        <w:rPr>
          <w:rFonts w:eastAsia="MS Mincho"/>
          <w:vertAlign w:val="superscript"/>
        </w:rPr>
        <w:footnoteReference w:id="31"/>
      </w:r>
      <w:r w:rsidR="000A2E0F" w:rsidRPr="00F91AFC">
        <w:rPr>
          <w:rFonts w:eastAsia="MS Mincho"/>
        </w:rPr>
        <w:t xml:space="preserve"> </w:t>
      </w:r>
      <w:r w:rsidR="0020496E" w:rsidRPr="00F91AFC">
        <w:rPr>
          <w:rFonts w:eastAsia="MS Mincho"/>
        </w:rPr>
        <w:t>Male convicts</w:t>
      </w:r>
      <w:r w:rsidR="000A2E0F" w:rsidRPr="00F91AFC">
        <w:rPr>
          <w:rFonts w:eastAsia="MS Mincho"/>
        </w:rPr>
        <w:t xml:space="preserve"> performed the manual labour of cutting timber and clearing land that, in Captain Phillip’s words, ‘render’d the island a resource’.</w:t>
      </w:r>
      <w:r w:rsidR="000A2E0F" w:rsidRPr="00F91AFC">
        <w:rPr>
          <w:rStyle w:val="FootnoteReference"/>
        </w:rPr>
        <w:footnoteReference w:id="32"/>
      </w:r>
      <w:r w:rsidR="000A2E0F" w:rsidRPr="00F91AFC">
        <w:rPr>
          <w:rFonts w:eastAsia="MS Mincho"/>
        </w:rPr>
        <w:t xml:space="preserve"> </w:t>
      </w:r>
      <w:r w:rsidR="000A2E0F" w:rsidRPr="00F91AFC">
        <w:t xml:space="preserve">As more convicts were shipped from Sydney to the island, Commander Ross encouraged men and women to </w:t>
      </w:r>
      <w:r w:rsidR="000A2E0F" w:rsidRPr="00F91AFC">
        <w:lastRenderedPageBreak/>
        <w:t>live in family units and farm their own plots.</w:t>
      </w:r>
      <w:r w:rsidR="000A2E0F" w:rsidRPr="00F91AFC">
        <w:rPr>
          <w:rStyle w:val="FootnoteReference"/>
        </w:rPr>
        <w:footnoteReference w:id="33"/>
      </w:r>
      <w:r w:rsidR="000A2E0F" w:rsidRPr="00F91AFC">
        <w:t xml:space="preserve"> By 1791, the population had grown to </w:t>
      </w:r>
      <w:r w:rsidR="00747855" w:rsidRPr="00F91AFC">
        <w:t>472</w:t>
      </w:r>
      <w:r w:rsidR="000A2E0F" w:rsidRPr="00F91AFC">
        <w:t xml:space="preserve"> adults and 62 children, with a fairly even gender divide</w:t>
      </w:r>
      <w:r w:rsidR="000A2E0F" w:rsidRPr="00F91AFC">
        <w:rPr>
          <w:rFonts w:eastAsia="MS Mincho"/>
        </w:rPr>
        <w:t>.</w:t>
      </w:r>
      <w:r w:rsidR="000A2E0F" w:rsidRPr="00F91AFC">
        <w:rPr>
          <w:rStyle w:val="FootnoteReference"/>
          <w:rFonts w:eastAsia="MS Mincho"/>
        </w:rPr>
        <w:footnoteReference w:id="34"/>
      </w:r>
      <w:r w:rsidR="000A2E0F" w:rsidRPr="00F91AFC">
        <w:rPr>
          <w:rFonts w:eastAsia="MS Mincho"/>
        </w:rPr>
        <w:t xml:space="preserve"> </w:t>
      </w:r>
      <w:r w:rsidR="00774014" w:rsidRPr="00F91AFC">
        <w:rPr>
          <w:rFonts w:eastAsia="MS Mincho"/>
        </w:rPr>
        <w:t>The island lacked an accessible landing place</w:t>
      </w:r>
      <w:r w:rsidR="00C073C3" w:rsidRPr="00F91AFC">
        <w:rPr>
          <w:rFonts w:eastAsia="MS Mincho"/>
        </w:rPr>
        <w:t xml:space="preserve"> which, according to Governor Phillip, was the one feature that prevented ‘the island [from] being</w:t>
      </w:r>
      <w:r w:rsidR="00C6260E">
        <w:rPr>
          <w:rFonts w:eastAsia="MS Mincho"/>
        </w:rPr>
        <w:t xml:space="preserve"> </w:t>
      </w:r>
      <w:r w:rsidR="00C073C3" w:rsidRPr="00F91AFC">
        <w:rPr>
          <w:rFonts w:eastAsia="MS Mincho"/>
        </w:rPr>
        <w:t>… one of the finest in the world’.</w:t>
      </w:r>
      <w:r w:rsidR="00C073C3" w:rsidRPr="00F91AFC">
        <w:rPr>
          <w:rStyle w:val="FootnoteReference"/>
          <w:rFonts w:eastAsia="MS Mincho"/>
        </w:rPr>
        <w:footnoteReference w:id="35"/>
      </w:r>
      <w:r w:rsidR="00AC1BF2" w:rsidRPr="00F91AFC">
        <w:rPr>
          <w:rFonts w:eastAsia="MS Mincho"/>
        </w:rPr>
        <w:t xml:space="preserve"> </w:t>
      </w:r>
      <w:r w:rsidR="00774014" w:rsidRPr="00F91AFC">
        <w:rPr>
          <w:rFonts w:eastAsia="MS Mincho"/>
        </w:rPr>
        <w:t xml:space="preserve">The wreck of the supply ship </w:t>
      </w:r>
      <w:r w:rsidR="00774014" w:rsidRPr="00F91AFC">
        <w:rPr>
          <w:rFonts w:eastAsia="MS Mincho"/>
          <w:i/>
          <w:iCs/>
        </w:rPr>
        <w:t>Sirius</w:t>
      </w:r>
      <w:r w:rsidR="00774014" w:rsidRPr="00F91AFC">
        <w:rPr>
          <w:rFonts w:eastAsia="MS Mincho"/>
        </w:rPr>
        <w:t xml:space="preserve"> in 1790 brought </w:t>
      </w:r>
      <w:r w:rsidR="00AC1BF2" w:rsidRPr="00F91AFC">
        <w:rPr>
          <w:rFonts w:eastAsia="MS Mincho"/>
        </w:rPr>
        <w:t>the island to the brink of</w:t>
      </w:r>
      <w:r w:rsidR="00774014" w:rsidRPr="00F91AFC">
        <w:rPr>
          <w:rFonts w:eastAsia="MS Mincho"/>
        </w:rPr>
        <w:t xml:space="preserve"> starvation. </w:t>
      </w:r>
      <w:r w:rsidR="00C073C3" w:rsidRPr="00F91AFC">
        <w:rPr>
          <w:rFonts w:eastAsia="MS Mincho"/>
        </w:rPr>
        <w:t>T</w:t>
      </w:r>
      <w:r w:rsidR="00774014" w:rsidRPr="00F91AFC">
        <w:rPr>
          <w:rFonts w:eastAsia="MS Mincho"/>
        </w:rPr>
        <w:t xml:space="preserve">he settlement </w:t>
      </w:r>
      <w:r w:rsidR="0020496E" w:rsidRPr="00F91AFC">
        <w:rPr>
          <w:rFonts w:eastAsia="MS Mincho"/>
        </w:rPr>
        <w:t>failed</w:t>
      </w:r>
      <w:r w:rsidR="00774014" w:rsidRPr="00F91AFC">
        <w:rPr>
          <w:rFonts w:eastAsia="MS Mincho"/>
        </w:rPr>
        <w:t xml:space="preserve"> to sustain itself</w:t>
      </w:r>
      <w:r w:rsidR="00C073C3" w:rsidRPr="00F91AFC">
        <w:rPr>
          <w:rFonts w:eastAsia="MS Mincho"/>
        </w:rPr>
        <w:t xml:space="preserve"> through farming, becoming a drain on New South Wales resources. </w:t>
      </w:r>
      <w:r w:rsidR="00EB45A6" w:rsidRPr="00F91AFC">
        <w:rPr>
          <w:rFonts w:eastAsia="MS Mincho"/>
        </w:rPr>
        <w:t>D</w:t>
      </w:r>
      <w:r w:rsidR="006956C2" w:rsidRPr="00F91AFC">
        <w:rPr>
          <w:rFonts w:eastAsia="MS Mincho"/>
        </w:rPr>
        <w:t xml:space="preserve">espite </w:t>
      </w:r>
      <w:r w:rsidR="007169A7" w:rsidRPr="00F91AFC">
        <w:rPr>
          <w:rFonts w:eastAsia="MS Mincho"/>
        </w:rPr>
        <w:t>their initially</w:t>
      </w:r>
      <w:r w:rsidR="006956C2" w:rsidRPr="00F91AFC">
        <w:rPr>
          <w:rFonts w:eastAsia="MS Mincho"/>
        </w:rPr>
        <w:t xml:space="preserve"> promising appearance, </w:t>
      </w:r>
      <w:r w:rsidR="007169A7" w:rsidRPr="00F91AFC">
        <w:rPr>
          <w:rFonts w:eastAsia="MS Mincho"/>
        </w:rPr>
        <w:t xml:space="preserve">the island’s </w:t>
      </w:r>
      <w:r w:rsidR="00196648" w:rsidRPr="00F91AFC">
        <w:rPr>
          <w:rFonts w:eastAsia="MS Mincho"/>
        </w:rPr>
        <w:t xml:space="preserve">naval supplies </w:t>
      </w:r>
      <w:r w:rsidR="00832205" w:rsidRPr="00F91AFC">
        <w:rPr>
          <w:rFonts w:eastAsia="MS Mincho"/>
        </w:rPr>
        <w:t>proved to be</w:t>
      </w:r>
      <w:r w:rsidR="009C447F" w:rsidRPr="00F91AFC">
        <w:rPr>
          <w:rFonts w:eastAsia="MS Mincho"/>
        </w:rPr>
        <w:t xml:space="preserve"> </w:t>
      </w:r>
      <w:r w:rsidR="00196648" w:rsidRPr="00F91AFC">
        <w:rPr>
          <w:rFonts w:eastAsia="MS Mincho"/>
        </w:rPr>
        <w:t>of inferior quality.</w:t>
      </w:r>
      <w:r w:rsidR="00172099" w:rsidRPr="00F91AFC">
        <w:rPr>
          <w:rStyle w:val="FootnoteReference"/>
          <w:rFonts w:eastAsia="MS Mincho"/>
        </w:rPr>
        <w:t xml:space="preserve"> </w:t>
      </w:r>
      <w:r w:rsidR="00DD07F1" w:rsidRPr="00F91AFC">
        <w:rPr>
          <w:rFonts w:eastAsia="MS Mincho"/>
        </w:rPr>
        <w:t xml:space="preserve">The tall </w:t>
      </w:r>
      <w:r w:rsidR="009C447F" w:rsidRPr="00F91AFC">
        <w:rPr>
          <w:rFonts w:eastAsia="MS Mincho"/>
        </w:rPr>
        <w:t>p</w:t>
      </w:r>
      <w:r w:rsidR="00DD07F1" w:rsidRPr="00F91AFC">
        <w:rPr>
          <w:rFonts w:eastAsia="MS Mincho"/>
        </w:rPr>
        <w:t>ine</w:t>
      </w:r>
      <w:r w:rsidR="009C447F" w:rsidRPr="00F91AFC">
        <w:rPr>
          <w:rFonts w:eastAsia="MS Mincho"/>
        </w:rPr>
        <w:t>s</w:t>
      </w:r>
      <w:r w:rsidR="00DD07F1" w:rsidRPr="00F91AFC">
        <w:rPr>
          <w:rFonts w:eastAsia="MS Mincho"/>
        </w:rPr>
        <w:t xml:space="preserve"> </w:t>
      </w:r>
      <w:r w:rsidR="009C447F" w:rsidRPr="00F91AFC">
        <w:rPr>
          <w:rFonts w:eastAsia="MS Mincho"/>
        </w:rPr>
        <w:t xml:space="preserve">were </w:t>
      </w:r>
      <w:r w:rsidR="00DD07F1" w:rsidRPr="00F91AFC">
        <w:rPr>
          <w:rFonts w:eastAsia="MS Mincho"/>
        </w:rPr>
        <w:t>hard and knotty at the top</w:t>
      </w:r>
      <w:r w:rsidR="0020496E" w:rsidRPr="00F91AFC">
        <w:rPr>
          <w:rFonts w:eastAsia="MS Mincho"/>
        </w:rPr>
        <w:t xml:space="preserve">, so were </w:t>
      </w:r>
      <w:r w:rsidR="009C447F" w:rsidRPr="00F91AFC">
        <w:rPr>
          <w:rFonts w:eastAsia="MS Mincho"/>
        </w:rPr>
        <w:t>too short to serve as masts in large vessels</w:t>
      </w:r>
      <w:r w:rsidR="00DD07F1" w:rsidRPr="00F91AFC">
        <w:rPr>
          <w:rFonts w:eastAsia="MS Mincho"/>
        </w:rPr>
        <w:t>.</w:t>
      </w:r>
      <w:r w:rsidR="00DD07F1" w:rsidRPr="00F91AFC">
        <w:rPr>
          <w:rStyle w:val="FootnoteReference"/>
          <w:rFonts w:eastAsia="MS Mincho"/>
        </w:rPr>
        <w:footnoteReference w:id="36"/>
      </w:r>
      <w:r w:rsidR="00DD07F1" w:rsidRPr="00F91AFC">
        <w:rPr>
          <w:rFonts w:eastAsia="MS Mincho"/>
        </w:rPr>
        <w:t xml:space="preserve"> It was also </w:t>
      </w:r>
      <w:r w:rsidR="00196648" w:rsidRPr="00F91AFC">
        <w:rPr>
          <w:rFonts w:eastAsia="MS Mincho"/>
        </w:rPr>
        <w:t xml:space="preserve">difficult to separate </w:t>
      </w:r>
      <w:r w:rsidR="0020496E" w:rsidRPr="00F91AFC">
        <w:rPr>
          <w:rFonts w:eastAsia="MS Mincho"/>
        </w:rPr>
        <w:t xml:space="preserve">flax </w:t>
      </w:r>
      <w:r w:rsidR="008135E3">
        <w:rPr>
          <w:rFonts w:eastAsia="MS Mincho"/>
        </w:rPr>
        <w:t>from</w:t>
      </w:r>
      <w:r w:rsidR="008135E3" w:rsidRPr="00F91AFC">
        <w:rPr>
          <w:rFonts w:eastAsia="MS Mincho"/>
        </w:rPr>
        <w:t xml:space="preserve"> </w:t>
      </w:r>
      <w:r w:rsidR="0020496E" w:rsidRPr="00F91AFC">
        <w:rPr>
          <w:rFonts w:eastAsia="MS Mincho"/>
        </w:rPr>
        <w:t>the ‘woody parts’</w:t>
      </w:r>
      <w:r w:rsidR="00196648" w:rsidRPr="00F91AFC">
        <w:rPr>
          <w:rFonts w:eastAsia="MS Mincho"/>
        </w:rPr>
        <w:t xml:space="preserve"> to make rigging</w:t>
      </w:r>
      <w:r w:rsidR="00DD07F1" w:rsidRPr="00F91AFC">
        <w:rPr>
          <w:rFonts w:eastAsia="MS Mincho"/>
        </w:rPr>
        <w:t xml:space="preserve"> in large quantities</w:t>
      </w:r>
      <w:r w:rsidR="00196648" w:rsidRPr="00F91AFC">
        <w:rPr>
          <w:rFonts w:eastAsia="MS Mincho"/>
        </w:rPr>
        <w:t>.</w:t>
      </w:r>
      <w:r w:rsidR="00196648" w:rsidRPr="00F91AFC">
        <w:rPr>
          <w:rStyle w:val="FootnoteReference"/>
          <w:rFonts w:eastAsia="MS Mincho"/>
        </w:rPr>
        <w:footnoteReference w:id="37"/>
      </w:r>
      <w:r w:rsidR="00F709AD" w:rsidRPr="00F91AFC">
        <w:rPr>
          <w:rFonts w:eastAsia="MS Mincho"/>
        </w:rPr>
        <w:t xml:space="preserve"> </w:t>
      </w:r>
      <w:r w:rsidR="00DD554A" w:rsidRPr="00F91AFC">
        <w:rPr>
          <w:rFonts w:eastAsia="MS Mincho"/>
        </w:rPr>
        <w:t>The size of the establishment was slowly reduced from 1805, until its</w:t>
      </w:r>
      <w:r w:rsidR="00CC5174" w:rsidRPr="00F91AFC">
        <w:rPr>
          <w:rFonts w:eastAsia="MS Mincho"/>
        </w:rPr>
        <w:t xml:space="preserve"> </w:t>
      </w:r>
      <w:r w:rsidR="00DD554A" w:rsidRPr="00F91AFC">
        <w:rPr>
          <w:rFonts w:eastAsia="MS Mincho"/>
        </w:rPr>
        <w:t>eventual abandonment</w:t>
      </w:r>
      <w:r w:rsidR="00F709AD" w:rsidRPr="00F91AFC">
        <w:rPr>
          <w:rFonts w:eastAsia="MS Mincho"/>
        </w:rPr>
        <w:t xml:space="preserve"> in 181</w:t>
      </w:r>
      <w:r w:rsidR="00CC5174" w:rsidRPr="00F91AFC">
        <w:rPr>
          <w:rFonts w:eastAsia="MS Mincho"/>
        </w:rPr>
        <w:t>5</w:t>
      </w:r>
      <w:r w:rsidR="00DD554A" w:rsidRPr="00F91AFC">
        <w:rPr>
          <w:rFonts w:eastAsia="MS Mincho"/>
        </w:rPr>
        <w:t>. By this time,</w:t>
      </w:r>
      <w:r w:rsidR="00F709AD" w:rsidRPr="00F91AFC">
        <w:rPr>
          <w:rFonts w:eastAsia="MS Mincho"/>
        </w:rPr>
        <w:t xml:space="preserve"> the island had</w:t>
      </w:r>
      <w:r w:rsidR="00AC24ED" w:rsidRPr="00F91AFC">
        <w:rPr>
          <w:rFonts w:eastAsia="MS Mincho"/>
        </w:rPr>
        <w:t xml:space="preserve"> also</w:t>
      </w:r>
      <w:r w:rsidR="00F709AD" w:rsidRPr="00F91AFC">
        <w:rPr>
          <w:rFonts w:eastAsia="MS Mincho"/>
        </w:rPr>
        <w:t xml:space="preserve"> lost its strategic value. </w:t>
      </w:r>
      <w:r w:rsidR="00B44148" w:rsidRPr="00F91AFC">
        <w:rPr>
          <w:rFonts w:eastAsia="MS Mincho"/>
        </w:rPr>
        <w:t xml:space="preserve">The cessation of hostilities after the </w:t>
      </w:r>
      <w:r w:rsidR="00312ECD" w:rsidRPr="00F91AFC">
        <w:rPr>
          <w:rFonts w:eastAsia="MS Mincho"/>
        </w:rPr>
        <w:t>Napoleonic wars meant ‘sovereign treaties, free seas and emerging mantra of free trade</w:t>
      </w:r>
      <w:r w:rsidR="00256955" w:rsidRPr="00F91AFC">
        <w:rPr>
          <w:rFonts w:eastAsia="MS Mincho"/>
        </w:rPr>
        <w:t xml:space="preserve">’ became </w:t>
      </w:r>
      <w:r w:rsidR="00AC24ED" w:rsidRPr="00F91AFC">
        <w:rPr>
          <w:rFonts w:eastAsia="MS Mincho"/>
        </w:rPr>
        <w:t>dominant</w:t>
      </w:r>
      <w:r w:rsidR="00256955" w:rsidRPr="00F91AFC">
        <w:rPr>
          <w:rFonts w:eastAsia="MS Mincho"/>
        </w:rPr>
        <w:t xml:space="preserve"> ideologies</w:t>
      </w:r>
      <w:r w:rsidR="001E0BCF" w:rsidRPr="00F91AFC">
        <w:rPr>
          <w:rFonts w:eastAsia="MS Mincho"/>
        </w:rPr>
        <w:t xml:space="preserve"> </w:t>
      </w:r>
      <w:r w:rsidR="00AC24ED" w:rsidRPr="00F91AFC">
        <w:rPr>
          <w:rFonts w:eastAsia="MS Mincho"/>
        </w:rPr>
        <w:t>for European powers</w:t>
      </w:r>
      <w:r w:rsidR="00256955" w:rsidRPr="00F91AFC">
        <w:rPr>
          <w:rFonts w:eastAsia="MS Mincho"/>
        </w:rPr>
        <w:t xml:space="preserve"> in the Pacific for the most of the nineteenth century</w:t>
      </w:r>
      <w:r w:rsidR="00312ECD" w:rsidRPr="00F91AFC">
        <w:rPr>
          <w:rFonts w:eastAsia="MS Mincho"/>
        </w:rPr>
        <w:t>.</w:t>
      </w:r>
      <w:r w:rsidR="00312ECD" w:rsidRPr="00F91AFC">
        <w:rPr>
          <w:rStyle w:val="FootnoteReference"/>
          <w:rFonts w:eastAsia="MS Mincho"/>
        </w:rPr>
        <w:footnoteReference w:id="38"/>
      </w:r>
      <w:r w:rsidR="00312ECD" w:rsidRPr="00F91AFC">
        <w:rPr>
          <w:rFonts w:eastAsia="MS Mincho"/>
        </w:rPr>
        <w:t xml:space="preserve"> </w:t>
      </w:r>
      <w:r w:rsidR="00B44148" w:rsidRPr="00F91AFC">
        <w:rPr>
          <w:rFonts w:eastAsia="MS Mincho"/>
        </w:rPr>
        <w:t>This long peace was made possible</w:t>
      </w:r>
      <w:r w:rsidR="00CC314B" w:rsidRPr="00F91AFC">
        <w:rPr>
          <w:rFonts w:eastAsia="MS Mincho"/>
        </w:rPr>
        <w:t xml:space="preserve">, in large part, by their </w:t>
      </w:r>
      <w:r w:rsidR="00AC24ED" w:rsidRPr="00F91AFC">
        <w:rPr>
          <w:rFonts w:eastAsia="MS Mincho"/>
        </w:rPr>
        <w:t>collective</w:t>
      </w:r>
      <w:r w:rsidR="001E0BCF" w:rsidRPr="00F91AFC">
        <w:rPr>
          <w:rFonts w:eastAsia="MS Mincho"/>
        </w:rPr>
        <w:t xml:space="preserve"> </w:t>
      </w:r>
      <w:r w:rsidR="00B44148" w:rsidRPr="00F91AFC">
        <w:rPr>
          <w:rFonts w:eastAsia="MS Mincho"/>
        </w:rPr>
        <w:t xml:space="preserve">denial of Indigenous </w:t>
      </w:r>
      <w:r w:rsidR="00C73D3A" w:rsidRPr="00F91AFC">
        <w:rPr>
          <w:rFonts w:eastAsia="MS Mincho"/>
        </w:rPr>
        <w:t>sovereignty</w:t>
      </w:r>
      <w:r w:rsidR="00B44148" w:rsidRPr="00F91AFC">
        <w:rPr>
          <w:rFonts w:eastAsia="MS Mincho"/>
        </w:rPr>
        <w:t xml:space="preserve"> in the Pacific aren</w:t>
      </w:r>
      <w:r w:rsidR="00832205" w:rsidRPr="00F91AFC">
        <w:rPr>
          <w:rFonts w:eastAsia="MS Mincho"/>
        </w:rPr>
        <w:t>a.</w:t>
      </w:r>
    </w:p>
    <w:p w14:paraId="1C10E1D4" w14:textId="77777777" w:rsidR="00C6260E" w:rsidRPr="00F91AFC" w:rsidRDefault="00C6260E" w:rsidP="00C6260E">
      <w:pPr>
        <w:spacing w:line="276" w:lineRule="auto"/>
        <w:rPr>
          <w:rFonts w:eastAsia="MS Mincho"/>
        </w:rPr>
      </w:pPr>
    </w:p>
    <w:p w14:paraId="4ED399E4" w14:textId="0198E541" w:rsidR="00AD1C5E" w:rsidRDefault="004D456E" w:rsidP="00AD1C5E">
      <w:pPr>
        <w:spacing w:line="276" w:lineRule="auto"/>
        <w:ind w:right="120"/>
        <w:rPr>
          <w:rFonts w:eastAsia="MS Mincho"/>
        </w:rPr>
      </w:pPr>
      <w:r w:rsidRPr="00F91AFC">
        <w:rPr>
          <w:rFonts w:eastAsia="MS Mincho"/>
        </w:rPr>
        <w:t xml:space="preserve">This was the case for Tiwi Islanders </w:t>
      </w:r>
      <w:r w:rsidR="0020496E" w:rsidRPr="00F91AFC">
        <w:rPr>
          <w:rFonts w:eastAsia="MS Mincho"/>
        </w:rPr>
        <w:t xml:space="preserve">on </w:t>
      </w:r>
      <w:r w:rsidR="00C016FE" w:rsidRPr="00F91AFC">
        <w:rPr>
          <w:rFonts w:eastAsia="MS Mincho"/>
        </w:rPr>
        <w:t xml:space="preserve">Melville </w:t>
      </w:r>
      <w:r w:rsidRPr="00F91AFC">
        <w:rPr>
          <w:rFonts w:eastAsia="MS Mincho"/>
        </w:rPr>
        <w:t>Island</w:t>
      </w:r>
      <w:r w:rsidR="0020496E" w:rsidRPr="00F91AFC">
        <w:rPr>
          <w:rFonts w:eastAsia="MS Mincho"/>
        </w:rPr>
        <w:t xml:space="preserve"> (Yermalnear)</w:t>
      </w:r>
      <w:r w:rsidR="00C016FE" w:rsidRPr="00F91AFC">
        <w:rPr>
          <w:rFonts w:eastAsia="MS Mincho"/>
        </w:rPr>
        <w:t xml:space="preserve"> </w:t>
      </w:r>
      <w:r w:rsidR="0020496E" w:rsidRPr="00F91AFC">
        <w:rPr>
          <w:rFonts w:eastAsia="MS Mincho"/>
        </w:rPr>
        <w:t xml:space="preserve">when it </w:t>
      </w:r>
      <w:r w:rsidR="00C016FE" w:rsidRPr="00F91AFC">
        <w:rPr>
          <w:rFonts w:eastAsia="MS Mincho"/>
        </w:rPr>
        <w:t xml:space="preserve">was </w:t>
      </w:r>
      <w:r w:rsidRPr="00F91AFC">
        <w:rPr>
          <w:rFonts w:eastAsia="MS Mincho"/>
        </w:rPr>
        <w:t>occupied</w:t>
      </w:r>
      <w:r w:rsidR="00700B8C" w:rsidRPr="00F91AFC">
        <w:rPr>
          <w:rFonts w:eastAsia="MS Mincho"/>
        </w:rPr>
        <w:t xml:space="preserve"> </w:t>
      </w:r>
      <w:r w:rsidR="003943A0" w:rsidRPr="00F91AFC">
        <w:rPr>
          <w:rFonts w:eastAsia="MS Mincho"/>
        </w:rPr>
        <w:t xml:space="preserve">as </w:t>
      </w:r>
      <w:r w:rsidR="00C016FE" w:rsidRPr="00F91AFC">
        <w:rPr>
          <w:rFonts w:eastAsia="MS Mincho"/>
        </w:rPr>
        <w:t>a</w:t>
      </w:r>
      <w:r w:rsidR="0020496E" w:rsidRPr="00F91AFC">
        <w:rPr>
          <w:rFonts w:eastAsia="MS Mincho"/>
        </w:rPr>
        <w:t xml:space="preserve"> British</w:t>
      </w:r>
      <w:r w:rsidR="00C016FE" w:rsidRPr="00F91AFC">
        <w:rPr>
          <w:rFonts w:eastAsia="MS Mincho"/>
        </w:rPr>
        <w:t xml:space="preserve"> </w:t>
      </w:r>
      <w:r w:rsidR="008A008A" w:rsidRPr="00F91AFC">
        <w:rPr>
          <w:rFonts w:eastAsia="MS Mincho"/>
        </w:rPr>
        <w:t xml:space="preserve">trading outpost for </w:t>
      </w:r>
      <w:r w:rsidR="00FE4431" w:rsidRPr="00C6260E">
        <w:rPr>
          <w:rFonts w:eastAsia="MS Mincho"/>
          <w:iCs/>
        </w:rPr>
        <w:t>trepang</w:t>
      </w:r>
      <w:r w:rsidR="008A008A" w:rsidRPr="00F91AFC">
        <w:rPr>
          <w:rFonts w:eastAsia="MS Mincho"/>
        </w:rPr>
        <w:t xml:space="preserve"> </w:t>
      </w:r>
      <w:r w:rsidR="009975AB" w:rsidRPr="00F91AFC">
        <w:rPr>
          <w:rFonts w:eastAsia="MS Mincho"/>
        </w:rPr>
        <w:t>(sea</w:t>
      </w:r>
      <w:r w:rsidR="00845077" w:rsidRPr="00F91AFC">
        <w:rPr>
          <w:rFonts w:eastAsia="MS Mincho"/>
        </w:rPr>
        <w:t>-cucumber</w:t>
      </w:r>
      <w:r w:rsidR="009975AB" w:rsidRPr="00F91AFC">
        <w:rPr>
          <w:rFonts w:eastAsia="MS Mincho"/>
        </w:rPr>
        <w:t>)</w:t>
      </w:r>
      <w:r w:rsidRPr="00F91AFC">
        <w:rPr>
          <w:rFonts w:eastAsia="MS Mincho"/>
        </w:rPr>
        <w:t xml:space="preserve"> in 1824</w:t>
      </w:r>
      <w:r w:rsidR="009975AB" w:rsidRPr="00F91AFC">
        <w:rPr>
          <w:rFonts w:eastAsia="MS Mincho"/>
        </w:rPr>
        <w:t>.</w:t>
      </w:r>
      <w:r w:rsidR="009975AB" w:rsidRPr="00F91AFC">
        <w:rPr>
          <w:rStyle w:val="FootnoteReference"/>
          <w:rFonts w:eastAsia="MS Mincho"/>
        </w:rPr>
        <w:footnoteReference w:id="39"/>
      </w:r>
      <w:r w:rsidR="00FE4431" w:rsidRPr="00F91AFC">
        <w:rPr>
          <w:rFonts w:eastAsia="MS Mincho"/>
        </w:rPr>
        <w:t xml:space="preserve"> </w:t>
      </w:r>
      <w:r w:rsidR="008135E3">
        <w:rPr>
          <w:rFonts w:eastAsia="MS Mincho"/>
        </w:rPr>
        <w:t>Six years earlier, i</w:t>
      </w:r>
      <w:r w:rsidR="008A008A" w:rsidRPr="00F91AFC">
        <w:rPr>
          <w:rFonts w:eastAsia="MS Mincho"/>
        </w:rPr>
        <w:t xml:space="preserve">n 1818, </w:t>
      </w:r>
      <w:r w:rsidR="009975AB" w:rsidRPr="00F91AFC">
        <w:rPr>
          <w:rFonts w:eastAsia="MS Mincho"/>
        </w:rPr>
        <w:t xml:space="preserve">Captain Phillip Parker King </w:t>
      </w:r>
      <w:r w:rsidR="008135E3">
        <w:rPr>
          <w:rFonts w:eastAsia="MS Mincho"/>
        </w:rPr>
        <w:t xml:space="preserve">had </w:t>
      </w:r>
      <w:r w:rsidR="001013E1" w:rsidRPr="00F91AFC">
        <w:rPr>
          <w:rFonts w:eastAsia="MS Mincho"/>
        </w:rPr>
        <w:t xml:space="preserve">reported </w:t>
      </w:r>
      <w:r w:rsidR="008A008A" w:rsidRPr="00F91AFC">
        <w:rPr>
          <w:rFonts w:eastAsia="MS Mincho"/>
        </w:rPr>
        <w:t xml:space="preserve">large numbers of </w:t>
      </w:r>
      <w:r w:rsidR="009269C1" w:rsidRPr="00F91AFC">
        <w:rPr>
          <w:rFonts w:eastAsia="MS Mincho"/>
        </w:rPr>
        <w:t>Makassar (Sulawesi)</w:t>
      </w:r>
      <w:r w:rsidR="009975AB" w:rsidRPr="00F91AFC">
        <w:rPr>
          <w:rFonts w:eastAsia="MS Mincho"/>
        </w:rPr>
        <w:t xml:space="preserve"> prows </w:t>
      </w:r>
      <w:r w:rsidR="008A008A" w:rsidRPr="00F91AFC">
        <w:rPr>
          <w:rFonts w:eastAsia="MS Mincho"/>
        </w:rPr>
        <w:t>visiting</w:t>
      </w:r>
      <w:r w:rsidR="009975AB" w:rsidRPr="00F91AFC">
        <w:rPr>
          <w:rFonts w:eastAsia="MS Mincho"/>
        </w:rPr>
        <w:t xml:space="preserve"> Australia’s northern coast to harvest </w:t>
      </w:r>
      <w:r w:rsidR="009975AB" w:rsidRPr="00C6260E">
        <w:rPr>
          <w:rFonts w:eastAsia="MS Mincho"/>
          <w:iCs/>
        </w:rPr>
        <w:t>trepang</w:t>
      </w:r>
      <w:r w:rsidR="008A008A" w:rsidRPr="00F91AFC">
        <w:rPr>
          <w:rFonts w:eastAsia="MS Mincho"/>
        </w:rPr>
        <w:t xml:space="preserve"> for sale to Chinese markets</w:t>
      </w:r>
      <w:r w:rsidR="009975AB" w:rsidRPr="00F91AFC">
        <w:rPr>
          <w:rFonts w:eastAsia="MS Mincho"/>
        </w:rPr>
        <w:t xml:space="preserve">. </w:t>
      </w:r>
      <w:r w:rsidR="008A008A" w:rsidRPr="00F91AFC">
        <w:rPr>
          <w:rFonts w:eastAsia="MS Mincho"/>
        </w:rPr>
        <w:t xml:space="preserve">After the capture of </w:t>
      </w:r>
      <w:r w:rsidR="002A6004" w:rsidRPr="00F91AFC">
        <w:rPr>
          <w:rFonts w:eastAsia="MS Mincho"/>
        </w:rPr>
        <w:t xml:space="preserve">Dutch colonies in 1811, private </w:t>
      </w:r>
      <w:r w:rsidR="00C6260E">
        <w:rPr>
          <w:rFonts w:eastAsia="MS Mincho"/>
        </w:rPr>
        <w:t>British</w:t>
      </w:r>
      <w:r w:rsidR="00C6260E" w:rsidRPr="00F91AFC">
        <w:rPr>
          <w:rFonts w:eastAsia="MS Mincho"/>
        </w:rPr>
        <w:t xml:space="preserve"> </w:t>
      </w:r>
      <w:r w:rsidR="002A6004" w:rsidRPr="00F91AFC">
        <w:rPr>
          <w:rFonts w:eastAsia="MS Mincho"/>
        </w:rPr>
        <w:t xml:space="preserve">traders profited from the intra-Asian trade previously dominated by the Dutch </w:t>
      </w:r>
      <w:r w:rsidR="005D098F">
        <w:rPr>
          <w:rFonts w:eastAsia="MS Mincho"/>
        </w:rPr>
        <w:t>VOC</w:t>
      </w:r>
      <w:r w:rsidR="009975AB" w:rsidRPr="00F91AFC">
        <w:rPr>
          <w:rFonts w:eastAsia="MS Mincho"/>
        </w:rPr>
        <w:t>.</w:t>
      </w:r>
      <w:r w:rsidR="009975AB" w:rsidRPr="00F91AFC">
        <w:rPr>
          <w:rStyle w:val="FootnoteReference"/>
          <w:rFonts w:eastAsia="MS Mincho"/>
        </w:rPr>
        <w:footnoteReference w:id="40"/>
      </w:r>
      <w:r w:rsidR="00F86572" w:rsidRPr="00F91AFC">
        <w:rPr>
          <w:rFonts w:eastAsia="MS Mincho"/>
        </w:rPr>
        <w:t xml:space="preserve"> </w:t>
      </w:r>
      <w:r w:rsidR="002A6004" w:rsidRPr="00F91AFC">
        <w:t>After Napoleon’s defeat</w:t>
      </w:r>
      <w:r w:rsidRPr="00F91AFC">
        <w:t xml:space="preserve">, </w:t>
      </w:r>
      <w:r w:rsidR="002A6004" w:rsidRPr="00F91AFC">
        <w:t xml:space="preserve">the 1814 Treaty of Paris </w:t>
      </w:r>
      <w:r w:rsidRPr="00F91AFC">
        <w:t>stipulated</w:t>
      </w:r>
      <w:r w:rsidR="002A6004" w:rsidRPr="00F91AFC">
        <w:t xml:space="preserve"> Britain </w:t>
      </w:r>
      <w:r w:rsidRPr="00F91AFC">
        <w:t>return</w:t>
      </w:r>
      <w:r w:rsidR="002A6004" w:rsidRPr="00F91AFC">
        <w:t xml:space="preserve"> all captured Dutch territories (except the Cape). This left </w:t>
      </w:r>
      <w:r w:rsidR="005D098F">
        <w:t>British</w:t>
      </w:r>
      <w:r w:rsidR="005D098F" w:rsidRPr="00F91AFC">
        <w:t xml:space="preserve"> </w:t>
      </w:r>
      <w:r w:rsidR="002A6004" w:rsidRPr="00F91AFC">
        <w:t>traders subject to trading restrictions, and under threat of a Dutch monopoly.</w:t>
      </w:r>
      <w:r w:rsidR="002A6004" w:rsidRPr="00F91AFC">
        <w:rPr>
          <w:rStyle w:val="FootnoteReference"/>
        </w:rPr>
        <w:footnoteReference w:id="41"/>
      </w:r>
      <w:r w:rsidR="002A6004" w:rsidRPr="00F91AFC">
        <w:t xml:space="preserve"> It is not </w:t>
      </w:r>
      <w:r w:rsidR="00C6260E" w:rsidRPr="00F91AFC">
        <w:t>surprising</w:t>
      </w:r>
      <w:r w:rsidR="002A6004" w:rsidRPr="00F91AFC">
        <w:t xml:space="preserve">, then, that a </w:t>
      </w:r>
      <w:r w:rsidR="0092371C" w:rsidRPr="00F91AFC">
        <w:rPr>
          <w:rFonts w:eastAsia="MS Mincho"/>
        </w:rPr>
        <w:t xml:space="preserve">trader called William Barnes first proposed establishing </w:t>
      </w:r>
      <w:r w:rsidR="00492A1C" w:rsidRPr="00F91AFC">
        <w:rPr>
          <w:rFonts w:eastAsia="MS Mincho"/>
        </w:rPr>
        <w:t>the</w:t>
      </w:r>
      <w:r w:rsidR="0092371C" w:rsidRPr="00F91AFC">
        <w:rPr>
          <w:rFonts w:eastAsia="MS Mincho"/>
        </w:rPr>
        <w:t xml:space="preserve"> trepang fishery on </w:t>
      </w:r>
      <w:r w:rsidR="002A6004" w:rsidRPr="00F91AFC">
        <w:rPr>
          <w:rFonts w:eastAsia="MS Mincho"/>
        </w:rPr>
        <w:t>Australia’s</w:t>
      </w:r>
      <w:r w:rsidR="0092371C" w:rsidRPr="00F91AFC">
        <w:rPr>
          <w:rFonts w:eastAsia="MS Mincho"/>
        </w:rPr>
        <w:t xml:space="preserve"> northern coast</w:t>
      </w:r>
      <w:r w:rsidR="00B05670" w:rsidRPr="00F91AFC">
        <w:rPr>
          <w:rFonts w:eastAsia="MS Mincho"/>
        </w:rPr>
        <w:t xml:space="preserve"> in July 1823, </w:t>
      </w:r>
      <w:r w:rsidR="0092371C" w:rsidRPr="00F91AFC">
        <w:rPr>
          <w:rFonts w:eastAsia="MS Mincho"/>
        </w:rPr>
        <w:t>or that it was supported by the Oriental and China Association, a collective of private traders</w:t>
      </w:r>
      <w:r w:rsidR="00D23FF2" w:rsidRPr="00F91AFC">
        <w:rPr>
          <w:rFonts w:eastAsia="MS Mincho"/>
        </w:rPr>
        <w:t>.</w:t>
      </w:r>
      <w:r w:rsidR="00337ADD" w:rsidRPr="00F91AFC">
        <w:rPr>
          <w:rStyle w:val="FootnoteReference"/>
          <w:rFonts w:eastAsia="MS Mincho"/>
        </w:rPr>
        <w:footnoteReference w:id="42"/>
      </w:r>
      <w:r w:rsidR="00737B6D" w:rsidRPr="00F91AFC">
        <w:rPr>
          <w:rFonts w:eastAsia="MS Mincho"/>
        </w:rPr>
        <w:t xml:space="preserve"> </w:t>
      </w:r>
      <w:r w:rsidR="002A6004" w:rsidRPr="00F91AFC">
        <w:t xml:space="preserve">Their chairman, </w:t>
      </w:r>
      <w:r w:rsidR="00666648" w:rsidRPr="00F91AFC">
        <w:rPr>
          <w:rFonts w:eastAsia="MS Mincho"/>
        </w:rPr>
        <w:t>George</w:t>
      </w:r>
      <w:r w:rsidR="00737B6D" w:rsidRPr="00F91AFC">
        <w:rPr>
          <w:rFonts w:eastAsia="MS Mincho"/>
        </w:rPr>
        <w:t xml:space="preserve"> Larpent, wrote to </w:t>
      </w:r>
      <w:r w:rsidR="00D23FF2" w:rsidRPr="00F91AFC">
        <w:rPr>
          <w:rFonts w:eastAsia="MS Mincho"/>
        </w:rPr>
        <w:t>Earl</w:t>
      </w:r>
      <w:r w:rsidR="0092371C" w:rsidRPr="00F91AFC">
        <w:rPr>
          <w:rFonts w:eastAsia="MS Mincho"/>
        </w:rPr>
        <w:t xml:space="preserve"> Bathurst at the Colonial Office</w:t>
      </w:r>
      <w:r w:rsidR="00D23FF2" w:rsidRPr="00F91AFC">
        <w:rPr>
          <w:rFonts w:eastAsia="MS Mincho"/>
        </w:rPr>
        <w:t xml:space="preserve"> in December 1823</w:t>
      </w:r>
      <w:r w:rsidR="0092371C" w:rsidRPr="00F91AFC">
        <w:rPr>
          <w:rFonts w:eastAsia="MS Mincho"/>
        </w:rPr>
        <w:t xml:space="preserve">, claiming that ‘the greatest benefit of the </w:t>
      </w:r>
      <w:r w:rsidR="0092371C" w:rsidRPr="00F91AFC">
        <w:rPr>
          <w:rFonts w:eastAsia="MS Mincho"/>
        </w:rPr>
        <w:lastRenderedPageBreak/>
        <w:t xml:space="preserve">commerce’ would arise </w:t>
      </w:r>
      <w:r w:rsidR="00737B6D" w:rsidRPr="00F91AFC">
        <w:rPr>
          <w:rFonts w:eastAsia="MS Mincho"/>
        </w:rPr>
        <w:t xml:space="preserve">by establishing a trading </w:t>
      </w:r>
      <w:r w:rsidR="001B60F2" w:rsidRPr="00F91AFC">
        <w:rPr>
          <w:rFonts w:eastAsia="MS Mincho"/>
        </w:rPr>
        <w:t>outpost</w:t>
      </w:r>
      <w:r w:rsidR="00737B6D" w:rsidRPr="00F91AFC">
        <w:rPr>
          <w:rFonts w:eastAsia="MS Mincho"/>
        </w:rPr>
        <w:t xml:space="preserve"> there, which would also place</w:t>
      </w:r>
      <w:r w:rsidR="0092371C" w:rsidRPr="00F91AFC">
        <w:rPr>
          <w:rFonts w:eastAsia="MS Mincho"/>
        </w:rPr>
        <w:t xml:space="preserve"> ‘our flourishing possessions in that quarter of the Globe in </w:t>
      </w:r>
      <w:r w:rsidR="0092371C" w:rsidRPr="00F91AFC">
        <w:t>greater security’.</w:t>
      </w:r>
      <w:r w:rsidR="0092371C" w:rsidRPr="00F91AFC">
        <w:rPr>
          <w:rStyle w:val="FootnoteReference"/>
        </w:rPr>
        <w:footnoteReference w:id="43"/>
      </w:r>
      <w:r w:rsidR="0092371C" w:rsidRPr="00F91AFC">
        <w:t xml:space="preserve"> </w:t>
      </w:r>
      <w:r w:rsidR="002A6004" w:rsidRPr="00F91AFC">
        <w:t xml:space="preserve">From a security perspective, the British </w:t>
      </w:r>
      <w:r w:rsidR="00AD1C5E">
        <w:t>C</w:t>
      </w:r>
      <w:r w:rsidR="002A6004" w:rsidRPr="00F91AFC">
        <w:t xml:space="preserve">olonial </w:t>
      </w:r>
      <w:r w:rsidR="00AD1C5E">
        <w:t>O</w:t>
      </w:r>
      <w:r w:rsidR="002A6004" w:rsidRPr="00F91AFC">
        <w:t xml:space="preserve">ffice feared access to China </w:t>
      </w:r>
      <w:r w:rsidR="00217275" w:rsidRPr="00F91AFC">
        <w:t xml:space="preserve">being </w:t>
      </w:r>
      <w:r w:rsidR="004069C2" w:rsidRPr="00F91AFC">
        <w:t>cut off in the event of war with the Netherlands</w:t>
      </w:r>
      <w:r w:rsidR="00217275" w:rsidRPr="00F91AFC">
        <w:t>.</w:t>
      </w:r>
      <w:r w:rsidR="0020496E" w:rsidRPr="00F91AFC">
        <w:t xml:space="preserve"> </w:t>
      </w:r>
      <w:r w:rsidR="002A6004" w:rsidRPr="00F91AFC">
        <w:t>While</w:t>
      </w:r>
      <w:r w:rsidR="0020496E" w:rsidRPr="00F91AFC">
        <w:t xml:space="preserve"> </w:t>
      </w:r>
      <w:r w:rsidR="002A6004" w:rsidRPr="00F91AFC">
        <w:t xml:space="preserve">negotiations over </w:t>
      </w:r>
      <w:r w:rsidR="00AD1C5E">
        <w:t>S</w:t>
      </w:r>
      <w:r w:rsidR="002A6004" w:rsidRPr="00F91AFC">
        <w:t>outh</w:t>
      </w:r>
      <w:r w:rsidR="00AD1C5E">
        <w:t xml:space="preserve"> E</w:t>
      </w:r>
      <w:r w:rsidR="002A6004" w:rsidRPr="00F91AFC">
        <w:t xml:space="preserve">ast Asian territories with </w:t>
      </w:r>
      <w:r w:rsidR="0020496E" w:rsidRPr="00F91AFC">
        <w:t>the Dutch</w:t>
      </w:r>
      <w:r w:rsidR="002A6004" w:rsidRPr="00F91AFC">
        <w:t xml:space="preserve"> </w:t>
      </w:r>
      <w:r w:rsidR="005D098F">
        <w:t>continued</w:t>
      </w:r>
      <w:r w:rsidR="002A6004" w:rsidRPr="00F91AFC">
        <w:t xml:space="preserve">, Britain made an opportunistic claim on Australia’s second largest island off the northern coast. </w:t>
      </w:r>
      <w:r w:rsidR="00590C2C" w:rsidRPr="00F91AFC">
        <w:t>The Anglo-Dutch Treaty of 1824</w:t>
      </w:r>
      <w:r w:rsidR="00294AE8" w:rsidRPr="00F91AFC">
        <w:t xml:space="preserve"> ratified their </w:t>
      </w:r>
      <w:r w:rsidR="00FA5473" w:rsidRPr="00F91AFC">
        <w:t>control o</w:t>
      </w:r>
      <w:r w:rsidR="00294AE8" w:rsidRPr="00F91AFC">
        <w:t>ver</w:t>
      </w:r>
      <w:r w:rsidR="00FA5473" w:rsidRPr="00F91AFC">
        <w:t xml:space="preserve"> the northern and southern entrances to the Straits of Malacca, </w:t>
      </w:r>
      <w:r w:rsidR="00294AE8" w:rsidRPr="00F91AFC">
        <w:t xml:space="preserve">securing British vessels’ </w:t>
      </w:r>
      <w:r w:rsidR="00086A3C" w:rsidRPr="00F91AFC">
        <w:t>eastern passage to China</w:t>
      </w:r>
      <w:r w:rsidR="00FA5473" w:rsidRPr="00F91AFC">
        <w:t>.</w:t>
      </w:r>
      <w:r w:rsidR="00191764" w:rsidRPr="00F91AFC">
        <w:rPr>
          <w:rStyle w:val="FootnoteReference"/>
        </w:rPr>
        <w:footnoteReference w:id="44"/>
      </w:r>
    </w:p>
    <w:p w14:paraId="2D8B5184" w14:textId="77777777" w:rsidR="00AD1C5E" w:rsidRDefault="00AD1C5E" w:rsidP="00AD1C5E">
      <w:pPr>
        <w:spacing w:line="276" w:lineRule="auto"/>
        <w:ind w:right="120"/>
        <w:rPr>
          <w:rFonts w:eastAsia="MS Mincho"/>
        </w:rPr>
      </w:pPr>
    </w:p>
    <w:p w14:paraId="429CC2A2" w14:textId="63E713E8" w:rsidR="005D098F" w:rsidRPr="00F91AFC" w:rsidRDefault="00BA6519" w:rsidP="00804BB3">
      <w:pPr>
        <w:spacing w:line="276" w:lineRule="auto"/>
        <w:ind w:right="120"/>
        <w:rPr>
          <w:rFonts w:eastAsia="MS Mincho"/>
        </w:rPr>
      </w:pPr>
      <w:r w:rsidRPr="00F91AFC">
        <w:t xml:space="preserve">On 25 August 1824, </w:t>
      </w:r>
      <w:r w:rsidR="00431260" w:rsidRPr="00F91AFC">
        <w:t xml:space="preserve">the </w:t>
      </w:r>
      <w:r w:rsidR="00431260" w:rsidRPr="00AD1C5E">
        <w:t>HMS</w:t>
      </w:r>
      <w:r w:rsidR="00431260" w:rsidRPr="00F91AFC">
        <w:rPr>
          <w:i/>
        </w:rPr>
        <w:t xml:space="preserve"> Tamar</w:t>
      </w:r>
      <w:r w:rsidRPr="00F91AFC">
        <w:rPr>
          <w:i/>
        </w:rPr>
        <w:t xml:space="preserve"> </w:t>
      </w:r>
      <w:r w:rsidRPr="00F91AFC">
        <w:rPr>
          <w:iCs/>
        </w:rPr>
        <w:t>set sail in convoy with</w:t>
      </w:r>
      <w:r w:rsidR="00431260" w:rsidRPr="00F91AFC">
        <w:rPr>
          <w:i/>
        </w:rPr>
        <w:t xml:space="preserve"> Lady Nelson </w:t>
      </w:r>
      <w:r w:rsidR="00431260" w:rsidRPr="00F91AFC">
        <w:t>and</w:t>
      </w:r>
      <w:r w:rsidR="00431260" w:rsidRPr="00F91AFC">
        <w:rPr>
          <w:i/>
        </w:rPr>
        <w:t xml:space="preserve"> Countess Harcour</w:t>
      </w:r>
      <w:r w:rsidR="00B21171" w:rsidRPr="00F91AFC">
        <w:rPr>
          <w:i/>
        </w:rPr>
        <w:t xml:space="preserve">t </w:t>
      </w:r>
      <w:r w:rsidR="00B21171" w:rsidRPr="00F91AFC">
        <w:rPr>
          <w:iCs/>
        </w:rPr>
        <w:t xml:space="preserve">to </w:t>
      </w:r>
      <w:r w:rsidR="005D098F" w:rsidRPr="00F91AFC">
        <w:rPr>
          <w:iCs/>
        </w:rPr>
        <w:t>coloni</w:t>
      </w:r>
      <w:r w:rsidR="005D098F">
        <w:rPr>
          <w:iCs/>
        </w:rPr>
        <w:t>z</w:t>
      </w:r>
      <w:r w:rsidR="005D098F" w:rsidRPr="00F91AFC">
        <w:rPr>
          <w:iCs/>
        </w:rPr>
        <w:t xml:space="preserve">e </w:t>
      </w:r>
      <w:r w:rsidR="00B21171" w:rsidRPr="00F91AFC">
        <w:rPr>
          <w:iCs/>
        </w:rPr>
        <w:t xml:space="preserve">either Melville </w:t>
      </w:r>
      <w:r w:rsidR="0020496E" w:rsidRPr="00F91AFC">
        <w:rPr>
          <w:iCs/>
        </w:rPr>
        <w:t xml:space="preserve">or </w:t>
      </w:r>
      <w:r w:rsidR="00B21171" w:rsidRPr="00F91AFC">
        <w:rPr>
          <w:iCs/>
        </w:rPr>
        <w:t>Bathurst Island off Australia’s northern coast.</w:t>
      </w:r>
      <w:r w:rsidR="00A17C28" w:rsidRPr="00F91AFC">
        <w:rPr>
          <w:iCs/>
        </w:rPr>
        <w:t xml:space="preserve"> Under Captain James John Gordon Bremer’s command,</w:t>
      </w:r>
      <w:r w:rsidR="00C016FE" w:rsidRPr="00F91AFC">
        <w:rPr>
          <w:iCs/>
        </w:rPr>
        <w:t xml:space="preserve"> </w:t>
      </w:r>
      <w:r w:rsidR="00A17C28" w:rsidRPr="00F91AFC">
        <w:rPr>
          <w:iCs/>
        </w:rPr>
        <w:t>these ships carried forty</w:t>
      </w:r>
      <w:r w:rsidR="001E768B" w:rsidRPr="00F91AFC">
        <w:rPr>
          <w:iCs/>
        </w:rPr>
        <w:t>-</w:t>
      </w:r>
      <w:r w:rsidR="00A17C28" w:rsidRPr="00F91AFC">
        <w:rPr>
          <w:iCs/>
        </w:rPr>
        <w:t xml:space="preserve">five convicts (including three ticket-of-leave holders), </w:t>
      </w:r>
      <w:r w:rsidR="00A17C28" w:rsidRPr="00F91AFC">
        <w:t>fifty soldiers and thirty royal marines.</w:t>
      </w:r>
      <w:r w:rsidR="00A17C28" w:rsidRPr="00F91AFC">
        <w:rPr>
          <w:rStyle w:val="FootnoteReference"/>
        </w:rPr>
        <w:footnoteReference w:id="45"/>
      </w:r>
      <w:r w:rsidR="00A17C28" w:rsidRPr="00F91AFC">
        <w:t xml:space="preserve"> </w:t>
      </w:r>
      <w:r w:rsidR="00191764" w:rsidRPr="00F91AFC">
        <w:rPr>
          <w:rFonts w:eastAsia="MS Mincho"/>
        </w:rPr>
        <w:t>The government were eager to attract skilled workers, offering convict ‘mechanics’ still serving their sentence a ticket-of-leave after completing six months’ labour on the islands.</w:t>
      </w:r>
      <w:r w:rsidR="00191764" w:rsidRPr="00F91AFC">
        <w:rPr>
          <w:rStyle w:val="FootnoteReference"/>
        </w:rPr>
        <w:footnoteReference w:id="46"/>
      </w:r>
      <w:r w:rsidR="00191764" w:rsidRPr="00F91AFC">
        <w:rPr>
          <w:rFonts w:eastAsia="MS Mincho"/>
        </w:rPr>
        <w:t xml:space="preserve"> </w:t>
      </w:r>
      <w:r w:rsidR="0020496E" w:rsidRPr="00F91AFC">
        <w:rPr>
          <w:rFonts w:eastAsia="MS Mincho"/>
        </w:rPr>
        <w:t>Convicts completed most of the work of coloni</w:t>
      </w:r>
      <w:r w:rsidR="00AD1C5E">
        <w:rPr>
          <w:rFonts w:eastAsia="MS Mincho"/>
        </w:rPr>
        <w:t>z</w:t>
      </w:r>
      <w:r w:rsidR="0020496E" w:rsidRPr="00F91AFC">
        <w:rPr>
          <w:rFonts w:eastAsia="MS Mincho"/>
        </w:rPr>
        <w:t>ation, clearing ground and cutting timber to build Fort Dundas.</w:t>
      </w:r>
      <w:r w:rsidR="00AD1C5E">
        <w:rPr>
          <w:rFonts w:eastAsia="MS Mincho"/>
        </w:rPr>
        <w:t xml:space="preserve"> </w:t>
      </w:r>
      <w:r w:rsidR="00C76C6B" w:rsidRPr="00F91AFC">
        <w:rPr>
          <w:rFonts w:eastAsia="MS Mincho"/>
        </w:rPr>
        <w:t xml:space="preserve">Captain Bremer had chosen the site because it was suitably deep for a naval dry dock, but </w:t>
      </w:r>
      <w:r w:rsidR="0029215B" w:rsidRPr="00F91AFC">
        <w:rPr>
          <w:rFonts w:eastAsia="MS Mincho"/>
        </w:rPr>
        <w:t xml:space="preserve">it was </w:t>
      </w:r>
      <w:r w:rsidR="00AD1C5E">
        <w:rPr>
          <w:rFonts w:eastAsia="MS Mincho"/>
        </w:rPr>
        <w:t xml:space="preserve">a </w:t>
      </w:r>
      <w:r w:rsidR="0029215B" w:rsidRPr="00F91AFC">
        <w:rPr>
          <w:rFonts w:eastAsia="MS Mincho"/>
        </w:rPr>
        <w:t xml:space="preserve">badly chosen </w:t>
      </w:r>
      <w:r w:rsidR="00C552BF" w:rsidRPr="00F91AFC">
        <w:rPr>
          <w:rFonts w:eastAsia="MS Mincho"/>
        </w:rPr>
        <w:t>location for</w:t>
      </w:r>
      <w:r w:rsidR="0029215B" w:rsidRPr="00F91AFC">
        <w:rPr>
          <w:rFonts w:eastAsia="MS Mincho"/>
        </w:rPr>
        <w:t xml:space="preserve"> a trading pos</w:t>
      </w:r>
      <w:r w:rsidR="00C552BF" w:rsidRPr="00F91AFC">
        <w:rPr>
          <w:rFonts w:eastAsia="MS Mincho"/>
        </w:rPr>
        <w:t>t</w:t>
      </w:r>
      <w:r w:rsidR="00C76C6B" w:rsidRPr="00F91AFC">
        <w:rPr>
          <w:rFonts w:eastAsia="MS Mincho"/>
        </w:rPr>
        <w:t>.</w:t>
      </w:r>
      <w:r w:rsidR="00C76C6B" w:rsidRPr="00F91AFC">
        <w:rPr>
          <w:rStyle w:val="FootnoteReference"/>
          <w:rFonts w:eastAsia="MS Mincho"/>
        </w:rPr>
        <w:footnoteReference w:id="47"/>
      </w:r>
      <w:r w:rsidR="00C76C6B" w:rsidRPr="00F91AFC">
        <w:rPr>
          <w:rFonts w:eastAsia="MS Mincho"/>
        </w:rPr>
        <w:t xml:space="preserve"> S</w:t>
      </w:r>
      <w:r w:rsidR="00C552BF" w:rsidRPr="00F91AFC">
        <w:rPr>
          <w:rFonts w:eastAsia="MS Mincho"/>
        </w:rPr>
        <w:t xml:space="preserve">ituated </w:t>
      </w:r>
      <w:r w:rsidR="00FE59CD" w:rsidRPr="00F91AFC">
        <w:rPr>
          <w:rFonts w:eastAsia="MS Mincho"/>
        </w:rPr>
        <w:t xml:space="preserve">far </w:t>
      </w:r>
      <w:r w:rsidR="00093639" w:rsidRPr="00F91AFC">
        <w:rPr>
          <w:rFonts w:eastAsia="MS Mincho"/>
        </w:rPr>
        <w:t>down the shallow, rocky and treacherous Apsley Strait</w:t>
      </w:r>
      <w:r w:rsidR="00FE59CD" w:rsidRPr="00F91AFC">
        <w:rPr>
          <w:rFonts w:eastAsia="MS Mincho"/>
        </w:rPr>
        <w:t xml:space="preserve">, </w:t>
      </w:r>
      <w:r w:rsidR="00C76C6B" w:rsidRPr="00F91AFC">
        <w:rPr>
          <w:rFonts w:eastAsia="MS Mincho"/>
        </w:rPr>
        <w:t xml:space="preserve">it </w:t>
      </w:r>
      <w:r w:rsidR="00290180" w:rsidRPr="00F91AFC">
        <w:rPr>
          <w:rFonts w:eastAsia="MS Mincho"/>
        </w:rPr>
        <w:t xml:space="preserve">was </w:t>
      </w:r>
      <w:r w:rsidR="00093639" w:rsidRPr="00F91AFC">
        <w:rPr>
          <w:rFonts w:eastAsia="MS Mincho"/>
        </w:rPr>
        <w:t>almost impossible to navigate</w:t>
      </w:r>
      <w:r w:rsidR="00FE59CD" w:rsidRPr="00F91AFC">
        <w:rPr>
          <w:rFonts w:eastAsia="MS Mincho"/>
        </w:rPr>
        <w:t xml:space="preserve"> safely</w:t>
      </w:r>
      <w:r w:rsidR="00093639" w:rsidRPr="00F91AFC">
        <w:rPr>
          <w:rFonts w:eastAsia="MS Mincho"/>
        </w:rPr>
        <w:t xml:space="preserve"> during </w:t>
      </w:r>
      <w:r w:rsidR="008135E3">
        <w:rPr>
          <w:rFonts w:eastAsia="MS Mincho"/>
        </w:rPr>
        <w:t xml:space="preserve">the </w:t>
      </w:r>
      <w:r w:rsidR="00093639" w:rsidRPr="00F91AFC">
        <w:rPr>
          <w:rFonts w:eastAsia="MS Mincho"/>
        </w:rPr>
        <w:t>monsoon season.</w:t>
      </w:r>
      <w:r w:rsidR="003030E2" w:rsidRPr="00F91AFC">
        <w:rPr>
          <w:rFonts w:eastAsia="MS Mincho"/>
        </w:rPr>
        <w:t xml:space="preserve"> </w:t>
      </w:r>
      <w:r w:rsidR="00093639" w:rsidRPr="00F91AFC">
        <w:rPr>
          <w:rFonts w:eastAsia="MS Mincho"/>
        </w:rPr>
        <w:t xml:space="preserve">As a result, supply ships from New South Wales </w:t>
      </w:r>
      <w:r w:rsidR="00290180" w:rsidRPr="00F91AFC">
        <w:rPr>
          <w:rFonts w:eastAsia="MS Mincho"/>
        </w:rPr>
        <w:t xml:space="preserve">were </w:t>
      </w:r>
      <w:r w:rsidR="00FE59CD" w:rsidRPr="00F91AFC">
        <w:rPr>
          <w:rFonts w:eastAsia="MS Mincho"/>
        </w:rPr>
        <w:t xml:space="preserve">regularly </w:t>
      </w:r>
      <w:r w:rsidR="00093639" w:rsidRPr="00F91AFC">
        <w:rPr>
          <w:rFonts w:eastAsia="MS Mincho"/>
        </w:rPr>
        <w:t>wrecked an</w:t>
      </w:r>
      <w:r w:rsidR="00FE59CD" w:rsidRPr="00F91AFC">
        <w:rPr>
          <w:rFonts w:eastAsia="MS Mincho"/>
        </w:rPr>
        <w:t>d ‘no trade</w:t>
      </w:r>
      <w:r w:rsidR="008A56A0" w:rsidRPr="00F91AFC">
        <w:rPr>
          <w:rFonts w:eastAsia="MS Mincho"/>
        </w:rPr>
        <w:t>r</w:t>
      </w:r>
      <w:r w:rsidR="00FE59CD" w:rsidRPr="00F91AFC">
        <w:rPr>
          <w:rFonts w:eastAsia="MS Mincho"/>
        </w:rPr>
        <w:t>s of any nation whatever’ visited the settlement from 1824</w:t>
      </w:r>
      <w:r w:rsidR="00A02DFA" w:rsidRPr="00F91AFC">
        <w:rPr>
          <w:rFonts w:eastAsia="MS Mincho"/>
        </w:rPr>
        <w:t xml:space="preserve"> until its abandonment in 1829</w:t>
      </w:r>
      <w:r w:rsidR="00FE59CD" w:rsidRPr="00F91AFC">
        <w:rPr>
          <w:rFonts w:eastAsia="MS Mincho"/>
        </w:rPr>
        <w:t>.</w:t>
      </w:r>
      <w:r w:rsidR="008A56A0" w:rsidRPr="00F91AFC">
        <w:rPr>
          <w:rStyle w:val="FootnoteReference"/>
          <w:rFonts w:eastAsia="MS Mincho"/>
        </w:rPr>
        <w:footnoteReference w:id="48"/>
      </w:r>
      <w:r w:rsidR="00C541E1" w:rsidRPr="00F91AFC">
        <w:rPr>
          <w:rFonts w:eastAsia="MS Mincho"/>
        </w:rPr>
        <w:t xml:space="preserve"> </w:t>
      </w:r>
      <w:r w:rsidR="00EE70D9" w:rsidRPr="00F91AFC">
        <w:rPr>
          <w:rFonts w:eastAsia="MS Mincho"/>
        </w:rPr>
        <w:t>The convicts</w:t>
      </w:r>
      <w:r w:rsidR="005F5DCB" w:rsidRPr="00F91AFC">
        <w:rPr>
          <w:rFonts w:eastAsia="MS Mincho"/>
        </w:rPr>
        <w:t xml:space="preserve"> were </w:t>
      </w:r>
      <w:r w:rsidR="008135E3">
        <w:rPr>
          <w:rFonts w:eastAsia="MS Mincho"/>
        </w:rPr>
        <w:t>relocated to</w:t>
      </w:r>
      <w:r w:rsidR="008135E3" w:rsidRPr="00F91AFC">
        <w:rPr>
          <w:rFonts w:eastAsia="MS Mincho"/>
        </w:rPr>
        <w:t xml:space="preserve"> </w:t>
      </w:r>
      <w:r w:rsidR="005F5DCB" w:rsidRPr="00F91AFC">
        <w:rPr>
          <w:rFonts w:eastAsia="MS Mincho"/>
        </w:rPr>
        <w:t>Port Essington on the Cobourg Peninsula</w:t>
      </w:r>
      <w:r w:rsidR="008135E3">
        <w:rPr>
          <w:rFonts w:eastAsia="MS Mincho"/>
        </w:rPr>
        <w:t xml:space="preserve">, </w:t>
      </w:r>
      <w:r w:rsidR="008135E3" w:rsidRPr="00F91AFC">
        <w:rPr>
          <w:rFonts w:eastAsia="MS Mincho"/>
        </w:rPr>
        <w:t>160 kilometres east</w:t>
      </w:r>
      <w:r w:rsidR="005F5DCB" w:rsidRPr="00F91AFC">
        <w:rPr>
          <w:rFonts w:eastAsia="MS Mincho"/>
        </w:rPr>
        <w:t>.</w:t>
      </w:r>
      <w:r w:rsidR="005F5DCB" w:rsidRPr="00F91AFC">
        <w:rPr>
          <w:rFonts w:eastAsia="MS Mincho"/>
          <w:vertAlign w:val="superscript"/>
        </w:rPr>
        <w:footnoteReference w:id="49"/>
      </w:r>
    </w:p>
    <w:p w14:paraId="59544EAB" w14:textId="77777777" w:rsidR="00AD1C5E" w:rsidRDefault="00AD1C5E" w:rsidP="00AD1C5E">
      <w:pPr>
        <w:spacing w:line="276" w:lineRule="auto"/>
        <w:ind w:right="120"/>
        <w:rPr>
          <w:rFonts w:eastAsia="MS Mincho"/>
        </w:rPr>
      </w:pPr>
    </w:p>
    <w:p w14:paraId="1A8021C2" w14:textId="32F385A5" w:rsidR="007169A7" w:rsidRPr="00F91AFC" w:rsidRDefault="008F766D" w:rsidP="00AD1C5E">
      <w:pPr>
        <w:spacing w:line="276" w:lineRule="auto"/>
        <w:ind w:right="120"/>
        <w:rPr>
          <w:rFonts w:eastAsia="MS Mincho"/>
        </w:rPr>
      </w:pPr>
      <w:r w:rsidRPr="00F91AFC">
        <w:rPr>
          <w:rFonts w:eastAsia="MS Mincho"/>
        </w:rPr>
        <w:t xml:space="preserve">The intentions of the British government are more important than the ultimate failure of Norfolk Island and Melville Island as </w:t>
      </w:r>
      <w:r w:rsidR="00CD1E12">
        <w:rPr>
          <w:rFonts w:eastAsia="MS Mincho"/>
        </w:rPr>
        <w:t>colonial</w:t>
      </w:r>
      <w:r w:rsidR="00CD1E12" w:rsidRPr="00F91AFC">
        <w:rPr>
          <w:rFonts w:eastAsia="MS Mincho"/>
        </w:rPr>
        <w:t xml:space="preserve"> </w:t>
      </w:r>
      <w:r w:rsidRPr="00F91AFC">
        <w:rPr>
          <w:rFonts w:eastAsia="MS Mincho"/>
        </w:rPr>
        <w:t xml:space="preserve">outposts. </w:t>
      </w:r>
      <w:r w:rsidR="00323423" w:rsidRPr="00F91AFC">
        <w:rPr>
          <w:rFonts w:eastAsia="MS Mincho"/>
        </w:rPr>
        <w:t xml:space="preserve">The </w:t>
      </w:r>
      <w:r w:rsidR="00A936BE" w:rsidRPr="00F91AFC">
        <w:rPr>
          <w:rFonts w:eastAsia="MS Mincho"/>
        </w:rPr>
        <w:t>Colonial Office</w:t>
      </w:r>
      <w:r w:rsidR="003C5267" w:rsidRPr="00F91AFC">
        <w:rPr>
          <w:rFonts w:eastAsia="MS Mincho"/>
        </w:rPr>
        <w:t xml:space="preserve"> envisioned the</w:t>
      </w:r>
      <w:r w:rsidR="00EE70D9" w:rsidRPr="00F91AFC">
        <w:rPr>
          <w:rFonts w:eastAsia="MS Mincho"/>
        </w:rPr>
        <w:t>se islands as strategic sites,</w:t>
      </w:r>
      <w:r w:rsidR="003C5267" w:rsidRPr="00F91AFC">
        <w:rPr>
          <w:rFonts w:eastAsia="MS Mincho"/>
        </w:rPr>
        <w:t xml:space="preserve"> </w:t>
      </w:r>
      <w:r w:rsidR="00290180" w:rsidRPr="00F91AFC">
        <w:rPr>
          <w:rFonts w:eastAsia="MS Mincho"/>
        </w:rPr>
        <w:t>helping</w:t>
      </w:r>
      <w:r w:rsidR="003C5267" w:rsidRPr="00F91AFC">
        <w:rPr>
          <w:rFonts w:eastAsia="MS Mincho"/>
        </w:rPr>
        <w:t xml:space="preserve"> to </w:t>
      </w:r>
      <w:r w:rsidR="00710B50" w:rsidRPr="00F91AFC">
        <w:rPr>
          <w:rFonts w:eastAsia="MS Mincho"/>
        </w:rPr>
        <w:t>establish naval and commercial dominance over rival European powers</w:t>
      </w:r>
      <w:r w:rsidR="00EE70D9" w:rsidRPr="00F91AFC">
        <w:rPr>
          <w:rFonts w:eastAsia="MS Mincho"/>
        </w:rPr>
        <w:t xml:space="preserve"> in the Pacific and Indian Oceans. </w:t>
      </w:r>
      <w:r w:rsidR="003C5267" w:rsidRPr="00F91AFC">
        <w:rPr>
          <w:rFonts w:eastAsia="MS Mincho"/>
        </w:rPr>
        <w:t>C</w:t>
      </w:r>
      <w:r w:rsidR="00A55AD4" w:rsidRPr="00F91AFC">
        <w:rPr>
          <w:rFonts w:eastAsia="MS Mincho"/>
        </w:rPr>
        <w:t>onvict labour</w:t>
      </w:r>
      <w:r w:rsidR="0040358A" w:rsidRPr="00F91AFC">
        <w:rPr>
          <w:rFonts w:eastAsia="MS Mincho"/>
        </w:rPr>
        <w:t xml:space="preserve"> was used to </w:t>
      </w:r>
      <w:r w:rsidR="00A55AD4" w:rsidRPr="00F91AFC">
        <w:rPr>
          <w:rFonts w:eastAsia="MS Mincho"/>
        </w:rPr>
        <w:t>claim these islands as British possessions and cultivat</w:t>
      </w:r>
      <w:r w:rsidR="00C04B10" w:rsidRPr="00F91AFC">
        <w:rPr>
          <w:rFonts w:eastAsia="MS Mincho"/>
        </w:rPr>
        <w:t>e</w:t>
      </w:r>
      <w:r w:rsidR="00A55AD4" w:rsidRPr="00F91AFC">
        <w:rPr>
          <w:rFonts w:eastAsia="MS Mincho"/>
        </w:rPr>
        <w:t xml:space="preserve"> their natural resources</w:t>
      </w:r>
      <w:r w:rsidR="004B4E0F" w:rsidRPr="00F91AFC">
        <w:rPr>
          <w:rFonts w:eastAsia="MS Mincho"/>
        </w:rPr>
        <w:t>.</w:t>
      </w:r>
      <w:r w:rsidR="00EE70D9" w:rsidRPr="00F91AFC">
        <w:rPr>
          <w:rFonts w:eastAsia="MS Mincho"/>
        </w:rPr>
        <w:t xml:space="preserve"> However, i</w:t>
      </w:r>
      <w:r w:rsidR="005F5DCB" w:rsidRPr="00F91AFC">
        <w:rPr>
          <w:rFonts w:eastAsia="MS Mincho"/>
        </w:rPr>
        <w:t>slands were only useful to the imperial project if they were connected</w:t>
      </w:r>
      <w:r w:rsidR="00EE70D9" w:rsidRPr="00F91AFC">
        <w:rPr>
          <w:rFonts w:eastAsia="MS Mincho"/>
        </w:rPr>
        <w:t xml:space="preserve"> to shipping routes. </w:t>
      </w:r>
      <w:r w:rsidR="005F5DCB" w:rsidRPr="00F91AFC">
        <w:rPr>
          <w:rFonts w:eastAsia="MS Mincho"/>
        </w:rPr>
        <w:t>T</w:t>
      </w:r>
      <w:r w:rsidR="00A55AD4" w:rsidRPr="00F91AFC">
        <w:rPr>
          <w:rFonts w:eastAsia="MS Mincho"/>
        </w:rPr>
        <w:t xml:space="preserve">he </w:t>
      </w:r>
      <w:r w:rsidR="003C5267" w:rsidRPr="00F91AFC">
        <w:rPr>
          <w:rFonts w:eastAsia="MS Mincho"/>
        </w:rPr>
        <w:t>inaccessibility</w:t>
      </w:r>
      <w:r w:rsidR="00A55AD4" w:rsidRPr="00F91AFC">
        <w:rPr>
          <w:rFonts w:eastAsia="MS Mincho"/>
        </w:rPr>
        <w:t xml:space="preserve"> of the islands</w:t>
      </w:r>
      <w:r w:rsidR="00A437AA" w:rsidRPr="00F91AFC">
        <w:rPr>
          <w:rFonts w:eastAsia="MS Mincho"/>
        </w:rPr>
        <w:t xml:space="preserve"> rendered </w:t>
      </w:r>
      <w:r w:rsidR="00D865E1" w:rsidRPr="00F91AFC">
        <w:rPr>
          <w:rFonts w:eastAsia="MS Mincho"/>
        </w:rPr>
        <w:t>t</w:t>
      </w:r>
      <w:r w:rsidR="00A437AA" w:rsidRPr="00F91AFC">
        <w:rPr>
          <w:rFonts w:eastAsia="MS Mincho"/>
        </w:rPr>
        <w:t xml:space="preserve">hem a drain </w:t>
      </w:r>
      <w:r w:rsidR="00A437AA" w:rsidRPr="00F91AFC">
        <w:rPr>
          <w:rFonts w:eastAsia="MS Mincho"/>
        </w:rPr>
        <w:lastRenderedPageBreak/>
        <w:t>on</w:t>
      </w:r>
      <w:r w:rsidR="00663B67" w:rsidRPr="00F91AFC">
        <w:rPr>
          <w:rFonts w:eastAsia="MS Mincho"/>
        </w:rPr>
        <w:t xml:space="preserve"> </w:t>
      </w:r>
      <w:r w:rsidR="00CD1E12">
        <w:rPr>
          <w:rFonts w:eastAsia="MS Mincho"/>
        </w:rPr>
        <w:t xml:space="preserve">the </w:t>
      </w:r>
      <w:r w:rsidR="00663B67" w:rsidRPr="00F91AFC">
        <w:rPr>
          <w:rFonts w:eastAsia="MS Mincho"/>
        </w:rPr>
        <w:t>resources</w:t>
      </w:r>
      <w:r w:rsidR="00CD1E12">
        <w:rPr>
          <w:rFonts w:eastAsia="MS Mincho"/>
        </w:rPr>
        <w:t xml:space="preserve"> of</w:t>
      </w:r>
      <w:r w:rsidR="00A437AA" w:rsidRPr="00F91AFC">
        <w:rPr>
          <w:rFonts w:eastAsia="MS Mincho"/>
        </w:rPr>
        <w:t xml:space="preserve">, rather than useful </w:t>
      </w:r>
      <w:r w:rsidR="00C04B10" w:rsidRPr="00F91AFC">
        <w:rPr>
          <w:rFonts w:eastAsia="MS Mincho"/>
        </w:rPr>
        <w:t xml:space="preserve">auxiliaries </w:t>
      </w:r>
      <w:r w:rsidR="00663B67" w:rsidRPr="00F91AFC">
        <w:rPr>
          <w:rFonts w:eastAsia="MS Mincho"/>
        </w:rPr>
        <w:t>to,</w:t>
      </w:r>
      <w:r w:rsidR="00A437AA" w:rsidRPr="00F91AFC">
        <w:rPr>
          <w:rFonts w:eastAsia="MS Mincho"/>
        </w:rPr>
        <w:t xml:space="preserve"> the mainland colony of New South Wales.</w:t>
      </w:r>
      <w:r w:rsidR="00323423" w:rsidRPr="00F91AFC">
        <w:rPr>
          <w:rFonts w:eastAsia="MS Mincho"/>
        </w:rPr>
        <w:t xml:space="preserve"> </w:t>
      </w:r>
    </w:p>
    <w:p w14:paraId="2743E238" w14:textId="77777777" w:rsidR="00EE5937" w:rsidRPr="00F91AFC" w:rsidRDefault="00EE5937" w:rsidP="00AD1C5E">
      <w:pPr>
        <w:spacing w:line="276" w:lineRule="auto"/>
        <w:ind w:right="120"/>
        <w:rPr>
          <w:rFonts w:eastAsia="MS Mincho"/>
        </w:rPr>
      </w:pPr>
    </w:p>
    <w:p w14:paraId="3BC79DCE" w14:textId="683395A3" w:rsidR="00784A03" w:rsidRPr="00AD1C5E" w:rsidRDefault="00784A03" w:rsidP="00804BB3">
      <w:pPr>
        <w:pStyle w:val="Heading1"/>
        <w:spacing w:before="0" w:line="276" w:lineRule="auto"/>
        <w:rPr>
          <w:rFonts w:ascii="Times New Roman" w:hAnsi="Times New Roman" w:cs="Times New Roman"/>
          <w:b/>
          <w:color w:val="auto"/>
          <w:sz w:val="24"/>
          <w:szCs w:val="24"/>
        </w:rPr>
      </w:pPr>
      <w:r w:rsidRPr="00AD1C5E">
        <w:rPr>
          <w:rFonts w:ascii="Times New Roman" w:hAnsi="Times New Roman" w:cs="Times New Roman"/>
          <w:b/>
          <w:color w:val="auto"/>
          <w:sz w:val="24"/>
          <w:szCs w:val="24"/>
        </w:rPr>
        <w:t xml:space="preserve">Displacement </w:t>
      </w:r>
      <w:r w:rsidR="005C27F0" w:rsidRPr="00AD1C5E">
        <w:rPr>
          <w:rFonts w:ascii="Times New Roman" w:hAnsi="Times New Roman" w:cs="Times New Roman"/>
          <w:b/>
          <w:color w:val="auto"/>
          <w:sz w:val="24"/>
          <w:szCs w:val="24"/>
        </w:rPr>
        <w:t xml:space="preserve">of Aboriginal People to </w:t>
      </w:r>
      <w:r w:rsidRPr="00AD1C5E">
        <w:rPr>
          <w:rFonts w:ascii="Times New Roman" w:hAnsi="Times New Roman" w:cs="Times New Roman"/>
          <w:b/>
          <w:color w:val="auto"/>
          <w:sz w:val="24"/>
          <w:szCs w:val="24"/>
        </w:rPr>
        <w:t>Islands</w:t>
      </w:r>
    </w:p>
    <w:p w14:paraId="67FDC511" w14:textId="77777777" w:rsidR="00AD1C5E" w:rsidRDefault="00AD1C5E" w:rsidP="00AD1C5E">
      <w:pPr>
        <w:spacing w:line="276" w:lineRule="auto"/>
      </w:pPr>
    </w:p>
    <w:p w14:paraId="5CF49038" w14:textId="1AF4A459" w:rsidR="00DD554A" w:rsidRDefault="00524335" w:rsidP="00AD1C5E">
      <w:pPr>
        <w:spacing w:line="276" w:lineRule="auto"/>
      </w:pPr>
      <w:r w:rsidRPr="00F91AFC">
        <w:t>Indigenous people in Australia and other parts of the British Empire were</w:t>
      </w:r>
      <w:r w:rsidR="00CD1E12">
        <w:t xml:space="preserve"> dispossessed from their lands by colonizers, and forcibly relocated </w:t>
      </w:r>
      <w:r w:rsidRPr="00F91AFC">
        <w:t xml:space="preserve">to islands. These spaces physically segregated Indigenous people from natural resources and territories that European colonizers wanted to exploit. The British government framed these islands as sites of protection from frontier violence, but policies of displacement actually ‘protected’ settlers and their property. Whether </w:t>
      </w:r>
      <w:r w:rsidR="00CD1E12">
        <w:t>Indigenous</w:t>
      </w:r>
      <w:r w:rsidR="00CD1E12" w:rsidRPr="00F91AFC">
        <w:t xml:space="preserve"> </w:t>
      </w:r>
      <w:r w:rsidRPr="00F91AFC">
        <w:t xml:space="preserve">people were </w:t>
      </w:r>
      <w:r w:rsidR="00AD1C5E" w:rsidRPr="00F91AFC">
        <w:t>convicted</w:t>
      </w:r>
      <w:r w:rsidRPr="00F91AFC">
        <w:t xml:space="preserve"> or </w:t>
      </w:r>
      <w:r w:rsidR="00C92E93" w:rsidRPr="00F91AFC">
        <w:t>coerced</w:t>
      </w:r>
      <w:r w:rsidRPr="00F91AFC">
        <w:t xml:space="preserve"> to </w:t>
      </w:r>
      <w:r w:rsidR="00C92E93" w:rsidRPr="00F91AFC">
        <w:t>live on</w:t>
      </w:r>
      <w:r w:rsidRPr="00F91AFC">
        <w:t xml:space="preserve"> islands, surrounding waters were an effective barrier to escape. </w:t>
      </w:r>
      <w:r w:rsidR="00CD1E12">
        <w:t>Many British scientists</w:t>
      </w:r>
      <w:r w:rsidR="00826E35" w:rsidRPr="00F91AFC">
        <w:t xml:space="preserve"> belie</w:t>
      </w:r>
      <w:r w:rsidR="00C92E93" w:rsidRPr="00F91AFC">
        <w:t>ved</w:t>
      </w:r>
      <w:r w:rsidR="005C27F0" w:rsidRPr="00F91AFC">
        <w:t xml:space="preserve"> </w:t>
      </w:r>
      <w:r w:rsidR="00CD1E12">
        <w:t>Aboriginal Australians</w:t>
      </w:r>
      <w:r w:rsidR="00CD1E12" w:rsidRPr="00F91AFC">
        <w:t xml:space="preserve"> </w:t>
      </w:r>
      <w:r w:rsidR="00826E35" w:rsidRPr="00F91AFC">
        <w:t>to be an inferior ‘hunter-gatherer’ race</w:t>
      </w:r>
      <w:r w:rsidR="00CD1E12">
        <w:t xml:space="preserve"> </w:t>
      </w:r>
      <w:r w:rsidR="00826E35" w:rsidRPr="00F91AFC">
        <w:t xml:space="preserve">who were behind Caucasians in the hierarchy of human development. Islands were ideal spaces to enforce sedentariness on Indigenous people, </w:t>
      </w:r>
      <w:r w:rsidR="00D619E9" w:rsidRPr="00F91AFC">
        <w:t xml:space="preserve">encouraging </w:t>
      </w:r>
      <w:r w:rsidRPr="00F91AFC">
        <w:t>farming and living indoors</w:t>
      </w:r>
      <w:r w:rsidR="00D619E9" w:rsidRPr="00F91AFC">
        <w:t xml:space="preserve">, twin-pillars of European </w:t>
      </w:r>
      <w:r w:rsidR="00826E35" w:rsidRPr="00F91AFC">
        <w:t>‘civili</w:t>
      </w:r>
      <w:r w:rsidR="005D098F">
        <w:t>z</w:t>
      </w:r>
      <w:r w:rsidR="00826E35" w:rsidRPr="00F91AFC">
        <w:t>ation’.</w:t>
      </w:r>
    </w:p>
    <w:p w14:paraId="203C9689" w14:textId="77777777" w:rsidR="00AD1C5E" w:rsidRPr="00F91AFC" w:rsidRDefault="00AD1C5E" w:rsidP="00AD1C5E">
      <w:pPr>
        <w:spacing w:line="276" w:lineRule="auto"/>
      </w:pPr>
    </w:p>
    <w:p w14:paraId="76642E05" w14:textId="6507C04A" w:rsidR="003502D8" w:rsidRDefault="000F3972" w:rsidP="00217567">
      <w:pPr>
        <w:spacing w:line="276" w:lineRule="auto"/>
      </w:pPr>
      <w:r w:rsidRPr="00F91AFC">
        <w:rPr>
          <w:rFonts w:eastAsia="MS Mincho"/>
        </w:rPr>
        <w:t xml:space="preserve">From 1824 to 1832, the </w:t>
      </w:r>
      <w:r w:rsidR="003D3F47" w:rsidRPr="00F91AFC">
        <w:rPr>
          <w:rFonts w:eastAsia="MS Mincho"/>
        </w:rPr>
        <w:t>Van Diemen’s Land colonial</w:t>
      </w:r>
      <w:r w:rsidRPr="00F91AFC">
        <w:rPr>
          <w:rFonts w:eastAsia="MS Mincho"/>
        </w:rPr>
        <w:t xml:space="preserve"> government and settlers waged a war against Aboriginal Tasmanian men, women</w:t>
      </w:r>
      <w:r w:rsidR="00AD1C5E">
        <w:rPr>
          <w:rFonts w:eastAsia="MS Mincho"/>
        </w:rPr>
        <w:t>,</w:t>
      </w:r>
      <w:r w:rsidRPr="00F91AFC">
        <w:rPr>
          <w:rFonts w:eastAsia="MS Mincho"/>
        </w:rPr>
        <w:t xml:space="preserve"> and children.</w:t>
      </w:r>
      <w:r w:rsidRPr="00F91AFC">
        <w:rPr>
          <w:rStyle w:val="FootnoteReference"/>
          <w:rFonts w:eastAsia="MS Mincho"/>
        </w:rPr>
        <w:footnoteReference w:id="50"/>
      </w:r>
      <w:r w:rsidR="00216B3F" w:rsidRPr="00F91AFC">
        <w:rPr>
          <w:rFonts w:eastAsia="MS Mincho"/>
        </w:rPr>
        <w:t xml:space="preserve"> </w:t>
      </w:r>
      <w:r w:rsidR="00C40B93" w:rsidRPr="00F91AFC">
        <w:rPr>
          <w:rFonts w:eastAsia="MS Mincho"/>
        </w:rPr>
        <w:t>In</w:t>
      </w:r>
      <w:r w:rsidRPr="00F91AFC">
        <w:rPr>
          <w:rFonts w:eastAsia="MS Mincho"/>
        </w:rPr>
        <w:t xml:space="preserve"> January 1828, Lieutenant-Governor George Arthur wrote to Viscount Goderich at the Colonial Office suggesting that the ‘only remedy’ to continued frontier conflict was to ‘remove’ the Aboriginal Tasmanians ‘to some Island in the Straits’.</w:t>
      </w:r>
      <w:r w:rsidRPr="00F91AFC">
        <w:rPr>
          <w:rStyle w:val="FootnoteReference"/>
          <w:rFonts w:eastAsia="MS Mincho"/>
        </w:rPr>
        <w:footnoteReference w:id="51"/>
      </w:r>
      <w:r w:rsidRPr="00F91AFC">
        <w:rPr>
          <w:rFonts w:eastAsia="MS Mincho"/>
        </w:rPr>
        <w:t xml:space="preserve"> </w:t>
      </w:r>
      <w:r w:rsidR="00CD1E12" w:rsidRPr="00F91AFC">
        <w:rPr>
          <w:rFonts w:eastAsia="MS Mincho"/>
        </w:rPr>
        <w:t>In 1829, George Augustus Robinson was appointed to run an institution for the Nuenonne people at Bruny Island, near Hobart.</w:t>
      </w:r>
      <w:r w:rsidR="00CD1E12" w:rsidRPr="00F91AFC">
        <w:rPr>
          <w:rStyle w:val="FootnoteReference"/>
          <w:rFonts w:eastAsia="MS Mincho"/>
        </w:rPr>
        <w:footnoteReference w:id="52"/>
      </w:r>
      <w:r w:rsidR="00CD1E12" w:rsidRPr="00CD1E12">
        <w:rPr>
          <w:rFonts w:eastAsia="MS Mincho"/>
        </w:rPr>
        <w:t xml:space="preserve"> </w:t>
      </w:r>
      <w:r w:rsidR="00CD1E12" w:rsidRPr="00F91AFC">
        <w:rPr>
          <w:rFonts w:eastAsia="MS Mincho"/>
        </w:rPr>
        <w:t xml:space="preserve">This became the model for a larger scheme. </w:t>
      </w:r>
      <w:r w:rsidR="0051608F" w:rsidRPr="00F91AFC">
        <w:t xml:space="preserve">From 1830, </w:t>
      </w:r>
      <w:r w:rsidR="00F05DED" w:rsidRPr="00F91AFC">
        <w:t>George Augustus Robinson</w:t>
      </w:r>
      <w:r w:rsidR="002B661F" w:rsidRPr="00F91AFC">
        <w:t xml:space="preserve"> led a</w:t>
      </w:r>
      <w:r w:rsidR="00F05DED" w:rsidRPr="00F91AFC">
        <w:t xml:space="preserve"> ‘conciliatory’ mission </w:t>
      </w:r>
      <w:r w:rsidR="002B661F" w:rsidRPr="00F91AFC">
        <w:t>to co</w:t>
      </w:r>
      <w:r w:rsidR="00C65049" w:rsidRPr="00F91AFC">
        <w:t>nvince</w:t>
      </w:r>
      <w:r w:rsidR="005F0A97">
        <w:t xml:space="preserve"> or coerce</w:t>
      </w:r>
      <w:r w:rsidR="00F05DED" w:rsidRPr="00F91AFC">
        <w:t xml:space="preserve"> Aboriginal Tasmanian communities to </w:t>
      </w:r>
      <w:r w:rsidR="003502D8" w:rsidRPr="00F91AFC">
        <w:t xml:space="preserve">move to islands </w:t>
      </w:r>
      <w:r w:rsidR="0060299D" w:rsidRPr="00F91AFC">
        <w:t>or face continued</w:t>
      </w:r>
      <w:r w:rsidR="00C65049" w:rsidRPr="00F91AFC">
        <w:t xml:space="preserve"> violence</w:t>
      </w:r>
      <w:r w:rsidR="0060299D" w:rsidRPr="00F91AFC">
        <w:t xml:space="preserve"> </w:t>
      </w:r>
      <w:r w:rsidR="00F17A24">
        <w:t xml:space="preserve">on </w:t>
      </w:r>
      <w:r w:rsidR="0060299D" w:rsidRPr="00F91AFC">
        <w:t>the frontier</w:t>
      </w:r>
      <w:r w:rsidR="00C40B93" w:rsidRPr="00F91AFC">
        <w:t>.</w:t>
      </w:r>
      <w:r w:rsidR="00F27FDA" w:rsidRPr="00F91AFC">
        <w:rPr>
          <w:rStyle w:val="FootnoteReference"/>
        </w:rPr>
        <w:footnoteReference w:id="53"/>
      </w:r>
      <w:r w:rsidR="00F27FDA" w:rsidRPr="00F91AFC">
        <w:t xml:space="preserve"> </w:t>
      </w:r>
      <w:r w:rsidR="00B718EE" w:rsidRPr="00F91AFC">
        <w:t>Several islands in the Bass Strait were trailed before a long-term settlement was established on Flinders Island (1833–47).</w:t>
      </w:r>
      <w:r w:rsidR="00AA429F">
        <w:rPr>
          <w:rStyle w:val="FootnoteReference"/>
        </w:rPr>
        <w:footnoteReference w:id="54"/>
      </w:r>
      <w:r w:rsidR="00B718EE" w:rsidRPr="00F91AFC">
        <w:t xml:space="preserve"> </w:t>
      </w:r>
      <w:r w:rsidR="00131733" w:rsidRPr="00F91AFC">
        <w:rPr>
          <w:rFonts w:eastAsia="MS Mincho"/>
        </w:rPr>
        <w:t>In February 1830, Robinson</w:t>
      </w:r>
      <w:r w:rsidR="00721897" w:rsidRPr="00F91AFC">
        <w:rPr>
          <w:rFonts w:eastAsia="MS Mincho"/>
        </w:rPr>
        <w:t xml:space="preserve"> set off</w:t>
      </w:r>
      <w:r w:rsidR="00DD1C6C" w:rsidRPr="00F91AFC">
        <w:rPr>
          <w:rFonts w:eastAsia="MS Mincho"/>
        </w:rPr>
        <w:t xml:space="preserve"> on</w:t>
      </w:r>
      <w:r w:rsidR="00721897" w:rsidRPr="00F91AFC">
        <w:rPr>
          <w:rFonts w:eastAsia="MS Mincho"/>
        </w:rPr>
        <w:t xml:space="preserve"> an</w:t>
      </w:r>
      <w:r w:rsidR="00131733" w:rsidRPr="00F91AFC">
        <w:rPr>
          <w:rFonts w:eastAsia="MS Mincho"/>
        </w:rPr>
        <w:t xml:space="preserve"> expedition to Port Davey</w:t>
      </w:r>
      <w:r w:rsidR="00375A5F" w:rsidRPr="00F91AFC">
        <w:rPr>
          <w:rFonts w:eastAsia="MS Mincho"/>
        </w:rPr>
        <w:t xml:space="preserve"> with Nuennone mediators to </w:t>
      </w:r>
      <w:r w:rsidR="00131733" w:rsidRPr="00F91AFC">
        <w:rPr>
          <w:rFonts w:eastAsia="MS Mincho"/>
        </w:rPr>
        <w:t>convince other Aboriginal people to leave their homeland for Swan Island.</w:t>
      </w:r>
      <w:r w:rsidR="00131733" w:rsidRPr="00F91AFC">
        <w:rPr>
          <w:rStyle w:val="FootnoteReference"/>
          <w:rFonts w:eastAsia="MS Mincho"/>
        </w:rPr>
        <w:footnoteReference w:id="55"/>
      </w:r>
      <w:r w:rsidR="00C80CDB" w:rsidRPr="00F91AFC">
        <w:rPr>
          <w:rFonts w:eastAsia="MS Mincho"/>
        </w:rPr>
        <w:t xml:space="preserve"> </w:t>
      </w:r>
      <w:r w:rsidR="00B96C97" w:rsidRPr="00F91AFC">
        <w:rPr>
          <w:rFonts w:eastAsia="MS Mincho"/>
        </w:rPr>
        <w:t xml:space="preserve">In February 1831, </w:t>
      </w:r>
      <w:r w:rsidR="006A6B83">
        <w:rPr>
          <w:rFonts w:eastAsia="MS Mincho"/>
        </w:rPr>
        <w:t>G</w:t>
      </w:r>
      <w:r w:rsidR="00A86277" w:rsidRPr="00F91AFC">
        <w:rPr>
          <w:rFonts w:eastAsia="MS Mincho"/>
        </w:rPr>
        <w:t>overnor George Arthur formed a</w:t>
      </w:r>
      <w:r w:rsidR="00CD1E12">
        <w:rPr>
          <w:rFonts w:eastAsia="MS Mincho"/>
        </w:rPr>
        <w:t>n</w:t>
      </w:r>
      <w:r w:rsidR="00A86277" w:rsidRPr="00F91AFC">
        <w:rPr>
          <w:rFonts w:eastAsia="MS Mincho"/>
        </w:rPr>
        <w:t xml:space="preserve"> </w:t>
      </w:r>
      <w:r w:rsidR="00B96C97" w:rsidRPr="00F91AFC">
        <w:rPr>
          <w:rFonts w:eastAsia="MS Mincho"/>
        </w:rPr>
        <w:t>‘Aborigines Committee’</w:t>
      </w:r>
      <w:r w:rsidR="00CD1E12">
        <w:rPr>
          <w:rFonts w:eastAsia="MS Mincho"/>
        </w:rPr>
        <w:t xml:space="preserve"> (made up of six colonists)</w:t>
      </w:r>
      <w:r w:rsidR="00A86277" w:rsidRPr="00F91AFC">
        <w:rPr>
          <w:rFonts w:eastAsia="MS Mincho"/>
        </w:rPr>
        <w:t xml:space="preserve"> to advise on European-Aboriginal hostilities. </w:t>
      </w:r>
      <w:r w:rsidR="00375A5F" w:rsidRPr="00F91AFC">
        <w:rPr>
          <w:rFonts w:eastAsia="MS Mincho"/>
        </w:rPr>
        <w:t>It</w:t>
      </w:r>
      <w:r w:rsidR="00A86277" w:rsidRPr="00F91AFC">
        <w:rPr>
          <w:rFonts w:eastAsia="MS Mincho"/>
        </w:rPr>
        <w:t xml:space="preserve"> </w:t>
      </w:r>
      <w:r w:rsidR="00B871F6" w:rsidRPr="00F91AFC">
        <w:rPr>
          <w:rFonts w:eastAsia="MS Mincho"/>
        </w:rPr>
        <w:t>supported</w:t>
      </w:r>
      <w:r w:rsidR="00B96C97" w:rsidRPr="00F91AFC">
        <w:rPr>
          <w:rFonts w:eastAsia="MS Mincho"/>
        </w:rPr>
        <w:t xml:space="preserve"> Robinson</w:t>
      </w:r>
      <w:r w:rsidR="00AD1C5E">
        <w:rPr>
          <w:rFonts w:eastAsia="MS Mincho"/>
        </w:rPr>
        <w:t>’s</w:t>
      </w:r>
      <w:r w:rsidR="00B96C97" w:rsidRPr="00F91AFC">
        <w:rPr>
          <w:rFonts w:eastAsia="MS Mincho"/>
        </w:rPr>
        <w:t xml:space="preserve"> </w:t>
      </w:r>
      <w:r w:rsidR="00B871F6" w:rsidRPr="00F91AFC">
        <w:rPr>
          <w:rFonts w:eastAsia="MS Mincho"/>
        </w:rPr>
        <w:t>plan for</w:t>
      </w:r>
      <w:r w:rsidR="00B96C97" w:rsidRPr="00F91AFC">
        <w:rPr>
          <w:rFonts w:eastAsia="MS Mincho"/>
        </w:rPr>
        <w:t xml:space="preserve"> ‘the voluntary removal of the </w:t>
      </w:r>
      <w:r w:rsidR="00B96C97" w:rsidRPr="00F91AFC">
        <w:rPr>
          <w:rFonts w:eastAsia="MS Mincho"/>
        </w:rPr>
        <w:lastRenderedPageBreak/>
        <w:t>entire black population’</w:t>
      </w:r>
      <w:r w:rsidR="00B871F6" w:rsidRPr="00F91AFC">
        <w:rPr>
          <w:rFonts w:eastAsia="MS Mincho"/>
        </w:rPr>
        <w:t xml:space="preserve"> </w:t>
      </w:r>
      <w:r w:rsidR="00B96C97" w:rsidRPr="00F91AFC">
        <w:rPr>
          <w:rFonts w:eastAsia="MS Mincho"/>
        </w:rPr>
        <w:t>to Gun</w:t>
      </w:r>
      <w:r w:rsidR="00B37706" w:rsidRPr="00F91AFC">
        <w:rPr>
          <w:rFonts w:eastAsia="MS Mincho"/>
        </w:rPr>
        <w:t xml:space="preserve"> </w:t>
      </w:r>
      <w:r w:rsidR="00B96C97" w:rsidRPr="00F91AFC">
        <w:rPr>
          <w:rFonts w:eastAsia="MS Mincho"/>
        </w:rPr>
        <w:t>Carriage Island</w:t>
      </w:r>
      <w:r w:rsidR="00A86277" w:rsidRPr="00F91AFC">
        <w:rPr>
          <w:rFonts w:eastAsia="MS Mincho"/>
        </w:rPr>
        <w:t xml:space="preserve"> and then, from September, to Flinders </w:t>
      </w:r>
      <w:r w:rsidR="00B871F6" w:rsidRPr="00F91AFC">
        <w:rPr>
          <w:rFonts w:eastAsia="MS Mincho"/>
        </w:rPr>
        <w:t>Island</w:t>
      </w:r>
      <w:r w:rsidR="00A86277" w:rsidRPr="00F91AFC">
        <w:rPr>
          <w:rFonts w:eastAsia="MS Mincho"/>
        </w:rPr>
        <w:t xml:space="preserve"> in the Bass Strait</w:t>
      </w:r>
      <w:r w:rsidR="00B96C97" w:rsidRPr="00F91AFC">
        <w:rPr>
          <w:rFonts w:eastAsia="MS Mincho"/>
        </w:rPr>
        <w:t>.</w:t>
      </w:r>
      <w:r w:rsidR="00B96C97" w:rsidRPr="00F91AFC">
        <w:rPr>
          <w:rStyle w:val="FootnoteReference"/>
          <w:rFonts w:eastAsia="MS Mincho"/>
        </w:rPr>
        <w:footnoteReference w:id="56"/>
      </w:r>
      <w:r w:rsidR="00B96C97" w:rsidRPr="00F91AFC">
        <w:rPr>
          <w:rFonts w:eastAsia="MS Mincho"/>
        </w:rPr>
        <w:t xml:space="preserve"> </w:t>
      </w:r>
      <w:r w:rsidR="000A42B1" w:rsidRPr="00F91AFC">
        <w:rPr>
          <w:rFonts w:eastAsia="MS Mincho"/>
        </w:rPr>
        <w:t xml:space="preserve">The sole </w:t>
      </w:r>
      <w:r w:rsidR="00022749" w:rsidRPr="00F91AFC">
        <w:rPr>
          <w:rFonts w:eastAsia="MS Mincho"/>
        </w:rPr>
        <w:t>dissenting</w:t>
      </w:r>
      <w:r w:rsidR="000A42B1" w:rsidRPr="00F91AFC">
        <w:rPr>
          <w:rFonts w:eastAsia="MS Mincho"/>
        </w:rPr>
        <w:t xml:space="preserve"> voice was </w:t>
      </w:r>
      <w:r w:rsidR="00375A5F" w:rsidRPr="00F91AFC">
        <w:rPr>
          <w:rFonts w:eastAsia="MS Mincho"/>
        </w:rPr>
        <w:t>c</w:t>
      </w:r>
      <w:r w:rsidR="000A42B1" w:rsidRPr="00F91AFC">
        <w:rPr>
          <w:rFonts w:eastAsia="MS Mincho"/>
        </w:rPr>
        <w:t xml:space="preserve">hief </w:t>
      </w:r>
      <w:r w:rsidR="00375A5F" w:rsidRPr="00F91AFC">
        <w:rPr>
          <w:rFonts w:eastAsia="MS Mincho"/>
        </w:rPr>
        <w:t>j</w:t>
      </w:r>
      <w:r w:rsidR="000A42B1" w:rsidRPr="00F91AFC">
        <w:rPr>
          <w:rFonts w:eastAsia="MS Mincho"/>
        </w:rPr>
        <w:t>ustice</w:t>
      </w:r>
      <w:r w:rsidR="00375A5F" w:rsidRPr="00F91AFC">
        <w:rPr>
          <w:rFonts w:eastAsia="MS Mincho"/>
        </w:rPr>
        <w:t>,</w:t>
      </w:r>
      <w:r w:rsidR="000A42B1" w:rsidRPr="00F91AFC">
        <w:rPr>
          <w:rFonts w:eastAsia="MS Mincho"/>
        </w:rPr>
        <w:t xml:space="preserve"> John Lewis Pedder</w:t>
      </w:r>
      <w:r w:rsidR="00375A5F" w:rsidRPr="00F91AFC">
        <w:rPr>
          <w:rFonts w:eastAsia="MS Mincho"/>
        </w:rPr>
        <w:t>,</w:t>
      </w:r>
      <w:r w:rsidR="000A42B1" w:rsidRPr="00F91AFC">
        <w:rPr>
          <w:rFonts w:eastAsia="MS Mincho"/>
        </w:rPr>
        <w:t xml:space="preserve"> who objected to the ‘expatriation’ of entire communities</w:t>
      </w:r>
      <w:r w:rsidR="00CD1E12">
        <w:rPr>
          <w:rFonts w:eastAsia="MS Mincho"/>
        </w:rPr>
        <w:t>, rather than hostile individuals</w:t>
      </w:r>
      <w:r w:rsidR="000A42B1" w:rsidRPr="00F91AFC">
        <w:rPr>
          <w:rFonts w:eastAsia="MS Mincho"/>
        </w:rPr>
        <w:t>.</w:t>
      </w:r>
      <w:r w:rsidR="000A42B1" w:rsidRPr="00F91AFC">
        <w:rPr>
          <w:rStyle w:val="FootnoteReference"/>
          <w:rFonts w:eastAsia="MS Mincho"/>
        </w:rPr>
        <w:footnoteReference w:id="57"/>
      </w:r>
      <w:r w:rsidR="00AD1C5E">
        <w:rPr>
          <w:rFonts w:eastAsia="MS Mincho"/>
        </w:rPr>
        <w:t xml:space="preserve"> R</w:t>
      </w:r>
      <w:r w:rsidR="00942630" w:rsidRPr="00F91AFC">
        <w:rPr>
          <w:rFonts w:eastAsia="MS Mincho"/>
        </w:rPr>
        <w:t xml:space="preserve">obinson </w:t>
      </w:r>
      <w:r w:rsidR="000118D6" w:rsidRPr="00F91AFC">
        <w:rPr>
          <w:rFonts w:eastAsia="MS Mincho"/>
        </w:rPr>
        <w:t>argued</w:t>
      </w:r>
      <w:r w:rsidR="00942630" w:rsidRPr="00F91AFC">
        <w:rPr>
          <w:rFonts w:eastAsia="MS Mincho"/>
        </w:rPr>
        <w:t xml:space="preserve"> that ‘</w:t>
      </w:r>
      <w:r w:rsidR="00942630" w:rsidRPr="00F91AFC">
        <w:t>if the Natives were placed on an island in Basses’ Strait [sic] they would not feel themselves imprisoned there … nor would they wish to return to the main land, or regret their inability to hunt and roam about’.</w:t>
      </w:r>
      <w:r w:rsidR="00942630" w:rsidRPr="00F91AFC">
        <w:rPr>
          <w:rStyle w:val="FootnoteReference"/>
        </w:rPr>
        <w:footnoteReference w:id="58"/>
      </w:r>
      <w:r w:rsidR="00942630" w:rsidRPr="00F91AFC">
        <w:t xml:space="preserve"> </w:t>
      </w:r>
      <w:r w:rsidR="00942630" w:rsidRPr="00F91AFC">
        <w:rPr>
          <w:rFonts w:eastAsia="MS Mincho"/>
        </w:rPr>
        <w:t xml:space="preserve">Being ‘stationary’, Robinson </w:t>
      </w:r>
      <w:r w:rsidR="000118D6" w:rsidRPr="00F91AFC">
        <w:rPr>
          <w:rFonts w:eastAsia="MS Mincho"/>
        </w:rPr>
        <w:t>claimed</w:t>
      </w:r>
      <w:r w:rsidR="00942630" w:rsidRPr="00F91AFC">
        <w:rPr>
          <w:rFonts w:eastAsia="MS Mincho"/>
        </w:rPr>
        <w:t>, would offer ‘a better chance … for their civilization’ and they could be taught ‘the art of cultivating the soil’.</w:t>
      </w:r>
      <w:r w:rsidR="00942630" w:rsidRPr="00F91AFC">
        <w:rPr>
          <w:rStyle w:val="FootnoteReference"/>
          <w:rFonts w:eastAsia="MS Mincho"/>
        </w:rPr>
        <w:footnoteReference w:id="59"/>
      </w:r>
      <w:r w:rsidR="000118D6" w:rsidRPr="00F91AFC">
        <w:rPr>
          <w:rFonts w:eastAsia="MS Mincho"/>
        </w:rPr>
        <w:t xml:space="preserve"> Since stadial theory posited that ‘roaming’ was inferior to</w:t>
      </w:r>
      <w:r w:rsidR="0099103B">
        <w:rPr>
          <w:rFonts w:eastAsia="MS Mincho"/>
        </w:rPr>
        <w:t xml:space="preserve"> settled ways of living (based around farming), </w:t>
      </w:r>
      <w:r w:rsidR="000118D6" w:rsidRPr="00F91AFC">
        <w:t>t</w:t>
      </w:r>
      <w:r w:rsidR="00942630" w:rsidRPr="00F91AFC">
        <w:t>he British government considered</w:t>
      </w:r>
      <w:r w:rsidR="00857D3C" w:rsidRPr="00F91AFC">
        <w:t xml:space="preserve"> the </w:t>
      </w:r>
      <w:r w:rsidR="00942630" w:rsidRPr="00F91AFC">
        <w:t xml:space="preserve">bounded </w:t>
      </w:r>
      <w:r w:rsidR="00857D3C" w:rsidRPr="00F91AFC">
        <w:t>island an</w:t>
      </w:r>
      <w:r w:rsidR="00942630" w:rsidRPr="00F91AFC">
        <w:t xml:space="preserve"> ideal ‘laboratory for civilization’</w:t>
      </w:r>
      <w:r w:rsidR="00C80F5B" w:rsidRPr="00F91AFC">
        <w:t>.</w:t>
      </w:r>
      <w:r w:rsidR="00C80F5B" w:rsidRPr="00F91AFC">
        <w:rPr>
          <w:rStyle w:val="FootnoteReference"/>
          <w:rFonts w:eastAsia="MS Mincho"/>
        </w:rPr>
        <w:footnoteReference w:id="60"/>
      </w:r>
      <w:r w:rsidR="00C80F5B" w:rsidRPr="00F91AFC">
        <w:t xml:space="preserve"> </w:t>
      </w:r>
      <w:r w:rsidR="005C27F0" w:rsidRPr="00F91AFC">
        <w:t>Furthermore, islands offered limited oppor</w:t>
      </w:r>
      <w:r w:rsidR="006A6B83">
        <w:t>tunities</w:t>
      </w:r>
      <w:r w:rsidR="005C27F0" w:rsidRPr="00F91AFC">
        <w:t xml:space="preserve"> for hunting and roaming to bolster their daily rations without further cost to the government.  </w:t>
      </w:r>
    </w:p>
    <w:p w14:paraId="7D17858E" w14:textId="77777777" w:rsidR="00AD1C5E" w:rsidRPr="00F91AFC" w:rsidRDefault="00AD1C5E" w:rsidP="00AD1C5E">
      <w:pPr>
        <w:spacing w:line="276" w:lineRule="auto"/>
        <w:ind w:right="120"/>
      </w:pPr>
    </w:p>
    <w:p w14:paraId="257B5CB5" w14:textId="178C2F8B" w:rsidR="003502D8" w:rsidRDefault="0099103B" w:rsidP="00AD1C5E">
      <w:pPr>
        <w:spacing w:line="276" w:lineRule="auto"/>
        <w:ind w:right="120"/>
        <w:rPr>
          <w:rFonts w:eastAsia="MS Mincho"/>
        </w:rPr>
      </w:pPr>
      <w:r>
        <w:t xml:space="preserve">The </w:t>
      </w:r>
      <w:r w:rsidR="000118D6" w:rsidRPr="00F91AFC">
        <w:t xml:space="preserve">British government relocated Indigenous people to islands </w:t>
      </w:r>
      <w:r>
        <w:t>in other parts of their</w:t>
      </w:r>
      <w:r w:rsidR="000118D6" w:rsidRPr="00F91AFC">
        <w:t xml:space="preserve"> empire</w:t>
      </w:r>
      <w:r>
        <w:t xml:space="preserve"> as well</w:t>
      </w:r>
      <w:r w:rsidR="000118D6" w:rsidRPr="00F91AFC">
        <w:t>. Around 1200 formerly-enslaved ‘Liberated Africans</w:t>
      </w:r>
      <w:r w:rsidR="006A6B83">
        <w:t>’</w:t>
      </w:r>
      <w:r w:rsidR="000118D6" w:rsidRPr="00F91AFC">
        <w:t xml:space="preserve"> were relocated to McCarthy Island in the River Gambia.</w:t>
      </w:r>
      <w:r w:rsidR="000118D6" w:rsidRPr="00F91AFC">
        <w:rPr>
          <w:rStyle w:val="FootnoteReference"/>
        </w:rPr>
        <w:footnoteReference w:id="61"/>
      </w:r>
      <w:r w:rsidR="000118D6" w:rsidRPr="00F91AFC">
        <w:t xml:space="preserve"> From 1833</w:t>
      </w:r>
      <w:r w:rsidR="00154B0B">
        <w:t xml:space="preserve"> to 18</w:t>
      </w:r>
      <w:r w:rsidR="000118D6" w:rsidRPr="00F91AFC">
        <w:t>38, Wesleyan missionaries established a ‘model farm and village’</w:t>
      </w:r>
      <w:r>
        <w:t xml:space="preserve"> on the island </w:t>
      </w:r>
      <w:r w:rsidR="000118D6" w:rsidRPr="00F91AFC">
        <w:t xml:space="preserve">for Fulani herders </w:t>
      </w:r>
      <w:r w:rsidR="00B81738" w:rsidRPr="00F91AFC">
        <w:t>hoping</w:t>
      </w:r>
      <w:r w:rsidR="000118D6" w:rsidRPr="00F91AFC">
        <w:t xml:space="preserve"> they would ‘abandon their nomadic ways’.</w:t>
      </w:r>
      <w:r w:rsidR="000118D6" w:rsidRPr="00F91AFC">
        <w:rPr>
          <w:rStyle w:val="FootnoteReference"/>
        </w:rPr>
        <w:footnoteReference w:id="62"/>
      </w:r>
      <w:r w:rsidR="000118D6" w:rsidRPr="00F91AFC">
        <w:t xml:space="preserve"> In 1836, </w:t>
      </w:r>
      <w:r>
        <w:t xml:space="preserve">the </w:t>
      </w:r>
      <w:r w:rsidR="000118D6" w:rsidRPr="00F91AFC">
        <w:t>Odawa and Ojibway</w:t>
      </w:r>
      <w:r>
        <w:t xml:space="preserve"> people</w:t>
      </w:r>
      <w:r w:rsidR="000118D6" w:rsidRPr="00F91AFC">
        <w:t xml:space="preserve"> signed a treaty with Sir Francis Bond Head, ceding their territory in exchange for relocation to Manitoulin Island in the Great Lakes (Canada).</w:t>
      </w:r>
      <w:r w:rsidR="000118D6" w:rsidRPr="00F91AFC">
        <w:rPr>
          <w:rStyle w:val="FootnoteReference"/>
        </w:rPr>
        <w:footnoteReference w:id="63"/>
      </w:r>
      <w:r w:rsidR="000118D6" w:rsidRPr="00F91AFC">
        <w:t xml:space="preserve"> The commissary general, Randolph Routh, described Manitoulin island as a ‘desirable asylum’ where their wandering impulses could be ‘restrain[ed]’ enabling a ‘natural progress’ towards </w:t>
      </w:r>
      <w:r w:rsidRPr="00F91AFC">
        <w:t>civili</w:t>
      </w:r>
      <w:r>
        <w:t>s</w:t>
      </w:r>
      <w:r w:rsidRPr="00F91AFC">
        <w:t>ation</w:t>
      </w:r>
      <w:r w:rsidR="000118D6" w:rsidRPr="00F91AFC">
        <w:t>.</w:t>
      </w:r>
      <w:r w:rsidR="000118D6" w:rsidRPr="00F91AFC">
        <w:rPr>
          <w:rStyle w:val="FootnoteReference"/>
        </w:rPr>
        <w:footnoteReference w:id="64"/>
      </w:r>
      <w:r w:rsidR="000118D6" w:rsidRPr="00F91AFC">
        <w:t xml:space="preserve"> These schemes justified island imprisonment as an opportunity for ‘civilization’, reflecting evangelical humanitarian reform that shaped colonial governance in the 1830s. </w:t>
      </w:r>
      <w:r w:rsidR="000118D6" w:rsidRPr="00F91AFC">
        <w:rPr>
          <w:rFonts w:eastAsia="MS Mincho"/>
        </w:rPr>
        <w:t xml:space="preserve">The 1836–37 British Parliamentary Select Committee on Aborigines, chaired by abolitionist Thomas Fowell Buxton, advocated for ‘protection’ </w:t>
      </w:r>
      <w:r w:rsidR="000118D6" w:rsidRPr="00F91AFC">
        <w:rPr>
          <w:rFonts w:eastAsia="MS Mincho"/>
        </w:rPr>
        <w:lastRenderedPageBreak/>
        <w:t>of Indigenous people from settler violence by removing them to reserves and missions where they could be ‘</w:t>
      </w:r>
      <w:r w:rsidR="006A6B83" w:rsidRPr="00F91AFC">
        <w:rPr>
          <w:rFonts w:eastAsia="MS Mincho"/>
        </w:rPr>
        <w:t>civili</w:t>
      </w:r>
      <w:r w:rsidR="006A6B83">
        <w:rPr>
          <w:rFonts w:eastAsia="MS Mincho"/>
        </w:rPr>
        <w:t>z</w:t>
      </w:r>
      <w:r w:rsidR="006A6B83" w:rsidRPr="00F91AFC">
        <w:rPr>
          <w:rFonts w:eastAsia="MS Mincho"/>
        </w:rPr>
        <w:t xml:space="preserve">ed’ </w:t>
      </w:r>
      <w:r w:rsidR="000118D6" w:rsidRPr="00F91AFC">
        <w:rPr>
          <w:rFonts w:eastAsia="MS Mincho"/>
        </w:rPr>
        <w:t>and taught Christianity.</w:t>
      </w:r>
      <w:r w:rsidR="000118D6" w:rsidRPr="00F91AFC">
        <w:rPr>
          <w:rStyle w:val="FootnoteReference"/>
          <w:rFonts w:eastAsia="MS Mincho"/>
        </w:rPr>
        <w:footnoteReference w:id="65"/>
      </w:r>
      <w:r w:rsidR="000118D6" w:rsidRPr="00F91AFC">
        <w:rPr>
          <w:rFonts w:eastAsia="MS Mincho"/>
        </w:rPr>
        <w:t xml:space="preserve"> </w:t>
      </w:r>
    </w:p>
    <w:p w14:paraId="22C3662A" w14:textId="77777777" w:rsidR="00AD1C5E" w:rsidRPr="00F91AFC" w:rsidRDefault="00AD1C5E" w:rsidP="00AD1C5E">
      <w:pPr>
        <w:spacing w:line="276" w:lineRule="auto"/>
        <w:ind w:right="120"/>
      </w:pPr>
    </w:p>
    <w:p w14:paraId="299C3ABB" w14:textId="2CD92843" w:rsidR="00F31282" w:rsidRDefault="00C80CDB" w:rsidP="00AD1C5E">
      <w:pPr>
        <w:spacing w:line="276" w:lineRule="auto"/>
        <w:ind w:right="120"/>
        <w:rPr>
          <w:rFonts w:eastAsia="MS Mincho"/>
        </w:rPr>
      </w:pPr>
      <w:r w:rsidRPr="00F91AFC">
        <w:rPr>
          <w:rFonts w:eastAsia="MS Mincho"/>
        </w:rPr>
        <w:t>By January 1832, Robinson had convinced the Big River people to leave for Flinders Island, effectively ending the Tasmanian War.</w:t>
      </w:r>
      <w:r w:rsidR="009F45E2" w:rsidRPr="00F91AFC">
        <w:rPr>
          <w:rFonts w:eastAsia="MS Mincho"/>
        </w:rPr>
        <w:t xml:space="preserve"> </w:t>
      </w:r>
      <w:r w:rsidR="00495FD7" w:rsidRPr="00F91AFC">
        <w:rPr>
          <w:rFonts w:eastAsia="MS Mincho"/>
        </w:rPr>
        <w:t xml:space="preserve">Between </w:t>
      </w:r>
      <w:r w:rsidR="009619A3" w:rsidRPr="00F91AFC">
        <w:rPr>
          <w:rFonts w:eastAsia="MS Mincho"/>
        </w:rPr>
        <w:t>December</w:t>
      </w:r>
      <w:r w:rsidR="00495FD7" w:rsidRPr="00F91AFC">
        <w:rPr>
          <w:rFonts w:eastAsia="MS Mincho"/>
        </w:rPr>
        <w:t xml:space="preserve"> 1833 and August 1834, </w:t>
      </w:r>
      <w:r w:rsidR="005B7BA1">
        <w:rPr>
          <w:rFonts w:eastAsia="MS Mincho"/>
        </w:rPr>
        <w:t>captured what he believed to be the last remaining Indigenous Tasmanians on the west coast, declaring ‘The work is done, the great evil is removed’.</w:t>
      </w:r>
      <w:r w:rsidR="005B7BA1">
        <w:rPr>
          <w:rStyle w:val="FootnoteReference"/>
          <w:rFonts w:eastAsia="MS Mincho"/>
        </w:rPr>
        <w:footnoteReference w:id="66"/>
      </w:r>
      <w:r w:rsidR="0043031A" w:rsidRPr="00F91AFC">
        <w:rPr>
          <w:rFonts w:eastAsia="MS Mincho"/>
        </w:rPr>
        <w:t xml:space="preserve"> </w:t>
      </w:r>
      <w:r w:rsidR="00B936A9" w:rsidRPr="00F91AFC">
        <w:rPr>
          <w:rFonts w:eastAsia="MS Mincho"/>
        </w:rPr>
        <w:t>It is hard to ga</w:t>
      </w:r>
      <w:r w:rsidR="000118D6" w:rsidRPr="00F91AFC">
        <w:rPr>
          <w:rFonts w:eastAsia="MS Mincho"/>
        </w:rPr>
        <w:t>u</w:t>
      </w:r>
      <w:r w:rsidR="00B936A9" w:rsidRPr="00F91AFC">
        <w:rPr>
          <w:rFonts w:eastAsia="MS Mincho"/>
        </w:rPr>
        <w:t>ge the total death toll of Aboriginal Tasmanians</w:t>
      </w:r>
      <w:r w:rsidR="00345F58" w:rsidRPr="00F91AFC">
        <w:rPr>
          <w:rFonts w:eastAsia="MS Mincho"/>
        </w:rPr>
        <w:t xml:space="preserve"> </w:t>
      </w:r>
      <w:r w:rsidR="00EE03B3" w:rsidRPr="00F91AFC">
        <w:rPr>
          <w:rFonts w:eastAsia="MS Mincho"/>
        </w:rPr>
        <w:t xml:space="preserve">who died </w:t>
      </w:r>
      <w:r w:rsidR="00345F58" w:rsidRPr="00F91AFC">
        <w:rPr>
          <w:rFonts w:eastAsia="MS Mincho"/>
        </w:rPr>
        <w:t>during the war</w:t>
      </w:r>
      <w:r w:rsidR="006A6B83">
        <w:rPr>
          <w:rFonts w:eastAsia="MS Mincho"/>
        </w:rPr>
        <w:t xml:space="preserve">—not </w:t>
      </w:r>
      <w:r w:rsidR="00EE03B3" w:rsidRPr="00F91AFC">
        <w:rPr>
          <w:rFonts w:eastAsia="MS Mincho"/>
        </w:rPr>
        <w:t>only as a direct result of conflict, but from famine and exposure to disease</w:t>
      </w:r>
      <w:r w:rsidR="006A6B83">
        <w:rPr>
          <w:rFonts w:eastAsia="MS Mincho"/>
        </w:rPr>
        <w:t>—</w:t>
      </w:r>
      <w:r w:rsidR="00345F58" w:rsidRPr="00F91AFC">
        <w:rPr>
          <w:rFonts w:eastAsia="MS Mincho"/>
        </w:rPr>
        <w:t xml:space="preserve">but only </w:t>
      </w:r>
      <w:r w:rsidR="00FB098B" w:rsidRPr="00F91AFC">
        <w:rPr>
          <w:rFonts w:eastAsia="MS Mincho"/>
        </w:rPr>
        <w:t>around 200</w:t>
      </w:r>
      <w:r w:rsidR="00345F58" w:rsidRPr="00F91AFC">
        <w:rPr>
          <w:rFonts w:eastAsia="MS Mincho"/>
        </w:rPr>
        <w:t xml:space="preserve"> survived to be </w:t>
      </w:r>
      <w:r w:rsidR="000118D6" w:rsidRPr="00F91AFC">
        <w:rPr>
          <w:rFonts w:eastAsia="MS Mincho"/>
        </w:rPr>
        <w:t>relocated</w:t>
      </w:r>
      <w:r w:rsidR="00345F58" w:rsidRPr="00F91AFC">
        <w:rPr>
          <w:rFonts w:eastAsia="MS Mincho"/>
        </w:rPr>
        <w:t xml:space="preserve"> to Flinders Island.</w:t>
      </w:r>
      <w:r w:rsidR="00F14366" w:rsidRPr="00F91AFC">
        <w:rPr>
          <w:rStyle w:val="FootnoteReference"/>
          <w:rFonts w:eastAsia="MS Mincho"/>
        </w:rPr>
        <w:footnoteReference w:id="67"/>
      </w:r>
      <w:r w:rsidR="00F14366" w:rsidRPr="00F91AFC">
        <w:rPr>
          <w:rFonts w:eastAsia="MS Mincho"/>
        </w:rPr>
        <w:t xml:space="preserve"> </w:t>
      </w:r>
      <w:r w:rsidR="00667FE4" w:rsidRPr="00F91AFC">
        <w:rPr>
          <w:rFonts w:eastAsia="MS Mincho"/>
        </w:rPr>
        <w:t xml:space="preserve">Between </w:t>
      </w:r>
      <w:r w:rsidR="009577D2" w:rsidRPr="00F91AFC">
        <w:rPr>
          <w:rFonts w:eastAsia="MS Mincho"/>
        </w:rPr>
        <w:t>1832</w:t>
      </w:r>
      <w:r w:rsidR="006A6B83">
        <w:rPr>
          <w:rFonts w:eastAsia="MS Mincho"/>
        </w:rPr>
        <w:t xml:space="preserve"> and 18</w:t>
      </w:r>
      <w:r w:rsidR="009577D2" w:rsidRPr="00F91AFC">
        <w:rPr>
          <w:rFonts w:eastAsia="MS Mincho"/>
        </w:rPr>
        <w:t xml:space="preserve">47, </w:t>
      </w:r>
      <w:r w:rsidR="007D040A" w:rsidRPr="00F91AFC">
        <w:rPr>
          <w:rFonts w:eastAsia="MS Mincho"/>
        </w:rPr>
        <w:t xml:space="preserve">a further </w:t>
      </w:r>
      <w:r w:rsidR="009577D2" w:rsidRPr="00F91AFC">
        <w:rPr>
          <w:rFonts w:eastAsia="MS Mincho"/>
        </w:rPr>
        <w:t xml:space="preserve">132 Aboriginal Tasmanians died on </w:t>
      </w:r>
      <w:r w:rsidR="007D040A" w:rsidRPr="00F91AFC">
        <w:rPr>
          <w:rFonts w:eastAsia="MS Mincho"/>
        </w:rPr>
        <w:t>the</w:t>
      </w:r>
      <w:r w:rsidR="009577D2" w:rsidRPr="00F91AFC">
        <w:rPr>
          <w:rFonts w:eastAsia="MS Mincho"/>
        </w:rPr>
        <w:t xml:space="preserve"> </w:t>
      </w:r>
      <w:r w:rsidR="007D040A" w:rsidRPr="00F91AFC">
        <w:rPr>
          <w:rFonts w:eastAsia="MS Mincho"/>
        </w:rPr>
        <w:t>island.</w:t>
      </w:r>
      <w:r w:rsidR="00D611BE" w:rsidRPr="00F91AFC">
        <w:rPr>
          <w:rStyle w:val="FootnoteReference"/>
          <w:rFonts w:eastAsia="MS Mincho"/>
        </w:rPr>
        <w:footnoteReference w:id="68"/>
      </w:r>
      <w:r w:rsidR="009577D2" w:rsidRPr="00F91AFC">
        <w:rPr>
          <w:rFonts w:eastAsia="MS Mincho"/>
        </w:rPr>
        <w:t xml:space="preserve"> </w:t>
      </w:r>
      <w:r w:rsidR="000118D6" w:rsidRPr="00F91AFC">
        <w:rPr>
          <w:rFonts w:eastAsia="MS Mincho"/>
        </w:rPr>
        <w:t xml:space="preserve">This </w:t>
      </w:r>
      <w:r w:rsidR="00B81738" w:rsidRPr="00F91AFC">
        <w:rPr>
          <w:rFonts w:eastAsia="MS Mincho"/>
        </w:rPr>
        <w:t xml:space="preserve">high </w:t>
      </w:r>
      <w:r w:rsidR="000118D6" w:rsidRPr="00F91AFC">
        <w:rPr>
          <w:rFonts w:eastAsia="MS Mincho"/>
        </w:rPr>
        <w:t xml:space="preserve">mortality rate did not challenge Britain’s view of Flinders Island as a humanitarian model. Instead, it </w:t>
      </w:r>
      <w:r w:rsidR="00B81738" w:rsidRPr="00F91AFC">
        <w:rPr>
          <w:rFonts w:eastAsia="MS Mincho"/>
        </w:rPr>
        <w:t xml:space="preserve">confirmed </w:t>
      </w:r>
      <w:r w:rsidR="000118D6" w:rsidRPr="00F91AFC">
        <w:rPr>
          <w:rFonts w:eastAsia="MS Mincho"/>
        </w:rPr>
        <w:t>prevalent ideas that Indigenous people could not adapt to European ways of life and were ‘doomed’ to extinction.</w:t>
      </w:r>
      <w:r w:rsidR="000118D6" w:rsidRPr="00F91AFC">
        <w:rPr>
          <w:rStyle w:val="FootnoteReference"/>
          <w:rFonts w:eastAsia="MS Mincho"/>
        </w:rPr>
        <w:footnoteReference w:id="69"/>
      </w:r>
      <w:r w:rsidR="000118D6" w:rsidRPr="00F91AFC">
        <w:rPr>
          <w:rFonts w:eastAsia="MS Mincho"/>
        </w:rPr>
        <w:t xml:space="preserve"> This ideology was not incompatible with humanitarianism</w:t>
      </w:r>
      <w:r w:rsidR="0099103B">
        <w:rPr>
          <w:rFonts w:eastAsia="MS Mincho"/>
        </w:rPr>
        <w:t>. It</w:t>
      </w:r>
      <w:r w:rsidR="000118D6" w:rsidRPr="00F91AFC">
        <w:rPr>
          <w:rFonts w:eastAsia="MS Mincho"/>
        </w:rPr>
        <w:t xml:space="preserve"> demand</w:t>
      </w:r>
      <w:r w:rsidR="0099103B">
        <w:rPr>
          <w:rFonts w:eastAsia="MS Mincho"/>
        </w:rPr>
        <w:t>ed</w:t>
      </w:r>
      <w:r w:rsidR="000118D6" w:rsidRPr="00F91AFC">
        <w:rPr>
          <w:rFonts w:eastAsia="MS Mincho"/>
        </w:rPr>
        <w:t xml:space="preserve"> a duty of care over </w:t>
      </w:r>
      <w:r w:rsidR="0099103B">
        <w:rPr>
          <w:rFonts w:eastAsia="MS Mincho"/>
        </w:rPr>
        <w:t>Indigenous</w:t>
      </w:r>
      <w:r w:rsidR="0099103B" w:rsidRPr="00F91AFC">
        <w:rPr>
          <w:rFonts w:eastAsia="MS Mincho"/>
        </w:rPr>
        <w:t xml:space="preserve"> </w:t>
      </w:r>
      <w:r w:rsidR="000118D6" w:rsidRPr="00F91AFC">
        <w:rPr>
          <w:rFonts w:eastAsia="MS Mincho"/>
        </w:rPr>
        <w:t>people in the short term,</w:t>
      </w:r>
      <w:r w:rsidR="0099103B">
        <w:rPr>
          <w:rFonts w:eastAsia="MS Mincho"/>
        </w:rPr>
        <w:t xml:space="preserve"> but</w:t>
      </w:r>
      <w:r w:rsidR="000118D6" w:rsidRPr="00F91AFC">
        <w:rPr>
          <w:rFonts w:eastAsia="MS Mincho"/>
        </w:rPr>
        <w:t xml:space="preserve"> </w:t>
      </w:r>
      <w:r w:rsidR="00B81738" w:rsidRPr="00F91AFC">
        <w:rPr>
          <w:rFonts w:eastAsia="MS Mincho"/>
        </w:rPr>
        <w:t>uph</w:t>
      </w:r>
      <w:r w:rsidR="0099103B">
        <w:rPr>
          <w:rFonts w:eastAsia="MS Mincho"/>
        </w:rPr>
        <w:t>eld</w:t>
      </w:r>
      <w:r w:rsidR="00B81738" w:rsidRPr="00F91AFC">
        <w:rPr>
          <w:rFonts w:eastAsia="MS Mincho"/>
        </w:rPr>
        <w:t xml:space="preserve"> the natural inferiority of Indigenous people, thus reaffirming</w:t>
      </w:r>
      <w:r w:rsidR="000118D6" w:rsidRPr="00F91AFC">
        <w:rPr>
          <w:rFonts w:eastAsia="MS Mincho"/>
        </w:rPr>
        <w:t xml:space="preserve"> Brit</w:t>
      </w:r>
      <w:r w:rsidR="00B81738" w:rsidRPr="00F91AFC">
        <w:rPr>
          <w:rFonts w:eastAsia="MS Mincho"/>
        </w:rPr>
        <w:t xml:space="preserve">ain’s superior claim to </w:t>
      </w:r>
      <w:r w:rsidR="0099103B">
        <w:rPr>
          <w:rFonts w:eastAsia="MS Mincho"/>
        </w:rPr>
        <w:t>Indigenous</w:t>
      </w:r>
      <w:r w:rsidR="0099103B" w:rsidRPr="00F91AFC">
        <w:rPr>
          <w:rFonts w:eastAsia="MS Mincho"/>
        </w:rPr>
        <w:t xml:space="preserve"> </w:t>
      </w:r>
      <w:r w:rsidR="00B81738" w:rsidRPr="00F91AFC">
        <w:rPr>
          <w:rFonts w:eastAsia="MS Mincho"/>
        </w:rPr>
        <w:t xml:space="preserve">lands </w:t>
      </w:r>
      <w:r w:rsidR="000118D6" w:rsidRPr="00F91AFC">
        <w:rPr>
          <w:rFonts w:eastAsia="MS Mincho"/>
        </w:rPr>
        <w:t>in the long-term.</w:t>
      </w:r>
      <w:r w:rsidR="000118D6" w:rsidRPr="00F91AFC">
        <w:rPr>
          <w:rStyle w:val="FootnoteReference"/>
          <w:rFonts w:eastAsia="MS Mincho"/>
        </w:rPr>
        <w:footnoteReference w:id="70"/>
      </w:r>
    </w:p>
    <w:p w14:paraId="28431BC2" w14:textId="77777777" w:rsidR="00AD1C5E" w:rsidRPr="00F91AFC" w:rsidRDefault="00AD1C5E" w:rsidP="00AD1C5E">
      <w:pPr>
        <w:spacing w:line="276" w:lineRule="auto"/>
        <w:ind w:right="120"/>
        <w:rPr>
          <w:rFonts w:eastAsia="MS Mincho"/>
        </w:rPr>
      </w:pPr>
    </w:p>
    <w:p w14:paraId="1D74C2C0" w14:textId="6D550270" w:rsidR="006A6B83" w:rsidRDefault="004F459C" w:rsidP="00AD1C5E">
      <w:pPr>
        <w:spacing w:line="276" w:lineRule="auto"/>
        <w:rPr>
          <w:rFonts w:eastAsia="MS Mincho"/>
        </w:rPr>
      </w:pPr>
      <w:r w:rsidRPr="00F91AFC">
        <w:rPr>
          <w:rFonts w:eastAsia="MS Mincho"/>
        </w:rPr>
        <w:t>The British first coloni</w:t>
      </w:r>
      <w:r w:rsidR="00AD1C5E">
        <w:rPr>
          <w:rFonts w:eastAsia="MS Mincho"/>
        </w:rPr>
        <w:t>z</w:t>
      </w:r>
      <w:r w:rsidRPr="00F91AFC">
        <w:rPr>
          <w:rFonts w:eastAsia="MS Mincho"/>
        </w:rPr>
        <w:t xml:space="preserve">ed the area around </w:t>
      </w:r>
      <w:r w:rsidR="006C7E67">
        <w:rPr>
          <w:rFonts w:eastAsia="MS Mincho"/>
        </w:rPr>
        <w:t xml:space="preserve">the </w:t>
      </w:r>
      <w:r w:rsidRPr="00F91AFC">
        <w:rPr>
          <w:rFonts w:eastAsia="MS Mincho"/>
        </w:rPr>
        <w:t>Swan River in Western Australia in 1829.</w:t>
      </w:r>
      <w:r w:rsidRPr="00F91AFC">
        <w:rPr>
          <w:rStyle w:val="FootnoteReference"/>
          <w:rFonts w:eastAsia="MS Mincho"/>
        </w:rPr>
        <w:footnoteReference w:id="71"/>
      </w:r>
      <w:r w:rsidRPr="00F91AFC">
        <w:rPr>
          <w:rFonts w:eastAsia="MS Mincho"/>
        </w:rPr>
        <w:t xml:space="preserve"> The following year, the colony’s Judge Advocate, George Fletcher Moore, wrote that he feared violent conflict unless the Nyoongar community were ‘removed wholesale to some island’.</w:t>
      </w:r>
      <w:r w:rsidRPr="00F91AFC">
        <w:rPr>
          <w:rStyle w:val="FootnoteReference"/>
          <w:rFonts w:eastAsia="MS Mincho"/>
        </w:rPr>
        <w:footnoteReference w:id="72"/>
      </w:r>
      <w:r w:rsidRPr="00F91AFC">
        <w:rPr>
          <w:rFonts w:eastAsia="MS Mincho"/>
        </w:rPr>
        <w:t xml:space="preserve"> During Moore’s tenure</w:t>
      </w:r>
      <w:r w:rsidR="00E70B75" w:rsidRPr="00F91AFC">
        <w:rPr>
          <w:rFonts w:eastAsia="MS Mincho"/>
        </w:rPr>
        <w:t>,</w:t>
      </w:r>
      <w:r w:rsidRPr="00F91AFC">
        <w:rPr>
          <w:rFonts w:eastAsia="MS Mincho"/>
        </w:rPr>
        <w:t xml:space="preserve"> Carnac Island (Ngooloormayup), off the coast of Fremantle, began </w:t>
      </w:r>
      <w:r w:rsidR="006C7E67">
        <w:rPr>
          <w:rFonts w:eastAsia="MS Mincho"/>
        </w:rPr>
        <w:t>to be</w:t>
      </w:r>
      <w:r w:rsidR="006C7E67" w:rsidRPr="00F91AFC">
        <w:rPr>
          <w:rFonts w:eastAsia="MS Mincho"/>
        </w:rPr>
        <w:t xml:space="preserve"> </w:t>
      </w:r>
      <w:r w:rsidRPr="00F91AFC">
        <w:rPr>
          <w:rFonts w:eastAsia="MS Mincho"/>
        </w:rPr>
        <w:t>used as a ‘place of confinement’ for Nyoongar resistance leaders, including Yagan and Midigoroo, from 1832.</w:t>
      </w:r>
      <w:r w:rsidRPr="00F91AFC">
        <w:rPr>
          <w:rFonts w:eastAsia="MS Mincho"/>
          <w:vertAlign w:val="superscript"/>
        </w:rPr>
        <w:footnoteReference w:id="73"/>
      </w:r>
      <w:r w:rsidRPr="00F91AFC">
        <w:rPr>
          <w:rFonts w:eastAsia="MS Mincho"/>
        </w:rPr>
        <w:t xml:space="preserve"> In 1832, </w:t>
      </w:r>
      <w:r w:rsidR="006C7E67">
        <w:rPr>
          <w:rFonts w:eastAsia="MS Mincho"/>
        </w:rPr>
        <w:t>a</w:t>
      </w:r>
      <w:r w:rsidRPr="00F91AFC">
        <w:rPr>
          <w:rFonts w:eastAsia="MS Mincho"/>
        </w:rPr>
        <w:t>fter just a month, the prisoners escaped to the mainland on an unattended dinghy.</w:t>
      </w:r>
      <w:r w:rsidRPr="00F91AFC">
        <w:rPr>
          <w:rFonts w:eastAsia="MS Mincho"/>
          <w:vertAlign w:val="superscript"/>
        </w:rPr>
        <w:footnoteReference w:id="74"/>
      </w:r>
    </w:p>
    <w:p w14:paraId="15BA94E1" w14:textId="77777777" w:rsidR="006C7E67" w:rsidRPr="00F91AFC" w:rsidRDefault="006C7E67" w:rsidP="006C7E67">
      <w:pPr>
        <w:spacing w:line="276" w:lineRule="auto"/>
        <w:rPr>
          <w:rFonts w:eastAsia="MS Mincho"/>
        </w:rPr>
      </w:pPr>
    </w:p>
    <w:p w14:paraId="5F06B8F6" w14:textId="0CDC6556" w:rsidR="00D134D9" w:rsidRDefault="00EA1B32" w:rsidP="006C7E67">
      <w:pPr>
        <w:spacing w:line="276" w:lineRule="auto"/>
        <w:ind w:right="120"/>
      </w:pPr>
      <w:r w:rsidRPr="00F91AFC">
        <w:t>Western Australia</w:t>
      </w:r>
      <w:r w:rsidR="003502D8" w:rsidRPr="00F91AFC">
        <w:t xml:space="preserve"> </w:t>
      </w:r>
      <w:r w:rsidRPr="00F91AFC">
        <w:t xml:space="preserve">introduced </w:t>
      </w:r>
      <w:r w:rsidR="005B7BA1">
        <w:t>its</w:t>
      </w:r>
      <w:r w:rsidR="005B7BA1" w:rsidRPr="00F91AFC">
        <w:t xml:space="preserve"> </w:t>
      </w:r>
      <w:r w:rsidRPr="00F91AFC">
        <w:t>own scheme of island imprisonment</w:t>
      </w:r>
      <w:r w:rsidR="006A6B83">
        <w:t xml:space="preserve"> </w:t>
      </w:r>
      <w:r w:rsidRPr="00F91AFC">
        <w:t>modelled on the 1835</w:t>
      </w:r>
      <w:r w:rsidR="006C7E67">
        <w:t>–3</w:t>
      </w:r>
      <w:r w:rsidRPr="00F91AFC">
        <w:t>7 Select Committee on Aborigines</w:t>
      </w:r>
      <w:r w:rsidR="005B7BA1">
        <w:t>’</w:t>
      </w:r>
      <w:r w:rsidRPr="00F91AFC">
        <w:t xml:space="preserve"> recommendations. </w:t>
      </w:r>
      <w:r w:rsidR="008A56A0" w:rsidRPr="00F91AFC">
        <w:t xml:space="preserve">Governor John </w:t>
      </w:r>
      <w:r w:rsidRPr="00F91AFC">
        <w:t>Hutt introduced a scheme of ‘protection through punishment’</w:t>
      </w:r>
      <w:r w:rsidR="008E33A7">
        <w:t>. By</w:t>
      </w:r>
      <w:r w:rsidR="00B81738" w:rsidRPr="00F91AFC">
        <w:t xml:space="preserve"> </w:t>
      </w:r>
      <w:r w:rsidR="008E33A7">
        <w:t xml:space="preserve">enabling </w:t>
      </w:r>
      <w:r w:rsidR="00B60B51" w:rsidRPr="00F91AFC">
        <w:t>the prosecution of Aboriginal people</w:t>
      </w:r>
      <w:r w:rsidR="008E33A7">
        <w:t xml:space="preserve"> under summary laws, it would </w:t>
      </w:r>
      <w:r w:rsidR="00B81738" w:rsidRPr="00F91AFC">
        <w:t>prevent</w:t>
      </w:r>
      <w:r w:rsidRPr="00F91AFC">
        <w:t xml:space="preserve"> </w:t>
      </w:r>
      <w:r w:rsidR="00B60B51" w:rsidRPr="00F91AFC">
        <w:t xml:space="preserve">settlers </w:t>
      </w:r>
      <w:r w:rsidR="00B81738" w:rsidRPr="00F91AFC">
        <w:t xml:space="preserve">from </w:t>
      </w:r>
      <w:r w:rsidR="00271750" w:rsidRPr="00F91AFC">
        <w:t xml:space="preserve">enacting </w:t>
      </w:r>
      <w:r w:rsidR="008E33A7">
        <w:t>vigilante justice</w:t>
      </w:r>
      <w:r w:rsidR="00271750" w:rsidRPr="00F91AFC">
        <w:t>.</w:t>
      </w:r>
      <w:r w:rsidR="005B7BA1" w:rsidRPr="00F91AFC">
        <w:rPr>
          <w:rStyle w:val="FootnoteReference"/>
        </w:rPr>
        <w:footnoteReference w:id="75"/>
      </w:r>
      <w:r w:rsidR="006C7E67">
        <w:t xml:space="preserve"> </w:t>
      </w:r>
      <w:r w:rsidR="00F411F4" w:rsidRPr="00F91AFC">
        <w:t xml:space="preserve">This </w:t>
      </w:r>
      <w:r w:rsidR="006C7E67">
        <w:t xml:space="preserve"> </w:t>
      </w:r>
      <w:r w:rsidRPr="00F91AFC">
        <w:t>was not a</w:t>
      </w:r>
      <w:r w:rsidR="00F411F4" w:rsidRPr="00F91AFC">
        <w:t>n ‘act of coercion’</w:t>
      </w:r>
      <w:r w:rsidR="006C7E67">
        <w:t>,</w:t>
      </w:r>
      <w:r w:rsidR="00F411F4" w:rsidRPr="00F91AFC">
        <w:t xml:space="preserve"> </w:t>
      </w:r>
      <w:r w:rsidR="006C7E67" w:rsidRPr="00F91AFC">
        <w:t>Hutt stressed in an 1839 letter to the Colonial Office</w:t>
      </w:r>
      <w:r w:rsidR="006C7E67">
        <w:t>,</w:t>
      </w:r>
      <w:r w:rsidR="006C7E67" w:rsidRPr="00F91AFC">
        <w:t xml:space="preserve"> </w:t>
      </w:r>
      <w:r w:rsidR="00F411F4" w:rsidRPr="00F91AFC">
        <w:t>but ‘extend</w:t>
      </w:r>
      <w:r w:rsidRPr="00F91AFC">
        <w:t>[ed]</w:t>
      </w:r>
      <w:r w:rsidR="00F411F4" w:rsidRPr="00F91AFC">
        <w:t xml:space="preserve"> the protecting hand of Government’.</w:t>
      </w:r>
      <w:r w:rsidR="00F411F4" w:rsidRPr="00F91AFC">
        <w:rPr>
          <w:rStyle w:val="FootnoteReference"/>
          <w:rFonts w:eastAsia="MS Mincho"/>
        </w:rPr>
        <w:footnoteReference w:id="76"/>
      </w:r>
      <w:r w:rsidR="00F411F4" w:rsidRPr="00F91AFC">
        <w:t xml:space="preserve"> </w:t>
      </w:r>
      <w:r w:rsidRPr="00F91AFC">
        <w:t xml:space="preserve">Hutt also proposed </w:t>
      </w:r>
      <w:r w:rsidR="00AC1988" w:rsidRPr="00F91AFC">
        <w:t>establishing</w:t>
      </w:r>
      <w:r w:rsidR="00AC1988" w:rsidRPr="00F91AFC">
        <w:rPr>
          <w:rFonts w:eastAsia="MS Mincho"/>
        </w:rPr>
        <w:t xml:space="preserve"> a prison for Aboriginal men on Rottnest Island, sixteen kilometres off the Western Australian coast</w:t>
      </w:r>
      <w:r w:rsidRPr="00F91AFC">
        <w:rPr>
          <w:rFonts w:eastAsia="MS Mincho"/>
        </w:rPr>
        <w:t xml:space="preserve">. </w:t>
      </w:r>
      <w:r w:rsidR="006C7E67">
        <w:rPr>
          <w:rFonts w:eastAsia="MS Mincho"/>
        </w:rPr>
        <w:t>This</w:t>
      </w:r>
      <w:r w:rsidR="00F411F4" w:rsidRPr="00F91AFC">
        <w:rPr>
          <w:rFonts w:eastAsia="MS Mincho"/>
        </w:rPr>
        <w:t xml:space="preserve"> would </w:t>
      </w:r>
      <w:r w:rsidR="00AC1988" w:rsidRPr="00F91AFC">
        <w:t>‘relieve them from close confinement</w:t>
      </w:r>
      <w:r w:rsidR="006C7E67">
        <w:t xml:space="preserve"> </w:t>
      </w:r>
      <w:r w:rsidR="00AC1988" w:rsidRPr="00F91AFC">
        <w:t>…</w:t>
      </w:r>
      <w:r w:rsidR="006C7E67">
        <w:t xml:space="preserve"> [which was] </w:t>
      </w:r>
      <w:r w:rsidR="00AC1988" w:rsidRPr="00F91AFC">
        <w:t>found to operate most prejudicially to their health’</w:t>
      </w:r>
      <w:r w:rsidR="00271750" w:rsidRPr="00F91AFC">
        <w:t xml:space="preserve">, perhaps </w:t>
      </w:r>
      <w:r w:rsidR="008E33A7">
        <w:t xml:space="preserve">an acknowledgement of </w:t>
      </w:r>
      <w:r w:rsidR="00271750" w:rsidRPr="00F91AFC">
        <w:t>Flinders Island’s mortality rates.</w:t>
      </w:r>
      <w:r w:rsidR="00AC1988" w:rsidRPr="00F91AFC">
        <w:rPr>
          <w:rStyle w:val="FootnoteReference"/>
        </w:rPr>
        <w:footnoteReference w:id="77"/>
      </w:r>
      <w:r w:rsidR="00AC1988" w:rsidRPr="00F91AFC">
        <w:t xml:space="preserve"> </w:t>
      </w:r>
      <w:r w:rsidR="00AC1988" w:rsidRPr="00F91AFC">
        <w:rPr>
          <w:rFonts w:eastAsia="MS Mincho"/>
        </w:rPr>
        <w:t>The</w:t>
      </w:r>
      <w:r w:rsidR="00D1502F" w:rsidRPr="00F91AFC">
        <w:rPr>
          <w:rFonts w:eastAsia="MS Mincho"/>
        </w:rPr>
        <w:t xml:space="preserve"> 1841 Act that established the prison </w:t>
      </w:r>
      <w:r w:rsidR="00AC1988" w:rsidRPr="00F91AFC">
        <w:rPr>
          <w:rFonts w:eastAsia="MS Mincho"/>
        </w:rPr>
        <w:t xml:space="preserve">stipulated that </w:t>
      </w:r>
      <w:r w:rsidR="00D1502F" w:rsidRPr="00F91AFC">
        <w:rPr>
          <w:rFonts w:eastAsia="MS Mincho"/>
        </w:rPr>
        <w:t>the inmates</w:t>
      </w:r>
      <w:r w:rsidR="00AC1988" w:rsidRPr="00F91AFC">
        <w:rPr>
          <w:rFonts w:eastAsia="MS Mincho"/>
        </w:rPr>
        <w:t xml:space="preserve"> be ‘instructed in useful knowledge, and gradually trained in the habits of civilized life’ </w:t>
      </w:r>
      <w:r w:rsidR="005B7BA1">
        <w:rPr>
          <w:rFonts w:eastAsia="MS Mincho"/>
        </w:rPr>
        <w:t>by farming and constructing buildings</w:t>
      </w:r>
      <w:r w:rsidR="00AC1988" w:rsidRPr="00F91AFC">
        <w:rPr>
          <w:rFonts w:eastAsia="MS Mincho"/>
        </w:rPr>
        <w:t>.</w:t>
      </w:r>
      <w:r w:rsidR="00AC1988" w:rsidRPr="00F91AFC">
        <w:rPr>
          <w:rFonts w:eastAsia="MS Mincho"/>
          <w:vertAlign w:val="superscript"/>
        </w:rPr>
        <w:footnoteReference w:id="78"/>
      </w:r>
      <w:r w:rsidR="00AC1988" w:rsidRPr="00F91AFC">
        <w:rPr>
          <w:rFonts w:eastAsia="MS Mincho"/>
        </w:rPr>
        <w:t xml:space="preserve"> </w:t>
      </w:r>
      <w:r w:rsidR="00271750" w:rsidRPr="00F91AFC">
        <w:rPr>
          <w:rFonts w:eastAsia="MS Mincho"/>
        </w:rPr>
        <w:t>In Western Australia</w:t>
      </w:r>
      <w:r w:rsidR="005B7BA1">
        <w:rPr>
          <w:rFonts w:eastAsia="MS Mincho"/>
        </w:rPr>
        <w:t>,</w:t>
      </w:r>
      <w:r w:rsidR="00271750" w:rsidRPr="00F91AFC">
        <w:rPr>
          <w:rFonts w:eastAsia="MS Mincho"/>
        </w:rPr>
        <w:t xml:space="preserve"> </w:t>
      </w:r>
      <w:r w:rsidR="00271750" w:rsidRPr="00F91AFC">
        <w:t>c</w:t>
      </w:r>
      <w:r w:rsidR="004A6B12" w:rsidRPr="00F91AFC">
        <w:t>onvictio</w:t>
      </w:r>
      <w:r w:rsidR="005B7BA1">
        <w:t>n</w:t>
      </w:r>
      <w:r w:rsidR="005B7BA1">
        <w:softHyphen/>
      </w:r>
      <w:r w:rsidR="005B7BA1">
        <w:rPr>
          <w:vertAlign w:val="subscript"/>
        </w:rPr>
        <w:t xml:space="preserve"> </w:t>
      </w:r>
      <w:r w:rsidR="005B7BA1">
        <w:rPr>
          <w:vertAlign w:val="subscript"/>
        </w:rPr>
        <w:softHyphen/>
        <w:t>–</w:t>
      </w:r>
      <w:r w:rsidR="004A6B12" w:rsidRPr="00F91AFC">
        <w:t xml:space="preserve"> rather than conciliation</w:t>
      </w:r>
      <w:r w:rsidR="005B7BA1">
        <w:t xml:space="preserve"> – </w:t>
      </w:r>
      <w:r w:rsidR="004A6B12" w:rsidRPr="00F91AFC">
        <w:t>was the mechanism for removing Aboriginal people from contested frontiers</w:t>
      </w:r>
      <w:r w:rsidR="00125641" w:rsidRPr="00F91AFC">
        <w:t xml:space="preserve"> to islands</w:t>
      </w:r>
      <w:r w:rsidR="004A6B12" w:rsidRPr="00F91AFC">
        <w:t xml:space="preserve">, but was </w:t>
      </w:r>
      <w:r w:rsidR="005B7BA1">
        <w:t>both were</w:t>
      </w:r>
      <w:r w:rsidR="004A6B12" w:rsidRPr="00F91AFC">
        <w:t xml:space="preserve"> framed as a humanitarian endeavour</w:t>
      </w:r>
      <w:r w:rsidR="005B7BA1">
        <w:t>s</w:t>
      </w:r>
      <w:r w:rsidR="004A6B12" w:rsidRPr="00F91AFC">
        <w:t>.</w:t>
      </w:r>
    </w:p>
    <w:p w14:paraId="6CDDBB99" w14:textId="77777777" w:rsidR="006C7E67" w:rsidRPr="00F91AFC" w:rsidRDefault="006C7E67" w:rsidP="006C7E67">
      <w:pPr>
        <w:spacing w:line="276" w:lineRule="auto"/>
        <w:ind w:right="120"/>
        <w:rPr>
          <w:rFonts w:eastAsia="MS Mincho"/>
        </w:rPr>
      </w:pPr>
    </w:p>
    <w:p w14:paraId="148224AC" w14:textId="304E0832" w:rsidR="005C1B7C" w:rsidRDefault="00777A0F" w:rsidP="006C7E67">
      <w:pPr>
        <w:spacing w:line="276" w:lineRule="auto"/>
        <w:ind w:right="120"/>
      </w:pPr>
      <w:r w:rsidRPr="00F91AFC">
        <w:rPr>
          <w:rFonts w:eastAsia="MS Mincho"/>
        </w:rPr>
        <w:t>From 1839 until the 1890s, the arrival of Aboriginal prisoners to Rottnest Island could be mapped against the progression of the frontier.</w:t>
      </w:r>
      <w:r w:rsidR="00AA3A83" w:rsidRPr="00F91AFC">
        <w:rPr>
          <w:rStyle w:val="FootnoteReference"/>
        </w:rPr>
        <w:footnoteReference w:id="79"/>
      </w:r>
      <w:r w:rsidRPr="00F91AFC">
        <w:t xml:space="preserve"> </w:t>
      </w:r>
      <w:r w:rsidR="00D1528B" w:rsidRPr="00F91AFC">
        <w:t>The majority</w:t>
      </w:r>
      <w:r w:rsidR="00EE7491" w:rsidRPr="00F91AFC">
        <w:t xml:space="preserve"> of Rottnest’s inmates</w:t>
      </w:r>
      <w:r w:rsidR="00D1528B" w:rsidRPr="00F91AFC">
        <w:t xml:space="preserve"> were convicted </w:t>
      </w:r>
      <w:r w:rsidR="00EA1B32" w:rsidRPr="00F91AFC">
        <w:t>for livestock theft</w:t>
      </w:r>
      <w:r w:rsidR="009256F7" w:rsidRPr="00F91AFC">
        <w:t>,</w:t>
      </w:r>
      <w:r w:rsidRPr="00F91AFC">
        <w:t xml:space="preserve"> rather than for overt resistance</w:t>
      </w:r>
      <w:r w:rsidR="00296DB5" w:rsidRPr="00F91AFC">
        <w:t>, resulting</w:t>
      </w:r>
      <w:r w:rsidRPr="00F91AFC">
        <w:t xml:space="preserve"> from competition over</w:t>
      </w:r>
      <w:r w:rsidR="00296DB5" w:rsidRPr="00F91AFC">
        <w:t xml:space="preserve"> limited natural resources</w:t>
      </w:r>
      <w:r w:rsidRPr="00F91AFC">
        <w:t xml:space="preserve">. </w:t>
      </w:r>
      <w:r w:rsidR="00EA1B32" w:rsidRPr="00F91AFC">
        <w:t xml:space="preserve">Over the course of the century, racially-targeted legislation was introduced enabling </w:t>
      </w:r>
      <w:r w:rsidRPr="00F91AFC">
        <w:t>magistrates</w:t>
      </w:r>
      <w:r w:rsidR="00EA1B32" w:rsidRPr="00F91AFC">
        <w:t xml:space="preserve"> in rural districts</w:t>
      </w:r>
      <w:r w:rsidRPr="00F91AFC">
        <w:t xml:space="preserve"> </w:t>
      </w:r>
      <w:r w:rsidR="00296DB5" w:rsidRPr="00F91AFC">
        <w:t>(</w:t>
      </w:r>
      <w:r w:rsidR="00452B2D" w:rsidRPr="00F91AFC">
        <w:t>usually</w:t>
      </w:r>
      <w:r w:rsidR="00623F76" w:rsidRPr="00F91AFC">
        <w:t xml:space="preserve"> landowners themselves</w:t>
      </w:r>
      <w:r w:rsidR="00296DB5" w:rsidRPr="00F91AFC">
        <w:t>)</w:t>
      </w:r>
      <w:r w:rsidR="00623F76" w:rsidRPr="00F91AFC">
        <w:t xml:space="preserve"> </w:t>
      </w:r>
      <w:r w:rsidRPr="00F91AFC">
        <w:t>to</w:t>
      </w:r>
      <w:r w:rsidR="00EA1B32" w:rsidRPr="00F91AFC">
        <w:t xml:space="preserve"> sentence</w:t>
      </w:r>
      <w:r w:rsidRPr="00F91AFC">
        <w:t xml:space="preserve"> Aboriginal people </w:t>
      </w:r>
      <w:r w:rsidR="009C088C" w:rsidRPr="00F91AFC">
        <w:t>f</w:t>
      </w:r>
      <w:r w:rsidRPr="00F91AFC">
        <w:t>o</w:t>
      </w:r>
      <w:r w:rsidR="009C088C" w:rsidRPr="00F91AFC">
        <w:t>r</w:t>
      </w:r>
      <w:r w:rsidRPr="00F91AFC">
        <w:t xml:space="preserve"> up </w:t>
      </w:r>
      <w:r w:rsidR="00296DB5" w:rsidRPr="00F91AFC">
        <w:t>to three years’ imprisonment</w:t>
      </w:r>
      <w:r w:rsidR="00EA1B32" w:rsidRPr="00F91AFC">
        <w:t xml:space="preserve"> on limited evidence</w:t>
      </w:r>
      <w:r w:rsidRPr="00F91AFC">
        <w:t>.</w:t>
      </w:r>
      <w:r w:rsidR="00623F76" w:rsidRPr="00F91AFC">
        <w:rPr>
          <w:rStyle w:val="FootnoteReference"/>
        </w:rPr>
        <w:footnoteReference w:id="80"/>
      </w:r>
      <w:r w:rsidR="009C088C" w:rsidRPr="00F91AFC">
        <w:t xml:space="preserve"> </w:t>
      </w:r>
      <w:r w:rsidRPr="00F91AFC">
        <w:t xml:space="preserve">Aboriginal people were </w:t>
      </w:r>
      <w:r w:rsidR="00E554E2" w:rsidRPr="00F91AFC">
        <w:t xml:space="preserve">also </w:t>
      </w:r>
      <w:r w:rsidRPr="00F91AFC">
        <w:t xml:space="preserve">disproportionately </w:t>
      </w:r>
      <w:r w:rsidR="00E554E2" w:rsidRPr="00F91AFC">
        <w:t>prosecuted</w:t>
      </w:r>
      <w:r w:rsidRPr="00F91AFC">
        <w:t xml:space="preserve"> for</w:t>
      </w:r>
      <w:r w:rsidR="00F40F07" w:rsidRPr="00F91AFC">
        <w:t xml:space="preserve"> violence </w:t>
      </w:r>
      <w:r w:rsidRPr="00F91AFC">
        <w:t xml:space="preserve">committed against Europeans, </w:t>
      </w:r>
      <w:r w:rsidR="00E554E2" w:rsidRPr="00F91AFC">
        <w:t>compared to</w:t>
      </w:r>
      <w:r w:rsidRPr="00F91AFC">
        <w:t xml:space="preserve"> the other way around.</w:t>
      </w:r>
      <w:r w:rsidRPr="00F91AFC">
        <w:rPr>
          <w:rStyle w:val="FootnoteReference"/>
        </w:rPr>
        <w:footnoteReference w:id="81"/>
      </w:r>
    </w:p>
    <w:p w14:paraId="494E15C3" w14:textId="77777777" w:rsidR="006C7E67" w:rsidRDefault="006C7E67" w:rsidP="006C7E67">
      <w:pPr>
        <w:spacing w:line="276" w:lineRule="auto"/>
        <w:ind w:right="120"/>
      </w:pPr>
    </w:p>
    <w:p w14:paraId="6060E319" w14:textId="6A31B111" w:rsidR="006C7E67" w:rsidRDefault="007B2583" w:rsidP="006C7E67">
      <w:pPr>
        <w:spacing w:line="276" w:lineRule="auto"/>
        <w:ind w:right="120"/>
      </w:pPr>
      <w:r w:rsidRPr="00F91AFC">
        <w:t>Island displacement was a flexible tool of colonial governance</w:t>
      </w:r>
      <w:r w:rsidR="003D1BAC" w:rsidRPr="00F91AFC">
        <w:t xml:space="preserve">, used in many </w:t>
      </w:r>
      <w:r w:rsidR="006C7E67" w:rsidRPr="00F91AFC">
        <w:t>British</w:t>
      </w:r>
      <w:r w:rsidR="003D1BAC" w:rsidRPr="00F91AFC">
        <w:t xml:space="preserve"> colonies, to c</w:t>
      </w:r>
      <w:r w:rsidR="006D78CF" w:rsidRPr="00F91AFC">
        <w:t xml:space="preserve">ontrol </w:t>
      </w:r>
      <w:r w:rsidR="003D1BAC" w:rsidRPr="00F91AFC">
        <w:t>Indigenous population and protect convict-settlers by reducing Indigenous resistance at the frontier. Once on islands, Indigenous people were</w:t>
      </w:r>
      <w:r w:rsidR="00D134D9" w:rsidRPr="00F91AFC">
        <w:t xml:space="preserve"> </w:t>
      </w:r>
      <w:r w:rsidR="003D1BAC" w:rsidRPr="00F91AFC">
        <w:t xml:space="preserve">forcibly </w:t>
      </w:r>
      <w:r w:rsidR="003D1BAC" w:rsidRPr="00F91AFC">
        <w:lastRenderedPageBreak/>
        <w:t>subjected to ‘</w:t>
      </w:r>
      <w:r w:rsidR="005C1B7C" w:rsidRPr="00F91AFC">
        <w:t>civili</w:t>
      </w:r>
      <w:r w:rsidR="005C1B7C">
        <w:t>z</w:t>
      </w:r>
      <w:r w:rsidR="005C1B7C" w:rsidRPr="00F91AFC">
        <w:t xml:space="preserve">ing’ </w:t>
      </w:r>
      <w:r w:rsidR="00D134D9" w:rsidRPr="00F91AFC">
        <w:t>regimes</w:t>
      </w:r>
      <w:r w:rsidR="008E33A7">
        <w:t xml:space="preserve">, </w:t>
      </w:r>
      <w:r w:rsidR="003D1BAC" w:rsidRPr="00F91AFC">
        <w:t xml:space="preserve">reaffirming the idea that European ways of life were </w:t>
      </w:r>
      <w:r w:rsidR="008E33A7">
        <w:t>inherently</w:t>
      </w:r>
      <w:r w:rsidR="008E33A7" w:rsidRPr="00F91AFC">
        <w:t xml:space="preserve"> </w:t>
      </w:r>
      <w:r w:rsidR="003D1BAC" w:rsidRPr="00F91AFC">
        <w:t>superior. When Aboriginal people on Flinders Island died in droves, this only proved Aboriginal people’s racial inferiority. I</w:t>
      </w:r>
      <w:r w:rsidR="00D134D9" w:rsidRPr="00F91AFC">
        <w:t xml:space="preserve">sland displacement </w:t>
      </w:r>
      <w:r w:rsidR="003D1BAC" w:rsidRPr="00F91AFC">
        <w:t xml:space="preserve">not only </w:t>
      </w:r>
      <w:r w:rsidR="00D134D9" w:rsidRPr="00F91AFC">
        <w:t>physically freed up land for colonization</w:t>
      </w:r>
      <w:r w:rsidR="003D1BAC" w:rsidRPr="00F91AFC">
        <w:t xml:space="preserve">, it </w:t>
      </w:r>
      <w:r w:rsidR="00D134D9" w:rsidRPr="00F91AFC">
        <w:t xml:space="preserve">also </w:t>
      </w:r>
      <w:r w:rsidR="003D1BAC" w:rsidRPr="00F91AFC">
        <w:t>sustained</w:t>
      </w:r>
      <w:r w:rsidR="00D134D9" w:rsidRPr="00F91AFC">
        <w:t xml:space="preserve"> the imperial project ideologically.  </w:t>
      </w:r>
    </w:p>
    <w:p w14:paraId="17FE29CF" w14:textId="77777777" w:rsidR="006C7E67" w:rsidRDefault="006C7E67" w:rsidP="006C7E67">
      <w:pPr>
        <w:spacing w:line="276" w:lineRule="auto"/>
        <w:ind w:right="120"/>
      </w:pPr>
    </w:p>
    <w:p w14:paraId="31BDAF82" w14:textId="53B965EE" w:rsidR="00EE5937" w:rsidRDefault="007C5B2F" w:rsidP="006C7E67">
      <w:pPr>
        <w:pStyle w:val="Heading1"/>
        <w:spacing w:before="0" w:line="276" w:lineRule="auto"/>
        <w:rPr>
          <w:rFonts w:asciiTheme="majorBidi" w:eastAsia="Times New Roman" w:hAnsiTheme="majorBidi"/>
          <w:b/>
          <w:color w:val="auto"/>
          <w:sz w:val="24"/>
          <w:szCs w:val="24"/>
        </w:rPr>
      </w:pPr>
      <w:r w:rsidRPr="006C7E67">
        <w:rPr>
          <w:rFonts w:asciiTheme="majorBidi" w:hAnsiTheme="majorBidi"/>
          <w:b/>
          <w:color w:val="auto"/>
          <w:sz w:val="24"/>
          <w:szCs w:val="24"/>
        </w:rPr>
        <w:t xml:space="preserve">Convict Labour and Maritime Infrastructure </w:t>
      </w:r>
    </w:p>
    <w:p w14:paraId="0A885081" w14:textId="77777777" w:rsidR="006C7E67" w:rsidRPr="006C7E67" w:rsidRDefault="006C7E67" w:rsidP="006C7E67"/>
    <w:p w14:paraId="7FF9AD60" w14:textId="3C0C0C5A" w:rsidR="00E17B0A" w:rsidRDefault="004B14ED" w:rsidP="006C7E67">
      <w:pPr>
        <w:spacing w:line="276" w:lineRule="auto"/>
      </w:pPr>
      <w:r w:rsidRPr="006C7E67">
        <w:rPr>
          <w:rFonts w:asciiTheme="majorBidi" w:hAnsiTheme="majorBidi" w:cstheme="majorBidi"/>
        </w:rPr>
        <w:t>In the 1830s</w:t>
      </w:r>
      <w:r w:rsidR="00E17B0A" w:rsidRPr="006C7E67">
        <w:rPr>
          <w:rFonts w:asciiTheme="majorBidi" w:hAnsiTheme="majorBidi" w:cstheme="majorBidi"/>
        </w:rPr>
        <w:t>,</w:t>
      </w:r>
      <w:r w:rsidRPr="006C7E67">
        <w:rPr>
          <w:rFonts w:asciiTheme="majorBidi" w:hAnsiTheme="majorBidi" w:cstheme="majorBidi"/>
        </w:rPr>
        <w:t xml:space="preserve"> the first lighthouses were built on Australia’s coasts and islands.</w:t>
      </w:r>
      <w:r w:rsidRPr="006C7E67">
        <w:rPr>
          <w:rStyle w:val="FootnoteReference"/>
          <w:rFonts w:asciiTheme="majorBidi" w:hAnsiTheme="majorBidi" w:cstheme="majorBidi"/>
        </w:rPr>
        <w:footnoteReference w:id="82"/>
      </w:r>
      <w:r w:rsidRPr="006C7E67">
        <w:rPr>
          <w:rFonts w:asciiTheme="majorBidi" w:hAnsiTheme="majorBidi" w:cstheme="majorBidi"/>
        </w:rPr>
        <w:t xml:space="preserve"> </w:t>
      </w:r>
      <w:r w:rsidR="00672406" w:rsidRPr="006C7E67">
        <w:rPr>
          <w:rFonts w:asciiTheme="majorBidi" w:hAnsiTheme="majorBidi" w:cstheme="majorBidi"/>
        </w:rPr>
        <w:t>W</w:t>
      </w:r>
      <w:r w:rsidR="004B0FA1" w:rsidRPr="006C7E67">
        <w:rPr>
          <w:rFonts w:asciiTheme="majorBidi" w:hAnsiTheme="majorBidi" w:cstheme="majorBidi"/>
        </w:rPr>
        <w:t>ithout lighthouses, ships arriving from Britain would</w:t>
      </w:r>
      <w:r w:rsidR="00E17B0A" w:rsidRPr="006C7E67">
        <w:rPr>
          <w:rFonts w:asciiTheme="majorBidi" w:hAnsiTheme="majorBidi" w:cstheme="majorBidi"/>
        </w:rPr>
        <w:t xml:space="preserve"> be</w:t>
      </w:r>
      <w:r w:rsidR="004B0FA1" w:rsidRPr="006C7E67">
        <w:rPr>
          <w:rFonts w:asciiTheme="majorBidi" w:hAnsiTheme="majorBidi" w:cstheme="majorBidi"/>
        </w:rPr>
        <w:t xml:space="preserve"> wreck</w:t>
      </w:r>
      <w:r w:rsidR="00E17B0A" w:rsidRPr="006C7E67">
        <w:rPr>
          <w:rFonts w:asciiTheme="majorBidi" w:hAnsiTheme="majorBidi" w:cstheme="majorBidi"/>
        </w:rPr>
        <w:t>ed</w:t>
      </w:r>
      <w:r w:rsidR="004B0FA1" w:rsidRPr="006C7E67">
        <w:rPr>
          <w:rFonts w:asciiTheme="majorBidi" w:hAnsiTheme="majorBidi" w:cstheme="majorBidi"/>
        </w:rPr>
        <w:t>, causing damage to property, loss of life</w:t>
      </w:r>
      <w:r w:rsidR="00E17B0A" w:rsidRPr="006C7E67">
        <w:rPr>
          <w:rFonts w:asciiTheme="majorBidi" w:hAnsiTheme="majorBidi" w:cstheme="majorBidi"/>
        </w:rPr>
        <w:t>,</w:t>
      </w:r>
      <w:r w:rsidR="004B0FA1" w:rsidRPr="006C7E67">
        <w:rPr>
          <w:rFonts w:asciiTheme="majorBidi" w:hAnsiTheme="majorBidi" w:cstheme="majorBidi"/>
        </w:rPr>
        <w:t xml:space="preserve"> and uncertain communications between the metropole</w:t>
      </w:r>
      <w:r w:rsidR="004B0FA1" w:rsidRPr="00F91AFC">
        <w:t xml:space="preserve"> and its colonies.</w:t>
      </w:r>
      <w:r w:rsidR="007A73BA" w:rsidRPr="00F91AFC">
        <w:t xml:space="preserve"> </w:t>
      </w:r>
      <w:r w:rsidRPr="00F91AFC">
        <w:t>In a parliamentary report in 1850, Civil Engineer Anthony Gordon complained that colonial lighthouse</w:t>
      </w:r>
      <w:r w:rsidR="007A73BA" w:rsidRPr="00F91AFC">
        <w:t xml:space="preserve"> construction </w:t>
      </w:r>
      <w:r w:rsidRPr="00F91AFC">
        <w:t xml:space="preserve">was not centrally funded by </w:t>
      </w:r>
      <w:r w:rsidR="00E17B0A" w:rsidRPr="00F91AFC">
        <w:t>the T</w:t>
      </w:r>
      <w:r w:rsidRPr="00F91AFC">
        <w:t>reasury</w:t>
      </w:r>
      <w:r w:rsidR="00E17B0A" w:rsidRPr="00F91AFC">
        <w:t xml:space="preserve"> in London</w:t>
      </w:r>
      <w:r w:rsidRPr="00F91AFC">
        <w:t>, despite being ‘absolutely essential for the colonial system’.</w:t>
      </w:r>
      <w:r w:rsidRPr="00F91AFC">
        <w:rPr>
          <w:rStyle w:val="FootnoteReference"/>
        </w:rPr>
        <w:footnoteReference w:id="83"/>
      </w:r>
      <w:r w:rsidRPr="00F91AFC">
        <w:t xml:space="preserve"> </w:t>
      </w:r>
      <w:r w:rsidR="004B0FA1" w:rsidRPr="00F91AFC">
        <w:t>The role of European convicts and Aboriginal prisoners in building these lighthouses has rarely been recogni</w:t>
      </w:r>
      <w:r w:rsidR="006C7E67">
        <w:t>z</w:t>
      </w:r>
      <w:r w:rsidR="004B0FA1" w:rsidRPr="00F91AFC">
        <w:t>ed.</w:t>
      </w:r>
      <w:r w:rsidR="007A73BA" w:rsidRPr="00F91AFC">
        <w:rPr>
          <w:rStyle w:val="FootnoteReference"/>
        </w:rPr>
        <w:footnoteReference w:id="84"/>
      </w:r>
    </w:p>
    <w:p w14:paraId="3542A499" w14:textId="77777777" w:rsidR="006C7E67" w:rsidRPr="00F91AFC" w:rsidRDefault="006C7E67" w:rsidP="006C7E67">
      <w:pPr>
        <w:spacing w:line="276" w:lineRule="auto"/>
      </w:pPr>
    </w:p>
    <w:p w14:paraId="77A098AB" w14:textId="177739B0" w:rsidR="00531006" w:rsidRPr="00F91AFC" w:rsidRDefault="008E33A7" w:rsidP="006C7E67">
      <w:pPr>
        <w:spacing w:line="276" w:lineRule="auto"/>
      </w:pPr>
      <w:r>
        <w:t>In Van Diemen’s Land (Tasmania) the colonial government relied on convicts as the labour-force for building and manning lighthouses along its coasts and islands in the 1830s and ’40s.</w:t>
      </w:r>
      <w:r w:rsidR="00F9445F" w:rsidRPr="00F91AFC">
        <w:t xml:space="preserve"> In 1828, a Pilot and Lighthouse Sub-Committee recommended Bruny Island </w:t>
      </w:r>
      <w:r w:rsidRPr="00F91AFC">
        <w:t>(Lunnawannalonna)</w:t>
      </w:r>
      <w:r>
        <w:t xml:space="preserve"> </w:t>
      </w:r>
      <w:r w:rsidR="00F9445F" w:rsidRPr="00F91AFC">
        <w:t>as the site ‘which will afford the greatest benefit to the trade frequenting the port at Hobart Town’</w:t>
      </w:r>
      <w:r>
        <w:t>, the colonial capital</w:t>
      </w:r>
      <w:r w:rsidR="00F9445F" w:rsidRPr="00F91AFC">
        <w:t>.</w:t>
      </w:r>
      <w:r w:rsidR="00F9445F" w:rsidRPr="00F91AFC">
        <w:rPr>
          <w:rStyle w:val="FootnoteReference"/>
        </w:rPr>
        <w:footnoteReference w:id="85"/>
      </w:r>
      <w:r w:rsidR="00F9445F" w:rsidRPr="00F91AFC">
        <w:t xml:space="preserve"> Construction on the lighthouse did not begin until British convict transport </w:t>
      </w:r>
      <w:r w:rsidR="00F9445F" w:rsidRPr="00F91AFC">
        <w:rPr>
          <w:i/>
          <w:iCs/>
        </w:rPr>
        <w:t>George III</w:t>
      </w:r>
      <w:r w:rsidR="00F9445F" w:rsidRPr="00F91AFC">
        <w:t xml:space="preserve"> </w:t>
      </w:r>
      <w:r w:rsidR="00E17B0A" w:rsidRPr="00F91AFC">
        <w:t xml:space="preserve">was </w:t>
      </w:r>
      <w:r w:rsidR="00F9445F" w:rsidRPr="00F91AFC">
        <w:t xml:space="preserve">wrecked </w:t>
      </w:r>
      <w:r w:rsidR="00E17B0A" w:rsidRPr="00F91AFC">
        <w:t>i</w:t>
      </w:r>
      <w:r w:rsidR="00F9445F" w:rsidRPr="00F91AFC">
        <w:t>n the treacherous D’Entrecasteaux Channel, with a loss of 300 men in January 183</w:t>
      </w:r>
      <w:r w:rsidR="00EE7491" w:rsidRPr="00F91AFC">
        <w:t>5</w:t>
      </w:r>
      <w:r w:rsidR="00F9445F" w:rsidRPr="00F91AFC">
        <w:t>.</w:t>
      </w:r>
      <w:r w:rsidR="00EE7491" w:rsidRPr="00F91AFC">
        <w:t xml:space="preserve"> That month c</w:t>
      </w:r>
      <w:r w:rsidR="00F9445F" w:rsidRPr="00F91AFC">
        <w:t xml:space="preserve">onvicts began building the </w:t>
      </w:r>
      <w:r w:rsidR="00E17B0A" w:rsidRPr="00F91AFC">
        <w:t>thirteen</w:t>
      </w:r>
      <w:r w:rsidR="005C1B7C">
        <w:t>-</w:t>
      </w:r>
      <w:r w:rsidR="00F9445F" w:rsidRPr="00F91AFC">
        <w:t>metre tall lighthouse</w:t>
      </w:r>
      <w:r w:rsidR="007A73BA" w:rsidRPr="00F91AFC">
        <w:t xml:space="preserve"> which </w:t>
      </w:r>
      <w:r w:rsidR="00F9445F" w:rsidRPr="00F91AFC">
        <w:t>took three years to complete.</w:t>
      </w:r>
      <w:r w:rsidR="00F9445F" w:rsidRPr="00F91AFC">
        <w:rPr>
          <w:rStyle w:val="FootnoteReference"/>
        </w:rPr>
        <w:footnoteReference w:id="86"/>
      </w:r>
      <w:r w:rsidR="00F9445F" w:rsidRPr="00F91AFC">
        <w:t xml:space="preserve"> Four convicts remained stationed on the island assisting the lighthouse keeper in his duties. In November 1839, the </w:t>
      </w:r>
      <w:r w:rsidR="00F9445F" w:rsidRPr="00F91AFC">
        <w:rPr>
          <w:i/>
          <w:iCs/>
        </w:rPr>
        <w:t>Tasmanian Week</w:t>
      </w:r>
      <w:r w:rsidR="006C7E67">
        <w:rPr>
          <w:i/>
          <w:iCs/>
        </w:rPr>
        <w:t>l</w:t>
      </w:r>
      <w:r w:rsidR="00F9445F" w:rsidRPr="00F91AFC">
        <w:rPr>
          <w:i/>
          <w:iCs/>
        </w:rPr>
        <w:t xml:space="preserve">y Dispatch </w:t>
      </w:r>
      <w:r w:rsidR="00F9445F" w:rsidRPr="00F91AFC">
        <w:t>complained that convicted, rather than ‘free men’, had been entrusted with ‘such important matters</w:t>
      </w:r>
      <w:r w:rsidR="000A5A23" w:rsidRPr="00F91AFC">
        <w:t xml:space="preserve"> </w:t>
      </w:r>
      <w:r w:rsidR="00F9445F" w:rsidRPr="00F91AFC">
        <w:t>… necessary to ensure the safety of our ships and of human life’</w:t>
      </w:r>
      <w:r w:rsidR="00531006" w:rsidRPr="00F91AFC">
        <w:t>.</w:t>
      </w:r>
      <w:r w:rsidR="00531006" w:rsidRPr="00F91AFC">
        <w:rPr>
          <w:rStyle w:val="FootnoteReference"/>
        </w:rPr>
        <w:footnoteReference w:id="87"/>
      </w:r>
      <w:r w:rsidR="00531006" w:rsidRPr="00F91AFC">
        <w:t xml:space="preserve"> </w:t>
      </w:r>
      <w:r>
        <w:t>The newspaper</w:t>
      </w:r>
      <w:r w:rsidRPr="00F91AFC">
        <w:t xml:space="preserve"> </w:t>
      </w:r>
      <w:r w:rsidR="003812C7" w:rsidRPr="00F91AFC">
        <w:t>complained that</w:t>
      </w:r>
      <w:r w:rsidR="00553C49" w:rsidRPr="00F91AFC">
        <w:t xml:space="preserve"> </w:t>
      </w:r>
      <w:r w:rsidR="003812C7" w:rsidRPr="00F91AFC">
        <w:t>a ‘naval man’</w:t>
      </w:r>
      <w:r w:rsidR="0038677E" w:rsidRPr="00F91AFC">
        <w:t>,</w:t>
      </w:r>
      <w:r w:rsidR="003812C7" w:rsidRPr="00F91AFC">
        <w:t xml:space="preserve"> like </w:t>
      </w:r>
      <w:r w:rsidR="0038677E" w:rsidRPr="00F91AFC">
        <w:t>Lieutenant-G</w:t>
      </w:r>
      <w:r w:rsidR="003812C7" w:rsidRPr="00F91AFC">
        <w:t xml:space="preserve">overnor </w:t>
      </w:r>
      <w:r w:rsidR="0038677E" w:rsidRPr="00F91AFC">
        <w:t xml:space="preserve">John </w:t>
      </w:r>
      <w:r w:rsidR="000A5A23" w:rsidRPr="00F91AFC">
        <w:t>Franklin, should have reali</w:t>
      </w:r>
      <w:r w:rsidR="00DB7109">
        <w:t>z</w:t>
      </w:r>
      <w:r w:rsidR="000A5A23" w:rsidRPr="00F91AFC">
        <w:t>ed that</w:t>
      </w:r>
      <w:r>
        <w:t xml:space="preserve"> to prevent convicts from escaping access to boats would have to be strictly controlled, imp</w:t>
      </w:r>
      <w:r w:rsidR="0038677E" w:rsidRPr="00F91AFC">
        <w:t>ed</w:t>
      </w:r>
      <w:r>
        <w:t>ing</w:t>
      </w:r>
      <w:r w:rsidR="000A5A23" w:rsidRPr="00F91AFC">
        <w:t xml:space="preserve"> </w:t>
      </w:r>
      <w:r>
        <w:t>speedy</w:t>
      </w:r>
      <w:r w:rsidRPr="00F91AFC">
        <w:t xml:space="preserve"> </w:t>
      </w:r>
      <w:r w:rsidR="0038677E" w:rsidRPr="00F91AFC">
        <w:t>assistance</w:t>
      </w:r>
      <w:r w:rsidR="000A5A23" w:rsidRPr="00F91AFC">
        <w:t xml:space="preserve"> in the event of a shipwreck.</w:t>
      </w:r>
    </w:p>
    <w:p w14:paraId="1486B2F6" w14:textId="77777777" w:rsidR="006C7E67" w:rsidRDefault="006C7E67" w:rsidP="006C7E67">
      <w:pPr>
        <w:adjustRightInd w:val="0"/>
        <w:spacing w:line="276" w:lineRule="auto"/>
      </w:pPr>
    </w:p>
    <w:p w14:paraId="5DD8083E" w14:textId="53ECD6E0" w:rsidR="00BA7D67" w:rsidRDefault="004B14ED" w:rsidP="00BA7D67">
      <w:pPr>
        <w:adjustRightInd w:val="0"/>
        <w:spacing w:line="276" w:lineRule="auto"/>
      </w:pPr>
      <w:r w:rsidRPr="00F91AFC">
        <w:t>Aboriginal prisoners built the first lighthouse in Western Australia on Rottnest Island (Wadjemup) between 1842 and 1846. Its construction was prompted by the wreck</w:t>
      </w:r>
      <w:r w:rsidR="00E17B0A" w:rsidRPr="00F91AFC">
        <w:t>ing</w:t>
      </w:r>
      <w:r w:rsidRPr="00F91AFC">
        <w:t xml:space="preserve"> of </w:t>
      </w:r>
      <w:r w:rsidR="00E17B0A" w:rsidRPr="00F91AFC">
        <w:t xml:space="preserve">the </w:t>
      </w:r>
      <w:r w:rsidR="007A73BA" w:rsidRPr="00F91AFC">
        <w:t xml:space="preserve">British </w:t>
      </w:r>
      <w:r w:rsidRPr="00F91AFC">
        <w:t>schooner</w:t>
      </w:r>
      <w:r w:rsidR="000A5A23" w:rsidRPr="00F91AFC">
        <w:t xml:space="preserve"> </w:t>
      </w:r>
      <w:r w:rsidRPr="00F91AFC">
        <w:rPr>
          <w:i/>
          <w:iCs/>
        </w:rPr>
        <w:t>Transit</w:t>
      </w:r>
      <w:r w:rsidR="000A5A23" w:rsidRPr="00F91AFC">
        <w:t xml:space="preserve"> o</w:t>
      </w:r>
      <w:r w:rsidR="006C7E67">
        <w:t>f</w:t>
      </w:r>
      <w:r w:rsidR="000A5A23" w:rsidRPr="00F91AFC">
        <w:t>f Rottnest’s north end while sailing in</w:t>
      </w:r>
      <w:r w:rsidRPr="00F91AFC">
        <w:t xml:space="preserve">to Fremantle from </w:t>
      </w:r>
      <w:r w:rsidRPr="00F91AFC">
        <w:lastRenderedPageBreak/>
        <w:t>the Cape of Good Hope</w:t>
      </w:r>
      <w:r w:rsidR="00E034E3" w:rsidRPr="00F91AFC">
        <w:t xml:space="preserve">. </w:t>
      </w:r>
      <w:r w:rsidR="007A73BA" w:rsidRPr="00F91AFC">
        <w:t xml:space="preserve">In 1840, Hutt </w:t>
      </w:r>
      <w:r w:rsidRPr="00F91AFC">
        <w:t xml:space="preserve">commissioned Captain Wickham of HMS </w:t>
      </w:r>
      <w:r w:rsidRPr="00F91AFC">
        <w:rPr>
          <w:i/>
          <w:iCs/>
        </w:rPr>
        <w:t>Beagle</w:t>
      </w:r>
      <w:r w:rsidRPr="00F91AFC">
        <w:t xml:space="preserve"> to survey the waters </w:t>
      </w:r>
      <w:r w:rsidR="00E034E3" w:rsidRPr="00F91AFC">
        <w:t>around Rottnest Island to map the ‘many obstructions’ preventing safe entry into the colony’s ‘principal seaport’</w:t>
      </w:r>
      <w:r w:rsidR="00E17B0A" w:rsidRPr="00F91AFC">
        <w:t>,</w:t>
      </w:r>
      <w:r w:rsidR="00036B6E" w:rsidRPr="00F91AFC">
        <w:t xml:space="preserve"> </w:t>
      </w:r>
      <w:r w:rsidR="00E034E3" w:rsidRPr="00F91AFC">
        <w:t xml:space="preserve">and </w:t>
      </w:r>
      <w:r w:rsidR="00E17B0A" w:rsidRPr="00F91AFC">
        <w:t xml:space="preserve">to </w:t>
      </w:r>
      <w:r w:rsidR="00E034E3" w:rsidRPr="00F91AFC">
        <w:t>select a site for a new lighthouse on Rottnest Island.</w:t>
      </w:r>
      <w:r w:rsidR="00E034E3" w:rsidRPr="00F91AFC">
        <w:rPr>
          <w:rStyle w:val="FootnoteReference"/>
        </w:rPr>
        <w:footnoteReference w:id="88"/>
      </w:r>
      <w:r w:rsidRPr="00F91AFC">
        <w:t xml:space="preserve"> </w:t>
      </w:r>
      <w:r w:rsidR="00E17B0A" w:rsidRPr="00F91AFC">
        <w:t>The h</w:t>
      </w:r>
      <w:r w:rsidR="004B0FA1" w:rsidRPr="00F91AFC">
        <w:t>ydrographer</w:t>
      </w:r>
      <w:r w:rsidR="00E17B0A" w:rsidRPr="00F91AFC">
        <w:t xml:space="preserve"> on the mission</w:t>
      </w:r>
      <w:r w:rsidRPr="00F91AFC">
        <w:t>, Lieutenant John Lort Stokes</w:t>
      </w:r>
      <w:r w:rsidR="00241F2E" w:rsidRPr="00F91AFC">
        <w:t xml:space="preserve">, </w:t>
      </w:r>
      <w:r w:rsidR="004B0FA1" w:rsidRPr="00F91AFC">
        <w:t xml:space="preserve">described the survey of the waters around Rottnest </w:t>
      </w:r>
      <w:r w:rsidRPr="00F91AFC">
        <w:t>as ‘of great importance to the interests of shipping’.</w:t>
      </w:r>
      <w:r w:rsidRPr="00F91AFC">
        <w:rPr>
          <w:rStyle w:val="FootnoteReference"/>
        </w:rPr>
        <w:footnoteReference w:id="89"/>
      </w:r>
      <w:r w:rsidR="00703CA3" w:rsidRPr="00F91AFC">
        <w:t xml:space="preserve"> </w:t>
      </w:r>
    </w:p>
    <w:p w14:paraId="3745B3A4" w14:textId="77777777" w:rsidR="00BA7D67" w:rsidRDefault="00BA7D67" w:rsidP="00BA7D67">
      <w:pPr>
        <w:adjustRightInd w:val="0"/>
        <w:spacing w:line="276" w:lineRule="auto"/>
      </w:pPr>
    </w:p>
    <w:p w14:paraId="4651AE61" w14:textId="5FF17E11" w:rsidR="004C65B8" w:rsidRDefault="00846A71" w:rsidP="00BA7D67">
      <w:pPr>
        <w:adjustRightInd w:val="0"/>
        <w:spacing w:line="276" w:lineRule="auto"/>
      </w:pPr>
      <w:r w:rsidRPr="00F91AFC">
        <w:t>Over the next five years, groups of t</w:t>
      </w:r>
      <w:r w:rsidR="00036B6E" w:rsidRPr="00F91AFC">
        <w:t xml:space="preserve">hirty Aboriginal prisoners carted limestone from Thompson </w:t>
      </w:r>
      <w:r w:rsidR="00E17B0A" w:rsidRPr="00F91AFC">
        <w:t>B</w:t>
      </w:r>
      <w:r w:rsidR="00036B6E" w:rsidRPr="00F91AFC">
        <w:t>ay to the top of the steep Bathurst Hill, to build the lighthouse.</w:t>
      </w:r>
      <w:r w:rsidR="00391049" w:rsidRPr="00F91AFC">
        <w:t xml:space="preserve"> The </w:t>
      </w:r>
      <w:r w:rsidR="003C62FD" w:rsidRPr="00F91AFC">
        <w:t>construction project</w:t>
      </w:r>
      <w:r w:rsidR="009556F1" w:rsidRPr="00F91AFC">
        <w:t xml:space="preserve"> was meant to teach Aboriginal</w:t>
      </w:r>
      <w:r w:rsidR="003C62FD" w:rsidRPr="00F91AFC">
        <w:t xml:space="preserve"> </w:t>
      </w:r>
      <w:r w:rsidR="009556F1" w:rsidRPr="00F91AFC">
        <w:t xml:space="preserve">people </w:t>
      </w:r>
      <w:r w:rsidR="0038677E" w:rsidRPr="00F91AFC">
        <w:t>‘habits of industry’</w:t>
      </w:r>
      <w:r w:rsidR="003C62FD" w:rsidRPr="00F91AFC">
        <w:t xml:space="preserve">, </w:t>
      </w:r>
      <w:r w:rsidR="008E33A7">
        <w:t xml:space="preserve">who the British </w:t>
      </w:r>
      <w:r w:rsidR="003C62FD" w:rsidRPr="00F91AFC">
        <w:t>considered indolent.</w:t>
      </w:r>
      <w:r w:rsidR="009556F1" w:rsidRPr="00F91AFC">
        <w:rPr>
          <w:rStyle w:val="FootnoteReference"/>
        </w:rPr>
        <w:footnoteReference w:id="90"/>
      </w:r>
      <w:r w:rsidR="003C62FD" w:rsidRPr="00F91AFC">
        <w:t xml:space="preserve"> </w:t>
      </w:r>
      <w:r w:rsidR="00391049" w:rsidRPr="00F91AFC">
        <w:t>In 1840, Protector of Aborigines</w:t>
      </w:r>
      <w:r w:rsidR="003C62FD" w:rsidRPr="00F91AFC">
        <w:t>,</w:t>
      </w:r>
      <w:r w:rsidR="00391049" w:rsidRPr="00F91AFC">
        <w:t xml:space="preserve"> Charles Symmons</w:t>
      </w:r>
      <w:r w:rsidR="003C62FD" w:rsidRPr="00F91AFC">
        <w:t>,</w:t>
      </w:r>
      <w:r w:rsidR="00391049" w:rsidRPr="00F91AFC">
        <w:t xml:space="preserve"> described the lighthouse as a ‘proud memorial of the capabilities of the Australian savage when called forth and duly directed</w:t>
      </w:r>
      <w:r w:rsidR="00B85CF1">
        <w:t>’</w:t>
      </w:r>
      <w:r w:rsidR="00391049" w:rsidRPr="00F91AFC">
        <w:t>.</w:t>
      </w:r>
      <w:r w:rsidR="00391049" w:rsidRPr="00F91AFC">
        <w:rPr>
          <w:rStyle w:val="FootnoteReference"/>
          <w:lang w:val="en-US"/>
        </w:rPr>
        <w:footnoteReference w:id="91"/>
      </w:r>
      <w:r w:rsidR="00703CA3" w:rsidRPr="00F91AFC">
        <w:t xml:space="preserve"> </w:t>
      </w:r>
      <w:r w:rsidR="00036B6E" w:rsidRPr="00F91AFC">
        <w:t>In April 1843, Lieutenant Stokes returned to Rottnest</w:t>
      </w:r>
      <w:r w:rsidR="00391049" w:rsidRPr="00F91AFC">
        <w:t>,</w:t>
      </w:r>
      <w:r w:rsidR="00703CA3" w:rsidRPr="00F91AFC">
        <w:t xml:space="preserve"> </w:t>
      </w:r>
      <w:r w:rsidR="00036B6E" w:rsidRPr="00F91AFC">
        <w:t xml:space="preserve">viewing </w:t>
      </w:r>
      <w:r w:rsidR="00703CA3" w:rsidRPr="00F91AFC">
        <w:t>the lighthouse</w:t>
      </w:r>
      <w:r w:rsidR="00036B6E" w:rsidRPr="00F91AFC">
        <w:t xml:space="preserve"> with ‘great interest as the work of the </w:t>
      </w:r>
      <w:r w:rsidR="00391049" w:rsidRPr="00F91AFC">
        <w:t>aborigines imprisoned on the island</w:t>
      </w:r>
      <w:r w:rsidR="00703CA3" w:rsidRPr="00F91AFC">
        <w:t>’.</w:t>
      </w:r>
      <w:r w:rsidR="008E33A7">
        <w:rPr>
          <w:rStyle w:val="FootnoteReference"/>
        </w:rPr>
        <w:footnoteReference w:id="92"/>
      </w:r>
      <w:r w:rsidR="00703CA3" w:rsidRPr="00F91AFC">
        <w:t xml:space="preserve"> </w:t>
      </w:r>
      <w:r w:rsidR="00C7260C" w:rsidRPr="00F91AFC">
        <w:t>He</w:t>
      </w:r>
      <w:r w:rsidR="00703678" w:rsidRPr="00F91AFC">
        <w:t xml:space="preserve"> describe</w:t>
      </w:r>
      <w:r w:rsidR="00E17B0A" w:rsidRPr="00F91AFC">
        <w:t>d</w:t>
      </w:r>
      <w:r w:rsidR="00703678" w:rsidRPr="00F91AFC">
        <w:t xml:space="preserve"> the building having been ‘erected by the hands of a people which seemed destined to perish from the face of the earth</w:t>
      </w:r>
      <w:r w:rsidR="001367FE" w:rsidRPr="00F91AFC">
        <w:t>’</w:t>
      </w:r>
      <w:r w:rsidR="003C62FD" w:rsidRPr="00F91AFC">
        <w:t xml:space="preserve">, reflecting </w:t>
      </w:r>
      <w:r w:rsidR="0025569B" w:rsidRPr="00F91AFC">
        <w:t>contemporary</w:t>
      </w:r>
      <w:r w:rsidR="003C62FD" w:rsidRPr="00F91AFC">
        <w:t xml:space="preserve"> beliefs that Aboriginal people were ‘doomed’ to extinction</w:t>
      </w:r>
      <w:r w:rsidR="00703678" w:rsidRPr="00F91AFC">
        <w:t>.</w:t>
      </w:r>
      <w:r w:rsidR="00A06CFC" w:rsidRPr="00F91AFC">
        <w:rPr>
          <w:rStyle w:val="FootnoteReference"/>
        </w:rPr>
        <w:footnoteReference w:id="93"/>
      </w:r>
      <w:r w:rsidR="00E07459" w:rsidRPr="00F91AFC">
        <w:t xml:space="preserve"> </w:t>
      </w:r>
      <w:r w:rsidR="00E17B0A" w:rsidRPr="00F91AFC">
        <w:t>Al</w:t>
      </w:r>
      <w:r w:rsidR="00703678" w:rsidRPr="00F91AFC">
        <w:t>though the rac</w:t>
      </w:r>
      <w:r w:rsidR="00B85CF1">
        <w:t xml:space="preserve">ialisation </w:t>
      </w:r>
      <w:r w:rsidR="00703678" w:rsidRPr="00F91AFC">
        <w:t xml:space="preserve">of </w:t>
      </w:r>
      <w:r w:rsidR="00B85CF1">
        <w:t xml:space="preserve">Indigenous Australians </w:t>
      </w:r>
      <w:r w:rsidR="00703678" w:rsidRPr="00F91AFC">
        <w:t xml:space="preserve">made their </w:t>
      </w:r>
      <w:r w:rsidR="00BA4259" w:rsidRPr="00F91AFC">
        <w:t xml:space="preserve">work on the lighthouse </w:t>
      </w:r>
      <w:r w:rsidR="00703678" w:rsidRPr="00F91AFC">
        <w:t>more visible to colonial commentators, it was predicated on their ultimate erasure</w:t>
      </w:r>
      <w:r w:rsidR="00B85CF1">
        <w:t xml:space="preserve"> as people</w:t>
      </w:r>
      <w:r w:rsidR="003C62FD" w:rsidRPr="00F91AFC">
        <w:t>.</w:t>
      </w:r>
    </w:p>
    <w:p w14:paraId="7A67C6D6" w14:textId="77777777" w:rsidR="00BA7D67" w:rsidRPr="00F91AFC" w:rsidRDefault="00BA7D67" w:rsidP="00BA7D67">
      <w:pPr>
        <w:adjustRightInd w:val="0"/>
        <w:spacing w:line="276" w:lineRule="auto"/>
      </w:pPr>
    </w:p>
    <w:p w14:paraId="1974F888" w14:textId="1BD94FE9" w:rsidR="00E17B0A" w:rsidRPr="00F91AFC" w:rsidRDefault="001B55C9" w:rsidP="00BA7D67">
      <w:pPr>
        <w:spacing w:line="276" w:lineRule="auto"/>
      </w:pPr>
      <w:r w:rsidRPr="00F91AFC">
        <w:t xml:space="preserve">The colonial government had secondarily transported convicts to islands in Sydney Harbour and Norfolk Island on an </w:t>
      </w:r>
      <w:r w:rsidRPr="00BA7D67">
        <w:rPr>
          <w:i/>
        </w:rPr>
        <w:t>ad</w:t>
      </w:r>
      <w:r w:rsidR="007941A9" w:rsidRPr="00BA7D67">
        <w:rPr>
          <w:i/>
        </w:rPr>
        <w:t xml:space="preserve"> </w:t>
      </w:r>
      <w:r w:rsidRPr="00BA7D67">
        <w:rPr>
          <w:i/>
        </w:rPr>
        <w:t xml:space="preserve">hoc </w:t>
      </w:r>
      <w:r w:rsidRPr="00F91AFC">
        <w:t>basis from 1788.</w:t>
      </w:r>
      <w:r w:rsidRPr="00F91AFC">
        <w:rPr>
          <w:rStyle w:val="FootnoteReference"/>
        </w:rPr>
        <w:footnoteReference w:id="94"/>
      </w:r>
      <w:r w:rsidRPr="00F91AFC">
        <w:t xml:space="preserve"> In the 1820s,</w:t>
      </w:r>
      <w:r w:rsidR="003C62FD" w:rsidRPr="00F91AFC">
        <w:t xml:space="preserve"> </w:t>
      </w:r>
      <w:r w:rsidRPr="00F91AFC">
        <w:t xml:space="preserve">island incarceration became further </w:t>
      </w:r>
      <w:r w:rsidR="00BA7D67">
        <w:t>codified</w:t>
      </w:r>
      <w:r w:rsidR="00BA7D67" w:rsidRPr="00F91AFC">
        <w:t xml:space="preserve"> </w:t>
      </w:r>
      <w:r w:rsidRPr="00F91AFC">
        <w:t>in the Australia convict system</w:t>
      </w:r>
      <w:r w:rsidR="003C62FD" w:rsidRPr="00F91AFC">
        <w:t xml:space="preserve"> as part of a staged system of punishment.</w:t>
      </w:r>
      <w:r w:rsidR="003C62FD" w:rsidRPr="00F91AFC">
        <w:rPr>
          <w:rStyle w:val="FootnoteReference"/>
        </w:rPr>
        <w:footnoteReference w:id="95"/>
      </w:r>
      <w:r w:rsidRPr="00F91AFC">
        <w:t xml:space="preserve"> </w:t>
      </w:r>
      <w:r w:rsidR="009308A2" w:rsidRPr="00F91AFC">
        <w:t>T</w:t>
      </w:r>
      <w:r w:rsidR="003C62FD" w:rsidRPr="00F91AFC">
        <w:t xml:space="preserve">he </w:t>
      </w:r>
      <w:r w:rsidR="00AC4C5B" w:rsidRPr="00F91AFC">
        <w:t xml:space="preserve">colonial </w:t>
      </w:r>
      <w:r w:rsidRPr="00F91AFC">
        <w:t>government</w:t>
      </w:r>
      <w:r w:rsidR="00AC4C5B" w:rsidRPr="00F91AFC">
        <w:t xml:space="preserve"> </w:t>
      </w:r>
      <w:r w:rsidR="003C62FD" w:rsidRPr="00F91AFC">
        <w:t>in Van Diemen’s Land</w:t>
      </w:r>
      <w:r w:rsidR="005C1B7C">
        <w:t xml:space="preserve"> built</w:t>
      </w:r>
      <w:r w:rsidR="003C62FD" w:rsidRPr="00F91AFC">
        <w:t xml:space="preserve"> </w:t>
      </w:r>
      <w:r w:rsidRPr="00F91AFC">
        <w:t xml:space="preserve">penal stations </w:t>
      </w:r>
      <w:r w:rsidR="003C62FD" w:rsidRPr="00F91AFC">
        <w:t>at</w:t>
      </w:r>
      <w:r w:rsidRPr="00F91AFC">
        <w:t xml:space="preserve"> Sarah Island (1822–32), Port Arthur (1825–77)</w:t>
      </w:r>
      <w:r w:rsidR="00BA7D67">
        <w:t>,</w:t>
      </w:r>
      <w:r w:rsidRPr="00F91AFC">
        <w:t xml:space="preserve"> and Maria Island (1825–32). </w:t>
      </w:r>
      <w:r w:rsidR="006A791A" w:rsidRPr="00F91AFC">
        <w:t>C</w:t>
      </w:r>
      <w:r w:rsidRPr="00F91AFC">
        <w:t>onvicts were concentrated together in penal-industrial complexes</w:t>
      </w:r>
      <w:r w:rsidR="009308A2" w:rsidRPr="00F91AFC">
        <w:t xml:space="preserve">. Convicts on </w:t>
      </w:r>
      <w:r w:rsidRPr="00F91AFC">
        <w:t>Sarah Island, in the east, constructed over seventy-nine ships, including nineteen large vessels.</w:t>
      </w:r>
      <w:r w:rsidR="00F8045E" w:rsidRPr="00F91AFC">
        <w:t xml:space="preserve"> </w:t>
      </w:r>
      <w:r w:rsidRPr="00F91AFC">
        <w:t xml:space="preserve">At </w:t>
      </w:r>
      <w:r w:rsidR="00F8045E" w:rsidRPr="00F91AFC">
        <w:t xml:space="preserve">peninsular </w:t>
      </w:r>
      <w:r w:rsidRPr="00F91AFC">
        <w:t>Port Arthur, convicts built more than 155 vessels, including some of the largest in the Australian colonies.</w:t>
      </w:r>
      <w:r w:rsidRPr="00F91AFC">
        <w:rPr>
          <w:rStyle w:val="FootnoteReference"/>
        </w:rPr>
        <w:footnoteReference w:id="96"/>
      </w:r>
      <w:r w:rsidRPr="00F91AFC">
        <w:t xml:space="preserve"> </w:t>
      </w:r>
    </w:p>
    <w:p w14:paraId="632E6511" w14:textId="77777777" w:rsidR="00BA7D67" w:rsidRDefault="00BA7D67" w:rsidP="00BA7D67">
      <w:pPr>
        <w:spacing w:line="276" w:lineRule="auto"/>
      </w:pPr>
    </w:p>
    <w:p w14:paraId="524F2951" w14:textId="526036CB" w:rsidR="00B85CF1" w:rsidRDefault="00B94C7F" w:rsidP="00BA7D67">
      <w:pPr>
        <w:spacing w:line="276" w:lineRule="auto"/>
      </w:pPr>
      <w:r w:rsidRPr="00F91AFC">
        <w:t xml:space="preserve">The </w:t>
      </w:r>
      <w:r w:rsidR="00E07459" w:rsidRPr="00F91AFC">
        <w:t xml:space="preserve">New South Wales government </w:t>
      </w:r>
      <w:r w:rsidRPr="00F91AFC">
        <w:t xml:space="preserve">favoured </w:t>
      </w:r>
      <w:r w:rsidR="005C1B7C">
        <w:t>‘</w:t>
      </w:r>
      <w:r w:rsidR="00593D9B" w:rsidRPr="00F91AFC">
        <w:t>urban</w:t>
      </w:r>
      <w:r w:rsidR="005C1B7C">
        <w:t>’</w:t>
      </w:r>
      <w:r w:rsidR="00593D9B" w:rsidRPr="00F91AFC">
        <w:t xml:space="preserve"> islands for the secondary punishment of convicts. </w:t>
      </w:r>
      <w:r w:rsidR="008F1A1C" w:rsidRPr="00F91AFC">
        <w:t xml:space="preserve">Convicts built and manned large-scale maritime infrastructures, including lighthouses, breakwaters, and dry docks which made colonial cities and their harbours </w:t>
      </w:r>
      <w:r w:rsidR="00BA7D67" w:rsidRPr="00F91AFC">
        <w:t>accessible</w:t>
      </w:r>
      <w:r w:rsidR="008F1A1C" w:rsidRPr="00F91AFC">
        <w:t xml:space="preserve"> to international </w:t>
      </w:r>
      <w:r w:rsidR="00BA7D67" w:rsidRPr="00F91AFC">
        <w:t>vessels</w:t>
      </w:r>
      <w:r w:rsidR="008F1A1C" w:rsidRPr="00F91AFC">
        <w:t xml:space="preserve">. </w:t>
      </w:r>
      <w:r w:rsidR="006B5FF4" w:rsidRPr="00F91AFC">
        <w:rPr>
          <w:rFonts w:eastAsia="Cambria"/>
        </w:rPr>
        <w:t>Between</w:t>
      </w:r>
      <w:r w:rsidR="003346D7" w:rsidRPr="00F91AFC">
        <w:rPr>
          <w:rFonts w:eastAsia="Cambria"/>
        </w:rPr>
        <w:t xml:space="preserve"> </w:t>
      </w:r>
      <w:r w:rsidR="003346D7" w:rsidRPr="00F91AFC">
        <w:t>1839</w:t>
      </w:r>
      <w:r w:rsidR="00BA7D67">
        <w:t xml:space="preserve"> and </w:t>
      </w:r>
      <w:r w:rsidR="003346D7" w:rsidRPr="00F91AFC">
        <w:t>1846</w:t>
      </w:r>
      <w:r w:rsidR="00593D9B" w:rsidRPr="00F91AFC">
        <w:t>,</w:t>
      </w:r>
      <w:r w:rsidR="003346D7" w:rsidRPr="00F91AFC">
        <w:t xml:space="preserve"> convicts built a </w:t>
      </w:r>
      <w:r w:rsidR="006B5FF4" w:rsidRPr="00F91AFC">
        <w:t>breakwater</w:t>
      </w:r>
      <w:r w:rsidR="003346D7" w:rsidRPr="00F91AFC">
        <w:t xml:space="preserve"> connecting Nobby’s Island to Newcastle, </w:t>
      </w:r>
      <w:r w:rsidR="006B5FF4" w:rsidRPr="00F91AFC">
        <w:t>150 kilometres north of Sydney, to enable sailing ships to enter port safely.</w:t>
      </w:r>
      <w:r w:rsidR="00076C6A" w:rsidRPr="00F91AFC">
        <w:t xml:space="preserve"> </w:t>
      </w:r>
      <w:r w:rsidR="003346D7" w:rsidRPr="00F91AFC">
        <w:rPr>
          <w:rFonts w:eastAsia="Cambria"/>
        </w:rPr>
        <w:t xml:space="preserve">In Sydney Harbour, </w:t>
      </w:r>
      <w:r w:rsidR="003346D7" w:rsidRPr="00F91AFC">
        <w:t>convicts built an arms magazine on</w:t>
      </w:r>
      <w:r w:rsidR="00E07459" w:rsidRPr="00F91AFC">
        <w:t xml:space="preserve"> Goat Island (Me-Mel</w:t>
      </w:r>
      <w:r w:rsidR="003346D7" w:rsidRPr="00F91AFC">
        <w:t>,</w:t>
      </w:r>
      <w:r w:rsidR="00E07459" w:rsidRPr="00F91AFC">
        <w:t xml:space="preserve"> 1833–39) </w:t>
      </w:r>
      <w:r w:rsidR="006B5FF4" w:rsidRPr="00F91AFC">
        <w:t>to secure the entrance to the port</w:t>
      </w:r>
      <w:r w:rsidR="00E21CCC" w:rsidRPr="00F91AFC">
        <w:t xml:space="preserve">. </w:t>
      </w:r>
      <w:r w:rsidR="00593D9B" w:rsidRPr="00F91AFC">
        <w:t xml:space="preserve">On </w:t>
      </w:r>
      <w:r w:rsidR="004B14ED" w:rsidRPr="00F91AFC">
        <w:t>Cockatoo Island</w:t>
      </w:r>
      <w:r w:rsidR="00076C6A" w:rsidRPr="00F91AFC">
        <w:t>,</w:t>
      </w:r>
      <w:r w:rsidR="004B14ED" w:rsidRPr="00F91AFC">
        <w:t xml:space="preserve"> in Sydney Harbour</w:t>
      </w:r>
      <w:r w:rsidR="00487611" w:rsidRPr="00F91AFC">
        <w:t>,</w:t>
      </w:r>
      <w:r w:rsidR="004B14ED" w:rsidRPr="00F91AFC">
        <w:t xml:space="preserve"> </w:t>
      </w:r>
      <w:r w:rsidR="005C1B7C">
        <w:t xml:space="preserve">between </w:t>
      </w:r>
      <w:r w:rsidR="005C1B7C" w:rsidRPr="00F91AFC">
        <w:t xml:space="preserve">1847 </w:t>
      </w:r>
      <w:r w:rsidR="00BB1C98">
        <w:t>and</w:t>
      </w:r>
      <w:r w:rsidR="00BB1C98" w:rsidRPr="00F91AFC">
        <w:t xml:space="preserve"> </w:t>
      </w:r>
      <w:r w:rsidR="005C1B7C" w:rsidRPr="00F91AFC">
        <w:t>1857</w:t>
      </w:r>
      <w:r w:rsidR="00BA7D67">
        <w:t xml:space="preserve">, </w:t>
      </w:r>
      <w:r w:rsidR="004B14ED" w:rsidRPr="00F91AFC">
        <w:t xml:space="preserve">prisoners </w:t>
      </w:r>
      <w:r w:rsidR="005C1B7C">
        <w:t>constructed</w:t>
      </w:r>
      <w:r w:rsidR="005C1B7C" w:rsidRPr="00F91AFC">
        <w:t xml:space="preserve"> </w:t>
      </w:r>
      <w:r w:rsidR="004B14ED" w:rsidRPr="00F91AFC">
        <w:t xml:space="preserve">a dry dock to outfit </w:t>
      </w:r>
      <w:r w:rsidR="00487611" w:rsidRPr="00F91AFC">
        <w:t>R</w:t>
      </w:r>
      <w:r w:rsidR="004B14ED" w:rsidRPr="00F91AFC">
        <w:t xml:space="preserve">oyal </w:t>
      </w:r>
      <w:r w:rsidR="00487611" w:rsidRPr="00F91AFC">
        <w:t>N</w:t>
      </w:r>
      <w:r w:rsidR="004B14ED" w:rsidRPr="00F91AFC">
        <w:t>av</w:t>
      </w:r>
      <w:r w:rsidR="00487611" w:rsidRPr="00F91AFC">
        <w:t>y</w:t>
      </w:r>
      <w:r w:rsidR="004B14ED" w:rsidRPr="00F91AFC">
        <w:t xml:space="preserve"> ships.  Governor George Gipps</w:t>
      </w:r>
      <w:r w:rsidR="00B85CF1">
        <w:t xml:space="preserve"> </w:t>
      </w:r>
      <w:r w:rsidR="004B14ED" w:rsidRPr="00F91AFC">
        <w:t xml:space="preserve">listed the advantages of the island </w:t>
      </w:r>
      <w:r w:rsidR="00593D9B" w:rsidRPr="00F91AFC">
        <w:t>as a prison</w:t>
      </w:r>
      <w:r w:rsidR="00B85CF1">
        <w:t xml:space="preserve"> – </w:t>
      </w:r>
      <w:r w:rsidR="00593D9B" w:rsidRPr="00F91AFC">
        <w:t>it was ‘under the very eye of authority’</w:t>
      </w:r>
      <w:r w:rsidR="00B85CF1">
        <w:t xml:space="preserve"> –</w:t>
      </w:r>
      <w:r w:rsidR="00B85CF1">
        <w:softHyphen/>
      </w:r>
      <w:r w:rsidR="00B85CF1" w:rsidRPr="00F91AFC">
        <w:t xml:space="preserve"> </w:t>
      </w:r>
      <w:r w:rsidR="00B85CF1">
        <w:t xml:space="preserve">and as a dry dock – it was </w:t>
      </w:r>
      <w:r w:rsidR="004B14ED" w:rsidRPr="00F91AFC">
        <w:t xml:space="preserve">‘surrounded by deep water’ </w:t>
      </w:r>
      <w:r w:rsidR="00593D9B" w:rsidRPr="00F91AFC">
        <w:t xml:space="preserve">and had </w:t>
      </w:r>
      <w:r w:rsidR="004B14ED" w:rsidRPr="00F91AFC">
        <w:t>‘excellent building stone’.</w:t>
      </w:r>
      <w:r w:rsidR="004B14ED" w:rsidRPr="00F91AFC">
        <w:rPr>
          <w:rStyle w:val="FootnoteReference"/>
        </w:rPr>
        <w:footnoteReference w:id="97"/>
      </w:r>
      <w:r w:rsidR="004B14ED" w:rsidRPr="00F91AFC">
        <w:t xml:space="preserve"> In 1845, </w:t>
      </w:r>
      <w:r w:rsidR="00B85CF1">
        <w:t>Gipps</w:t>
      </w:r>
      <w:r w:rsidR="00B85CF1" w:rsidRPr="00F91AFC">
        <w:t xml:space="preserve"> </w:t>
      </w:r>
      <w:r w:rsidR="004B14ED" w:rsidRPr="00F91AFC">
        <w:t>wrote again to the Colonial Office citing the ‘advantages which would accrue to this Colony and to the Empire at large, were a Dry Dock to be constructed at Sydney for Men of War’.</w:t>
      </w:r>
      <w:r w:rsidR="004B14ED" w:rsidRPr="00F91AFC">
        <w:rPr>
          <w:rStyle w:val="FootnoteReference"/>
        </w:rPr>
        <w:footnoteReference w:id="98"/>
      </w:r>
      <w:r w:rsidR="004B14ED" w:rsidRPr="00F91AFC">
        <w:t xml:space="preserve"> It was designed </w:t>
      </w:r>
      <w:r w:rsidR="004F7C74" w:rsidRPr="00F91AFC">
        <w:t>as</w:t>
      </w:r>
      <w:r w:rsidR="004B14ED" w:rsidRPr="00F91AFC">
        <w:t xml:space="preserve"> the largest dry dock in the British Empire</w:t>
      </w:r>
      <w:r w:rsidR="005F0A97">
        <w:t xml:space="preserve">, </w:t>
      </w:r>
      <w:r w:rsidR="004B14ED" w:rsidRPr="00F91AFC">
        <w:t>outside of Portsmouth</w:t>
      </w:r>
      <w:r w:rsidR="005F0A97">
        <w:t>,</w:t>
      </w:r>
      <w:r w:rsidR="004B14ED" w:rsidRPr="00F91AFC">
        <w:t xml:space="preserve"> for large vessels to undertake repairs in the southern hemisphere rather than returning to England.</w:t>
      </w:r>
      <w:r w:rsidR="004B14ED" w:rsidRPr="00F91AFC">
        <w:rPr>
          <w:rStyle w:val="FootnoteReference"/>
        </w:rPr>
        <w:footnoteReference w:id="99"/>
      </w:r>
    </w:p>
    <w:p w14:paraId="516179A9" w14:textId="77777777" w:rsidR="00B85CF1" w:rsidRDefault="00B85CF1" w:rsidP="00BA7D67">
      <w:pPr>
        <w:spacing w:line="276" w:lineRule="auto"/>
      </w:pPr>
    </w:p>
    <w:p w14:paraId="2C250F7F" w14:textId="67422EFD" w:rsidR="00487611" w:rsidRDefault="00A06CFC" w:rsidP="00BA7D67">
      <w:pPr>
        <w:spacing w:line="276" w:lineRule="auto"/>
      </w:pPr>
      <w:r w:rsidRPr="00F91AFC">
        <w:t>Since convict transportation to New South Wales</w:t>
      </w:r>
      <w:r w:rsidR="00B85CF1">
        <w:t xml:space="preserve"> had</w:t>
      </w:r>
      <w:r w:rsidRPr="00F91AFC">
        <w:t xml:space="preserve"> </w:t>
      </w:r>
      <w:r w:rsidR="00B85CF1">
        <w:t>ceased</w:t>
      </w:r>
      <w:r w:rsidR="00B85CF1" w:rsidRPr="00F91AFC">
        <w:t xml:space="preserve"> </w:t>
      </w:r>
      <w:r w:rsidRPr="00F91AFC">
        <w:t>in 1840, t</w:t>
      </w:r>
      <w:r w:rsidR="004B0FA1" w:rsidRPr="00F91AFC">
        <w:t>he government turned to the colony’s last remaining convicts as a cheap, flexible labour force, who could be held securely on the island</w:t>
      </w:r>
      <w:r w:rsidR="00487611" w:rsidRPr="00F91AFC">
        <w:t>’</w:t>
      </w:r>
      <w:r w:rsidR="004B0FA1" w:rsidRPr="00F91AFC">
        <w:t>s constrained limits.</w:t>
      </w:r>
      <w:r w:rsidR="00BA7D67">
        <w:t xml:space="preserve"> </w:t>
      </w:r>
      <w:r w:rsidR="004F7C74" w:rsidRPr="00F91AFC">
        <w:t>Th</w:t>
      </w:r>
      <w:r w:rsidR="004B14ED" w:rsidRPr="00F91AFC">
        <w:t xml:space="preserve">e building project ran up against major delays, and its initial budget of £400 for </w:t>
      </w:r>
      <w:r w:rsidR="00AF1BA7" w:rsidRPr="00F91AFC">
        <w:t>fifteen</w:t>
      </w:r>
      <w:r w:rsidR="004B14ED" w:rsidRPr="00F91AFC">
        <w:t xml:space="preserve"> months</w:t>
      </w:r>
      <w:r w:rsidR="00AF1BA7" w:rsidRPr="00F91AFC">
        <w:t>’</w:t>
      </w:r>
      <w:r w:rsidR="004B14ED" w:rsidRPr="00F91AFC">
        <w:t xml:space="preserve"> work by </w:t>
      </w:r>
      <w:r w:rsidR="00AF1BA7" w:rsidRPr="00F91AFC">
        <w:t>a</w:t>
      </w:r>
      <w:r w:rsidR="004F7C74" w:rsidRPr="00F91AFC">
        <w:t xml:space="preserve"> hundred</w:t>
      </w:r>
      <w:r w:rsidR="004B14ED" w:rsidRPr="00F91AFC">
        <w:t xml:space="preserve"> men was quickly exceeded.</w:t>
      </w:r>
      <w:r w:rsidR="00B85CF1" w:rsidRPr="007F714B">
        <w:rPr>
          <w:rStyle w:val="FootnoteReference"/>
        </w:rPr>
        <w:footnoteReference w:id="100"/>
      </w:r>
      <w:r w:rsidR="004B14ED" w:rsidRPr="00F91AFC">
        <w:t xml:space="preserve"> </w:t>
      </w:r>
      <w:r w:rsidR="0086354A" w:rsidRPr="00F91AFC">
        <w:t>C</w:t>
      </w:r>
      <w:r w:rsidR="004F7C74" w:rsidRPr="00F91AFC">
        <w:t xml:space="preserve">onvict ‘guttering crews’ </w:t>
      </w:r>
      <w:r w:rsidR="0086354A" w:rsidRPr="00F91AFC">
        <w:t xml:space="preserve">had to break through </w:t>
      </w:r>
      <w:r w:rsidR="004F7C74" w:rsidRPr="00F91AFC">
        <w:t xml:space="preserve">a </w:t>
      </w:r>
      <w:r w:rsidR="0086354A" w:rsidRPr="00F91AFC">
        <w:t xml:space="preserve">layer of hard shale in order </w:t>
      </w:r>
      <w:r w:rsidR="004F7C74" w:rsidRPr="00F91AFC">
        <w:t>to quarry the dock into the island’s base. Further delays were caused by the need to import engineers and equipment from Britain, as local skilled labourers refused to work alongside convicts</w:t>
      </w:r>
      <w:r w:rsidR="00B863ED" w:rsidRPr="00F91AFC">
        <w:t>.</w:t>
      </w:r>
      <w:r w:rsidR="00B863ED" w:rsidRPr="00F91AFC">
        <w:rPr>
          <w:rStyle w:val="FootnoteReference"/>
        </w:rPr>
        <w:footnoteReference w:id="101"/>
      </w:r>
      <w:r w:rsidR="00113AA8" w:rsidRPr="00F91AFC">
        <w:t xml:space="preserve"> </w:t>
      </w:r>
      <w:r w:rsidR="004F7C74" w:rsidRPr="00F91AFC">
        <w:t>The productivity of convict labour was improved by the introduction of ‘task work’</w:t>
      </w:r>
      <w:r w:rsidR="005008DC" w:rsidRPr="00F91AFC">
        <w:t xml:space="preserve"> in 1851</w:t>
      </w:r>
      <w:r w:rsidR="004F7C74" w:rsidRPr="00F91AFC">
        <w:t>, by which convicts could earn up to</w:t>
      </w:r>
      <w:r w:rsidR="004B14ED" w:rsidRPr="00F91AFC">
        <w:t xml:space="preserve"> ‘half a day in time’ and three pence a day for exceeding daily targets</w:t>
      </w:r>
      <w:r w:rsidR="0008180D" w:rsidRPr="00F91AFC">
        <w:t>.</w:t>
      </w:r>
      <w:r w:rsidR="00B32B00" w:rsidRPr="00F91AFC">
        <w:rPr>
          <w:rStyle w:val="FootnoteReference"/>
        </w:rPr>
        <w:footnoteReference w:id="102"/>
      </w:r>
      <w:r w:rsidR="00BA7D67">
        <w:t xml:space="preserve"> </w:t>
      </w:r>
      <w:r w:rsidR="005008DC" w:rsidRPr="00F91AFC">
        <w:t xml:space="preserve">In 1852, the dimensions of the dry dock were extended in order to accommodate larger steamships. By 30 September 1857, the dock was ready to use for the first time, receiving the colonial steam dredge, the </w:t>
      </w:r>
      <w:r w:rsidR="005008DC" w:rsidRPr="00F91AFC">
        <w:rPr>
          <w:i/>
        </w:rPr>
        <w:t>Hercules</w:t>
      </w:r>
      <w:r w:rsidR="005008DC" w:rsidRPr="00F91AFC">
        <w:t>.</w:t>
      </w:r>
      <w:r w:rsidR="00EF1C30" w:rsidRPr="00F91AFC">
        <w:rPr>
          <w:rStyle w:val="FootnoteReference"/>
        </w:rPr>
        <w:footnoteReference w:id="103"/>
      </w:r>
      <w:r w:rsidR="005008DC" w:rsidRPr="00F91AFC">
        <w:t xml:space="preserve"> Convicts remained stationed on the island</w:t>
      </w:r>
      <w:r w:rsidR="00487611" w:rsidRPr="00F91AFC">
        <w:t>,</w:t>
      </w:r>
      <w:r w:rsidR="005008DC" w:rsidRPr="00F91AFC">
        <w:t xml:space="preserve"> manning the dockyard</w:t>
      </w:r>
      <w:r w:rsidR="00846A71" w:rsidRPr="00F91AFC">
        <w:t xml:space="preserve"> </w:t>
      </w:r>
      <w:r w:rsidR="005008DC" w:rsidRPr="00F91AFC">
        <w:t xml:space="preserve">and building twelve workshops and an </w:t>
      </w:r>
      <w:r w:rsidR="005008DC" w:rsidRPr="00F91AFC">
        <w:lastRenderedPageBreak/>
        <w:t>engine house to complete repairs.</w:t>
      </w:r>
      <w:r w:rsidR="00FD1818" w:rsidRPr="00F91AFC">
        <w:rPr>
          <w:rStyle w:val="FootnoteReference"/>
        </w:rPr>
        <w:footnoteReference w:id="104"/>
      </w:r>
      <w:r w:rsidR="005008DC" w:rsidRPr="00F91AFC">
        <w:t xml:space="preserve"> In 1869, the prisoners were removed from the island, which was handed over to the Royal Navy.</w:t>
      </w:r>
      <w:r w:rsidR="00AF1BA7" w:rsidRPr="00F91AFC">
        <w:t xml:space="preserve"> </w:t>
      </w:r>
      <w:r w:rsidR="004B14ED" w:rsidRPr="00F91AFC">
        <w:t>Convict labour proved</w:t>
      </w:r>
      <w:r w:rsidR="00700ECE" w:rsidRPr="00F91AFC">
        <w:t xml:space="preserve"> </w:t>
      </w:r>
      <w:r w:rsidR="004B14ED" w:rsidRPr="00F91AFC">
        <w:t>receptive to changing demands of imperial</w:t>
      </w:r>
      <w:r w:rsidR="0086354A" w:rsidRPr="00F91AFC">
        <w:t xml:space="preserve"> shipping </w:t>
      </w:r>
      <w:r w:rsidR="00CB15A1" w:rsidRPr="00F91AFC">
        <w:t>in</w:t>
      </w:r>
      <w:r w:rsidR="005008DC" w:rsidRPr="00F91AFC">
        <w:t xml:space="preserve"> </w:t>
      </w:r>
      <w:r w:rsidR="00AF1BA7" w:rsidRPr="00F91AFC">
        <w:t xml:space="preserve">the </w:t>
      </w:r>
      <w:r w:rsidR="005008DC" w:rsidRPr="00F91AFC">
        <w:t>transition to steam power</w:t>
      </w:r>
      <w:r w:rsidR="004B14ED" w:rsidRPr="00F91AFC">
        <w:t>.</w:t>
      </w:r>
      <w:r w:rsidR="004B14ED" w:rsidRPr="00F91AFC">
        <w:rPr>
          <w:rStyle w:val="FootnoteReference"/>
        </w:rPr>
        <w:footnoteReference w:id="105"/>
      </w:r>
      <w:r w:rsidR="004B14ED" w:rsidRPr="00F91AFC">
        <w:t xml:space="preserve"> </w:t>
      </w:r>
    </w:p>
    <w:p w14:paraId="62208E29" w14:textId="77777777" w:rsidR="00BA7D67" w:rsidRPr="00F91AFC" w:rsidRDefault="00BA7D67" w:rsidP="00BA7D67">
      <w:pPr>
        <w:spacing w:line="276" w:lineRule="auto"/>
      </w:pPr>
    </w:p>
    <w:p w14:paraId="0A895B46" w14:textId="66A15B09" w:rsidR="00A378CD" w:rsidRPr="00F91AFC" w:rsidRDefault="00A378CD" w:rsidP="00804BB3">
      <w:pPr>
        <w:pStyle w:val="Heading1"/>
        <w:spacing w:before="0" w:line="276" w:lineRule="auto"/>
        <w:rPr>
          <w:rFonts w:ascii="Times New Roman" w:hAnsi="Times New Roman" w:cs="Times New Roman"/>
          <w:color w:val="auto"/>
          <w:sz w:val="24"/>
          <w:szCs w:val="24"/>
        </w:rPr>
      </w:pPr>
      <w:r w:rsidRPr="00BA7D67">
        <w:rPr>
          <w:rFonts w:ascii="Times New Roman" w:hAnsi="Times New Roman" w:cs="Times New Roman"/>
          <w:b/>
          <w:color w:val="auto"/>
          <w:sz w:val="24"/>
          <w:szCs w:val="24"/>
        </w:rPr>
        <w:t xml:space="preserve">Islands as </w:t>
      </w:r>
      <w:r w:rsidR="004F7C74" w:rsidRPr="00BA7D67">
        <w:rPr>
          <w:rFonts w:ascii="Times New Roman" w:hAnsi="Times New Roman" w:cs="Times New Roman"/>
          <w:b/>
          <w:color w:val="auto"/>
          <w:sz w:val="24"/>
          <w:szCs w:val="24"/>
        </w:rPr>
        <w:t xml:space="preserve">Natural </w:t>
      </w:r>
      <w:r w:rsidRPr="00BA7D67">
        <w:rPr>
          <w:rFonts w:ascii="Times New Roman" w:hAnsi="Times New Roman" w:cs="Times New Roman"/>
          <w:b/>
          <w:color w:val="auto"/>
          <w:sz w:val="24"/>
          <w:szCs w:val="24"/>
        </w:rPr>
        <w:t>Laboratories</w:t>
      </w:r>
    </w:p>
    <w:p w14:paraId="29F9F720" w14:textId="77777777" w:rsidR="00BA7D67" w:rsidRDefault="00BA7D67" w:rsidP="00BA7D67">
      <w:pPr>
        <w:spacing w:line="276" w:lineRule="auto"/>
      </w:pPr>
    </w:p>
    <w:p w14:paraId="55EB376F" w14:textId="3F9B4275" w:rsidR="00095099" w:rsidRPr="00F91AFC" w:rsidRDefault="00BD7EA4" w:rsidP="00BA7D67">
      <w:pPr>
        <w:spacing w:line="276" w:lineRule="auto"/>
      </w:pPr>
      <w:r w:rsidRPr="00F91AFC">
        <w:t>Western scientific epistemologies were shaped by expanding imperial frontiers, particularly in the Pacific Ocean arena.</w:t>
      </w:r>
      <w:r w:rsidR="00A4501E" w:rsidRPr="00F91AFC">
        <w:t xml:space="preserve"> </w:t>
      </w:r>
      <w:r w:rsidR="00095099" w:rsidRPr="00F91AFC">
        <w:t>T</w:t>
      </w:r>
      <w:r w:rsidR="00A4501E" w:rsidRPr="00F91AFC">
        <w:t xml:space="preserve">ropical islands </w:t>
      </w:r>
      <w:r w:rsidR="00080706" w:rsidRPr="00F91AFC">
        <w:t>had lon</w:t>
      </w:r>
      <w:r w:rsidR="004E50BD" w:rsidRPr="00F91AFC">
        <w:t>g</w:t>
      </w:r>
      <w:r w:rsidR="00080706" w:rsidRPr="00F91AFC">
        <w:t xml:space="preserve"> been imagined as </w:t>
      </w:r>
      <w:r w:rsidR="005F0A97">
        <w:t>E</w:t>
      </w:r>
      <w:r w:rsidR="005F0A97" w:rsidRPr="00F91AFC">
        <w:t>denic</w:t>
      </w:r>
      <w:r w:rsidR="00080706" w:rsidRPr="00F91AFC">
        <w:t xml:space="preserve"> paradises</w:t>
      </w:r>
      <w:r w:rsidR="00095099" w:rsidRPr="00F91AFC">
        <w:t>, but imperial expansion</w:t>
      </w:r>
      <w:r w:rsidR="00B04D31" w:rsidRPr="00F91AFC">
        <w:t xml:space="preserve"> </w:t>
      </w:r>
      <w:r w:rsidR="006D17DC">
        <w:t xml:space="preserve">meant that </w:t>
      </w:r>
      <w:r w:rsidR="00095099" w:rsidRPr="00F91AFC">
        <w:t>bountiful, tropical</w:t>
      </w:r>
      <w:r w:rsidR="00B04D31" w:rsidRPr="00F91AFC">
        <w:t xml:space="preserve"> </w:t>
      </w:r>
      <w:r w:rsidR="00080706" w:rsidRPr="00F91AFC">
        <w:t xml:space="preserve">islands </w:t>
      </w:r>
      <w:r w:rsidR="00095099" w:rsidRPr="00F91AFC">
        <w:t>became</w:t>
      </w:r>
      <w:r w:rsidR="00080706" w:rsidRPr="00F91AFC">
        <w:t xml:space="preserve"> coveted</w:t>
      </w:r>
      <w:r w:rsidR="00095099" w:rsidRPr="00F91AFC">
        <w:t xml:space="preserve"> possessions.</w:t>
      </w:r>
      <w:r w:rsidR="00095099" w:rsidRPr="00F91AFC">
        <w:rPr>
          <w:rStyle w:val="FootnoteReference"/>
        </w:rPr>
        <w:footnoteReference w:id="106"/>
      </w:r>
      <w:r w:rsidR="00114003" w:rsidRPr="00F91AFC">
        <w:t xml:space="preserve"> Tropical islands </w:t>
      </w:r>
      <w:r w:rsidR="00095099" w:rsidRPr="00F91AFC">
        <w:t>were conceived of</w:t>
      </w:r>
      <w:r w:rsidR="00B04D31" w:rsidRPr="00F91AFC">
        <w:t xml:space="preserve"> </w:t>
      </w:r>
      <w:r w:rsidR="00BA7D67">
        <w:t xml:space="preserve">as </w:t>
      </w:r>
      <w:r w:rsidR="00B04D31" w:rsidRPr="00F91AFC">
        <w:t xml:space="preserve">natural ‘laboratories’ </w:t>
      </w:r>
      <w:r w:rsidR="00114003" w:rsidRPr="00F91AFC">
        <w:t>where</w:t>
      </w:r>
      <w:r w:rsidR="00B04D31" w:rsidRPr="00F91AFC">
        <w:t xml:space="preserve"> Europ</w:t>
      </w:r>
      <w:r w:rsidR="00334BD5" w:rsidRPr="00F91AFC">
        <w:t>e</w:t>
      </w:r>
      <w:r w:rsidR="00B04D31" w:rsidRPr="00F91AFC">
        <w:t xml:space="preserve">ans </w:t>
      </w:r>
      <w:r w:rsidR="00114003" w:rsidRPr="00F91AFC">
        <w:t>could</w:t>
      </w:r>
      <w:r w:rsidR="00B04D31" w:rsidRPr="00F91AFC">
        <w:t xml:space="preserve"> </w:t>
      </w:r>
      <w:r w:rsidR="00334BD5" w:rsidRPr="00F91AFC">
        <w:t>study</w:t>
      </w:r>
      <w:r w:rsidR="00B04D31" w:rsidRPr="00F91AFC">
        <w:t xml:space="preserve"> new kinds of flora</w:t>
      </w:r>
      <w:r w:rsidR="00334BD5" w:rsidRPr="00F91AFC">
        <w:t xml:space="preserve">, </w:t>
      </w:r>
      <w:r w:rsidR="00B04D31" w:rsidRPr="00F91AFC">
        <w:t xml:space="preserve">fauna, and </w:t>
      </w:r>
      <w:r w:rsidR="00334BD5" w:rsidRPr="00F91AFC">
        <w:t>the Indigenous peoples</w:t>
      </w:r>
      <w:r w:rsidR="00374E87" w:rsidRPr="00F91AFC">
        <w:t>.</w:t>
      </w:r>
      <w:r w:rsidR="00317D74" w:rsidRPr="00F91AFC">
        <w:rPr>
          <w:rStyle w:val="FootnoteReference"/>
        </w:rPr>
        <w:footnoteReference w:id="107"/>
      </w:r>
      <w:r w:rsidR="00374E87" w:rsidRPr="00F91AFC">
        <w:t xml:space="preserve"> </w:t>
      </w:r>
      <w:r w:rsidR="00095099" w:rsidRPr="00F91AFC">
        <w:t xml:space="preserve">As Richard Grove </w:t>
      </w:r>
      <w:r w:rsidR="006D17DC" w:rsidRPr="00F91AFC">
        <w:t>argue</w:t>
      </w:r>
      <w:r w:rsidR="006D17DC">
        <w:t>d</w:t>
      </w:r>
      <w:r w:rsidR="00095099" w:rsidRPr="00F91AFC">
        <w:t>, islands provided ‘global analogues’ of the wider world which were ‘manageable in terms of size’.</w:t>
      </w:r>
      <w:r w:rsidR="00095099" w:rsidRPr="00F91AFC">
        <w:rPr>
          <w:rStyle w:val="FootnoteReference"/>
        </w:rPr>
        <w:footnoteReference w:id="108"/>
      </w:r>
      <w:r w:rsidR="00095099" w:rsidRPr="00F91AFC">
        <w:t xml:space="preserve"> The </w:t>
      </w:r>
      <w:r w:rsidR="00BA7D67">
        <w:t>e</w:t>
      </w:r>
      <w:r w:rsidR="00095099" w:rsidRPr="00F91AFC">
        <w:t xml:space="preserve">denic imagination extended to Australia itself, </w:t>
      </w:r>
      <w:r w:rsidR="00B85CF1">
        <w:t xml:space="preserve">which the British conceived as an </w:t>
      </w:r>
      <w:r w:rsidR="00095099" w:rsidRPr="00F91AFC">
        <w:t>inversion of European wildlife, but its offshore islands were more manageable sites of exploration.</w:t>
      </w:r>
      <w:r w:rsidR="00095099" w:rsidRPr="00F91AFC">
        <w:rPr>
          <w:rStyle w:val="FootnoteReference"/>
        </w:rPr>
        <w:footnoteReference w:id="109"/>
      </w:r>
      <w:r w:rsidR="00095099" w:rsidRPr="00F91AFC">
        <w:t xml:space="preserve"> Burgeoning interest in marine biology and zoology, including nesting seabirds, continued to dr</w:t>
      </w:r>
      <w:r w:rsidR="00BA7D67">
        <w:t>a</w:t>
      </w:r>
      <w:r w:rsidR="00095099" w:rsidRPr="00F91AFC">
        <w:t xml:space="preserve">w </w:t>
      </w:r>
      <w:r w:rsidR="006D17DC" w:rsidRPr="00F91AFC">
        <w:t>scientists’</w:t>
      </w:r>
      <w:r w:rsidR="00095099" w:rsidRPr="00F91AFC">
        <w:t xml:space="preserve"> attention to Australia’s islands throughout the nineteenth century.</w:t>
      </w:r>
      <w:r w:rsidR="00095099" w:rsidRPr="00F91AFC">
        <w:rPr>
          <w:rStyle w:val="FootnoteReference"/>
        </w:rPr>
        <w:footnoteReference w:id="110"/>
      </w:r>
      <w:r w:rsidR="00095099" w:rsidRPr="00F91AFC">
        <w:t xml:space="preserve"> </w:t>
      </w:r>
    </w:p>
    <w:p w14:paraId="74413898" w14:textId="77777777" w:rsidR="00BA7D67" w:rsidRDefault="00BA7D67" w:rsidP="00BA7D67">
      <w:pPr>
        <w:spacing w:line="276" w:lineRule="auto"/>
      </w:pPr>
    </w:p>
    <w:p w14:paraId="64624F36" w14:textId="6534019E" w:rsidR="00095099" w:rsidRPr="00F91AFC" w:rsidRDefault="004E50BD" w:rsidP="00BA7D67">
      <w:pPr>
        <w:spacing w:line="276" w:lineRule="auto"/>
      </w:pPr>
      <w:r w:rsidRPr="00F91AFC">
        <w:t xml:space="preserve">Indigenous people </w:t>
      </w:r>
      <w:r w:rsidR="00334BD5" w:rsidRPr="00F91AFC">
        <w:t xml:space="preserve">imparted their knowledge of </w:t>
      </w:r>
      <w:r w:rsidR="00095099" w:rsidRPr="00F91AFC">
        <w:t>their country</w:t>
      </w:r>
      <w:r w:rsidR="006D37D9" w:rsidRPr="00F91AFC">
        <w:t xml:space="preserve">, helping </w:t>
      </w:r>
      <w:r w:rsidR="00797A5E" w:rsidRPr="00F91AFC">
        <w:t>Eur</w:t>
      </w:r>
      <w:r w:rsidR="00EB4EB1">
        <w:t>o</w:t>
      </w:r>
      <w:r w:rsidR="00797A5E" w:rsidRPr="00F91AFC">
        <w:t>peans</w:t>
      </w:r>
      <w:r w:rsidR="006D37D9" w:rsidRPr="00F91AFC">
        <w:t xml:space="preserve"> learn about Australia’s plant</w:t>
      </w:r>
      <w:r w:rsidR="00BA7D67">
        <w:t xml:space="preserve"> </w:t>
      </w:r>
      <w:r w:rsidR="006D37D9" w:rsidRPr="00F91AFC">
        <w:t>and animal life</w:t>
      </w:r>
      <w:r w:rsidR="00BA7D67">
        <w:t>,</w:t>
      </w:r>
      <w:r w:rsidR="006D37D9" w:rsidRPr="00F91AFC">
        <w:t xml:space="preserve"> and guiding Europeans through the</w:t>
      </w:r>
      <w:r w:rsidR="00797A5E" w:rsidRPr="00F91AFC">
        <w:t xml:space="preserve"> bush. Some Europeans learnt ‘bush-skills’ from Aboriginal people, using them to survive outside of government control or offering their </w:t>
      </w:r>
      <w:r w:rsidR="00B85CF1">
        <w:t>services</w:t>
      </w:r>
      <w:r w:rsidR="00B85CF1" w:rsidRPr="00F91AFC">
        <w:t xml:space="preserve"> </w:t>
      </w:r>
      <w:r w:rsidR="00797A5E" w:rsidRPr="00F91AFC">
        <w:t>for hire.</w:t>
      </w:r>
      <w:r w:rsidR="00797A5E" w:rsidRPr="00F91AFC">
        <w:rPr>
          <w:rStyle w:val="FootnoteReference"/>
        </w:rPr>
        <w:footnoteReference w:id="111"/>
      </w:r>
      <w:r w:rsidR="00797A5E" w:rsidRPr="00F91AFC">
        <w:t xml:space="preserve"> </w:t>
      </w:r>
      <w:r w:rsidR="00095099" w:rsidRPr="00F91AFC">
        <w:t>Australia’s offshore islands mirrored these patterns on the mainland</w:t>
      </w:r>
      <w:r w:rsidR="00B85CF1">
        <w:t xml:space="preserve">: </w:t>
      </w:r>
      <w:r w:rsidR="00095099" w:rsidRPr="00F91AFC">
        <w:t xml:space="preserve">Aboriginal and European </w:t>
      </w:r>
      <w:r w:rsidR="006D17DC" w:rsidRPr="00F91AFC">
        <w:t>prisoners</w:t>
      </w:r>
      <w:r w:rsidR="00095099" w:rsidRPr="00F91AFC">
        <w:t xml:space="preserve"> </w:t>
      </w:r>
      <w:r w:rsidR="00B85CF1">
        <w:t>worked</w:t>
      </w:r>
      <w:r w:rsidR="00B85CF1" w:rsidRPr="00F91AFC">
        <w:t xml:space="preserve"> </w:t>
      </w:r>
      <w:r w:rsidR="00095099" w:rsidRPr="00F91AFC">
        <w:t>as botanists and guides to scientists who visited the</w:t>
      </w:r>
      <w:r w:rsidR="00B85CF1">
        <w:t>ir</w:t>
      </w:r>
      <w:r w:rsidR="00095099" w:rsidRPr="00F91AFC">
        <w:t xml:space="preserve"> island</w:t>
      </w:r>
      <w:r w:rsidR="00B85CF1">
        <w:t>s</w:t>
      </w:r>
      <w:r w:rsidR="00095099" w:rsidRPr="00F91AFC">
        <w:t xml:space="preserve">. Scientific knowledge that prisoners helped co-produce, often unacknowledged, travelled through imperial circuits to </w:t>
      </w:r>
      <w:r w:rsidR="00B85CF1">
        <w:t>metropolitan and colonial</w:t>
      </w:r>
      <w:r w:rsidR="00095099" w:rsidRPr="00F91AFC">
        <w:t xml:space="preserve"> ‘hubs’ of scientific knowledge.</w:t>
      </w:r>
    </w:p>
    <w:p w14:paraId="56C2B105" w14:textId="77777777" w:rsidR="00BA7D67" w:rsidRDefault="00BA7D67" w:rsidP="00BA7D67">
      <w:pPr>
        <w:spacing w:line="276" w:lineRule="auto"/>
      </w:pPr>
    </w:p>
    <w:p w14:paraId="08FEC44E" w14:textId="172F0163" w:rsidR="00A378CD" w:rsidRDefault="00323060" w:rsidP="00804BB3">
      <w:pPr>
        <w:spacing w:line="276" w:lineRule="auto"/>
      </w:pPr>
      <w:r w:rsidRPr="00F91AFC">
        <w:t>C</w:t>
      </w:r>
      <w:r w:rsidR="00317D74" w:rsidRPr="00F91AFC">
        <w:t>onvict</w:t>
      </w:r>
      <w:r w:rsidR="00C900BD" w:rsidRPr="00F91AFC">
        <w:t>-botanist</w:t>
      </w:r>
      <w:r w:rsidR="00317D74" w:rsidRPr="00F91AFC">
        <w:t xml:space="preserve"> </w:t>
      </w:r>
      <w:r w:rsidRPr="00F91AFC">
        <w:t xml:space="preserve">John Richardson </w:t>
      </w:r>
      <w:r w:rsidR="00317D74" w:rsidRPr="00F91AFC">
        <w:t>was sent to tropical Melville Island</w:t>
      </w:r>
      <w:r w:rsidRPr="00F91AFC">
        <w:t xml:space="preserve"> </w:t>
      </w:r>
      <w:r w:rsidR="00317D74" w:rsidRPr="00F91AFC">
        <w:t xml:space="preserve">to </w:t>
      </w:r>
      <w:r w:rsidR="00A25A95" w:rsidRPr="00F91AFC">
        <w:t>assess</w:t>
      </w:r>
      <w:r w:rsidR="00317D74" w:rsidRPr="00F91AFC">
        <w:t xml:space="preserve"> </w:t>
      </w:r>
      <w:r w:rsidRPr="00F91AFC">
        <w:t>the</w:t>
      </w:r>
      <w:r w:rsidR="00317D74" w:rsidRPr="00F91AFC">
        <w:t xml:space="preserve"> flora and fauna of th</w:t>
      </w:r>
      <w:r w:rsidRPr="00F91AFC">
        <w:t>e</w:t>
      </w:r>
      <w:r w:rsidR="00317D74" w:rsidRPr="00F91AFC">
        <w:t xml:space="preserve"> newly</w:t>
      </w:r>
      <w:r w:rsidR="00BA7D67">
        <w:t xml:space="preserve"> </w:t>
      </w:r>
      <w:r w:rsidR="006D17DC" w:rsidRPr="00F91AFC">
        <w:t>coloni</w:t>
      </w:r>
      <w:r w:rsidR="006D17DC">
        <w:t>z</w:t>
      </w:r>
      <w:r w:rsidR="006D17DC" w:rsidRPr="00F91AFC">
        <w:t xml:space="preserve">ed </w:t>
      </w:r>
      <w:r w:rsidRPr="00F91AFC">
        <w:t xml:space="preserve">northern region </w:t>
      </w:r>
      <w:r w:rsidR="00317D74" w:rsidRPr="00F91AFC">
        <w:t xml:space="preserve">of Australia. </w:t>
      </w:r>
      <w:r w:rsidR="00E948DB" w:rsidRPr="00F91AFC">
        <w:t xml:space="preserve">Melville Island </w:t>
      </w:r>
      <w:r w:rsidR="00317D74" w:rsidRPr="00F91AFC">
        <w:t xml:space="preserve">was </w:t>
      </w:r>
      <w:r w:rsidRPr="00F91AFC">
        <w:t xml:space="preserve">first </w:t>
      </w:r>
      <w:r w:rsidR="00317D74" w:rsidRPr="00F91AFC">
        <w:t>coloni</w:t>
      </w:r>
      <w:r w:rsidR="00BA7D67">
        <w:t>z</w:t>
      </w:r>
      <w:r w:rsidR="00317D74" w:rsidRPr="00F91AFC">
        <w:t xml:space="preserve">ed </w:t>
      </w:r>
      <w:r w:rsidR="00E948DB" w:rsidRPr="00F91AFC">
        <w:t xml:space="preserve">in 1824. The following year, </w:t>
      </w:r>
      <w:r w:rsidR="00A378CD" w:rsidRPr="00F91AFC">
        <w:t>in 1825, the Colonial Botanist</w:t>
      </w:r>
      <w:r w:rsidR="00317D74" w:rsidRPr="00F91AFC">
        <w:t xml:space="preserve"> in Sydney</w:t>
      </w:r>
      <w:r w:rsidR="00A378CD" w:rsidRPr="00F91AFC">
        <w:t xml:space="preserve">, Charles Fraser, sent Richardson to Melville Island with a large selection of plants and </w:t>
      </w:r>
      <w:r w:rsidR="00A378CD" w:rsidRPr="00F91AFC">
        <w:lastRenderedPageBreak/>
        <w:t>cuttings of vegetables, fruits, herbs, grasses</w:t>
      </w:r>
      <w:r w:rsidR="00487611" w:rsidRPr="00F91AFC">
        <w:t>,</w:t>
      </w:r>
      <w:r w:rsidR="00A378CD" w:rsidRPr="00F91AFC">
        <w:t xml:space="preserve"> and cacti from Sydney</w:t>
      </w:r>
      <w:r w:rsidRPr="00F91AFC">
        <w:t>’s</w:t>
      </w:r>
      <w:r w:rsidR="00A378CD" w:rsidRPr="00F91AFC">
        <w:t xml:space="preserve"> Botanical Gardens.</w:t>
      </w:r>
      <w:r w:rsidR="00A378CD" w:rsidRPr="00F91AFC">
        <w:rPr>
          <w:rStyle w:val="FootnoteReference"/>
        </w:rPr>
        <w:footnoteReference w:id="112"/>
      </w:r>
      <w:r w:rsidR="00A378CD" w:rsidRPr="00F91AFC">
        <w:t xml:space="preserve"> </w:t>
      </w:r>
      <w:r w:rsidR="00437D8A" w:rsidRPr="00F91AFC">
        <w:t xml:space="preserve">As </w:t>
      </w:r>
      <w:r w:rsidR="00BA7D67">
        <w:t xml:space="preserve">a </w:t>
      </w:r>
      <w:r w:rsidR="00437D8A" w:rsidRPr="00F91AFC">
        <w:t xml:space="preserve">testament to the value </w:t>
      </w:r>
      <w:r w:rsidR="00B33025" w:rsidRPr="00F91AFC">
        <w:t xml:space="preserve">the colonial government placed </w:t>
      </w:r>
      <w:r w:rsidR="00BA7D67">
        <w:t xml:space="preserve">on </w:t>
      </w:r>
      <w:r w:rsidR="00B33025" w:rsidRPr="00F91AFC">
        <w:t xml:space="preserve">Richardson’s skills, he </w:t>
      </w:r>
      <w:r w:rsidR="00FD49AA" w:rsidRPr="00F91AFC">
        <w:t>received</w:t>
      </w:r>
      <w:r w:rsidR="00604904" w:rsidRPr="00F91AFC">
        <w:t xml:space="preserve"> </w:t>
      </w:r>
      <w:r w:rsidR="00A378CD" w:rsidRPr="00F91AFC">
        <w:t xml:space="preserve">a salary of £25 </w:t>
      </w:r>
      <w:r w:rsidR="00604904" w:rsidRPr="00F91AFC">
        <w:t xml:space="preserve">despite serving a second sentence of transportation for </w:t>
      </w:r>
      <w:r w:rsidR="00E638FC" w:rsidRPr="00F91AFC">
        <w:t>returning</w:t>
      </w:r>
      <w:r w:rsidR="00604904" w:rsidRPr="00F91AFC">
        <w:t xml:space="preserve"> to England</w:t>
      </w:r>
      <w:r w:rsidR="00B33025" w:rsidRPr="00F91AFC">
        <w:t>.</w:t>
      </w:r>
      <w:r w:rsidR="00A378CD" w:rsidRPr="00F91AFC">
        <w:rPr>
          <w:rStyle w:val="FootnoteReference"/>
        </w:rPr>
        <w:footnoteReference w:id="113"/>
      </w:r>
      <w:r w:rsidR="00FF1F46" w:rsidRPr="00F91AFC">
        <w:t xml:space="preserve"> </w:t>
      </w:r>
      <w:r w:rsidR="00C900BD" w:rsidRPr="00F91AFC">
        <w:t>T</w:t>
      </w:r>
      <w:r w:rsidR="00A25A95" w:rsidRPr="00F91AFC">
        <w:t xml:space="preserve">he colonial government </w:t>
      </w:r>
      <w:r w:rsidR="0062324E">
        <w:t>was</w:t>
      </w:r>
      <w:r w:rsidR="0062324E" w:rsidRPr="00F91AFC">
        <w:t xml:space="preserve"> </w:t>
      </w:r>
      <w:r w:rsidR="00FF1F46" w:rsidRPr="00F91AFC">
        <w:t xml:space="preserve">interested in </w:t>
      </w:r>
      <w:r w:rsidR="00A25A95" w:rsidRPr="00F91AFC">
        <w:t>the effect of</w:t>
      </w:r>
      <w:r w:rsidR="00FF1F46" w:rsidRPr="00F91AFC">
        <w:t xml:space="preserve"> tropical climate on Melville Island, which differed from</w:t>
      </w:r>
      <w:r w:rsidR="003767E4" w:rsidRPr="00F91AFC">
        <w:t xml:space="preserve"> Australia’s temperate eastern colonies</w:t>
      </w:r>
      <w:r w:rsidR="00051DF3" w:rsidRPr="00F91AFC">
        <w:t>.</w:t>
      </w:r>
      <w:r w:rsidR="00051DF3" w:rsidRPr="00F91AFC">
        <w:rPr>
          <w:rStyle w:val="FootnoteReference"/>
        </w:rPr>
        <w:footnoteReference w:id="114"/>
      </w:r>
      <w:r w:rsidR="003767E4" w:rsidRPr="00F91AFC">
        <w:t xml:space="preserve"> As well as collecting plant specimens from the island for study, Richardson </w:t>
      </w:r>
      <w:r w:rsidR="004B199D" w:rsidRPr="00F91AFC">
        <w:t xml:space="preserve">attempted to grow seeds and cuttings </w:t>
      </w:r>
      <w:r w:rsidR="003767E4" w:rsidRPr="00F91AFC">
        <w:t xml:space="preserve">from the Botanical Gardens at Sydney and from </w:t>
      </w:r>
      <w:r w:rsidR="00333537" w:rsidRPr="00F91AFC">
        <w:t>Timor</w:t>
      </w:r>
      <w:r w:rsidR="003767E4" w:rsidRPr="00F91AFC">
        <w:t xml:space="preserve">, which he collected </w:t>
      </w:r>
      <w:r w:rsidR="00333537" w:rsidRPr="00F91AFC">
        <w:t>during a supply run.</w:t>
      </w:r>
      <w:r w:rsidR="004B199D" w:rsidRPr="00F91AFC">
        <w:rPr>
          <w:rStyle w:val="FootnoteReference"/>
        </w:rPr>
        <w:footnoteReference w:id="115"/>
      </w:r>
      <w:r w:rsidR="00333537" w:rsidRPr="00F91AFC">
        <w:t xml:space="preserve"> In this way, Melville Island acted both as a site of </w:t>
      </w:r>
      <w:r w:rsidR="004B199D" w:rsidRPr="00F91AFC">
        <w:t>ecological ‘discovery’</w:t>
      </w:r>
      <w:r w:rsidR="00333537" w:rsidRPr="00F91AFC">
        <w:t xml:space="preserve"> and as a ‘laboratory’ </w:t>
      </w:r>
      <w:r w:rsidR="004B199D" w:rsidRPr="00F91AFC">
        <w:t>to see</w:t>
      </w:r>
      <w:r w:rsidR="003767E4" w:rsidRPr="00F91AFC">
        <w:t xml:space="preserve"> how</w:t>
      </w:r>
      <w:r w:rsidR="00333537" w:rsidRPr="00F91AFC">
        <w:t xml:space="preserve"> </w:t>
      </w:r>
      <w:r w:rsidR="00150AB8" w:rsidRPr="00F91AFC">
        <w:t>exogenous</w:t>
      </w:r>
      <w:r w:rsidR="00333537" w:rsidRPr="00F91AFC">
        <w:t xml:space="preserve"> plants would thrive</w:t>
      </w:r>
      <w:r w:rsidR="003767E4" w:rsidRPr="00F91AFC">
        <w:t xml:space="preserve"> there.</w:t>
      </w:r>
      <w:r w:rsidR="001B5AED" w:rsidRPr="00F91AFC">
        <w:t xml:space="preserve"> Two plants have been named after Richardson, </w:t>
      </w:r>
      <w:r w:rsidR="001B5AED" w:rsidRPr="00F91AFC">
        <w:rPr>
          <w:i/>
          <w:iCs/>
          <w:shd w:val="clear" w:color="auto" w:fill="FFFFFF"/>
        </w:rPr>
        <w:t>Hibiscus richardsonii</w:t>
      </w:r>
      <w:r w:rsidR="00150AB8">
        <w:rPr>
          <w:shd w:val="clear" w:color="auto" w:fill="FFFFFF"/>
        </w:rPr>
        <w:t xml:space="preserve"> </w:t>
      </w:r>
      <w:r w:rsidR="001B5AED" w:rsidRPr="00F91AFC">
        <w:rPr>
          <w:shd w:val="clear" w:color="auto" w:fill="FFFFFF"/>
        </w:rPr>
        <w:t>and</w:t>
      </w:r>
      <w:r w:rsidR="00150AB8">
        <w:rPr>
          <w:shd w:val="clear" w:color="auto" w:fill="FFFFFF"/>
        </w:rPr>
        <w:t xml:space="preserve"> </w:t>
      </w:r>
      <w:r w:rsidR="001B5AED" w:rsidRPr="00F91AFC">
        <w:rPr>
          <w:i/>
          <w:iCs/>
          <w:shd w:val="clear" w:color="auto" w:fill="FFFFFF"/>
        </w:rPr>
        <w:t>Alyxia richardsonii</w:t>
      </w:r>
      <w:r w:rsidR="0095560B">
        <w:rPr>
          <w:i/>
          <w:iCs/>
          <w:shd w:val="clear" w:color="auto" w:fill="FFFFFF"/>
        </w:rPr>
        <w:t>.</w:t>
      </w:r>
      <w:bookmarkStart w:id="0" w:name="_ftnref1"/>
      <w:bookmarkEnd w:id="0"/>
      <w:r w:rsidR="0095560B" w:rsidRPr="00D96FB2">
        <w:rPr>
          <w:rStyle w:val="FootnoteReference"/>
          <w:color w:val="212121"/>
        </w:rPr>
        <w:footnoteReference w:id="116"/>
      </w:r>
      <w:r w:rsidR="001B5AED" w:rsidRPr="00F91AFC">
        <w:t xml:space="preserve"> </w:t>
      </w:r>
    </w:p>
    <w:p w14:paraId="1C34B316" w14:textId="77777777" w:rsidR="0062324E" w:rsidRPr="00F91AFC" w:rsidRDefault="0062324E" w:rsidP="00804BB3">
      <w:pPr>
        <w:spacing w:line="276" w:lineRule="auto"/>
      </w:pPr>
    </w:p>
    <w:p w14:paraId="17BF2638" w14:textId="5BF87D8A" w:rsidR="00BB6DE1" w:rsidRDefault="00101425" w:rsidP="00804BB3">
      <w:pPr>
        <w:spacing w:line="276" w:lineRule="auto"/>
      </w:pPr>
      <w:r w:rsidRPr="00F91AFC">
        <w:t xml:space="preserve">Between </w:t>
      </w:r>
      <w:r w:rsidR="00A378CD" w:rsidRPr="00F91AFC">
        <w:t>1833</w:t>
      </w:r>
      <w:r w:rsidRPr="00F91AFC">
        <w:t xml:space="preserve"> and 183</w:t>
      </w:r>
      <w:r w:rsidR="00A378CD" w:rsidRPr="00F91AFC">
        <w:t>8, Quaker missionaries James Backhouse and George Washington Walker tour</w:t>
      </w:r>
      <w:r w:rsidR="00653FFC" w:rsidRPr="00F91AFC">
        <w:t>ed</w:t>
      </w:r>
      <w:r w:rsidR="00A378CD" w:rsidRPr="00F91AFC">
        <w:t xml:space="preserve"> the Australian colonies</w:t>
      </w:r>
      <w:r w:rsidR="008F1A35" w:rsidRPr="00F91AFC">
        <w:t xml:space="preserve"> ‘under concern’, performing ‘religious interviews’ with convicts and Aboriginal people.</w:t>
      </w:r>
      <w:r w:rsidR="008F1A35" w:rsidRPr="00F91AFC">
        <w:rPr>
          <w:rStyle w:val="FootnoteReference"/>
        </w:rPr>
        <w:footnoteReference w:id="117"/>
      </w:r>
      <w:r w:rsidR="008F1A35" w:rsidRPr="00F91AFC">
        <w:t xml:space="preserve"> </w:t>
      </w:r>
      <w:r w:rsidR="00C17CE0" w:rsidRPr="00F91AFC">
        <w:t xml:space="preserve">In 1835, they </w:t>
      </w:r>
      <w:r w:rsidR="00653FFC" w:rsidRPr="00F91AFC">
        <w:t>visited Norfolk Islan</w:t>
      </w:r>
      <w:r w:rsidR="00DB75D7" w:rsidRPr="00F91AFC">
        <w:t>d, a penal station for secondarily transported convicts.</w:t>
      </w:r>
      <w:r w:rsidR="00594146" w:rsidRPr="00F91AFC">
        <w:t xml:space="preserve"> In his</w:t>
      </w:r>
      <w:r w:rsidR="00A722DA" w:rsidRPr="00F91AFC">
        <w:t xml:space="preserve"> </w:t>
      </w:r>
      <w:r w:rsidR="00594146" w:rsidRPr="00F91AFC">
        <w:t>narrative of his visit,</w:t>
      </w:r>
      <w:r w:rsidR="00594146" w:rsidRPr="00F91AFC">
        <w:rPr>
          <w:i/>
          <w:iCs/>
        </w:rPr>
        <w:t xml:space="preserve"> </w:t>
      </w:r>
      <w:r w:rsidR="00594146" w:rsidRPr="00F91AFC">
        <w:t>Backhouse contrasted the island’s natural beauty with the moral corruption of its convict population</w:t>
      </w:r>
      <w:r w:rsidR="00CC7F73" w:rsidRPr="00F91AFC">
        <w:t xml:space="preserve">. </w:t>
      </w:r>
      <w:r w:rsidR="00BA0EEB" w:rsidRPr="00F91AFC">
        <w:t>Invoking the ‘paradise-prison trope</w:t>
      </w:r>
      <w:r w:rsidR="0062324E">
        <w:t>’</w:t>
      </w:r>
      <w:r w:rsidR="00BA0EEB" w:rsidRPr="00F91AFC">
        <w:t xml:space="preserve">, Backhouse </w:t>
      </w:r>
      <w:r w:rsidR="00CC7F73" w:rsidRPr="00F91AFC">
        <w:t>described how</w:t>
      </w:r>
      <w:r w:rsidR="00594146" w:rsidRPr="00F91AFC">
        <w:t xml:space="preserve"> ‘this island, beautiful by nature, and comparable to the Garden of Eden, is rendered … a moral wilderness’ by </w:t>
      </w:r>
      <w:r w:rsidR="00A722DA" w:rsidRPr="00F91AFC">
        <w:t>a</w:t>
      </w:r>
      <w:r w:rsidR="00CC7F73" w:rsidRPr="00F91AFC">
        <w:t xml:space="preserve"> </w:t>
      </w:r>
      <w:r w:rsidR="0095560B">
        <w:t>relatively lenient</w:t>
      </w:r>
      <w:r w:rsidR="0095560B" w:rsidRPr="00F91AFC">
        <w:t xml:space="preserve"> </w:t>
      </w:r>
      <w:r w:rsidR="00A722DA" w:rsidRPr="00F91AFC">
        <w:t xml:space="preserve">system of penal discipline that </w:t>
      </w:r>
      <w:r w:rsidR="00CC7F73" w:rsidRPr="00F91AFC">
        <w:t>was</w:t>
      </w:r>
      <w:r w:rsidR="00A722DA" w:rsidRPr="00F91AFC">
        <w:t xml:space="preserve"> not focused on </w:t>
      </w:r>
      <w:r w:rsidR="0095560B">
        <w:t>religious redemption</w:t>
      </w:r>
      <w:r w:rsidR="00A722DA" w:rsidRPr="00F91AFC">
        <w:t>.</w:t>
      </w:r>
      <w:r w:rsidR="00594146" w:rsidRPr="00F91AFC">
        <w:rPr>
          <w:rStyle w:val="FootnoteReference"/>
        </w:rPr>
        <w:footnoteReference w:id="118"/>
      </w:r>
      <w:r w:rsidR="00594146" w:rsidRPr="00F91AFC">
        <w:t xml:space="preserve"> </w:t>
      </w:r>
      <w:r w:rsidR="00A722DA" w:rsidRPr="00F91AFC">
        <w:t>For Backhouse</w:t>
      </w:r>
      <w:r w:rsidR="00CC7F73" w:rsidRPr="00F91AFC">
        <w:t>, who had strong links to the anti-transportation lobby and testified to Select Committee on Aborigines, Norfolk Island was a ‘global analogue’ of the failings of the entire Australia convict system.</w:t>
      </w:r>
    </w:p>
    <w:p w14:paraId="1E8FC8FF" w14:textId="77777777" w:rsidR="0062324E" w:rsidRPr="00F91AFC" w:rsidRDefault="0062324E" w:rsidP="00804BB3">
      <w:pPr>
        <w:spacing w:line="276" w:lineRule="auto"/>
      </w:pPr>
    </w:p>
    <w:p w14:paraId="3146FCDB" w14:textId="2FA59125" w:rsidR="0080165E" w:rsidRPr="00F91AFC" w:rsidRDefault="00A378CD" w:rsidP="00804BB3">
      <w:pPr>
        <w:spacing w:line="276" w:lineRule="auto"/>
      </w:pPr>
      <w:r w:rsidRPr="00F91AFC">
        <w:t xml:space="preserve">Backhouse was also a naturalist who sent a ‘valuable herbarium’ </w:t>
      </w:r>
      <w:r w:rsidR="00DB75D7" w:rsidRPr="00F91AFC">
        <w:t xml:space="preserve">of plants collected in Australia </w:t>
      </w:r>
      <w:r w:rsidRPr="00F91AFC">
        <w:t>to Kew Gardens</w:t>
      </w:r>
      <w:r w:rsidR="008F1A35" w:rsidRPr="00F91AFC">
        <w:t xml:space="preserve"> in London</w:t>
      </w:r>
      <w:r w:rsidR="00095099" w:rsidRPr="00F91AFC">
        <w:t xml:space="preserve">, </w:t>
      </w:r>
      <w:r w:rsidR="00A25A95" w:rsidRPr="00F91AFC">
        <w:t>Britain’s hub of scientific imperialism</w:t>
      </w:r>
      <w:r w:rsidRPr="00F91AFC">
        <w:t>.</w:t>
      </w:r>
      <w:r w:rsidRPr="00F91AFC">
        <w:rPr>
          <w:rStyle w:val="FootnoteReference"/>
        </w:rPr>
        <w:footnoteReference w:id="119"/>
      </w:r>
      <w:r w:rsidR="00CC7F73" w:rsidRPr="00F91AFC">
        <w:t xml:space="preserve"> </w:t>
      </w:r>
      <w:r w:rsidRPr="00F91AFC">
        <w:t>Backhou</w:t>
      </w:r>
      <w:r w:rsidR="0080165E" w:rsidRPr="00F91AFC">
        <w:t>s</w:t>
      </w:r>
      <w:r w:rsidRPr="00F91AFC">
        <w:t xml:space="preserve">e and Walker were guided by convicts on </w:t>
      </w:r>
      <w:r w:rsidR="008F1A35" w:rsidRPr="00F91AFC">
        <w:t xml:space="preserve">several </w:t>
      </w:r>
      <w:r w:rsidRPr="00F91AFC">
        <w:t xml:space="preserve">bush walks around </w:t>
      </w:r>
      <w:r w:rsidR="00DB75D7" w:rsidRPr="00F91AFC">
        <w:t xml:space="preserve">the </w:t>
      </w:r>
      <w:r w:rsidR="008F1A35" w:rsidRPr="00F91AFC">
        <w:t>island</w:t>
      </w:r>
      <w:r w:rsidRPr="00F91AFC">
        <w:t xml:space="preserve">. One convict, William Percival, </w:t>
      </w:r>
      <w:r w:rsidR="00DB75D7" w:rsidRPr="00F91AFC">
        <w:t>showed</w:t>
      </w:r>
      <w:r w:rsidR="008F1A35" w:rsidRPr="00F91AFC">
        <w:t xml:space="preserve"> them</w:t>
      </w:r>
      <w:r w:rsidRPr="00F91AFC">
        <w:t xml:space="preserve"> two ‘very fine’ tree-ferns </w:t>
      </w:r>
      <w:r w:rsidRPr="00F91AFC">
        <w:lastRenderedPageBreak/>
        <w:t>(</w:t>
      </w:r>
      <w:r w:rsidRPr="00F91AFC">
        <w:rPr>
          <w:i/>
          <w:iCs/>
        </w:rPr>
        <w:t xml:space="preserve">Alsophila excelsa </w:t>
      </w:r>
      <w:r w:rsidRPr="00F91AFC">
        <w:t xml:space="preserve">and </w:t>
      </w:r>
      <w:r w:rsidRPr="00F91AFC">
        <w:rPr>
          <w:i/>
          <w:iCs/>
        </w:rPr>
        <w:t>Cyathe medularis</w:t>
      </w:r>
      <w:r w:rsidRPr="00F91AFC">
        <w:t>) on the south</w:t>
      </w:r>
      <w:r w:rsidR="00150AB8">
        <w:t xml:space="preserve"> </w:t>
      </w:r>
      <w:r w:rsidRPr="00F91AFC">
        <w:t>side of Moun</w:t>
      </w:r>
      <w:r w:rsidR="0080165E" w:rsidRPr="00F91AFC">
        <w:t>t</w:t>
      </w:r>
      <w:r w:rsidRPr="00F91AFC">
        <w:t xml:space="preserve"> Pitt.</w:t>
      </w:r>
      <w:r w:rsidR="0095560B">
        <w:rPr>
          <w:rStyle w:val="FootnoteReference"/>
        </w:rPr>
        <w:footnoteReference w:id="120"/>
      </w:r>
      <w:r w:rsidRPr="00F91AFC">
        <w:t xml:space="preserve"> A convicted bushranger capture</w:t>
      </w:r>
      <w:r w:rsidR="00DB75D7" w:rsidRPr="00F91AFC">
        <w:t>d</w:t>
      </w:r>
      <w:r w:rsidRPr="00F91AFC">
        <w:t xml:space="preserve"> an ‘Orange-faced, Green Parrot’</w:t>
      </w:r>
      <w:r w:rsidR="00DB75D7" w:rsidRPr="00F91AFC">
        <w:t xml:space="preserve"> for them</w:t>
      </w:r>
      <w:r w:rsidRPr="00F91AFC">
        <w:t>.</w:t>
      </w:r>
      <w:r w:rsidR="0095560B">
        <w:rPr>
          <w:rStyle w:val="FootnoteReference"/>
        </w:rPr>
        <w:footnoteReference w:id="121"/>
      </w:r>
      <w:r w:rsidRPr="00F91AFC">
        <w:t xml:space="preserve"> Backhouse also observed how </w:t>
      </w:r>
      <w:r w:rsidR="0080165E" w:rsidRPr="00F91AFC">
        <w:t xml:space="preserve">the convicts </w:t>
      </w:r>
      <w:r w:rsidR="00DB75D7" w:rsidRPr="00F91AFC">
        <w:t xml:space="preserve">adapted to and interacted with the island environment on a daily basis. Backhouse </w:t>
      </w:r>
      <w:r w:rsidRPr="00F91AFC">
        <w:t>described convicts using a long-lea</w:t>
      </w:r>
      <w:r w:rsidR="00101425" w:rsidRPr="00F91AFC">
        <w:t>fed</w:t>
      </w:r>
      <w:r w:rsidRPr="00F91AFC">
        <w:t xml:space="preserve"> cabbage to ‘wrap their bread in these leaves and bake it in the ashes’</w:t>
      </w:r>
      <w:r w:rsidR="00095099" w:rsidRPr="00F91AFC">
        <w:t xml:space="preserve"> </w:t>
      </w:r>
      <w:r w:rsidR="008F1A35" w:rsidRPr="00F91AFC">
        <w:t xml:space="preserve">and how they cooked </w:t>
      </w:r>
      <w:r w:rsidR="00F9512F" w:rsidRPr="00F91AFC">
        <w:t>a species of black nightshade</w:t>
      </w:r>
      <w:r w:rsidR="0025569B">
        <w:t>,</w:t>
      </w:r>
      <w:r w:rsidR="00F9512F" w:rsidRPr="00F91AFC">
        <w:t xml:space="preserve"> which was not lethal like its English counterpart</w:t>
      </w:r>
      <w:r w:rsidRPr="00F91AFC">
        <w:t>.</w:t>
      </w:r>
      <w:r w:rsidRPr="00F91AFC">
        <w:rPr>
          <w:rStyle w:val="FootnoteReference"/>
        </w:rPr>
        <w:footnoteReference w:id="122"/>
      </w:r>
      <w:r w:rsidR="00325DF4" w:rsidRPr="00F91AFC">
        <w:t xml:space="preserve"> In this open</w:t>
      </w:r>
      <w:r w:rsidR="00150AB8">
        <w:t xml:space="preserve"> </w:t>
      </w:r>
      <w:r w:rsidR="00325DF4" w:rsidRPr="00F91AFC">
        <w:t xml:space="preserve">prison, convicts had learnt how to use the natural environment to bolster their rations and as a </w:t>
      </w:r>
      <w:r w:rsidR="00095099" w:rsidRPr="00F91AFC">
        <w:t>psychological</w:t>
      </w:r>
      <w:r w:rsidR="00325DF4" w:rsidRPr="00F91AFC">
        <w:t xml:space="preserve"> escape from their confinement.</w:t>
      </w:r>
    </w:p>
    <w:p w14:paraId="60ECF8B4" w14:textId="77777777" w:rsidR="0062324E" w:rsidRDefault="0062324E" w:rsidP="0062324E">
      <w:pPr>
        <w:spacing w:line="276" w:lineRule="auto"/>
      </w:pPr>
    </w:p>
    <w:p w14:paraId="5A8D2B77" w14:textId="0C44F130" w:rsidR="00B54E6A" w:rsidRPr="00F91AFC" w:rsidRDefault="0095560B" w:rsidP="0062324E">
      <w:pPr>
        <w:spacing w:line="276" w:lineRule="auto"/>
      </w:pPr>
      <w:r>
        <w:t xml:space="preserve">In Western Australia, </w:t>
      </w:r>
      <w:r w:rsidR="00F9445F" w:rsidRPr="00F91AFC">
        <w:t>Aboriginal prisoners on Rottnest Island</w:t>
      </w:r>
      <w:r>
        <w:t xml:space="preserve"> (Wadjemup)</w:t>
      </w:r>
      <w:r w:rsidR="00F9445F" w:rsidRPr="00F91AFC">
        <w:t xml:space="preserve"> helped visiting scientists </w:t>
      </w:r>
      <w:r w:rsidR="00101425" w:rsidRPr="00F91AFC">
        <w:t xml:space="preserve">to </w:t>
      </w:r>
      <w:r w:rsidR="00F9445F" w:rsidRPr="00F91AFC">
        <w:t>collect natural specimens</w:t>
      </w:r>
      <w:r w:rsidR="00C5610C" w:rsidRPr="00F91AFC">
        <w:t xml:space="preserve">. </w:t>
      </w:r>
      <w:r w:rsidR="00F9445F" w:rsidRPr="00F91AFC">
        <w:t>In 1839, the botanists James Drummond, Ludwig Preiss and John Gilbert collected specimens from Rottnest</w:t>
      </w:r>
      <w:r w:rsidR="008B3A77">
        <w:t>,</w:t>
      </w:r>
      <w:r w:rsidR="00F9445F" w:rsidRPr="00F91AFC">
        <w:t xml:space="preserve"> which were among the 15,000 species dispatched to William Hooker at Kew Gardens in May 1842.</w:t>
      </w:r>
      <w:r w:rsidR="00F9445F" w:rsidRPr="00F91AFC">
        <w:rPr>
          <w:rStyle w:val="FootnoteReference"/>
        </w:rPr>
        <w:footnoteReference w:id="123"/>
      </w:r>
      <w:r w:rsidR="00F9445F" w:rsidRPr="00F91AFC">
        <w:t xml:space="preserve"> </w:t>
      </w:r>
      <w:r w:rsidR="00201755" w:rsidRPr="00F91AFC">
        <w:t xml:space="preserve">From correspondence with </w:t>
      </w:r>
      <w:r w:rsidR="000801AA" w:rsidRPr="00F91AFC">
        <w:t>Gilbert</w:t>
      </w:r>
      <w:r w:rsidR="00201755" w:rsidRPr="00F91AFC">
        <w:t xml:space="preserve">, </w:t>
      </w:r>
      <w:r w:rsidR="00F9445F" w:rsidRPr="00F91AFC">
        <w:t xml:space="preserve">John Gould described ‘Rottnest and the other islands near Swan River’ </w:t>
      </w:r>
      <w:r w:rsidR="00101425" w:rsidRPr="00F91AFC">
        <w:t xml:space="preserve">in </w:t>
      </w:r>
      <w:r w:rsidR="00101425" w:rsidRPr="00F91AFC">
        <w:rPr>
          <w:i/>
          <w:iCs/>
        </w:rPr>
        <w:t>The Birds of Australia</w:t>
      </w:r>
      <w:r w:rsidR="00101425" w:rsidRPr="00F91AFC">
        <w:t xml:space="preserve"> </w:t>
      </w:r>
      <w:r w:rsidR="00F9445F" w:rsidRPr="00F91AFC">
        <w:t>as ‘great stronghold[s]’ of Rock Grass-Parakeets.</w:t>
      </w:r>
      <w:r>
        <w:rPr>
          <w:rStyle w:val="FootnoteReference"/>
        </w:rPr>
        <w:footnoteReference w:id="124"/>
      </w:r>
      <w:r w:rsidR="000801AA" w:rsidRPr="00F91AFC">
        <w:t xml:space="preserve"> </w:t>
      </w:r>
      <w:r w:rsidR="00F9445F" w:rsidRPr="00F91AFC">
        <w:t>Gilbert could not examine any eggs since the birds nested in sea-facing cliffs, so he relied on the ‘testimony of natives’ who were imprisoned there.</w:t>
      </w:r>
      <w:r w:rsidR="00F9445F" w:rsidRPr="00F91AFC">
        <w:rPr>
          <w:rStyle w:val="FootnoteReference"/>
        </w:rPr>
        <w:footnoteReference w:id="125"/>
      </w:r>
      <w:r w:rsidR="00F9445F" w:rsidRPr="00F91AFC">
        <w:t xml:space="preserve"> </w:t>
      </w:r>
      <w:r w:rsidR="001B493D" w:rsidRPr="00F91AFC">
        <w:t xml:space="preserve">In 1890, ornithologist James Campbell </w:t>
      </w:r>
      <w:r w:rsidR="00BA0EEB" w:rsidRPr="00F91AFC">
        <w:t>visited the</w:t>
      </w:r>
      <w:r w:rsidR="001B493D" w:rsidRPr="00F91AFC">
        <w:t xml:space="preserve"> island</w:t>
      </w:r>
      <w:r w:rsidR="00BA0EEB" w:rsidRPr="00F91AFC">
        <w:t xml:space="preserve"> on behalf of the Royal Society of Victoria</w:t>
      </w:r>
      <w:r w:rsidR="00095099" w:rsidRPr="00F91AFC">
        <w:t>, and was assisted by</w:t>
      </w:r>
      <w:r w:rsidR="001B493D" w:rsidRPr="00F91AFC">
        <w:t xml:space="preserve"> a Yamatji prisoner, Nunkey, </w:t>
      </w:r>
      <w:r w:rsidR="00095099" w:rsidRPr="00F91AFC">
        <w:t>who</w:t>
      </w:r>
      <w:r w:rsidR="00BA0EEB" w:rsidRPr="00F91AFC">
        <w:t xml:space="preserve"> </w:t>
      </w:r>
      <w:r w:rsidR="001B493D" w:rsidRPr="00F91AFC">
        <w:t>retrieve</w:t>
      </w:r>
      <w:r w:rsidR="00095099" w:rsidRPr="00F91AFC">
        <w:t>d</w:t>
      </w:r>
      <w:r w:rsidR="00BA0EEB" w:rsidRPr="00F91AFC">
        <w:t xml:space="preserve"> </w:t>
      </w:r>
      <w:r w:rsidR="001B493D" w:rsidRPr="00F91AFC">
        <w:t>mutton bird eggs</w:t>
      </w:r>
      <w:r w:rsidR="00BA0EEB" w:rsidRPr="00F91AFC">
        <w:t xml:space="preserve"> for</w:t>
      </w:r>
      <w:r w:rsidR="00095099" w:rsidRPr="00F91AFC">
        <w:t xml:space="preserve"> him to</w:t>
      </w:r>
      <w:r w:rsidR="00BA0EEB" w:rsidRPr="00F91AFC">
        <w:t xml:space="preserve"> study</w:t>
      </w:r>
      <w:r w:rsidR="001B493D" w:rsidRPr="00F91AFC">
        <w:t>.</w:t>
      </w:r>
      <w:r w:rsidR="00B5195B" w:rsidRPr="00F91AFC">
        <w:rPr>
          <w:rStyle w:val="FootnoteReference"/>
        </w:rPr>
        <w:footnoteReference w:id="126"/>
      </w:r>
      <w:r w:rsidR="001B493D" w:rsidRPr="00F91AFC">
        <w:t xml:space="preserve"> </w:t>
      </w:r>
    </w:p>
    <w:p w14:paraId="44976ECE" w14:textId="77777777" w:rsidR="0062324E" w:rsidRDefault="0062324E" w:rsidP="0062324E">
      <w:pPr>
        <w:spacing w:line="276" w:lineRule="auto"/>
      </w:pPr>
    </w:p>
    <w:p w14:paraId="71418F57" w14:textId="3CE2C5A6" w:rsidR="0062324E" w:rsidRDefault="00876F9A" w:rsidP="0062324E">
      <w:pPr>
        <w:spacing w:line="276" w:lineRule="auto"/>
      </w:pPr>
      <w:r w:rsidRPr="00F91AFC">
        <w:t>In</w:t>
      </w:r>
      <w:r w:rsidR="00F9445F" w:rsidRPr="00F91AFC">
        <w:t xml:space="preserve"> 1854, William Henry Harvey spent six weeks living in the prison buildings on Rottnest</w:t>
      </w:r>
      <w:r w:rsidR="00D94022" w:rsidRPr="00F91AFC">
        <w:t xml:space="preserve"> Island examin</w:t>
      </w:r>
      <w:r w:rsidR="00C03319" w:rsidRPr="00F91AFC">
        <w:t>ing</w:t>
      </w:r>
      <w:r w:rsidR="00D94022" w:rsidRPr="00F91AFC">
        <w:t xml:space="preserve"> </w:t>
      </w:r>
      <w:r w:rsidR="00F9445F" w:rsidRPr="00F91AFC">
        <w:t xml:space="preserve">many </w:t>
      </w:r>
      <w:r w:rsidR="00150AB8">
        <w:t xml:space="preserve">types </w:t>
      </w:r>
      <w:r w:rsidR="00F9445F" w:rsidRPr="00F91AFC">
        <w:t>of algae formerly ‘undescribed’ by scientists.</w:t>
      </w:r>
      <w:r w:rsidR="00F9445F" w:rsidRPr="00F91AFC">
        <w:rPr>
          <w:rStyle w:val="FootnoteReference"/>
        </w:rPr>
        <w:footnoteReference w:id="127"/>
      </w:r>
      <w:r w:rsidR="003A0F50" w:rsidRPr="00F91AFC">
        <w:t xml:space="preserve"> </w:t>
      </w:r>
      <w:r w:rsidR="002B23FB" w:rsidRPr="00F91AFC">
        <w:t xml:space="preserve">Harvey was </w:t>
      </w:r>
      <w:r w:rsidR="00FE1FB6" w:rsidRPr="00F91AFC">
        <w:t>a professor of botany at the Royal Dublin Society from 1848</w:t>
      </w:r>
      <w:r w:rsidR="00CE1D50" w:rsidRPr="00F91AFC">
        <w:t xml:space="preserve">, </w:t>
      </w:r>
      <w:r w:rsidR="00150AB8">
        <w:t>and</w:t>
      </w:r>
      <w:r w:rsidR="00150AB8" w:rsidRPr="00F91AFC">
        <w:t xml:space="preserve"> </w:t>
      </w:r>
      <w:r w:rsidR="00FE1FB6" w:rsidRPr="00F91AFC">
        <w:t xml:space="preserve">had </w:t>
      </w:r>
      <w:r w:rsidR="00777DEE" w:rsidRPr="00F91AFC">
        <w:t xml:space="preserve">benefited from </w:t>
      </w:r>
      <w:r w:rsidR="00CE1D50" w:rsidRPr="00F91AFC">
        <w:t xml:space="preserve">the </w:t>
      </w:r>
      <w:r w:rsidR="00777DEE" w:rsidRPr="00F91AFC">
        <w:t xml:space="preserve">patronage of father-and-son directors of Kew Gardens, William </w:t>
      </w:r>
      <w:r w:rsidR="00C03319" w:rsidRPr="00F91AFC">
        <w:t xml:space="preserve">and </w:t>
      </w:r>
      <w:r w:rsidR="0062324E">
        <w:t>Joseph Dalton</w:t>
      </w:r>
      <w:r w:rsidR="0062324E" w:rsidRPr="00F91AFC">
        <w:t xml:space="preserve"> </w:t>
      </w:r>
      <w:r w:rsidR="00C03319" w:rsidRPr="00F91AFC">
        <w:t>Hooker</w:t>
      </w:r>
      <w:r w:rsidR="00777DEE" w:rsidRPr="00F91AFC">
        <w:t>.</w:t>
      </w:r>
      <w:r w:rsidR="006D4822" w:rsidRPr="00F91AFC">
        <w:rPr>
          <w:rStyle w:val="FootnoteReference"/>
        </w:rPr>
        <w:footnoteReference w:id="128"/>
      </w:r>
      <w:r w:rsidR="00784E46" w:rsidRPr="00F91AFC">
        <w:t xml:space="preserve"> </w:t>
      </w:r>
      <w:r w:rsidR="00CE1D50" w:rsidRPr="00F91AFC">
        <w:t>Harvey’s</w:t>
      </w:r>
      <w:r w:rsidR="00777DEE" w:rsidRPr="00F91AFC">
        <w:t xml:space="preserve"> </w:t>
      </w:r>
      <w:r w:rsidRPr="00F91AFC">
        <w:t xml:space="preserve">case </w:t>
      </w:r>
      <w:r w:rsidR="00777DEE" w:rsidRPr="00F91AFC">
        <w:t xml:space="preserve">is illustrative </w:t>
      </w:r>
      <w:r w:rsidRPr="00F91AFC">
        <w:t xml:space="preserve">of </w:t>
      </w:r>
      <w:r w:rsidR="0062324E">
        <w:t xml:space="preserve">the </w:t>
      </w:r>
      <w:r w:rsidRPr="00F91AFC">
        <w:t>overlap between colonial administration and scientific curiosity,</w:t>
      </w:r>
      <w:r w:rsidR="00C15631" w:rsidRPr="00F91AFC">
        <w:t xml:space="preserve"> with Harvey’s term as </w:t>
      </w:r>
      <w:r w:rsidR="00FE1FB6" w:rsidRPr="00F91AFC">
        <w:t>treasurer</w:t>
      </w:r>
      <w:r w:rsidR="00C15631" w:rsidRPr="00F91AFC">
        <w:t xml:space="preserve"> of the Cape Colony (1836</w:t>
      </w:r>
      <w:r w:rsidR="00710103" w:rsidRPr="00F91AFC">
        <w:t>–</w:t>
      </w:r>
      <w:r w:rsidR="00C15631" w:rsidRPr="00F91AFC">
        <w:t>41) establishing his expertise in</w:t>
      </w:r>
      <w:r w:rsidR="005C3C70" w:rsidRPr="00F91AFC">
        <w:t xml:space="preserve"> overseas </w:t>
      </w:r>
      <w:r w:rsidR="00C15631" w:rsidRPr="00F91AFC">
        <w:t>algae species.</w:t>
      </w:r>
      <w:r w:rsidR="00C60E03" w:rsidRPr="00F91AFC">
        <w:t xml:space="preserve"> </w:t>
      </w:r>
      <w:r w:rsidR="001B53F5" w:rsidRPr="00F91AFC">
        <w:t xml:space="preserve">Harvey </w:t>
      </w:r>
      <w:r w:rsidR="00C533C4" w:rsidRPr="00F91AFC">
        <w:t xml:space="preserve">kept up a </w:t>
      </w:r>
      <w:r w:rsidR="00350916" w:rsidRPr="00F91AFC">
        <w:t xml:space="preserve">network of colonial administrators to send him </w:t>
      </w:r>
      <w:r w:rsidR="00077FF5" w:rsidRPr="00F91AFC">
        <w:t xml:space="preserve">dried </w:t>
      </w:r>
      <w:r w:rsidR="00350916" w:rsidRPr="00F91AFC">
        <w:t>s</w:t>
      </w:r>
      <w:r w:rsidR="00077FF5" w:rsidRPr="00F91AFC">
        <w:t>pecimens and plates of algae, included George Clifton, a resident magistrate at Fremantle</w:t>
      </w:r>
      <w:r w:rsidR="00F75223" w:rsidRPr="00F91AFC">
        <w:t xml:space="preserve"> </w:t>
      </w:r>
      <w:r w:rsidR="00077FF5" w:rsidRPr="00F91AFC">
        <w:t xml:space="preserve"> and </w:t>
      </w:r>
      <w:r w:rsidR="00AA3CBA" w:rsidRPr="00F91AFC">
        <w:t xml:space="preserve">William </w:t>
      </w:r>
      <w:r w:rsidR="00EB4EB1">
        <w:t xml:space="preserve">Ayshford </w:t>
      </w:r>
      <w:r w:rsidR="00AA3CBA" w:rsidRPr="00F91AFC">
        <w:t>Sanford, colonial secretary</w:t>
      </w:r>
      <w:r w:rsidR="00C533C4" w:rsidRPr="00F91AFC">
        <w:t xml:space="preserve"> of Western Australia</w:t>
      </w:r>
      <w:r w:rsidR="00F75223" w:rsidRPr="00F91AFC">
        <w:t>.</w:t>
      </w:r>
      <w:r w:rsidR="00FE1FB6" w:rsidRPr="00F91AFC">
        <w:rPr>
          <w:rStyle w:val="FootnoteReference"/>
        </w:rPr>
        <w:footnoteReference w:id="129"/>
      </w:r>
      <w:r w:rsidR="00FE1FB6" w:rsidRPr="00F91AFC">
        <w:t xml:space="preserve"> </w:t>
      </w:r>
      <w:r w:rsidR="00B03388" w:rsidRPr="00F91AFC">
        <w:t xml:space="preserve">He also corresponded with Charles Moore, director of the Botanic Gardens at Sydney, and Dr Ferdinand Mueller, at </w:t>
      </w:r>
      <w:r w:rsidR="00B03388" w:rsidRPr="00F91AFC">
        <w:lastRenderedPageBreak/>
        <w:t>Melbour</w:t>
      </w:r>
      <w:r w:rsidR="00A62000" w:rsidRPr="00F91AFC">
        <w:t xml:space="preserve">ne’s </w:t>
      </w:r>
      <w:r w:rsidR="00B03388" w:rsidRPr="00F91AFC">
        <w:t>Botanic Gardens.</w:t>
      </w:r>
      <w:r w:rsidR="00B03388" w:rsidRPr="00F91AFC">
        <w:rPr>
          <w:rStyle w:val="FootnoteReference"/>
        </w:rPr>
        <w:footnoteReference w:id="130"/>
      </w:r>
      <w:r w:rsidR="00B03388" w:rsidRPr="00F91AFC">
        <w:t xml:space="preserve"> </w:t>
      </w:r>
      <w:r w:rsidR="001B3B30" w:rsidRPr="00F91AFC">
        <w:t xml:space="preserve">Harvey’s </w:t>
      </w:r>
      <w:r w:rsidR="006828D8" w:rsidRPr="00F91AFC">
        <w:t>role as professor of botany at the Royal Dublin Society mirrored the proliferation of</w:t>
      </w:r>
      <w:r w:rsidR="00C90C09" w:rsidRPr="00F91AFC">
        <w:t xml:space="preserve"> centres of knowledge</w:t>
      </w:r>
      <w:r w:rsidR="000A0DA6" w:rsidRPr="00F91AFC">
        <w:t xml:space="preserve"> </w:t>
      </w:r>
      <w:r w:rsidR="00C90C09" w:rsidRPr="00F91AFC">
        <w:t>within the Australian colonies</w:t>
      </w:r>
      <w:r w:rsidR="000A0DA6" w:rsidRPr="00F91AFC">
        <w:t>.</w:t>
      </w:r>
      <w:r w:rsidR="00DF19DC" w:rsidRPr="00F91AFC">
        <w:rPr>
          <w:rStyle w:val="FootnoteReference"/>
        </w:rPr>
        <w:footnoteReference w:id="131"/>
      </w:r>
      <w:r w:rsidR="000A0DA6" w:rsidRPr="00F91AFC">
        <w:t xml:space="preserve"> </w:t>
      </w:r>
    </w:p>
    <w:p w14:paraId="6AB28E7B" w14:textId="77777777" w:rsidR="0062324E" w:rsidRDefault="0062324E" w:rsidP="0062324E">
      <w:pPr>
        <w:spacing w:line="276" w:lineRule="auto"/>
      </w:pPr>
    </w:p>
    <w:p w14:paraId="72BA2CC8" w14:textId="4BE565D9" w:rsidR="006310AC" w:rsidRDefault="00CE1D50" w:rsidP="00804BB3">
      <w:pPr>
        <w:spacing w:line="276" w:lineRule="auto"/>
      </w:pPr>
      <w:r w:rsidRPr="00F91AFC">
        <w:t>In the 1860s, e</w:t>
      </w:r>
      <w:r w:rsidR="005C5151" w:rsidRPr="00F91AFC">
        <w:t xml:space="preserve">xpeditions into </w:t>
      </w:r>
      <w:r w:rsidRPr="00F91AFC">
        <w:t xml:space="preserve">the </w:t>
      </w:r>
      <w:r w:rsidR="005C5151" w:rsidRPr="00F91AFC">
        <w:t>Gascoyne, Pilbara and Kimberley</w:t>
      </w:r>
      <w:r w:rsidRPr="00F91AFC">
        <w:t xml:space="preserve"> open</w:t>
      </w:r>
      <w:r w:rsidR="0025569B">
        <w:t>e</w:t>
      </w:r>
      <w:r w:rsidRPr="00F91AFC">
        <w:t xml:space="preserve">d up </w:t>
      </w:r>
      <w:r w:rsidR="00C90C09" w:rsidRPr="00F91AFC">
        <w:t xml:space="preserve">dry </w:t>
      </w:r>
      <w:r w:rsidRPr="00F91AFC">
        <w:t>pastoral ground</w:t>
      </w:r>
      <w:r w:rsidR="00C90C09" w:rsidRPr="00F91AFC">
        <w:t xml:space="preserve"> for grazing</w:t>
      </w:r>
      <w:r w:rsidRPr="00F91AFC">
        <w:t xml:space="preserve"> in </w:t>
      </w:r>
      <w:r w:rsidR="004F543C" w:rsidRPr="00F91AFC">
        <w:t>the northern districts of Western Australia</w:t>
      </w:r>
      <w:r w:rsidR="005C5151" w:rsidRPr="00F91AFC">
        <w:t>.</w:t>
      </w:r>
      <w:r w:rsidR="004F543C" w:rsidRPr="00F91AFC">
        <w:rPr>
          <w:rStyle w:val="FootnoteReference"/>
        </w:rPr>
        <w:footnoteReference w:id="132"/>
      </w:r>
      <w:r w:rsidR="00705DB9" w:rsidRPr="00F91AFC">
        <w:t xml:space="preserve"> </w:t>
      </w:r>
      <w:r w:rsidR="00706E45" w:rsidRPr="00F91AFC">
        <w:t>At the same time, the governor approved a scheme that paroled Aboriginal prisoners from Rottnest</w:t>
      </w:r>
      <w:r w:rsidRPr="00F91AFC">
        <w:t xml:space="preserve"> Island</w:t>
      </w:r>
      <w:r w:rsidR="00706E45" w:rsidRPr="00F91AFC">
        <w:t xml:space="preserve"> to act as </w:t>
      </w:r>
      <w:r w:rsidR="002254EF" w:rsidRPr="00F91AFC">
        <w:t>assistants</w:t>
      </w:r>
      <w:r w:rsidR="00706E45" w:rsidRPr="00F91AFC">
        <w:t xml:space="preserve"> to police stations and guides to survey teams and telegraph parties</w:t>
      </w:r>
      <w:r w:rsidR="000C3540" w:rsidRPr="00F91AFC">
        <w:t xml:space="preserve"> in Kimberley and east of </w:t>
      </w:r>
      <w:r w:rsidR="002254EF" w:rsidRPr="00F91AFC">
        <w:t>Eucla</w:t>
      </w:r>
      <w:r w:rsidR="000C3540" w:rsidRPr="00F91AFC">
        <w:t>.</w:t>
      </w:r>
      <w:r w:rsidR="00917869" w:rsidRPr="00F91AFC">
        <w:rPr>
          <w:rStyle w:val="FootnoteReference"/>
        </w:rPr>
        <w:footnoteReference w:id="133"/>
      </w:r>
      <w:r w:rsidR="005F0A97">
        <w:t xml:space="preserve"> </w:t>
      </w:r>
      <w:r w:rsidR="006310AC" w:rsidRPr="00F91AFC">
        <w:t>A Rottnest prisoner, Dougal, guided A.</w:t>
      </w:r>
      <w:r w:rsidR="0062324E">
        <w:t xml:space="preserve"> </w:t>
      </w:r>
      <w:r w:rsidR="006310AC" w:rsidRPr="00F91AFC">
        <w:t>C. Gregory’s 1858 expedition into the Gascoyne, and accompanied Walter Padbury to establish a settlement at Pilbarra in 1863. Two years later, in 1865, Dougal also guided Maitland Brown on a ‘punitive expedition’ to Legrange, where up to 20 Karajarri were massacred in revenge for the death of three Europeans.</w:t>
      </w:r>
      <w:r w:rsidR="006310AC" w:rsidRPr="00F91AFC">
        <w:rPr>
          <w:rStyle w:val="FootnoteReference"/>
        </w:rPr>
        <w:footnoteReference w:id="134"/>
      </w:r>
      <w:r w:rsidR="006310AC" w:rsidRPr="00F91AFC">
        <w:t xml:space="preserve"> </w:t>
      </w:r>
      <w:r w:rsidR="006F0016" w:rsidRPr="00F91AFC">
        <w:t>Paroled Aboriginal prisoners from Rottnest became facilitators of European expansion of the frontier northwards and eastwards, where Aboriginal people were subjected to violence and state control (including by paroled prisoners working as ‘native policemen’). In turn, new prisoners flooded into Rottnest from newly</w:t>
      </w:r>
      <w:r w:rsidR="0062324E">
        <w:t xml:space="preserve"> </w:t>
      </w:r>
      <w:r w:rsidR="006F0016" w:rsidRPr="00F91AFC">
        <w:t>coloni</w:t>
      </w:r>
      <w:r w:rsidR="0062324E">
        <w:t>z</w:t>
      </w:r>
      <w:r w:rsidR="006F0016" w:rsidRPr="00F91AFC">
        <w:t>ed northern districts from the 1860s.</w:t>
      </w:r>
    </w:p>
    <w:p w14:paraId="309E7EF0" w14:textId="77777777" w:rsidR="0062324E" w:rsidRPr="00F91AFC" w:rsidRDefault="0062324E" w:rsidP="00804BB3">
      <w:pPr>
        <w:spacing w:line="276" w:lineRule="auto"/>
      </w:pPr>
    </w:p>
    <w:p w14:paraId="7FF9ACCB" w14:textId="3A812480" w:rsidR="00101425" w:rsidRDefault="00BB6DE1" w:rsidP="00804BB3">
      <w:pPr>
        <w:spacing w:line="276" w:lineRule="auto"/>
      </w:pPr>
      <w:r w:rsidRPr="00F91AFC">
        <w:t>Europeans relied on Indigenous guides to survey and survive in Australian wilderness and to act as mediators with any ‘hostile’ groups.</w:t>
      </w:r>
      <w:r w:rsidRPr="00F91AFC">
        <w:rPr>
          <w:rStyle w:val="FootnoteReference"/>
        </w:rPr>
        <w:footnoteReference w:id="135"/>
      </w:r>
      <w:r w:rsidRPr="00F91AFC">
        <w:t xml:space="preserve"> Rottnest Island was an ideal recruitment ground, because it concentrated Indigenous people from remote districts in one central location and the prisoners had prior experience working for Europeans. Complex power-dynamics shaped the relationship between Indigenous intermediaries and the European members of the expedition.</w:t>
      </w:r>
      <w:r w:rsidRPr="00F91AFC">
        <w:rPr>
          <w:rStyle w:val="FootnoteReference"/>
        </w:rPr>
        <w:footnoteReference w:id="136"/>
      </w:r>
      <w:r w:rsidRPr="00F91AFC">
        <w:t xml:space="preserve"> As Aboriginal convict guides, coercion certainly played a role in their decision to act as guides, </w:t>
      </w:r>
      <w:r w:rsidR="0025569B">
        <w:t xml:space="preserve">as did </w:t>
      </w:r>
      <w:r w:rsidRPr="00F91AFC">
        <w:t xml:space="preserve">the social and geographical mobility </w:t>
      </w:r>
      <w:r w:rsidR="000E000E" w:rsidRPr="00F91AFC">
        <w:t>that these role</w:t>
      </w:r>
      <w:r w:rsidR="0025569B">
        <w:t xml:space="preserve">s </w:t>
      </w:r>
      <w:r w:rsidR="000E000E" w:rsidRPr="00F91AFC">
        <w:t>offered</w:t>
      </w:r>
      <w:r w:rsidRPr="00F91AFC">
        <w:t xml:space="preserve"> in stark contrast to continued island confinement.</w:t>
      </w:r>
      <w:r w:rsidR="006E7BEE" w:rsidRPr="00F91AFC">
        <w:t xml:space="preserve"> </w:t>
      </w:r>
      <w:r w:rsidR="00B45649" w:rsidRPr="00F91AFC">
        <w:t>Rottnest</w:t>
      </w:r>
      <w:r w:rsidR="006E7BEE" w:rsidRPr="00F91AFC">
        <w:t xml:space="preserve"> </w:t>
      </w:r>
      <w:r w:rsidR="00B45649" w:rsidRPr="00F91AFC">
        <w:t>I</w:t>
      </w:r>
      <w:r w:rsidR="006E7BEE" w:rsidRPr="00F91AFC">
        <w:t>sland</w:t>
      </w:r>
      <w:r w:rsidR="00B45649" w:rsidRPr="00F91AFC">
        <w:t xml:space="preserve">’s prisoners </w:t>
      </w:r>
      <w:r w:rsidR="006E7BEE" w:rsidRPr="00F91AFC">
        <w:t>encapsulat</w:t>
      </w:r>
      <w:r w:rsidR="00B45649" w:rsidRPr="00F91AFC">
        <w:t>e</w:t>
      </w:r>
      <w:r w:rsidR="006E7BEE" w:rsidRPr="00F91AFC">
        <w:t xml:space="preserve"> the entanglement between Indigenous people as facilitators and victims of frontier</w:t>
      </w:r>
      <w:r w:rsidR="0025569B">
        <w:t xml:space="preserve"> </w:t>
      </w:r>
      <w:r w:rsidR="006E7BEE" w:rsidRPr="00F91AFC">
        <w:t xml:space="preserve">development, as </w:t>
      </w:r>
      <w:r w:rsidR="00B45649" w:rsidRPr="00F91AFC">
        <w:t xml:space="preserve">individuals </w:t>
      </w:r>
      <w:r w:rsidR="00E152B2" w:rsidRPr="00F91AFC">
        <w:t>helped construct imperial knowledge that exploited, overlay</w:t>
      </w:r>
      <w:r w:rsidR="0062324E">
        <w:t>,</w:t>
      </w:r>
      <w:r w:rsidR="00E152B2" w:rsidRPr="00F91AFC">
        <w:t xml:space="preserve"> and ultimately replaced </w:t>
      </w:r>
      <w:r w:rsidR="000B0B8D">
        <w:t>I</w:t>
      </w:r>
      <w:r w:rsidR="00E152B2" w:rsidRPr="00F91AFC">
        <w:t>ndigenous ways of knowing and being.</w:t>
      </w:r>
    </w:p>
    <w:p w14:paraId="64B5B3AE" w14:textId="77777777" w:rsidR="0062324E" w:rsidRPr="00F91AFC" w:rsidRDefault="0062324E" w:rsidP="00804BB3">
      <w:pPr>
        <w:spacing w:line="276" w:lineRule="auto"/>
        <w:rPr>
          <w:b/>
          <w:bCs/>
        </w:rPr>
      </w:pPr>
    </w:p>
    <w:p w14:paraId="5E4F9654" w14:textId="3126CEBA" w:rsidR="00B57327" w:rsidRDefault="00FB70EB" w:rsidP="00804BB3">
      <w:pPr>
        <w:pStyle w:val="Heading1"/>
        <w:spacing w:before="0" w:line="276" w:lineRule="auto"/>
        <w:rPr>
          <w:rFonts w:ascii="Times New Roman" w:hAnsi="Times New Roman" w:cs="Times New Roman"/>
          <w:b/>
          <w:color w:val="auto"/>
          <w:sz w:val="24"/>
          <w:szCs w:val="24"/>
        </w:rPr>
      </w:pPr>
      <w:r w:rsidRPr="0062324E">
        <w:rPr>
          <w:rFonts w:ascii="Times New Roman" w:hAnsi="Times New Roman" w:cs="Times New Roman"/>
          <w:b/>
          <w:color w:val="auto"/>
          <w:sz w:val="24"/>
          <w:szCs w:val="24"/>
        </w:rPr>
        <w:t>Con</w:t>
      </w:r>
      <w:r w:rsidR="00EA2034" w:rsidRPr="0062324E">
        <w:rPr>
          <w:rFonts w:ascii="Times New Roman" w:hAnsi="Times New Roman" w:cs="Times New Roman"/>
          <w:b/>
          <w:color w:val="auto"/>
          <w:sz w:val="24"/>
          <w:szCs w:val="24"/>
        </w:rPr>
        <w:t>c</w:t>
      </w:r>
      <w:r w:rsidRPr="0062324E">
        <w:rPr>
          <w:rFonts w:ascii="Times New Roman" w:hAnsi="Times New Roman" w:cs="Times New Roman"/>
          <w:b/>
          <w:color w:val="auto"/>
          <w:sz w:val="24"/>
          <w:szCs w:val="24"/>
        </w:rPr>
        <w:t>lusion</w:t>
      </w:r>
    </w:p>
    <w:p w14:paraId="38D5873E" w14:textId="77777777" w:rsidR="0062324E" w:rsidRPr="0062324E" w:rsidRDefault="0062324E" w:rsidP="0062324E"/>
    <w:p w14:paraId="3A5FD466" w14:textId="404E6F3B" w:rsidR="00B57327" w:rsidRDefault="0054271C" w:rsidP="00804BB3">
      <w:pPr>
        <w:spacing w:line="276" w:lineRule="auto"/>
      </w:pPr>
      <w:r w:rsidRPr="00F91AFC">
        <w:lastRenderedPageBreak/>
        <w:t>In the period 1788</w:t>
      </w:r>
      <w:r w:rsidR="0062324E">
        <w:t>–</w:t>
      </w:r>
      <w:r w:rsidRPr="00F91AFC">
        <w:t xml:space="preserve">1869, offshore islands were systematically used for the </w:t>
      </w:r>
      <w:r w:rsidR="00D609BD" w:rsidRPr="00F91AFC">
        <w:t>governance of colonial populations</w:t>
      </w:r>
      <w:r w:rsidRPr="00F91AFC">
        <w:t xml:space="preserve"> and development</w:t>
      </w:r>
      <w:r w:rsidR="00D609BD" w:rsidRPr="00F91AFC">
        <w:t xml:space="preserve"> of imperial resources</w:t>
      </w:r>
      <w:r w:rsidRPr="00F91AFC">
        <w:t>. In the first four decades after coloni</w:t>
      </w:r>
      <w:r w:rsidR="0025569B">
        <w:t>z</w:t>
      </w:r>
      <w:r w:rsidRPr="00F91AFC">
        <w:t>ation</w:t>
      </w:r>
      <w:r w:rsidR="0025569B">
        <w:t xml:space="preserve"> in</w:t>
      </w:r>
      <w:r w:rsidRPr="00F91AFC">
        <w:t xml:space="preserve"> 1788, remote oceanic islands</w:t>
      </w:r>
      <w:r w:rsidR="00101425" w:rsidRPr="00F91AFC">
        <w:t xml:space="preserve"> </w:t>
      </w:r>
      <w:r w:rsidRPr="00F91AFC">
        <w:t xml:space="preserve">were </w:t>
      </w:r>
      <w:r w:rsidR="0025569B" w:rsidRPr="00F91AFC">
        <w:t>coloni</w:t>
      </w:r>
      <w:r w:rsidR="0025569B">
        <w:t>z</w:t>
      </w:r>
      <w:r w:rsidR="0025569B" w:rsidRPr="00F91AFC">
        <w:t xml:space="preserve">ed </w:t>
      </w:r>
      <w:r w:rsidRPr="00F91AFC">
        <w:t xml:space="preserve">by small groups of convicts as </w:t>
      </w:r>
      <w:r w:rsidR="009B5DD2" w:rsidRPr="00F91AFC">
        <w:t xml:space="preserve">geopolitically strategic </w:t>
      </w:r>
      <w:r w:rsidR="00A06CFC" w:rsidRPr="00F91AFC">
        <w:t>islands</w:t>
      </w:r>
      <w:r w:rsidR="00D609BD" w:rsidRPr="00F91AFC">
        <w:t>. Convicts harvested</w:t>
      </w:r>
      <w:r w:rsidRPr="00F91AFC">
        <w:t xml:space="preserve"> valuable natural resources to bolster Britain’s commercial and naval dominance over rival European powers.</w:t>
      </w:r>
      <w:r w:rsidR="009B5DD2" w:rsidRPr="00F91AFC">
        <w:t xml:space="preserve"> Though oceanic islands acted as imperial frontiers themselves, </w:t>
      </w:r>
      <w:r w:rsidR="00567849" w:rsidRPr="00F91AFC">
        <w:t xml:space="preserve">the </w:t>
      </w:r>
      <w:r w:rsidR="009B5DD2" w:rsidRPr="00F91AFC">
        <w:t>removal of Aboriginal people</w:t>
      </w:r>
      <w:r w:rsidRPr="00F91AFC">
        <w:t xml:space="preserve"> from the </w:t>
      </w:r>
      <w:r w:rsidR="0095560B">
        <w:t xml:space="preserve">terrestrial </w:t>
      </w:r>
      <w:r w:rsidRPr="00F91AFC">
        <w:t>frontier</w:t>
      </w:r>
      <w:r w:rsidR="009B5DD2" w:rsidRPr="00F91AFC">
        <w:t xml:space="preserve"> </w:t>
      </w:r>
      <w:r w:rsidR="00B57327" w:rsidRPr="00F91AFC">
        <w:t xml:space="preserve">to </w:t>
      </w:r>
      <w:r w:rsidR="00A06CFC" w:rsidRPr="00F91AFC">
        <w:t xml:space="preserve">offshore </w:t>
      </w:r>
      <w:r w:rsidR="00B57327" w:rsidRPr="00F91AFC">
        <w:t>islands</w:t>
      </w:r>
      <w:r w:rsidRPr="00F91AFC">
        <w:t xml:space="preserve"> </w:t>
      </w:r>
      <w:r w:rsidR="009B5DD2" w:rsidRPr="00F91AFC">
        <w:t xml:space="preserve">enabled the </w:t>
      </w:r>
      <w:r w:rsidR="0025569B" w:rsidRPr="00F91AFC">
        <w:t>coloni</w:t>
      </w:r>
      <w:r w:rsidR="0025569B">
        <w:t>z</w:t>
      </w:r>
      <w:r w:rsidR="0025569B" w:rsidRPr="00F91AFC">
        <w:t xml:space="preserve">ation </w:t>
      </w:r>
      <w:r w:rsidR="009B5DD2" w:rsidRPr="00F91AFC">
        <w:t xml:space="preserve">of </w:t>
      </w:r>
      <w:r w:rsidR="00D609BD" w:rsidRPr="00F91AFC">
        <w:t>parts of the mainland</w:t>
      </w:r>
      <w:r w:rsidR="00492779" w:rsidRPr="00F91AFC">
        <w:t xml:space="preserve"> in the 1830s and </w:t>
      </w:r>
      <w:r w:rsidR="0062324E">
        <w:t>18</w:t>
      </w:r>
      <w:r w:rsidR="00492779" w:rsidRPr="00F91AFC">
        <w:t>40s. Displacement</w:t>
      </w:r>
      <w:r w:rsidR="0025569B">
        <w:t xml:space="preserve"> </w:t>
      </w:r>
      <w:r w:rsidR="00492779" w:rsidRPr="00F91AFC">
        <w:t>of Indigenous people to islands freed</w:t>
      </w:r>
      <w:r w:rsidR="00D609BD" w:rsidRPr="00F91AFC">
        <w:t xml:space="preserve"> up land for </w:t>
      </w:r>
      <w:r w:rsidR="00492779" w:rsidRPr="00F91AFC">
        <w:t xml:space="preserve">European </w:t>
      </w:r>
      <w:r w:rsidR="0025569B" w:rsidRPr="00F91AFC">
        <w:t>coloni</w:t>
      </w:r>
      <w:r w:rsidR="0025569B">
        <w:t>z</w:t>
      </w:r>
      <w:r w:rsidR="0025569B" w:rsidRPr="00F91AFC">
        <w:t xml:space="preserve">ation </w:t>
      </w:r>
      <w:r w:rsidR="00D609BD" w:rsidRPr="00F91AFC">
        <w:t xml:space="preserve">in </w:t>
      </w:r>
      <w:r w:rsidRPr="00F91AFC">
        <w:t>Van</w:t>
      </w:r>
      <w:r w:rsidR="009B5DD2" w:rsidRPr="00F91AFC">
        <w:t xml:space="preserve"> Diemen’s Land</w:t>
      </w:r>
      <w:r w:rsidR="000B0B8D">
        <w:t xml:space="preserve">, </w:t>
      </w:r>
      <w:r w:rsidR="009B5DD2" w:rsidRPr="00F91AFC">
        <w:t>Western Australia</w:t>
      </w:r>
      <w:r w:rsidR="000B0B8D">
        <w:t>, Canada and the Caribbean</w:t>
      </w:r>
      <w:r w:rsidR="00D609BD" w:rsidRPr="00F91AFC">
        <w:t xml:space="preserve">. </w:t>
      </w:r>
      <w:r w:rsidR="0095560B">
        <w:t>These</w:t>
      </w:r>
      <w:r w:rsidR="00D609BD" w:rsidRPr="00F91AFC">
        <w:t xml:space="preserve"> islands </w:t>
      </w:r>
      <w:r w:rsidRPr="00F91AFC">
        <w:t>were framed by the British government as ‘humanitarian’ spaces where Aboriginal people were protected from frontier violence and ‘</w:t>
      </w:r>
      <w:r w:rsidR="0025569B" w:rsidRPr="00F91AFC">
        <w:t>civili</w:t>
      </w:r>
      <w:r w:rsidR="0025569B">
        <w:t>z</w:t>
      </w:r>
      <w:r w:rsidR="0025569B" w:rsidRPr="00F91AFC">
        <w:t xml:space="preserve">ed’ </w:t>
      </w:r>
      <w:r w:rsidR="00D609BD" w:rsidRPr="00F91AFC">
        <w:t xml:space="preserve">by </w:t>
      </w:r>
      <w:r w:rsidR="00492779" w:rsidRPr="00F91AFC">
        <w:t>living in</w:t>
      </w:r>
      <w:r w:rsidR="00D609BD" w:rsidRPr="00F91AFC">
        <w:t xml:space="preserve"> sedentary, rather than nomadic, ways. </w:t>
      </w:r>
      <w:r w:rsidR="00595798" w:rsidRPr="00F91AFC">
        <w:t xml:space="preserve">Western </w:t>
      </w:r>
      <w:r w:rsidR="0025569B" w:rsidRPr="00F91AFC">
        <w:t>conceptuali</w:t>
      </w:r>
      <w:r w:rsidR="0025569B">
        <w:t>z</w:t>
      </w:r>
      <w:r w:rsidR="0025569B" w:rsidRPr="00F91AFC">
        <w:t xml:space="preserve">ations </w:t>
      </w:r>
      <w:r w:rsidR="00595798" w:rsidRPr="00F91AFC">
        <w:t xml:space="preserve">of islands as isolated and segregated enabled them to serve both punitive and protective functions in the management of colonial populations.    </w:t>
      </w:r>
    </w:p>
    <w:p w14:paraId="56D2DFC2" w14:textId="77777777" w:rsidR="0062324E" w:rsidRPr="00F91AFC" w:rsidRDefault="0062324E" w:rsidP="00804BB3">
      <w:pPr>
        <w:spacing w:line="276" w:lineRule="auto"/>
      </w:pPr>
    </w:p>
    <w:p w14:paraId="6823D231" w14:textId="5A1C4B64" w:rsidR="0080165E" w:rsidRPr="00F91AFC" w:rsidRDefault="0054271C" w:rsidP="00804BB3">
      <w:pPr>
        <w:spacing w:line="276" w:lineRule="auto"/>
        <w:rPr>
          <w:b/>
          <w:bCs/>
        </w:rPr>
      </w:pPr>
      <w:r w:rsidRPr="00F91AFC">
        <w:t xml:space="preserve">Though ideologies of isolation may have drawn colonial officials to imprison </w:t>
      </w:r>
      <w:r w:rsidR="00595798" w:rsidRPr="00F91AFC">
        <w:t>European</w:t>
      </w:r>
      <w:r w:rsidRPr="00F91AFC">
        <w:t xml:space="preserve"> and </w:t>
      </w:r>
      <w:r w:rsidR="000B0B8D">
        <w:t>Indigenous</w:t>
      </w:r>
      <w:r w:rsidR="000B0B8D" w:rsidRPr="00F91AFC">
        <w:t xml:space="preserve"> </w:t>
      </w:r>
      <w:r w:rsidRPr="00F91AFC">
        <w:t>people on islands, in practice convict</w:t>
      </w:r>
      <w:r w:rsidR="00E84F9F">
        <w:t>s</w:t>
      </w:r>
      <w:r w:rsidRPr="00F91AFC">
        <w:t xml:space="preserve"> </w:t>
      </w:r>
      <w:r w:rsidR="00D609BD" w:rsidRPr="00F91AFC">
        <w:t>connected</w:t>
      </w:r>
      <w:r w:rsidR="00595798" w:rsidRPr="00F91AFC">
        <w:t xml:space="preserve"> </w:t>
      </w:r>
      <w:r w:rsidRPr="00F91AFC">
        <w:t>their island prisons to imperial networks</w:t>
      </w:r>
      <w:r w:rsidR="00A9027E" w:rsidRPr="00F91AFC">
        <w:t xml:space="preserve">. </w:t>
      </w:r>
      <w:r w:rsidR="00D609BD" w:rsidRPr="00F91AFC">
        <w:t>T</w:t>
      </w:r>
      <w:r w:rsidRPr="00F91AFC">
        <w:t xml:space="preserve">he colonial government </w:t>
      </w:r>
      <w:r w:rsidR="0025569B" w:rsidRPr="00F91AFC">
        <w:t>exploited</w:t>
      </w:r>
      <w:r w:rsidRPr="00F91AFC">
        <w:t xml:space="preserve"> island</w:t>
      </w:r>
      <w:r w:rsidR="0025569B">
        <w:t>s’</w:t>
      </w:r>
      <w:r w:rsidR="00D609BD" w:rsidRPr="00F91AFC">
        <w:t xml:space="preserve"> and peninsulas’ porousness to the sea by </w:t>
      </w:r>
      <w:r w:rsidRPr="00F91AFC">
        <w:t xml:space="preserve">using convict workers to build </w:t>
      </w:r>
      <w:r w:rsidR="002D5C2C" w:rsidRPr="00F91AFC">
        <w:t>ships, lighthouses</w:t>
      </w:r>
      <w:r w:rsidR="00E84F9F">
        <w:t>,</w:t>
      </w:r>
      <w:r w:rsidR="002D5C2C" w:rsidRPr="00F91AFC">
        <w:t xml:space="preserve"> and dockyards</w:t>
      </w:r>
      <w:r w:rsidRPr="00F91AFC">
        <w:t>. Considering the lengthy journeys sail</w:t>
      </w:r>
      <w:r w:rsidR="0025569B">
        <w:t xml:space="preserve">ing vessels </w:t>
      </w:r>
      <w:r w:rsidRPr="00F91AFC">
        <w:t xml:space="preserve">took to reach Australia from Britain, these infrastructures </w:t>
      </w:r>
      <w:r w:rsidR="00232BF2" w:rsidRPr="00F91AFC">
        <w:t>helped</w:t>
      </w:r>
      <w:r w:rsidRPr="00F91AFC">
        <w:t xml:space="preserve"> </w:t>
      </w:r>
      <w:r w:rsidR="00232BF2" w:rsidRPr="00F91AFC">
        <w:t>ensure</w:t>
      </w:r>
      <w:r w:rsidRPr="00F91AFC">
        <w:t xml:space="preserve"> </w:t>
      </w:r>
      <w:r w:rsidR="00A06CFC" w:rsidRPr="00F91AFC">
        <w:t>British</w:t>
      </w:r>
      <w:r w:rsidR="002D5C2C" w:rsidRPr="00F91AFC">
        <w:t xml:space="preserve"> vessels</w:t>
      </w:r>
      <w:r w:rsidR="00D609BD" w:rsidRPr="00F91AFC">
        <w:t xml:space="preserve"> arrive</w:t>
      </w:r>
      <w:r w:rsidR="00232BF2" w:rsidRPr="00F91AFC">
        <w:t xml:space="preserve">d </w:t>
      </w:r>
      <w:r w:rsidR="00D609BD" w:rsidRPr="00F91AFC">
        <w:t xml:space="preserve">in port safely and </w:t>
      </w:r>
      <w:r w:rsidR="00232BF2" w:rsidRPr="00F91AFC">
        <w:t>could</w:t>
      </w:r>
      <w:r w:rsidR="00D609BD" w:rsidRPr="00F91AFC">
        <w:t xml:space="preserve"> be repaired before returning home.</w:t>
      </w:r>
      <w:r w:rsidR="00D609BD" w:rsidRPr="00F91AFC" w:rsidDel="0054271C">
        <w:t xml:space="preserve"> </w:t>
      </w:r>
      <w:r w:rsidRPr="00F91AFC">
        <w:t xml:space="preserve">Islands were also sites of scientific knowledge </w:t>
      </w:r>
      <w:r w:rsidR="00D609BD" w:rsidRPr="00F91AFC">
        <w:t>production that linked</w:t>
      </w:r>
      <w:r w:rsidR="00232BF2" w:rsidRPr="00F91AFC">
        <w:t xml:space="preserve"> </w:t>
      </w:r>
      <w:r w:rsidR="00D609BD" w:rsidRPr="00F91AFC">
        <w:t>to metropolitan and colonial scientific societies</w:t>
      </w:r>
      <w:r w:rsidRPr="00F91AFC">
        <w:t xml:space="preserve">. European and especially </w:t>
      </w:r>
      <w:r w:rsidR="000B0B8D">
        <w:t>Indigenous</w:t>
      </w:r>
      <w:r w:rsidR="000B0B8D" w:rsidRPr="00F91AFC">
        <w:t xml:space="preserve"> </w:t>
      </w:r>
      <w:r w:rsidR="0025569B" w:rsidRPr="00F91AFC">
        <w:t>prisoners</w:t>
      </w:r>
      <w:r w:rsidRPr="00F91AFC">
        <w:t xml:space="preserve"> used their knowledge of natural geography to </w:t>
      </w:r>
      <w:r w:rsidR="002D5C2C" w:rsidRPr="00F91AFC">
        <w:t xml:space="preserve">gather botanical specimens </w:t>
      </w:r>
      <w:r w:rsidR="00D609BD" w:rsidRPr="00F91AFC">
        <w:t xml:space="preserve">and guide </w:t>
      </w:r>
      <w:r w:rsidR="00232BF2" w:rsidRPr="00F91AFC">
        <w:t>scientists</w:t>
      </w:r>
      <w:r w:rsidR="00D609BD" w:rsidRPr="00F91AFC">
        <w:t xml:space="preserve"> in surveying Australia’s land</w:t>
      </w:r>
      <w:r w:rsidR="000B0B8D">
        <w:t>–</w:t>
      </w:r>
      <w:r w:rsidR="00D609BD" w:rsidRPr="00F91AFC">
        <w:t xml:space="preserve"> and sea</w:t>
      </w:r>
      <w:r w:rsidR="0025569B">
        <w:t>s</w:t>
      </w:r>
      <w:r w:rsidR="00D609BD" w:rsidRPr="00F91AFC">
        <w:t xml:space="preserve">capes. </w:t>
      </w:r>
      <w:r w:rsidR="00232BF2" w:rsidRPr="00F91AFC">
        <w:t xml:space="preserve">In the </w:t>
      </w:r>
      <w:r w:rsidR="00595798" w:rsidRPr="00F91AFC">
        <w:t xml:space="preserve">age of sail, </w:t>
      </w:r>
      <w:r w:rsidR="003F520C" w:rsidRPr="00F91AFC">
        <w:t>islands were only useful to empire</w:t>
      </w:r>
      <w:r w:rsidR="0025569B">
        <w:t>—</w:t>
      </w:r>
      <w:r w:rsidR="003F520C" w:rsidRPr="00F91AFC">
        <w:t>even as sites of imprisonment</w:t>
      </w:r>
      <w:r w:rsidR="0025569B">
        <w:t>—</w:t>
      </w:r>
      <w:r w:rsidR="003F520C" w:rsidRPr="00F91AFC">
        <w:t>if they linked up to shipping routes that connected Britain to the rest of its empire.</w:t>
      </w:r>
    </w:p>
    <w:p w14:paraId="4D4EBD29" w14:textId="77777777" w:rsidR="00F5075A" w:rsidRPr="00F91AFC" w:rsidRDefault="00F5075A" w:rsidP="00804BB3">
      <w:pPr>
        <w:spacing w:line="276" w:lineRule="auto"/>
      </w:pPr>
    </w:p>
    <w:sectPr w:rsidR="00F5075A" w:rsidRPr="00F91AFC" w:rsidSect="00787759">
      <w:footerReference w:type="even" r:id="rId8"/>
      <w:footerReference w:type="default" r:id="rId9"/>
      <w:pgSz w:w="11900" w:h="16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C884" w14:textId="77777777" w:rsidR="0017496B" w:rsidRDefault="0017496B" w:rsidP="00954B9D">
      <w:r>
        <w:separator/>
      </w:r>
    </w:p>
  </w:endnote>
  <w:endnote w:type="continuationSeparator" w:id="0">
    <w:p w14:paraId="500FCDCC" w14:textId="77777777" w:rsidR="0017496B" w:rsidRDefault="0017496B" w:rsidP="00954B9D">
      <w:r>
        <w:continuationSeparator/>
      </w:r>
    </w:p>
  </w:endnote>
  <w:endnote w:type="continuationNotice" w:id="1">
    <w:p w14:paraId="6823B2B8" w14:textId="77777777" w:rsidR="0017496B" w:rsidRDefault="00174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0569548"/>
      <w:docPartObj>
        <w:docPartGallery w:val="Page Numbers (Bottom of Page)"/>
        <w:docPartUnique/>
      </w:docPartObj>
    </w:sdtPr>
    <w:sdtEndPr>
      <w:rPr>
        <w:rStyle w:val="PageNumber"/>
      </w:rPr>
    </w:sdtEndPr>
    <w:sdtContent>
      <w:p w14:paraId="65A1F618" w14:textId="4AC144C2" w:rsidR="005B7BA1" w:rsidRDefault="005B7BA1" w:rsidP="004B0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7CB61" w14:textId="77777777" w:rsidR="005B7BA1" w:rsidRDefault="005B7BA1" w:rsidP="00BC21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192385"/>
      <w:docPartObj>
        <w:docPartGallery w:val="Page Numbers (Bottom of Page)"/>
        <w:docPartUnique/>
      </w:docPartObj>
    </w:sdtPr>
    <w:sdtEndPr/>
    <w:sdtContent>
      <w:sdt>
        <w:sdtPr>
          <w:id w:val="1728636285"/>
          <w:docPartObj>
            <w:docPartGallery w:val="Page Numbers (Top of Page)"/>
            <w:docPartUnique/>
          </w:docPartObj>
        </w:sdtPr>
        <w:sdtEndPr/>
        <w:sdtContent>
          <w:p w14:paraId="45375FDA" w14:textId="59BAF2DE" w:rsidR="005B7BA1" w:rsidRDefault="005B7BA1">
            <w:pPr>
              <w:pStyle w:val="Footer"/>
              <w:jc w:val="center"/>
            </w:pPr>
            <w:r w:rsidRPr="001D6591">
              <w:rPr>
                <w:sz w:val="16"/>
                <w:szCs w:val="16"/>
              </w:rPr>
              <w:t xml:space="preserve">Page </w:t>
            </w:r>
            <w:r w:rsidRPr="001D6591">
              <w:rPr>
                <w:sz w:val="16"/>
                <w:szCs w:val="16"/>
              </w:rPr>
              <w:fldChar w:fldCharType="begin"/>
            </w:r>
            <w:r w:rsidRPr="001D6591">
              <w:rPr>
                <w:sz w:val="16"/>
                <w:szCs w:val="16"/>
              </w:rPr>
              <w:instrText xml:space="preserve"> PAGE </w:instrText>
            </w:r>
            <w:r w:rsidRPr="001D6591">
              <w:rPr>
                <w:sz w:val="16"/>
                <w:szCs w:val="16"/>
              </w:rPr>
              <w:fldChar w:fldCharType="separate"/>
            </w:r>
            <w:r>
              <w:rPr>
                <w:noProof/>
                <w:sz w:val="16"/>
                <w:szCs w:val="16"/>
              </w:rPr>
              <w:t>19</w:t>
            </w:r>
            <w:r w:rsidRPr="001D6591">
              <w:rPr>
                <w:sz w:val="16"/>
                <w:szCs w:val="16"/>
              </w:rPr>
              <w:fldChar w:fldCharType="end"/>
            </w:r>
            <w:r w:rsidRPr="001D6591">
              <w:rPr>
                <w:sz w:val="16"/>
                <w:szCs w:val="16"/>
              </w:rPr>
              <w:t xml:space="preserve"> of </w:t>
            </w:r>
            <w:r w:rsidRPr="001D6591">
              <w:rPr>
                <w:sz w:val="16"/>
                <w:szCs w:val="16"/>
              </w:rPr>
              <w:fldChar w:fldCharType="begin"/>
            </w:r>
            <w:r w:rsidRPr="001D6591">
              <w:rPr>
                <w:sz w:val="16"/>
                <w:szCs w:val="16"/>
              </w:rPr>
              <w:instrText xml:space="preserve"> NUMPAGES  </w:instrText>
            </w:r>
            <w:r w:rsidRPr="001D6591">
              <w:rPr>
                <w:sz w:val="16"/>
                <w:szCs w:val="16"/>
              </w:rPr>
              <w:fldChar w:fldCharType="separate"/>
            </w:r>
            <w:r>
              <w:rPr>
                <w:noProof/>
                <w:sz w:val="16"/>
                <w:szCs w:val="16"/>
              </w:rPr>
              <w:t>19</w:t>
            </w:r>
            <w:r w:rsidRPr="001D6591">
              <w:rPr>
                <w:sz w:val="16"/>
                <w:szCs w:val="16"/>
              </w:rPr>
              <w:fldChar w:fldCharType="end"/>
            </w:r>
          </w:p>
        </w:sdtContent>
      </w:sdt>
    </w:sdtContent>
  </w:sdt>
  <w:p w14:paraId="40280188" w14:textId="77777777" w:rsidR="005B7BA1" w:rsidRPr="00926468" w:rsidRDefault="005B7BA1" w:rsidP="00BC21A4">
    <w:pPr>
      <w:pStyle w:val="Footer"/>
      <w:ind w:right="360"/>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B065" w14:textId="77777777" w:rsidR="0017496B" w:rsidRDefault="0017496B" w:rsidP="00954B9D">
      <w:r>
        <w:separator/>
      </w:r>
    </w:p>
  </w:footnote>
  <w:footnote w:type="continuationSeparator" w:id="0">
    <w:p w14:paraId="56EE92E2" w14:textId="77777777" w:rsidR="0017496B" w:rsidRDefault="0017496B" w:rsidP="00954B9D">
      <w:r>
        <w:continuationSeparator/>
      </w:r>
    </w:p>
  </w:footnote>
  <w:footnote w:type="continuationNotice" w:id="1">
    <w:p w14:paraId="3EB56676" w14:textId="77777777" w:rsidR="0017496B" w:rsidRDefault="0017496B"/>
  </w:footnote>
  <w:footnote w:id="2">
    <w:p w14:paraId="0DE6D241" w14:textId="7D03A26B" w:rsidR="0052289C" w:rsidRPr="00B347C3" w:rsidRDefault="0052289C">
      <w:pPr>
        <w:pStyle w:val="FootnoteText"/>
      </w:pPr>
      <w:r w:rsidRPr="00B347C3">
        <w:rPr>
          <w:rStyle w:val="FootnoteReference"/>
        </w:rPr>
        <w:footnoteRef/>
      </w:r>
      <w:r w:rsidRPr="00B347C3">
        <w:t xml:space="preserve"> </w:t>
      </w:r>
      <w:r w:rsidRPr="00217567">
        <w:rPr>
          <w:color w:val="000000" w:themeColor="text1"/>
        </w:rPr>
        <w:t>This project has received funding from the European Union’s Seventh Framework Programme for research, technological development and demonstration under grant agreement no. 312542.</w:t>
      </w:r>
    </w:p>
  </w:footnote>
  <w:footnote w:id="3">
    <w:p w14:paraId="4EE26659" w14:textId="2F69465A" w:rsidR="005B7BA1" w:rsidRPr="00F91AFC" w:rsidRDefault="005B7BA1" w:rsidP="008735A3">
      <w:pPr>
        <w:pStyle w:val="FootnoteText"/>
      </w:pPr>
      <w:r w:rsidRPr="00F91AFC">
        <w:rPr>
          <w:rStyle w:val="FootnoteReference"/>
        </w:rPr>
        <w:footnoteRef/>
      </w:r>
      <w:r w:rsidRPr="00F91AFC">
        <w:t xml:space="preserve"> Andrew Fitzmaurice, ‘The </w:t>
      </w:r>
      <w:r>
        <w:t>G</w:t>
      </w:r>
      <w:r w:rsidRPr="00F91AFC">
        <w:t xml:space="preserve">enealogy of </w:t>
      </w:r>
      <w:r w:rsidRPr="00F91AFC">
        <w:rPr>
          <w:i/>
          <w:iCs/>
        </w:rPr>
        <w:t>Terra Nullius</w:t>
      </w:r>
      <w:r w:rsidRPr="002D65F9">
        <w:t>’</w:t>
      </w:r>
      <w:r>
        <w:t>,</w:t>
      </w:r>
      <w:r w:rsidRPr="00F91AFC">
        <w:rPr>
          <w:i/>
          <w:iCs/>
        </w:rPr>
        <w:t xml:space="preserve"> Australian Historical Studies </w:t>
      </w:r>
      <w:r w:rsidRPr="00217567">
        <w:rPr>
          <w:i/>
          <w:iCs/>
        </w:rPr>
        <w:t>38</w:t>
      </w:r>
      <w:r w:rsidRPr="002D65F9">
        <w:t>,</w:t>
      </w:r>
      <w:r w:rsidRPr="00F91AFC">
        <w:t xml:space="preserve"> no. 129 (2007)</w:t>
      </w:r>
      <w:r w:rsidR="00F2171F">
        <w:t>:</w:t>
      </w:r>
      <w:r w:rsidRPr="00F91AFC">
        <w:t xml:space="preserve"> pp. 1</w:t>
      </w:r>
      <w:r>
        <w:t>–</w:t>
      </w:r>
      <w:r w:rsidRPr="00F91AFC">
        <w:t>15.</w:t>
      </w:r>
    </w:p>
  </w:footnote>
  <w:footnote w:id="4">
    <w:p w14:paraId="5E7D3793" w14:textId="14B756D9" w:rsidR="005B7BA1" w:rsidRPr="00753593" w:rsidRDefault="005B7BA1" w:rsidP="008735A3">
      <w:pPr>
        <w:pStyle w:val="FootnoteText"/>
        <w:rPr>
          <w:color w:val="000000" w:themeColor="text1"/>
        </w:rPr>
      </w:pPr>
      <w:r w:rsidRPr="00753593">
        <w:rPr>
          <w:rStyle w:val="FootnoteReference"/>
          <w:color w:val="000000" w:themeColor="text1"/>
        </w:rPr>
        <w:footnoteRef/>
      </w:r>
      <w:r w:rsidRPr="00753593">
        <w:rPr>
          <w:color w:val="000000" w:themeColor="text1"/>
        </w:rPr>
        <w:t xml:space="preserve"> Kate McCarthy, ‘Agrarian </w:t>
      </w:r>
      <w:r>
        <w:rPr>
          <w:color w:val="000000" w:themeColor="text1"/>
        </w:rPr>
        <w:t>D</w:t>
      </w:r>
      <w:r w:rsidRPr="00753593">
        <w:rPr>
          <w:color w:val="000000" w:themeColor="text1"/>
        </w:rPr>
        <w:t xml:space="preserve">iscourse in </w:t>
      </w:r>
      <w:r>
        <w:rPr>
          <w:color w:val="000000" w:themeColor="text1"/>
        </w:rPr>
        <w:t>I</w:t>
      </w:r>
      <w:r w:rsidRPr="00753593">
        <w:rPr>
          <w:color w:val="000000" w:themeColor="text1"/>
        </w:rPr>
        <w:t xml:space="preserve">mperial </w:t>
      </w:r>
      <w:r>
        <w:rPr>
          <w:color w:val="000000" w:themeColor="text1"/>
        </w:rPr>
        <w:t>C</w:t>
      </w:r>
      <w:r w:rsidRPr="00753593">
        <w:rPr>
          <w:color w:val="000000" w:themeColor="text1"/>
        </w:rPr>
        <w:t xml:space="preserve">ontext: </w:t>
      </w:r>
      <w:r>
        <w:rPr>
          <w:color w:val="000000" w:themeColor="text1"/>
        </w:rPr>
        <w:t>L</w:t>
      </w:r>
      <w:r w:rsidRPr="00753593">
        <w:rPr>
          <w:color w:val="000000" w:themeColor="text1"/>
        </w:rPr>
        <w:t xml:space="preserve">anded </w:t>
      </w:r>
      <w:r>
        <w:rPr>
          <w:color w:val="000000" w:themeColor="text1"/>
        </w:rPr>
        <w:t>P</w:t>
      </w:r>
      <w:r w:rsidRPr="00753593">
        <w:rPr>
          <w:color w:val="000000" w:themeColor="text1"/>
        </w:rPr>
        <w:t xml:space="preserve">roperty, Scottish </w:t>
      </w:r>
      <w:r>
        <w:rPr>
          <w:color w:val="000000" w:themeColor="text1"/>
        </w:rPr>
        <w:t>S</w:t>
      </w:r>
      <w:r w:rsidRPr="00753593">
        <w:rPr>
          <w:color w:val="000000" w:themeColor="text1"/>
        </w:rPr>
        <w:t xml:space="preserve">tadial </w:t>
      </w:r>
      <w:r>
        <w:rPr>
          <w:color w:val="000000" w:themeColor="text1"/>
        </w:rPr>
        <w:t>T</w:t>
      </w:r>
      <w:r w:rsidRPr="00753593">
        <w:rPr>
          <w:color w:val="000000" w:themeColor="text1"/>
        </w:rPr>
        <w:t xml:space="preserve">heory and </w:t>
      </w:r>
      <w:r>
        <w:rPr>
          <w:color w:val="000000" w:themeColor="text1"/>
        </w:rPr>
        <w:t>I</w:t>
      </w:r>
      <w:r w:rsidRPr="00753593">
        <w:rPr>
          <w:color w:val="000000" w:themeColor="text1"/>
        </w:rPr>
        <w:t xml:space="preserve">ndigenes in </w:t>
      </w:r>
      <w:r>
        <w:rPr>
          <w:color w:val="000000" w:themeColor="text1"/>
        </w:rPr>
        <w:t>E</w:t>
      </w:r>
      <w:r w:rsidRPr="00753593">
        <w:rPr>
          <w:color w:val="000000" w:themeColor="text1"/>
        </w:rPr>
        <w:t xml:space="preserve">arly </w:t>
      </w:r>
      <w:r>
        <w:rPr>
          <w:color w:val="000000" w:themeColor="text1"/>
        </w:rPr>
        <w:t>C</w:t>
      </w:r>
      <w:r w:rsidRPr="00753593">
        <w:rPr>
          <w:color w:val="000000" w:themeColor="text1"/>
        </w:rPr>
        <w:t xml:space="preserve">olonial Australia’, </w:t>
      </w:r>
      <w:r w:rsidRPr="00753593">
        <w:rPr>
          <w:i/>
          <w:iCs/>
          <w:color w:val="000000" w:themeColor="text1"/>
        </w:rPr>
        <w:t xml:space="preserve">Australia and New Zealand Law and History e-journal </w:t>
      </w:r>
      <w:r w:rsidR="000F0C4A">
        <w:rPr>
          <w:color w:val="000000" w:themeColor="text1"/>
        </w:rPr>
        <w:t xml:space="preserve">4 </w:t>
      </w:r>
      <w:r w:rsidRPr="00753593">
        <w:rPr>
          <w:color w:val="000000" w:themeColor="text1"/>
        </w:rPr>
        <w:t>(2008)</w:t>
      </w:r>
      <w:r w:rsidR="00F2171F">
        <w:rPr>
          <w:color w:val="000000" w:themeColor="text1"/>
        </w:rPr>
        <w:t>:</w:t>
      </w:r>
      <w:r w:rsidRPr="00753593">
        <w:rPr>
          <w:color w:val="000000" w:themeColor="text1"/>
        </w:rPr>
        <w:t xml:space="preserve"> pp. 60</w:t>
      </w:r>
      <w:r>
        <w:rPr>
          <w:color w:val="000000" w:themeColor="text1"/>
        </w:rPr>
        <w:t>–</w:t>
      </w:r>
      <w:r w:rsidRPr="00753593">
        <w:rPr>
          <w:color w:val="000000" w:themeColor="text1"/>
        </w:rPr>
        <w:t>9.</w:t>
      </w:r>
    </w:p>
  </w:footnote>
  <w:footnote w:id="5">
    <w:p w14:paraId="04C9FB0A" w14:textId="2676A3D4" w:rsidR="005B7BA1" w:rsidRPr="00753593" w:rsidRDefault="005B7BA1" w:rsidP="008735A3">
      <w:pPr>
        <w:pStyle w:val="FootnoteText"/>
        <w:rPr>
          <w:color w:val="000000" w:themeColor="text1"/>
        </w:rPr>
      </w:pPr>
      <w:r w:rsidRPr="00753593">
        <w:rPr>
          <w:rStyle w:val="FootnoteReference"/>
          <w:color w:val="000000" w:themeColor="text1"/>
        </w:rPr>
        <w:footnoteRef/>
      </w:r>
      <w:r w:rsidRPr="00753593">
        <w:rPr>
          <w:color w:val="000000" w:themeColor="text1"/>
        </w:rPr>
        <w:t xml:space="preserve"> </w:t>
      </w:r>
      <w:r>
        <w:rPr>
          <w:color w:val="000000" w:themeColor="text1"/>
        </w:rPr>
        <w:t xml:space="preserve">Lisa </w:t>
      </w:r>
      <w:r w:rsidRPr="00753593">
        <w:rPr>
          <w:color w:val="000000" w:themeColor="text1"/>
        </w:rPr>
        <w:t xml:space="preserve">Ford, </w:t>
      </w:r>
      <w:r w:rsidRPr="00753593">
        <w:rPr>
          <w:i/>
          <w:iCs/>
          <w:color w:val="000000" w:themeColor="text1"/>
        </w:rPr>
        <w:t>Settler Sovereignty: Jurisdiction and Indigenous People in America and Australia</w:t>
      </w:r>
      <w:r>
        <w:rPr>
          <w:i/>
          <w:iCs/>
          <w:color w:val="000000" w:themeColor="text1"/>
        </w:rPr>
        <w:t xml:space="preserve"> </w:t>
      </w:r>
      <w:r>
        <w:rPr>
          <w:color w:val="000000" w:themeColor="text1"/>
        </w:rPr>
        <w:t>(Cambridge, MA</w:t>
      </w:r>
      <w:r w:rsidRPr="00753593">
        <w:rPr>
          <w:color w:val="000000" w:themeColor="text1"/>
        </w:rPr>
        <w:t>: Harvard University Press, 2010)</w:t>
      </w:r>
      <w:r>
        <w:rPr>
          <w:color w:val="000000" w:themeColor="text1"/>
        </w:rPr>
        <w:t>,</w:t>
      </w:r>
      <w:r w:rsidRPr="00753593">
        <w:rPr>
          <w:i/>
          <w:iCs/>
          <w:color w:val="000000" w:themeColor="text1"/>
        </w:rPr>
        <w:t xml:space="preserve"> </w:t>
      </w:r>
      <w:r w:rsidRPr="00753593">
        <w:rPr>
          <w:color w:val="000000" w:themeColor="text1"/>
        </w:rPr>
        <w:t>pp. 27</w:t>
      </w:r>
      <w:r>
        <w:rPr>
          <w:color w:val="000000" w:themeColor="text1"/>
        </w:rPr>
        <w:t>–</w:t>
      </w:r>
      <w:r w:rsidRPr="00753593">
        <w:rPr>
          <w:color w:val="000000" w:themeColor="text1"/>
        </w:rPr>
        <w:t>8</w:t>
      </w:r>
      <w:r>
        <w:rPr>
          <w:color w:val="000000" w:themeColor="text1"/>
        </w:rPr>
        <w:t>.</w:t>
      </w:r>
    </w:p>
  </w:footnote>
  <w:footnote w:id="6">
    <w:p w14:paraId="53B0730B" w14:textId="0A8527D4" w:rsidR="005B7BA1" w:rsidRPr="00753593" w:rsidRDefault="005B7BA1" w:rsidP="008735A3">
      <w:pPr>
        <w:pStyle w:val="FootnoteText"/>
        <w:rPr>
          <w:color w:val="000000" w:themeColor="text1"/>
        </w:rPr>
      </w:pPr>
      <w:r w:rsidRPr="00753593">
        <w:rPr>
          <w:rStyle w:val="FootnoteReference"/>
          <w:color w:val="000000" w:themeColor="text1"/>
        </w:rPr>
        <w:footnoteRef/>
      </w:r>
      <w:r w:rsidRPr="00753593">
        <w:rPr>
          <w:color w:val="000000" w:themeColor="text1"/>
        </w:rPr>
        <w:t xml:space="preserve"> Bruce Pascoe, </w:t>
      </w:r>
      <w:r w:rsidRPr="00753593">
        <w:rPr>
          <w:i/>
          <w:iCs/>
          <w:color w:val="000000" w:themeColor="text1"/>
        </w:rPr>
        <w:t>Dark Emu</w:t>
      </w:r>
      <w:r>
        <w:rPr>
          <w:i/>
          <w:iCs/>
          <w:color w:val="000000" w:themeColor="text1"/>
        </w:rPr>
        <w:t>:</w:t>
      </w:r>
      <w:r w:rsidRPr="00753593">
        <w:rPr>
          <w:i/>
          <w:iCs/>
          <w:color w:val="000000" w:themeColor="text1"/>
        </w:rPr>
        <w:t xml:space="preserve"> Aboriginal Australia and the Birth of Agriculture</w:t>
      </w:r>
      <w:r w:rsidRPr="00753593">
        <w:rPr>
          <w:color w:val="000000" w:themeColor="text1"/>
        </w:rPr>
        <w:t xml:space="preserve"> (Melbourne: Scribe Publications, 2018)</w:t>
      </w:r>
      <w:r w:rsidR="00242C60">
        <w:rPr>
          <w:color w:val="000000" w:themeColor="text1"/>
        </w:rPr>
        <w:t>, ch. 1.</w:t>
      </w:r>
    </w:p>
  </w:footnote>
  <w:footnote w:id="7">
    <w:p w14:paraId="5BFB8510" w14:textId="432540A8" w:rsidR="005B7BA1" w:rsidRPr="00753E90" w:rsidRDefault="005B7BA1" w:rsidP="008735A3">
      <w:pPr>
        <w:pStyle w:val="FootnoteText"/>
        <w:rPr>
          <w:color w:val="000000" w:themeColor="text1"/>
        </w:rPr>
      </w:pPr>
      <w:r w:rsidRPr="00753E90">
        <w:rPr>
          <w:rStyle w:val="FootnoteReference"/>
          <w:color w:val="000000" w:themeColor="text1"/>
        </w:rPr>
        <w:footnoteRef/>
      </w:r>
      <w:r w:rsidRPr="00753E90">
        <w:rPr>
          <w:color w:val="000000" w:themeColor="text1"/>
        </w:rPr>
        <w:t xml:space="preserve"> Clare Anderson and Hamish Maxwell-Stewart, ‘Convict Labour in Western Empires, 1415</w:t>
      </w:r>
      <w:r>
        <w:rPr>
          <w:color w:val="000000" w:themeColor="text1"/>
        </w:rPr>
        <w:t>–</w:t>
      </w:r>
      <w:r w:rsidRPr="00753E90">
        <w:rPr>
          <w:color w:val="000000" w:themeColor="text1"/>
        </w:rPr>
        <w:t xml:space="preserve">1954’, in </w:t>
      </w:r>
      <w:r w:rsidRPr="00753E90">
        <w:rPr>
          <w:i/>
          <w:iCs/>
          <w:color w:val="000000" w:themeColor="text1"/>
        </w:rPr>
        <w:t>The Routledge History of Western Empires</w:t>
      </w:r>
      <w:r w:rsidR="00462C83">
        <w:rPr>
          <w:i/>
          <w:iCs/>
          <w:color w:val="000000" w:themeColor="text1"/>
        </w:rPr>
        <w:t xml:space="preserve">, </w:t>
      </w:r>
      <w:r w:rsidR="00462C83">
        <w:rPr>
          <w:color w:val="000000" w:themeColor="text1"/>
        </w:rPr>
        <w:t xml:space="preserve">edited by </w:t>
      </w:r>
      <w:r w:rsidR="00462C83" w:rsidRPr="00753E90">
        <w:rPr>
          <w:color w:val="000000" w:themeColor="text1"/>
        </w:rPr>
        <w:t>Robert Aldrich and Kirsten McKenzie</w:t>
      </w:r>
      <w:r w:rsidRPr="00753E90">
        <w:rPr>
          <w:i/>
          <w:iCs/>
          <w:color w:val="000000" w:themeColor="text1"/>
        </w:rPr>
        <w:t xml:space="preserve"> </w:t>
      </w:r>
      <w:r w:rsidRPr="00753E90">
        <w:rPr>
          <w:color w:val="000000" w:themeColor="text1"/>
        </w:rPr>
        <w:t>(London: Routledge, 2014)</w:t>
      </w:r>
      <w:r>
        <w:rPr>
          <w:color w:val="000000" w:themeColor="text1"/>
        </w:rPr>
        <w:t>,</w:t>
      </w:r>
      <w:r w:rsidRPr="00753E90">
        <w:rPr>
          <w:color w:val="000000" w:themeColor="text1"/>
        </w:rPr>
        <w:t xml:space="preserve"> p. 112.</w:t>
      </w:r>
    </w:p>
  </w:footnote>
  <w:footnote w:id="8">
    <w:p w14:paraId="39760A6E" w14:textId="09C4FE7A" w:rsidR="005B7BA1" w:rsidRPr="00753E90" w:rsidRDefault="005B7BA1" w:rsidP="008735A3">
      <w:pPr>
        <w:pStyle w:val="FootnoteText"/>
        <w:rPr>
          <w:color w:val="000000" w:themeColor="text1"/>
        </w:rPr>
      </w:pPr>
      <w:r w:rsidRPr="00753E90">
        <w:rPr>
          <w:rStyle w:val="FootnoteReference"/>
          <w:color w:val="000000" w:themeColor="text1"/>
        </w:rPr>
        <w:footnoteRef/>
      </w:r>
      <w:r w:rsidRPr="00753E90">
        <w:rPr>
          <w:color w:val="000000" w:themeColor="text1"/>
        </w:rPr>
        <w:t xml:space="preserve"> </w:t>
      </w:r>
      <w:r w:rsidRPr="00753593">
        <w:rPr>
          <w:color w:val="000000" w:themeColor="text1"/>
        </w:rPr>
        <w:t>Raymond Nobbs</w:t>
      </w:r>
      <w:r w:rsidR="00140B48">
        <w:rPr>
          <w:color w:val="000000" w:themeColor="text1"/>
        </w:rPr>
        <w:t xml:space="preserve">, </w:t>
      </w:r>
      <w:r w:rsidRPr="00753593">
        <w:rPr>
          <w:color w:val="000000" w:themeColor="text1"/>
        </w:rPr>
        <w:t>ed.</w:t>
      </w:r>
      <w:r>
        <w:rPr>
          <w:color w:val="000000" w:themeColor="text1"/>
        </w:rPr>
        <w:t>,</w:t>
      </w:r>
      <w:r w:rsidRPr="00753593">
        <w:rPr>
          <w:color w:val="000000" w:themeColor="text1"/>
        </w:rPr>
        <w:t xml:space="preserve"> </w:t>
      </w:r>
      <w:r w:rsidRPr="00753593">
        <w:rPr>
          <w:i/>
          <w:color w:val="000000" w:themeColor="text1"/>
        </w:rPr>
        <w:t xml:space="preserve">Norfolk Island and its First Settlement </w:t>
      </w:r>
      <w:r w:rsidRPr="00753593">
        <w:rPr>
          <w:color w:val="000000" w:themeColor="text1"/>
        </w:rPr>
        <w:t>(North Sydney: Library of Australian History, 1988)</w:t>
      </w:r>
      <w:r>
        <w:rPr>
          <w:color w:val="000000" w:themeColor="text1"/>
        </w:rPr>
        <w:t>;</w:t>
      </w:r>
      <w:r w:rsidRPr="00753593">
        <w:rPr>
          <w:color w:val="000000" w:themeColor="text1"/>
        </w:rPr>
        <w:t xml:space="preserve"> Tim Causer, ‘“Worst types of sub-human beings”?: The </w:t>
      </w:r>
      <w:r>
        <w:rPr>
          <w:color w:val="000000" w:themeColor="text1"/>
        </w:rPr>
        <w:t>M</w:t>
      </w:r>
      <w:r w:rsidRPr="00753593">
        <w:rPr>
          <w:color w:val="000000" w:themeColor="text1"/>
        </w:rPr>
        <w:t xml:space="preserve">yth and </w:t>
      </w:r>
      <w:r>
        <w:rPr>
          <w:color w:val="000000" w:themeColor="text1"/>
        </w:rPr>
        <w:t>R</w:t>
      </w:r>
      <w:r w:rsidRPr="00753593">
        <w:rPr>
          <w:color w:val="000000" w:themeColor="text1"/>
        </w:rPr>
        <w:t xml:space="preserve">eality of the </w:t>
      </w:r>
      <w:r>
        <w:rPr>
          <w:color w:val="000000" w:themeColor="text1"/>
        </w:rPr>
        <w:t>C</w:t>
      </w:r>
      <w:r w:rsidRPr="00753593">
        <w:rPr>
          <w:color w:val="000000" w:themeColor="text1"/>
        </w:rPr>
        <w:t xml:space="preserve">onvicts of the Norfolk Island </w:t>
      </w:r>
      <w:r>
        <w:rPr>
          <w:color w:val="000000" w:themeColor="text1"/>
        </w:rPr>
        <w:t>P</w:t>
      </w:r>
      <w:r w:rsidRPr="00753593">
        <w:rPr>
          <w:color w:val="000000" w:themeColor="text1"/>
        </w:rPr>
        <w:t xml:space="preserve">enal </w:t>
      </w:r>
      <w:r>
        <w:rPr>
          <w:color w:val="000000" w:themeColor="text1"/>
        </w:rPr>
        <w:t>S</w:t>
      </w:r>
      <w:r w:rsidRPr="00753593">
        <w:rPr>
          <w:color w:val="000000" w:themeColor="text1"/>
        </w:rPr>
        <w:t>ettlement, 1825</w:t>
      </w:r>
      <w:r>
        <w:rPr>
          <w:color w:val="000000" w:themeColor="text1"/>
        </w:rPr>
        <w:t>–</w:t>
      </w:r>
      <w:r w:rsidRPr="00753593">
        <w:rPr>
          <w:color w:val="000000" w:themeColor="text1"/>
        </w:rPr>
        <w:t xml:space="preserve">55’, in </w:t>
      </w:r>
      <w:r w:rsidRPr="00753593">
        <w:rPr>
          <w:i/>
          <w:color w:val="000000" w:themeColor="text1"/>
        </w:rPr>
        <w:t>Islands of History</w:t>
      </w:r>
      <w:r w:rsidRPr="00753593">
        <w:rPr>
          <w:color w:val="000000" w:themeColor="text1"/>
        </w:rPr>
        <w:t xml:space="preserve"> (Sydney: Anchor Books, 2011)</w:t>
      </w:r>
      <w:r>
        <w:rPr>
          <w:color w:val="000000" w:themeColor="text1"/>
        </w:rPr>
        <w:t xml:space="preserve">, pp. </w:t>
      </w:r>
      <w:r w:rsidR="005862B1">
        <w:rPr>
          <w:color w:val="000000" w:themeColor="text1"/>
        </w:rPr>
        <w:t>5</w:t>
      </w:r>
      <w:r>
        <w:rPr>
          <w:color w:val="000000" w:themeColor="text1"/>
        </w:rPr>
        <w:t>;</w:t>
      </w:r>
      <w:r w:rsidRPr="00753593">
        <w:rPr>
          <w:color w:val="000000" w:themeColor="text1"/>
        </w:rPr>
        <w:t xml:space="preserve"> </w:t>
      </w:r>
      <w:r w:rsidRPr="00753E90">
        <w:rPr>
          <w:color w:val="000000" w:themeColor="text1"/>
        </w:rPr>
        <w:t>Anderson and Maxwell-Stewart, ‘Convict Labour in Western Empires’, p. 112.</w:t>
      </w:r>
    </w:p>
  </w:footnote>
  <w:footnote w:id="9">
    <w:p w14:paraId="03944E61" w14:textId="72317008" w:rsidR="005B7BA1" w:rsidRPr="00753E90" w:rsidRDefault="005B7BA1" w:rsidP="008735A3">
      <w:pPr>
        <w:pStyle w:val="FootnoteText"/>
        <w:rPr>
          <w:color w:val="000000" w:themeColor="text1"/>
        </w:rPr>
      </w:pPr>
      <w:r w:rsidRPr="00753E90">
        <w:rPr>
          <w:rStyle w:val="FootnoteReference"/>
          <w:color w:val="000000" w:themeColor="text1"/>
        </w:rPr>
        <w:footnoteRef/>
      </w:r>
      <w:r w:rsidRPr="00753E90">
        <w:rPr>
          <w:color w:val="000000" w:themeColor="text1"/>
        </w:rPr>
        <w:t xml:space="preserve"> Sean Winter, ‘Coerced </w:t>
      </w:r>
      <w:r>
        <w:rPr>
          <w:color w:val="000000" w:themeColor="text1"/>
        </w:rPr>
        <w:t>L</w:t>
      </w:r>
      <w:r w:rsidRPr="00753E90">
        <w:rPr>
          <w:color w:val="000000" w:themeColor="text1"/>
        </w:rPr>
        <w:t xml:space="preserve">abour in Western Australia during the </w:t>
      </w:r>
      <w:r>
        <w:rPr>
          <w:color w:val="000000" w:themeColor="text1"/>
        </w:rPr>
        <w:t>N</w:t>
      </w:r>
      <w:r w:rsidRPr="00753E90">
        <w:rPr>
          <w:color w:val="000000" w:themeColor="text1"/>
        </w:rPr>
        <w:t xml:space="preserve">ineteenth </w:t>
      </w:r>
      <w:r>
        <w:rPr>
          <w:color w:val="000000" w:themeColor="text1"/>
        </w:rPr>
        <w:t>C</w:t>
      </w:r>
      <w:r w:rsidRPr="00753E90">
        <w:rPr>
          <w:color w:val="000000" w:themeColor="text1"/>
        </w:rPr>
        <w:t xml:space="preserve">entury’, </w:t>
      </w:r>
      <w:r w:rsidRPr="00753E90">
        <w:rPr>
          <w:i/>
          <w:iCs/>
          <w:color w:val="000000" w:themeColor="text1"/>
        </w:rPr>
        <w:t>Australasian Historical Archaeology</w:t>
      </w:r>
      <w:r w:rsidRPr="00753E90">
        <w:rPr>
          <w:color w:val="000000" w:themeColor="text1"/>
        </w:rPr>
        <w:t xml:space="preserve"> </w:t>
      </w:r>
      <w:r w:rsidRPr="00217567">
        <w:rPr>
          <w:i/>
          <w:color w:val="000000" w:themeColor="text1"/>
        </w:rPr>
        <w:t>34</w:t>
      </w:r>
      <w:r w:rsidRPr="00753E90">
        <w:rPr>
          <w:color w:val="000000" w:themeColor="text1"/>
        </w:rPr>
        <w:t xml:space="preserve"> (2016)</w:t>
      </w:r>
      <w:r w:rsidR="00371C38">
        <w:rPr>
          <w:color w:val="000000" w:themeColor="text1"/>
        </w:rPr>
        <w:t>:</w:t>
      </w:r>
      <w:r w:rsidRPr="00753E90">
        <w:rPr>
          <w:color w:val="000000" w:themeColor="text1"/>
        </w:rPr>
        <w:t xml:space="preserve"> pp. 3–12.</w:t>
      </w:r>
    </w:p>
  </w:footnote>
  <w:footnote w:id="10">
    <w:p w14:paraId="05EC3D0C" w14:textId="36AB3F66" w:rsidR="005B7BA1" w:rsidRPr="00753E90" w:rsidRDefault="005B7BA1" w:rsidP="008735A3">
      <w:pPr>
        <w:pStyle w:val="FootnoteText"/>
        <w:rPr>
          <w:color w:val="000000" w:themeColor="text1"/>
        </w:rPr>
      </w:pPr>
      <w:r w:rsidRPr="00753E90">
        <w:rPr>
          <w:rStyle w:val="FootnoteReference"/>
          <w:color w:val="000000" w:themeColor="text1"/>
        </w:rPr>
        <w:footnoteRef/>
      </w:r>
      <w:r w:rsidRPr="00753E90">
        <w:rPr>
          <w:color w:val="000000" w:themeColor="text1"/>
        </w:rPr>
        <w:t xml:space="preserve"> David Hamer, </w:t>
      </w:r>
      <w:r w:rsidRPr="00753E90">
        <w:rPr>
          <w:i/>
          <w:iCs/>
          <w:color w:val="000000" w:themeColor="text1"/>
        </w:rPr>
        <w:t xml:space="preserve">Can Responsible Government Survive in Australia? </w:t>
      </w:r>
      <w:r w:rsidRPr="00753E90">
        <w:rPr>
          <w:color w:val="000000" w:themeColor="text1"/>
        </w:rPr>
        <w:t>(Canberra: Department of the Senate, 2001)</w:t>
      </w:r>
      <w:r w:rsidR="00371C38">
        <w:rPr>
          <w:color w:val="000000" w:themeColor="text1"/>
        </w:rPr>
        <w:t>,</w:t>
      </w:r>
      <w:r w:rsidRPr="00753E90">
        <w:rPr>
          <w:color w:val="000000" w:themeColor="text1"/>
        </w:rPr>
        <w:t xml:space="preserve"> p. 20.</w:t>
      </w:r>
    </w:p>
  </w:footnote>
  <w:footnote w:id="11">
    <w:p w14:paraId="79A07AC7" w14:textId="0CBC7E4B" w:rsidR="005B7BA1" w:rsidRPr="00F91AFC" w:rsidRDefault="005B7BA1" w:rsidP="008735A3">
      <w:pPr>
        <w:pStyle w:val="FootnoteText"/>
      </w:pPr>
      <w:r w:rsidRPr="00F91AFC">
        <w:rPr>
          <w:rStyle w:val="FootnoteReference"/>
        </w:rPr>
        <w:footnoteRef/>
      </w:r>
      <w:r w:rsidRPr="00F91AFC">
        <w:t xml:space="preserve"> </w:t>
      </w:r>
      <w:r w:rsidRPr="00753E90">
        <w:t xml:space="preserve">Uma Kothari and Rorden Wilkinson, ‘Colonial Imaginaries and Postcolonial Transformations: Exiles, </w:t>
      </w:r>
      <w:r>
        <w:t>B</w:t>
      </w:r>
      <w:r w:rsidRPr="00753E90">
        <w:t xml:space="preserve">ases, </w:t>
      </w:r>
      <w:r>
        <w:t>B</w:t>
      </w:r>
      <w:r w:rsidRPr="00753E90">
        <w:t xml:space="preserve">eaches’, </w:t>
      </w:r>
      <w:r w:rsidRPr="00753E90">
        <w:rPr>
          <w:i/>
          <w:iCs/>
        </w:rPr>
        <w:t xml:space="preserve">Third World Quarterly </w:t>
      </w:r>
      <w:r w:rsidRPr="00217567">
        <w:rPr>
          <w:i/>
          <w:iCs/>
        </w:rPr>
        <w:t>31</w:t>
      </w:r>
      <w:r>
        <w:t xml:space="preserve">, no. </w:t>
      </w:r>
      <w:r w:rsidRPr="00753E90">
        <w:t>8 (2010</w:t>
      </w:r>
      <w:r w:rsidR="00371C38" w:rsidRPr="00753E90">
        <w:t>)</w:t>
      </w:r>
      <w:r w:rsidR="00371C38">
        <w:t>:</w:t>
      </w:r>
      <w:r w:rsidR="00371C38" w:rsidRPr="00753E90">
        <w:t xml:space="preserve"> </w:t>
      </w:r>
      <w:r w:rsidRPr="00753E90">
        <w:t>pp. 1395</w:t>
      </w:r>
      <w:r>
        <w:t>–</w:t>
      </w:r>
      <w:r w:rsidRPr="00753E90">
        <w:t>1412</w:t>
      </w:r>
      <w:r>
        <w:t>;</w:t>
      </w:r>
      <w:r w:rsidRPr="00753E90">
        <w:t xml:space="preserve"> Hamish Maxwell-Stewart, ‘Transportation from Britain and Ireland, 1615</w:t>
      </w:r>
      <w:r>
        <w:t>–</w:t>
      </w:r>
      <w:r w:rsidRPr="00753E90">
        <w:t>1875’</w:t>
      </w:r>
      <w:r>
        <w:t xml:space="preserve">, and </w:t>
      </w:r>
      <w:r w:rsidRPr="00753E90">
        <w:t>Clare Anderson, ‘The British Indian Empire, 1789</w:t>
      </w:r>
      <w:r>
        <w:t>–</w:t>
      </w:r>
      <w:r w:rsidRPr="00753E90">
        <w:t>1939</w:t>
      </w:r>
      <w:r>
        <w:t>’</w:t>
      </w:r>
      <w:r w:rsidRPr="00753E90">
        <w:t xml:space="preserve">, in </w:t>
      </w:r>
      <w:r w:rsidR="00010B38">
        <w:t xml:space="preserve"> </w:t>
      </w:r>
      <w:r w:rsidRPr="00753E90">
        <w:rPr>
          <w:i/>
          <w:iCs/>
        </w:rPr>
        <w:t>A Global History of Convicts and Penal Colonies</w:t>
      </w:r>
      <w:r w:rsidR="00010B38">
        <w:rPr>
          <w:i/>
          <w:iCs/>
        </w:rPr>
        <w:t xml:space="preserve">, </w:t>
      </w:r>
      <w:r w:rsidR="00010B38">
        <w:t xml:space="preserve">edited by </w:t>
      </w:r>
      <w:r w:rsidR="00010B38" w:rsidRPr="00753E90">
        <w:t xml:space="preserve">Clare Anderson </w:t>
      </w:r>
      <w:r w:rsidRPr="00753E90">
        <w:t xml:space="preserve">(London: Bloomsbury, </w:t>
      </w:r>
      <w:r w:rsidRPr="002D65F9">
        <w:t xml:space="preserve">2018), </w:t>
      </w:r>
      <w:r w:rsidRPr="00787759">
        <w:t>pp.</w:t>
      </w:r>
      <w:r>
        <w:t xml:space="preserve"> 183–210, 211–44.</w:t>
      </w:r>
    </w:p>
  </w:footnote>
  <w:footnote w:id="12">
    <w:p w14:paraId="1E7980A9" w14:textId="77777777" w:rsidR="005B7BA1" w:rsidRPr="00753E90" w:rsidRDefault="005B7BA1" w:rsidP="008735A3">
      <w:pPr>
        <w:pStyle w:val="FootnoteText"/>
      </w:pPr>
      <w:r w:rsidRPr="00753E90">
        <w:rPr>
          <w:rStyle w:val="FootnoteReference"/>
        </w:rPr>
        <w:footnoteRef/>
      </w:r>
      <w:r w:rsidRPr="00753E90">
        <w:t xml:space="preserve"> Kothari and Wilkinson, ‘Colonial Imaginaries’, p. 1399.</w:t>
      </w:r>
    </w:p>
  </w:footnote>
  <w:footnote w:id="13">
    <w:p w14:paraId="71A7E5CD" w14:textId="0CC807DE" w:rsidR="005B7BA1" w:rsidRPr="00753E90" w:rsidRDefault="005B7BA1" w:rsidP="008735A3">
      <w:pPr>
        <w:pStyle w:val="FootnoteText"/>
        <w:rPr>
          <w:color w:val="000000" w:themeColor="text1"/>
        </w:rPr>
      </w:pPr>
      <w:r w:rsidRPr="00753E90">
        <w:rPr>
          <w:rStyle w:val="FootnoteReference"/>
          <w:color w:val="000000" w:themeColor="text1"/>
        </w:rPr>
        <w:footnoteRef/>
      </w:r>
      <w:r w:rsidRPr="00753E90">
        <w:rPr>
          <w:color w:val="000000" w:themeColor="text1"/>
        </w:rPr>
        <w:t xml:space="preserve"> </w:t>
      </w:r>
      <w:r w:rsidRPr="00753E90">
        <w:rPr>
          <w:i/>
          <w:color w:val="000000" w:themeColor="text1"/>
        </w:rPr>
        <w:t xml:space="preserve">Historical Records of Australia </w:t>
      </w:r>
      <w:r w:rsidRPr="00753E90">
        <w:rPr>
          <w:iCs/>
          <w:color w:val="000000" w:themeColor="text1"/>
        </w:rPr>
        <w:t>(</w:t>
      </w:r>
      <w:r w:rsidRPr="00753E90">
        <w:rPr>
          <w:i/>
          <w:color w:val="000000" w:themeColor="text1"/>
        </w:rPr>
        <w:t>HRA</w:t>
      </w:r>
      <w:r w:rsidRPr="00753E90">
        <w:rPr>
          <w:iCs/>
          <w:color w:val="000000" w:themeColor="text1"/>
        </w:rPr>
        <w:t>)</w:t>
      </w:r>
      <w:r w:rsidR="00010B38">
        <w:rPr>
          <w:iCs/>
          <w:color w:val="000000" w:themeColor="text1"/>
        </w:rPr>
        <w:t>,</w:t>
      </w:r>
      <w:r w:rsidRPr="00753E90">
        <w:rPr>
          <w:color w:val="000000" w:themeColor="text1"/>
        </w:rPr>
        <w:t xml:space="preserve"> ser. I, vol. XI, Earl Bathurst, Secretary of State for War and the Colonies</w:t>
      </w:r>
      <w:r>
        <w:rPr>
          <w:color w:val="000000" w:themeColor="text1"/>
        </w:rPr>
        <w:t>,</w:t>
      </w:r>
      <w:r w:rsidRPr="00753E90">
        <w:rPr>
          <w:color w:val="000000" w:themeColor="text1"/>
        </w:rPr>
        <w:t xml:space="preserve"> to Thomas Brisbane, Governor of </w:t>
      </w:r>
      <w:r>
        <w:rPr>
          <w:color w:val="000000" w:themeColor="text1"/>
        </w:rPr>
        <w:t>New South Wales (NSW)</w:t>
      </w:r>
      <w:r w:rsidRPr="00753E90">
        <w:rPr>
          <w:color w:val="000000" w:themeColor="text1"/>
        </w:rPr>
        <w:t>, 22 July 1824, pp. 320</w:t>
      </w:r>
      <w:r>
        <w:rPr>
          <w:color w:val="000000" w:themeColor="text1"/>
        </w:rPr>
        <w:t>–</w:t>
      </w:r>
      <w:r w:rsidRPr="00753E90">
        <w:rPr>
          <w:color w:val="000000" w:themeColor="text1"/>
        </w:rPr>
        <w:t>1.</w:t>
      </w:r>
    </w:p>
  </w:footnote>
  <w:footnote w:id="14">
    <w:p w14:paraId="500AE503" w14:textId="3645CDE0" w:rsidR="005B7BA1" w:rsidRPr="00753E90" w:rsidRDefault="005B7BA1" w:rsidP="008735A3">
      <w:pPr>
        <w:pStyle w:val="FootnoteText"/>
        <w:rPr>
          <w:color w:val="000000" w:themeColor="text1"/>
        </w:rPr>
      </w:pPr>
      <w:r w:rsidRPr="00753E90">
        <w:rPr>
          <w:rStyle w:val="FootnoteReference"/>
          <w:color w:val="000000" w:themeColor="text1"/>
        </w:rPr>
        <w:footnoteRef/>
      </w:r>
      <w:r w:rsidRPr="00753E90">
        <w:rPr>
          <w:color w:val="000000" w:themeColor="text1"/>
        </w:rPr>
        <w:t xml:space="preserve"> House of Commons Parliamentary Papers (HCPP) 1843, vol. </w:t>
      </w:r>
      <w:r w:rsidR="001802E0">
        <w:rPr>
          <w:color w:val="000000" w:themeColor="text1"/>
        </w:rPr>
        <w:t>42</w:t>
      </w:r>
      <w:r w:rsidRPr="00753E90">
        <w:rPr>
          <w:color w:val="000000" w:themeColor="text1"/>
        </w:rPr>
        <w:t xml:space="preserve">, no. 158, </w:t>
      </w:r>
      <w:r w:rsidRPr="00753E90">
        <w:rPr>
          <w:i/>
          <w:iCs/>
          <w:color w:val="000000" w:themeColor="text1"/>
        </w:rPr>
        <w:t xml:space="preserve">Convict Discipline: Copies of Extracts of any Correspondence between the Secretary of State and the Governor of Van Diemen’s Land, on the </w:t>
      </w:r>
      <w:r>
        <w:rPr>
          <w:i/>
          <w:iCs/>
          <w:color w:val="000000" w:themeColor="text1"/>
        </w:rPr>
        <w:t>S</w:t>
      </w:r>
      <w:r w:rsidRPr="00753E90">
        <w:rPr>
          <w:i/>
          <w:iCs/>
          <w:color w:val="000000" w:themeColor="text1"/>
        </w:rPr>
        <w:t>ubject of Convict Discipline, Part I</w:t>
      </w:r>
      <w:r w:rsidRPr="00753E90">
        <w:rPr>
          <w:color w:val="000000" w:themeColor="text1"/>
        </w:rPr>
        <w:t>, George Gipps, Governor of NSW, to Lord Russell, Secretary of State for War and the Colonies, 13 October 1841, pp. 11</w:t>
      </w:r>
      <w:r>
        <w:rPr>
          <w:color w:val="000000" w:themeColor="text1"/>
        </w:rPr>
        <w:t>–</w:t>
      </w:r>
      <w:r w:rsidRPr="00753E90">
        <w:rPr>
          <w:color w:val="000000" w:themeColor="text1"/>
        </w:rPr>
        <w:t>13.</w:t>
      </w:r>
    </w:p>
  </w:footnote>
  <w:footnote w:id="15">
    <w:p w14:paraId="04C32869" w14:textId="21975F3F" w:rsidR="005B7BA1" w:rsidRPr="00804BB3" w:rsidRDefault="005B7BA1" w:rsidP="008735A3">
      <w:pPr>
        <w:pStyle w:val="FootnoteText"/>
        <w:rPr>
          <w:color w:val="000000" w:themeColor="text1"/>
        </w:rPr>
      </w:pPr>
      <w:r w:rsidRPr="00804BB3">
        <w:rPr>
          <w:rStyle w:val="FootnoteReference"/>
          <w:color w:val="000000" w:themeColor="text1"/>
        </w:rPr>
        <w:footnoteRef/>
      </w:r>
      <w:r w:rsidRPr="00804BB3">
        <w:rPr>
          <w:color w:val="000000" w:themeColor="text1"/>
        </w:rPr>
        <w:t xml:space="preserve"> Grace Karskens, </w:t>
      </w:r>
      <w:r w:rsidRPr="00804BB3">
        <w:rPr>
          <w:i/>
          <w:color w:val="000000" w:themeColor="text1"/>
        </w:rPr>
        <w:t>The Colony: A History of Early Sydney</w:t>
      </w:r>
      <w:r w:rsidRPr="00804BB3">
        <w:rPr>
          <w:iCs/>
          <w:color w:val="000000" w:themeColor="text1"/>
        </w:rPr>
        <w:t xml:space="preserve"> </w:t>
      </w:r>
      <w:r w:rsidRPr="00804BB3">
        <w:rPr>
          <w:color w:val="000000" w:themeColor="text1"/>
        </w:rPr>
        <w:t>(Crows Nest: Allen &amp; Unwin, 2010)</w:t>
      </w:r>
      <w:r w:rsidR="00F20760">
        <w:rPr>
          <w:color w:val="000000" w:themeColor="text1"/>
        </w:rPr>
        <w:t>,</w:t>
      </w:r>
      <w:r w:rsidRPr="00804BB3">
        <w:rPr>
          <w:color w:val="000000" w:themeColor="text1"/>
        </w:rPr>
        <w:t xml:space="preserve"> pp. 305</w:t>
      </w:r>
      <w:r>
        <w:rPr>
          <w:color w:val="000000" w:themeColor="text1"/>
        </w:rPr>
        <w:t>–</w:t>
      </w:r>
      <w:r w:rsidRPr="00804BB3">
        <w:rPr>
          <w:color w:val="000000" w:themeColor="text1"/>
        </w:rPr>
        <w:t>7</w:t>
      </w:r>
      <w:r>
        <w:rPr>
          <w:color w:val="000000" w:themeColor="text1"/>
        </w:rPr>
        <w:t xml:space="preserve">; </w:t>
      </w:r>
      <w:r w:rsidRPr="00804BB3">
        <w:rPr>
          <w:color w:val="000000" w:themeColor="text1"/>
        </w:rPr>
        <w:t xml:space="preserve">James Boyce, </w:t>
      </w:r>
      <w:r w:rsidRPr="00804BB3">
        <w:rPr>
          <w:i/>
          <w:color w:val="000000" w:themeColor="text1"/>
        </w:rPr>
        <w:t xml:space="preserve">Van Diemen’s Land </w:t>
      </w:r>
      <w:r w:rsidRPr="00804BB3">
        <w:rPr>
          <w:color w:val="000000" w:themeColor="text1"/>
        </w:rPr>
        <w:t>(Carlton: Black Inc., 2008)</w:t>
      </w:r>
      <w:r>
        <w:rPr>
          <w:color w:val="000000" w:themeColor="text1"/>
        </w:rPr>
        <w:t>,</w:t>
      </w:r>
      <w:r w:rsidRPr="00804BB3">
        <w:rPr>
          <w:color w:val="000000" w:themeColor="text1"/>
        </w:rPr>
        <w:t xml:space="preserve"> p. 5.</w:t>
      </w:r>
    </w:p>
  </w:footnote>
  <w:footnote w:id="16">
    <w:p w14:paraId="564F92E4" w14:textId="767C6957" w:rsidR="005B7BA1" w:rsidRPr="00804BB3" w:rsidRDefault="005B7BA1" w:rsidP="008735A3">
      <w:pPr>
        <w:rPr>
          <w:color w:val="000000" w:themeColor="text1"/>
          <w:sz w:val="20"/>
          <w:szCs w:val="20"/>
        </w:rPr>
      </w:pPr>
      <w:r w:rsidRPr="00804BB3">
        <w:rPr>
          <w:rStyle w:val="FootnoteReference"/>
          <w:color w:val="000000" w:themeColor="text1"/>
          <w:sz w:val="20"/>
          <w:szCs w:val="20"/>
        </w:rPr>
        <w:footnoteRef/>
      </w:r>
      <w:r w:rsidRPr="00804BB3">
        <w:rPr>
          <w:color w:val="000000" w:themeColor="text1"/>
          <w:sz w:val="20"/>
          <w:szCs w:val="20"/>
        </w:rPr>
        <w:t xml:space="preserve"> </w:t>
      </w:r>
      <w:r w:rsidRPr="00804BB3">
        <w:rPr>
          <w:sz w:val="20"/>
          <w:szCs w:val="20"/>
        </w:rPr>
        <w:t xml:space="preserve">Mark Finnane and John McGuire, ‘The </w:t>
      </w:r>
      <w:r>
        <w:rPr>
          <w:sz w:val="20"/>
          <w:szCs w:val="20"/>
        </w:rPr>
        <w:t>U</w:t>
      </w:r>
      <w:r w:rsidRPr="00804BB3">
        <w:rPr>
          <w:sz w:val="20"/>
          <w:szCs w:val="20"/>
        </w:rPr>
        <w:t xml:space="preserve">ses of </w:t>
      </w:r>
      <w:r>
        <w:rPr>
          <w:sz w:val="20"/>
          <w:szCs w:val="20"/>
        </w:rPr>
        <w:t>P</w:t>
      </w:r>
      <w:r w:rsidRPr="00804BB3">
        <w:rPr>
          <w:sz w:val="20"/>
          <w:szCs w:val="20"/>
        </w:rPr>
        <w:t xml:space="preserve">unishment and </w:t>
      </w:r>
      <w:r>
        <w:rPr>
          <w:sz w:val="20"/>
          <w:szCs w:val="20"/>
        </w:rPr>
        <w:t>E</w:t>
      </w:r>
      <w:r w:rsidRPr="00804BB3">
        <w:rPr>
          <w:sz w:val="20"/>
          <w:szCs w:val="20"/>
        </w:rPr>
        <w:t xml:space="preserve">xile: Aborigines in </w:t>
      </w:r>
      <w:r>
        <w:rPr>
          <w:sz w:val="20"/>
          <w:szCs w:val="20"/>
        </w:rPr>
        <w:t>C</w:t>
      </w:r>
      <w:r w:rsidRPr="00804BB3">
        <w:rPr>
          <w:sz w:val="20"/>
          <w:szCs w:val="20"/>
        </w:rPr>
        <w:t xml:space="preserve">olonial Australia’, </w:t>
      </w:r>
      <w:r w:rsidRPr="00804BB3">
        <w:rPr>
          <w:i/>
          <w:sz w:val="20"/>
          <w:szCs w:val="20"/>
        </w:rPr>
        <w:t>Punishment &amp; Society</w:t>
      </w:r>
      <w:r w:rsidRPr="00804BB3">
        <w:rPr>
          <w:sz w:val="20"/>
          <w:szCs w:val="20"/>
        </w:rPr>
        <w:t xml:space="preserve"> </w:t>
      </w:r>
      <w:r w:rsidRPr="00217567">
        <w:rPr>
          <w:i/>
          <w:sz w:val="20"/>
          <w:szCs w:val="20"/>
        </w:rPr>
        <w:t>3</w:t>
      </w:r>
      <w:r w:rsidRPr="00E2065D">
        <w:rPr>
          <w:sz w:val="20"/>
          <w:szCs w:val="20"/>
        </w:rPr>
        <w:t>,</w:t>
      </w:r>
      <w:r w:rsidRPr="00804BB3">
        <w:rPr>
          <w:i/>
          <w:iCs/>
          <w:sz w:val="20"/>
          <w:szCs w:val="20"/>
        </w:rPr>
        <w:t xml:space="preserve"> </w:t>
      </w:r>
      <w:r w:rsidRPr="00804BB3">
        <w:rPr>
          <w:sz w:val="20"/>
          <w:szCs w:val="20"/>
        </w:rPr>
        <w:t>no. 2 (2001)</w:t>
      </w:r>
      <w:r w:rsidR="00F20760">
        <w:rPr>
          <w:sz w:val="20"/>
          <w:szCs w:val="20"/>
        </w:rPr>
        <w:t>:</w:t>
      </w:r>
      <w:r w:rsidRPr="00804BB3">
        <w:rPr>
          <w:sz w:val="20"/>
          <w:szCs w:val="20"/>
        </w:rPr>
        <w:t xml:space="preserve"> pp. 279</w:t>
      </w:r>
      <w:r>
        <w:rPr>
          <w:sz w:val="20"/>
          <w:szCs w:val="20"/>
        </w:rPr>
        <w:t>–</w:t>
      </w:r>
      <w:r w:rsidRPr="00804BB3">
        <w:rPr>
          <w:sz w:val="20"/>
          <w:szCs w:val="20"/>
        </w:rPr>
        <w:t>98</w:t>
      </w:r>
      <w:r>
        <w:rPr>
          <w:sz w:val="20"/>
          <w:szCs w:val="20"/>
        </w:rPr>
        <w:t>;</w:t>
      </w:r>
      <w:r w:rsidRPr="00804BB3">
        <w:rPr>
          <w:sz w:val="20"/>
          <w:szCs w:val="20"/>
        </w:rPr>
        <w:t xml:space="preserve"> </w:t>
      </w:r>
      <w:r w:rsidRPr="00804BB3">
        <w:rPr>
          <w:color w:val="000000" w:themeColor="text1"/>
          <w:sz w:val="20"/>
          <w:szCs w:val="20"/>
        </w:rPr>
        <w:t xml:space="preserve">Amy Nethery, </w:t>
      </w:r>
      <w:r>
        <w:rPr>
          <w:color w:val="000000" w:themeColor="text1"/>
          <w:sz w:val="20"/>
          <w:szCs w:val="20"/>
        </w:rPr>
        <w:t>‘</w:t>
      </w:r>
      <w:r w:rsidRPr="00804BB3">
        <w:rPr>
          <w:color w:val="000000" w:themeColor="text1"/>
          <w:sz w:val="20"/>
          <w:szCs w:val="20"/>
        </w:rPr>
        <w:t>Separate and Invisible: A Carceral History of Australian Islands</w:t>
      </w:r>
      <w:r>
        <w:rPr>
          <w:color w:val="000000" w:themeColor="text1"/>
          <w:sz w:val="20"/>
          <w:szCs w:val="20"/>
        </w:rPr>
        <w:t>’</w:t>
      </w:r>
      <w:r w:rsidRPr="00804BB3">
        <w:rPr>
          <w:color w:val="000000" w:themeColor="text1"/>
          <w:sz w:val="20"/>
          <w:szCs w:val="20"/>
        </w:rPr>
        <w:t xml:space="preserve">, </w:t>
      </w:r>
      <w:r w:rsidRPr="00804BB3">
        <w:rPr>
          <w:i/>
          <w:iCs/>
          <w:color w:val="000000" w:themeColor="text1"/>
          <w:sz w:val="20"/>
          <w:szCs w:val="20"/>
        </w:rPr>
        <w:t xml:space="preserve">Shima </w:t>
      </w:r>
      <w:r w:rsidRPr="00804BB3">
        <w:rPr>
          <w:iCs/>
          <w:color w:val="000000" w:themeColor="text1"/>
          <w:sz w:val="20"/>
          <w:szCs w:val="20"/>
        </w:rPr>
        <w:t xml:space="preserve">6, </w:t>
      </w:r>
      <w:r w:rsidRPr="00804BB3">
        <w:rPr>
          <w:color w:val="000000" w:themeColor="text1"/>
          <w:sz w:val="20"/>
          <w:szCs w:val="20"/>
        </w:rPr>
        <w:t>no. 2 (2012)</w:t>
      </w:r>
      <w:r w:rsidR="00F20760">
        <w:rPr>
          <w:color w:val="000000" w:themeColor="text1"/>
          <w:sz w:val="20"/>
          <w:szCs w:val="20"/>
        </w:rPr>
        <w:t>:</w:t>
      </w:r>
      <w:r w:rsidRPr="00804BB3">
        <w:rPr>
          <w:color w:val="000000" w:themeColor="text1"/>
          <w:sz w:val="20"/>
          <w:szCs w:val="20"/>
        </w:rPr>
        <w:t xml:space="preserve"> pp. 85</w:t>
      </w:r>
      <w:r>
        <w:rPr>
          <w:color w:val="000000" w:themeColor="text1"/>
          <w:sz w:val="20"/>
          <w:szCs w:val="20"/>
        </w:rPr>
        <w:t>–</w:t>
      </w:r>
      <w:r w:rsidRPr="00804BB3">
        <w:rPr>
          <w:color w:val="000000" w:themeColor="text1"/>
          <w:sz w:val="20"/>
          <w:szCs w:val="20"/>
        </w:rPr>
        <w:t>98</w:t>
      </w:r>
      <w:r>
        <w:rPr>
          <w:color w:val="000000" w:themeColor="text1"/>
          <w:sz w:val="20"/>
          <w:szCs w:val="20"/>
        </w:rPr>
        <w:t>;</w:t>
      </w:r>
      <w:r w:rsidRPr="00804BB3">
        <w:rPr>
          <w:color w:val="000000" w:themeColor="text1"/>
          <w:sz w:val="20"/>
          <w:szCs w:val="20"/>
        </w:rPr>
        <w:t xml:space="preserve"> Kate McMillan, </w:t>
      </w:r>
      <w:r w:rsidRPr="00F17A24">
        <w:rPr>
          <w:i/>
          <w:iCs/>
          <w:color w:val="000000" w:themeColor="text1"/>
          <w:sz w:val="20"/>
          <w:szCs w:val="20"/>
        </w:rPr>
        <w:t>Contemporary</w:t>
      </w:r>
      <w:r w:rsidRPr="00804BB3">
        <w:rPr>
          <w:i/>
          <w:iCs/>
          <w:color w:val="000000" w:themeColor="text1"/>
          <w:sz w:val="20"/>
          <w:szCs w:val="20"/>
        </w:rPr>
        <w:t xml:space="preserve"> Art of Unforgetting in Colonial Landscapes: Islands of Empire </w:t>
      </w:r>
      <w:r w:rsidRPr="00804BB3">
        <w:rPr>
          <w:color w:val="000000" w:themeColor="text1"/>
          <w:sz w:val="20"/>
          <w:szCs w:val="20"/>
        </w:rPr>
        <w:t>(Cham: Palgrave Macmillan, 2019)</w:t>
      </w:r>
      <w:r>
        <w:rPr>
          <w:color w:val="000000" w:themeColor="text1"/>
          <w:sz w:val="20"/>
          <w:szCs w:val="20"/>
        </w:rPr>
        <w:t>,</w:t>
      </w:r>
      <w:r w:rsidRPr="00804BB3">
        <w:rPr>
          <w:color w:val="000000" w:themeColor="text1"/>
          <w:sz w:val="20"/>
          <w:szCs w:val="20"/>
        </w:rPr>
        <w:t xml:space="preserve"> pp</w:t>
      </w:r>
      <w:r>
        <w:rPr>
          <w:color w:val="000000" w:themeColor="text1"/>
          <w:sz w:val="20"/>
          <w:szCs w:val="20"/>
        </w:rPr>
        <w:t>.</w:t>
      </w:r>
      <w:r w:rsidRPr="00804BB3">
        <w:rPr>
          <w:color w:val="000000" w:themeColor="text1"/>
          <w:sz w:val="20"/>
          <w:szCs w:val="20"/>
        </w:rPr>
        <w:t xml:space="preserve"> 65</w:t>
      </w:r>
      <w:r>
        <w:rPr>
          <w:color w:val="000000" w:themeColor="text1"/>
          <w:sz w:val="20"/>
          <w:szCs w:val="20"/>
        </w:rPr>
        <w:t>–</w:t>
      </w:r>
      <w:r w:rsidRPr="00804BB3">
        <w:rPr>
          <w:color w:val="000000" w:themeColor="text1"/>
          <w:sz w:val="20"/>
          <w:szCs w:val="20"/>
        </w:rPr>
        <w:t>9</w:t>
      </w:r>
      <w:r>
        <w:rPr>
          <w:color w:val="000000" w:themeColor="text1"/>
          <w:sz w:val="20"/>
          <w:szCs w:val="20"/>
        </w:rPr>
        <w:t>;</w:t>
      </w:r>
      <w:r w:rsidRPr="00804BB3">
        <w:rPr>
          <w:color w:val="000000" w:themeColor="text1"/>
          <w:sz w:val="20"/>
          <w:szCs w:val="20"/>
        </w:rPr>
        <w:t xml:space="preserve"> Elizabeth McMahon, ‘Encapsulated Space: The </w:t>
      </w:r>
      <w:r>
        <w:rPr>
          <w:color w:val="000000" w:themeColor="text1"/>
          <w:sz w:val="20"/>
          <w:szCs w:val="20"/>
        </w:rPr>
        <w:t>P</w:t>
      </w:r>
      <w:r w:rsidRPr="00804BB3">
        <w:rPr>
          <w:color w:val="000000" w:themeColor="text1"/>
          <w:sz w:val="20"/>
          <w:szCs w:val="20"/>
        </w:rPr>
        <w:t>aradise-</w:t>
      </w:r>
      <w:r>
        <w:rPr>
          <w:color w:val="000000" w:themeColor="text1"/>
          <w:sz w:val="20"/>
          <w:szCs w:val="20"/>
        </w:rPr>
        <w:t>P</w:t>
      </w:r>
      <w:r w:rsidRPr="00804BB3">
        <w:rPr>
          <w:color w:val="000000" w:themeColor="text1"/>
          <w:sz w:val="20"/>
          <w:szCs w:val="20"/>
        </w:rPr>
        <w:t xml:space="preserve">rison of Australia’s </w:t>
      </w:r>
      <w:r>
        <w:rPr>
          <w:color w:val="000000" w:themeColor="text1"/>
          <w:sz w:val="20"/>
          <w:szCs w:val="20"/>
        </w:rPr>
        <w:t>I</w:t>
      </w:r>
      <w:r w:rsidRPr="00804BB3">
        <w:rPr>
          <w:color w:val="000000" w:themeColor="text1"/>
          <w:sz w:val="20"/>
          <w:szCs w:val="20"/>
        </w:rPr>
        <w:t xml:space="preserve">sland </w:t>
      </w:r>
      <w:r>
        <w:rPr>
          <w:color w:val="000000" w:themeColor="text1"/>
          <w:sz w:val="20"/>
          <w:szCs w:val="20"/>
        </w:rPr>
        <w:t>I</w:t>
      </w:r>
      <w:r w:rsidRPr="00804BB3">
        <w:rPr>
          <w:color w:val="000000" w:themeColor="text1"/>
          <w:sz w:val="20"/>
          <w:szCs w:val="20"/>
        </w:rPr>
        <w:t xml:space="preserve">maginary’, </w:t>
      </w:r>
      <w:r w:rsidRPr="00804BB3">
        <w:rPr>
          <w:i/>
          <w:color w:val="000000" w:themeColor="text1"/>
          <w:sz w:val="20"/>
          <w:szCs w:val="20"/>
        </w:rPr>
        <w:t xml:space="preserve">Southerly </w:t>
      </w:r>
      <w:r w:rsidRPr="00804BB3">
        <w:rPr>
          <w:iCs/>
          <w:color w:val="000000" w:themeColor="text1"/>
          <w:sz w:val="20"/>
          <w:szCs w:val="20"/>
        </w:rPr>
        <w:t>65</w:t>
      </w:r>
      <w:r w:rsidRPr="00804BB3">
        <w:rPr>
          <w:color w:val="000000" w:themeColor="text1"/>
          <w:sz w:val="20"/>
          <w:szCs w:val="20"/>
        </w:rPr>
        <w:t>, no. 1 (2005)</w:t>
      </w:r>
      <w:r w:rsidR="00F20760">
        <w:rPr>
          <w:color w:val="000000" w:themeColor="text1"/>
          <w:sz w:val="20"/>
          <w:szCs w:val="20"/>
        </w:rPr>
        <w:t>:</w:t>
      </w:r>
      <w:r w:rsidRPr="00804BB3">
        <w:rPr>
          <w:color w:val="000000" w:themeColor="text1"/>
          <w:sz w:val="20"/>
          <w:szCs w:val="20"/>
        </w:rPr>
        <w:t xml:space="preserve"> pp. 20</w:t>
      </w:r>
      <w:r>
        <w:rPr>
          <w:color w:val="000000" w:themeColor="text1"/>
          <w:sz w:val="20"/>
          <w:szCs w:val="20"/>
        </w:rPr>
        <w:t>–</w:t>
      </w:r>
      <w:r w:rsidRPr="00804BB3">
        <w:rPr>
          <w:color w:val="000000" w:themeColor="text1"/>
          <w:sz w:val="20"/>
          <w:szCs w:val="20"/>
        </w:rPr>
        <w:t>30.</w:t>
      </w:r>
    </w:p>
  </w:footnote>
  <w:footnote w:id="17">
    <w:p w14:paraId="0461242F" w14:textId="1DE223DF" w:rsidR="005B7BA1" w:rsidRPr="00804BB3" w:rsidRDefault="005B7BA1" w:rsidP="008735A3">
      <w:pPr>
        <w:pStyle w:val="FootnoteText"/>
        <w:rPr>
          <w:iCs/>
          <w:color w:val="000000" w:themeColor="text1"/>
        </w:rPr>
      </w:pPr>
      <w:r w:rsidRPr="00804BB3">
        <w:rPr>
          <w:rStyle w:val="FootnoteReference"/>
          <w:color w:val="000000" w:themeColor="text1"/>
        </w:rPr>
        <w:footnoteRef/>
      </w:r>
      <w:r w:rsidRPr="00804BB3">
        <w:rPr>
          <w:color w:val="000000" w:themeColor="text1"/>
        </w:rPr>
        <w:t xml:space="preserve"> Elaine Stratford, ‘Editorial: Flows and Boundaries: Small Island Discourses and the Challenge of Sustainability, Community and Local Environments’, </w:t>
      </w:r>
      <w:r w:rsidRPr="00804BB3">
        <w:rPr>
          <w:i/>
          <w:color w:val="000000" w:themeColor="text1"/>
        </w:rPr>
        <w:t xml:space="preserve">Local Environment </w:t>
      </w:r>
      <w:r w:rsidRPr="00217567">
        <w:rPr>
          <w:i/>
          <w:iCs/>
          <w:color w:val="000000" w:themeColor="text1"/>
        </w:rPr>
        <w:t>8</w:t>
      </w:r>
      <w:r w:rsidRPr="00804BB3">
        <w:rPr>
          <w:iCs/>
          <w:color w:val="000000" w:themeColor="text1"/>
        </w:rPr>
        <w:t>, no. 5 (2003)</w:t>
      </w:r>
      <w:r w:rsidR="00F20760">
        <w:rPr>
          <w:iCs/>
          <w:color w:val="000000" w:themeColor="text1"/>
        </w:rPr>
        <w:t>:</w:t>
      </w:r>
      <w:r w:rsidRPr="00804BB3">
        <w:rPr>
          <w:iCs/>
          <w:color w:val="000000" w:themeColor="text1"/>
        </w:rPr>
        <w:t xml:space="preserve"> p. 495.</w:t>
      </w:r>
    </w:p>
  </w:footnote>
  <w:footnote w:id="18">
    <w:p w14:paraId="07224DAC" w14:textId="342770CF" w:rsidR="005B7BA1" w:rsidRPr="00804BB3" w:rsidRDefault="005B7BA1" w:rsidP="008735A3">
      <w:pPr>
        <w:pStyle w:val="FootnoteText"/>
        <w:rPr>
          <w:color w:val="000000" w:themeColor="text1"/>
        </w:rPr>
      </w:pPr>
      <w:r w:rsidRPr="00804BB3">
        <w:rPr>
          <w:rStyle w:val="FootnoteReference"/>
          <w:color w:val="000000" w:themeColor="text1"/>
        </w:rPr>
        <w:footnoteRef/>
      </w:r>
      <w:r w:rsidRPr="00804BB3">
        <w:rPr>
          <w:color w:val="000000" w:themeColor="text1"/>
        </w:rPr>
        <w:t xml:space="preserve"> Charles Bateson, </w:t>
      </w:r>
      <w:r w:rsidRPr="00804BB3">
        <w:rPr>
          <w:i/>
          <w:color w:val="000000" w:themeColor="text1"/>
        </w:rPr>
        <w:t>The Convict Ships</w:t>
      </w:r>
      <w:r>
        <w:rPr>
          <w:i/>
          <w:color w:val="000000" w:themeColor="text1"/>
        </w:rPr>
        <w:t>,</w:t>
      </w:r>
      <w:r w:rsidRPr="00804BB3">
        <w:rPr>
          <w:i/>
          <w:color w:val="000000" w:themeColor="text1"/>
        </w:rPr>
        <w:t xml:space="preserve"> 1787</w:t>
      </w:r>
      <w:r>
        <w:rPr>
          <w:i/>
          <w:color w:val="000000" w:themeColor="text1"/>
        </w:rPr>
        <w:t>–</w:t>
      </w:r>
      <w:r w:rsidRPr="00804BB3">
        <w:rPr>
          <w:i/>
          <w:color w:val="000000" w:themeColor="text1"/>
        </w:rPr>
        <w:t>1868</w:t>
      </w:r>
      <w:r w:rsidRPr="00804BB3">
        <w:rPr>
          <w:iCs/>
          <w:color w:val="000000" w:themeColor="text1"/>
        </w:rPr>
        <w:t xml:space="preserve"> (Sydney: Brown, Son &amp; Ferguson, 1969)</w:t>
      </w:r>
      <w:r>
        <w:rPr>
          <w:color w:val="000000" w:themeColor="text1"/>
        </w:rPr>
        <w:t>.</w:t>
      </w:r>
      <w:r w:rsidRPr="00804BB3">
        <w:rPr>
          <w:color w:val="000000" w:themeColor="text1"/>
        </w:rPr>
        <w:t xml:space="preserve"> </w:t>
      </w:r>
    </w:p>
  </w:footnote>
  <w:footnote w:id="19">
    <w:p w14:paraId="6BABA940" w14:textId="3AEAAE83" w:rsidR="005B7BA1" w:rsidRPr="00F91AFC" w:rsidRDefault="005B7BA1" w:rsidP="008735A3">
      <w:pPr>
        <w:pStyle w:val="FootnoteText"/>
      </w:pPr>
      <w:r w:rsidRPr="00F91AFC">
        <w:rPr>
          <w:rStyle w:val="FootnoteReference"/>
        </w:rPr>
        <w:footnoteRef/>
      </w:r>
      <w:r w:rsidRPr="00F91AFC">
        <w:t xml:space="preserve"> </w:t>
      </w:r>
      <w:r w:rsidRPr="00804BB3">
        <w:rPr>
          <w:color w:val="000000" w:themeColor="text1"/>
        </w:rPr>
        <w:t xml:space="preserve">Katherine Foxhall, </w:t>
      </w:r>
      <w:r w:rsidRPr="00804BB3">
        <w:rPr>
          <w:i/>
          <w:iCs/>
          <w:color w:val="000000" w:themeColor="text1"/>
        </w:rPr>
        <w:t>Health, Medicine and the Sea: Australia Voyages, c. 1815</w:t>
      </w:r>
      <w:r>
        <w:rPr>
          <w:i/>
          <w:iCs/>
          <w:color w:val="000000" w:themeColor="text1"/>
        </w:rPr>
        <w:t>–</w:t>
      </w:r>
      <w:r w:rsidRPr="00804BB3">
        <w:rPr>
          <w:i/>
          <w:iCs/>
          <w:color w:val="000000" w:themeColor="text1"/>
        </w:rPr>
        <w:t xml:space="preserve">1860 </w:t>
      </w:r>
      <w:r w:rsidRPr="00804BB3">
        <w:rPr>
          <w:color w:val="000000" w:themeColor="text1"/>
        </w:rPr>
        <w:t>(Manchester: Manchester University Press, 2012)</w:t>
      </w:r>
      <w:r>
        <w:rPr>
          <w:color w:val="000000" w:themeColor="text1"/>
        </w:rPr>
        <w:t>,</w:t>
      </w:r>
      <w:r w:rsidRPr="00804BB3">
        <w:rPr>
          <w:color w:val="000000" w:themeColor="text1"/>
        </w:rPr>
        <w:t xml:space="preserve"> p. 3</w:t>
      </w:r>
      <w:r>
        <w:rPr>
          <w:color w:val="000000" w:themeColor="text1"/>
        </w:rPr>
        <w:t>.</w:t>
      </w:r>
    </w:p>
  </w:footnote>
  <w:footnote w:id="20">
    <w:p w14:paraId="58DFDB56" w14:textId="1D5CBA12" w:rsidR="005B7BA1" w:rsidRPr="00804BB3" w:rsidRDefault="005B7BA1" w:rsidP="008735A3">
      <w:pPr>
        <w:pStyle w:val="FootnoteText"/>
        <w:rPr>
          <w:color w:val="000000" w:themeColor="text1"/>
        </w:rPr>
      </w:pPr>
      <w:r w:rsidRPr="00804BB3">
        <w:rPr>
          <w:rStyle w:val="FootnoteReference"/>
          <w:color w:val="000000" w:themeColor="text1"/>
        </w:rPr>
        <w:footnoteRef/>
      </w:r>
      <w:r w:rsidRPr="00804BB3">
        <w:rPr>
          <w:color w:val="000000" w:themeColor="text1"/>
        </w:rPr>
        <w:t xml:space="preserve"> Robert Lee, </w:t>
      </w:r>
      <w:r w:rsidRPr="00804BB3">
        <w:rPr>
          <w:i/>
          <w:color w:val="000000" w:themeColor="text1"/>
        </w:rPr>
        <w:t xml:space="preserve">Linking a Nation: Australia’s </w:t>
      </w:r>
      <w:r>
        <w:rPr>
          <w:i/>
          <w:color w:val="000000" w:themeColor="text1"/>
        </w:rPr>
        <w:t>T</w:t>
      </w:r>
      <w:r w:rsidRPr="00804BB3">
        <w:rPr>
          <w:i/>
          <w:color w:val="000000" w:themeColor="text1"/>
        </w:rPr>
        <w:t xml:space="preserve">ransport and </w:t>
      </w:r>
      <w:r>
        <w:rPr>
          <w:i/>
          <w:color w:val="000000" w:themeColor="text1"/>
        </w:rPr>
        <w:t>C</w:t>
      </w:r>
      <w:r w:rsidRPr="00804BB3">
        <w:rPr>
          <w:i/>
          <w:color w:val="000000" w:themeColor="text1"/>
        </w:rPr>
        <w:t>ommunications, 1788</w:t>
      </w:r>
      <w:r>
        <w:rPr>
          <w:i/>
          <w:color w:val="000000" w:themeColor="text1"/>
        </w:rPr>
        <w:t>–</w:t>
      </w:r>
      <w:r w:rsidRPr="00804BB3">
        <w:rPr>
          <w:i/>
          <w:color w:val="000000" w:themeColor="text1"/>
        </w:rPr>
        <w:t xml:space="preserve">1970 </w:t>
      </w:r>
      <w:r w:rsidRPr="00804BB3">
        <w:rPr>
          <w:color w:val="000000" w:themeColor="text1"/>
        </w:rPr>
        <w:t>(Canberra: Australian Heritage Commission, 2003)</w:t>
      </w:r>
      <w:r>
        <w:rPr>
          <w:color w:val="000000" w:themeColor="text1"/>
        </w:rPr>
        <w:t>, c</w:t>
      </w:r>
      <w:r w:rsidRPr="00804BB3">
        <w:rPr>
          <w:color w:val="000000" w:themeColor="text1"/>
        </w:rPr>
        <w:t xml:space="preserve">h. 2. </w:t>
      </w:r>
    </w:p>
  </w:footnote>
  <w:footnote w:id="21">
    <w:p w14:paraId="41B04420" w14:textId="36564992" w:rsidR="005B7BA1" w:rsidRDefault="005B7BA1">
      <w:pPr>
        <w:pStyle w:val="FootnoteText"/>
      </w:pPr>
      <w:r>
        <w:rPr>
          <w:rStyle w:val="FootnoteReference"/>
        </w:rPr>
        <w:footnoteRef/>
      </w:r>
      <w:r>
        <w:t xml:space="preserve"> </w:t>
      </w:r>
      <w:r w:rsidRPr="00217567">
        <w:rPr>
          <w:i/>
          <w:iCs/>
        </w:rPr>
        <w:t>Ibid.</w:t>
      </w:r>
    </w:p>
  </w:footnote>
  <w:footnote w:id="22">
    <w:p w14:paraId="5EAB8574" w14:textId="6BC34B05" w:rsidR="005B7BA1" w:rsidRPr="00804BB3" w:rsidRDefault="005B7BA1" w:rsidP="008735A3">
      <w:pPr>
        <w:pStyle w:val="FootnoteText"/>
        <w:rPr>
          <w:color w:val="000000" w:themeColor="text1"/>
        </w:rPr>
      </w:pPr>
      <w:r w:rsidRPr="00804BB3">
        <w:rPr>
          <w:rStyle w:val="FootnoteReference"/>
          <w:color w:val="000000" w:themeColor="text1"/>
        </w:rPr>
        <w:footnoteRef/>
      </w:r>
      <w:r w:rsidRPr="00804BB3">
        <w:rPr>
          <w:color w:val="000000" w:themeColor="text1"/>
        </w:rPr>
        <w:t xml:space="preserve"> Lauren Benton, </w:t>
      </w:r>
      <w:r w:rsidRPr="00804BB3">
        <w:rPr>
          <w:i/>
          <w:iCs/>
          <w:color w:val="000000" w:themeColor="text1"/>
        </w:rPr>
        <w:t>Search for Sovereignty:</w:t>
      </w:r>
      <w:r w:rsidRPr="00804BB3">
        <w:rPr>
          <w:i/>
          <w:color w:val="000000" w:themeColor="text1"/>
        </w:rPr>
        <w:t xml:space="preserve"> Law and </w:t>
      </w:r>
      <w:r>
        <w:rPr>
          <w:i/>
          <w:color w:val="000000" w:themeColor="text1"/>
        </w:rPr>
        <w:t>G</w:t>
      </w:r>
      <w:r w:rsidRPr="00804BB3">
        <w:rPr>
          <w:i/>
          <w:color w:val="000000" w:themeColor="text1"/>
        </w:rPr>
        <w:t xml:space="preserve">eography in European </w:t>
      </w:r>
      <w:r>
        <w:rPr>
          <w:i/>
          <w:color w:val="000000" w:themeColor="text1"/>
        </w:rPr>
        <w:t>E</w:t>
      </w:r>
      <w:r w:rsidRPr="00804BB3">
        <w:rPr>
          <w:i/>
          <w:color w:val="000000" w:themeColor="text1"/>
        </w:rPr>
        <w:t>mpires, 1400</w:t>
      </w:r>
      <w:r>
        <w:rPr>
          <w:i/>
          <w:color w:val="000000" w:themeColor="text1"/>
        </w:rPr>
        <w:t>–</w:t>
      </w:r>
      <w:r w:rsidRPr="00804BB3">
        <w:rPr>
          <w:i/>
          <w:color w:val="000000" w:themeColor="text1"/>
        </w:rPr>
        <w:t xml:space="preserve">1900 </w:t>
      </w:r>
      <w:r w:rsidRPr="00804BB3">
        <w:rPr>
          <w:color w:val="000000" w:themeColor="text1"/>
        </w:rPr>
        <w:t>(Cambridge: Cambridge University Press, 2010)</w:t>
      </w:r>
      <w:r>
        <w:rPr>
          <w:color w:val="000000" w:themeColor="text1"/>
        </w:rPr>
        <w:t>,</w:t>
      </w:r>
      <w:r w:rsidRPr="00804BB3">
        <w:rPr>
          <w:color w:val="000000" w:themeColor="text1"/>
        </w:rPr>
        <w:t xml:space="preserve"> pp. 163</w:t>
      </w:r>
      <w:r>
        <w:rPr>
          <w:color w:val="000000" w:themeColor="text1"/>
        </w:rPr>
        <w:t>–</w:t>
      </w:r>
      <w:r w:rsidRPr="00804BB3">
        <w:rPr>
          <w:color w:val="000000" w:themeColor="text1"/>
        </w:rPr>
        <w:t>4</w:t>
      </w:r>
      <w:r>
        <w:rPr>
          <w:color w:val="000000" w:themeColor="text1"/>
        </w:rPr>
        <w:t>;</w:t>
      </w:r>
      <w:r w:rsidRPr="00804BB3">
        <w:rPr>
          <w:color w:val="000000" w:themeColor="text1"/>
        </w:rPr>
        <w:t xml:space="preserve"> Anderson, ‘Introduction’, </w:t>
      </w:r>
      <w:r w:rsidRPr="00804BB3">
        <w:rPr>
          <w:i/>
          <w:iCs/>
          <w:color w:val="000000" w:themeColor="text1"/>
        </w:rPr>
        <w:t>Global History of Convicts</w:t>
      </w:r>
      <w:r>
        <w:rPr>
          <w:color w:val="000000" w:themeColor="text1"/>
        </w:rPr>
        <w:t>,</w:t>
      </w:r>
      <w:r w:rsidRPr="00804BB3">
        <w:rPr>
          <w:color w:val="000000" w:themeColor="text1"/>
        </w:rPr>
        <w:t xml:space="preserve"> p. 19.</w:t>
      </w:r>
    </w:p>
  </w:footnote>
  <w:footnote w:id="23">
    <w:p w14:paraId="7AD09226" w14:textId="3E21FDD2" w:rsidR="005B7BA1" w:rsidRPr="00804BB3" w:rsidRDefault="005B7BA1" w:rsidP="008735A3">
      <w:pPr>
        <w:rPr>
          <w:color w:val="000000" w:themeColor="text1"/>
          <w:sz w:val="20"/>
          <w:szCs w:val="20"/>
        </w:rPr>
      </w:pPr>
      <w:r w:rsidRPr="00804BB3">
        <w:rPr>
          <w:rStyle w:val="FootnoteReference"/>
          <w:color w:val="000000" w:themeColor="text1"/>
          <w:sz w:val="20"/>
          <w:szCs w:val="20"/>
        </w:rPr>
        <w:footnoteRef/>
      </w:r>
      <w:r w:rsidRPr="00804BB3">
        <w:rPr>
          <w:color w:val="000000" w:themeColor="text1"/>
          <w:sz w:val="20"/>
          <w:szCs w:val="20"/>
        </w:rPr>
        <w:t xml:space="preserve"> The National Archives UK (TNA)</w:t>
      </w:r>
      <w:r>
        <w:rPr>
          <w:color w:val="000000" w:themeColor="text1"/>
          <w:sz w:val="20"/>
          <w:szCs w:val="20"/>
        </w:rPr>
        <w:t>,</w:t>
      </w:r>
      <w:r w:rsidRPr="00804BB3">
        <w:rPr>
          <w:color w:val="000000" w:themeColor="text1"/>
          <w:sz w:val="20"/>
          <w:szCs w:val="20"/>
        </w:rPr>
        <w:t xml:space="preserve"> HO 42/7, John Call, Memorandum, Aug</w:t>
      </w:r>
      <w:r>
        <w:rPr>
          <w:color w:val="000000" w:themeColor="text1"/>
          <w:sz w:val="20"/>
          <w:szCs w:val="20"/>
        </w:rPr>
        <w:t>ust</w:t>
      </w:r>
      <w:r w:rsidRPr="00804BB3">
        <w:rPr>
          <w:color w:val="000000" w:themeColor="text1"/>
          <w:sz w:val="20"/>
          <w:szCs w:val="20"/>
        </w:rPr>
        <w:t xml:space="preserve"> 1784, pp 53</w:t>
      </w:r>
      <w:r>
        <w:rPr>
          <w:color w:val="000000" w:themeColor="text1"/>
          <w:sz w:val="20"/>
          <w:szCs w:val="20"/>
        </w:rPr>
        <w:t>–</w:t>
      </w:r>
      <w:r w:rsidRPr="00804BB3">
        <w:rPr>
          <w:color w:val="000000" w:themeColor="text1"/>
          <w:sz w:val="20"/>
          <w:szCs w:val="20"/>
        </w:rPr>
        <w:t xml:space="preserve">4, quoted in Alan Frost, ‘Botany Bay: An </w:t>
      </w:r>
      <w:r>
        <w:rPr>
          <w:color w:val="000000" w:themeColor="text1"/>
          <w:sz w:val="20"/>
          <w:szCs w:val="20"/>
        </w:rPr>
        <w:t>I</w:t>
      </w:r>
      <w:r w:rsidRPr="00804BB3">
        <w:rPr>
          <w:color w:val="000000" w:themeColor="text1"/>
          <w:sz w:val="20"/>
          <w:szCs w:val="20"/>
        </w:rPr>
        <w:t xml:space="preserve">mperial </w:t>
      </w:r>
      <w:r>
        <w:rPr>
          <w:color w:val="000000" w:themeColor="text1"/>
          <w:sz w:val="20"/>
          <w:szCs w:val="20"/>
        </w:rPr>
        <w:t>V</w:t>
      </w:r>
      <w:r w:rsidRPr="00804BB3">
        <w:rPr>
          <w:color w:val="000000" w:themeColor="text1"/>
          <w:sz w:val="20"/>
          <w:szCs w:val="20"/>
        </w:rPr>
        <w:t>enture of the 1780s’</w:t>
      </w:r>
      <w:r>
        <w:rPr>
          <w:color w:val="000000" w:themeColor="text1"/>
          <w:sz w:val="20"/>
          <w:szCs w:val="20"/>
        </w:rPr>
        <w:t>,</w:t>
      </w:r>
      <w:r w:rsidRPr="00804BB3">
        <w:rPr>
          <w:color w:val="000000" w:themeColor="text1"/>
          <w:sz w:val="20"/>
          <w:szCs w:val="20"/>
        </w:rPr>
        <w:t xml:space="preserve"> </w:t>
      </w:r>
      <w:r w:rsidRPr="00804BB3">
        <w:rPr>
          <w:i/>
          <w:iCs/>
          <w:color w:val="000000" w:themeColor="text1"/>
          <w:sz w:val="20"/>
          <w:szCs w:val="20"/>
        </w:rPr>
        <w:t xml:space="preserve">English Historical Review </w:t>
      </w:r>
      <w:r w:rsidRPr="00217567">
        <w:rPr>
          <w:i/>
          <w:color w:val="000000" w:themeColor="text1"/>
          <w:sz w:val="20"/>
          <w:szCs w:val="20"/>
        </w:rPr>
        <w:t>100</w:t>
      </w:r>
      <w:r w:rsidRPr="00804BB3">
        <w:rPr>
          <w:i/>
          <w:iCs/>
          <w:color w:val="000000" w:themeColor="text1"/>
          <w:sz w:val="20"/>
          <w:szCs w:val="20"/>
        </w:rPr>
        <w:t xml:space="preserve">, </w:t>
      </w:r>
      <w:r w:rsidRPr="00804BB3">
        <w:rPr>
          <w:color w:val="000000" w:themeColor="text1"/>
          <w:sz w:val="20"/>
          <w:szCs w:val="20"/>
        </w:rPr>
        <w:t>no. 395 (1985)</w:t>
      </w:r>
      <w:r w:rsidR="00C85373">
        <w:rPr>
          <w:color w:val="000000" w:themeColor="text1"/>
          <w:sz w:val="20"/>
          <w:szCs w:val="20"/>
        </w:rPr>
        <w:t>:</w:t>
      </w:r>
      <w:r w:rsidRPr="00804BB3">
        <w:rPr>
          <w:color w:val="000000" w:themeColor="text1"/>
          <w:sz w:val="20"/>
          <w:szCs w:val="20"/>
        </w:rPr>
        <w:t xml:space="preserve"> pp. 321</w:t>
      </w:r>
      <w:r>
        <w:rPr>
          <w:color w:val="000000" w:themeColor="text1"/>
          <w:sz w:val="20"/>
          <w:szCs w:val="20"/>
        </w:rPr>
        <w:t>–</w:t>
      </w:r>
      <w:r w:rsidRPr="00804BB3">
        <w:rPr>
          <w:color w:val="000000" w:themeColor="text1"/>
          <w:sz w:val="20"/>
          <w:szCs w:val="20"/>
        </w:rPr>
        <w:t>2.</w:t>
      </w:r>
    </w:p>
  </w:footnote>
  <w:footnote w:id="24">
    <w:p w14:paraId="2E83A78E" w14:textId="05F97CE8" w:rsidR="005B7BA1" w:rsidRPr="00C6260E" w:rsidRDefault="005B7BA1" w:rsidP="008735A3">
      <w:pPr>
        <w:pStyle w:val="FootnoteText"/>
        <w:rPr>
          <w:color w:val="000000" w:themeColor="text1"/>
        </w:rPr>
      </w:pPr>
      <w:r w:rsidRPr="00804BB3">
        <w:rPr>
          <w:rStyle w:val="FootnoteReference"/>
          <w:color w:val="000000" w:themeColor="text1"/>
        </w:rPr>
        <w:footnoteRef/>
      </w:r>
      <w:r w:rsidRPr="00804BB3">
        <w:rPr>
          <w:color w:val="000000" w:themeColor="text1"/>
        </w:rPr>
        <w:t xml:space="preserve"> </w:t>
      </w:r>
      <w:r w:rsidRPr="00804BB3">
        <w:rPr>
          <w:i/>
          <w:color w:val="000000" w:themeColor="text1"/>
        </w:rPr>
        <w:t>HRA</w:t>
      </w:r>
      <w:r w:rsidRPr="00E2065D">
        <w:rPr>
          <w:iCs/>
          <w:color w:val="000000" w:themeColor="text1"/>
        </w:rPr>
        <w:t>,</w:t>
      </w:r>
      <w:r w:rsidRPr="00804BB3">
        <w:rPr>
          <w:i/>
          <w:color w:val="000000" w:themeColor="text1"/>
        </w:rPr>
        <w:t xml:space="preserve"> </w:t>
      </w:r>
      <w:r w:rsidRPr="00804BB3">
        <w:rPr>
          <w:color w:val="000000" w:themeColor="text1"/>
        </w:rPr>
        <w:t xml:space="preserve">ser. I, vol. I, ‘Instructions for our trusty and well-beloved Arthur Phillip, Esq., our Captain-General and </w:t>
      </w:r>
      <w:r w:rsidRPr="00C6260E">
        <w:rPr>
          <w:color w:val="000000" w:themeColor="text1"/>
        </w:rPr>
        <w:t>Governor-in-Chief in and over our territory of New South Wales and its dependencies’, 25 April 1787, p. 13.</w:t>
      </w:r>
    </w:p>
  </w:footnote>
  <w:footnote w:id="25">
    <w:p w14:paraId="0BBFADDC" w14:textId="2E6C6611" w:rsidR="005B7BA1" w:rsidRPr="00C6260E" w:rsidRDefault="005B7BA1" w:rsidP="008735A3">
      <w:pPr>
        <w:pStyle w:val="BibliographyKR"/>
        <w:adjustRightInd w:val="0"/>
        <w:spacing w:before="0" w:after="0"/>
        <w:ind w:left="0" w:firstLine="0"/>
        <w:jc w:val="left"/>
        <w:rPr>
          <w:color w:val="000000" w:themeColor="text1"/>
          <w:sz w:val="20"/>
          <w:szCs w:val="20"/>
        </w:rPr>
      </w:pPr>
      <w:r w:rsidRPr="00C6260E">
        <w:rPr>
          <w:rStyle w:val="FootnoteReference"/>
          <w:color w:val="000000" w:themeColor="text1"/>
          <w:sz w:val="20"/>
          <w:szCs w:val="20"/>
        </w:rPr>
        <w:footnoteRef/>
      </w:r>
      <w:r w:rsidRPr="00C6260E">
        <w:rPr>
          <w:color w:val="000000" w:themeColor="text1"/>
          <w:sz w:val="20"/>
          <w:szCs w:val="20"/>
        </w:rPr>
        <w:t xml:space="preserve"> Alan Frost,</w:t>
      </w:r>
      <w:r w:rsidRPr="00C6260E">
        <w:rPr>
          <w:i/>
          <w:color w:val="000000" w:themeColor="text1"/>
          <w:sz w:val="20"/>
          <w:szCs w:val="20"/>
        </w:rPr>
        <w:t xml:space="preserve"> Botany Bay Mirages: Illusions of Australia’s Convict Beginnings </w:t>
      </w:r>
      <w:r w:rsidRPr="00C6260E">
        <w:rPr>
          <w:color w:val="000000" w:themeColor="text1"/>
          <w:sz w:val="20"/>
          <w:szCs w:val="20"/>
        </w:rPr>
        <w:t>(Carlton: Melbourne University Press, 1994)</w:t>
      </w:r>
      <w:r>
        <w:rPr>
          <w:color w:val="000000" w:themeColor="text1"/>
          <w:sz w:val="20"/>
          <w:szCs w:val="20"/>
        </w:rPr>
        <w:t>,</w:t>
      </w:r>
      <w:r w:rsidRPr="00C6260E">
        <w:rPr>
          <w:color w:val="000000" w:themeColor="text1"/>
          <w:sz w:val="20"/>
          <w:szCs w:val="20"/>
        </w:rPr>
        <w:t xml:space="preserve"> pp. 101</w:t>
      </w:r>
      <w:r>
        <w:rPr>
          <w:color w:val="000000" w:themeColor="text1"/>
          <w:sz w:val="20"/>
          <w:szCs w:val="20"/>
        </w:rPr>
        <w:t>–</w:t>
      </w:r>
      <w:r w:rsidRPr="00C6260E">
        <w:rPr>
          <w:color w:val="000000" w:themeColor="text1"/>
          <w:sz w:val="20"/>
          <w:szCs w:val="20"/>
        </w:rPr>
        <w:t>2.</w:t>
      </w:r>
    </w:p>
  </w:footnote>
  <w:footnote w:id="26">
    <w:p w14:paraId="537D7809" w14:textId="415DD30E"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w:t>
      </w:r>
      <w:r w:rsidRPr="00C6260E">
        <w:rPr>
          <w:iCs/>
          <w:color w:val="000000" w:themeColor="text1"/>
        </w:rPr>
        <w:t>Ibid</w:t>
      </w:r>
      <w:r w:rsidRPr="00C6260E">
        <w:rPr>
          <w:i/>
          <w:iCs/>
          <w:color w:val="000000" w:themeColor="text1"/>
        </w:rPr>
        <w:t>.</w:t>
      </w:r>
      <w:r w:rsidRPr="00E2065D">
        <w:rPr>
          <w:color w:val="000000" w:themeColor="text1"/>
        </w:rPr>
        <w:t>,</w:t>
      </w:r>
      <w:r w:rsidRPr="00C6260E">
        <w:rPr>
          <w:i/>
          <w:iCs/>
          <w:color w:val="000000" w:themeColor="text1"/>
        </w:rPr>
        <w:t xml:space="preserve"> </w:t>
      </w:r>
      <w:r w:rsidRPr="00C6260E">
        <w:rPr>
          <w:color w:val="000000" w:themeColor="text1"/>
        </w:rPr>
        <w:t>p. 85.</w:t>
      </w:r>
    </w:p>
  </w:footnote>
  <w:footnote w:id="27">
    <w:p w14:paraId="1ADC147D" w14:textId="391336A2" w:rsidR="005B7BA1" w:rsidRPr="00F91AFC" w:rsidRDefault="005B7BA1" w:rsidP="008735A3">
      <w:pPr>
        <w:pStyle w:val="FootnoteText"/>
      </w:pPr>
      <w:r w:rsidRPr="00F91AFC">
        <w:rPr>
          <w:rStyle w:val="FootnoteReference"/>
        </w:rPr>
        <w:footnoteRef/>
      </w:r>
      <w:r w:rsidRPr="00F91AFC">
        <w:t xml:space="preserve"> </w:t>
      </w:r>
      <w:r w:rsidRPr="00C6260E">
        <w:rPr>
          <w:color w:val="000000" w:themeColor="text1"/>
        </w:rPr>
        <w:t>James Davey, ‘Serving the State:</w:t>
      </w:r>
      <w:r w:rsidRPr="00C6260E">
        <w:rPr>
          <w:i/>
          <w:iCs/>
          <w:color w:val="000000" w:themeColor="text1"/>
        </w:rPr>
        <w:t xml:space="preserve"> </w:t>
      </w:r>
      <w:r w:rsidRPr="00C6260E">
        <w:rPr>
          <w:iCs/>
          <w:color w:val="000000" w:themeColor="text1"/>
        </w:rPr>
        <w:t>Empire, Expertise and the British Hemp Crisis of 1800</w:t>
      </w:r>
      <w:r>
        <w:rPr>
          <w:iCs/>
          <w:color w:val="000000" w:themeColor="text1"/>
        </w:rPr>
        <w:t>–</w:t>
      </w:r>
      <w:r w:rsidRPr="00C6260E">
        <w:rPr>
          <w:iCs/>
          <w:color w:val="000000" w:themeColor="text1"/>
        </w:rPr>
        <w:t xml:space="preserve">1’, </w:t>
      </w:r>
      <w:r w:rsidRPr="00C6260E">
        <w:rPr>
          <w:i/>
          <w:color w:val="000000" w:themeColor="text1"/>
        </w:rPr>
        <w:t xml:space="preserve">Journal of Imperial and Commonwealth History </w:t>
      </w:r>
      <w:r w:rsidRPr="00217567">
        <w:rPr>
          <w:i/>
          <w:iCs/>
          <w:color w:val="000000" w:themeColor="text1"/>
        </w:rPr>
        <w:t>46</w:t>
      </w:r>
      <w:r w:rsidRPr="00C6260E">
        <w:rPr>
          <w:color w:val="000000" w:themeColor="text1"/>
        </w:rPr>
        <w:t xml:space="preserve">, </w:t>
      </w:r>
      <w:r w:rsidRPr="00C6260E">
        <w:rPr>
          <w:iCs/>
          <w:color w:val="000000" w:themeColor="text1"/>
        </w:rPr>
        <w:t>no. 4 (2018)</w:t>
      </w:r>
      <w:r w:rsidR="00C85373">
        <w:rPr>
          <w:iCs/>
          <w:color w:val="000000" w:themeColor="text1"/>
        </w:rPr>
        <w:t>:</w:t>
      </w:r>
      <w:r w:rsidRPr="00C6260E">
        <w:rPr>
          <w:iCs/>
          <w:color w:val="000000" w:themeColor="text1"/>
        </w:rPr>
        <w:t xml:space="preserve"> p. 653.</w:t>
      </w:r>
    </w:p>
  </w:footnote>
  <w:footnote w:id="28">
    <w:p w14:paraId="70948FF4" w14:textId="50B0DFD4"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w:t>
      </w:r>
      <w:r w:rsidRPr="00C6260E">
        <w:rPr>
          <w:i/>
          <w:iCs/>
          <w:color w:val="000000" w:themeColor="text1"/>
        </w:rPr>
        <w:t>HRA</w:t>
      </w:r>
      <w:r w:rsidRPr="00C6260E">
        <w:rPr>
          <w:color w:val="000000" w:themeColor="text1"/>
        </w:rPr>
        <w:t>, ser. I, vol. I, Captain Arthur Phillip, Governor of NSW, to Lord Sydney, Home Secretary, 15 May 1788, p. 21.</w:t>
      </w:r>
    </w:p>
  </w:footnote>
  <w:footnote w:id="29">
    <w:p w14:paraId="0F72C412" w14:textId="1FE62039"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Davey, ‘Serving the State’,</w:t>
      </w:r>
      <w:r w:rsidRPr="00C6260E">
        <w:rPr>
          <w:iCs/>
          <w:color w:val="000000" w:themeColor="text1"/>
        </w:rPr>
        <w:t xml:space="preserve"> p. 653.</w:t>
      </w:r>
    </w:p>
  </w:footnote>
  <w:footnote w:id="30">
    <w:p w14:paraId="3884FB0E" w14:textId="30E1B03C"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w:t>
      </w:r>
      <w:r w:rsidRPr="00C6260E">
        <w:rPr>
          <w:i/>
          <w:iCs/>
          <w:color w:val="000000" w:themeColor="text1"/>
        </w:rPr>
        <w:t>HRA</w:t>
      </w:r>
      <w:r w:rsidRPr="00E2065D">
        <w:rPr>
          <w:color w:val="000000" w:themeColor="text1"/>
        </w:rPr>
        <w:t>,</w:t>
      </w:r>
      <w:r w:rsidRPr="00C6260E">
        <w:rPr>
          <w:i/>
          <w:iCs/>
          <w:color w:val="000000" w:themeColor="text1"/>
        </w:rPr>
        <w:t xml:space="preserve"> </w:t>
      </w:r>
      <w:r>
        <w:rPr>
          <w:color w:val="000000" w:themeColor="text1"/>
        </w:rPr>
        <w:t>s</w:t>
      </w:r>
      <w:r w:rsidRPr="00C6260E">
        <w:rPr>
          <w:color w:val="000000" w:themeColor="text1"/>
        </w:rPr>
        <w:t xml:space="preserve">er. I, </w:t>
      </w:r>
      <w:r>
        <w:rPr>
          <w:color w:val="000000" w:themeColor="text1"/>
        </w:rPr>
        <w:t>v</w:t>
      </w:r>
      <w:r w:rsidRPr="00C6260E">
        <w:rPr>
          <w:color w:val="000000" w:themeColor="text1"/>
        </w:rPr>
        <w:t>ol. I, Phillip to Sydney, 12 Feb</w:t>
      </w:r>
      <w:r>
        <w:rPr>
          <w:color w:val="000000" w:themeColor="text1"/>
        </w:rPr>
        <w:t>ruary</w:t>
      </w:r>
      <w:r w:rsidRPr="00C6260E">
        <w:rPr>
          <w:color w:val="000000" w:themeColor="text1"/>
        </w:rPr>
        <w:t xml:space="preserve"> 1790, p. 158, </w:t>
      </w:r>
    </w:p>
  </w:footnote>
  <w:footnote w:id="31">
    <w:p w14:paraId="7FD62444" w14:textId="3123BA6C"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Valda Rigg, ‘Convict Life: A “Tolerable Degree of Comfort”?, in Nobbs</w:t>
      </w:r>
      <w:r w:rsidR="007F4C2C">
        <w:rPr>
          <w:color w:val="000000" w:themeColor="text1"/>
        </w:rPr>
        <w:t xml:space="preserve">, </w:t>
      </w:r>
      <w:r w:rsidRPr="00C6260E">
        <w:rPr>
          <w:i/>
          <w:color w:val="000000" w:themeColor="text1"/>
        </w:rPr>
        <w:t>Norfolk Island First Settlement</w:t>
      </w:r>
      <w:r w:rsidRPr="00E2065D">
        <w:rPr>
          <w:iCs/>
          <w:color w:val="000000" w:themeColor="text1"/>
        </w:rPr>
        <w:t>,</w:t>
      </w:r>
      <w:r w:rsidRPr="00C6260E">
        <w:rPr>
          <w:i/>
          <w:color w:val="000000" w:themeColor="text1"/>
        </w:rPr>
        <w:t xml:space="preserve"> </w:t>
      </w:r>
      <w:r w:rsidRPr="00C6260E">
        <w:rPr>
          <w:color w:val="000000" w:themeColor="text1"/>
        </w:rPr>
        <w:t>p. 98.</w:t>
      </w:r>
    </w:p>
  </w:footnote>
  <w:footnote w:id="32">
    <w:p w14:paraId="553A3BB0" w14:textId="087CCF19"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w:t>
      </w:r>
      <w:r w:rsidRPr="00C6260E">
        <w:rPr>
          <w:i/>
          <w:iCs/>
          <w:color w:val="000000" w:themeColor="text1"/>
        </w:rPr>
        <w:t>HRA</w:t>
      </w:r>
      <w:r w:rsidRPr="00C6260E">
        <w:rPr>
          <w:color w:val="000000" w:themeColor="text1"/>
        </w:rPr>
        <w:t>, ser. I, vol. I, Phillip to Sydney, 11 April 1790, p. 165.</w:t>
      </w:r>
    </w:p>
  </w:footnote>
  <w:footnote w:id="33">
    <w:p w14:paraId="3610B9DC" w14:textId="22536318"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Rigg, ‘Convict Life’, pp. 108</w:t>
      </w:r>
      <w:r>
        <w:rPr>
          <w:color w:val="000000" w:themeColor="text1"/>
        </w:rPr>
        <w:t>–</w:t>
      </w:r>
      <w:r w:rsidRPr="00C6260E">
        <w:rPr>
          <w:color w:val="000000" w:themeColor="text1"/>
        </w:rPr>
        <w:t>9.</w:t>
      </w:r>
    </w:p>
  </w:footnote>
  <w:footnote w:id="34">
    <w:p w14:paraId="3AB70E7B" w14:textId="2C0F55FE"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w:t>
      </w:r>
      <w:r w:rsidRPr="00C6260E">
        <w:rPr>
          <w:i/>
          <w:iCs/>
          <w:color w:val="000000" w:themeColor="text1"/>
        </w:rPr>
        <w:t>HRA</w:t>
      </w:r>
      <w:r w:rsidRPr="00C6260E">
        <w:rPr>
          <w:color w:val="000000" w:themeColor="text1"/>
        </w:rPr>
        <w:t>, ser. I, vol. I, Robert Ross, Lieutenant-Governor of Norfolk Island, ‘State of the Settlement on Norfolk Island, February the 11</w:t>
      </w:r>
      <w:r w:rsidRPr="00C6260E">
        <w:rPr>
          <w:color w:val="000000" w:themeColor="text1"/>
          <w:vertAlign w:val="superscript"/>
        </w:rPr>
        <w:t>th</w:t>
      </w:r>
      <w:r w:rsidRPr="00C6260E">
        <w:rPr>
          <w:color w:val="000000" w:themeColor="text1"/>
        </w:rPr>
        <w:t xml:space="preserve"> 1791’, p. 246</w:t>
      </w:r>
      <w:r>
        <w:rPr>
          <w:color w:val="000000" w:themeColor="text1"/>
        </w:rPr>
        <w:t>.</w:t>
      </w:r>
    </w:p>
  </w:footnote>
  <w:footnote w:id="35">
    <w:p w14:paraId="2F64CBBF" w14:textId="42B38558" w:rsidR="005B7BA1" w:rsidRPr="00C6260E" w:rsidRDefault="005B7BA1" w:rsidP="008735A3">
      <w:pPr>
        <w:pStyle w:val="FootnoteText"/>
        <w:rPr>
          <w:color w:val="000000" w:themeColor="text1"/>
        </w:rPr>
      </w:pPr>
      <w:r w:rsidRPr="00C6260E">
        <w:rPr>
          <w:rStyle w:val="FootnoteReference"/>
          <w:color w:val="000000" w:themeColor="text1"/>
        </w:rPr>
        <w:footnoteRef/>
      </w:r>
      <w:r w:rsidRPr="00C6260E">
        <w:rPr>
          <w:color w:val="000000" w:themeColor="text1"/>
        </w:rPr>
        <w:t xml:space="preserve"> </w:t>
      </w:r>
      <w:r w:rsidR="007F4C2C" w:rsidRPr="00C6260E">
        <w:rPr>
          <w:iCs/>
          <w:color w:val="000000" w:themeColor="text1"/>
        </w:rPr>
        <w:t>I</w:t>
      </w:r>
      <w:r w:rsidR="007F4C2C">
        <w:rPr>
          <w:iCs/>
          <w:color w:val="000000" w:themeColor="text1"/>
        </w:rPr>
        <w:t>dem</w:t>
      </w:r>
      <w:r w:rsidRPr="00C6260E">
        <w:rPr>
          <w:i/>
          <w:iCs/>
          <w:color w:val="000000" w:themeColor="text1"/>
        </w:rPr>
        <w:t>.</w:t>
      </w:r>
      <w:r w:rsidRPr="00E2065D">
        <w:rPr>
          <w:color w:val="000000" w:themeColor="text1"/>
        </w:rPr>
        <w:t>,</w:t>
      </w:r>
      <w:r>
        <w:rPr>
          <w:i/>
          <w:iCs/>
          <w:color w:val="000000" w:themeColor="text1"/>
        </w:rPr>
        <w:t xml:space="preserve"> </w:t>
      </w:r>
      <w:r w:rsidRPr="00C6260E">
        <w:rPr>
          <w:color w:val="000000" w:themeColor="text1"/>
        </w:rPr>
        <w:t>Phillip to Sydney, 28 September 1788, p. 170.</w:t>
      </w:r>
    </w:p>
  </w:footnote>
  <w:footnote w:id="36">
    <w:p w14:paraId="6984D1CD" w14:textId="7C0F5F13"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J.</w:t>
      </w:r>
      <w:r>
        <w:rPr>
          <w:color w:val="000000" w:themeColor="text1"/>
        </w:rPr>
        <w:t xml:space="preserve"> </w:t>
      </w:r>
      <w:r w:rsidRPr="00AD1C5E">
        <w:rPr>
          <w:color w:val="000000" w:themeColor="text1"/>
        </w:rPr>
        <w:t>C.</w:t>
      </w:r>
      <w:r>
        <w:rPr>
          <w:color w:val="000000" w:themeColor="text1"/>
        </w:rPr>
        <w:t xml:space="preserve"> </w:t>
      </w:r>
      <w:r w:rsidRPr="00AD1C5E">
        <w:rPr>
          <w:color w:val="000000" w:themeColor="text1"/>
        </w:rPr>
        <w:t xml:space="preserve">H. Gill, ‘Norfolk Island – The First Phase’, </w:t>
      </w:r>
      <w:r w:rsidRPr="00AD1C5E">
        <w:rPr>
          <w:i/>
          <w:iCs/>
          <w:color w:val="000000" w:themeColor="text1"/>
        </w:rPr>
        <w:t>Journal of the Royal Historical Society of Queensland</w:t>
      </w:r>
      <w:r w:rsidRPr="00AD1C5E">
        <w:rPr>
          <w:color w:val="000000" w:themeColor="text1"/>
        </w:rPr>
        <w:t xml:space="preserve"> </w:t>
      </w:r>
      <w:r w:rsidRPr="00AD1C5E">
        <w:rPr>
          <w:iCs/>
          <w:color w:val="000000" w:themeColor="text1"/>
        </w:rPr>
        <w:t>10,</w:t>
      </w:r>
      <w:r w:rsidRPr="00AD1C5E">
        <w:rPr>
          <w:i/>
          <w:iCs/>
          <w:color w:val="000000" w:themeColor="text1"/>
        </w:rPr>
        <w:t xml:space="preserve"> </w:t>
      </w:r>
      <w:r w:rsidRPr="00AD1C5E">
        <w:rPr>
          <w:color w:val="000000" w:themeColor="text1"/>
        </w:rPr>
        <w:t>no. 1 (1976)</w:t>
      </w:r>
      <w:r w:rsidR="007F4C2C">
        <w:rPr>
          <w:color w:val="000000" w:themeColor="text1"/>
        </w:rPr>
        <w:t>:</w:t>
      </w:r>
      <w:r w:rsidRPr="00AD1C5E">
        <w:rPr>
          <w:color w:val="000000" w:themeColor="text1"/>
        </w:rPr>
        <w:t xml:space="preserve"> pp. 146</w:t>
      </w:r>
      <w:r>
        <w:rPr>
          <w:color w:val="000000" w:themeColor="text1"/>
        </w:rPr>
        <w:t>–</w:t>
      </w:r>
      <w:r w:rsidRPr="00AD1C5E">
        <w:rPr>
          <w:color w:val="000000" w:themeColor="text1"/>
        </w:rPr>
        <w:t>7.</w:t>
      </w:r>
    </w:p>
  </w:footnote>
  <w:footnote w:id="37">
    <w:p w14:paraId="639E3BEC" w14:textId="7BF90C47"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sidRPr="00AD1C5E">
        <w:rPr>
          <w:iCs/>
          <w:color w:val="000000" w:themeColor="text1"/>
        </w:rPr>
        <w:t>Ibid</w:t>
      </w:r>
      <w:r w:rsidRPr="00AD1C5E">
        <w:rPr>
          <w:i/>
          <w:iCs/>
          <w:color w:val="000000" w:themeColor="text1"/>
        </w:rPr>
        <w:t>.</w:t>
      </w:r>
      <w:r w:rsidRPr="00E2065D">
        <w:rPr>
          <w:color w:val="000000" w:themeColor="text1"/>
        </w:rPr>
        <w:t>,</w:t>
      </w:r>
      <w:r w:rsidRPr="00AD1C5E">
        <w:rPr>
          <w:color w:val="000000" w:themeColor="text1"/>
        </w:rPr>
        <w:t xml:space="preserve"> p. 143.</w:t>
      </w:r>
    </w:p>
  </w:footnote>
  <w:footnote w:id="38">
    <w:p w14:paraId="678F26AC" w14:textId="0A097526"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Lisa Ford, ‘Law’, in </w:t>
      </w:r>
      <w:r w:rsidRPr="00AD1C5E">
        <w:rPr>
          <w:i/>
          <w:iCs/>
          <w:color w:val="000000" w:themeColor="text1"/>
        </w:rPr>
        <w:t>Pacific Histories: Ocean, Land, People</w:t>
      </w:r>
      <w:r w:rsidR="007F4C2C">
        <w:rPr>
          <w:i/>
          <w:iCs/>
          <w:color w:val="000000" w:themeColor="text1"/>
        </w:rPr>
        <w:t xml:space="preserve">, </w:t>
      </w:r>
      <w:r w:rsidR="007F4C2C">
        <w:rPr>
          <w:color w:val="000000" w:themeColor="text1"/>
        </w:rPr>
        <w:t xml:space="preserve">edited by </w:t>
      </w:r>
      <w:r w:rsidR="007F4C2C" w:rsidRPr="00AD1C5E">
        <w:rPr>
          <w:color w:val="000000" w:themeColor="text1"/>
        </w:rPr>
        <w:t>David Armitage and Alison Bashford</w:t>
      </w:r>
      <w:r w:rsidRPr="00AD1C5E">
        <w:rPr>
          <w:color w:val="000000" w:themeColor="text1"/>
        </w:rPr>
        <w:t xml:space="preserve"> (New York: Palgrave Macmillan, 2014)</w:t>
      </w:r>
      <w:r>
        <w:rPr>
          <w:color w:val="000000" w:themeColor="text1"/>
        </w:rPr>
        <w:t>,</w:t>
      </w:r>
      <w:r w:rsidRPr="00AD1C5E">
        <w:rPr>
          <w:color w:val="000000" w:themeColor="text1"/>
        </w:rPr>
        <w:t xml:space="preserve"> p. 220. </w:t>
      </w:r>
    </w:p>
  </w:footnote>
  <w:footnote w:id="39">
    <w:p w14:paraId="4AC079C3" w14:textId="42138D84"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Phillip Parker King, </w:t>
      </w:r>
      <w:r w:rsidRPr="00AD1C5E">
        <w:rPr>
          <w:i/>
          <w:iCs/>
          <w:color w:val="000000" w:themeColor="text1"/>
        </w:rPr>
        <w:t xml:space="preserve">Narrative of a Survey of the Intertropical and Western Coasts of Australia performed between the </w:t>
      </w:r>
      <w:r>
        <w:rPr>
          <w:i/>
          <w:iCs/>
          <w:color w:val="000000" w:themeColor="text1"/>
        </w:rPr>
        <w:t>Y</w:t>
      </w:r>
      <w:r w:rsidRPr="00AD1C5E">
        <w:rPr>
          <w:i/>
          <w:iCs/>
          <w:color w:val="000000" w:themeColor="text1"/>
        </w:rPr>
        <w:t>ears 1818 and 1822</w:t>
      </w:r>
      <w:r w:rsidRPr="00E2065D">
        <w:rPr>
          <w:color w:val="000000" w:themeColor="text1"/>
        </w:rPr>
        <w:t>,</w:t>
      </w:r>
      <w:r w:rsidRPr="00AD1C5E">
        <w:rPr>
          <w:i/>
          <w:iCs/>
          <w:color w:val="000000" w:themeColor="text1"/>
        </w:rPr>
        <w:t xml:space="preserve"> </w:t>
      </w:r>
      <w:r w:rsidR="003E1AD6">
        <w:rPr>
          <w:color w:val="000000" w:themeColor="text1"/>
        </w:rPr>
        <w:t xml:space="preserve">vol. 1 </w:t>
      </w:r>
      <w:r w:rsidRPr="00AD1C5E">
        <w:rPr>
          <w:color w:val="000000" w:themeColor="text1"/>
        </w:rPr>
        <w:t>(London: John Murray, 1827)</w:t>
      </w:r>
      <w:r>
        <w:rPr>
          <w:color w:val="000000" w:themeColor="text1"/>
        </w:rPr>
        <w:t>,</w:t>
      </w:r>
      <w:r w:rsidRPr="00AD1C5E">
        <w:rPr>
          <w:color w:val="000000" w:themeColor="text1"/>
        </w:rPr>
        <w:t xml:space="preserve"> pp. 136</w:t>
      </w:r>
      <w:r>
        <w:rPr>
          <w:color w:val="000000" w:themeColor="text1"/>
        </w:rPr>
        <w:t>–</w:t>
      </w:r>
      <w:r w:rsidRPr="00AD1C5E">
        <w:rPr>
          <w:color w:val="000000" w:themeColor="text1"/>
        </w:rPr>
        <w:t>8, 315.</w:t>
      </w:r>
    </w:p>
  </w:footnote>
  <w:footnote w:id="40">
    <w:p w14:paraId="50620714" w14:textId="6B35E247" w:rsidR="005B7BA1" w:rsidRPr="00AD1C5E" w:rsidRDefault="005B7BA1" w:rsidP="008735A3">
      <w:pPr>
        <w:rPr>
          <w:color w:val="000000" w:themeColor="text1"/>
          <w:sz w:val="20"/>
          <w:szCs w:val="20"/>
        </w:rPr>
      </w:pPr>
      <w:r w:rsidRPr="00AD1C5E">
        <w:rPr>
          <w:rStyle w:val="FootnoteReference"/>
          <w:color w:val="000000" w:themeColor="text1"/>
          <w:sz w:val="20"/>
          <w:szCs w:val="20"/>
        </w:rPr>
        <w:footnoteRef/>
      </w:r>
      <w:r w:rsidRPr="00AD1C5E">
        <w:rPr>
          <w:color w:val="000000" w:themeColor="text1"/>
          <w:sz w:val="20"/>
          <w:szCs w:val="20"/>
        </w:rPr>
        <w:t xml:space="preserve"> Om Prakash, ‘The English East India Company and India’</w:t>
      </w:r>
      <w:r>
        <w:rPr>
          <w:color w:val="000000" w:themeColor="text1"/>
          <w:sz w:val="20"/>
          <w:szCs w:val="20"/>
        </w:rPr>
        <w:t>,</w:t>
      </w:r>
      <w:r w:rsidRPr="00AD1C5E">
        <w:rPr>
          <w:color w:val="000000" w:themeColor="text1"/>
          <w:sz w:val="20"/>
          <w:szCs w:val="20"/>
        </w:rPr>
        <w:t xml:space="preserve"> in </w:t>
      </w:r>
      <w:r w:rsidRPr="00AD1C5E">
        <w:rPr>
          <w:i/>
          <w:iCs/>
          <w:color w:val="000000" w:themeColor="text1"/>
          <w:sz w:val="20"/>
          <w:szCs w:val="20"/>
        </w:rPr>
        <w:t>The Wor</w:t>
      </w:r>
      <w:r>
        <w:rPr>
          <w:i/>
          <w:iCs/>
          <w:color w:val="000000" w:themeColor="text1"/>
          <w:sz w:val="20"/>
          <w:szCs w:val="20"/>
        </w:rPr>
        <w:t>l</w:t>
      </w:r>
      <w:r w:rsidRPr="00AD1C5E">
        <w:rPr>
          <w:i/>
          <w:iCs/>
          <w:color w:val="000000" w:themeColor="text1"/>
          <w:sz w:val="20"/>
          <w:szCs w:val="20"/>
        </w:rPr>
        <w:t>ds of the East India Company</w:t>
      </w:r>
      <w:r w:rsidR="003E1AD6">
        <w:rPr>
          <w:color w:val="000000" w:themeColor="text1"/>
          <w:sz w:val="20"/>
          <w:szCs w:val="20"/>
        </w:rPr>
        <w:t xml:space="preserve">, edited by </w:t>
      </w:r>
      <w:r w:rsidR="003E1AD6" w:rsidRPr="00AD1C5E">
        <w:rPr>
          <w:color w:val="000000" w:themeColor="text1"/>
          <w:sz w:val="20"/>
          <w:szCs w:val="20"/>
        </w:rPr>
        <w:t xml:space="preserve">Huw V. Bowen, Margarette Lincoln and Nigel Rigby </w:t>
      </w:r>
      <w:r w:rsidRPr="00AD1C5E">
        <w:rPr>
          <w:color w:val="000000" w:themeColor="text1"/>
          <w:sz w:val="20"/>
          <w:szCs w:val="20"/>
        </w:rPr>
        <w:t>(Woodbridge: Boydell Press, 2002)</w:t>
      </w:r>
      <w:r>
        <w:rPr>
          <w:color w:val="000000" w:themeColor="text1"/>
          <w:sz w:val="20"/>
          <w:szCs w:val="20"/>
        </w:rPr>
        <w:t>,</w:t>
      </w:r>
      <w:r w:rsidRPr="00AD1C5E">
        <w:rPr>
          <w:color w:val="000000" w:themeColor="text1"/>
          <w:sz w:val="20"/>
          <w:szCs w:val="20"/>
        </w:rPr>
        <w:t xml:space="preserve"> p. 13.</w:t>
      </w:r>
    </w:p>
  </w:footnote>
  <w:footnote w:id="41">
    <w:p w14:paraId="20C09DA2" w14:textId="01B94ACA"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Howard T. Fry, </w:t>
      </w:r>
      <w:r w:rsidRPr="00AD1C5E">
        <w:rPr>
          <w:i/>
          <w:iCs/>
          <w:color w:val="000000" w:themeColor="text1"/>
        </w:rPr>
        <w:t>How Australia became British: Empire and the China Trade</w:t>
      </w:r>
      <w:r w:rsidRPr="00AD1C5E">
        <w:rPr>
          <w:color w:val="000000" w:themeColor="text1"/>
        </w:rPr>
        <w:t xml:space="preserve"> (Stroud: Amberley Publishing, 2016)</w:t>
      </w:r>
      <w:r>
        <w:rPr>
          <w:color w:val="000000" w:themeColor="text1"/>
        </w:rPr>
        <w:t>,</w:t>
      </w:r>
      <w:r w:rsidRPr="00AD1C5E">
        <w:rPr>
          <w:color w:val="000000" w:themeColor="text1"/>
        </w:rPr>
        <w:t xml:space="preserve"> </w:t>
      </w:r>
      <w:r>
        <w:rPr>
          <w:color w:val="000000" w:themeColor="text1"/>
        </w:rPr>
        <w:t>c</w:t>
      </w:r>
      <w:r w:rsidRPr="00AD1C5E">
        <w:rPr>
          <w:color w:val="000000" w:themeColor="text1"/>
        </w:rPr>
        <w:t>h. 7.</w:t>
      </w:r>
    </w:p>
  </w:footnote>
  <w:footnote w:id="42">
    <w:p w14:paraId="610CBCB3" w14:textId="140814E4" w:rsidR="005B7BA1" w:rsidRPr="00AD1C5E" w:rsidRDefault="005B7BA1" w:rsidP="008735A3">
      <w:pPr>
        <w:rPr>
          <w:color w:val="000000" w:themeColor="text1"/>
          <w:sz w:val="20"/>
          <w:szCs w:val="20"/>
        </w:rPr>
      </w:pPr>
      <w:r w:rsidRPr="00AD1C5E">
        <w:rPr>
          <w:rStyle w:val="FootnoteReference"/>
          <w:color w:val="000000" w:themeColor="text1"/>
          <w:sz w:val="20"/>
          <w:szCs w:val="20"/>
        </w:rPr>
        <w:footnoteRef/>
      </w:r>
      <w:r w:rsidRPr="00AD1C5E">
        <w:rPr>
          <w:color w:val="000000" w:themeColor="text1"/>
          <w:sz w:val="20"/>
          <w:szCs w:val="20"/>
        </w:rPr>
        <w:t xml:space="preserve"> J.</w:t>
      </w:r>
      <w:r>
        <w:rPr>
          <w:color w:val="000000" w:themeColor="text1"/>
          <w:sz w:val="20"/>
          <w:szCs w:val="20"/>
        </w:rPr>
        <w:t xml:space="preserve"> </w:t>
      </w:r>
      <w:r w:rsidRPr="00AD1C5E">
        <w:rPr>
          <w:color w:val="000000" w:themeColor="text1"/>
          <w:sz w:val="20"/>
          <w:szCs w:val="20"/>
        </w:rPr>
        <w:t>M.</w:t>
      </w:r>
      <w:r>
        <w:rPr>
          <w:color w:val="000000" w:themeColor="text1"/>
          <w:sz w:val="20"/>
          <w:szCs w:val="20"/>
        </w:rPr>
        <w:t xml:space="preserve"> </w:t>
      </w:r>
      <w:r w:rsidRPr="00AD1C5E">
        <w:rPr>
          <w:color w:val="000000" w:themeColor="text1"/>
          <w:sz w:val="20"/>
          <w:szCs w:val="20"/>
        </w:rPr>
        <w:t xml:space="preserve">R. Cameron, ‘Traders, Government Officials and the Occupation of Melville Island in 1824’, </w:t>
      </w:r>
      <w:r w:rsidRPr="00AD1C5E">
        <w:rPr>
          <w:i/>
          <w:color w:val="000000" w:themeColor="text1"/>
          <w:sz w:val="20"/>
          <w:szCs w:val="20"/>
        </w:rPr>
        <w:t xml:space="preserve">The Great Circle </w:t>
      </w:r>
      <w:r w:rsidRPr="00AD1C5E">
        <w:rPr>
          <w:color w:val="000000" w:themeColor="text1"/>
          <w:sz w:val="20"/>
          <w:szCs w:val="20"/>
        </w:rPr>
        <w:t>7</w:t>
      </w:r>
      <w:r>
        <w:rPr>
          <w:color w:val="000000" w:themeColor="text1"/>
          <w:sz w:val="20"/>
          <w:szCs w:val="20"/>
        </w:rPr>
        <w:t xml:space="preserve">, no. </w:t>
      </w:r>
      <w:r w:rsidRPr="00AD1C5E">
        <w:rPr>
          <w:color w:val="000000" w:themeColor="text1"/>
          <w:sz w:val="20"/>
          <w:szCs w:val="20"/>
        </w:rPr>
        <w:t>2 (1985</w:t>
      </w:r>
      <w:r w:rsidR="003E1AD6" w:rsidRPr="00AD1C5E">
        <w:rPr>
          <w:color w:val="000000" w:themeColor="text1"/>
          <w:sz w:val="20"/>
          <w:szCs w:val="20"/>
        </w:rPr>
        <w:t>)</w:t>
      </w:r>
      <w:r w:rsidR="003E1AD6">
        <w:rPr>
          <w:color w:val="000000" w:themeColor="text1"/>
          <w:sz w:val="20"/>
          <w:szCs w:val="20"/>
        </w:rPr>
        <w:t>:</w:t>
      </w:r>
      <w:r w:rsidR="003E1AD6" w:rsidRPr="00AD1C5E">
        <w:rPr>
          <w:color w:val="000000" w:themeColor="text1"/>
          <w:sz w:val="20"/>
          <w:szCs w:val="20"/>
        </w:rPr>
        <w:t xml:space="preserve"> </w:t>
      </w:r>
      <w:r w:rsidRPr="00AD1C5E">
        <w:rPr>
          <w:color w:val="000000" w:themeColor="text1"/>
          <w:sz w:val="20"/>
          <w:szCs w:val="20"/>
        </w:rPr>
        <w:t>p. 88.</w:t>
      </w:r>
    </w:p>
  </w:footnote>
  <w:footnote w:id="43">
    <w:p w14:paraId="71C16DD0" w14:textId="15161844"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sidRPr="00AD1C5E">
        <w:rPr>
          <w:i/>
          <w:color w:val="000000" w:themeColor="text1"/>
        </w:rPr>
        <w:t>HRA</w:t>
      </w:r>
      <w:r w:rsidRPr="006E6FD1">
        <w:rPr>
          <w:iCs/>
          <w:color w:val="000000" w:themeColor="text1"/>
        </w:rPr>
        <w:t>,</w:t>
      </w:r>
      <w:r w:rsidRPr="00AD1C5E">
        <w:rPr>
          <w:i/>
          <w:color w:val="000000" w:themeColor="text1"/>
        </w:rPr>
        <w:t xml:space="preserve"> </w:t>
      </w:r>
      <w:r w:rsidRPr="00AD1C5E">
        <w:rPr>
          <w:color w:val="000000" w:themeColor="text1"/>
        </w:rPr>
        <w:t>ser. III, vol. V, George Larpent, Chairman of the Oriental and China Association, to Earl Bathurst</w:t>
      </w:r>
      <w:r w:rsidR="002331B2">
        <w:rPr>
          <w:color w:val="000000" w:themeColor="text1"/>
        </w:rPr>
        <w:t>,</w:t>
      </w:r>
      <w:r w:rsidRPr="00AD1C5E">
        <w:rPr>
          <w:color w:val="000000" w:themeColor="text1"/>
        </w:rPr>
        <w:t>13 December 1823, pp. 743</w:t>
      </w:r>
      <w:r>
        <w:rPr>
          <w:color w:val="000000" w:themeColor="text1"/>
        </w:rPr>
        <w:t>–</w:t>
      </w:r>
      <w:r w:rsidRPr="00AD1C5E">
        <w:rPr>
          <w:color w:val="000000" w:themeColor="text1"/>
        </w:rPr>
        <w:t>7.</w:t>
      </w:r>
    </w:p>
  </w:footnote>
  <w:footnote w:id="44">
    <w:p w14:paraId="685D31C5" w14:textId="2C3C071F"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Fry, </w:t>
      </w:r>
      <w:r w:rsidRPr="00AD1C5E">
        <w:rPr>
          <w:i/>
          <w:iCs/>
          <w:color w:val="000000" w:themeColor="text1"/>
        </w:rPr>
        <w:t>How Australia Became British</w:t>
      </w:r>
      <w:r w:rsidRPr="00AD1C5E">
        <w:rPr>
          <w:color w:val="000000" w:themeColor="text1"/>
        </w:rPr>
        <w:t xml:space="preserve">, </w:t>
      </w:r>
      <w:r>
        <w:rPr>
          <w:color w:val="000000" w:themeColor="text1"/>
        </w:rPr>
        <w:t>c</w:t>
      </w:r>
      <w:r w:rsidRPr="00AD1C5E">
        <w:rPr>
          <w:color w:val="000000" w:themeColor="text1"/>
        </w:rPr>
        <w:t>h. 7.</w:t>
      </w:r>
    </w:p>
  </w:footnote>
  <w:footnote w:id="45">
    <w:p w14:paraId="5B36CF92" w14:textId="5D87F9C0"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sidRPr="00AD1C5E">
        <w:rPr>
          <w:i/>
          <w:color w:val="000000" w:themeColor="text1"/>
        </w:rPr>
        <w:t>HRA</w:t>
      </w:r>
      <w:r w:rsidRPr="00AD1C5E">
        <w:rPr>
          <w:color w:val="000000" w:themeColor="text1"/>
        </w:rPr>
        <w:t>, ser. I, vol. XI, Brisbane</w:t>
      </w:r>
      <w:r w:rsidR="002331B2">
        <w:rPr>
          <w:color w:val="000000" w:themeColor="text1"/>
        </w:rPr>
        <w:t xml:space="preserve"> </w:t>
      </w:r>
      <w:r w:rsidRPr="00AD1C5E">
        <w:rPr>
          <w:color w:val="000000" w:themeColor="text1"/>
        </w:rPr>
        <w:t>to Earl Bathurst</w:t>
      </w:r>
      <w:r w:rsidR="002331B2">
        <w:rPr>
          <w:color w:val="000000" w:themeColor="text1"/>
        </w:rPr>
        <w:t xml:space="preserve">, </w:t>
      </w:r>
      <w:r w:rsidRPr="00AD1C5E">
        <w:rPr>
          <w:color w:val="000000" w:themeColor="text1"/>
        </w:rPr>
        <w:t>12 Aug</w:t>
      </w:r>
      <w:r>
        <w:rPr>
          <w:color w:val="000000" w:themeColor="text1"/>
        </w:rPr>
        <w:t>ust</w:t>
      </w:r>
      <w:r w:rsidRPr="00AD1C5E">
        <w:rPr>
          <w:color w:val="000000" w:themeColor="text1"/>
        </w:rPr>
        <w:t xml:space="preserve"> 1824, p. 697.</w:t>
      </w:r>
    </w:p>
  </w:footnote>
  <w:footnote w:id="46">
    <w:p w14:paraId="3E716E49" w14:textId="3C02D9B6" w:rsidR="005B7BA1" w:rsidRPr="00AD1C5E" w:rsidRDefault="005B7BA1" w:rsidP="008735A3">
      <w:pPr>
        <w:rPr>
          <w:color w:val="000000" w:themeColor="text1"/>
          <w:sz w:val="20"/>
          <w:szCs w:val="20"/>
        </w:rPr>
      </w:pPr>
      <w:r w:rsidRPr="00AD1C5E">
        <w:rPr>
          <w:rStyle w:val="FootnoteReference"/>
          <w:color w:val="000000" w:themeColor="text1"/>
          <w:sz w:val="20"/>
          <w:szCs w:val="20"/>
        </w:rPr>
        <w:footnoteRef/>
      </w:r>
      <w:r w:rsidRPr="00AD1C5E">
        <w:rPr>
          <w:color w:val="000000" w:themeColor="text1"/>
          <w:sz w:val="20"/>
          <w:szCs w:val="20"/>
        </w:rPr>
        <w:t xml:space="preserve"> Hazel Marshall, ‘Convict </w:t>
      </w:r>
      <w:r>
        <w:rPr>
          <w:color w:val="000000" w:themeColor="text1"/>
          <w:sz w:val="20"/>
          <w:szCs w:val="20"/>
        </w:rPr>
        <w:t>P</w:t>
      </w:r>
      <w:r w:rsidRPr="00AD1C5E">
        <w:rPr>
          <w:color w:val="000000" w:themeColor="text1"/>
          <w:sz w:val="20"/>
          <w:szCs w:val="20"/>
        </w:rPr>
        <w:t xml:space="preserve">ioneers and the </w:t>
      </w:r>
      <w:r>
        <w:rPr>
          <w:color w:val="000000" w:themeColor="text1"/>
          <w:sz w:val="20"/>
          <w:szCs w:val="20"/>
        </w:rPr>
        <w:t>F</w:t>
      </w:r>
      <w:r w:rsidRPr="00AD1C5E">
        <w:rPr>
          <w:color w:val="000000" w:themeColor="text1"/>
          <w:sz w:val="20"/>
          <w:szCs w:val="20"/>
        </w:rPr>
        <w:t xml:space="preserve">ailure of the </w:t>
      </w:r>
      <w:r>
        <w:rPr>
          <w:color w:val="000000" w:themeColor="text1"/>
          <w:sz w:val="20"/>
          <w:szCs w:val="20"/>
        </w:rPr>
        <w:t>M</w:t>
      </w:r>
      <w:r w:rsidRPr="00AD1C5E">
        <w:rPr>
          <w:color w:val="000000" w:themeColor="text1"/>
          <w:sz w:val="20"/>
          <w:szCs w:val="20"/>
        </w:rPr>
        <w:t xml:space="preserve">anagement </w:t>
      </w:r>
      <w:r>
        <w:rPr>
          <w:color w:val="000000" w:themeColor="text1"/>
          <w:sz w:val="20"/>
          <w:szCs w:val="20"/>
        </w:rPr>
        <w:t>S</w:t>
      </w:r>
      <w:r w:rsidRPr="00AD1C5E">
        <w:rPr>
          <w:color w:val="000000" w:themeColor="text1"/>
          <w:sz w:val="20"/>
          <w:szCs w:val="20"/>
        </w:rPr>
        <w:t>ystem on Melville Island, 1824</w:t>
      </w:r>
      <w:r>
        <w:rPr>
          <w:color w:val="000000" w:themeColor="text1"/>
          <w:sz w:val="20"/>
          <w:szCs w:val="20"/>
        </w:rPr>
        <w:t>–</w:t>
      </w:r>
      <w:r w:rsidRPr="00AD1C5E">
        <w:rPr>
          <w:color w:val="000000" w:themeColor="text1"/>
          <w:sz w:val="20"/>
          <w:szCs w:val="20"/>
        </w:rPr>
        <w:t xml:space="preserve">29’, </w:t>
      </w:r>
      <w:r w:rsidRPr="00AD1C5E">
        <w:rPr>
          <w:i/>
          <w:color w:val="000000" w:themeColor="text1"/>
          <w:sz w:val="20"/>
          <w:szCs w:val="20"/>
        </w:rPr>
        <w:t xml:space="preserve">The Push from the Bush </w:t>
      </w:r>
      <w:r w:rsidRPr="00AD1C5E">
        <w:rPr>
          <w:iCs/>
          <w:color w:val="000000" w:themeColor="text1"/>
          <w:sz w:val="20"/>
          <w:szCs w:val="20"/>
        </w:rPr>
        <w:t>29</w:t>
      </w:r>
      <w:r w:rsidRPr="00AD1C5E">
        <w:rPr>
          <w:i/>
          <w:color w:val="000000" w:themeColor="text1"/>
          <w:sz w:val="20"/>
          <w:szCs w:val="20"/>
        </w:rPr>
        <w:t xml:space="preserve"> </w:t>
      </w:r>
      <w:r w:rsidRPr="00AD1C5E">
        <w:rPr>
          <w:color w:val="000000" w:themeColor="text1"/>
          <w:sz w:val="20"/>
          <w:szCs w:val="20"/>
        </w:rPr>
        <w:t>(1991)</w:t>
      </w:r>
      <w:r>
        <w:rPr>
          <w:color w:val="000000" w:themeColor="text1"/>
          <w:sz w:val="20"/>
          <w:szCs w:val="20"/>
        </w:rPr>
        <w:t>,</w:t>
      </w:r>
      <w:r w:rsidRPr="00AD1C5E">
        <w:rPr>
          <w:color w:val="000000" w:themeColor="text1"/>
          <w:sz w:val="20"/>
          <w:szCs w:val="20"/>
        </w:rPr>
        <w:t xml:space="preserve"> pp. 29</w:t>
      </w:r>
      <w:r>
        <w:rPr>
          <w:color w:val="000000" w:themeColor="text1"/>
          <w:sz w:val="20"/>
          <w:szCs w:val="20"/>
        </w:rPr>
        <w:t>–</w:t>
      </w:r>
      <w:r w:rsidRPr="00AD1C5E">
        <w:rPr>
          <w:color w:val="000000" w:themeColor="text1"/>
          <w:sz w:val="20"/>
          <w:szCs w:val="20"/>
        </w:rPr>
        <w:t>46</w:t>
      </w:r>
      <w:r>
        <w:rPr>
          <w:color w:val="000000" w:themeColor="text1"/>
          <w:sz w:val="20"/>
          <w:szCs w:val="20"/>
        </w:rPr>
        <w:t>;</w:t>
      </w:r>
      <w:r w:rsidRPr="00AD1C5E">
        <w:rPr>
          <w:color w:val="000000" w:themeColor="text1"/>
          <w:sz w:val="20"/>
          <w:szCs w:val="20"/>
        </w:rPr>
        <w:t xml:space="preserve"> Clayton Fredericksen, ‘Confinement by Isolation: Convict </w:t>
      </w:r>
      <w:r>
        <w:rPr>
          <w:color w:val="000000" w:themeColor="text1"/>
          <w:sz w:val="20"/>
          <w:szCs w:val="20"/>
        </w:rPr>
        <w:t>M</w:t>
      </w:r>
      <w:r w:rsidRPr="00AD1C5E">
        <w:rPr>
          <w:color w:val="000000" w:themeColor="text1"/>
          <w:sz w:val="20"/>
          <w:szCs w:val="20"/>
        </w:rPr>
        <w:t xml:space="preserve">echanics and </w:t>
      </w:r>
      <w:r>
        <w:rPr>
          <w:color w:val="000000" w:themeColor="text1"/>
          <w:sz w:val="20"/>
          <w:szCs w:val="20"/>
        </w:rPr>
        <w:t>L</w:t>
      </w:r>
      <w:r w:rsidRPr="00AD1C5E">
        <w:rPr>
          <w:color w:val="000000" w:themeColor="text1"/>
          <w:sz w:val="20"/>
          <w:szCs w:val="20"/>
        </w:rPr>
        <w:t xml:space="preserve">abour at Fort Dundas, Melville Island’, </w:t>
      </w:r>
      <w:r w:rsidRPr="00AD1C5E">
        <w:rPr>
          <w:i/>
          <w:color w:val="000000" w:themeColor="text1"/>
          <w:sz w:val="20"/>
          <w:szCs w:val="20"/>
        </w:rPr>
        <w:t xml:space="preserve">Australasian Historical Archaeology </w:t>
      </w:r>
      <w:r w:rsidRPr="00AD1C5E">
        <w:rPr>
          <w:iCs/>
          <w:color w:val="000000" w:themeColor="text1"/>
          <w:sz w:val="20"/>
          <w:szCs w:val="20"/>
        </w:rPr>
        <w:t>19</w:t>
      </w:r>
      <w:r w:rsidRPr="00AD1C5E">
        <w:rPr>
          <w:color w:val="000000" w:themeColor="text1"/>
          <w:sz w:val="20"/>
          <w:szCs w:val="20"/>
        </w:rPr>
        <w:t xml:space="preserve"> (2001)</w:t>
      </w:r>
      <w:r>
        <w:rPr>
          <w:color w:val="000000" w:themeColor="text1"/>
          <w:sz w:val="20"/>
          <w:szCs w:val="20"/>
        </w:rPr>
        <w:t>,</w:t>
      </w:r>
      <w:r w:rsidRPr="00AD1C5E">
        <w:rPr>
          <w:color w:val="000000" w:themeColor="text1"/>
          <w:sz w:val="20"/>
          <w:szCs w:val="20"/>
        </w:rPr>
        <w:t xml:space="preserve"> pp. 48</w:t>
      </w:r>
      <w:r>
        <w:rPr>
          <w:color w:val="000000" w:themeColor="text1"/>
          <w:sz w:val="20"/>
          <w:szCs w:val="20"/>
        </w:rPr>
        <w:t>–</w:t>
      </w:r>
      <w:r w:rsidRPr="00AD1C5E">
        <w:rPr>
          <w:color w:val="000000" w:themeColor="text1"/>
          <w:sz w:val="20"/>
          <w:szCs w:val="20"/>
        </w:rPr>
        <w:t>59.</w:t>
      </w:r>
    </w:p>
  </w:footnote>
  <w:footnote w:id="47">
    <w:p w14:paraId="5A17C2CE" w14:textId="59ADCCCE" w:rsidR="005B7BA1" w:rsidRPr="004D4219" w:rsidRDefault="005B7BA1" w:rsidP="008735A3">
      <w:pPr>
        <w:pStyle w:val="FootnoteText"/>
      </w:pPr>
      <w:r w:rsidRPr="00F91AFC">
        <w:rPr>
          <w:rStyle w:val="FootnoteReference"/>
        </w:rPr>
        <w:footnoteRef/>
      </w:r>
      <w:r w:rsidRPr="00F91AFC">
        <w:t xml:space="preserve"> Fry, </w:t>
      </w:r>
      <w:r w:rsidRPr="00F91AFC">
        <w:rPr>
          <w:i/>
          <w:iCs/>
        </w:rPr>
        <w:t>How Australia Became British</w:t>
      </w:r>
      <w:r w:rsidRPr="006E6FD1">
        <w:t>,</w:t>
      </w:r>
      <w:r w:rsidRPr="00F91AFC">
        <w:rPr>
          <w:i/>
          <w:iCs/>
        </w:rPr>
        <w:t xml:space="preserve"> </w:t>
      </w:r>
      <w:r>
        <w:t>c</w:t>
      </w:r>
      <w:r w:rsidRPr="004D4219">
        <w:t>h. 7.</w:t>
      </w:r>
    </w:p>
  </w:footnote>
  <w:footnote w:id="48">
    <w:p w14:paraId="5896DF6A" w14:textId="44852D2A"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John Campbell,</w:t>
      </w:r>
      <w:r w:rsidRPr="00AD1C5E">
        <w:rPr>
          <w:i/>
          <w:color w:val="000000" w:themeColor="text1"/>
        </w:rPr>
        <w:t xml:space="preserve"> </w:t>
      </w:r>
      <w:r w:rsidRPr="00AD1C5E">
        <w:rPr>
          <w:color w:val="000000" w:themeColor="text1"/>
        </w:rPr>
        <w:t xml:space="preserve">‘Geographical Memoir of Melville Island and Port Essington on the Cobourg Peninsula, Northern Australia: With </w:t>
      </w:r>
      <w:r>
        <w:rPr>
          <w:color w:val="000000" w:themeColor="text1"/>
        </w:rPr>
        <w:t>S</w:t>
      </w:r>
      <w:r w:rsidRPr="00AD1C5E">
        <w:rPr>
          <w:color w:val="000000" w:themeColor="text1"/>
        </w:rPr>
        <w:t xml:space="preserve">ome </w:t>
      </w:r>
      <w:r>
        <w:rPr>
          <w:color w:val="000000" w:themeColor="text1"/>
        </w:rPr>
        <w:t>O</w:t>
      </w:r>
      <w:r w:rsidRPr="00AD1C5E">
        <w:rPr>
          <w:color w:val="000000" w:themeColor="text1"/>
        </w:rPr>
        <w:t xml:space="preserve">bservations on the </w:t>
      </w:r>
      <w:r>
        <w:rPr>
          <w:color w:val="000000" w:themeColor="text1"/>
        </w:rPr>
        <w:t>S</w:t>
      </w:r>
      <w:r w:rsidRPr="00AD1C5E">
        <w:rPr>
          <w:color w:val="000000" w:themeColor="text1"/>
        </w:rPr>
        <w:t xml:space="preserve">ettlements which have been established on the </w:t>
      </w:r>
      <w:r>
        <w:rPr>
          <w:color w:val="000000" w:themeColor="text1"/>
        </w:rPr>
        <w:t>C</w:t>
      </w:r>
      <w:r w:rsidRPr="00AD1C5E">
        <w:rPr>
          <w:color w:val="000000" w:themeColor="text1"/>
        </w:rPr>
        <w:t xml:space="preserve">oast of New Holland’, </w:t>
      </w:r>
      <w:r w:rsidRPr="00AD1C5E">
        <w:rPr>
          <w:i/>
          <w:color w:val="000000" w:themeColor="text1"/>
        </w:rPr>
        <w:t>Journal of the Royal Geographical Society</w:t>
      </w:r>
      <w:r w:rsidRPr="00AD1C5E">
        <w:rPr>
          <w:color w:val="000000" w:themeColor="text1"/>
        </w:rPr>
        <w:t xml:space="preserve"> </w:t>
      </w:r>
      <w:r w:rsidRPr="00217567">
        <w:rPr>
          <w:i/>
          <w:color w:val="000000" w:themeColor="text1"/>
        </w:rPr>
        <w:t>4</w:t>
      </w:r>
      <w:r w:rsidRPr="00AD1C5E">
        <w:rPr>
          <w:color w:val="000000" w:themeColor="text1"/>
        </w:rPr>
        <w:t xml:space="preserve"> (1834)</w:t>
      </w:r>
      <w:r w:rsidR="001B2D07">
        <w:rPr>
          <w:color w:val="000000" w:themeColor="text1"/>
        </w:rPr>
        <w:t>:</w:t>
      </w:r>
      <w:r w:rsidRPr="00AD1C5E">
        <w:rPr>
          <w:color w:val="000000" w:themeColor="text1"/>
        </w:rPr>
        <w:t xml:space="preserve"> p. 161.</w:t>
      </w:r>
      <w:r w:rsidRPr="00AD1C5E" w:rsidDel="00F76C74">
        <w:rPr>
          <w:color w:val="000000" w:themeColor="text1"/>
        </w:rPr>
        <w:t xml:space="preserve"> </w:t>
      </w:r>
    </w:p>
  </w:footnote>
  <w:footnote w:id="49">
    <w:p w14:paraId="3640030F" w14:textId="44228C1C"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sidRPr="00AD1C5E">
        <w:rPr>
          <w:i/>
          <w:color w:val="000000" w:themeColor="text1"/>
        </w:rPr>
        <w:t>HRA</w:t>
      </w:r>
      <w:r w:rsidRPr="00AD1C5E">
        <w:rPr>
          <w:color w:val="000000" w:themeColor="text1"/>
        </w:rPr>
        <w:t xml:space="preserve">, ser. I, vol. XII. Ralph Darling, Governor of </w:t>
      </w:r>
      <w:r>
        <w:rPr>
          <w:color w:val="000000" w:themeColor="text1"/>
        </w:rPr>
        <w:t>NSW</w:t>
      </w:r>
      <w:r w:rsidRPr="00AD1C5E">
        <w:rPr>
          <w:color w:val="000000" w:themeColor="text1"/>
        </w:rPr>
        <w:t>, to Robert Hay, Undersecretary of State for War and the Colonies, 18 Dec</w:t>
      </w:r>
      <w:r>
        <w:rPr>
          <w:color w:val="000000" w:themeColor="text1"/>
        </w:rPr>
        <w:t>ember</w:t>
      </w:r>
      <w:r w:rsidRPr="00AD1C5E">
        <w:rPr>
          <w:color w:val="000000" w:themeColor="text1"/>
        </w:rPr>
        <w:t xml:space="preserve"> 1826, p. 774.</w:t>
      </w:r>
    </w:p>
  </w:footnote>
  <w:footnote w:id="50">
    <w:p w14:paraId="18EBB8D3" w14:textId="7C65DE91"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Pr>
          <w:color w:val="000000" w:themeColor="text1"/>
        </w:rPr>
        <w:t xml:space="preserve">Nick Brodie, </w:t>
      </w:r>
      <w:r>
        <w:rPr>
          <w:i/>
          <w:color w:val="000000" w:themeColor="text1"/>
        </w:rPr>
        <w:t>The Vamdemonian War: The Secret History of B</w:t>
      </w:r>
      <w:r w:rsidR="00722FAB">
        <w:rPr>
          <w:i/>
          <w:color w:val="000000" w:themeColor="text1"/>
        </w:rPr>
        <w:t>r</w:t>
      </w:r>
      <w:r>
        <w:rPr>
          <w:i/>
          <w:color w:val="000000" w:themeColor="text1"/>
        </w:rPr>
        <w:t xml:space="preserve">itain’s Tasmanian Invasion </w:t>
      </w:r>
      <w:r>
        <w:rPr>
          <w:iCs/>
          <w:color w:val="000000" w:themeColor="text1"/>
        </w:rPr>
        <w:t xml:space="preserve">(Sydney: Hardie Grant, 2017); </w:t>
      </w:r>
      <w:r w:rsidRPr="00AD1C5E">
        <w:rPr>
          <w:color w:val="000000" w:themeColor="text1"/>
        </w:rPr>
        <w:t>Nick Patrick Clements, ‘Frontier Conflict in Van Diemen’s Land’</w:t>
      </w:r>
      <w:r>
        <w:rPr>
          <w:color w:val="000000" w:themeColor="text1"/>
        </w:rPr>
        <w:t xml:space="preserve"> (</w:t>
      </w:r>
      <w:r w:rsidRPr="00AD1C5E">
        <w:rPr>
          <w:color w:val="000000" w:themeColor="text1"/>
        </w:rPr>
        <w:t xml:space="preserve">PhD </w:t>
      </w:r>
      <w:r>
        <w:rPr>
          <w:color w:val="000000" w:themeColor="text1"/>
        </w:rPr>
        <w:t xml:space="preserve">dissertation, </w:t>
      </w:r>
      <w:r w:rsidRPr="00AD1C5E">
        <w:rPr>
          <w:color w:val="000000" w:themeColor="text1"/>
        </w:rPr>
        <w:t>University of Tasmania, 2013</w:t>
      </w:r>
      <w:r>
        <w:rPr>
          <w:color w:val="000000" w:themeColor="text1"/>
        </w:rPr>
        <w:t>),</w:t>
      </w:r>
      <w:r w:rsidRPr="00AD1C5E">
        <w:rPr>
          <w:color w:val="000000" w:themeColor="text1"/>
        </w:rPr>
        <w:t xml:space="preserve"> pp. 38</w:t>
      </w:r>
      <w:r>
        <w:rPr>
          <w:color w:val="000000" w:themeColor="text1"/>
        </w:rPr>
        <w:t>–</w:t>
      </w:r>
      <w:r w:rsidRPr="00AD1C5E">
        <w:rPr>
          <w:color w:val="000000" w:themeColor="text1"/>
        </w:rPr>
        <w:t xml:space="preserve">42; Boyce, </w:t>
      </w:r>
      <w:r w:rsidRPr="00AD1C5E">
        <w:rPr>
          <w:i/>
          <w:iCs/>
          <w:color w:val="000000" w:themeColor="text1"/>
        </w:rPr>
        <w:t>Van Diemen’s Land</w:t>
      </w:r>
      <w:r w:rsidRPr="006E6FD1">
        <w:rPr>
          <w:color w:val="000000" w:themeColor="text1"/>
        </w:rPr>
        <w:t>,</w:t>
      </w:r>
      <w:r w:rsidRPr="00AD1C5E">
        <w:rPr>
          <w:color w:val="000000" w:themeColor="text1"/>
        </w:rPr>
        <w:t xml:space="preserve"> p. 261</w:t>
      </w:r>
      <w:r w:rsidR="00722FAB">
        <w:rPr>
          <w:color w:val="000000" w:themeColor="text1"/>
        </w:rPr>
        <w:t>.</w:t>
      </w:r>
    </w:p>
  </w:footnote>
  <w:footnote w:id="51">
    <w:p w14:paraId="261E48C7" w14:textId="6B185D0E"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HCPP 1831, </w:t>
      </w:r>
      <w:r w:rsidR="00D0364F">
        <w:rPr>
          <w:color w:val="000000" w:themeColor="text1"/>
        </w:rPr>
        <w:t xml:space="preserve">vol. 19, no. 259, </w:t>
      </w:r>
      <w:r w:rsidRPr="00217567">
        <w:rPr>
          <w:i/>
          <w:iCs/>
          <w:color w:val="000000" w:themeColor="text1"/>
        </w:rPr>
        <w:t>Copies of all Correspondence between Lieutenant-Governor Arthur and Her Majesty’s Secretary of State for the Colonies, on the Subject of the Military Operations lately carried out against the Aboriginal Inhabitants of Van Diemen’s Land</w:t>
      </w:r>
      <w:r w:rsidRPr="00AD1C5E">
        <w:rPr>
          <w:color w:val="000000" w:themeColor="text1"/>
        </w:rPr>
        <w:t>, George Arthur, Governor of VDL, to Viscount Goderich, Secretary of State for War and the Colonies, 10 January 1828, no. 1, p. 4.</w:t>
      </w:r>
    </w:p>
  </w:footnote>
  <w:footnote w:id="52">
    <w:p w14:paraId="60A6B974" w14:textId="77777777" w:rsidR="005B7BA1" w:rsidRPr="00AD1C5E" w:rsidRDefault="005B7BA1" w:rsidP="00CD1E12">
      <w:pPr>
        <w:pStyle w:val="FootnoteText"/>
        <w:rPr>
          <w:color w:val="000000" w:themeColor="text1"/>
        </w:rPr>
      </w:pPr>
      <w:r w:rsidRPr="00AD1C5E">
        <w:rPr>
          <w:rStyle w:val="FootnoteReference"/>
          <w:color w:val="000000" w:themeColor="text1"/>
        </w:rPr>
        <w:footnoteRef/>
      </w:r>
      <w:r w:rsidRPr="00AD1C5E">
        <w:rPr>
          <w:color w:val="000000" w:themeColor="text1"/>
        </w:rPr>
        <w:t xml:space="preserve"> Tom Lawson, </w:t>
      </w:r>
      <w:r w:rsidRPr="00AD1C5E">
        <w:rPr>
          <w:i/>
          <w:iCs/>
          <w:color w:val="000000" w:themeColor="text1"/>
        </w:rPr>
        <w:t xml:space="preserve">The Last Man: A British Genocide in Tasmania </w:t>
      </w:r>
      <w:r w:rsidRPr="00AD1C5E">
        <w:rPr>
          <w:color w:val="000000" w:themeColor="text1"/>
        </w:rPr>
        <w:t>(London: I.</w:t>
      </w:r>
      <w:r>
        <w:rPr>
          <w:color w:val="000000" w:themeColor="text1"/>
        </w:rPr>
        <w:t xml:space="preserve"> </w:t>
      </w:r>
      <w:r w:rsidRPr="00AD1C5E">
        <w:rPr>
          <w:color w:val="000000" w:themeColor="text1"/>
        </w:rPr>
        <w:t>B. Tauris, 2014)</w:t>
      </w:r>
      <w:r>
        <w:rPr>
          <w:color w:val="000000" w:themeColor="text1"/>
        </w:rPr>
        <w:t>,</w:t>
      </w:r>
      <w:r w:rsidRPr="00AD1C5E">
        <w:rPr>
          <w:color w:val="000000" w:themeColor="text1"/>
        </w:rPr>
        <w:t xml:space="preserve"> p. 73.</w:t>
      </w:r>
    </w:p>
  </w:footnote>
  <w:footnote w:id="53">
    <w:p w14:paraId="43FF6E8F" w14:textId="00F37F32" w:rsidR="005B7BA1" w:rsidRPr="00F91AFC" w:rsidRDefault="005B7BA1" w:rsidP="008735A3">
      <w:pPr>
        <w:pStyle w:val="FootnoteText"/>
      </w:pPr>
      <w:r w:rsidRPr="00F91AFC">
        <w:rPr>
          <w:rStyle w:val="FootnoteReference"/>
        </w:rPr>
        <w:footnoteRef/>
      </w:r>
      <w:r w:rsidRPr="00F91AFC">
        <w:t xml:space="preserve"> </w:t>
      </w:r>
      <w:r w:rsidRPr="00AD1C5E">
        <w:rPr>
          <w:color w:val="000000" w:themeColor="text1"/>
        </w:rPr>
        <w:t xml:space="preserve">Alan Lester and Fae Dussart, </w:t>
      </w:r>
      <w:r w:rsidRPr="00AD1C5E">
        <w:rPr>
          <w:i/>
          <w:iCs/>
          <w:color w:val="000000" w:themeColor="text1"/>
        </w:rPr>
        <w:t xml:space="preserve">Colonization and the Origins of Humanitarian Governance: </w:t>
      </w:r>
      <w:r>
        <w:rPr>
          <w:i/>
          <w:iCs/>
          <w:color w:val="000000" w:themeColor="text1"/>
        </w:rPr>
        <w:t>P</w:t>
      </w:r>
      <w:r w:rsidRPr="00AD1C5E">
        <w:rPr>
          <w:i/>
          <w:iCs/>
          <w:color w:val="000000" w:themeColor="text1"/>
        </w:rPr>
        <w:t xml:space="preserve">rotecting Aborigines across the </w:t>
      </w:r>
      <w:r>
        <w:rPr>
          <w:i/>
          <w:iCs/>
          <w:color w:val="000000" w:themeColor="text1"/>
        </w:rPr>
        <w:t>N</w:t>
      </w:r>
      <w:r w:rsidRPr="00AD1C5E">
        <w:rPr>
          <w:i/>
          <w:iCs/>
          <w:color w:val="000000" w:themeColor="text1"/>
        </w:rPr>
        <w:t>ineteenth-</w:t>
      </w:r>
      <w:r>
        <w:rPr>
          <w:i/>
          <w:iCs/>
          <w:color w:val="000000" w:themeColor="text1"/>
        </w:rPr>
        <w:t>C</w:t>
      </w:r>
      <w:r w:rsidRPr="00AD1C5E">
        <w:rPr>
          <w:i/>
          <w:iCs/>
          <w:color w:val="000000" w:themeColor="text1"/>
        </w:rPr>
        <w:t xml:space="preserve">entury Empire </w:t>
      </w:r>
      <w:r w:rsidRPr="00AD1C5E">
        <w:rPr>
          <w:color w:val="000000" w:themeColor="text1"/>
        </w:rPr>
        <w:t>(Cambridge: Cambridge University Press, 2014)</w:t>
      </w:r>
      <w:r>
        <w:rPr>
          <w:color w:val="000000" w:themeColor="text1"/>
        </w:rPr>
        <w:t>, c</w:t>
      </w:r>
      <w:r w:rsidRPr="00AD1C5E">
        <w:rPr>
          <w:color w:val="000000" w:themeColor="text1"/>
        </w:rPr>
        <w:t>h. 2.</w:t>
      </w:r>
    </w:p>
  </w:footnote>
  <w:footnote w:id="54">
    <w:p w14:paraId="42D7BF87" w14:textId="4AB29250" w:rsidR="005B7BA1" w:rsidRPr="00AA429F" w:rsidRDefault="005B7BA1">
      <w:pPr>
        <w:pStyle w:val="FootnoteText"/>
      </w:pPr>
      <w:r>
        <w:rPr>
          <w:rStyle w:val="FootnoteReference"/>
        </w:rPr>
        <w:footnoteRef/>
      </w:r>
      <w:r>
        <w:t xml:space="preserve"> Lyndall Ryan, </w:t>
      </w:r>
      <w:r>
        <w:rPr>
          <w:i/>
          <w:iCs/>
        </w:rPr>
        <w:t xml:space="preserve">Tasmanian Aborigines: A History since 1803 </w:t>
      </w:r>
      <w:r>
        <w:t xml:space="preserve">(Sydney: Allen &amp; Unwin, 2012), </w:t>
      </w:r>
      <w:r w:rsidR="005A7831">
        <w:t>p</w:t>
      </w:r>
      <w:r>
        <w:t>art III.</w:t>
      </w:r>
    </w:p>
  </w:footnote>
  <w:footnote w:id="55">
    <w:p w14:paraId="19F13A54" w14:textId="0311681C" w:rsidR="005B7BA1" w:rsidRPr="00AD1C5E" w:rsidRDefault="005B7BA1" w:rsidP="008735A3">
      <w:pPr>
        <w:rPr>
          <w:b/>
          <w:color w:val="000000" w:themeColor="text1"/>
          <w:sz w:val="20"/>
          <w:szCs w:val="20"/>
        </w:rPr>
      </w:pPr>
      <w:r w:rsidRPr="00AD1C5E">
        <w:rPr>
          <w:rStyle w:val="FootnoteReference"/>
          <w:color w:val="000000" w:themeColor="text1"/>
          <w:sz w:val="20"/>
          <w:szCs w:val="20"/>
        </w:rPr>
        <w:footnoteRef/>
      </w:r>
      <w:r w:rsidRPr="00AD1C5E">
        <w:rPr>
          <w:color w:val="000000" w:themeColor="text1"/>
          <w:sz w:val="20"/>
          <w:szCs w:val="20"/>
        </w:rPr>
        <w:t xml:space="preserve"> </w:t>
      </w:r>
      <w:r w:rsidR="005A7831">
        <w:rPr>
          <w:color w:val="000000" w:themeColor="text1"/>
          <w:sz w:val="20"/>
          <w:szCs w:val="20"/>
        </w:rPr>
        <w:t xml:space="preserve">Lawson, </w:t>
      </w:r>
      <w:r w:rsidR="005A7831">
        <w:rPr>
          <w:i/>
          <w:iCs/>
          <w:color w:val="000000" w:themeColor="text1"/>
          <w:sz w:val="20"/>
          <w:szCs w:val="20"/>
        </w:rPr>
        <w:t>Last Man</w:t>
      </w:r>
      <w:r w:rsidRPr="00AD1C5E">
        <w:rPr>
          <w:color w:val="000000" w:themeColor="text1"/>
          <w:sz w:val="20"/>
          <w:szCs w:val="20"/>
        </w:rPr>
        <w:t xml:space="preserve">, </w:t>
      </w:r>
      <w:r w:rsidRPr="00AD1C5E">
        <w:rPr>
          <w:bCs/>
          <w:color w:val="000000" w:themeColor="text1"/>
          <w:sz w:val="20"/>
          <w:szCs w:val="20"/>
        </w:rPr>
        <w:t>p</w:t>
      </w:r>
      <w:r>
        <w:rPr>
          <w:bCs/>
          <w:color w:val="000000" w:themeColor="text1"/>
          <w:sz w:val="20"/>
          <w:szCs w:val="20"/>
        </w:rPr>
        <w:t>p</w:t>
      </w:r>
      <w:r w:rsidRPr="00AD1C5E">
        <w:rPr>
          <w:bCs/>
          <w:color w:val="000000" w:themeColor="text1"/>
          <w:sz w:val="20"/>
          <w:szCs w:val="20"/>
        </w:rPr>
        <w:t>. 74, 77</w:t>
      </w:r>
      <w:r>
        <w:rPr>
          <w:bCs/>
          <w:color w:val="000000" w:themeColor="text1"/>
          <w:sz w:val="20"/>
          <w:szCs w:val="20"/>
        </w:rPr>
        <w:t>;</w:t>
      </w:r>
      <w:r w:rsidRPr="00AD1C5E">
        <w:rPr>
          <w:bCs/>
          <w:color w:val="000000" w:themeColor="text1"/>
          <w:sz w:val="20"/>
          <w:szCs w:val="20"/>
        </w:rPr>
        <w:t xml:space="preserve"> </w:t>
      </w:r>
      <w:r w:rsidRPr="00AD1C5E">
        <w:rPr>
          <w:color w:val="000000" w:themeColor="text1"/>
          <w:sz w:val="20"/>
          <w:szCs w:val="20"/>
        </w:rPr>
        <w:t xml:space="preserve">Nicholas Dean Brodie, </w:t>
      </w:r>
      <w:r w:rsidRPr="00AD1C5E">
        <w:rPr>
          <w:bCs/>
          <w:color w:val="000000" w:themeColor="text1"/>
          <w:sz w:val="20"/>
          <w:szCs w:val="20"/>
        </w:rPr>
        <w:t>‘The Last Man Left to Tell the Tale: Challenging the Conciliation Master Narrative in Van Diemen’s Land</w:t>
      </w:r>
      <w:r>
        <w:rPr>
          <w:bCs/>
          <w:color w:val="000000" w:themeColor="text1"/>
          <w:sz w:val="20"/>
          <w:szCs w:val="20"/>
        </w:rPr>
        <w:t>’</w:t>
      </w:r>
      <w:r w:rsidRPr="00AD1C5E">
        <w:rPr>
          <w:bCs/>
          <w:color w:val="000000" w:themeColor="text1"/>
          <w:sz w:val="20"/>
          <w:szCs w:val="20"/>
        </w:rPr>
        <w:t xml:space="preserve">, </w:t>
      </w:r>
      <w:r w:rsidRPr="00AD1C5E">
        <w:rPr>
          <w:bCs/>
          <w:i/>
          <w:iCs/>
          <w:color w:val="000000" w:themeColor="text1"/>
          <w:sz w:val="20"/>
          <w:szCs w:val="20"/>
        </w:rPr>
        <w:t xml:space="preserve">Australian Historical Studies </w:t>
      </w:r>
      <w:r w:rsidRPr="00AD1C5E">
        <w:rPr>
          <w:bCs/>
          <w:iCs/>
          <w:color w:val="000000" w:themeColor="text1"/>
          <w:sz w:val="20"/>
          <w:szCs w:val="20"/>
        </w:rPr>
        <w:t>48</w:t>
      </w:r>
      <w:r w:rsidRPr="00AD1C5E">
        <w:rPr>
          <w:bCs/>
          <w:color w:val="000000" w:themeColor="text1"/>
          <w:sz w:val="20"/>
          <w:szCs w:val="20"/>
        </w:rPr>
        <w:t>, no. 1 (2017)</w:t>
      </w:r>
      <w:r>
        <w:rPr>
          <w:bCs/>
          <w:color w:val="000000" w:themeColor="text1"/>
          <w:sz w:val="20"/>
          <w:szCs w:val="20"/>
        </w:rPr>
        <w:t>,</w:t>
      </w:r>
      <w:r w:rsidRPr="00AD1C5E">
        <w:rPr>
          <w:bCs/>
          <w:color w:val="000000" w:themeColor="text1"/>
          <w:sz w:val="20"/>
          <w:szCs w:val="20"/>
        </w:rPr>
        <w:t xml:space="preserve"> pp. 86</w:t>
      </w:r>
      <w:r>
        <w:rPr>
          <w:bCs/>
          <w:color w:val="000000" w:themeColor="text1"/>
          <w:sz w:val="20"/>
          <w:szCs w:val="20"/>
        </w:rPr>
        <w:t>–</w:t>
      </w:r>
      <w:r w:rsidRPr="00AD1C5E">
        <w:rPr>
          <w:bCs/>
          <w:color w:val="000000" w:themeColor="text1"/>
          <w:sz w:val="20"/>
          <w:szCs w:val="20"/>
        </w:rPr>
        <w:t>102</w:t>
      </w:r>
      <w:r>
        <w:rPr>
          <w:bCs/>
          <w:color w:val="000000" w:themeColor="text1"/>
          <w:sz w:val="20"/>
          <w:szCs w:val="20"/>
        </w:rPr>
        <w:t>.</w:t>
      </w:r>
      <w:r w:rsidRPr="00AD1C5E">
        <w:rPr>
          <w:bCs/>
          <w:color w:val="000000" w:themeColor="text1"/>
          <w:sz w:val="20"/>
          <w:szCs w:val="20"/>
        </w:rPr>
        <w:t xml:space="preserve"> </w:t>
      </w:r>
    </w:p>
  </w:footnote>
  <w:footnote w:id="56">
    <w:p w14:paraId="19973768" w14:textId="1FBDD488" w:rsidR="005B7BA1" w:rsidRPr="00AD1C5E" w:rsidRDefault="005B7BA1" w:rsidP="008735A3">
      <w:pPr>
        <w:rPr>
          <w:color w:val="000000" w:themeColor="text1"/>
          <w:sz w:val="20"/>
          <w:szCs w:val="20"/>
        </w:rPr>
      </w:pPr>
      <w:r w:rsidRPr="00AD1C5E">
        <w:rPr>
          <w:rStyle w:val="FootnoteReference"/>
          <w:color w:val="000000" w:themeColor="text1"/>
          <w:sz w:val="20"/>
          <w:szCs w:val="20"/>
        </w:rPr>
        <w:footnoteRef/>
      </w:r>
      <w:r w:rsidRPr="00AD1C5E">
        <w:rPr>
          <w:color w:val="000000" w:themeColor="text1"/>
          <w:sz w:val="20"/>
          <w:szCs w:val="20"/>
        </w:rPr>
        <w:t xml:space="preserve"> HCPP 1831, </w:t>
      </w:r>
      <w:r w:rsidRPr="00AD1C5E">
        <w:rPr>
          <w:i/>
          <w:iCs/>
          <w:color w:val="000000" w:themeColor="text1"/>
          <w:sz w:val="20"/>
          <w:szCs w:val="20"/>
        </w:rPr>
        <w:t>Military Operations</w:t>
      </w:r>
      <w:r w:rsidRPr="00AD1C5E">
        <w:rPr>
          <w:color w:val="000000" w:themeColor="text1"/>
          <w:sz w:val="20"/>
          <w:szCs w:val="20"/>
        </w:rPr>
        <w:t>, ‘Report of the Aborigines Committee’, 4 February 1831, pp. 76</w:t>
      </w:r>
      <w:r>
        <w:rPr>
          <w:color w:val="000000" w:themeColor="text1"/>
          <w:sz w:val="20"/>
          <w:szCs w:val="20"/>
        </w:rPr>
        <w:t>–</w:t>
      </w:r>
      <w:r w:rsidRPr="00AD1C5E">
        <w:rPr>
          <w:color w:val="000000" w:themeColor="text1"/>
          <w:sz w:val="20"/>
          <w:szCs w:val="20"/>
        </w:rPr>
        <w:t>7</w:t>
      </w:r>
      <w:r>
        <w:rPr>
          <w:color w:val="000000" w:themeColor="text1"/>
          <w:sz w:val="20"/>
          <w:szCs w:val="20"/>
        </w:rPr>
        <w:t>.</w:t>
      </w:r>
    </w:p>
  </w:footnote>
  <w:footnote w:id="57">
    <w:p w14:paraId="3C434CCC" w14:textId="06D8DCFA"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sidRPr="00AD1C5E">
        <w:rPr>
          <w:iCs/>
          <w:color w:val="000000" w:themeColor="text1"/>
        </w:rPr>
        <w:t>Ibid</w:t>
      </w:r>
      <w:r w:rsidRPr="00AD1C5E">
        <w:rPr>
          <w:color w:val="000000" w:themeColor="text1"/>
        </w:rPr>
        <w:t>., Arthur to Sir George Murray, Secretary of State for the Colonies, 4 April 1831, p. 78.</w:t>
      </w:r>
    </w:p>
  </w:footnote>
  <w:footnote w:id="58">
    <w:p w14:paraId="45E32EB6" w14:textId="647C0B6E" w:rsidR="005B7BA1" w:rsidRPr="00AD1C5E" w:rsidRDefault="005B7BA1" w:rsidP="008735A3">
      <w:pPr>
        <w:rPr>
          <w:color w:val="000000" w:themeColor="text1"/>
          <w:sz w:val="20"/>
          <w:szCs w:val="20"/>
        </w:rPr>
      </w:pPr>
      <w:r w:rsidRPr="00AD1C5E">
        <w:rPr>
          <w:rStyle w:val="FootnoteReference"/>
          <w:color w:val="000000" w:themeColor="text1"/>
          <w:sz w:val="20"/>
          <w:szCs w:val="20"/>
        </w:rPr>
        <w:footnoteRef/>
      </w:r>
      <w:r w:rsidRPr="00AD1C5E">
        <w:rPr>
          <w:color w:val="000000" w:themeColor="text1"/>
          <w:sz w:val="20"/>
          <w:szCs w:val="20"/>
        </w:rPr>
        <w:t xml:space="preserve"> </w:t>
      </w:r>
      <w:r w:rsidRPr="00AD1C5E">
        <w:rPr>
          <w:iCs/>
          <w:color w:val="000000" w:themeColor="text1"/>
          <w:sz w:val="20"/>
          <w:szCs w:val="20"/>
        </w:rPr>
        <w:t>Ibid</w:t>
      </w:r>
      <w:r w:rsidRPr="00AD1C5E">
        <w:rPr>
          <w:i/>
          <w:iCs/>
          <w:color w:val="000000" w:themeColor="text1"/>
          <w:sz w:val="20"/>
          <w:szCs w:val="20"/>
        </w:rPr>
        <w:t>.,</w:t>
      </w:r>
      <w:r w:rsidRPr="00AD1C5E">
        <w:rPr>
          <w:color w:val="000000" w:themeColor="text1"/>
          <w:sz w:val="20"/>
          <w:szCs w:val="20"/>
        </w:rPr>
        <w:t xml:space="preserve"> Extract of the Minutes of the Executive Council, 23 February 1831, p. 81.</w:t>
      </w:r>
    </w:p>
  </w:footnote>
  <w:footnote w:id="59">
    <w:p w14:paraId="3783C71F" w14:textId="1CB37E1D"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sidRPr="00AD1C5E">
        <w:rPr>
          <w:iCs/>
          <w:color w:val="000000" w:themeColor="text1"/>
        </w:rPr>
        <w:t>Ibid</w:t>
      </w:r>
      <w:r w:rsidRPr="00AD1C5E">
        <w:rPr>
          <w:i/>
          <w:iCs/>
          <w:color w:val="000000" w:themeColor="text1"/>
        </w:rPr>
        <w:t>.</w:t>
      </w:r>
      <w:r w:rsidRPr="00AD1C5E">
        <w:rPr>
          <w:color w:val="000000" w:themeColor="text1"/>
        </w:rPr>
        <w:t>, Arthur to Viscount Goderich, 10 January 1828, no. 1, p. 4.</w:t>
      </w:r>
    </w:p>
  </w:footnote>
  <w:footnote w:id="60">
    <w:p w14:paraId="18795BA0" w14:textId="77777777"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Lawson, </w:t>
      </w:r>
      <w:r w:rsidRPr="00AD1C5E">
        <w:rPr>
          <w:i/>
          <w:iCs/>
          <w:color w:val="000000" w:themeColor="text1"/>
        </w:rPr>
        <w:t>Last Man</w:t>
      </w:r>
      <w:r w:rsidRPr="006E6FD1">
        <w:rPr>
          <w:color w:val="000000" w:themeColor="text1"/>
        </w:rPr>
        <w:t>,</w:t>
      </w:r>
      <w:r w:rsidRPr="00AD1C5E">
        <w:rPr>
          <w:color w:val="000000" w:themeColor="text1"/>
        </w:rPr>
        <w:t xml:space="preserve"> p. 105.</w:t>
      </w:r>
    </w:p>
  </w:footnote>
  <w:footnote w:id="61">
    <w:p w14:paraId="20BB6C1C" w14:textId="4E401D09" w:rsidR="005B7BA1" w:rsidRPr="00AD1C5E" w:rsidRDefault="005B7BA1" w:rsidP="008735A3">
      <w:pPr>
        <w:rPr>
          <w:color w:val="000000" w:themeColor="text1"/>
          <w:sz w:val="20"/>
          <w:szCs w:val="20"/>
          <w:shd w:val="clear" w:color="auto" w:fill="FFFFFF"/>
        </w:rPr>
      </w:pPr>
      <w:r w:rsidRPr="00AD1C5E">
        <w:rPr>
          <w:rStyle w:val="FootnoteReference"/>
          <w:color w:val="000000" w:themeColor="text1"/>
          <w:sz w:val="20"/>
          <w:szCs w:val="20"/>
        </w:rPr>
        <w:footnoteRef/>
      </w:r>
      <w:r w:rsidRPr="00AD1C5E">
        <w:rPr>
          <w:color w:val="000000" w:themeColor="text1"/>
          <w:sz w:val="20"/>
          <w:szCs w:val="20"/>
        </w:rPr>
        <w:t xml:space="preserve"> Patrick Webb, ‘Guests of the Crown: Convicted and Liberated Slaves on McCarthy Island, The Gambia’</w:t>
      </w:r>
      <w:r>
        <w:rPr>
          <w:i/>
          <w:iCs/>
          <w:color w:val="000000" w:themeColor="text1"/>
          <w:sz w:val="20"/>
          <w:szCs w:val="20"/>
        </w:rPr>
        <w:t xml:space="preserve"> </w:t>
      </w:r>
      <w:r w:rsidRPr="00AD1C5E">
        <w:rPr>
          <w:i/>
          <w:iCs/>
          <w:color w:val="000000" w:themeColor="text1"/>
          <w:sz w:val="20"/>
          <w:szCs w:val="20"/>
        </w:rPr>
        <w:t xml:space="preserve">Geographical Journal </w:t>
      </w:r>
      <w:r w:rsidRPr="00217567">
        <w:rPr>
          <w:i/>
          <w:color w:val="000000" w:themeColor="text1"/>
          <w:sz w:val="20"/>
          <w:szCs w:val="20"/>
        </w:rPr>
        <w:t>160</w:t>
      </w:r>
      <w:r w:rsidRPr="00AD1C5E">
        <w:rPr>
          <w:iCs/>
          <w:color w:val="000000" w:themeColor="text1"/>
          <w:sz w:val="20"/>
          <w:szCs w:val="20"/>
        </w:rPr>
        <w:t>,</w:t>
      </w:r>
      <w:r w:rsidRPr="00AD1C5E">
        <w:rPr>
          <w:i/>
          <w:iCs/>
          <w:color w:val="000000" w:themeColor="text1"/>
          <w:sz w:val="20"/>
          <w:szCs w:val="20"/>
        </w:rPr>
        <w:t xml:space="preserve"> </w:t>
      </w:r>
      <w:r w:rsidRPr="00AD1C5E">
        <w:rPr>
          <w:color w:val="000000" w:themeColor="text1"/>
          <w:sz w:val="20"/>
          <w:szCs w:val="20"/>
        </w:rPr>
        <w:t>no. 2 (1994)</w:t>
      </w:r>
      <w:r w:rsidR="00EC21C1">
        <w:rPr>
          <w:color w:val="000000" w:themeColor="text1"/>
          <w:sz w:val="20"/>
          <w:szCs w:val="20"/>
        </w:rPr>
        <w:t xml:space="preserve">: </w:t>
      </w:r>
      <w:r w:rsidRPr="00AD1C5E">
        <w:rPr>
          <w:color w:val="000000" w:themeColor="text1"/>
          <w:sz w:val="20"/>
          <w:szCs w:val="20"/>
        </w:rPr>
        <w:t>p. 139. Richard Anderson, ‘The Diaspora of Sierra Leone’s Liberated Africans: Enlistment, Forced Migration and “Liberation” at Freetown, 1808</w:t>
      </w:r>
      <w:r>
        <w:rPr>
          <w:color w:val="000000" w:themeColor="text1"/>
          <w:sz w:val="20"/>
          <w:szCs w:val="20"/>
        </w:rPr>
        <w:t>–</w:t>
      </w:r>
      <w:r w:rsidRPr="00AD1C5E">
        <w:rPr>
          <w:color w:val="000000" w:themeColor="text1"/>
          <w:sz w:val="20"/>
          <w:szCs w:val="20"/>
        </w:rPr>
        <w:t xml:space="preserve">1863’, </w:t>
      </w:r>
      <w:r w:rsidRPr="00AD1C5E">
        <w:rPr>
          <w:i/>
          <w:iCs/>
          <w:color w:val="000000" w:themeColor="text1"/>
          <w:sz w:val="20"/>
          <w:szCs w:val="20"/>
        </w:rPr>
        <w:t xml:space="preserve">African Economic History </w:t>
      </w:r>
      <w:r w:rsidRPr="00217567">
        <w:rPr>
          <w:i/>
          <w:color w:val="000000" w:themeColor="text1"/>
          <w:sz w:val="20"/>
          <w:szCs w:val="20"/>
        </w:rPr>
        <w:t>41</w:t>
      </w:r>
      <w:r w:rsidRPr="00AD1C5E">
        <w:rPr>
          <w:color w:val="000000" w:themeColor="text1"/>
          <w:sz w:val="20"/>
          <w:szCs w:val="20"/>
        </w:rPr>
        <w:t xml:space="preserve"> (2013)</w:t>
      </w:r>
      <w:r w:rsidR="00EC21C1">
        <w:rPr>
          <w:color w:val="000000" w:themeColor="text1"/>
          <w:sz w:val="20"/>
          <w:szCs w:val="20"/>
        </w:rPr>
        <w:t>:</w:t>
      </w:r>
      <w:r w:rsidRPr="00AD1C5E">
        <w:rPr>
          <w:color w:val="000000" w:themeColor="text1"/>
          <w:sz w:val="20"/>
          <w:szCs w:val="20"/>
        </w:rPr>
        <w:t xml:space="preserve"> p. 112.</w:t>
      </w:r>
    </w:p>
  </w:footnote>
  <w:footnote w:id="62">
    <w:p w14:paraId="512F31FB" w14:textId="6615342F"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HCPP 1836, vol</w:t>
      </w:r>
      <w:r>
        <w:rPr>
          <w:color w:val="000000" w:themeColor="text1"/>
        </w:rPr>
        <w:t>.</w:t>
      </w:r>
      <w:r w:rsidRPr="00AD1C5E">
        <w:rPr>
          <w:color w:val="000000" w:themeColor="text1"/>
        </w:rPr>
        <w:t xml:space="preserve"> 7, no. 538, </w:t>
      </w:r>
      <w:r w:rsidRPr="00217567">
        <w:rPr>
          <w:i/>
          <w:iCs/>
          <w:color w:val="000000" w:themeColor="text1"/>
        </w:rPr>
        <w:t>Report from the Select Committee on Aborigines (British Settlements)</w:t>
      </w:r>
      <w:r w:rsidRPr="00AD1C5E">
        <w:rPr>
          <w:color w:val="000000" w:themeColor="text1"/>
        </w:rPr>
        <w:t xml:space="preserve"> Davidson Coates, Rev. John Beecham, and William Ellis,</w:t>
      </w:r>
      <w:r w:rsidR="00B609F6">
        <w:rPr>
          <w:color w:val="000000" w:themeColor="text1"/>
        </w:rPr>
        <w:t xml:space="preserve"> Testimony, </w:t>
      </w:r>
      <w:r w:rsidRPr="00AD1C5E">
        <w:rPr>
          <w:color w:val="000000" w:themeColor="text1"/>
        </w:rPr>
        <w:t>11 June 1836, p. 538; Webb,</w:t>
      </w:r>
      <w:r>
        <w:rPr>
          <w:color w:val="000000" w:themeColor="text1"/>
        </w:rPr>
        <w:t xml:space="preserve"> ‘</w:t>
      </w:r>
      <w:r w:rsidRPr="00AD1C5E">
        <w:rPr>
          <w:color w:val="000000" w:themeColor="text1"/>
        </w:rPr>
        <w:t>Guests of the Crown’, p. 140.</w:t>
      </w:r>
    </w:p>
  </w:footnote>
  <w:footnote w:id="63">
    <w:p w14:paraId="1A9D52C9" w14:textId="0B4CC02B" w:rsidR="005B7BA1" w:rsidRPr="00AD1C5E" w:rsidRDefault="005B7BA1" w:rsidP="008735A3">
      <w:pPr>
        <w:pStyle w:val="FootnoteText"/>
        <w:rPr>
          <w:i/>
          <w:iCs/>
          <w:color w:val="000000" w:themeColor="text1"/>
        </w:rPr>
      </w:pPr>
      <w:r w:rsidRPr="006E6FD1">
        <w:rPr>
          <w:rStyle w:val="FootnoteReference"/>
          <w:color w:val="000000" w:themeColor="text1"/>
        </w:rPr>
        <w:footnoteRef/>
      </w:r>
      <w:r w:rsidRPr="006E6FD1">
        <w:rPr>
          <w:color w:val="000000" w:themeColor="text1"/>
        </w:rPr>
        <w:t xml:space="preserve"> Robin Jarvis Brownlie, </w:t>
      </w:r>
      <w:r w:rsidRPr="006E6FD1">
        <w:rPr>
          <w:i/>
          <w:iCs/>
          <w:color w:val="000000" w:themeColor="text1"/>
        </w:rPr>
        <w:t xml:space="preserve">A Fatherly Eye: Indian Agents, Government Power, and Aboriginal Resistance in Ontario 1918–1939 </w:t>
      </w:r>
      <w:r w:rsidRPr="006E6FD1">
        <w:rPr>
          <w:iCs/>
          <w:color w:val="000000" w:themeColor="text1"/>
        </w:rPr>
        <w:t xml:space="preserve">(Toronto: University of Toronto Press, 2014), </w:t>
      </w:r>
      <w:r w:rsidRPr="006E6FD1">
        <w:rPr>
          <w:color w:val="000000" w:themeColor="text1"/>
        </w:rPr>
        <w:t>p. 3.</w:t>
      </w:r>
    </w:p>
  </w:footnote>
  <w:footnote w:id="64">
    <w:p w14:paraId="207DB260" w14:textId="567FCAB6" w:rsidR="005B7BA1" w:rsidRPr="00AD1C5E" w:rsidRDefault="005B7BA1" w:rsidP="008735A3">
      <w:pPr>
        <w:rPr>
          <w:color w:val="000000" w:themeColor="text1"/>
          <w:sz w:val="20"/>
          <w:szCs w:val="20"/>
        </w:rPr>
      </w:pPr>
      <w:r w:rsidRPr="00AD1C5E">
        <w:rPr>
          <w:rStyle w:val="FootnoteReference"/>
          <w:color w:val="000000" w:themeColor="text1"/>
          <w:sz w:val="20"/>
          <w:szCs w:val="20"/>
        </w:rPr>
        <w:footnoteRef/>
      </w:r>
      <w:r w:rsidRPr="00AD1C5E">
        <w:rPr>
          <w:color w:val="000000" w:themeColor="text1"/>
          <w:sz w:val="20"/>
          <w:szCs w:val="20"/>
        </w:rPr>
        <w:t xml:space="preserve"> HCPP 1839,</w:t>
      </w:r>
      <w:r w:rsidR="00B609F6" w:rsidRPr="00B609F6">
        <w:rPr>
          <w:color w:val="000000" w:themeColor="text1"/>
          <w:sz w:val="20"/>
          <w:szCs w:val="20"/>
        </w:rPr>
        <w:t xml:space="preserve"> </w:t>
      </w:r>
      <w:r w:rsidR="00B609F6" w:rsidRPr="00AD1C5E">
        <w:rPr>
          <w:color w:val="000000" w:themeColor="text1"/>
          <w:sz w:val="20"/>
          <w:szCs w:val="20"/>
        </w:rPr>
        <w:t>vol. 34, no. 323,</w:t>
      </w:r>
      <w:r w:rsidRPr="00AD1C5E">
        <w:rPr>
          <w:color w:val="000000" w:themeColor="text1"/>
          <w:sz w:val="20"/>
          <w:szCs w:val="20"/>
        </w:rPr>
        <w:t xml:space="preserve"> </w:t>
      </w:r>
      <w:r w:rsidRPr="00217567">
        <w:rPr>
          <w:i/>
          <w:iCs/>
          <w:color w:val="000000" w:themeColor="text1"/>
          <w:sz w:val="20"/>
          <w:szCs w:val="20"/>
        </w:rPr>
        <w:t>Copies or Extracts of Correspondence Between the Secretary of State for the Colonies and the Governors of the British North American Provinces, respecting the Indians</w:t>
      </w:r>
      <w:r w:rsidRPr="00AD1C5E">
        <w:rPr>
          <w:color w:val="000000" w:themeColor="text1"/>
          <w:sz w:val="20"/>
          <w:szCs w:val="20"/>
        </w:rPr>
        <w:t>, Sir Randolph Isham Routh, Commissary General, to A.</w:t>
      </w:r>
      <w:r>
        <w:rPr>
          <w:color w:val="000000" w:themeColor="text1"/>
          <w:sz w:val="20"/>
          <w:szCs w:val="20"/>
        </w:rPr>
        <w:t xml:space="preserve"> </w:t>
      </w:r>
      <w:r w:rsidRPr="00AD1C5E">
        <w:rPr>
          <w:color w:val="000000" w:themeColor="text1"/>
          <w:sz w:val="20"/>
          <w:szCs w:val="20"/>
        </w:rPr>
        <w:t xml:space="preserve">Y. Spearman, Commissariat </w:t>
      </w:r>
      <w:r w:rsidRPr="006A6B83">
        <w:rPr>
          <w:color w:val="000000" w:themeColor="text1"/>
          <w:sz w:val="20"/>
          <w:szCs w:val="20"/>
        </w:rPr>
        <w:t>General</w:t>
      </w:r>
      <w:r w:rsidRPr="00AD1C5E">
        <w:rPr>
          <w:color w:val="000000" w:themeColor="text1"/>
          <w:sz w:val="20"/>
          <w:szCs w:val="20"/>
        </w:rPr>
        <w:t>, 1 Oct</w:t>
      </w:r>
      <w:r>
        <w:rPr>
          <w:color w:val="000000" w:themeColor="text1"/>
          <w:sz w:val="20"/>
          <w:szCs w:val="20"/>
        </w:rPr>
        <w:t>ober</w:t>
      </w:r>
      <w:r w:rsidRPr="00AD1C5E">
        <w:rPr>
          <w:color w:val="000000" w:themeColor="text1"/>
          <w:sz w:val="20"/>
          <w:szCs w:val="20"/>
        </w:rPr>
        <w:t xml:space="preserve"> 1836, p. 48.</w:t>
      </w:r>
    </w:p>
  </w:footnote>
  <w:footnote w:id="65">
    <w:p w14:paraId="176A505E" w14:textId="6084EC46" w:rsidR="005B7BA1" w:rsidRPr="00787759" w:rsidRDefault="005B7BA1" w:rsidP="008735A3">
      <w:pPr>
        <w:rPr>
          <w:color w:val="000000" w:themeColor="text1"/>
          <w:sz w:val="20"/>
          <w:szCs w:val="20"/>
        </w:rPr>
      </w:pPr>
      <w:r w:rsidRPr="00787759">
        <w:rPr>
          <w:rStyle w:val="FootnoteReference"/>
          <w:color w:val="000000" w:themeColor="text1"/>
          <w:sz w:val="20"/>
          <w:szCs w:val="20"/>
        </w:rPr>
        <w:footnoteRef/>
      </w:r>
      <w:r w:rsidRPr="00787759">
        <w:rPr>
          <w:color w:val="000000" w:themeColor="text1"/>
          <w:sz w:val="20"/>
          <w:szCs w:val="20"/>
        </w:rPr>
        <w:t xml:space="preserve"> Elizabeth Elbourne, ‘The Sin of the Settler: The 1835–36 Select Committee on Aborigines and Debates over Virtue and Conquest in the Early Nineteenth-Century British White Settler Empire’, </w:t>
      </w:r>
      <w:r w:rsidRPr="00787759">
        <w:rPr>
          <w:i/>
          <w:iCs/>
          <w:color w:val="000000" w:themeColor="text1"/>
          <w:sz w:val="20"/>
          <w:szCs w:val="20"/>
        </w:rPr>
        <w:t xml:space="preserve">Journal of Colonialism and Colonial History </w:t>
      </w:r>
      <w:r w:rsidRPr="00217567">
        <w:rPr>
          <w:i/>
          <w:color w:val="000000" w:themeColor="text1"/>
          <w:sz w:val="20"/>
          <w:szCs w:val="20"/>
        </w:rPr>
        <w:t>4</w:t>
      </w:r>
      <w:r w:rsidRPr="00787759">
        <w:rPr>
          <w:color w:val="000000" w:themeColor="text1"/>
          <w:sz w:val="20"/>
          <w:szCs w:val="20"/>
        </w:rPr>
        <w:t>, no. 3 (2003)</w:t>
      </w:r>
      <w:r w:rsidR="00A428A0">
        <w:rPr>
          <w:color w:val="000000" w:themeColor="text1"/>
          <w:sz w:val="20"/>
          <w:szCs w:val="20"/>
        </w:rPr>
        <w:t>:</w:t>
      </w:r>
      <w:r>
        <w:rPr>
          <w:color w:val="000000" w:themeColor="text1"/>
          <w:sz w:val="20"/>
          <w:szCs w:val="20"/>
        </w:rPr>
        <w:t xml:space="preserve"> n.p.</w:t>
      </w:r>
      <w:r w:rsidRPr="00787759">
        <w:rPr>
          <w:color w:val="000000" w:themeColor="text1"/>
          <w:sz w:val="20"/>
          <w:szCs w:val="20"/>
        </w:rPr>
        <w:t xml:space="preserve">; Penelope Edmonds and Anna Johnston, ‘Empire, Humanitarianism and Violence in the Colonies, </w:t>
      </w:r>
      <w:r w:rsidRPr="00787759">
        <w:rPr>
          <w:i/>
          <w:iCs/>
          <w:color w:val="000000" w:themeColor="text1"/>
          <w:sz w:val="20"/>
          <w:szCs w:val="20"/>
        </w:rPr>
        <w:t xml:space="preserve">Journal of Colonialism and Colonial History </w:t>
      </w:r>
      <w:r w:rsidRPr="00217567">
        <w:rPr>
          <w:i/>
          <w:color w:val="000000" w:themeColor="text1"/>
          <w:sz w:val="20"/>
          <w:szCs w:val="20"/>
        </w:rPr>
        <w:t>17</w:t>
      </w:r>
      <w:r w:rsidRPr="00787759">
        <w:rPr>
          <w:iCs/>
          <w:color w:val="000000" w:themeColor="text1"/>
          <w:sz w:val="20"/>
          <w:szCs w:val="20"/>
        </w:rPr>
        <w:t>,</w:t>
      </w:r>
      <w:r w:rsidRPr="00787759">
        <w:rPr>
          <w:i/>
          <w:iCs/>
          <w:color w:val="000000" w:themeColor="text1"/>
          <w:sz w:val="20"/>
          <w:szCs w:val="20"/>
        </w:rPr>
        <w:t xml:space="preserve"> </w:t>
      </w:r>
      <w:r w:rsidRPr="00787759">
        <w:rPr>
          <w:color w:val="000000" w:themeColor="text1"/>
          <w:sz w:val="20"/>
          <w:szCs w:val="20"/>
        </w:rPr>
        <w:t>no. 1 (2016)</w:t>
      </w:r>
      <w:r w:rsidR="00A428A0">
        <w:rPr>
          <w:color w:val="000000" w:themeColor="text1"/>
          <w:sz w:val="20"/>
          <w:szCs w:val="20"/>
        </w:rPr>
        <w:t xml:space="preserve">: </w:t>
      </w:r>
      <w:r>
        <w:rPr>
          <w:color w:val="000000" w:themeColor="text1"/>
          <w:sz w:val="20"/>
          <w:szCs w:val="20"/>
        </w:rPr>
        <w:t>n.p.</w:t>
      </w:r>
    </w:p>
  </w:footnote>
  <w:footnote w:id="66">
    <w:p w14:paraId="48FA2F53" w14:textId="1A9CAAE0" w:rsidR="005B7BA1" w:rsidRDefault="005B7BA1">
      <w:pPr>
        <w:pStyle w:val="FootnoteText"/>
      </w:pPr>
      <w:r>
        <w:rPr>
          <w:rStyle w:val="FootnoteReference"/>
        </w:rPr>
        <w:footnoteRef/>
      </w:r>
      <w:r>
        <w:t xml:space="preserve"> </w:t>
      </w:r>
      <w:r w:rsidR="00A428A0">
        <w:t xml:space="preserve">N.J.B. </w:t>
      </w:r>
      <w:r>
        <w:t xml:space="preserve">Plomley, </w:t>
      </w:r>
      <w:r w:rsidRPr="00217567">
        <w:rPr>
          <w:i/>
          <w:iCs/>
        </w:rPr>
        <w:t>Friendly Mission: The Tasmanian Journals and Papers of George Augustus Robinson</w:t>
      </w:r>
      <w:r>
        <w:t xml:space="preserve">, 1829-34, </w:t>
      </w:r>
      <w:r w:rsidR="009A0DE5">
        <w:t>2</w:t>
      </w:r>
      <w:r w:rsidR="009A0DE5" w:rsidRPr="00217567">
        <w:rPr>
          <w:vertAlign w:val="superscript"/>
        </w:rPr>
        <w:t>nd</w:t>
      </w:r>
      <w:r w:rsidR="009A0DE5">
        <w:t xml:space="preserve"> edn. </w:t>
      </w:r>
      <w:r>
        <w:t xml:space="preserve">(Hobart: Quintus, 2008), p. </w:t>
      </w:r>
      <w:r w:rsidR="00D6479D">
        <w:t>951</w:t>
      </w:r>
      <w:r w:rsidR="00FD4026">
        <w:t>.</w:t>
      </w:r>
    </w:p>
  </w:footnote>
  <w:footnote w:id="67">
    <w:p w14:paraId="786AC632" w14:textId="5BEC76B4"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Clements, ‘Frontier Conflict’, </w:t>
      </w:r>
      <w:r>
        <w:rPr>
          <w:color w:val="000000" w:themeColor="text1"/>
        </w:rPr>
        <w:t xml:space="preserve">p. </w:t>
      </w:r>
      <w:r w:rsidRPr="00AD1C5E">
        <w:rPr>
          <w:color w:val="000000" w:themeColor="text1"/>
        </w:rPr>
        <w:t>330. N.</w:t>
      </w:r>
      <w:r>
        <w:rPr>
          <w:color w:val="000000" w:themeColor="text1"/>
        </w:rPr>
        <w:t xml:space="preserve"> </w:t>
      </w:r>
      <w:r w:rsidRPr="00AD1C5E">
        <w:rPr>
          <w:color w:val="000000" w:themeColor="text1"/>
        </w:rPr>
        <w:t>J.</w:t>
      </w:r>
      <w:r>
        <w:rPr>
          <w:color w:val="000000" w:themeColor="text1"/>
        </w:rPr>
        <w:t xml:space="preserve"> </w:t>
      </w:r>
      <w:r w:rsidRPr="00AD1C5E">
        <w:rPr>
          <w:color w:val="000000" w:themeColor="text1"/>
        </w:rPr>
        <w:t xml:space="preserve">B. Plomley, </w:t>
      </w:r>
      <w:r w:rsidRPr="00AD1C5E">
        <w:rPr>
          <w:i/>
          <w:iCs/>
          <w:color w:val="000000" w:themeColor="text1"/>
        </w:rPr>
        <w:t>Weep in Silence</w:t>
      </w:r>
      <w:r w:rsidRPr="00AD1C5E">
        <w:rPr>
          <w:i/>
          <w:color w:val="000000" w:themeColor="text1"/>
        </w:rPr>
        <w:t xml:space="preserve">: A History of Flinders Island Aboriginal Settlement with the Flinders Island Journal of George Augustus Robinson </w:t>
      </w:r>
      <w:r w:rsidRPr="00AD1C5E">
        <w:rPr>
          <w:color w:val="000000" w:themeColor="text1"/>
        </w:rPr>
        <w:t>(Hobart: Blubber Head Press, 1987)</w:t>
      </w:r>
      <w:r>
        <w:rPr>
          <w:color w:val="000000" w:themeColor="text1"/>
        </w:rPr>
        <w:t>,</w:t>
      </w:r>
      <w:r w:rsidRPr="00AD1C5E">
        <w:rPr>
          <w:i/>
          <w:iCs/>
          <w:color w:val="000000" w:themeColor="text1"/>
        </w:rPr>
        <w:t xml:space="preserve"> </w:t>
      </w:r>
      <w:r w:rsidRPr="00AD1C5E">
        <w:rPr>
          <w:color w:val="000000" w:themeColor="text1"/>
        </w:rPr>
        <w:t>Appendix 1.</w:t>
      </w:r>
    </w:p>
  </w:footnote>
  <w:footnote w:id="68">
    <w:p w14:paraId="6DD7817E" w14:textId="79E69E6D"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Lawson, </w:t>
      </w:r>
      <w:r w:rsidRPr="00AD1C5E">
        <w:rPr>
          <w:i/>
          <w:color w:val="000000" w:themeColor="text1"/>
        </w:rPr>
        <w:t>Last Man</w:t>
      </w:r>
      <w:r w:rsidRPr="006E6FD1">
        <w:rPr>
          <w:iCs/>
          <w:color w:val="000000" w:themeColor="text1"/>
        </w:rPr>
        <w:t>,</w:t>
      </w:r>
      <w:r w:rsidRPr="00AD1C5E">
        <w:rPr>
          <w:i/>
          <w:color w:val="000000" w:themeColor="text1"/>
        </w:rPr>
        <w:t xml:space="preserve"> </w:t>
      </w:r>
      <w:r w:rsidRPr="00AD1C5E">
        <w:rPr>
          <w:color w:val="000000" w:themeColor="text1"/>
        </w:rPr>
        <w:t xml:space="preserve">pp. 86, 104, 108. </w:t>
      </w:r>
    </w:p>
  </w:footnote>
  <w:footnote w:id="69">
    <w:p w14:paraId="68A07C6E" w14:textId="309062EE"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Russell McGregor, </w:t>
      </w:r>
      <w:r w:rsidRPr="00AD1C5E">
        <w:rPr>
          <w:i/>
          <w:iCs/>
          <w:color w:val="000000" w:themeColor="text1"/>
        </w:rPr>
        <w:t>Imagined Destinies: Aboriginal Australians and the doomed race theory, 1880</w:t>
      </w:r>
      <w:r>
        <w:rPr>
          <w:i/>
          <w:iCs/>
          <w:color w:val="000000" w:themeColor="text1"/>
        </w:rPr>
        <w:t>–</w:t>
      </w:r>
      <w:r w:rsidRPr="00AD1C5E">
        <w:rPr>
          <w:i/>
          <w:iCs/>
          <w:color w:val="000000" w:themeColor="text1"/>
        </w:rPr>
        <w:t>1939</w:t>
      </w:r>
      <w:r w:rsidRPr="00AD1C5E">
        <w:rPr>
          <w:color w:val="000000" w:themeColor="text1"/>
        </w:rPr>
        <w:t xml:space="preserve"> (Melbourne: Melbourne University Press, 1997)</w:t>
      </w:r>
      <w:r>
        <w:rPr>
          <w:color w:val="000000" w:themeColor="text1"/>
        </w:rPr>
        <w:t>,</w:t>
      </w:r>
      <w:r w:rsidRPr="00AD1C5E">
        <w:rPr>
          <w:color w:val="000000" w:themeColor="text1"/>
        </w:rPr>
        <w:t xml:space="preserve"> pp. 13</w:t>
      </w:r>
      <w:r>
        <w:rPr>
          <w:color w:val="000000" w:themeColor="text1"/>
        </w:rPr>
        <w:t>–</w:t>
      </w:r>
      <w:r w:rsidRPr="00AD1C5E">
        <w:rPr>
          <w:color w:val="000000" w:themeColor="text1"/>
        </w:rPr>
        <w:t>14.</w:t>
      </w:r>
    </w:p>
  </w:footnote>
  <w:footnote w:id="70">
    <w:p w14:paraId="32EC352C" w14:textId="145E7D34"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w:t>
      </w:r>
      <w:r w:rsidRPr="00AD1C5E">
        <w:rPr>
          <w:iCs/>
          <w:color w:val="000000" w:themeColor="text1"/>
        </w:rPr>
        <w:t>Ibid</w:t>
      </w:r>
      <w:r w:rsidRPr="00AD1C5E">
        <w:rPr>
          <w:i/>
          <w:iCs/>
          <w:color w:val="000000" w:themeColor="text1"/>
        </w:rPr>
        <w:t>.</w:t>
      </w:r>
      <w:r w:rsidRPr="006E6FD1">
        <w:rPr>
          <w:color w:val="000000" w:themeColor="text1"/>
        </w:rPr>
        <w:t>,</w:t>
      </w:r>
      <w:r w:rsidRPr="00AD1C5E">
        <w:rPr>
          <w:i/>
          <w:iCs/>
          <w:color w:val="000000" w:themeColor="text1"/>
        </w:rPr>
        <w:t xml:space="preserve"> </w:t>
      </w:r>
      <w:r w:rsidRPr="00AD1C5E">
        <w:rPr>
          <w:color w:val="000000" w:themeColor="text1"/>
        </w:rPr>
        <w:t>pp. 17</w:t>
      </w:r>
      <w:r>
        <w:rPr>
          <w:color w:val="000000" w:themeColor="text1"/>
        </w:rPr>
        <w:t>–</w:t>
      </w:r>
      <w:r w:rsidRPr="00AD1C5E">
        <w:rPr>
          <w:color w:val="000000" w:themeColor="text1"/>
        </w:rPr>
        <w:t>18.</w:t>
      </w:r>
    </w:p>
  </w:footnote>
  <w:footnote w:id="71">
    <w:p w14:paraId="36226A3D" w14:textId="623586BA"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Fry, </w:t>
      </w:r>
      <w:r w:rsidRPr="00AD1C5E">
        <w:rPr>
          <w:i/>
          <w:iCs/>
          <w:color w:val="000000" w:themeColor="text1"/>
        </w:rPr>
        <w:t>How Australia became British</w:t>
      </w:r>
      <w:r w:rsidRPr="00AD1C5E">
        <w:rPr>
          <w:color w:val="000000" w:themeColor="text1"/>
        </w:rPr>
        <w:t xml:space="preserve">, </w:t>
      </w:r>
      <w:r>
        <w:rPr>
          <w:color w:val="000000" w:themeColor="text1"/>
        </w:rPr>
        <w:t>c</w:t>
      </w:r>
      <w:r w:rsidRPr="00AD1C5E">
        <w:rPr>
          <w:color w:val="000000" w:themeColor="text1"/>
        </w:rPr>
        <w:t>h. 2</w:t>
      </w:r>
      <w:r>
        <w:rPr>
          <w:color w:val="000000" w:themeColor="text1"/>
        </w:rPr>
        <w:t>.</w:t>
      </w:r>
    </w:p>
  </w:footnote>
  <w:footnote w:id="72">
    <w:p w14:paraId="61527C53" w14:textId="257FDA27"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George Fletcher Moore, </w:t>
      </w:r>
      <w:r w:rsidRPr="00AD1C5E">
        <w:rPr>
          <w:i/>
          <w:color w:val="000000" w:themeColor="text1"/>
        </w:rPr>
        <w:t xml:space="preserve">Diary of </w:t>
      </w:r>
      <w:r>
        <w:rPr>
          <w:i/>
          <w:color w:val="000000" w:themeColor="text1"/>
        </w:rPr>
        <w:t>T</w:t>
      </w:r>
      <w:r w:rsidRPr="00AD1C5E">
        <w:rPr>
          <w:i/>
          <w:color w:val="000000" w:themeColor="text1"/>
        </w:rPr>
        <w:t xml:space="preserve">en </w:t>
      </w:r>
      <w:r>
        <w:rPr>
          <w:i/>
          <w:color w:val="000000" w:themeColor="text1"/>
        </w:rPr>
        <w:t>Y</w:t>
      </w:r>
      <w:r w:rsidRPr="00AD1C5E">
        <w:rPr>
          <w:i/>
          <w:color w:val="000000" w:themeColor="text1"/>
        </w:rPr>
        <w:t xml:space="preserve">ears </w:t>
      </w:r>
      <w:r>
        <w:rPr>
          <w:i/>
          <w:color w:val="000000" w:themeColor="text1"/>
        </w:rPr>
        <w:t>E</w:t>
      </w:r>
      <w:r w:rsidRPr="00AD1C5E">
        <w:rPr>
          <w:i/>
          <w:color w:val="000000" w:themeColor="text1"/>
        </w:rPr>
        <w:t xml:space="preserve">ventful </w:t>
      </w:r>
      <w:r>
        <w:rPr>
          <w:i/>
          <w:color w:val="000000" w:themeColor="text1"/>
        </w:rPr>
        <w:t>L</w:t>
      </w:r>
      <w:r w:rsidRPr="00AD1C5E">
        <w:rPr>
          <w:i/>
          <w:color w:val="000000" w:themeColor="text1"/>
        </w:rPr>
        <w:t xml:space="preserve">ife of an </w:t>
      </w:r>
      <w:r>
        <w:rPr>
          <w:i/>
          <w:color w:val="000000" w:themeColor="text1"/>
        </w:rPr>
        <w:t>E</w:t>
      </w:r>
      <w:r w:rsidRPr="00AD1C5E">
        <w:rPr>
          <w:i/>
          <w:color w:val="000000" w:themeColor="text1"/>
        </w:rPr>
        <w:t xml:space="preserve">arly </w:t>
      </w:r>
      <w:r>
        <w:rPr>
          <w:i/>
          <w:color w:val="000000" w:themeColor="text1"/>
        </w:rPr>
        <w:t>S</w:t>
      </w:r>
      <w:r w:rsidRPr="00AD1C5E">
        <w:rPr>
          <w:i/>
          <w:color w:val="000000" w:themeColor="text1"/>
        </w:rPr>
        <w:t xml:space="preserve">ettler in Western Australia </w:t>
      </w:r>
      <w:r w:rsidRPr="00AD1C5E">
        <w:rPr>
          <w:color w:val="000000" w:themeColor="text1"/>
        </w:rPr>
        <w:t>(London: M. Walbrook, 1884)</w:t>
      </w:r>
      <w:r>
        <w:rPr>
          <w:color w:val="000000" w:themeColor="text1"/>
        </w:rPr>
        <w:t>,</w:t>
      </w:r>
      <w:r w:rsidRPr="00AD1C5E">
        <w:rPr>
          <w:color w:val="000000" w:themeColor="text1"/>
        </w:rPr>
        <w:t xml:space="preserve"> p. 215.</w:t>
      </w:r>
    </w:p>
  </w:footnote>
  <w:footnote w:id="73">
    <w:p w14:paraId="34787803" w14:textId="69991E47"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HCPP 1837</w:t>
      </w:r>
      <w:r>
        <w:rPr>
          <w:color w:val="000000" w:themeColor="text1"/>
        </w:rPr>
        <w:t>–</w:t>
      </w:r>
      <w:r w:rsidRPr="00AD1C5E">
        <w:rPr>
          <w:color w:val="000000" w:themeColor="text1"/>
        </w:rPr>
        <w:t xml:space="preserve">8, vol. 11, no. 685, </w:t>
      </w:r>
      <w:r w:rsidRPr="00217567">
        <w:rPr>
          <w:i/>
          <w:iCs/>
          <w:color w:val="000000" w:themeColor="text1"/>
        </w:rPr>
        <w:t>Return of expenses defrayed by this country in the colonies of Western and Southern Australia, during the last three years</w:t>
      </w:r>
      <w:r w:rsidRPr="00AD1C5E">
        <w:rPr>
          <w:color w:val="000000" w:themeColor="text1"/>
        </w:rPr>
        <w:t>, James Stirling, Governor of Western Australia, to Earl of Aberdeen, Secretary of State for War and the Colonies, 15 Oct</w:t>
      </w:r>
      <w:r>
        <w:rPr>
          <w:color w:val="000000" w:themeColor="text1"/>
        </w:rPr>
        <w:t>ober</w:t>
      </w:r>
      <w:r w:rsidRPr="00AD1C5E">
        <w:rPr>
          <w:color w:val="000000" w:themeColor="text1"/>
        </w:rPr>
        <w:t xml:space="preserve"> 1835, encl. 1, ‘Return of all Lands for Public Purposes in Western Australia, From Establishment of the Colony in June 1829 to 6 October 1835’, pp. 191</w:t>
      </w:r>
      <w:r>
        <w:rPr>
          <w:color w:val="000000" w:themeColor="text1"/>
        </w:rPr>
        <w:t>–</w:t>
      </w:r>
      <w:r w:rsidRPr="00AD1C5E">
        <w:rPr>
          <w:color w:val="000000" w:themeColor="text1"/>
        </w:rPr>
        <w:t>2.</w:t>
      </w:r>
    </w:p>
  </w:footnote>
  <w:footnote w:id="74">
    <w:p w14:paraId="0CA0C83C" w14:textId="52CBFDBD" w:rsidR="005B7BA1" w:rsidRPr="00AD1C5E" w:rsidRDefault="005B7BA1" w:rsidP="008735A3">
      <w:pPr>
        <w:pStyle w:val="FootnoteText"/>
        <w:rPr>
          <w:color w:val="000000" w:themeColor="text1"/>
        </w:rPr>
      </w:pPr>
      <w:r w:rsidRPr="00AD1C5E">
        <w:rPr>
          <w:rStyle w:val="FootnoteReference"/>
          <w:color w:val="000000" w:themeColor="text1"/>
        </w:rPr>
        <w:footnoteRef/>
      </w:r>
      <w:r w:rsidRPr="00AD1C5E">
        <w:rPr>
          <w:color w:val="000000" w:themeColor="text1"/>
        </w:rPr>
        <w:t xml:space="preserve"> Neville Green, </w:t>
      </w:r>
      <w:r w:rsidRPr="00AD1C5E">
        <w:rPr>
          <w:i/>
          <w:color w:val="000000" w:themeColor="text1"/>
        </w:rPr>
        <w:t>Broken Spears: Aborigines and Europeans in Western Australia</w:t>
      </w:r>
      <w:r w:rsidRPr="00AD1C5E">
        <w:rPr>
          <w:color w:val="000000" w:themeColor="text1"/>
        </w:rPr>
        <w:t xml:space="preserve"> (Perth: Focus Education Services, 1984)</w:t>
      </w:r>
      <w:r>
        <w:rPr>
          <w:color w:val="000000" w:themeColor="text1"/>
        </w:rPr>
        <w:t>,</w:t>
      </w:r>
      <w:r w:rsidRPr="00AD1C5E">
        <w:rPr>
          <w:i/>
          <w:color w:val="000000" w:themeColor="text1"/>
        </w:rPr>
        <w:t xml:space="preserve"> </w:t>
      </w:r>
      <w:r w:rsidRPr="00AD1C5E">
        <w:rPr>
          <w:color w:val="000000" w:themeColor="text1"/>
        </w:rPr>
        <w:t>pp. 82</w:t>
      </w:r>
      <w:r>
        <w:rPr>
          <w:color w:val="000000" w:themeColor="text1"/>
        </w:rPr>
        <w:t>–</w:t>
      </w:r>
      <w:r w:rsidRPr="00AD1C5E">
        <w:rPr>
          <w:color w:val="000000" w:themeColor="text1"/>
        </w:rPr>
        <w:t>4.</w:t>
      </w:r>
    </w:p>
  </w:footnote>
  <w:footnote w:id="75">
    <w:p w14:paraId="00027288" w14:textId="0B210033" w:rsidR="005B7BA1" w:rsidRPr="00AD1C5E" w:rsidRDefault="005B7BA1" w:rsidP="005B7BA1">
      <w:pPr>
        <w:pStyle w:val="FootnoteText"/>
        <w:rPr>
          <w:color w:val="000000" w:themeColor="text1"/>
        </w:rPr>
      </w:pPr>
      <w:r w:rsidRPr="00AD1C5E">
        <w:rPr>
          <w:rStyle w:val="FootnoteReference"/>
          <w:color w:val="000000" w:themeColor="text1"/>
        </w:rPr>
        <w:footnoteRef/>
      </w:r>
      <w:r w:rsidRPr="00AD1C5E">
        <w:rPr>
          <w:color w:val="000000" w:themeColor="text1"/>
        </w:rPr>
        <w:t xml:space="preserve"> Amanda Nettelbeck, ‘“A Halo of Protection”: Colonial </w:t>
      </w:r>
      <w:r>
        <w:rPr>
          <w:color w:val="000000" w:themeColor="text1"/>
        </w:rPr>
        <w:t>P</w:t>
      </w:r>
      <w:r w:rsidRPr="00AD1C5E">
        <w:rPr>
          <w:color w:val="000000" w:themeColor="text1"/>
        </w:rPr>
        <w:t xml:space="preserve">rotectors and the </w:t>
      </w:r>
      <w:r>
        <w:rPr>
          <w:color w:val="000000" w:themeColor="text1"/>
        </w:rPr>
        <w:t>P</w:t>
      </w:r>
      <w:r w:rsidRPr="00AD1C5E">
        <w:rPr>
          <w:color w:val="000000" w:themeColor="text1"/>
        </w:rPr>
        <w:t xml:space="preserve">rinciple of Aboriginal </w:t>
      </w:r>
      <w:r>
        <w:rPr>
          <w:color w:val="000000" w:themeColor="text1"/>
        </w:rPr>
        <w:t>P</w:t>
      </w:r>
      <w:r w:rsidRPr="00AD1C5E">
        <w:rPr>
          <w:color w:val="000000" w:themeColor="text1"/>
        </w:rPr>
        <w:t xml:space="preserve">rotection through </w:t>
      </w:r>
      <w:r>
        <w:rPr>
          <w:color w:val="000000" w:themeColor="text1"/>
        </w:rPr>
        <w:t>P</w:t>
      </w:r>
      <w:r w:rsidRPr="00AD1C5E">
        <w:rPr>
          <w:color w:val="000000" w:themeColor="text1"/>
        </w:rPr>
        <w:t xml:space="preserve">unishment’, </w:t>
      </w:r>
      <w:r w:rsidRPr="00AD1C5E">
        <w:rPr>
          <w:i/>
          <w:color w:val="000000" w:themeColor="text1"/>
        </w:rPr>
        <w:t xml:space="preserve">Australian Historical Studies </w:t>
      </w:r>
      <w:r w:rsidRPr="00217567">
        <w:rPr>
          <w:i/>
          <w:color w:val="000000" w:themeColor="text1"/>
        </w:rPr>
        <w:t>43</w:t>
      </w:r>
      <w:r w:rsidRPr="00AD1C5E">
        <w:rPr>
          <w:color w:val="000000" w:themeColor="text1"/>
        </w:rPr>
        <w:t>, no. 3 (2012)</w:t>
      </w:r>
      <w:r w:rsidR="005B71CC">
        <w:rPr>
          <w:color w:val="000000" w:themeColor="text1"/>
        </w:rPr>
        <w:t>:</w:t>
      </w:r>
      <w:r w:rsidRPr="00AD1C5E">
        <w:rPr>
          <w:color w:val="000000" w:themeColor="text1"/>
        </w:rPr>
        <w:t xml:space="preserve"> pp. 396</w:t>
      </w:r>
      <w:r>
        <w:rPr>
          <w:color w:val="000000" w:themeColor="text1"/>
        </w:rPr>
        <w:t>–</w:t>
      </w:r>
      <w:r w:rsidRPr="00AD1C5E">
        <w:rPr>
          <w:color w:val="000000" w:themeColor="text1"/>
        </w:rPr>
        <w:t>411.</w:t>
      </w:r>
      <w:r w:rsidRPr="00AD1C5E">
        <w:rPr>
          <w:i/>
          <w:iCs/>
          <w:color w:val="000000" w:themeColor="text1"/>
        </w:rPr>
        <w:t xml:space="preserve"> </w:t>
      </w:r>
    </w:p>
  </w:footnote>
  <w:footnote w:id="76">
    <w:p w14:paraId="41654DEA" w14:textId="322B764A" w:rsidR="005B7BA1" w:rsidRPr="006C7E67" w:rsidRDefault="005B7BA1" w:rsidP="008735A3">
      <w:pPr>
        <w:rPr>
          <w:color w:val="000000" w:themeColor="text1"/>
          <w:sz w:val="20"/>
          <w:szCs w:val="20"/>
        </w:rPr>
      </w:pPr>
      <w:r w:rsidRPr="006C7E67">
        <w:rPr>
          <w:rStyle w:val="FootnoteReference"/>
          <w:color w:val="000000" w:themeColor="text1"/>
          <w:sz w:val="20"/>
          <w:szCs w:val="20"/>
        </w:rPr>
        <w:footnoteRef/>
      </w:r>
      <w:r w:rsidRPr="006C7E67">
        <w:rPr>
          <w:color w:val="000000" w:themeColor="text1"/>
          <w:sz w:val="20"/>
          <w:szCs w:val="20"/>
        </w:rPr>
        <w:t xml:space="preserve"> </w:t>
      </w:r>
      <w:r w:rsidRPr="006C7E67">
        <w:rPr>
          <w:color w:val="000000" w:themeColor="text1"/>
          <w:sz w:val="20"/>
          <w:szCs w:val="20"/>
          <w:lang w:val="en-US"/>
        </w:rPr>
        <w:t xml:space="preserve">HCPP 1844, vol. 34, no. 627, </w:t>
      </w:r>
      <w:r w:rsidRPr="006C7E67">
        <w:rPr>
          <w:i/>
          <w:iCs/>
          <w:color w:val="000000" w:themeColor="text1"/>
          <w:sz w:val="20"/>
          <w:szCs w:val="20"/>
          <w:lang w:val="en-US"/>
        </w:rPr>
        <w:t xml:space="preserve">Aborigines (Australian </w:t>
      </w:r>
      <w:r>
        <w:rPr>
          <w:i/>
          <w:iCs/>
          <w:color w:val="000000" w:themeColor="text1"/>
          <w:sz w:val="20"/>
          <w:szCs w:val="20"/>
          <w:lang w:val="en-US"/>
        </w:rPr>
        <w:t>C</w:t>
      </w:r>
      <w:r w:rsidRPr="006C7E67">
        <w:rPr>
          <w:i/>
          <w:iCs/>
          <w:color w:val="000000" w:themeColor="text1"/>
          <w:sz w:val="20"/>
          <w:szCs w:val="20"/>
          <w:lang w:val="en-US"/>
        </w:rPr>
        <w:t xml:space="preserve">olonies) Return to an </w:t>
      </w:r>
      <w:r>
        <w:rPr>
          <w:i/>
          <w:iCs/>
          <w:color w:val="000000" w:themeColor="text1"/>
          <w:sz w:val="20"/>
          <w:szCs w:val="20"/>
          <w:lang w:val="en-US"/>
        </w:rPr>
        <w:t>A</w:t>
      </w:r>
      <w:r w:rsidRPr="006C7E67">
        <w:rPr>
          <w:i/>
          <w:iCs/>
          <w:color w:val="000000" w:themeColor="text1"/>
          <w:sz w:val="20"/>
          <w:szCs w:val="20"/>
          <w:lang w:val="en-US"/>
        </w:rPr>
        <w:t>ddress of the Honorable the House of Commons, dated 5 August 1844, for,</w:t>
      </w:r>
      <w:r w:rsidRPr="006C7E67">
        <w:rPr>
          <w:i/>
          <w:iCs/>
          <w:color w:val="000000" w:themeColor="text1"/>
          <w:sz w:val="20"/>
          <w:szCs w:val="20"/>
        </w:rPr>
        <w:t xml:space="preserve"> </w:t>
      </w:r>
      <w:r>
        <w:rPr>
          <w:i/>
          <w:iCs/>
          <w:color w:val="000000" w:themeColor="text1"/>
          <w:sz w:val="20"/>
          <w:szCs w:val="20"/>
        </w:rPr>
        <w:t>C</w:t>
      </w:r>
      <w:r w:rsidRPr="006C7E67">
        <w:rPr>
          <w:i/>
          <w:iCs/>
          <w:color w:val="000000" w:themeColor="text1"/>
          <w:sz w:val="20"/>
          <w:szCs w:val="20"/>
        </w:rPr>
        <w:t xml:space="preserve">opies or </w:t>
      </w:r>
      <w:r>
        <w:rPr>
          <w:i/>
          <w:iCs/>
          <w:color w:val="000000" w:themeColor="text1"/>
          <w:sz w:val="20"/>
          <w:szCs w:val="20"/>
        </w:rPr>
        <w:t>E</w:t>
      </w:r>
      <w:r w:rsidRPr="006C7E67">
        <w:rPr>
          <w:i/>
          <w:iCs/>
          <w:color w:val="000000" w:themeColor="text1"/>
          <w:sz w:val="20"/>
          <w:szCs w:val="20"/>
        </w:rPr>
        <w:t xml:space="preserve">xtracts from the </w:t>
      </w:r>
      <w:r>
        <w:rPr>
          <w:i/>
          <w:iCs/>
          <w:color w:val="000000" w:themeColor="text1"/>
          <w:sz w:val="20"/>
          <w:szCs w:val="20"/>
        </w:rPr>
        <w:t>D</w:t>
      </w:r>
      <w:r w:rsidRPr="006C7E67">
        <w:rPr>
          <w:i/>
          <w:iCs/>
          <w:color w:val="000000" w:themeColor="text1"/>
          <w:sz w:val="20"/>
          <w:szCs w:val="20"/>
        </w:rPr>
        <w:t xml:space="preserve">espatches of the </w:t>
      </w:r>
      <w:r>
        <w:rPr>
          <w:i/>
          <w:iCs/>
          <w:color w:val="000000" w:themeColor="text1"/>
          <w:sz w:val="20"/>
          <w:szCs w:val="20"/>
        </w:rPr>
        <w:t>G</w:t>
      </w:r>
      <w:r w:rsidRPr="006C7E67">
        <w:rPr>
          <w:i/>
          <w:iCs/>
          <w:color w:val="000000" w:themeColor="text1"/>
          <w:sz w:val="20"/>
          <w:szCs w:val="20"/>
        </w:rPr>
        <w:t xml:space="preserve">overnors of the Australian </w:t>
      </w:r>
      <w:r>
        <w:rPr>
          <w:i/>
          <w:iCs/>
          <w:color w:val="000000" w:themeColor="text1"/>
          <w:sz w:val="20"/>
          <w:szCs w:val="20"/>
        </w:rPr>
        <w:t>C</w:t>
      </w:r>
      <w:r w:rsidRPr="006C7E67">
        <w:rPr>
          <w:i/>
          <w:iCs/>
          <w:color w:val="000000" w:themeColor="text1"/>
          <w:sz w:val="20"/>
          <w:szCs w:val="20"/>
        </w:rPr>
        <w:t xml:space="preserve">olonies, with the </w:t>
      </w:r>
      <w:r>
        <w:rPr>
          <w:i/>
          <w:iCs/>
          <w:color w:val="000000" w:themeColor="text1"/>
          <w:sz w:val="20"/>
          <w:szCs w:val="20"/>
        </w:rPr>
        <w:t>R</w:t>
      </w:r>
      <w:r w:rsidRPr="006C7E67">
        <w:rPr>
          <w:i/>
          <w:iCs/>
          <w:color w:val="000000" w:themeColor="text1"/>
          <w:sz w:val="20"/>
          <w:szCs w:val="20"/>
        </w:rPr>
        <w:t xml:space="preserve">eports of the </w:t>
      </w:r>
      <w:r>
        <w:rPr>
          <w:i/>
          <w:iCs/>
          <w:color w:val="000000" w:themeColor="text1"/>
          <w:sz w:val="20"/>
          <w:szCs w:val="20"/>
        </w:rPr>
        <w:t>P</w:t>
      </w:r>
      <w:r w:rsidRPr="006C7E67">
        <w:rPr>
          <w:i/>
          <w:iCs/>
          <w:color w:val="000000" w:themeColor="text1"/>
          <w:sz w:val="20"/>
          <w:szCs w:val="20"/>
        </w:rPr>
        <w:t xml:space="preserve">rotectors of </w:t>
      </w:r>
      <w:r>
        <w:rPr>
          <w:i/>
          <w:iCs/>
          <w:color w:val="000000" w:themeColor="text1"/>
          <w:sz w:val="20"/>
          <w:szCs w:val="20"/>
        </w:rPr>
        <w:t>A</w:t>
      </w:r>
      <w:r w:rsidRPr="006C7E67">
        <w:rPr>
          <w:i/>
          <w:iCs/>
          <w:color w:val="000000" w:themeColor="text1"/>
          <w:sz w:val="20"/>
          <w:szCs w:val="20"/>
        </w:rPr>
        <w:t xml:space="preserve">borigines, and any </w:t>
      </w:r>
      <w:r>
        <w:rPr>
          <w:i/>
          <w:iCs/>
          <w:color w:val="000000" w:themeColor="text1"/>
          <w:sz w:val="20"/>
          <w:szCs w:val="20"/>
        </w:rPr>
        <w:t>O</w:t>
      </w:r>
      <w:r w:rsidRPr="006C7E67">
        <w:rPr>
          <w:i/>
          <w:iCs/>
          <w:color w:val="000000" w:themeColor="text1"/>
          <w:sz w:val="20"/>
          <w:szCs w:val="20"/>
        </w:rPr>
        <w:t xml:space="preserve">ther </w:t>
      </w:r>
      <w:r>
        <w:rPr>
          <w:i/>
          <w:iCs/>
          <w:color w:val="000000" w:themeColor="text1"/>
          <w:sz w:val="20"/>
          <w:szCs w:val="20"/>
        </w:rPr>
        <w:t>C</w:t>
      </w:r>
      <w:r w:rsidRPr="006C7E67">
        <w:rPr>
          <w:i/>
          <w:iCs/>
          <w:color w:val="000000" w:themeColor="text1"/>
          <w:sz w:val="20"/>
          <w:szCs w:val="20"/>
        </w:rPr>
        <w:t xml:space="preserve">orrespondence to illustrate the </w:t>
      </w:r>
      <w:r>
        <w:rPr>
          <w:i/>
          <w:iCs/>
          <w:color w:val="000000" w:themeColor="text1"/>
          <w:sz w:val="20"/>
          <w:szCs w:val="20"/>
        </w:rPr>
        <w:t>C</w:t>
      </w:r>
      <w:r w:rsidRPr="006C7E67">
        <w:rPr>
          <w:i/>
          <w:iCs/>
          <w:color w:val="000000" w:themeColor="text1"/>
          <w:sz w:val="20"/>
          <w:szCs w:val="20"/>
        </w:rPr>
        <w:t xml:space="preserve">ondition of the </w:t>
      </w:r>
      <w:r>
        <w:rPr>
          <w:i/>
          <w:iCs/>
          <w:color w:val="000000" w:themeColor="text1"/>
          <w:sz w:val="20"/>
          <w:szCs w:val="20"/>
        </w:rPr>
        <w:t>A</w:t>
      </w:r>
      <w:r w:rsidRPr="006C7E67">
        <w:rPr>
          <w:i/>
          <w:iCs/>
          <w:color w:val="000000" w:themeColor="text1"/>
          <w:sz w:val="20"/>
          <w:szCs w:val="20"/>
        </w:rPr>
        <w:t xml:space="preserve">boriginal </w:t>
      </w:r>
      <w:r>
        <w:rPr>
          <w:i/>
          <w:iCs/>
          <w:color w:val="000000" w:themeColor="text1"/>
          <w:sz w:val="20"/>
          <w:szCs w:val="20"/>
        </w:rPr>
        <w:t>P</w:t>
      </w:r>
      <w:r w:rsidRPr="006C7E67">
        <w:rPr>
          <w:i/>
          <w:iCs/>
          <w:color w:val="000000" w:themeColor="text1"/>
          <w:sz w:val="20"/>
          <w:szCs w:val="20"/>
        </w:rPr>
        <w:t xml:space="preserve">opulation of the </w:t>
      </w:r>
      <w:r>
        <w:rPr>
          <w:i/>
          <w:iCs/>
          <w:color w:val="000000" w:themeColor="text1"/>
          <w:sz w:val="20"/>
          <w:szCs w:val="20"/>
        </w:rPr>
        <w:t>S</w:t>
      </w:r>
      <w:r w:rsidRPr="006C7E67">
        <w:rPr>
          <w:i/>
          <w:iCs/>
          <w:color w:val="000000" w:themeColor="text1"/>
          <w:sz w:val="20"/>
          <w:szCs w:val="20"/>
        </w:rPr>
        <w:t xml:space="preserve">aid </w:t>
      </w:r>
      <w:r>
        <w:rPr>
          <w:i/>
          <w:iCs/>
          <w:color w:val="000000" w:themeColor="text1"/>
          <w:sz w:val="20"/>
          <w:szCs w:val="20"/>
        </w:rPr>
        <w:t>C</w:t>
      </w:r>
      <w:r w:rsidRPr="006C7E67">
        <w:rPr>
          <w:i/>
          <w:iCs/>
          <w:color w:val="000000" w:themeColor="text1"/>
          <w:sz w:val="20"/>
          <w:szCs w:val="20"/>
        </w:rPr>
        <w:t>olonies</w:t>
      </w:r>
      <w:r w:rsidRPr="006C7E67">
        <w:rPr>
          <w:color w:val="000000" w:themeColor="text1"/>
          <w:sz w:val="20"/>
          <w:szCs w:val="20"/>
        </w:rPr>
        <w:t>, John Hutt, Governor of WA, to Lord Glenelg, Secretary of State for War and the Colonies, 3 May 1839, no. 43, p. 364</w:t>
      </w:r>
      <w:r>
        <w:rPr>
          <w:color w:val="000000" w:themeColor="text1"/>
          <w:sz w:val="20"/>
          <w:szCs w:val="20"/>
        </w:rPr>
        <w:t>.</w:t>
      </w:r>
    </w:p>
  </w:footnote>
  <w:footnote w:id="77">
    <w:p w14:paraId="01FCF632" w14:textId="505D6EC9" w:rsidR="005B7BA1" w:rsidRPr="006C7E67" w:rsidRDefault="005B7BA1" w:rsidP="008735A3">
      <w:pPr>
        <w:pStyle w:val="FootnoteText"/>
        <w:rPr>
          <w:color w:val="000000" w:themeColor="text1"/>
        </w:rPr>
      </w:pPr>
      <w:r w:rsidRPr="006C7E67">
        <w:rPr>
          <w:rStyle w:val="FootnoteReference"/>
          <w:color w:val="000000" w:themeColor="text1"/>
        </w:rPr>
        <w:footnoteRef/>
      </w:r>
      <w:r w:rsidRPr="006C7E67">
        <w:rPr>
          <w:color w:val="000000" w:themeColor="text1"/>
        </w:rPr>
        <w:t xml:space="preserve"> </w:t>
      </w:r>
      <w:r w:rsidRPr="006C7E67">
        <w:rPr>
          <w:color w:val="000000" w:themeColor="text1"/>
          <w:lang w:val="en-US"/>
        </w:rPr>
        <w:t xml:space="preserve">HCPP 1844, </w:t>
      </w:r>
      <w:r w:rsidRPr="006C7E67">
        <w:rPr>
          <w:i/>
          <w:iCs/>
          <w:color w:val="000000" w:themeColor="text1"/>
          <w:lang w:val="en-US"/>
        </w:rPr>
        <w:t xml:space="preserve">Aborigines (Australian </w:t>
      </w:r>
      <w:r>
        <w:rPr>
          <w:i/>
          <w:iCs/>
          <w:color w:val="000000" w:themeColor="text1"/>
          <w:lang w:val="en-US"/>
        </w:rPr>
        <w:t>C</w:t>
      </w:r>
      <w:r w:rsidRPr="006C7E67">
        <w:rPr>
          <w:i/>
          <w:iCs/>
          <w:color w:val="000000" w:themeColor="text1"/>
          <w:lang w:val="en-US"/>
        </w:rPr>
        <w:t>olonies)</w:t>
      </w:r>
      <w:r w:rsidRPr="006C7E67">
        <w:rPr>
          <w:color w:val="000000" w:themeColor="text1"/>
          <w:lang w:val="en-US"/>
        </w:rPr>
        <w:t xml:space="preserve"> ‘An Act to constitute Rottnest a Legal Prison’, 2 July 1840, p. 375.</w:t>
      </w:r>
    </w:p>
  </w:footnote>
  <w:footnote w:id="78">
    <w:p w14:paraId="607D87FF" w14:textId="43DF0B41" w:rsidR="005B7BA1" w:rsidRPr="006C7E67" w:rsidRDefault="005B7BA1" w:rsidP="008735A3">
      <w:pPr>
        <w:pStyle w:val="FootnoteText"/>
        <w:rPr>
          <w:color w:val="000000" w:themeColor="text1"/>
        </w:rPr>
      </w:pPr>
      <w:r w:rsidRPr="006C7E67">
        <w:rPr>
          <w:rStyle w:val="FootnoteReference"/>
          <w:rFonts w:eastAsia="MS Gothic"/>
          <w:color w:val="000000" w:themeColor="text1"/>
        </w:rPr>
        <w:footnoteRef/>
      </w:r>
      <w:r w:rsidRPr="006C7E67">
        <w:rPr>
          <w:color w:val="000000" w:themeColor="text1"/>
        </w:rPr>
        <w:t xml:space="preserve"> </w:t>
      </w:r>
      <w:r w:rsidRPr="006C7E67">
        <w:rPr>
          <w:iCs/>
          <w:color w:val="000000" w:themeColor="text1"/>
          <w:lang w:val="en-US"/>
        </w:rPr>
        <w:t>Ibid</w:t>
      </w:r>
      <w:r w:rsidRPr="006C7E67">
        <w:rPr>
          <w:i/>
          <w:iCs/>
          <w:color w:val="000000" w:themeColor="text1"/>
          <w:lang w:val="en-US"/>
        </w:rPr>
        <w:t>.</w:t>
      </w:r>
    </w:p>
  </w:footnote>
  <w:footnote w:id="79">
    <w:p w14:paraId="6669D8C3" w14:textId="51D0CCD9" w:rsidR="005B7BA1" w:rsidRPr="006C7E67" w:rsidRDefault="005B7BA1" w:rsidP="008735A3">
      <w:pPr>
        <w:pStyle w:val="BibliographyKR"/>
        <w:spacing w:before="0" w:after="0"/>
        <w:ind w:left="0" w:firstLine="0"/>
        <w:jc w:val="left"/>
        <w:rPr>
          <w:color w:val="000000" w:themeColor="text1"/>
          <w:sz w:val="20"/>
          <w:szCs w:val="20"/>
        </w:rPr>
      </w:pPr>
      <w:r w:rsidRPr="006C7E67">
        <w:rPr>
          <w:rStyle w:val="FootnoteReference"/>
          <w:color w:val="000000" w:themeColor="text1"/>
          <w:sz w:val="20"/>
          <w:szCs w:val="20"/>
        </w:rPr>
        <w:footnoteRef/>
      </w:r>
      <w:r w:rsidRPr="006C7E67">
        <w:rPr>
          <w:color w:val="000000" w:themeColor="text1"/>
          <w:sz w:val="20"/>
          <w:szCs w:val="20"/>
        </w:rPr>
        <w:t xml:space="preserve"> Neville Green and Susan Moon, </w:t>
      </w:r>
      <w:r w:rsidRPr="006C7E67">
        <w:rPr>
          <w:i/>
          <w:color w:val="000000" w:themeColor="text1"/>
          <w:sz w:val="20"/>
          <w:szCs w:val="20"/>
        </w:rPr>
        <w:t xml:space="preserve">Far From Home: Aboriginal </w:t>
      </w:r>
      <w:r>
        <w:rPr>
          <w:i/>
          <w:color w:val="000000" w:themeColor="text1"/>
          <w:sz w:val="20"/>
          <w:szCs w:val="20"/>
        </w:rPr>
        <w:t>P</w:t>
      </w:r>
      <w:r w:rsidRPr="006C7E67">
        <w:rPr>
          <w:i/>
          <w:color w:val="000000" w:themeColor="text1"/>
          <w:sz w:val="20"/>
          <w:szCs w:val="20"/>
        </w:rPr>
        <w:t>risoners of Rottnest Island, 1838</w:t>
      </w:r>
      <w:r>
        <w:rPr>
          <w:i/>
          <w:color w:val="000000" w:themeColor="text1"/>
          <w:sz w:val="20"/>
          <w:szCs w:val="20"/>
        </w:rPr>
        <w:t>–</w:t>
      </w:r>
      <w:r w:rsidRPr="006C7E67">
        <w:rPr>
          <w:i/>
          <w:color w:val="000000" w:themeColor="text1"/>
          <w:sz w:val="20"/>
          <w:szCs w:val="20"/>
        </w:rPr>
        <w:t>1931</w:t>
      </w:r>
      <w:r w:rsidRPr="006C7E67">
        <w:rPr>
          <w:color w:val="000000" w:themeColor="text1"/>
          <w:sz w:val="20"/>
          <w:szCs w:val="20"/>
        </w:rPr>
        <w:t xml:space="preserve"> (Nedlands: University of Western Australia Press, 1997)</w:t>
      </w:r>
      <w:r>
        <w:rPr>
          <w:color w:val="000000" w:themeColor="text1"/>
          <w:sz w:val="20"/>
          <w:szCs w:val="20"/>
        </w:rPr>
        <w:t>,</w:t>
      </w:r>
      <w:r w:rsidRPr="006C7E67">
        <w:rPr>
          <w:color w:val="000000" w:themeColor="text1"/>
          <w:sz w:val="20"/>
          <w:szCs w:val="20"/>
        </w:rPr>
        <w:t xml:space="preserve"> p</w:t>
      </w:r>
      <w:r>
        <w:rPr>
          <w:color w:val="000000" w:themeColor="text1"/>
          <w:sz w:val="20"/>
          <w:szCs w:val="20"/>
        </w:rPr>
        <w:t>p</w:t>
      </w:r>
      <w:r w:rsidRPr="006C7E67">
        <w:rPr>
          <w:color w:val="000000" w:themeColor="text1"/>
          <w:sz w:val="20"/>
          <w:szCs w:val="20"/>
        </w:rPr>
        <w:t>. 8, 13.</w:t>
      </w:r>
    </w:p>
  </w:footnote>
  <w:footnote w:id="80">
    <w:p w14:paraId="585D7C41" w14:textId="47350FC3" w:rsidR="005B7BA1" w:rsidRPr="006C7E67" w:rsidRDefault="005B7BA1" w:rsidP="008735A3">
      <w:pPr>
        <w:pStyle w:val="FootnoteText"/>
        <w:rPr>
          <w:color w:val="000000" w:themeColor="text1"/>
        </w:rPr>
      </w:pPr>
      <w:r w:rsidRPr="006C7E67">
        <w:rPr>
          <w:rStyle w:val="FootnoteReference"/>
          <w:color w:val="000000" w:themeColor="text1"/>
        </w:rPr>
        <w:footnoteRef/>
      </w:r>
      <w:r w:rsidRPr="006C7E67">
        <w:rPr>
          <w:color w:val="000000" w:themeColor="text1"/>
        </w:rPr>
        <w:t xml:space="preserve"> ‘An Act to amend “An Ordinance to provide for the Summary Trial and Punishment of Aboriginal Native Offenders in certain cases</w:t>
      </w:r>
      <w:r>
        <w:rPr>
          <w:color w:val="000000" w:themeColor="text1"/>
        </w:rPr>
        <w:t>”</w:t>
      </w:r>
      <w:r w:rsidRPr="006C7E67">
        <w:rPr>
          <w:color w:val="000000" w:themeColor="text1"/>
        </w:rPr>
        <w:t>’, 47 Vict</w:t>
      </w:r>
      <w:r>
        <w:rPr>
          <w:color w:val="000000" w:themeColor="text1"/>
        </w:rPr>
        <w:t>.</w:t>
      </w:r>
      <w:r w:rsidRPr="006C7E67">
        <w:rPr>
          <w:color w:val="000000" w:themeColor="text1"/>
        </w:rPr>
        <w:t xml:space="preserve"> 8, WA (1883). </w:t>
      </w:r>
    </w:p>
  </w:footnote>
  <w:footnote w:id="81">
    <w:p w14:paraId="546ECE02" w14:textId="4AF0C900" w:rsidR="005B7BA1" w:rsidRPr="006C7E67" w:rsidRDefault="005B7BA1" w:rsidP="008735A3">
      <w:pPr>
        <w:pStyle w:val="FootnoteText"/>
        <w:rPr>
          <w:color w:val="000000" w:themeColor="text1"/>
        </w:rPr>
      </w:pPr>
      <w:r w:rsidRPr="006C7E67">
        <w:rPr>
          <w:rStyle w:val="FootnoteReference"/>
          <w:color w:val="000000" w:themeColor="text1"/>
        </w:rPr>
        <w:footnoteRef/>
      </w:r>
      <w:r>
        <w:rPr>
          <w:color w:val="000000" w:themeColor="text1"/>
        </w:rPr>
        <w:t xml:space="preserve"> </w:t>
      </w:r>
      <w:r w:rsidRPr="006C7E67">
        <w:rPr>
          <w:color w:val="000000" w:themeColor="text1"/>
        </w:rPr>
        <w:t xml:space="preserve">Amanda Nettelbeck, ‘“Equals of the White Man”: Prosecution of </w:t>
      </w:r>
      <w:r>
        <w:rPr>
          <w:color w:val="000000" w:themeColor="text1"/>
        </w:rPr>
        <w:t>S</w:t>
      </w:r>
      <w:r w:rsidRPr="006C7E67">
        <w:rPr>
          <w:color w:val="000000" w:themeColor="text1"/>
        </w:rPr>
        <w:t xml:space="preserve">ettlers for </w:t>
      </w:r>
      <w:r>
        <w:rPr>
          <w:color w:val="000000" w:themeColor="text1"/>
        </w:rPr>
        <w:t>V</w:t>
      </w:r>
      <w:r w:rsidRPr="006C7E67">
        <w:rPr>
          <w:color w:val="000000" w:themeColor="text1"/>
        </w:rPr>
        <w:t xml:space="preserve">iolence against Aboriginal </w:t>
      </w:r>
      <w:r>
        <w:rPr>
          <w:color w:val="000000" w:themeColor="text1"/>
        </w:rPr>
        <w:t>S</w:t>
      </w:r>
      <w:r w:rsidRPr="006C7E67">
        <w:rPr>
          <w:color w:val="000000" w:themeColor="text1"/>
        </w:rPr>
        <w:t xml:space="preserve">ubjects of the </w:t>
      </w:r>
      <w:r>
        <w:rPr>
          <w:color w:val="000000" w:themeColor="text1"/>
        </w:rPr>
        <w:t>C</w:t>
      </w:r>
      <w:r w:rsidRPr="006C7E67">
        <w:rPr>
          <w:color w:val="000000" w:themeColor="text1"/>
        </w:rPr>
        <w:t xml:space="preserve">rown, </w:t>
      </w:r>
      <w:r>
        <w:rPr>
          <w:color w:val="000000" w:themeColor="text1"/>
        </w:rPr>
        <w:t>C</w:t>
      </w:r>
      <w:r w:rsidRPr="006C7E67">
        <w:rPr>
          <w:color w:val="000000" w:themeColor="text1"/>
        </w:rPr>
        <w:t xml:space="preserve">olonial Western Australia’, </w:t>
      </w:r>
      <w:r w:rsidRPr="006C7E67">
        <w:rPr>
          <w:i/>
          <w:color w:val="000000" w:themeColor="text1"/>
        </w:rPr>
        <w:t>Law and History Review</w:t>
      </w:r>
      <w:r w:rsidRPr="006C7E67">
        <w:rPr>
          <w:color w:val="000000" w:themeColor="text1"/>
        </w:rPr>
        <w:t xml:space="preserve"> </w:t>
      </w:r>
      <w:r w:rsidRPr="006C7E67">
        <w:rPr>
          <w:iCs/>
          <w:color w:val="000000" w:themeColor="text1"/>
        </w:rPr>
        <w:t>31</w:t>
      </w:r>
      <w:r w:rsidRPr="006C7E67">
        <w:rPr>
          <w:color w:val="000000" w:themeColor="text1"/>
        </w:rPr>
        <w:t>, no. 2 (2013)</w:t>
      </w:r>
      <w:r>
        <w:rPr>
          <w:color w:val="000000" w:themeColor="text1"/>
        </w:rPr>
        <w:t>,</w:t>
      </w:r>
      <w:r w:rsidRPr="006C7E67">
        <w:rPr>
          <w:color w:val="000000" w:themeColor="text1"/>
        </w:rPr>
        <w:t xml:space="preserve"> pp. 355</w:t>
      </w:r>
      <w:r>
        <w:rPr>
          <w:color w:val="000000" w:themeColor="text1"/>
        </w:rPr>
        <w:t>–</w:t>
      </w:r>
      <w:r w:rsidRPr="006C7E67">
        <w:rPr>
          <w:color w:val="000000" w:themeColor="text1"/>
        </w:rPr>
        <w:t>90.</w:t>
      </w:r>
    </w:p>
  </w:footnote>
  <w:footnote w:id="82">
    <w:p w14:paraId="2311B6CE" w14:textId="2F01E693" w:rsidR="005B7BA1" w:rsidRPr="006C7E67" w:rsidRDefault="005B7BA1" w:rsidP="008735A3">
      <w:pPr>
        <w:pStyle w:val="BibliographyKR"/>
        <w:spacing w:before="0" w:after="0"/>
        <w:ind w:left="0" w:firstLine="0"/>
        <w:jc w:val="left"/>
        <w:rPr>
          <w:color w:val="000000" w:themeColor="text1"/>
          <w:sz w:val="20"/>
          <w:szCs w:val="20"/>
        </w:rPr>
      </w:pPr>
      <w:r w:rsidRPr="006C7E67">
        <w:rPr>
          <w:rStyle w:val="FootnoteReference"/>
          <w:color w:val="000000" w:themeColor="text1"/>
          <w:sz w:val="20"/>
          <w:szCs w:val="20"/>
        </w:rPr>
        <w:footnoteRef/>
      </w:r>
      <w:r w:rsidRPr="006C7E67">
        <w:rPr>
          <w:color w:val="000000" w:themeColor="text1"/>
          <w:sz w:val="20"/>
          <w:szCs w:val="20"/>
        </w:rPr>
        <w:t xml:space="preserve"> Lee, </w:t>
      </w:r>
      <w:r w:rsidRPr="006C7E67">
        <w:rPr>
          <w:i/>
          <w:color w:val="000000" w:themeColor="text1"/>
          <w:sz w:val="20"/>
          <w:szCs w:val="20"/>
        </w:rPr>
        <w:t>Linking a Nation</w:t>
      </w:r>
      <w:r w:rsidRPr="008735A3">
        <w:rPr>
          <w:iCs/>
          <w:color w:val="000000" w:themeColor="text1"/>
          <w:sz w:val="20"/>
          <w:szCs w:val="20"/>
        </w:rPr>
        <w:t>,</w:t>
      </w:r>
      <w:r w:rsidRPr="006C7E67">
        <w:rPr>
          <w:i/>
          <w:color w:val="000000" w:themeColor="text1"/>
          <w:sz w:val="20"/>
          <w:szCs w:val="20"/>
        </w:rPr>
        <w:t xml:space="preserve"> </w:t>
      </w:r>
      <w:r>
        <w:rPr>
          <w:iCs/>
          <w:color w:val="000000" w:themeColor="text1"/>
          <w:sz w:val="20"/>
          <w:szCs w:val="20"/>
        </w:rPr>
        <w:t>c</w:t>
      </w:r>
      <w:r w:rsidRPr="006C7E67">
        <w:rPr>
          <w:iCs/>
          <w:color w:val="000000" w:themeColor="text1"/>
          <w:sz w:val="20"/>
          <w:szCs w:val="20"/>
        </w:rPr>
        <w:t>h. 2.</w:t>
      </w:r>
    </w:p>
  </w:footnote>
  <w:footnote w:id="83">
    <w:p w14:paraId="799EAFB6" w14:textId="04CF5FD9" w:rsidR="005B7BA1" w:rsidRPr="006C7E67" w:rsidRDefault="005B7BA1" w:rsidP="008735A3">
      <w:pPr>
        <w:pStyle w:val="FootnoteText"/>
        <w:rPr>
          <w:color w:val="000000" w:themeColor="text1"/>
        </w:rPr>
      </w:pPr>
      <w:r w:rsidRPr="006C7E67">
        <w:rPr>
          <w:rStyle w:val="FootnoteReference"/>
          <w:color w:val="000000" w:themeColor="text1"/>
        </w:rPr>
        <w:footnoteRef/>
      </w:r>
      <w:r w:rsidRPr="006C7E67">
        <w:rPr>
          <w:color w:val="000000" w:themeColor="text1"/>
        </w:rPr>
        <w:t xml:space="preserve"> HCPP 1850, vol. 52, no. 656, </w:t>
      </w:r>
      <w:r w:rsidRPr="00217567">
        <w:rPr>
          <w:i/>
          <w:iCs/>
          <w:color w:val="000000" w:themeColor="text1"/>
        </w:rPr>
        <w:t>Statement of Measures for Erection, Management and Superintendence of Lighthouses in British Colonies and Possessions</w:t>
      </w:r>
      <w:r w:rsidRPr="006C7E67">
        <w:rPr>
          <w:color w:val="000000" w:themeColor="text1"/>
        </w:rPr>
        <w:t>, Anthony Gordon, Civil Engineer, to Lord Auckland, Secretary of State for War and the Colonies, 4 Aug</w:t>
      </w:r>
      <w:r>
        <w:rPr>
          <w:color w:val="000000" w:themeColor="text1"/>
        </w:rPr>
        <w:t>ust</w:t>
      </w:r>
      <w:r w:rsidRPr="006C7E67">
        <w:rPr>
          <w:color w:val="000000" w:themeColor="text1"/>
        </w:rPr>
        <w:t xml:space="preserve"> 1847, p. 6.</w:t>
      </w:r>
    </w:p>
  </w:footnote>
  <w:footnote w:id="84">
    <w:p w14:paraId="07D51E1F" w14:textId="2080697F" w:rsidR="005B7BA1" w:rsidRPr="006C7E67" w:rsidRDefault="005B7BA1" w:rsidP="008735A3">
      <w:pPr>
        <w:rPr>
          <w:color w:val="000000" w:themeColor="text1"/>
          <w:sz w:val="20"/>
          <w:szCs w:val="20"/>
        </w:rPr>
      </w:pPr>
      <w:r w:rsidRPr="006C7E67">
        <w:rPr>
          <w:rStyle w:val="FootnoteReference"/>
          <w:color w:val="000000" w:themeColor="text1"/>
          <w:sz w:val="20"/>
          <w:szCs w:val="20"/>
        </w:rPr>
        <w:footnoteRef/>
      </w:r>
      <w:r w:rsidRPr="006C7E67">
        <w:rPr>
          <w:color w:val="000000" w:themeColor="text1"/>
          <w:sz w:val="20"/>
          <w:szCs w:val="20"/>
        </w:rPr>
        <w:t xml:space="preserve"> Thérèse Murray, ‘Islands and Lighthouses: A </w:t>
      </w:r>
      <w:r>
        <w:rPr>
          <w:color w:val="000000" w:themeColor="text1"/>
          <w:sz w:val="20"/>
          <w:szCs w:val="20"/>
        </w:rPr>
        <w:t>P</w:t>
      </w:r>
      <w:r w:rsidRPr="006C7E67">
        <w:rPr>
          <w:color w:val="000000" w:themeColor="text1"/>
          <w:sz w:val="20"/>
          <w:szCs w:val="20"/>
        </w:rPr>
        <w:t xml:space="preserve">henomenological of Cape Bruny, Tasmania’, in </w:t>
      </w:r>
      <w:r w:rsidRPr="006C7E67">
        <w:rPr>
          <w:i/>
          <w:color w:val="000000" w:themeColor="text1"/>
          <w:sz w:val="20"/>
          <w:szCs w:val="20"/>
        </w:rPr>
        <w:t>Island Geographies: Essays and Conversation</w:t>
      </w:r>
      <w:r w:rsidR="009F5EB7">
        <w:rPr>
          <w:i/>
          <w:color w:val="000000" w:themeColor="text1"/>
          <w:sz w:val="20"/>
          <w:szCs w:val="20"/>
        </w:rPr>
        <w:t>s</w:t>
      </w:r>
      <w:r w:rsidR="009F5EB7" w:rsidRPr="00217567">
        <w:rPr>
          <w:iCs/>
          <w:color w:val="000000" w:themeColor="text1"/>
          <w:sz w:val="20"/>
          <w:szCs w:val="20"/>
        </w:rPr>
        <w:t>,</w:t>
      </w:r>
      <w:r w:rsidR="009F5EB7">
        <w:rPr>
          <w:i/>
          <w:color w:val="000000" w:themeColor="text1"/>
          <w:sz w:val="20"/>
          <w:szCs w:val="20"/>
        </w:rPr>
        <w:t xml:space="preserve"> </w:t>
      </w:r>
      <w:r w:rsidR="009F5EB7">
        <w:rPr>
          <w:iCs/>
          <w:color w:val="000000" w:themeColor="text1"/>
          <w:sz w:val="20"/>
          <w:szCs w:val="20"/>
        </w:rPr>
        <w:t>edited by Elaine Stratford</w:t>
      </w:r>
      <w:r w:rsidRPr="006C7E67">
        <w:rPr>
          <w:i/>
          <w:color w:val="000000" w:themeColor="text1"/>
          <w:sz w:val="20"/>
          <w:szCs w:val="20"/>
        </w:rPr>
        <w:t xml:space="preserve"> </w:t>
      </w:r>
      <w:r w:rsidRPr="006C7E67">
        <w:rPr>
          <w:color w:val="000000" w:themeColor="text1"/>
          <w:sz w:val="20"/>
          <w:szCs w:val="20"/>
        </w:rPr>
        <w:t>(London: Routledge, 2016)</w:t>
      </w:r>
      <w:r>
        <w:rPr>
          <w:color w:val="000000" w:themeColor="text1"/>
          <w:sz w:val="20"/>
          <w:szCs w:val="20"/>
        </w:rPr>
        <w:t>,</w:t>
      </w:r>
      <w:r w:rsidRPr="006C7E67">
        <w:rPr>
          <w:color w:val="000000" w:themeColor="text1"/>
          <w:sz w:val="20"/>
          <w:szCs w:val="20"/>
        </w:rPr>
        <w:t xml:space="preserve"> pp. 32</w:t>
      </w:r>
      <w:r>
        <w:rPr>
          <w:color w:val="000000" w:themeColor="text1"/>
          <w:sz w:val="20"/>
          <w:szCs w:val="20"/>
        </w:rPr>
        <w:t>–</w:t>
      </w:r>
      <w:r w:rsidRPr="006C7E67">
        <w:rPr>
          <w:color w:val="000000" w:themeColor="text1"/>
          <w:sz w:val="20"/>
          <w:szCs w:val="20"/>
        </w:rPr>
        <w:t>53</w:t>
      </w:r>
      <w:r>
        <w:rPr>
          <w:color w:val="000000" w:themeColor="text1"/>
          <w:sz w:val="20"/>
          <w:szCs w:val="20"/>
        </w:rPr>
        <w:t xml:space="preserve">; </w:t>
      </w:r>
      <w:r w:rsidRPr="006C7E67">
        <w:rPr>
          <w:color w:val="000000" w:themeColor="text1"/>
          <w:sz w:val="20"/>
          <w:szCs w:val="20"/>
        </w:rPr>
        <w:t xml:space="preserve">John E. Turnbridge, ‘Naval Heritage and Postcolonial Geography: Why it should matter to Australia’, </w:t>
      </w:r>
      <w:r w:rsidRPr="006C7E67">
        <w:rPr>
          <w:i/>
          <w:color w:val="000000" w:themeColor="text1"/>
          <w:sz w:val="20"/>
          <w:szCs w:val="20"/>
        </w:rPr>
        <w:t xml:space="preserve">Geographical Research </w:t>
      </w:r>
      <w:r w:rsidRPr="00217567">
        <w:rPr>
          <w:i/>
          <w:color w:val="000000" w:themeColor="text1"/>
          <w:sz w:val="20"/>
          <w:szCs w:val="20"/>
        </w:rPr>
        <w:t>49</w:t>
      </w:r>
      <w:r w:rsidRPr="006C7E67">
        <w:rPr>
          <w:color w:val="000000" w:themeColor="text1"/>
          <w:sz w:val="20"/>
          <w:szCs w:val="20"/>
        </w:rPr>
        <w:t>, no. 1 (2011</w:t>
      </w:r>
      <w:r w:rsidR="009F5EB7" w:rsidRPr="006C7E67">
        <w:rPr>
          <w:color w:val="000000" w:themeColor="text1"/>
          <w:sz w:val="20"/>
          <w:szCs w:val="20"/>
        </w:rPr>
        <w:t>)</w:t>
      </w:r>
      <w:r w:rsidR="009F5EB7">
        <w:rPr>
          <w:color w:val="000000" w:themeColor="text1"/>
          <w:sz w:val="20"/>
          <w:szCs w:val="20"/>
        </w:rPr>
        <w:t>:</w:t>
      </w:r>
      <w:r w:rsidR="009F5EB7" w:rsidRPr="006C7E67">
        <w:rPr>
          <w:color w:val="000000" w:themeColor="text1"/>
          <w:sz w:val="20"/>
          <w:szCs w:val="20"/>
        </w:rPr>
        <w:t xml:space="preserve"> </w:t>
      </w:r>
      <w:r w:rsidRPr="006C7E67">
        <w:rPr>
          <w:color w:val="000000" w:themeColor="text1"/>
          <w:sz w:val="20"/>
          <w:szCs w:val="20"/>
        </w:rPr>
        <w:t>p. 87.</w:t>
      </w:r>
    </w:p>
  </w:footnote>
  <w:footnote w:id="85">
    <w:p w14:paraId="547137D7" w14:textId="03530E00" w:rsidR="005B7BA1" w:rsidRPr="006C7E67" w:rsidRDefault="005B7BA1" w:rsidP="008735A3">
      <w:pPr>
        <w:pStyle w:val="FootnoteText"/>
        <w:rPr>
          <w:color w:val="000000" w:themeColor="text1"/>
        </w:rPr>
      </w:pPr>
      <w:r w:rsidRPr="006C7E67">
        <w:rPr>
          <w:rStyle w:val="FootnoteReference"/>
          <w:color w:val="000000" w:themeColor="text1"/>
        </w:rPr>
        <w:footnoteRef/>
      </w:r>
      <w:r w:rsidRPr="006C7E67">
        <w:rPr>
          <w:color w:val="000000" w:themeColor="text1"/>
        </w:rPr>
        <w:t xml:space="preserve"> </w:t>
      </w:r>
      <w:r w:rsidRPr="006C7E67">
        <w:rPr>
          <w:i/>
          <w:iCs/>
          <w:color w:val="000000" w:themeColor="text1"/>
        </w:rPr>
        <w:t>Hobart Town Courier</w:t>
      </w:r>
      <w:r w:rsidRPr="006C7E67">
        <w:rPr>
          <w:color w:val="000000" w:themeColor="text1"/>
        </w:rPr>
        <w:t>, 21 Aug</w:t>
      </w:r>
      <w:r>
        <w:rPr>
          <w:color w:val="000000" w:themeColor="text1"/>
        </w:rPr>
        <w:t>ust</w:t>
      </w:r>
      <w:r w:rsidRPr="006C7E67">
        <w:rPr>
          <w:color w:val="000000" w:themeColor="text1"/>
        </w:rPr>
        <w:t xml:space="preserve"> 1835, p. 2.</w:t>
      </w:r>
      <w:r w:rsidRPr="006C7E67" w:rsidDel="003263DE">
        <w:rPr>
          <w:color w:val="000000" w:themeColor="text1"/>
          <w:highlight w:val="yellow"/>
        </w:rPr>
        <w:t xml:space="preserve"> </w:t>
      </w:r>
    </w:p>
  </w:footnote>
  <w:footnote w:id="86">
    <w:p w14:paraId="16780B99" w14:textId="04BC03AF" w:rsidR="005B7BA1" w:rsidRPr="006C7E67" w:rsidRDefault="005B7BA1" w:rsidP="008735A3">
      <w:pPr>
        <w:pStyle w:val="FootnoteText"/>
        <w:rPr>
          <w:color w:val="000000" w:themeColor="text1"/>
        </w:rPr>
      </w:pPr>
      <w:r w:rsidRPr="006C7E67">
        <w:rPr>
          <w:rStyle w:val="FootnoteReference"/>
          <w:color w:val="000000" w:themeColor="text1"/>
        </w:rPr>
        <w:footnoteRef/>
      </w:r>
      <w:r w:rsidRPr="006C7E67">
        <w:rPr>
          <w:color w:val="000000" w:themeColor="text1"/>
        </w:rPr>
        <w:t xml:space="preserve"> </w:t>
      </w:r>
      <w:r w:rsidRPr="006C7E67">
        <w:rPr>
          <w:i/>
          <w:iCs/>
          <w:color w:val="000000" w:themeColor="text1"/>
        </w:rPr>
        <w:t>Sydney Herald</w:t>
      </w:r>
      <w:r w:rsidRPr="006C7E67">
        <w:rPr>
          <w:color w:val="000000" w:themeColor="text1"/>
        </w:rPr>
        <w:t xml:space="preserve">, 9 April 1838, p. 5. </w:t>
      </w:r>
    </w:p>
  </w:footnote>
  <w:footnote w:id="87">
    <w:p w14:paraId="3A9CAB93" w14:textId="244CB732" w:rsidR="005B7BA1" w:rsidRPr="006C7E67" w:rsidRDefault="005B7BA1" w:rsidP="008735A3">
      <w:pPr>
        <w:rPr>
          <w:color w:val="000000" w:themeColor="text1"/>
          <w:sz w:val="20"/>
          <w:szCs w:val="20"/>
        </w:rPr>
      </w:pPr>
      <w:r w:rsidRPr="006C7E67">
        <w:rPr>
          <w:rStyle w:val="FootnoteReference"/>
          <w:color w:val="000000" w:themeColor="text1"/>
          <w:sz w:val="20"/>
          <w:szCs w:val="20"/>
        </w:rPr>
        <w:footnoteRef/>
      </w:r>
      <w:r w:rsidRPr="006C7E67">
        <w:rPr>
          <w:color w:val="000000" w:themeColor="text1"/>
          <w:sz w:val="20"/>
          <w:szCs w:val="20"/>
        </w:rPr>
        <w:t xml:space="preserve"> </w:t>
      </w:r>
      <w:r w:rsidRPr="006C7E67">
        <w:rPr>
          <w:i/>
          <w:iCs/>
          <w:color w:val="000000" w:themeColor="text1"/>
          <w:sz w:val="20"/>
          <w:szCs w:val="20"/>
        </w:rPr>
        <w:t>Tasmanian Weekly Dispatch</w:t>
      </w:r>
      <w:r w:rsidRPr="006C7E67">
        <w:rPr>
          <w:color w:val="000000" w:themeColor="text1"/>
          <w:sz w:val="20"/>
          <w:szCs w:val="20"/>
        </w:rPr>
        <w:t>, 8 Nov</w:t>
      </w:r>
      <w:r>
        <w:rPr>
          <w:color w:val="000000" w:themeColor="text1"/>
          <w:sz w:val="20"/>
          <w:szCs w:val="20"/>
        </w:rPr>
        <w:t>ember</w:t>
      </w:r>
      <w:r w:rsidRPr="006C7E67">
        <w:rPr>
          <w:color w:val="000000" w:themeColor="text1"/>
          <w:sz w:val="20"/>
          <w:szCs w:val="20"/>
        </w:rPr>
        <w:t xml:space="preserve"> 1839, p. 7. </w:t>
      </w:r>
    </w:p>
  </w:footnote>
  <w:footnote w:id="88">
    <w:p w14:paraId="10A69E76" w14:textId="795BEAB9" w:rsidR="005B7BA1" w:rsidRPr="006C7E67" w:rsidRDefault="005B7BA1" w:rsidP="008735A3">
      <w:pPr>
        <w:pStyle w:val="FootnoteText"/>
        <w:rPr>
          <w:color w:val="000000" w:themeColor="text1"/>
        </w:rPr>
      </w:pPr>
      <w:r w:rsidRPr="006C7E67">
        <w:rPr>
          <w:rStyle w:val="FootnoteReference"/>
          <w:color w:val="000000" w:themeColor="text1"/>
        </w:rPr>
        <w:footnoteRef/>
      </w:r>
      <w:r w:rsidRPr="006C7E67">
        <w:rPr>
          <w:color w:val="000000" w:themeColor="text1"/>
        </w:rPr>
        <w:t xml:space="preserve"> John Hutt, Governor of WA, </w:t>
      </w:r>
      <w:r w:rsidRPr="00217567">
        <w:rPr>
          <w:i/>
          <w:iCs/>
          <w:color w:val="000000" w:themeColor="text1"/>
        </w:rPr>
        <w:t>Minutes and Proceedings of the Legislative Council</w:t>
      </w:r>
      <w:r w:rsidR="009F5EB7">
        <w:rPr>
          <w:color w:val="000000" w:themeColor="text1"/>
        </w:rPr>
        <w:t xml:space="preserve">, </w:t>
      </w:r>
      <w:r w:rsidRPr="006C7E67">
        <w:rPr>
          <w:color w:val="000000" w:themeColor="text1"/>
        </w:rPr>
        <w:t>Western Australia, 9 June 1842, p. 212.</w:t>
      </w:r>
    </w:p>
  </w:footnote>
  <w:footnote w:id="89">
    <w:p w14:paraId="7CAC7265" w14:textId="686EB3CC" w:rsidR="005B7BA1" w:rsidRPr="006C7E67" w:rsidRDefault="005B7BA1" w:rsidP="008735A3">
      <w:pPr>
        <w:pStyle w:val="FootnoteText"/>
        <w:rPr>
          <w:color w:val="000000" w:themeColor="text1"/>
        </w:rPr>
      </w:pPr>
      <w:r w:rsidRPr="006C7E67">
        <w:rPr>
          <w:rStyle w:val="FootnoteReference"/>
          <w:color w:val="000000" w:themeColor="text1"/>
        </w:rPr>
        <w:footnoteRef/>
      </w:r>
      <w:r w:rsidRPr="006C7E67">
        <w:rPr>
          <w:color w:val="000000" w:themeColor="text1"/>
        </w:rPr>
        <w:t xml:space="preserve"> John Lort Stokes</w:t>
      </w:r>
      <w:r w:rsidRPr="006C7E67">
        <w:rPr>
          <w:i/>
          <w:color w:val="000000" w:themeColor="text1"/>
        </w:rPr>
        <w:t>, Discoveries in Australia:</w:t>
      </w:r>
      <w:r w:rsidRPr="006C7E67">
        <w:rPr>
          <w:i/>
          <w:iCs/>
          <w:color w:val="000000" w:themeColor="text1"/>
        </w:rPr>
        <w:t xml:space="preserve"> </w:t>
      </w:r>
      <w:r>
        <w:rPr>
          <w:i/>
          <w:iCs/>
          <w:color w:val="000000" w:themeColor="text1"/>
        </w:rPr>
        <w:t>W</w:t>
      </w:r>
      <w:r w:rsidRPr="006C7E67">
        <w:rPr>
          <w:i/>
          <w:iCs/>
          <w:color w:val="000000" w:themeColor="text1"/>
        </w:rPr>
        <w:t xml:space="preserve">ith an </w:t>
      </w:r>
      <w:r>
        <w:rPr>
          <w:i/>
          <w:iCs/>
          <w:color w:val="000000" w:themeColor="text1"/>
        </w:rPr>
        <w:t>A</w:t>
      </w:r>
      <w:r w:rsidRPr="006C7E67">
        <w:rPr>
          <w:i/>
          <w:iCs/>
          <w:color w:val="000000" w:themeColor="text1"/>
        </w:rPr>
        <w:t xml:space="preserve">ccount of the </w:t>
      </w:r>
      <w:r>
        <w:rPr>
          <w:i/>
          <w:iCs/>
          <w:color w:val="000000" w:themeColor="text1"/>
        </w:rPr>
        <w:t>C</w:t>
      </w:r>
      <w:r w:rsidRPr="006C7E67">
        <w:rPr>
          <w:i/>
          <w:iCs/>
          <w:color w:val="000000" w:themeColor="text1"/>
        </w:rPr>
        <w:t xml:space="preserve">oast and </w:t>
      </w:r>
      <w:r>
        <w:rPr>
          <w:i/>
          <w:iCs/>
          <w:color w:val="000000" w:themeColor="text1"/>
        </w:rPr>
        <w:t>R</w:t>
      </w:r>
      <w:r w:rsidRPr="006C7E67">
        <w:rPr>
          <w:i/>
          <w:iCs/>
          <w:color w:val="000000" w:themeColor="text1"/>
        </w:rPr>
        <w:t xml:space="preserve">ivers explored and surveyed during the </w:t>
      </w:r>
      <w:r>
        <w:rPr>
          <w:i/>
          <w:iCs/>
          <w:color w:val="000000" w:themeColor="text1"/>
        </w:rPr>
        <w:t>V</w:t>
      </w:r>
      <w:r w:rsidRPr="006C7E67">
        <w:rPr>
          <w:i/>
          <w:iCs/>
          <w:color w:val="000000" w:themeColor="text1"/>
        </w:rPr>
        <w:t xml:space="preserve">oyage of the H.M.S. Beagle in the </w:t>
      </w:r>
      <w:r>
        <w:rPr>
          <w:i/>
          <w:iCs/>
          <w:color w:val="000000" w:themeColor="text1"/>
        </w:rPr>
        <w:t>Y</w:t>
      </w:r>
      <w:r w:rsidRPr="006C7E67">
        <w:rPr>
          <w:i/>
          <w:iCs/>
          <w:color w:val="000000" w:themeColor="text1"/>
        </w:rPr>
        <w:t>ears 1837</w:t>
      </w:r>
      <w:r>
        <w:rPr>
          <w:i/>
          <w:iCs/>
          <w:color w:val="000000" w:themeColor="text1"/>
        </w:rPr>
        <w:t>–</w:t>
      </w:r>
      <w:r w:rsidRPr="006C7E67">
        <w:rPr>
          <w:i/>
          <w:iCs/>
          <w:color w:val="000000" w:themeColor="text1"/>
        </w:rPr>
        <w:t>38</w:t>
      </w:r>
      <w:r>
        <w:rPr>
          <w:i/>
          <w:iCs/>
          <w:color w:val="000000" w:themeColor="text1"/>
        </w:rPr>
        <w:t>–</w:t>
      </w:r>
      <w:r w:rsidRPr="006C7E67">
        <w:rPr>
          <w:i/>
          <w:iCs/>
          <w:color w:val="000000" w:themeColor="text1"/>
        </w:rPr>
        <w:t>39</w:t>
      </w:r>
      <w:r>
        <w:rPr>
          <w:i/>
          <w:iCs/>
          <w:color w:val="000000" w:themeColor="text1"/>
        </w:rPr>
        <w:t>–</w:t>
      </w:r>
      <w:r w:rsidRPr="006C7E67">
        <w:rPr>
          <w:i/>
          <w:iCs/>
          <w:color w:val="000000" w:themeColor="text1"/>
        </w:rPr>
        <w:t>40</w:t>
      </w:r>
      <w:r>
        <w:rPr>
          <w:i/>
          <w:iCs/>
          <w:color w:val="000000" w:themeColor="text1"/>
        </w:rPr>
        <w:t>–</w:t>
      </w:r>
      <w:r w:rsidRPr="006C7E67">
        <w:rPr>
          <w:i/>
          <w:iCs/>
          <w:color w:val="000000" w:themeColor="text1"/>
        </w:rPr>
        <w:t>41</w:t>
      </w:r>
      <w:r>
        <w:rPr>
          <w:i/>
          <w:iCs/>
          <w:color w:val="000000" w:themeColor="text1"/>
        </w:rPr>
        <w:t>–</w:t>
      </w:r>
      <w:r w:rsidRPr="006C7E67">
        <w:rPr>
          <w:i/>
          <w:iCs/>
          <w:color w:val="000000" w:themeColor="text1"/>
        </w:rPr>
        <w:t>42</w:t>
      </w:r>
      <w:r>
        <w:rPr>
          <w:i/>
          <w:iCs/>
          <w:color w:val="000000" w:themeColor="text1"/>
        </w:rPr>
        <w:t>–</w:t>
      </w:r>
      <w:r w:rsidRPr="006C7E67">
        <w:rPr>
          <w:i/>
          <w:iCs/>
          <w:color w:val="000000" w:themeColor="text1"/>
        </w:rPr>
        <w:t>43</w:t>
      </w:r>
      <w:r>
        <w:rPr>
          <w:color w:val="000000" w:themeColor="text1"/>
        </w:rPr>
        <w:t>, vol</w:t>
      </w:r>
      <w:r w:rsidR="009F5EB7">
        <w:rPr>
          <w:color w:val="000000" w:themeColor="text1"/>
        </w:rPr>
        <w:t xml:space="preserve">. 1 </w:t>
      </w:r>
      <w:r w:rsidRPr="006C7E67">
        <w:rPr>
          <w:color w:val="000000" w:themeColor="text1"/>
        </w:rPr>
        <w:t>(London: T and W. Boone, 1846)</w:t>
      </w:r>
      <w:r>
        <w:rPr>
          <w:color w:val="000000" w:themeColor="text1"/>
        </w:rPr>
        <w:t xml:space="preserve">, </w:t>
      </w:r>
      <w:r w:rsidRPr="006C7E67">
        <w:rPr>
          <w:color w:val="000000" w:themeColor="text1"/>
        </w:rPr>
        <w:t>p. 53;</w:t>
      </w:r>
      <w:r w:rsidRPr="006C7E67">
        <w:rPr>
          <w:i/>
          <w:color w:val="000000" w:themeColor="text1"/>
        </w:rPr>
        <w:t xml:space="preserve"> </w:t>
      </w:r>
      <w:r w:rsidR="009F5EB7">
        <w:rPr>
          <w:color w:val="000000" w:themeColor="text1"/>
        </w:rPr>
        <w:t xml:space="preserve">Stokes, </w:t>
      </w:r>
      <w:r w:rsidR="009F5EB7" w:rsidRPr="00217567">
        <w:rPr>
          <w:i/>
          <w:iCs/>
          <w:color w:val="000000" w:themeColor="text1"/>
        </w:rPr>
        <w:t>Discoveries in Australia</w:t>
      </w:r>
      <w:r w:rsidR="009F5EB7">
        <w:rPr>
          <w:color w:val="000000" w:themeColor="text1"/>
        </w:rPr>
        <w:t>,</w:t>
      </w:r>
      <w:r w:rsidRPr="006C7E67">
        <w:rPr>
          <w:i/>
          <w:color w:val="000000" w:themeColor="text1"/>
        </w:rPr>
        <w:t xml:space="preserve"> </w:t>
      </w:r>
      <w:r w:rsidRPr="006C7E67">
        <w:rPr>
          <w:color w:val="000000" w:themeColor="text1"/>
        </w:rPr>
        <w:t xml:space="preserve">vol. </w:t>
      </w:r>
      <w:r w:rsidR="009F5EB7">
        <w:rPr>
          <w:color w:val="000000" w:themeColor="text1"/>
        </w:rPr>
        <w:t>2</w:t>
      </w:r>
      <w:r w:rsidRPr="006C7E67">
        <w:rPr>
          <w:color w:val="000000" w:themeColor="text1"/>
        </w:rPr>
        <w:t>, p. 220.</w:t>
      </w:r>
    </w:p>
  </w:footnote>
  <w:footnote w:id="90">
    <w:p w14:paraId="26AB7A93" w14:textId="1151539C" w:rsidR="005B7BA1" w:rsidRPr="00BA7D67" w:rsidRDefault="005B7BA1" w:rsidP="008735A3">
      <w:pPr>
        <w:pStyle w:val="BibliographyKR"/>
        <w:spacing w:before="0" w:after="0"/>
        <w:ind w:left="0" w:firstLine="0"/>
        <w:jc w:val="left"/>
        <w:rPr>
          <w:color w:val="000000" w:themeColor="text1"/>
          <w:sz w:val="20"/>
          <w:szCs w:val="20"/>
        </w:rPr>
      </w:pPr>
      <w:r w:rsidRPr="00BA7D67">
        <w:rPr>
          <w:rStyle w:val="FootnoteReference"/>
          <w:sz w:val="20"/>
          <w:szCs w:val="20"/>
        </w:rPr>
        <w:footnoteRef/>
      </w:r>
      <w:r w:rsidRPr="00BA7D67">
        <w:rPr>
          <w:sz w:val="20"/>
          <w:szCs w:val="20"/>
        </w:rPr>
        <w:t xml:space="preserve"> Shino </w:t>
      </w:r>
      <w:r w:rsidRPr="00BA7D67">
        <w:rPr>
          <w:color w:val="000000" w:themeColor="text1"/>
          <w:sz w:val="20"/>
          <w:szCs w:val="20"/>
        </w:rPr>
        <w:t xml:space="preserve">Konishi, </w:t>
      </w:r>
      <w:r w:rsidRPr="00BA7D67">
        <w:rPr>
          <w:i/>
          <w:color w:val="000000" w:themeColor="text1"/>
          <w:sz w:val="20"/>
          <w:szCs w:val="20"/>
        </w:rPr>
        <w:t xml:space="preserve">The Aboriginal Male in the Enlightenment World </w:t>
      </w:r>
      <w:r w:rsidRPr="00BA7D67">
        <w:rPr>
          <w:color w:val="000000" w:themeColor="text1"/>
          <w:sz w:val="20"/>
          <w:szCs w:val="20"/>
        </w:rPr>
        <w:t xml:space="preserve">(London, Pickering and Chatto: 2012), </w:t>
      </w:r>
      <w:r>
        <w:rPr>
          <w:color w:val="000000" w:themeColor="text1"/>
          <w:sz w:val="20"/>
          <w:szCs w:val="20"/>
        </w:rPr>
        <w:t>c</w:t>
      </w:r>
      <w:r w:rsidRPr="00BA7D67">
        <w:rPr>
          <w:color w:val="000000" w:themeColor="text1"/>
          <w:sz w:val="20"/>
          <w:szCs w:val="20"/>
        </w:rPr>
        <w:t>h. 7</w:t>
      </w:r>
      <w:r>
        <w:rPr>
          <w:color w:val="000000" w:themeColor="text1"/>
          <w:sz w:val="20"/>
          <w:szCs w:val="20"/>
        </w:rPr>
        <w:t>.</w:t>
      </w:r>
    </w:p>
  </w:footnote>
  <w:footnote w:id="91">
    <w:p w14:paraId="4FB7D8A8" w14:textId="79F480CF"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HCPP 1844</w:t>
      </w:r>
      <w:r w:rsidR="009F5EB7">
        <w:rPr>
          <w:color w:val="000000" w:themeColor="text1"/>
        </w:rPr>
        <w:t>,</w:t>
      </w:r>
      <w:r w:rsidRPr="00BA7D67">
        <w:rPr>
          <w:color w:val="000000" w:themeColor="text1"/>
        </w:rPr>
        <w:t xml:space="preserve"> </w:t>
      </w:r>
      <w:r w:rsidRPr="00217567">
        <w:rPr>
          <w:i/>
          <w:iCs/>
          <w:color w:val="000000" w:themeColor="text1"/>
        </w:rPr>
        <w:t>Aborigines (Australian Colonies)</w:t>
      </w:r>
      <w:r w:rsidR="009F5EB7">
        <w:rPr>
          <w:color w:val="000000" w:themeColor="text1"/>
        </w:rPr>
        <w:t xml:space="preserve">, </w:t>
      </w:r>
      <w:r w:rsidRPr="00BA7D67">
        <w:rPr>
          <w:color w:val="000000" w:themeColor="text1"/>
        </w:rPr>
        <w:t xml:space="preserve">Charles Symmons, Protector of Aborigines, to Hutt, 31 December 1840, p. 390. </w:t>
      </w:r>
    </w:p>
  </w:footnote>
  <w:footnote w:id="92">
    <w:p w14:paraId="08E34C31" w14:textId="5B13F3AA" w:rsidR="008E33A7" w:rsidRDefault="008E33A7">
      <w:pPr>
        <w:pStyle w:val="FootnoteText"/>
      </w:pPr>
      <w:r>
        <w:rPr>
          <w:rStyle w:val="FootnoteReference"/>
        </w:rPr>
        <w:footnoteRef/>
      </w:r>
      <w:r>
        <w:t xml:space="preserve"> </w:t>
      </w:r>
      <w:r w:rsidR="00B85CF1">
        <w:t xml:space="preserve">Stokes, </w:t>
      </w:r>
      <w:r w:rsidR="00B85CF1" w:rsidRPr="00217567">
        <w:rPr>
          <w:i/>
          <w:iCs/>
        </w:rPr>
        <w:t>Discoveries in Australia</w:t>
      </w:r>
      <w:r w:rsidR="00B85CF1">
        <w:t xml:space="preserve">, vol. </w:t>
      </w:r>
      <w:r w:rsidR="009F5EB7">
        <w:t>2</w:t>
      </w:r>
      <w:r w:rsidR="00B85CF1">
        <w:t>, p. 362</w:t>
      </w:r>
    </w:p>
  </w:footnote>
  <w:footnote w:id="93">
    <w:p w14:paraId="08292920" w14:textId="06F665EC" w:rsidR="005B7BA1" w:rsidRPr="00BA7D67" w:rsidRDefault="005B7BA1" w:rsidP="008735A3">
      <w:pPr>
        <w:pStyle w:val="FootnoteText"/>
        <w:rPr>
          <w:color w:val="000000" w:themeColor="text1"/>
        </w:rPr>
      </w:pPr>
      <w:r w:rsidRPr="008735A3">
        <w:rPr>
          <w:rStyle w:val="FootnoteReference"/>
          <w:color w:val="000000" w:themeColor="text1"/>
        </w:rPr>
        <w:footnoteRef/>
      </w:r>
      <w:r w:rsidRPr="008735A3">
        <w:rPr>
          <w:color w:val="000000" w:themeColor="text1"/>
        </w:rPr>
        <w:t xml:space="preserve"> </w:t>
      </w:r>
      <w:r w:rsidR="00B85CF1" w:rsidRPr="00217567">
        <w:rPr>
          <w:i/>
          <w:iCs/>
          <w:color w:val="000000" w:themeColor="text1"/>
        </w:rPr>
        <w:t>Ibid.</w:t>
      </w:r>
      <w:r w:rsidRPr="008735A3">
        <w:rPr>
          <w:color w:val="000000" w:themeColor="text1"/>
        </w:rPr>
        <w:t xml:space="preserve"> </w:t>
      </w:r>
    </w:p>
  </w:footnote>
  <w:footnote w:id="94">
    <w:p w14:paraId="7B8BE55C" w14:textId="04157C72"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David Andrew Roberts, ‘Exile in a Land of Exiles: The Early History of Criminal Transportation in New South Wales, 1788</w:t>
      </w:r>
      <w:r>
        <w:rPr>
          <w:color w:val="000000" w:themeColor="text1"/>
        </w:rPr>
        <w:t>–</w:t>
      </w:r>
      <w:r w:rsidRPr="00BA7D67">
        <w:rPr>
          <w:color w:val="000000" w:themeColor="text1"/>
        </w:rPr>
        <w:t xml:space="preserve">1809’, </w:t>
      </w:r>
      <w:r w:rsidRPr="00BA7D67">
        <w:rPr>
          <w:i/>
          <w:color w:val="000000" w:themeColor="text1"/>
        </w:rPr>
        <w:t xml:space="preserve">Australian Historical Studies </w:t>
      </w:r>
      <w:r w:rsidRPr="00217567">
        <w:rPr>
          <w:i/>
          <w:color w:val="000000" w:themeColor="text1"/>
        </w:rPr>
        <w:t>48</w:t>
      </w:r>
      <w:r w:rsidRPr="00BA7D67">
        <w:rPr>
          <w:color w:val="000000" w:themeColor="text1"/>
        </w:rPr>
        <w:t>, no. 4</w:t>
      </w:r>
      <w:r w:rsidRPr="00BA7D67">
        <w:rPr>
          <w:i/>
          <w:color w:val="000000" w:themeColor="text1"/>
        </w:rPr>
        <w:t xml:space="preserve"> </w:t>
      </w:r>
      <w:r w:rsidRPr="00BA7D67">
        <w:rPr>
          <w:color w:val="000000" w:themeColor="text1"/>
        </w:rPr>
        <w:t>(2017)</w:t>
      </w:r>
      <w:r>
        <w:rPr>
          <w:color w:val="000000" w:themeColor="text1"/>
        </w:rPr>
        <w:t>,</w:t>
      </w:r>
      <w:r w:rsidRPr="00BA7D67">
        <w:rPr>
          <w:color w:val="000000" w:themeColor="text1"/>
        </w:rPr>
        <w:t xml:space="preserve"> p. 9.</w:t>
      </w:r>
    </w:p>
  </w:footnote>
  <w:footnote w:id="95">
    <w:p w14:paraId="4CEC7738" w14:textId="77777777"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HCPP 1822, vol. 20, no. 448, </w:t>
      </w:r>
      <w:r w:rsidRPr="00BA7D67">
        <w:rPr>
          <w:i/>
          <w:iCs/>
          <w:color w:val="000000" w:themeColor="text1"/>
        </w:rPr>
        <w:t>Report of the Commissioner of Inquiry into the State of the Colony of New South Wales</w:t>
      </w:r>
      <w:r w:rsidRPr="00BA7D67">
        <w:rPr>
          <w:color w:val="000000" w:themeColor="text1"/>
        </w:rPr>
        <w:t>, p. 165.</w:t>
      </w:r>
    </w:p>
  </w:footnote>
  <w:footnote w:id="96">
    <w:p w14:paraId="76B02385" w14:textId="631F0044" w:rsidR="005B7BA1" w:rsidRPr="00BA7D67" w:rsidRDefault="005B7BA1" w:rsidP="008735A3">
      <w:pPr>
        <w:pStyle w:val="FootnoteText"/>
        <w:rPr>
          <w:noProof/>
          <w:color w:val="000000" w:themeColor="text1"/>
        </w:rPr>
      </w:pPr>
      <w:r w:rsidRPr="00BA7D67">
        <w:rPr>
          <w:rStyle w:val="FootnoteReference"/>
          <w:color w:val="000000" w:themeColor="text1"/>
        </w:rPr>
        <w:footnoteRef/>
      </w:r>
      <w:r w:rsidRPr="00BA7D67">
        <w:rPr>
          <w:color w:val="000000" w:themeColor="text1"/>
        </w:rPr>
        <w:t xml:space="preserve"> Michael Nash, ‘A Harbour Large Enough to Admit a Whole Fleet: The </w:t>
      </w:r>
      <w:r>
        <w:rPr>
          <w:color w:val="000000" w:themeColor="text1"/>
        </w:rPr>
        <w:t>M</w:t>
      </w:r>
      <w:r w:rsidRPr="00BA7D67">
        <w:rPr>
          <w:color w:val="000000" w:themeColor="text1"/>
        </w:rPr>
        <w:t xml:space="preserve">aritime </w:t>
      </w:r>
      <w:r>
        <w:rPr>
          <w:color w:val="000000" w:themeColor="text1"/>
        </w:rPr>
        <w:t>H</w:t>
      </w:r>
      <w:r w:rsidRPr="00BA7D67">
        <w:rPr>
          <w:color w:val="000000" w:themeColor="text1"/>
        </w:rPr>
        <w:t xml:space="preserve">istory and </w:t>
      </w:r>
      <w:r>
        <w:rPr>
          <w:color w:val="000000" w:themeColor="text1"/>
        </w:rPr>
        <w:t>A</w:t>
      </w:r>
      <w:r w:rsidRPr="00BA7D67">
        <w:rPr>
          <w:color w:val="000000" w:themeColor="text1"/>
        </w:rPr>
        <w:t xml:space="preserve">rchaeology of Port Arthur’, in </w:t>
      </w:r>
      <w:r w:rsidRPr="00BA7D67">
        <w:rPr>
          <w:i/>
          <w:color w:val="000000" w:themeColor="text1"/>
        </w:rPr>
        <w:t>History of the Port Arthur Dockyards</w:t>
      </w:r>
      <w:r w:rsidR="009F5EB7">
        <w:rPr>
          <w:i/>
          <w:color w:val="000000" w:themeColor="text1"/>
        </w:rPr>
        <w:t>,</w:t>
      </w:r>
      <w:r w:rsidRPr="00BA7D67">
        <w:rPr>
          <w:i/>
          <w:color w:val="000000" w:themeColor="text1"/>
        </w:rPr>
        <w:t xml:space="preserve"> </w:t>
      </w:r>
      <w:r w:rsidR="009F5EB7">
        <w:rPr>
          <w:iCs/>
          <w:color w:val="000000" w:themeColor="text1"/>
        </w:rPr>
        <w:t xml:space="preserve">edited by </w:t>
      </w:r>
      <w:r w:rsidR="009F5EB7" w:rsidRPr="00BA7D67">
        <w:rPr>
          <w:color w:val="000000" w:themeColor="text1"/>
        </w:rPr>
        <w:t>Richard Tuffin</w:t>
      </w:r>
      <w:r w:rsidR="009F5EB7">
        <w:rPr>
          <w:color w:val="000000" w:themeColor="text1"/>
        </w:rPr>
        <w:t xml:space="preserve"> </w:t>
      </w:r>
      <w:r w:rsidRPr="00BA7D67">
        <w:rPr>
          <w:color w:val="000000" w:themeColor="text1"/>
        </w:rPr>
        <w:t>(Port Arthur: PASHMA, 2004)</w:t>
      </w:r>
      <w:r>
        <w:rPr>
          <w:color w:val="000000" w:themeColor="text1"/>
        </w:rPr>
        <w:t>,</w:t>
      </w:r>
      <w:r w:rsidRPr="00BA7D67">
        <w:rPr>
          <w:color w:val="000000" w:themeColor="text1"/>
        </w:rPr>
        <w:t xml:space="preserve"> pp. 39</w:t>
      </w:r>
      <w:r>
        <w:rPr>
          <w:color w:val="000000" w:themeColor="text1"/>
        </w:rPr>
        <w:t>–</w:t>
      </w:r>
      <w:r w:rsidRPr="00BA7D67">
        <w:rPr>
          <w:color w:val="000000" w:themeColor="text1"/>
        </w:rPr>
        <w:t>56; Hamish Maxwell-Stewart ‘Convict Workers, “Penal Labour” and Sarah Island: Life at Macquarie Harbour, 1822</w:t>
      </w:r>
      <w:r>
        <w:rPr>
          <w:color w:val="000000" w:themeColor="text1"/>
        </w:rPr>
        <w:t>–</w:t>
      </w:r>
      <w:r w:rsidRPr="00BA7D67">
        <w:rPr>
          <w:color w:val="000000" w:themeColor="text1"/>
        </w:rPr>
        <w:t xml:space="preserve">1834’, in </w:t>
      </w:r>
      <w:r w:rsidRPr="00BA7D67">
        <w:rPr>
          <w:i/>
          <w:color w:val="000000" w:themeColor="text1"/>
        </w:rPr>
        <w:t xml:space="preserve">Representing Convicts: New </w:t>
      </w:r>
      <w:r>
        <w:rPr>
          <w:i/>
          <w:color w:val="000000" w:themeColor="text1"/>
        </w:rPr>
        <w:t>P</w:t>
      </w:r>
      <w:r w:rsidRPr="00BA7D67">
        <w:rPr>
          <w:i/>
          <w:color w:val="000000" w:themeColor="text1"/>
        </w:rPr>
        <w:t xml:space="preserve">erspectives on </w:t>
      </w:r>
      <w:r>
        <w:rPr>
          <w:i/>
          <w:color w:val="000000" w:themeColor="text1"/>
        </w:rPr>
        <w:t>C</w:t>
      </w:r>
      <w:r w:rsidRPr="00BA7D67">
        <w:rPr>
          <w:i/>
          <w:color w:val="000000" w:themeColor="text1"/>
        </w:rPr>
        <w:t xml:space="preserve">onvict </w:t>
      </w:r>
      <w:r>
        <w:rPr>
          <w:i/>
          <w:color w:val="000000" w:themeColor="text1"/>
        </w:rPr>
        <w:t>F</w:t>
      </w:r>
      <w:r w:rsidRPr="00BA7D67">
        <w:rPr>
          <w:i/>
          <w:color w:val="000000" w:themeColor="text1"/>
        </w:rPr>
        <w:t xml:space="preserve">orced </w:t>
      </w:r>
      <w:r>
        <w:rPr>
          <w:i/>
          <w:color w:val="000000" w:themeColor="text1"/>
        </w:rPr>
        <w:t>L</w:t>
      </w:r>
      <w:r w:rsidRPr="00BA7D67">
        <w:rPr>
          <w:i/>
          <w:color w:val="000000" w:themeColor="text1"/>
        </w:rPr>
        <w:t xml:space="preserve">abour </w:t>
      </w:r>
      <w:r>
        <w:rPr>
          <w:i/>
          <w:color w:val="000000" w:themeColor="text1"/>
        </w:rPr>
        <w:t>M</w:t>
      </w:r>
      <w:r w:rsidRPr="00BA7D67">
        <w:rPr>
          <w:i/>
          <w:color w:val="000000" w:themeColor="text1"/>
        </w:rPr>
        <w:t>igration</w:t>
      </w:r>
      <w:r w:rsidR="009F5EB7">
        <w:rPr>
          <w:color w:val="000000" w:themeColor="text1"/>
        </w:rPr>
        <w:t xml:space="preserve">, edited by </w:t>
      </w:r>
      <w:r w:rsidR="009F5EB7" w:rsidRPr="00BA7D67">
        <w:rPr>
          <w:color w:val="000000" w:themeColor="text1"/>
        </w:rPr>
        <w:t xml:space="preserve">Ian Duffield and James Bradley </w:t>
      </w:r>
      <w:r w:rsidRPr="00BA7D67">
        <w:rPr>
          <w:color w:val="000000" w:themeColor="text1"/>
        </w:rPr>
        <w:t>(London: Leicester University Press, 1997)</w:t>
      </w:r>
      <w:r>
        <w:rPr>
          <w:color w:val="000000" w:themeColor="text1"/>
        </w:rPr>
        <w:t>,</w:t>
      </w:r>
      <w:r w:rsidRPr="00BA7D67">
        <w:rPr>
          <w:color w:val="000000" w:themeColor="text1"/>
        </w:rPr>
        <w:t xml:space="preserve"> pp. 148</w:t>
      </w:r>
      <w:r>
        <w:rPr>
          <w:color w:val="000000" w:themeColor="text1"/>
        </w:rPr>
        <w:t>–</w:t>
      </w:r>
      <w:r w:rsidRPr="00BA7D67">
        <w:rPr>
          <w:color w:val="000000" w:themeColor="text1"/>
        </w:rPr>
        <w:t xml:space="preserve">50. </w:t>
      </w:r>
    </w:p>
  </w:footnote>
  <w:footnote w:id="97">
    <w:p w14:paraId="4D984660" w14:textId="05C13D14" w:rsidR="005B7BA1" w:rsidRPr="00BA7D67" w:rsidRDefault="005B7BA1" w:rsidP="008735A3">
      <w:pPr>
        <w:pStyle w:val="FootnoteText"/>
        <w:rPr>
          <w:i/>
          <w:color w:val="000000" w:themeColor="text1"/>
        </w:rPr>
      </w:pPr>
      <w:r w:rsidRPr="00BA7D67">
        <w:rPr>
          <w:rStyle w:val="FootnoteReference"/>
          <w:color w:val="000000" w:themeColor="text1"/>
        </w:rPr>
        <w:footnoteRef/>
      </w:r>
      <w:r w:rsidRPr="00BA7D67">
        <w:rPr>
          <w:color w:val="000000" w:themeColor="text1"/>
        </w:rPr>
        <w:t xml:space="preserve"> TNA</w:t>
      </w:r>
      <w:r>
        <w:rPr>
          <w:color w:val="000000" w:themeColor="text1"/>
        </w:rPr>
        <w:t>,</w:t>
      </w:r>
      <w:r w:rsidRPr="00BA7D67">
        <w:rPr>
          <w:color w:val="000000" w:themeColor="text1"/>
        </w:rPr>
        <w:t xml:space="preserve"> CO 201/286,</w:t>
      </w:r>
      <w:r w:rsidRPr="00BA7D67">
        <w:rPr>
          <w:i/>
          <w:color w:val="000000" w:themeColor="text1"/>
        </w:rPr>
        <w:t xml:space="preserve"> </w:t>
      </w:r>
      <w:r w:rsidRPr="00BA7D67">
        <w:rPr>
          <w:color w:val="000000" w:themeColor="text1"/>
        </w:rPr>
        <w:t xml:space="preserve">Gipps to </w:t>
      </w:r>
      <w:r w:rsidR="009F5EB7">
        <w:rPr>
          <w:color w:val="000000" w:themeColor="text1"/>
        </w:rPr>
        <w:t xml:space="preserve">Lord </w:t>
      </w:r>
      <w:r w:rsidRPr="00BA7D67">
        <w:rPr>
          <w:color w:val="000000" w:themeColor="text1"/>
        </w:rPr>
        <w:t>Glenelg, 8 July 1839, p. 250.</w:t>
      </w:r>
    </w:p>
  </w:footnote>
  <w:footnote w:id="98">
    <w:p w14:paraId="65D0C144" w14:textId="3E2DADC6" w:rsidR="005B7BA1" w:rsidRPr="00882612" w:rsidRDefault="005B7BA1" w:rsidP="00882612">
      <w:pPr>
        <w:pStyle w:val="FootnoteText"/>
        <w:rPr>
          <w:color w:val="000000" w:themeColor="text1"/>
        </w:rPr>
      </w:pPr>
      <w:r w:rsidRPr="00BA7D67">
        <w:rPr>
          <w:rStyle w:val="FootnoteReference"/>
          <w:color w:val="000000" w:themeColor="text1"/>
        </w:rPr>
        <w:footnoteRef/>
      </w:r>
      <w:r w:rsidRPr="00BA7D67">
        <w:rPr>
          <w:color w:val="000000" w:themeColor="text1"/>
        </w:rPr>
        <w:t xml:space="preserve"> </w:t>
      </w:r>
      <w:r w:rsidRPr="00BA7D67">
        <w:rPr>
          <w:i/>
          <w:color w:val="000000" w:themeColor="text1"/>
        </w:rPr>
        <w:t>HRA</w:t>
      </w:r>
      <w:r w:rsidRPr="00BA7D67">
        <w:rPr>
          <w:color w:val="000000" w:themeColor="text1"/>
        </w:rPr>
        <w:t xml:space="preserve">, ser. I, vol. 24, Gipps to Lord Stanley, Secretary of State for War and the Colonies, 12 </w:t>
      </w:r>
      <w:r>
        <w:rPr>
          <w:color w:val="000000" w:themeColor="text1"/>
        </w:rPr>
        <w:t xml:space="preserve">November </w:t>
      </w:r>
      <w:r w:rsidRPr="00BA7D67">
        <w:rPr>
          <w:color w:val="000000" w:themeColor="text1"/>
        </w:rPr>
        <w:t xml:space="preserve">1845, no. 185. </w:t>
      </w:r>
    </w:p>
  </w:footnote>
  <w:footnote w:id="99">
    <w:p w14:paraId="1493393A" w14:textId="375A1087"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Sue Castrique, ‘Under the Colony’s Eye: Cockatoo Island and the Fitzroy Dock’, </w:t>
      </w:r>
      <w:r w:rsidRPr="00BA7D67">
        <w:rPr>
          <w:i/>
          <w:color w:val="000000" w:themeColor="text1"/>
        </w:rPr>
        <w:t xml:space="preserve">Journal of the Royal Australian Historical Society </w:t>
      </w:r>
      <w:r w:rsidRPr="00217567">
        <w:rPr>
          <w:i/>
          <w:iCs/>
          <w:color w:val="000000" w:themeColor="text1"/>
        </w:rPr>
        <w:t>98</w:t>
      </w:r>
      <w:r w:rsidRPr="00BA7D67">
        <w:rPr>
          <w:color w:val="000000" w:themeColor="text1"/>
        </w:rPr>
        <w:t>, no. 2 (2012)</w:t>
      </w:r>
      <w:r>
        <w:rPr>
          <w:color w:val="000000" w:themeColor="text1"/>
        </w:rPr>
        <w:t>,</w:t>
      </w:r>
      <w:r w:rsidR="00D57108">
        <w:rPr>
          <w:color w:val="000000" w:themeColor="text1"/>
        </w:rPr>
        <w:t xml:space="preserve"> </w:t>
      </w:r>
      <w:r w:rsidRPr="00BA7D67">
        <w:rPr>
          <w:color w:val="000000" w:themeColor="text1"/>
        </w:rPr>
        <w:t>p. 51.</w:t>
      </w:r>
    </w:p>
  </w:footnote>
  <w:footnote w:id="100">
    <w:p w14:paraId="79047C57" w14:textId="26FE9B5D" w:rsidR="00B85CF1" w:rsidRPr="00DC0DF9" w:rsidRDefault="00B85CF1" w:rsidP="00B85CF1">
      <w:pPr>
        <w:pStyle w:val="FootnoteText"/>
      </w:pPr>
      <w:r w:rsidRPr="00DC0DF9">
        <w:rPr>
          <w:rStyle w:val="FootnoteReference"/>
        </w:rPr>
        <w:footnoteRef/>
      </w:r>
      <w:r w:rsidRPr="00DC0DF9">
        <w:t xml:space="preserve"> </w:t>
      </w:r>
      <w:r w:rsidRPr="00217567">
        <w:rPr>
          <w:i/>
          <w:iCs/>
        </w:rPr>
        <w:t xml:space="preserve">Votes and Proceedings of the Legislative Council, NSW, 1847, vol. </w:t>
      </w:r>
      <w:r w:rsidR="00D57108" w:rsidRPr="00217567">
        <w:rPr>
          <w:i/>
          <w:iCs/>
        </w:rPr>
        <w:t>1</w:t>
      </w:r>
      <w:r>
        <w:t xml:space="preserve">, Report from the Select Committee on the proposed formation of the dry dock at Cockatoo Island, with minutes of evidence, and plans, p. 393. </w:t>
      </w:r>
    </w:p>
  </w:footnote>
  <w:footnote w:id="101">
    <w:p w14:paraId="67B13ACB" w14:textId="6A276BB3" w:rsidR="005B7BA1" w:rsidRPr="00BA7D67" w:rsidRDefault="005B7BA1" w:rsidP="008735A3">
      <w:pPr>
        <w:pStyle w:val="FootnoteText"/>
        <w:rPr>
          <w:color w:val="000000" w:themeColor="text1"/>
        </w:rPr>
      </w:pPr>
      <w:r w:rsidRPr="00BA7D67">
        <w:rPr>
          <w:rStyle w:val="FootnoteReference"/>
        </w:rPr>
        <w:footnoteRef/>
      </w:r>
      <w:r w:rsidRPr="00BA7D67">
        <w:t xml:space="preserve"> </w:t>
      </w:r>
      <w:r w:rsidR="00D57108" w:rsidRPr="00217567">
        <w:rPr>
          <w:color w:val="000000" w:themeColor="text1"/>
        </w:rPr>
        <w:t>Ibid.</w:t>
      </w:r>
      <w:r w:rsidRPr="00747E3B">
        <w:rPr>
          <w:color w:val="000000" w:themeColor="text1"/>
        </w:rPr>
        <w:t>, p. 393</w:t>
      </w:r>
      <w:r>
        <w:rPr>
          <w:color w:val="000000" w:themeColor="text1"/>
        </w:rPr>
        <w:t>;</w:t>
      </w:r>
      <w:r w:rsidRPr="00747E3B">
        <w:rPr>
          <w:color w:val="000000" w:themeColor="text1"/>
        </w:rPr>
        <w:t xml:space="preserve"> </w:t>
      </w:r>
      <w:r w:rsidRPr="00BA7D67">
        <w:t>Castrique, ‘Under the Colony’s Eye’, pp. 211</w:t>
      </w:r>
      <w:r>
        <w:t>–</w:t>
      </w:r>
      <w:r w:rsidR="00D57108">
        <w:t>1</w:t>
      </w:r>
      <w:r w:rsidRPr="00BA7D67">
        <w:t>2</w:t>
      </w:r>
      <w:r>
        <w:t>.</w:t>
      </w:r>
    </w:p>
  </w:footnote>
  <w:footnote w:id="102">
    <w:p w14:paraId="41773F9E" w14:textId="56518C7C"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w:t>
      </w:r>
      <w:r w:rsidRPr="00217567">
        <w:rPr>
          <w:i/>
          <w:iCs/>
          <w:color w:val="000000" w:themeColor="text1"/>
        </w:rPr>
        <w:t>Legislative Council, NSW, Sessional Papers on Prison Discipline, 1856–57</w:t>
      </w:r>
      <w:r w:rsidRPr="00BA7D67">
        <w:rPr>
          <w:color w:val="000000" w:themeColor="text1"/>
        </w:rPr>
        <w:t>, Edward Deas Thomson, Colonial Secretary, to John Maclean, Principal Superintendent of Convicts, 12 April 1855, pp. 1043</w:t>
      </w:r>
      <w:r>
        <w:rPr>
          <w:color w:val="000000" w:themeColor="text1"/>
        </w:rPr>
        <w:t>–</w:t>
      </w:r>
      <w:r w:rsidRPr="00BA7D67">
        <w:rPr>
          <w:color w:val="000000" w:themeColor="text1"/>
        </w:rPr>
        <w:t>5.</w:t>
      </w:r>
    </w:p>
  </w:footnote>
  <w:footnote w:id="103">
    <w:p w14:paraId="79055017" w14:textId="65CE8789"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w:t>
      </w:r>
      <w:r w:rsidR="002E1428">
        <w:rPr>
          <w:color w:val="000000" w:themeColor="text1"/>
        </w:rPr>
        <w:t xml:space="preserve">‘Report of </w:t>
      </w:r>
      <w:r w:rsidRPr="00BA7D67">
        <w:rPr>
          <w:color w:val="000000" w:themeColor="text1"/>
        </w:rPr>
        <w:t>Select Committee on Dry Dock at Cockatoo Island</w:t>
      </w:r>
      <w:r w:rsidR="002E1428">
        <w:rPr>
          <w:color w:val="000000" w:themeColor="text1"/>
        </w:rPr>
        <w:t>’,</w:t>
      </w:r>
      <w:r w:rsidR="00D57108">
        <w:rPr>
          <w:color w:val="000000" w:themeColor="text1"/>
        </w:rPr>
        <w:t xml:space="preserve"> 1847,</w:t>
      </w:r>
      <w:r w:rsidRPr="00BA7D67">
        <w:rPr>
          <w:color w:val="000000" w:themeColor="text1"/>
        </w:rPr>
        <w:t xml:space="preserve"> p. 393.</w:t>
      </w:r>
    </w:p>
  </w:footnote>
  <w:footnote w:id="104">
    <w:p w14:paraId="5D7120FC" w14:textId="3F327048" w:rsidR="005B7BA1" w:rsidRPr="00BA7D67" w:rsidRDefault="005B7BA1" w:rsidP="008735A3">
      <w:pPr>
        <w:pStyle w:val="FootnoteText"/>
        <w:rPr>
          <w:color w:val="000000" w:themeColor="text1"/>
          <w:highlight w:val="green"/>
        </w:rPr>
      </w:pPr>
      <w:r w:rsidRPr="00BA7D67">
        <w:rPr>
          <w:rStyle w:val="FootnoteReference"/>
          <w:color w:val="000000" w:themeColor="text1"/>
        </w:rPr>
        <w:footnoteRef/>
      </w:r>
      <w:r w:rsidRPr="00BA7D67">
        <w:rPr>
          <w:color w:val="000000" w:themeColor="text1"/>
        </w:rPr>
        <w:t xml:space="preserve"> NSW State Archives, 4/6504, Daily State of Cockatoo Island, 21</w:t>
      </w:r>
      <w:r>
        <w:rPr>
          <w:color w:val="000000" w:themeColor="text1"/>
        </w:rPr>
        <w:t>–</w:t>
      </w:r>
      <w:r w:rsidRPr="00BA7D67">
        <w:rPr>
          <w:color w:val="000000" w:themeColor="text1"/>
        </w:rPr>
        <w:t>23 August 1859, pp. 6, 8</w:t>
      </w:r>
      <w:r>
        <w:rPr>
          <w:color w:val="000000" w:themeColor="text1"/>
        </w:rPr>
        <w:t>–</w:t>
      </w:r>
      <w:r w:rsidRPr="00BA7D67">
        <w:rPr>
          <w:color w:val="000000" w:themeColor="text1"/>
        </w:rPr>
        <w:t>9.</w:t>
      </w:r>
    </w:p>
  </w:footnote>
  <w:footnote w:id="105">
    <w:p w14:paraId="7C89EF22" w14:textId="3067DFD8"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w:t>
      </w:r>
      <w:r w:rsidR="002E1428">
        <w:rPr>
          <w:color w:val="000000" w:themeColor="text1"/>
        </w:rPr>
        <w:t xml:space="preserve">‘Report of </w:t>
      </w:r>
      <w:r w:rsidR="002E1428" w:rsidRPr="00BA7D67">
        <w:rPr>
          <w:color w:val="000000" w:themeColor="text1"/>
        </w:rPr>
        <w:t>Select Committee on Dry Dock at Cockatoo Island</w:t>
      </w:r>
      <w:r w:rsidR="002E1428">
        <w:rPr>
          <w:color w:val="000000" w:themeColor="text1"/>
        </w:rPr>
        <w:t>’, 1847,</w:t>
      </w:r>
      <w:r w:rsidR="002E1428" w:rsidRPr="00BA7D67">
        <w:rPr>
          <w:color w:val="000000" w:themeColor="text1"/>
        </w:rPr>
        <w:t xml:space="preserve"> </w:t>
      </w:r>
      <w:r w:rsidRPr="00BA7D67">
        <w:rPr>
          <w:color w:val="000000" w:themeColor="text1"/>
        </w:rPr>
        <w:t>p. 393.</w:t>
      </w:r>
    </w:p>
  </w:footnote>
  <w:footnote w:id="106">
    <w:p w14:paraId="34EFB1F8" w14:textId="60B10E3D" w:rsidR="005B7BA1" w:rsidRPr="00BA7D67" w:rsidRDefault="005B7BA1" w:rsidP="008735A3">
      <w:pPr>
        <w:pStyle w:val="Header"/>
        <w:rPr>
          <w:color w:val="000000" w:themeColor="text1"/>
          <w:sz w:val="20"/>
          <w:szCs w:val="20"/>
        </w:rPr>
      </w:pPr>
      <w:r w:rsidRPr="00BA7D67">
        <w:rPr>
          <w:rStyle w:val="FootnoteReference"/>
          <w:color w:val="000000" w:themeColor="text1"/>
          <w:sz w:val="20"/>
          <w:szCs w:val="20"/>
        </w:rPr>
        <w:footnoteRef/>
      </w:r>
      <w:r w:rsidRPr="00BA7D67">
        <w:rPr>
          <w:color w:val="000000" w:themeColor="text1"/>
          <w:sz w:val="20"/>
          <w:szCs w:val="20"/>
        </w:rPr>
        <w:t xml:space="preserve"> Richard H. Grove, </w:t>
      </w:r>
      <w:r w:rsidRPr="00BA7D67">
        <w:rPr>
          <w:i/>
          <w:iCs/>
          <w:color w:val="000000" w:themeColor="text1"/>
          <w:sz w:val="20"/>
          <w:szCs w:val="20"/>
        </w:rPr>
        <w:t xml:space="preserve">Green Imperialism: Colonial </w:t>
      </w:r>
      <w:r>
        <w:rPr>
          <w:i/>
          <w:iCs/>
          <w:color w:val="000000" w:themeColor="text1"/>
          <w:sz w:val="20"/>
          <w:szCs w:val="20"/>
        </w:rPr>
        <w:t>E</w:t>
      </w:r>
      <w:r w:rsidRPr="00BA7D67">
        <w:rPr>
          <w:i/>
          <w:iCs/>
          <w:color w:val="000000" w:themeColor="text1"/>
          <w:sz w:val="20"/>
          <w:szCs w:val="20"/>
        </w:rPr>
        <w:t xml:space="preserve">xpansion, </w:t>
      </w:r>
      <w:r>
        <w:rPr>
          <w:i/>
          <w:iCs/>
          <w:color w:val="000000" w:themeColor="text1"/>
          <w:sz w:val="20"/>
          <w:szCs w:val="20"/>
        </w:rPr>
        <w:t>T</w:t>
      </w:r>
      <w:r w:rsidRPr="00BA7D67">
        <w:rPr>
          <w:i/>
          <w:iCs/>
          <w:color w:val="000000" w:themeColor="text1"/>
          <w:sz w:val="20"/>
          <w:szCs w:val="20"/>
        </w:rPr>
        <w:t xml:space="preserve">ropical </w:t>
      </w:r>
      <w:r>
        <w:rPr>
          <w:i/>
          <w:iCs/>
          <w:color w:val="000000" w:themeColor="text1"/>
          <w:sz w:val="20"/>
          <w:szCs w:val="20"/>
        </w:rPr>
        <w:t>I</w:t>
      </w:r>
      <w:r w:rsidRPr="00BA7D67">
        <w:rPr>
          <w:i/>
          <w:iCs/>
          <w:color w:val="000000" w:themeColor="text1"/>
          <w:sz w:val="20"/>
          <w:szCs w:val="20"/>
        </w:rPr>
        <w:t xml:space="preserve">sland Edens and the </w:t>
      </w:r>
      <w:r>
        <w:rPr>
          <w:i/>
          <w:iCs/>
          <w:color w:val="000000" w:themeColor="text1"/>
          <w:sz w:val="20"/>
          <w:szCs w:val="20"/>
        </w:rPr>
        <w:t>O</w:t>
      </w:r>
      <w:r w:rsidRPr="00BA7D67">
        <w:rPr>
          <w:i/>
          <w:iCs/>
          <w:color w:val="000000" w:themeColor="text1"/>
          <w:sz w:val="20"/>
          <w:szCs w:val="20"/>
        </w:rPr>
        <w:t xml:space="preserve">rigins of </w:t>
      </w:r>
      <w:r>
        <w:rPr>
          <w:i/>
          <w:iCs/>
          <w:color w:val="000000" w:themeColor="text1"/>
          <w:sz w:val="20"/>
          <w:szCs w:val="20"/>
        </w:rPr>
        <w:t>E</w:t>
      </w:r>
      <w:r w:rsidRPr="00BA7D67">
        <w:rPr>
          <w:i/>
          <w:iCs/>
          <w:color w:val="000000" w:themeColor="text1"/>
          <w:sz w:val="20"/>
          <w:szCs w:val="20"/>
        </w:rPr>
        <w:t>nvironmentalism, 1600</w:t>
      </w:r>
      <w:r>
        <w:rPr>
          <w:i/>
          <w:iCs/>
          <w:color w:val="000000" w:themeColor="text1"/>
          <w:sz w:val="20"/>
          <w:szCs w:val="20"/>
        </w:rPr>
        <w:t>–</w:t>
      </w:r>
      <w:r w:rsidRPr="00BA7D67">
        <w:rPr>
          <w:i/>
          <w:iCs/>
          <w:color w:val="000000" w:themeColor="text1"/>
          <w:sz w:val="20"/>
          <w:szCs w:val="20"/>
        </w:rPr>
        <w:t xml:space="preserve">1860 </w:t>
      </w:r>
      <w:r w:rsidRPr="00BA7D67">
        <w:rPr>
          <w:color w:val="000000" w:themeColor="text1"/>
          <w:sz w:val="20"/>
          <w:szCs w:val="20"/>
        </w:rPr>
        <w:t>(Cambridge: Cambridge University Press, 1995)</w:t>
      </w:r>
      <w:r>
        <w:rPr>
          <w:color w:val="000000" w:themeColor="text1"/>
          <w:sz w:val="20"/>
          <w:szCs w:val="20"/>
        </w:rPr>
        <w:t>,</w:t>
      </w:r>
      <w:r w:rsidRPr="00BA7D67">
        <w:rPr>
          <w:color w:val="000000" w:themeColor="text1"/>
          <w:sz w:val="20"/>
          <w:szCs w:val="20"/>
        </w:rPr>
        <w:t xml:space="preserve"> p. 5.</w:t>
      </w:r>
    </w:p>
  </w:footnote>
  <w:footnote w:id="107">
    <w:p w14:paraId="156AC19B" w14:textId="33AC73AE" w:rsidR="005B7BA1" w:rsidRPr="00BA7D67" w:rsidRDefault="005B7BA1" w:rsidP="008735A3">
      <w:pPr>
        <w:pStyle w:val="BibliographyKR"/>
        <w:spacing w:before="0" w:after="0"/>
        <w:ind w:left="0" w:firstLine="0"/>
        <w:jc w:val="left"/>
        <w:rPr>
          <w:color w:val="000000" w:themeColor="text1"/>
          <w:sz w:val="20"/>
          <w:szCs w:val="20"/>
        </w:rPr>
      </w:pPr>
      <w:r w:rsidRPr="00BA7D67">
        <w:rPr>
          <w:rStyle w:val="FootnoteReference"/>
          <w:color w:val="000000" w:themeColor="text1"/>
          <w:sz w:val="20"/>
          <w:szCs w:val="20"/>
        </w:rPr>
        <w:footnoteRef/>
      </w:r>
      <w:r w:rsidRPr="00BA7D67">
        <w:rPr>
          <w:color w:val="000000" w:themeColor="text1"/>
          <w:sz w:val="20"/>
          <w:szCs w:val="20"/>
        </w:rPr>
        <w:t xml:space="preserve"> Robert Clarke and Anna Johnston, ‘Travelling the Sequestered Isle: Tasmania as </w:t>
      </w:r>
      <w:r>
        <w:rPr>
          <w:color w:val="000000" w:themeColor="text1"/>
          <w:sz w:val="20"/>
          <w:szCs w:val="20"/>
        </w:rPr>
        <w:t>P</w:t>
      </w:r>
      <w:r w:rsidRPr="00BA7D67">
        <w:rPr>
          <w:color w:val="000000" w:themeColor="text1"/>
          <w:sz w:val="20"/>
          <w:szCs w:val="20"/>
        </w:rPr>
        <w:t xml:space="preserve">enitentiary, </w:t>
      </w:r>
      <w:r>
        <w:rPr>
          <w:color w:val="000000" w:themeColor="text1"/>
          <w:sz w:val="20"/>
          <w:szCs w:val="20"/>
        </w:rPr>
        <w:t>L</w:t>
      </w:r>
      <w:r w:rsidRPr="00BA7D67">
        <w:rPr>
          <w:color w:val="000000" w:themeColor="text1"/>
          <w:sz w:val="20"/>
          <w:szCs w:val="20"/>
        </w:rPr>
        <w:t xml:space="preserve">aboratory and </w:t>
      </w:r>
      <w:r>
        <w:rPr>
          <w:color w:val="000000" w:themeColor="text1"/>
          <w:sz w:val="20"/>
          <w:szCs w:val="20"/>
        </w:rPr>
        <w:t>S</w:t>
      </w:r>
      <w:r w:rsidRPr="00BA7D67">
        <w:rPr>
          <w:color w:val="000000" w:themeColor="text1"/>
          <w:sz w:val="20"/>
          <w:szCs w:val="20"/>
        </w:rPr>
        <w:t xml:space="preserve">anctuary’, </w:t>
      </w:r>
      <w:r w:rsidRPr="00BA7D67">
        <w:rPr>
          <w:i/>
          <w:color w:val="000000" w:themeColor="text1"/>
          <w:sz w:val="20"/>
          <w:szCs w:val="20"/>
        </w:rPr>
        <w:t xml:space="preserve">Studies in Travel Writing </w:t>
      </w:r>
      <w:r w:rsidRPr="00217567">
        <w:rPr>
          <w:i/>
          <w:iCs/>
          <w:color w:val="000000" w:themeColor="text1"/>
          <w:sz w:val="20"/>
          <w:szCs w:val="20"/>
        </w:rPr>
        <w:t>20</w:t>
      </w:r>
      <w:r w:rsidRPr="00BA7D67">
        <w:rPr>
          <w:color w:val="000000" w:themeColor="text1"/>
          <w:sz w:val="20"/>
          <w:szCs w:val="20"/>
        </w:rPr>
        <w:t>, no. 1 (2016)</w:t>
      </w:r>
      <w:r>
        <w:rPr>
          <w:color w:val="000000" w:themeColor="text1"/>
          <w:sz w:val="20"/>
          <w:szCs w:val="20"/>
        </w:rPr>
        <w:t>,</w:t>
      </w:r>
      <w:r w:rsidRPr="00BA7D67">
        <w:rPr>
          <w:color w:val="000000" w:themeColor="text1"/>
          <w:sz w:val="20"/>
          <w:szCs w:val="20"/>
        </w:rPr>
        <w:t xml:space="preserve"> pp. 1</w:t>
      </w:r>
      <w:r>
        <w:rPr>
          <w:color w:val="000000" w:themeColor="text1"/>
          <w:sz w:val="20"/>
          <w:szCs w:val="20"/>
        </w:rPr>
        <w:t>–</w:t>
      </w:r>
      <w:r w:rsidRPr="00BA7D67">
        <w:rPr>
          <w:color w:val="000000" w:themeColor="text1"/>
          <w:sz w:val="20"/>
          <w:szCs w:val="20"/>
        </w:rPr>
        <w:t>16.</w:t>
      </w:r>
    </w:p>
  </w:footnote>
  <w:footnote w:id="108">
    <w:p w14:paraId="4B8D8E18" w14:textId="77777777" w:rsidR="005B7BA1" w:rsidRPr="004D4219" w:rsidRDefault="005B7BA1" w:rsidP="008735A3">
      <w:pPr>
        <w:pStyle w:val="FootnoteText"/>
      </w:pPr>
      <w:r w:rsidRPr="00F91AFC">
        <w:rPr>
          <w:rStyle w:val="FootnoteReference"/>
        </w:rPr>
        <w:footnoteRef/>
      </w:r>
      <w:r w:rsidRPr="00F91AFC">
        <w:t xml:space="preserve"> Grove, </w:t>
      </w:r>
      <w:r w:rsidRPr="00F91AFC">
        <w:rPr>
          <w:i/>
          <w:iCs/>
        </w:rPr>
        <w:t>Green Imperialism</w:t>
      </w:r>
      <w:r w:rsidRPr="00882612">
        <w:t>,</w:t>
      </w:r>
      <w:r w:rsidRPr="00F91AFC">
        <w:rPr>
          <w:i/>
          <w:iCs/>
        </w:rPr>
        <w:t xml:space="preserve"> </w:t>
      </w:r>
      <w:r w:rsidRPr="00F91AFC">
        <w:t>p. 9.</w:t>
      </w:r>
    </w:p>
  </w:footnote>
  <w:footnote w:id="109">
    <w:p w14:paraId="100341AE" w14:textId="2EBC8474"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Richard White, </w:t>
      </w:r>
      <w:r w:rsidRPr="00BA7D67">
        <w:rPr>
          <w:i/>
          <w:iCs/>
          <w:color w:val="000000" w:themeColor="text1"/>
        </w:rPr>
        <w:t xml:space="preserve">Inventing Australia: Images and Identity </w:t>
      </w:r>
      <w:r w:rsidRPr="00BA7D67">
        <w:rPr>
          <w:color w:val="000000" w:themeColor="text1"/>
        </w:rPr>
        <w:t>(Crow’s Nest: Allen &amp; Unwin, 1981)</w:t>
      </w:r>
      <w:r>
        <w:rPr>
          <w:color w:val="000000" w:themeColor="text1"/>
        </w:rPr>
        <w:t>,</w:t>
      </w:r>
      <w:r w:rsidRPr="00BA7D67">
        <w:rPr>
          <w:i/>
          <w:iCs/>
          <w:color w:val="000000" w:themeColor="text1"/>
        </w:rPr>
        <w:t xml:space="preserve"> </w:t>
      </w:r>
      <w:r w:rsidRPr="00BA7D67">
        <w:rPr>
          <w:color w:val="000000" w:themeColor="text1"/>
        </w:rPr>
        <w:t>pp. 6</w:t>
      </w:r>
      <w:r>
        <w:rPr>
          <w:color w:val="000000" w:themeColor="text1"/>
        </w:rPr>
        <w:t>–</w:t>
      </w:r>
      <w:r w:rsidRPr="00BA7D67">
        <w:rPr>
          <w:color w:val="000000" w:themeColor="text1"/>
        </w:rPr>
        <w:t>9</w:t>
      </w:r>
      <w:r>
        <w:rPr>
          <w:color w:val="000000" w:themeColor="text1"/>
        </w:rPr>
        <w:t>;</w:t>
      </w:r>
      <w:r w:rsidRPr="00BA7D67">
        <w:rPr>
          <w:color w:val="000000" w:themeColor="text1"/>
        </w:rPr>
        <w:t xml:space="preserve"> Tom Griffiths and Libby Robbin, </w:t>
      </w:r>
      <w:r w:rsidRPr="00BA7D67">
        <w:rPr>
          <w:i/>
          <w:iCs/>
          <w:color w:val="000000" w:themeColor="text1"/>
        </w:rPr>
        <w:t xml:space="preserve">Ecology and Empire: Environmental History of Settler Societies </w:t>
      </w:r>
      <w:r w:rsidRPr="00BA7D67">
        <w:rPr>
          <w:color w:val="000000" w:themeColor="text1"/>
        </w:rPr>
        <w:t>(Carlton: Melbourne University Press, 1997)</w:t>
      </w:r>
      <w:r>
        <w:rPr>
          <w:color w:val="000000" w:themeColor="text1"/>
        </w:rPr>
        <w:t>,</w:t>
      </w:r>
      <w:r w:rsidRPr="00BA7D67">
        <w:rPr>
          <w:i/>
          <w:iCs/>
          <w:color w:val="000000" w:themeColor="text1"/>
        </w:rPr>
        <w:t xml:space="preserve"> </w:t>
      </w:r>
      <w:r w:rsidRPr="00BA7D67">
        <w:rPr>
          <w:color w:val="000000" w:themeColor="text1"/>
        </w:rPr>
        <w:t>p. 3</w:t>
      </w:r>
      <w:r>
        <w:rPr>
          <w:color w:val="000000" w:themeColor="text1"/>
        </w:rPr>
        <w:t>;</w:t>
      </w:r>
      <w:r w:rsidRPr="00BA7D67">
        <w:rPr>
          <w:color w:val="000000" w:themeColor="text1"/>
        </w:rPr>
        <w:t xml:space="preserve"> Paul Carter, </w:t>
      </w:r>
      <w:r w:rsidRPr="00BA7D67">
        <w:rPr>
          <w:i/>
          <w:iCs/>
          <w:color w:val="000000" w:themeColor="text1"/>
        </w:rPr>
        <w:t>The Road to Botany Bay: An Exploration of Landscape and History</w:t>
      </w:r>
      <w:r w:rsidRPr="00BA7D67">
        <w:rPr>
          <w:color w:val="000000" w:themeColor="text1"/>
        </w:rPr>
        <w:t xml:space="preserve"> (</w:t>
      </w:r>
      <w:r w:rsidRPr="006D17DC">
        <w:rPr>
          <w:color w:val="000000" w:themeColor="text1"/>
        </w:rPr>
        <w:t>Minneapolis</w:t>
      </w:r>
      <w:r w:rsidRPr="00BA7D67">
        <w:rPr>
          <w:color w:val="000000" w:themeColor="text1"/>
        </w:rPr>
        <w:t>: University of Minnesota Press, 2010)</w:t>
      </w:r>
      <w:r>
        <w:rPr>
          <w:color w:val="000000" w:themeColor="text1"/>
        </w:rPr>
        <w:t>,</w:t>
      </w:r>
      <w:r w:rsidRPr="00BA7D67">
        <w:rPr>
          <w:color w:val="000000" w:themeColor="text1"/>
        </w:rPr>
        <w:t xml:space="preserve"> p. 27.</w:t>
      </w:r>
    </w:p>
  </w:footnote>
  <w:footnote w:id="110">
    <w:p w14:paraId="5315927C" w14:textId="33002025"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D. Graham Burnett</w:t>
      </w:r>
      <w:r>
        <w:rPr>
          <w:color w:val="000000" w:themeColor="text1"/>
        </w:rPr>
        <w:t>,</w:t>
      </w:r>
      <w:r w:rsidRPr="00BA7D67">
        <w:rPr>
          <w:color w:val="000000" w:themeColor="text1"/>
        </w:rPr>
        <w:t xml:space="preserve"> ‘Matthew Fontaine Maury’s “</w:t>
      </w:r>
      <w:r>
        <w:rPr>
          <w:color w:val="000000" w:themeColor="text1"/>
        </w:rPr>
        <w:t>S</w:t>
      </w:r>
      <w:r w:rsidRPr="00BA7D67">
        <w:rPr>
          <w:color w:val="000000" w:themeColor="text1"/>
        </w:rPr>
        <w:t xml:space="preserve">ea of </w:t>
      </w:r>
      <w:r>
        <w:rPr>
          <w:color w:val="000000" w:themeColor="text1"/>
        </w:rPr>
        <w:t>F</w:t>
      </w:r>
      <w:r w:rsidRPr="00BA7D67">
        <w:rPr>
          <w:color w:val="000000" w:themeColor="text1"/>
        </w:rPr>
        <w:t>ire”</w:t>
      </w:r>
      <w:r>
        <w:rPr>
          <w:color w:val="000000" w:themeColor="text1"/>
        </w:rPr>
        <w:t>:</w:t>
      </w:r>
      <w:r w:rsidRPr="00BA7D67">
        <w:rPr>
          <w:color w:val="000000" w:themeColor="text1"/>
        </w:rPr>
        <w:t xml:space="preserve"> Hydrography, </w:t>
      </w:r>
      <w:r>
        <w:rPr>
          <w:color w:val="000000" w:themeColor="text1"/>
        </w:rPr>
        <w:t>B</w:t>
      </w:r>
      <w:r w:rsidRPr="00BA7D67">
        <w:rPr>
          <w:color w:val="000000" w:themeColor="text1"/>
        </w:rPr>
        <w:t xml:space="preserve">iogeography and </w:t>
      </w:r>
      <w:r>
        <w:rPr>
          <w:color w:val="000000" w:themeColor="text1"/>
        </w:rPr>
        <w:t>P</w:t>
      </w:r>
      <w:r w:rsidRPr="00BA7D67">
        <w:rPr>
          <w:color w:val="000000" w:themeColor="text1"/>
        </w:rPr>
        <w:t xml:space="preserve">rovidence in the </w:t>
      </w:r>
      <w:r>
        <w:rPr>
          <w:color w:val="000000" w:themeColor="text1"/>
        </w:rPr>
        <w:t>T</w:t>
      </w:r>
      <w:r w:rsidRPr="00BA7D67">
        <w:rPr>
          <w:color w:val="000000" w:themeColor="text1"/>
        </w:rPr>
        <w:t xml:space="preserve">ropics’, in </w:t>
      </w:r>
      <w:r w:rsidRPr="00BA7D67">
        <w:rPr>
          <w:i/>
          <w:iCs/>
          <w:color w:val="000000" w:themeColor="text1"/>
        </w:rPr>
        <w:t>Tropical Visions in an Age of Empire</w:t>
      </w:r>
      <w:r w:rsidR="00167312">
        <w:rPr>
          <w:i/>
          <w:iCs/>
          <w:color w:val="000000" w:themeColor="text1"/>
        </w:rPr>
        <w:t>,</w:t>
      </w:r>
      <w:r w:rsidRPr="00217567">
        <w:rPr>
          <w:color w:val="000000" w:themeColor="text1"/>
        </w:rPr>
        <w:t xml:space="preserve"> </w:t>
      </w:r>
      <w:r w:rsidR="00167312" w:rsidRPr="00217567">
        <w:rPr>
          <w:color w:val="000000" w:themeColor="text1"/>
        </w:rPr>
        <w:t>edited by</w:t>
      </w:r>
      <w:r w:rsidR="00167312">
        <w:rPr>
          <w:color w:val="000000" w:themeColor="text1"/>
        </w:rPr>
        <w:t xml:space="preserve"> </w:t>
      </w:r>
      <w:r w:rsidR="00167312" w:rsidRPr="00BA7D67">
        <w:rPr>
          <w:color w:val="000000" w:themeColor="text1"/>
        </w:rPr>
        <w:t>Felix Driver and Luciana Martin</w:t>
      </w:r>
      <w:r w:rsidR="00167312">
        <w:rPr>
          <w:color w:val="000000" w:themeColor="text1"/>
        </w:rPr>
        <w:t>s</w:t>
      </w:r>
      <w:r w:rsidR="00167312" w:rsidRPr="00BA7D67">
        <w:rPr>
          <w:color w:val="000000" w:themeColor="text1"/>
        </w:rPr>
        <w:t xml:space="preserve"> </w:t>
      </w:r>
      <w:r w:rsidRPr="00BA7D67">
        <w:rPr>
          <w:iCs/>
          <w:color w:val="000000" w:themeColor="text1"/>
        </w:rPr>
        <w:t>(Chicago: University of Chicago Press, 2005)</w:t>
      </w:r>
      <w:r>
        <w:rPr>
          <w:iCs/>
          <w:color w:val="000000" w:themeColor="text1"/>
        </w:rPr>
        <w:t>, pp.</w:t>
      </w:r>
      <w:r w:rsidRPr="00BA7D67">
        <w:rPr>
          <w:iCs/>
          <w:color w:val="000000" w:themeColor="text1"/>
        </w:rPr>
        <w:t xml:space="preserve"> 113</w:t>
      </w:r>
      <w:r>
        <w:rPr>
          <w:iCs/>
          <w:color w:val="000000" w:themeColor="text1"/>
        </w:rPr>
        <w:t>–</w:t>
      </w:r>
      <w:r w:rsidRPr="00BA7D67">
        <w:rPr>
          <w:iCs/>
          <w:color w:val="000000" w:themeColor="text1"/>
        </w:rPr>
        <w:t>34.</w:t>
      </w:r>
    </w:p>
  </w:footnote>
  <w:footnote w:id="111">
    <w:p w14:paraId="039F2258" w14:textId="11322891" w:rsidR="005B7BA1" w:rsidRPr="00787759" w:rsidRDefault="005B7BA1" w:rsidP="008735A3">
      <w:pPr>
        <w:pStyle w:val="FootnoteText"/>
      </w:pPr>
      <w:r w:rsidRPr="006D17DC">
        <w:rPr>
          <w:rStyle w:val="FootnoteReference"/>
        </w:rPr>
        <w:footnoteRef/>
      </w:r>
      <w:r w:rsidRPr="00787759">
        <w:t xml:space="preserve"> </w:t>
      </w:r>
      <w:r w:rsidRPr="00F91AFC">
        <w:t xml:space="preserve">Philip A. Clarke, </w:t>
      </w:r>
      <w:r w:rsidRPr="00F91AFC">
        <w:rPr>
          <w:i/>
        </w:rPr>
        <w:t>Aboriginal Plant Collectors: Botanists and Australian Aboriginal People</w:t>
      </w:r>
      <w:r w:rsidRPr="004D4219">
        <w:rPr>
          <w:i/>
        </w:rPr>
        <w:t xml:space="preserve"> in the Nineteenth Century </w:t>
      </w:r>
      <w:r w:rsidRPr="004D4219">
        <w:rPr>
          <w:iCs/>
        </w:rPr>
        <w:t>(</w:t>
      </w:r>
      <w:r w:rsidRPr="005D098F">
        <w:rPr>
          <w:iCs/>
        </w:rPr>
        <w:t xml:space="preserve">Kenthurst: </w:t>
      </w:r>
      <w:r w:rsidRPr="006D17DC">
        <w:rPr>
          <w:iCs/>
        </w:rPr>
        <w:t>Rosenburg Publishing, 2008)</w:t>
      </w:r>
      <w:r>
        <w:rPr>
          <w:iCs/>
        </w:rPr>
        <w:t>.</w:t>
      </w:r>
    </w:p>
  </w:footnote>
  <w:footnote w:id="112">
    <w:p w14:paraId="574F471E" w14:textId="1B318F53"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w:t>
      </w:r>
      <w:r w:rsidRPr="00BA7D67">
        <w:rPr>
          <w:i/>
          <w:color w:val="000000" w:themeColor="text1"/>
        </w:rPr>
        <w:t>HRA</w:t>
      </w:r>
      <w:r w:rsidRPr="00BA7D67">
        <w:rPr>
          <w:color w:val="000000" w:themeColor="text1"/>
        </w:rPr>
        <w:t>, ser. III, vol.</w:t>
      </w:r>
      <w:r>
        <w:rPr>
          <w:color w:val="000000" w:themeColor="text1"/>
        </w:rPr>
        <w:t xml:space="preserve"> </w:t>
      </w:r>
      <w:r w:rsidRPr="00BA7D67">
        <w:rPr>
          <w:color w:val="000000" w:themeColor="text1"/>
        </w:rPr>
        <w:t xml:space="preserve">VI, Charles Fraser, Colonial Botanist, ‘List of Seeds and Plants Supplied from the Botanic Garden Sydney, for the Settlement at Melville Island’, 28 November 1825, p. 655; Campbell, ‘Geographical Memoir’, p. 159. </w:t>
      </w:r>
    </w:p>
  </w:footnote>
  <w:footnote w:id="113">
    <w:p w14:paraId="17682610" w14:textId="75924EFF" w:rsidR="005B7BA1" w:rsidRPr="0062324E"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w:t>
      </w:r>
      <w:r w:rsidRPr="00BA7D67">
        <w:rPr>
          <w:i/>
          <w:color w:val="000000" w:themeColor="text1"/>
        </w:rPr>
        <w:t>HRA</w:t>
      </w:r>
      <w:r w:rsidRPr="00BA7D67">
        <w:rPr>
          <w:color w:val="000000" w:themeColor="text1"/>
        </w:rPr>
        <w:t>, ser. III, vol. VI, William John Dumaresq, Acting Civil Engineer, to Maurice Barlow, Commander of Melville Island, 28 November 1825, p. 653.</w:t>
      </w:r>
    </w:p>
  </w:footnote>
  <w:footnote w:id="114">
    <w:p w14:paraId="4F942F0F" w14:textId="16C261F5" w:rsidR="005B7BA1" w:rsidRPr="00BA7D67" w:rsidRDefault="005B7BA1" w:rsidP="008735A3">
      <w:pPr>
        <w:rPr>
          <w:color w:val="000000" w:themeColor="text1"/>
          <w:sz w:val="20"/>
          <w:szCs w:val="20"/>
        </w:rPr>
      </w:pPr>
      <w:r w:rsidRPr="00BA7D67">
        <w:rPr>
          <w:rStyle w:val="FootnoteReference"/>
          <w:color w:val="000000" w:themeColor="text1"/>
          <w:sz w:val="20"/>
          <w:szCs w:val="20"/>
        </w:rPr>
        <w:footnoteRef/>
      </w:r>
      <w:r w:rsidRPr="00BA7D67">
        <w:rPr>
          <w:color w:val="000000" w:themeColor="text1"/>
          <w:sz w:val="20"/>
          <w:szCs w:val="20"/>
        </w:rPr>
        <w:t xml:space="preserve"> Richard Drayton, </w:t>
      </w:r>
      <w:r w:rsidRPr="00BA7D67">
        <w:rPr>
          <w:i/>
          <w:iCs/>
          <w:color w:val="000000" w:themeColor="text1"/>
          <w:sz w:val="20"/>
          <w:szCs w:val="20"/>
        </w:rPr>
        <w:t>Nature’s Government: Science, Imperial Britain, and the ‘Improvement’ of the World</w:t>
      </w:r>
      <w:r w:rsidRPr="00BA7D67">
        <w:rPr>
          <w:color w:val="000000" w:themeColor="text1"/>
          <w:sz w:val="20"/>
          <w:szCs w:val="20"/>
        </w:rPr>
        <w:t xml:space="preserve"> (New Haven</w:t>
      </w:r>
      <w:r>
        <w:rPr>
          <w:color w:val="000000" w:themeColor="text1"/>
          <w:sz w:val="20"/>
          <w:szCs w:val="20"/>
        </w:rPr>
        <w:t>, CT</w:t>
      </w:r>
      <w:r w:rsidRPr="00BA7D67">
        <w:rPr>
          <w:color w:val="000000" w:themeColor="text1"/>
          <w:sz w:val="20"/>
          <w:szCs w:val="20"/>
        </w:rPr>
        <w:t>: Yale University Press, 2000).</w:t>
      </w:r>
    </w:p>
  </w:footnote>
  <w:footnote w:id="115">
    <w:p w14:paraId="7048BB63" w14:textId="2CEA5EEF"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‘Queensland Herbarium Department’, </w:t>
      </w:r>
      <w:r w:rsidRPr="00BA7D67">
        <w:rPr>
          <w:i/>
          <w:color w:val="000000" w:themeColor="text1"/>
        </w:rPr>
        <w:t xml:space="preserve">Austrobaileya </w:t>
      </w:r>
      <w:r w:rsidRPr="00BA7D67">
        <w:rPr>
          <w:color w:val="000000" w:themeColor="text1"/>
        </w:rPr>
        <w:t>8,</w:t>
      </w:r>
      <w:r w:rsidRPr="00BA7D67">
        <w:rPr>
          <w:i/>
          <w:color w:val="000000" w:themeColor="text1"/>
        </w:rPr>
        <w:t xml:space="preserve"> </w:t>
      </w:r>
      <w:r w:rsidRPr="00BA7D67">
        <w:rPr>
          <w:iCs/>
          <w:color w:val="000000" w:themeColor="text1"/>
        </w:rPr>
        <w:t xml:space="preserve">no. </w:t>
      </w:r>
      <w:r w:rsidRPr="00BA7D67">
        <w:rPr>
          <w:color w:val="000000" w:themeColor="text1"/>
        </w:rPr>
        <w:t>1 (2001)</w:t>
      </w:r>
      <w:r>
        <w:rPr>
          <w:color w:val="000000" w:themeColor="text1"/>
        </w:rPr>
        <w:t>,</w:t>
      </w:r>
      <w:r w:rsidRPr="00BA7D67">
        <w:rPr>
          <w:color w:val="000000" w:themeColor="text1"/>
        </w:rPr>
        <w:t xml:space="preserve"> p. 162;</w:t>
      </w:r>
      <w:r w:rsidRPr="00BA7D67">
        <w:rPr>
          <w:i/>
          <w:color w:val="000000" w:themeColor="text1"/>
        </w:rPr>
        <w:t xml:space="preserve"> HRA</w:t>
      </w:r>
      <w:r w:rsidRPr="00882612">
        <w:rPr>
          <w:iCs/>
          <w:color w:val="000000" w:themeColor="text1"/>
        </w:rPr>
        <w:t>,</w:t>
      </w:r>
      <w:r w:rsidRPr="00BA7D67">
        <w:rPr>
          <w:i/>
          <w:color w:val="000000" w:themeColor="text1"/>
        </w:rPr>
        <w:t xml:space="preserve"> </w:t>
      </w:r>
      <w:r w:rsidRPr="00BA7D67">
        <w:rPr>
          <w:color w:val="000000" w:themeColor="text1"/>
        </w:rPr>
        <w:t>ser. III, vol. VI, Major John Campbell, Commander of Melville Island, to Alexander Macleay, Colonial Secretary, 10 October 1826, p. 660.</w:t>
      </w:r>
    </w:p>
  </w:footnote>
  <w:footnote w:id="116">
    <w:p w14:paraId="14A8957F" w14:textId="22942957" w:rsidR="0095560B" w:rsidRPr="00A92682" w:rsidRDefault="0095560B" w:rsidP="0095560B">
      <w:pPr>
        <w:pStyle w:val="FootnoteText"/>
        <w:rPr>
          <w:color w:val="000000" w:themeColor="text1"/>
        </w:rPr>
      </w:pPr>
      <w:r w:rsidRPr="00346118">
        <w:rPr>
          <w:rStyle w:val="FootnoteReference"/>
          <w:color w:val="000000" w:themeColor="text1"/>
        </w:rPr>
        <w:footnoteRef/>
      </w:r>
      <w:r w:rsidRPr="00346118">
        <w:rPr>
          <w:color w:val="000000" w:themeColor="text1"/>
        </w:rPr>
        <w:t xml:space="preserve"> ‘Richardson, John Matthew (c. 1797-1882), </w:t>
      </w:r>
      <w:r w:rsidRPr="00346118">
        <w:rPr>
          <w:i/>
          <w:color w:val="000000" w:themeColor="text1"/>
        </w:rPr>
        <w:t xml:space="preserve">JSTOR Global Plants, </w:t>
      </w:r>
      <w:r w:rsidRPr="00346118">
        <w:rPr>
          <w:color w:val="000000" w:themeColor="text1"/>
        </w:rPr>
        <w:t>2013</w:t>
      </w:r>
      <w:r>
        <w:rPr>
          <w:color w:val="000000" w:themeColor="text1"/>
        </w:rPr>
        <w:t>.</w:t>
      </w:r>
    </w:p>
  </w:footnote>
  <w:footnote w:id="117">
    <w:p w14:paraId="1D3212DF" w14:textId="3FBC68FE" w:rsidR="005B7BA1" w:rsidRPr="00BA7D67"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Penelope Edmonds, ‘Travelling “Under Concern”: Quakers James Backhouse and George Washington Walker </w:t>
      </w:r>
      <w:r>
        <w:rPr>
          <w:color w:val="000000" w:themeColor="text1"/>
        </w:rPr>
        <w:t>T</w:t>
      </w:r>
      <w:r w:rsidRPr="00BA7D67">
        <w:rPr>
          <w:color w:val="000000" w:themeColor="text1"/>
        </w:rPr>
        <w:t xml:space="preserve">our the </w:t>
      </w:r>
      <w:r>
        <w:rPr>
          <w:color w:val="000000" w:themeColor="text1"/>
        </w:rPr>
        <w:t>A</w:t>
      </w:r>
      <w:r w:rsidRPr="00BA7D67">
        <w:rPr>
          <w:color w:val="000000" w:themeColor="text1"/>
        </w:rPr>
        <w:t xml:space="preserve">ntipodean </w:t>
      </w:r>
      <w:r>
        <w:rPr>
          <w:color w:val="000000" w:themeColor="text1"/>
        </w:rPr>
        <w:t>C</w:t>
      </w:r>
      <w:r w:rsidRPr="00BA7D67">
        <w:rPr>
          <w:color w:val="000000" w:themeColor="text1"/>
        </w:rPr>
        <w:t>olonies, 1832</w:t>
      </w:r>
      <w:r>
        <w:rPr>
          <w:color w:val="000000" w:themeColor="text1"/>
        </w:rPr>
        <w:t>–</w:t>
      </w:r>
      <w:r w:rsidRPr="00BA7D67">
        <w:rPr>
          <w:color w:val="000000" w:themeColor="text1"/>
        </w:rPr>
        <w:t xml:space="preserve">41’, </w:t>
      </w:r>
      <w:r w:rsidRPr="00BA7D67">
        <w:rPr>
          <w:i/>
          <w:color w:val="000000" w:themeColor="text1"/>
        </w:rPr>
        <w:t xml:space="preserve">Journal of Imperial and Commonwealth History </w:t>
      </w:r>
      <w:r w:rsidRPr="00217567">
        <w:rPr>
          <w:i/>
          <w:iCs/>
          <w:color w:val="000000" w:themeColor="text1"/>
        </w:rPr>
        <w:t>40</w:t>
      </w:r>
      <w:r>
        <w:rPr>
          <w:color w:val="000000" w:themeColor="text1"/>
        </w:rPr>
        <w:t xml:space="preserve">, no. </w:t>
      </w:r>
      <w:r w:rsidRPr="00BA7D67">
        <w:rPr>
          <w:color w:val="000000" w:themeColor="text1"/>
        </w:rPr>
        <w:t>5 (2012)</w:t>
      </w:r>
      <w:r w:rsidR="00AB2D87">
        <w:rPr>
          <w:color w:val="000000" w:themeColor="text1"/>
        </w:rPr>
        <w:t>:</w:t>
      </w:r>
      <w:r w:rsidRPr="00BA7D67">
        <w:rPr>
          <w:color w:val="000000" w:themeColor="text1"/>
        </w:rPr>
        <w:t xml:space="preserve"> pp. 769</w:t>
      </w:r>
      <w:r>
        <w:rPr>
          <w:color w:val="000000" w:themeColor="text1"/>
        </w:rPr>
        <w:t>–</w:t>
      </w:r>
      <w:r w:rsidRPr="00BA7D67">
        <w:rPr>
          <w:color w:val="000000" w:themeColor="text1"/>
        </w:rPr>
        <w:t>88.</w:t>
      </w:r>
    </w:p>
  </w:footnote>
  <w:footnote w:id="118">
    <w:p w14:paraId="60B3D4F7" w14:textId="26DDF420" w:rsidR="005B7BA1" w:rsidRPr="00BA7D67" w:rsidRDefault="005B7BA1" w:rsidP="008735A3">
      <w:pPr>
        <w:pStyle w:val="FootnoteText"/>
      </w:pPr>
      <w:r w:rsidRPr="00BA7D67">
        <w:rPr>
          <w:rStyle w:val="FootnoteReference"/>
        </w:rPr>
        <w:footnoteRef/>
      </w:r>
      <w:r w:rsidRPr="00BA7D67">
        <w:t xml:space="preserve"> </w:t>
      </w:r>
      <w:r w:rsidRPr="00882612">
        <w:rPr>
          <w:i/>
          <w:iCs/>
        </w:rPr>
        <w:t xml:space="preserve">Extracts from the Letters of James Backhouse whilst engaged in a </w:t>
      </w:r>
      <w:r>
        <w:rPr>
          <w:i/>
          <w:iCs/>
        </w:rPr>
        <w:t>R</w:t>
      </w:r>
      <w:r w:rsidRPr="00882612">
        <w:rPr>
          <w:i/>
          <w:iCs/>
        </w:rPr>
        <w:t xml:space="preserve">eligious </w:t>
      </w:r>
      <w:r>
        <w:rPr>
          <w:i/>
          <w:iCs/>
        </w:rPr>
        <w:t>V</w:t>
      </w:r>
      <w:r w:rsidRPr="00882612">
        <w:rPr>
          <w:i/>
          <w:iCs/>
        </w:rPr>
        <w:t>isit to Van Dieman’s Land, New South Wales, and South Africa accompanied by George Washington Walker</w:t>
      </w:r>
      <w:r w:rsidR="00AB2D87">
        <w:rPr>
          <w:i/>
          <w:iCs/>
        </w:rPr>
        <w:t xml:space="preserve">, </w:t>
      </w:r>
      <w:r w:rsidR="00AB2D87">
        <w:t>vol. 1</w:t>
      </w:r>
      <w:r>
        <w:t xml:space="preserve"> </w:t>
      </w:r>
      <w:r w:rsidRPr="00BA7D67">
        <w:t>(London: Harvey &amp; Darton, 1841), 30 March 1825 p. 70</w:t>
      </w:r>
      <w:r>
        <w:t>.</w:t>
      </w:r>
    </w:p>
  </w:footnote>
  <w:footnote w:id="119">
    <w:p w14:paraId="35EBF3E9" w14:textId="4ED5EF0E" w:rsidR="005B7BA1" w:rsidRPr="0062324E" w:rsidRDefault="005B7BA1" w:rsidP="008735A3">
      <w:pPr>
        <w:pStyle w:val="FootnoteText"/>
        <w:rPr>
          <w:color w:val="000000" w:themeColor="text1"/>
        </w:rPr>
      </w:pPr>
      <w:r w:rsidRPr="00BA7D67">
        <w:rPr>
          <w:rStyle w:val="FootnoteReference"/>
          <w:color w:val="000000" w:themeColor="text1"/>
        </w:rPr>
        <w:footnoteRef/>
      </w:r>
      <w:r w:rsidRPr="00BA7D67">
        <w:rPr>
          <w:color w:val="000000" w:themeColor="text1"/>
        </w:rPr>
        <w:t xml:space="preserve"> Mary Batram Trott, ‘Backhouse, James (1794</w:t>
      </w:r>
      <w:r>
        <w:rPr>
          <w:color w:val="000000" w:themeColor="text1"/>
        </w:rPr>
        <w:t>–</w:t>
      </w:r>
      <w:r w:rsidRPr="00BA7D67">
        <w:rPr>
          <w:color w:val="000000" w:themeColor="text1"/>
        </w:rPr>
        <w:t>1869)’,</w:t>
      </w:r>
      <w:r w:rsidRPr="00BA7D67">
        <w:rPr>
          <w:i/>
          <w:iCs/>
          <w:color w:val="000000" w:themeColor="text1"/>
        </w:rPr>
        <w:t xml:space="preserve"> Australian Dictionary of Biography </w:t>
      </w:r>
      <w:r w:rsidRPr="00BA7D67">
        <w:rPr>
          <w:color w:val="000000" w:themeColor="text1"/>
        </w:rPr>
        <w:t>(Canberra: Australian National University, 1966)</w:t>
      </w:r>
      <w:r w:rsidR="00CF4EB6">
        <w:rPr>
          <w:color w:val="000000" w:themeColor="text1"/>
        </w:rPr>
        <w:t>.</w:t>
      </w:r>
      <w:r w:rsidRPr="00BA7D67">
        <w:rPr>
          <w:color w:val="000000" w:themeColor="text1"/>
        </w:rPr>
        <w:t xml:space="preserve"> </w:t>
      </w:r>
    </w:p>
  </w:footnote>
  <w:footnote w:id="120">
    <w:p w14:paraId="7DBE0D08" w14:textId="231D59B7" w:rsidR="0095560B" w:rsidRDefault="0095560B">
      <w:pPr>
        <w:pStyle w:val="FootnoteText"/>
      </w:pPr>
      <w:r>
        <w:rPr>
          <w:rStyle w:val="FootnoteReference"/>
        </w:rPr>
        <w:footnoteRef/>
      </w:r>
      <w:r>
        <w:rPr>
          <w:color w:val="000000" w:themeColor="text1"/>
        </w:rPr>
        <w:t xml:space="preserve"> </w:t>
      </w:r>
      <w:r w:rsidRPr="00753593">
        <w:rPr>
          <w:color w:val="000000" w:themeColor="text1"/>
        </w:rPr>
        <w:t xml:space="preserve">James Backhouse, </w:t>
      </w:r>
      <w:r w:rsidRPr="00753593">
        <w:rPr>
          <w:i/>
          <w:iCs/>
          <w:color w:val="000000" w:themeColor="text1"/>
        </w:rPr>
        <w:t xml:space="preserve">A Narrative of a Visit to the Australian Colonies </w:t>
      </w:r>
      <w:r w:rsidRPr="00753593">
        <w:rPr>
          <w:color w:val="000000" w:themeColor="text1"/>
        </w:rPr>
        <w:t>(London, Hamilton, Adams &amp; Co., 1843</w:t>
      </w:r>
      <w:r>
        <w:t>), p. 273.</w:t>
      </w:r>
    </w:p>
  </w:footnote>
  <w:footnote w:id="121">
    <w:p w14:paraId="0DB8B279" w14:textId="7443E3AD" w:rsidR="0095560B" w:rsidRDefault="0095560B">
      <w:pPr>
        <w:pStyle w:val="FootnoteText"/>
      </w:pPr>
      <w:r>
        <w:rPr>
          <w:rStyle w:val="FootnoteReference"/>
        </w:rPr>
        <w:footnoteRef/>
      </w:r>
      <w:r>
        <w:t xml:space="preserve"> </w:t>
      </w:r>
      <w:r>
        <w:rPr>
          <w:i/>
          <w:iCs/>
        </w:rPr>
        <w:t xml:space="preserve">Idem., </w:t>
      </w:r>
      <w:r>
        <w:t>p. 272.</w:t>
      </w:r>
    </w:p>
  </w:footnote>
  <w:footnote w:id="122">
    <w:p w14:paraId="48981069" w14:textId="466C5A46" w:rsidR="005B7BA1" w:rsidRPr="0062324E" w:rsidRDefault="005B7BA1" w:rsidP="008735A3">
      <w:pPr>
        <w:pStyle w:val="FootnoteText"/>
        <w:rPr>
          <w:color w:val="000000" w:themeColor="text1"/>
        </w:rPr>
      </w:pPr>
      <w:r w:rsidRPr="0062324E">
        <w:rPr>
          <w:rStyle w:val="FootnoteReference"/>
          <w:color w:val="000000" w:themeColor="text1"/>
        </w:rPr>
        <w:footnoteRef/>
      </w:r>
      <w:r>
        <w:rPr>
          <w:color w:val="000000" w:themeColor="text1"/>
        </w:rPr>
        <w:t xml:space="preserve"> </w:t>
      </w:r>
      <w:r w:rsidR="0095560B">
        <w:rPr>
          <w:i/>
          <w:iCs/>
          <w:color w:val="000000" w:themeColor="text1"/>
        </w:rPr>
        <w:t>Idem.,</w:t>
      </w:r>
      <w:r w:rsidR="0095560B">
        <w:rPr>
          <w:color w:val="000000" w:themeColor="text1"/>
        </w:rPr>
        <w:t xml:space="preserve"> pp. 264, 271</w:t>
      </w:r>
      <w:r>
        <w:rPr>
          <w:color w:val="000000" w:themeColor="text1"/>
        </w:rPr>
        <w:t>.</w:t>
      </w:r>
    </w:p>
  </w:footnote>
  <w:footnote w:id="123">
    <w:p w14:paraId="0FA445B8" w14:textId="39B789B8" w:rsidR="005B7BA1" w:rsidRPr="0062324E" w:rsidRDefault="005B7BA1" w:rsidP="008735A3">
      <w:pPr>
        <w:rPr>
          <w:color w:val="000000" w:themeColor="text1"/>
          <w:sz w:val="20"/>
          <w:szCs w:val="20"/>
        </w:rPr>
      </w:pPr>
      <w:r w:rsidRPr="0062324E">
        <w:rPr>
          <w:rStyle w:val="FootnoteReference"/>
          <w:color w:val="000000" w:themeColor="text1"/>
          <w:sz w:val="20"/>
          <w:szCs w:val="20"/>
        </w:rPr>
        <w:footnoteRef/>
      </w:r>
      <w:r w:rsidRPr="0062324E">
        <w:rPr>
          <w:color w:val="000000" w:themeColor="text1"/>
          <w:sz w:val="20"/>
          <w:szCs w:val="20"/>
        </w:rPr>
        <w:t xml:space="preserve"> Rica Erickson, ‘Drummond, James (1787</w:t>
      </w:r>
      <w:r>
        <w:rPr>
          <w:color w:val="000000" w:themeColor="text1"/>
          <w:sz w:val="20"/>
          <w:szCs w:val="20"/>
        </w:rPr>
        <w:t>–</w:t>
      </w:r>
      <w:r w:rsidRPr="0062324E">
        <w:rPr>
          <w:color w:val="000000" w:themeColor="text1"/>
          <w:sz w:val="20"/>
          <w:szCs w:val="20"/>
        </w:rPr>
        <w:t xml:space="preserve">1863) </w:t>
      </w:r>
      <w:r w:rsidRPr="0062324E">
        <w:rPr>
          <w:i/>
          <w:iCs/>
          <w:color w:val="000000" w:themeColor="text1"/>
          <w:sz w:val="20"/>
          <w:szCs w:val="20"/>
        </w:rPr>
        <w:t>Australian Dictionary of Biography</w:t>
      </w:r>
      <w:r w:rsidRPr="0062324E">
        <w:rPr>
          <w:color w:val="000000" w:themeColor="text1"/>
          <w:sz w:val="20"/>
          <w:szCs w:val="20"/>
        </w:rPr>
        <w:t xml:space="preserve"> (Canberra: Australian National University, 1966)</w:t>
      </w:r>
      <w:r w:rsidR="00CF4EB6">
        <w:rPr>
          <w:color w:val="000000" w:themeColor="text1"/>
          <w:sz w:val="20"/>
          <w:szCs w:val="20"/>
        </w:rPr>
        <w:t>.</w:t>
      </w:r>
    </w:p>
  </w:footnote>
  <w:footnote w:id="124">
    <w:p w14:paraId="6448CEB2" w14:textId="611737FE" w:rsidR="0095560B" w:rsidRPr="00217567" w:rsidRDefault="0095560B" w:rsidP="0095560B">
      <w:pPr>
        <w:pStyle w:val="FootnoteText"/>
        <w:rPr>
          <w:color w:val="000000" w:themeColor="text1"/>
        </w:rPr>
      </w:pPr>
      <w:r>
        <w:rPr>
          <w:rStyle w:val="FootnoteReference"/>
        </w:rPr>
        <w:footnoteRef/>
      </w:r>
      <w:r>
        <w:t xml:space="preserve"> </w:t>
      </w:r>
      <w:r w:rsidRPr="00CF1766">
        <w:rPr>
          <w:color w:val="000000" w:themeColor="text1"/>
        </w:rPr>
        <w:t xml:space="preserve">John Gould, </w:t>
      </w:r>
      <w:r w:rsidRPr="00CF1766">
        <w:rPr>
          <w:i/>
          <w:color w:val="000000" w:themeColor="text1"/>
        </w:rPr>
        <w:t>The Birds of Australia</w:t>
      </w:r>
      <w:r w:rsidR="00CF4EB6">
        <w:rPr>
          <w:i/>
          <w:color w:val="000000" w:themeColor="text1"/>
        </w:rPr>
        <w:t>, vol. 5</w:t>
      </w:r>
      <w:r w:rsidRPr="00CF1766">
        <w:rPr>
          <w:i/>
          <w:color w:val="000000" w:themeColor="text1"/>
        </w:rPr>
        <w:t xml:space="preserve"> </w:t>
      </w:r>
      <w:r w:rsidRPr="00CF1766">
        <w:rPr>
          <w:iCs/>
          <w:color w:val="000000" w:themeColor="text1"/>
        </w:rPr>
        <w:t>(London: Ric</w:t>
      </w:r>
      <w:r>
        <w:rPr>
          <w:iCs/>
          <w:color w:val="000000" w:themeColor="text1"/>
        </w:rPr>
        <w:t xml:space="preserve">hard and John E. Taylor, 1848), </w:t>
      </w:r>
      <w:r w:rsidRPr="0062324E">
        <w:rPr>
          <w:color w:val="000000" w:themeColor="text1"/>
        </w:rPr>
        <w:t>plate 40.</w:t>
      </w:r>
    </w:p>
  </w:footnote>
  <w:footnote w:id="125">
    <w:p w14:paraId="7FD29662" w14:textId="13A11DC3"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w:t>
      </w:r>
      <w:r w:rsidR="0095560B" w:rsidRPr="00217567">
        <w:rPr>
          <w:i/>
          <w:iCs/>
          <w:color w:val="000000" w:themeColor="text1"/>
        </w:rPr>
        <w:t>Ibid.</w:t>
      </w:r>
    </w:p>
  </w:footnote>
  <w:footnote w:id="126">
    <w:p w14:paraId="42C14BFF" w14:textId="77364964" w:rsidR="005B7BA1" w:rsidRPr="0062324E" w:rsidRDefault="005B7BA1" w:rsidP="008735A3">
      <w:pPr>
        <w:rPr>
          <w:sz w:val="20"/>
          <w:szCs w:val="20"/>
        </w:rPr>
      </w:pPr>
      <w:r w:rsidRPr="0062324E">
        <w:rPr>
          <w:rStyle w:val="FootnoteReference"/>
          <w:color w:val="000000" w:themeColor="text1"/>
          <w:sz w:val="20"/>
          <w:szCs w:val="20"/>
        </w:rPr>
        <w:footnoteRef/>
      </w:r>
      <w:r w:rsidRPr="0062324E">
        <w:rPr>
          <w:color w:val="000000" w:themeColor="text1"/>
          <w:sz w:val="20"/>
          <w:szCs w:val="20"/>
        </w:rPr>
        <w:t xml:space="preserve"> </w:t>
      </w:r>
      <w:r w:rsidRPr="0062324E">
        <w:rPr>
          <w:i/>
          <w:iCs/>
          <w:sz w:val="20"/>
          <w:szCs w:val="20"/>
        </w:rPr>
        <w:t>The Australasian</w:t>
      </w:r>
      <w:r w:rsidRPr="0062324E">
        <w:rPr>
          <w:sz w:val="20"/>
          <w:szCs w:val="20"/>
        </w:rPr>
        <w:t xml:space="preserve">, 3 May 1890, p. 44. </w:t>
      </w:r>
    </w:p>
  </w:footnote>
  <w:footnote w:id="127">
    <w:p w14:paraId="4CE03B24" w14:textId="46BAB004"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William Henry Harvey, ‘Some Account of the Marine Botany of the Colony of Western Australia’, </w:t>
      </w:r>
      <w:r w:rsidRPr="0062324E">
        <w:rPr>
          <w:i/>
          <w:iCs/>
          <w:color w:val="000000" w:themeColor="text1"/>
        </w:rPr>
        <w:t>Transactions of the Royal Irish Academy</w:t>
      </w:r>
      <w:r w:rsidRPr="0062324E">
        <w:rPr>
          <w:color w:val="000000" w:themeColor="text1"/>
        </w:rPr>
        <w:t xml:space="preserve"> </w:t>
      </w:r>
      <w:r w:rsidRPr="00217567">
        <w:rPr>
          <w:i/>
          <w:color w:val="000000" w:themeColor="text1"/>
        </w:rPr>
        <w:t>22</w:t>
      </w:r>
      <w:r w:rsidRPr="0062324E">
        <w:rPr>
          <w:color w:val="000000" w:themeColor="text1"/>
        </w:rPr>
        <w:t xml:space="preserve"> (1855)</w:t>
      </w:r>
      <w:r>
        <w:rPr>
          <w:color w:val="000000" w:themeColor="text1"/>
        </w:rPr>
        <w:t>,</w:t>
      </w:r>
      <w:r w:rsidRPr="0062324E">
        <w:rPr>
          <w:color w:val="000000" w:themeColor="text1"/>
        </w:rPr>
        <w:t xml:space="preserve"> pp. 529</w:t>
      </w:r>
      <w:r>
        <w:rPr>
          <w:color w:val="000000" w:themeColor="text1"/>
        </w:rPr>
        <w:t>–</w:t>
      </w:r>
      <w:r w:rsidRPr="0062324E">
        <w:rPr>
          <w:color w:val="000000" w:themeColor="text1"/>
        </w:rPr>
        <w:t>30.</w:t>
      </w:r>
    </w:p>
  </w:footnote>
  <w:footnote w:id="128">
    <w:p w14:paraId="2B18B6EA" w14:textId="4F1CC79F"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Laidlaw, </w:t>
      </w:r>
      <w:r w:rsidRPr="0062324E">
        <w:rPr>
          <w:i/>
          <w:iCs/>
          <w:color w:val="000000" w:themeColor="text1"/>
        </w:rPr>
        <w:t>Colonial Connections</w:t>
      </w:r>
      <w:r w:rsidR="00BC3362">
        <w:rPr>
          <w:i/>
          <w:iCs/>
          <w:color w:val="000000" w:themeColor="text1"/>
        </w:rPr>
        <w:t xml:space="preserve"> 1815-45: Patronage, the Information Revolution and Colonial Government </w:t>
      </w:r>
      <w:r w:rsidR="00BC3362">
        <w:rPr>
          <w:color w:val="000000" w:themeColor="text1"/>
        </w:rPr>
        <w:t>(Manchester: Manchester University Press, 2005)</w:t>
      </w:r>
      <w:r w:rsidRPr="0062324E">
        <w:rPr>
          <w:color w:val="000000" w:themeColor="text1"/>
        </w:rPr>
        <w:t>, p. 32.</w:t>
      </w:r>
    </w:p>
  </w:footnote>
  <w:footnote w:id="129">
    <w:p w14:paraId="63CC7BEB" w14:textId="039E0D4F"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Harvey, ‘Some Account of Marine Botany’, p. 531. </w:t>
      </w:r>
    </w:p>
  </w:footnote>
  <w:footnote w:id="130">
    <w:p w14:paraId="1766CBC0" w14:textId="4F513FA8" w:rsidR="005B7BA1" w:rsidRPr="00F91AFC" w:rsidRDefault="005B7BA1" w:rsidP="008735A3">
      <w:pPr>
        <w:pStyle w:val="FootnoteText"/>
      </w:pPr>
      <w:r w:rsidRPr="00F91AFC">
        <w:rPr>
          <w:rStyle w:val="FootnoteReference"/>
        </w:rPr>
        <w:footnoteRef/>
      </w:r>
      <w:r w:rsidRPr="00F91AFC">
        <w:t xml:space="preserve"> </w:t>
      </w:r>
      <w:r w:rsidRPr="0062324E">
        <w:rPr>
          <w:color w:val="000000" w:themeColor="text1"/>
        </w:rPr>
        <w:t xml:space="preserve">William Henry Harvey, </w:t>
      </w:r>
      <w:r w:rsidRPr="0062324E">
        <w:rPr>
          <w:i/>
          <w:iCs/>
          <w:color w:val="000000" w:themeColor="text1"/>
        </w:rPr>
        <w:t xml:space="preserve">Phycologia Australica; Or, a History of Australian Seaweeds comprising </w:t>
      </w:r>
      <w:r>
        <w:rPr>
          <w:i/>
          <w:iCs/>
          <w:color w:val="000000" w:themeColor="text1"/>
        </w:rPr>
        <w:t>C</w:t>
      </w:r>
      <w:r w:rsidRPr="0062324E">
        <w:rPr>
          <w:i/>
          <w:iCs/>
          <w:color w:val="000000" w:themeColor="text1"/>
        </w:rPr>
        <w:t xml:space="preserve">oloured </w:t>
      </w:r>
      <w:r>
        <w:rPr>
          <w:i/>
          <w:iCs/>
          <w:color w:val="000000" w:themeColor="text1"/>
        </w:rPr>
        <w:t>F</w:t>
      </w:r>
      <w:r w:rsidRPr="0062324E">
        <w:rPr>
          <w:i/>
          <w:iCs/>
          <w:color w:val="000000" w:themeColor="text1"/>
        </w:rPr>
        <w:t xml:space="preserve">igures and </w:t>
      </w:r>
      <w:r>
        <w:rPr>
          <w:i/>
          <w:iCs/>
          <w:color w:val="000000" w:themeColor="text1"/>
        </w:rPr>
        <w:t>D</w:t>
      </w:r>
      <w:r w:rsidRPr="0062324E">
        <w:rPr>
          <w:i/>
          <w:iCs/>
          <w:color w:val="000000" w:themeColor="text1"/>
        </w:rPr>
        <w:t xml:space="preserve">escriptions of the </w:t>
      </w:r>
      <w:r>
        <w:rPr>
          <w:i/>
          <w:iCs/>
          <w:color w:val="000000" w:themeColor="text1"/>
        </w:rPr>
        <w:t>M</w:t>
      </w:r>
      <w:r w:rsidRPr="0062324E">
        <w:rPr>
          <w:i/>
          <w:iCs/>
          <w:color w:val="000000" w:themeColor="text1"/>
        </w:rPr>
        <w:t xml:space="preserve">ore </w:t>
      </w:r>
      <w:r>
        <w:rPr>
          <w:i/>
          <w:iCs/>
          <w:color w:val="000000" w:themeColor="text1"/>
        </w:rPr>
        <w:t>C</w:t>
      </w:r>
      <w:r w:rsidRPr="0062324E">
        <w:rPr>
          <w:i/>
          <w:iCs/>
          <w:color w:val="000000" w:themeColor="text1"/>
        </w:rPr>
        <w:t xml:space="preserve">haracteristic </w:t>
      </w:r>
      <w:r>
        <w:rPr>
          <w:i/>
          <w:iCs/>
          <w:color w:val="000000" w:themeColor="text1"/>
        </w:rPr>
        <w:t>M</w:t>
      </w:r>
      <w:r w:rsidRPr="0062324E">
        <w:rPr>
          <w:i/>
          <w:iCs/>
          <w:color w:val="000000" w:themeColor="text1"/>
        </w:rPr>
        <w:t xml:space="preserve">arine </w:t>
      </w:r>
      <w:r>
        <w:rPr>
          <w:i/>
          <w:iCs/>
          <w:color w:val="000000" w:themeColor="text1"/>
        </w:rPr>
        <w:t>A</w:t>
      </w:r>
      <w:r w:rsidRPr="0062324E">
        <w:rPr>
          <w:i/>
          <w:iCs/>
          <w:color w:val="000000" w:themeColor="text1"/>
        </w:rPr>
        <w:t xml:space="preserve">lgae of New South Wales, Victoria, Tasmania, South Australia and Western Australia, and a </w:t>
      </w:r>
      <w:r>
        <w:rPr>
          <w:i/>
          <w:iCs/>
          <w:color w:val="000000" w:themeColor="text1"/>
        </w:rPr>
        <w:t>S</w:t>
      </w:r>
      <w:r w:rsidRPr="0062324E">
        <w:rPr>
          <w:i/>
          <w:iCs/>
          <w:color w:val="000000" w:themeColor="text1"/>
        </w:rPr>
        <w:t xml:space="preserve">ynopsis of all known Australia </w:t>
      </w:r>
      <w:r>
        <w:rPr>
          <w:i/>
          <w:iCs/>
          <w:color w:val="000000" w:themeColor="text1"/>
        </w:rPr>
        <w:t>A</w:t>
      </w:r>
      <w:r w:rsidRPr="0062324E">
        <w:rPr>
          <w:i/>
          <w:iCs/>
          <w:color w:val="000000" w:themeColor="text1"/>
        </w:rPr>
        <w:t>lgae</w:t>
      </w:r>
      <w:r>
        <w:rPr>
          <w:color w:val="000000" w:themeColor="text1"/>
        </w:rPr>
        <w:t xml:space="preserve">, </w:t>
      </w:r>
      <w:r w:rsidR="00BC3362" w:rsidRPr="00217567">
        <w:rPr>
          <w:i/>
          <w:iCs/>
          <w:color w:val="000000" w:themeColor="text1"/>
        </w:rPr>
        <w:t>vol. 1</w:t>
      </w:r>
      <w:r>
        <w:rPr>
          <w:color w:val="000000" w:themeColor="text1"/>
        </w:rPr>
        <w:t xml:space="preserve"> </w:t>
      </w:r>
      <w:r w:rsidRPr="0062324E">
        <w:rPr>
          <w:color w:val="000000" w:themeColor="text1"/>
        </w:rPr>
        <w:t>(</w:t>
      </w:r>
      <w:r>
        <w:rPr>
          <w:color w:val="000000" w:themeColor="text1"/>
        </w:rPr>
        <w:t xml:space="preserve">London: L. Reeve, </w:t>
      </w:r>
      <w:r w:rsidRPr="0062324E">
        <w:rPr>
          <w:color w:val="000000" w:themeColor="text1"/>
        </w:rPr>
        <w:t>1858)</w:t>
      </w:r>
      <w:r>
        <w:rPr>
          <w:color w:val="000000" w:themeColor="text1"/>
        </w:rPr>
        <w:t xml:space="preserve">, </w:t>
      </w:r>
      <w:r w:rsidRPr="0062324E">
        <w:rPr>
          <w:color w:val="000000" w:themeColor="text1"/>
        </w:rPr>
        <w:t>p. xi.</w:t>
      </w:r>
    </w:p>
  </w:footnote>
  <w:footnote w:id="131">
    <w:p w14:paraId="3BDD2170" w14:textId="6188D22A"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Michael E. Howe, ‘“All Things Are Queer and Opposite”: Scientific Societies in Tasmania in the 1840s’, </w:t>
      </w:r>
      <w:r w:rsidRPr="0062324E">
        <w:rPr>
          <w:i/>
          <w:iCs/>
          <w:color w:val="000000" w:themeColor="text1"/>
        </w:rPr>
        <w:t xml:space="preserve">Isis </w:t>
      </w:r>
      <w:r w:rsidRPr="00217567">
        <w:rPr>
          <w:i/>
          <w:iCs/>
          <w:color w:val="000000" w:themeColor="text1"/>
        </w:rPr>
        <w:t>60</w:t>
      </w:r>
      <w:r w:rsidRPr="0062324E">
        <w:rPr>
          <w:color w:val="000000" w:themeColor="text1"/>
        </w:rPr>
        <w:t>, no. 2 (1969)</w:t>
      </w:r>
      <w:r w:rsidR="00BC3362">
        <w:rPr>
          <w:color w:val="000000" w:themeColor="text1"/>
        </w:rPr>
        <w:t xml:space="preserve">: </w:t>
      </w:r>
      <w:r w:rsidRPr="0062324E">
        <w:rPr>
          <w:color w:val="000000" w:themeColor="text1"/>
        </w:rPr>
        <w:t>pp. 198</w:t>
      </w:r>
      <w:r>
        <w:rPr>
          <w:color w:val="000000" w:themeColor="text1"/>
        </w:rPr>
        <w:t>–</w:t>
      </w:r>
      <w:r w:rsidRPr="0062324E">
        <w:rPr>
          <w:color w:val="000000" w:themeColor="text1"/>
        </w:rPr>
        <w:t>209.</w:t>
      </w:r>
    </w:p>
  </w:footnote>
  <w:footnote w:id="132">
    <w:p w14:paraId="555041E4" w14:textId="58F372FE"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Michael Pearson and Jane Lennon, </w:t>
      </w:r>
      <w:r w:rsidRPr="0062324E">
        <w:rPr>
          <w:i/>
          <w:iCs/>
          <w:color w:val="000000" w:themeColor="text1"/>
        </w:rPr>
        <w:t>Pastoral Australia: Fortunes, Failures &amp; Hard Yakk</w:t>
      </w:r>
      <w:r w:rsidR="00BC3362">
        <w:rPr>
          <w:i/>
          <w:iCs/>
          <w:color w:val="000000" w:themeColor="text1"/>
        </w:rPr>
        <w:t>a.</w:t>
      </w:r>
      <w:r>
        <w:rPr>
          <w:i/>
          <w:iCs/>
          <w:color w:val="000000" w:themeColor="text1"/>
        </w:rPr>
        <w:t>.</w:t>
      </w:r>
      <w:r w:rsidRPr="0062324E">
        <w:rPr>
          <w:i/>
          <w:iCs/>
          <w:color w:val="000000" w:themeColor="text1"/>
        </w:rPr>
        <w:t xml:space="preserve"> </w:t>
      </w:r>
      <w:r>
        <w:rPr>
          <w:i/>
          <w:iCs/>
          <w:color w:val="000000" w:themeColor="text1"/>
        </w:rPr>
        <w:t>A H</w:t>
      </w:r>
      <w:r w:rsidRPr="0062324E">
        <w:rPr>
          <w:i/>
          <w:iCs/>
          <w:color w:val="000000" w:themeColor="text1"/>
        </w:rPr>
        <w:t xml:space="preserve">istorical </w:t>
      </w:r>
      <w:r>
        <w:rPr>
          <w:i/>
          <w:iCs/>
          <w:color w:val="000000" w:themeColor="text1"/>
        </w:rPr>
        <w:t>O</w:t>
      </w:r>
      <w:r w:rsidRPr="0062324E">
        <w:rPr>
          <w:i/>
          <w:iCs/>
          <w:color w:val="000000" w:themeColor="text1"/>
        </w:rPr>
        <w:t>verview</w:t>
      </w:r>
      <w:r>
        <w:rPr>
          <w:i/>
          <w:iCs/>
          <w:color w:val="000000" w:themeColor="text1"/>
        </w:rPr>
        <w:t>,</w:t>
      </w:r>
      <w:r w:rsidRPr="0062324E">
        <w:rPr>
          <w:i/>
          <w:iCs/>
          <w:color w:val="000000" w:themeColor="text1"/>
        </w:rPr>
        <w:t xml:space="preserve"> 1788</w:t>
      </w:r>
      <w:r>
        <w:rPr>
          <w:i/>
          <w:iCs/>
          <w:color w:val="000000" w:themeColor="text1"/>
        </w:rPr>
        <w:t>–</w:t>
      </w:r>
      <w:r w:rsidRPr="0062324E">
        <w:rPr>
          <w:i/>
          <w:iCs/>
          <w:color w:val="000000" w:themeColor="text1"/>
        </w:rPr>
        <w:t xml:space="preserve">1967 </w:t>
      </w:r>
      <w:r w:rsidRPr="0062324E">
        <w:rPr>
          <w:color w:val="000000" w:themeColor="text1"/>
        </w:rPr>
        <w:t>(Collingwood: CSIRO Publishing, 2010)</w:t>
      </w:r>
      <w:r>
        <w:rPr>
          <w:color w:val="000000" w:themeColor="text1"/>
        </w:rPr>
        <w:t>,</w:t>
      </w:r>
      <w:r w:rsidRPr="0062324E">
        <w:rPr>
          <w:i/>
          <w:iCs/>
          <w:color w:val="000000" w:themeColor="text1"/>
        </w:rPr>
        <w:t xml:space="preserve"> </w:t>
      </w:r>
      <w:r w:rsidRPr="0062324E">
        <w:rPr>
          <w:color w:val="000000" w:themeColor="text1"/>
        </w:rPr>
        <w:t>p. 4.</w:t>
      </w:r>
    </w:p>
  </w:footnote>
  <w:footnote w:id="133">
    <w:p w14:paraId="1E28E4B9" w14:textId="2ED75A1A" w:rsidR="005B7BA1" w:rsidRPr="0062324E" w:rsidRDefault="005B7BA1" w:rsidP="008735A3">
      <w:pPr>
        <w:pStyle w:val="FootnoteText"/>
        <w:rPr>
          <w:iCs/>
          <w:color w:val="000000" w:themeColor="text1"/>
        </w:rPr>
      </w:pPr>
      <w:r w:rsidRPr="0062324E">
        <w:rPr>
          <w:rStyle w:val="FootnoteReference"/>
          <w:color w:val="000000" w:themeColor="text1"/>
        </w:rPr>
        <w:footnoteRef/>
      </w:r>
      <w:r w:rsidRPr="0062324E">
        <w:rPr>
          <w:color w:val="000000" w:themeColor="text1"/>
        </w:rPr>
        <w:t xml:space="preserve"> Green and Moon, </w:t>
      </w:r>
      <w:r w:rsidRPr="0062324E">
        <w:rPr>
          <w:i/>
          <w:color w:val="000000" w:themeColor="text1"/>
        </w:rPr>
        <w:t>Far From Home</w:t>
      </w:r>
      <w:r w:rsidRPr="00DE552E">
        <w:rPr>
          <w:iCs/>
          <w:color w:val="000000" w:themeColor="text1"/>
        </w:rPr>
        <w:t>,</w:t>
      </w:r>
      <w:r w:rsidRPr="0062324E">
        <w:rPr>
          <w:i/>
          <w:color w:val="000000" w:themeColor="text1"/>
        </w:rPr>
        <w:t xml:space="preserve"> </w:t>
      </w:r>
      <w:r w:rsidRPr="0062324E">
        <w:rPr>
          <w:iCs/>
          <w:color w:val="000000" w:themeColor="text1"/>
        </w:rPr>
        <w:t>p. 56.</w:t>
      </w:r>
    </w:p>
  </w:footnote>
  <w:footnote w:id="134">
    <w:p w14:paraId="5FA11C42" w14:textId="77777777"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w:t>
      </w:r>
      <w:r w:rsidRPr="0062324E">
        <w:rPr>
          <w:iCs/>
          <w:color w:val="000000" w:themeColor="text1"/>
        </w:rPr>
        <w:t>Ibid</w:t>
      </w:r>
      <w:r w:rsidRPr="0062324E">
        <w:rPr>
          <w:i/>
          <w:iCs/>
          <w:color w:val="000000" w:themeColor="text1"/>
        </w:rPr>
        <w:t>.</w:t>
      </w:r>
      <w:r w:rsidRPr="00DE552E">
        <w:rPr>
          <w:color w:val="000000" w:themeColor="text1"/>
        </w:rPr>
        <w:t>,</w:t>
      </w:r>
      <w:r w:rsidRPr="0062324E">
        <w:rPr>
          <w:i/>
          <w:iCs/>
          <w:color w:val="000000" w:themeColor="text1"/>
        </w:rPr>
        <w:t xml:space="preserve"> </w:t>
      </w:r>
      <w:r w:rsidRPr="0062324E">
        <w:rPr>
          <w:color w:val="000000" w:themeColor="text1"/>
        </w:rPr>
        <w:t>p. 9.</w:t>
      </w:r>
    </w:p>
  </w:footnote>
  <w:footnote w:id="135">
    <w:p w14:paraId="625ABA77" w14:textId="3530AAFC" w:rsidR="005B7BA1" w:rsidRPr="0062324E" w:rsidRDefault="005B7BA1" w:rsidP="008735A3">
      <w:pPr>
        <w:pStyle w:val="FootnoteText"/>
        <w:rPr>
          <w:color w:val="000000" w:themeColor="text1"/>
        </w:rPr>
      </w:pPr>
      <w:r w:rsidRPr="0062324E">
        <w:rPr>
          <w:rStyle w:val="FootnoteReference"/>
          <w:color w:val="000000" w:themeColor="text1"/>
        </w:rPr>
        <w:footnoteRef/>
      </w:r>
      <w:r w:rsidRPr="0062324E">
        <w:rPr>
          <w:color w:val="000000" w:themeColor="text1"/>
        </w:rPr>
        <w:t xml:space="preserve"> Henry Reynolds, </w:t>
      </w:r>
      <w:r w:rsidRPr="0062324E">
        <w:rPr>
          <w:i/>
          <w:iCs/>
          <w:color w:val="000000" w:themeColor="text1"/>
        </w:rPr>
        <w:t>With the White People: The Crucial Role of Aborigines in the Exploration and Development of Australia</w:t>
      </w:r>
      <w:r w:rsidRPr="0062324E">
        <w:rPr>
          <w:color w:val="000000" w:themeColor="text1"/>
        </w:rPr>
        <w:t xml:space="preserve"> (Ringwood: Penguin, 1990)</w:t>
      </w:r>
      <w:r>
        <w:rPr>
          <w:color w:val="000000" w:themeColor="text1"/>
        </w:rPr>
        <w:t>.</w:t>
      </w:r>
    </w:p>
  </w:footnote>
  <w:footnote w:id="136">
    <w:p w14:paraId="4DB05F91" w14:textId="7C1FB495" w:rsidR="005B7BA1" w:rsidRPr="00F91AFC" w:rsidRDefault="005B7BA1" w:rsidP="008735A3">
      <w:pPr>
        <w:pStyle w:val="FootnoteText"/>
      </w:pPr>
      <w:r w:rsidRPr="0062324E">
        <w:rPr>
          <w:rStyle w:val="FootnoteReference"/>
          <w:color w:val="000000" w:themeColor="text1"/>
        </w:rPr>
        <w:footnoteRef/>
      </w:r>
      <w:r w:rsidRPr="0062324E">
        <w:rPr>
          <w:color w:val="000000" w:themeColor="text1"/>
        </w:rPr>
        <w:t xml:space="preserve"> Shellam </w:t>
      </w:r>
      <w:r w:rsidRPr="00DE552E">
        <w:rPr>
          <w:color w:val="000000" w:themeColor="text1"/>
        </w:rPr>
        <w:t>et. al</w:t>
      </w:r>
      <w:r w:rsidRPr="0062324E">
        <w:rPr>
          <w:color w:val="000000" w:themeColor="text1"/>
        </w:rPr>
        <w:t xml:space="preserve">, </w:t>
      </w:r>
      <w:r w:rsidRPr="0062324E">
        <w:rPr>
          <w:i/>
          <w:iCs/>
          <w:color w:val="000000" w:themeColor="text1"/>
        </w:rPr>
        <w:t>Brokers and Boundaries</w:t>
      </w:r>
      <w:r w:rsidRPr="00DE552E">
        <w:rPr>
          <w:color w:val="000000" w:themeColor="text1"/>
        </w:rPr>
        <w:t>,</w:t>
      </w:r>
      <w:r w:rsidRPr="0062324E">
        <w:rPr>
          <w:i/>
          <w:iCs/>
          <w:color w:val="000000" w:themeColor="text1"/>
        </w:rPr>
        <w:t xml:space="preserve"> </w:t>
      </w:r>
      <w:r w:rsidRPr="0062324E">
        <w:rPr>
          <w:color w:val="000000" w:themeColor="text1"/>
        </w:rPr>
        <w:t>pp. 4</w:t>
      </w:r>
      <w:r>
        <w:rPr>
          <w:color w:val="000000" w:themeColor="text1"/>
        </w:rPr>
        <w:t>–</w:t>
      </w:r>
      <w:r w:rsidRPr="0062324E">
        <w:rPr>
          <w:color w:val="000000" w:themeColor="text1"/>
        </w:rPr>
        <w:t>5</w:t>
      </w:r>
      <w:r>
        <w:rPr>
          <w:color w:val="000000" w:themeColor="text1"/>
        </w:rPr>
        <w:t>;</w:t>
      </w:r>
      <w:r w:rsidRPr="0062324E">
        <w:rPr>
          <w:color w:val="000000" w:themeColor="text1"/>
        </w:rPr>
        <w:t xml:space="preserve"> Da</w:t>
      </w:r>
      <w:r>
        <w:rPr>
          <w:color w:val="000000" w:themeColor="text1"/>
        </w:rPr>
        <w:t>n</w:t>
      </w:r>
      <w:r w:rsidRPr="0062324E">
        <w:rPr>
          <w:color w:val="000000" w:themeColor="text1"/>
        </w:rPr>
        <w:t xml:space="preserve">e Kennedy, </w:t>
      </w:r>
      <w:r w:rsidRPr="0062324E">
        <w:rPr>
          <w:i/>
          <w:iCs/>
          <w:color w:val="000000" w:themeColor="text1"/>
        </w:rPr>
        <w:t xml:space="preserve">The Last Blank Spaces: Exploring Africa and Australia </w:t>
      </w:r>
      <w:r w:rsidRPr="0062324E">
        <w:rPr>
          <w:color w:val="000000" w:themeColor="text1"/>
        </w:rPr>
        <w:t>(Cambridge</w:t>
      </w:r>
      <w:r>
        <w:rPr>
          <w:color w:val="000000" w:themeColor="text1"/>
        </w:rPr>
        <w:t>, MA</w:t>
      </w:r>
      <w:r w:rsidRPr="0062324E">
        <w:rPr>
          <w:color w:val="000000" w:themeColor="text1"/>
        </w:rPr>
        <w:t>: Harvard University Press, 2013)</w:t>
      </w:r>
      <w:r>
        <w:rPr>
          <w:color w:val="000000" w:themeColor="text1"/>
        </w:rPr>
        <w:t>,</w:t>
      </w:r>
      <w:r w:rsidRPr="0062324E">
        <w:rPr>
          <w:color w:val="000000" w:themeColor="text1"/>
        </w:rPr>
        <w:t xml:space="preserve"> pp. 162</w:t>
      </w:r>
      <w:r>
        <w:rPr>
          <w:color w:val="000000" w:themeColor="text1"/>
        </w:rPr>
        <w:t>–</w:t>
      </w:r>
      <w:r w:rsidRPr="0062324E">
        <w:rPr>
          <w:color w:val="000000" w:themeColor="text1"/>
        </w:rPr>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15A"/>
    <w:multiLevelType w:val="hybridMultilevel"/>
    <w:tmpl w:val="EEFA6E8A"/>
    <w:lvl w:ilvl="0" w:tplc="7A98A2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6F0A"/>
    <w:multiLevelType w:val="hybridMultilevel"/>
    <w:tmpl w:val="955C72E2"/>
    <w:lvl w:ilvl="0" w:tplc="9F702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7531E"/>
    <w:multiLevelType w:val="hybridMultilevel"/>
    <w:tmpl w:val="1D4088F6"/>
    <w:lvl w:ilvl="0" w:tplc="343A22BE">
      <w:start w:val="179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5240"/>
    <w:multiLevelType w:val="hybridMultilevel"/>
    <w:tmpl w:val="6FF6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912F0"/>
    <w:multiLevelType w:val="multilevel"/>
    <w:tmpl w:val="71EA7B3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264C4"/>
    <w:multiLevelType w:val="hybridMultilevel"/>
    <w:tmpl w:val="0F0A533A"/>
    <w:lvl w:ilvl="0" w:tplc="B65C62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253DD"/>
    <w:multiLevelType w:val="hybridMultilevel"/>
    <w:tmpl w:val="53229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34ADB"/>
    <w:multiLevelType w:val="hybridMultilevel"/>
    <w:tmpl w:val="4F1434F4"/>
    <w:lvl w:ilvl="0" w:tplc="7C1A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017A4"/>
    <w:multiLevelType w:val="hybridMultilevel"/>
    <w:tmpl w:val="388CD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E6847"/>
    <w:multiLevelType w:val="hybridMultilevel"/>
    <w:tmpl w:val="F1E2F1F8"/>
    <w:lvl w:ilvl="0" w:tplc="F9ACD3D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10E5E"/>
    <w:multiLevelType w:val="hybridMultilevel"/>
    <w:tmpl w:val="1C66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433197"/>
    <w:multiLevelType w:val="hybridMultilevel"/>
    <w:tmpl w:val="3D58DC86"/>
    <w:lvl w:ilvl="0" w:tplc="B3681936">
      <w:start w:val="1"/>
      <w:numFmt w:val="bullet"/>
      <w:lvlText w:val=""/>
      <w:lvlJc w:val="left"/>
      <w:pPr>
        <w:tabs>
          <w:tab w:val="num" w:pos="720"/>
        </w:tabs>
        <w:ind w:left="720" w:hanging="360"/>
      </w:pPr>
      <w:rPr>
        <w:rFonts w:ascii="Wingdings" w:hAnsi="Wingdings" w:hint="default"/>
      </w:rPr>
    </w:lvl>
    <w:lvl w:ilvl="1" w:tplc="98B4C680" w:tentative="1">
      <w:start w:val="1"/>
      <w:numFmt w:val="bullet"/>
      <w:lvlText w:val=""/>
      <w:lvlJc w:val="left"/>
      <w:pPr>
        <w:tabs>
          <w:tab w:val="num" w:pos="1440"/>
        </w:tabs>
        <w:ind w:left="1440" w:hanging="360"/>
      </w:pPr>
      <w:rPr>
        <w:rFonts w:ascii="Wingdings" w:hAnsi="Wingdings" w:hint="default"/>
      </w:rPr>
    </w:lvl>
    <w:lvl w:ilvl="2" w:tplc="D6C4DE34" w:tentative="1">
      <w:start w:val="1"/>
      <w:numFmt w:val="bullet"/>
      <w:lvlText w:val=""/>
      <w:lvlJc w:val="left"/>
      <w:pPr>
        <w:tabs>
          <w:tab w:val="num" w:pos="2160"/>
        </w:tabs>
        <w:ind w:left="2160" w:hanging="360"/>
      </w:pPr>
      <w:rPr>
        <w:rFonts w:ascii="Wingdings" w:hAnsi="Wingdings" w:hint="default"/>
      </w:rPr>
    </w:lvl>
    <w:lvl w:ilvl="3" w:tplc="164482AA" w:tentative="1">
      <w:start w:val="1"/>
      <w:numFmt w:val="bullet"/>
      <w:lvlText w:val=""/>
      <w:lvlJc w:val="left"/>
      <w:pPr>
        <w:tabs>
          <w:tab w:val="num" w:pos="2880"/>
        </w:tabs>
        <w:ind w:left="2880" w:hanging="360"/>
      </w:pPr>
      <w:rPr>
        <w:rFonts w:ascii="Wingdings" w:hAnsi="Wingdings" w:hint="default"/>
      </w:rPr>
    </w:lvl>
    <w:lvl w:ilvl="4" w:tplc="2A4E8158" w:tentative="1">
      <w:start w:val="1"/>
      <w:numFmt w:val="bullet"/>
      <w:lvlText w:val=""/>
      <w:lvlJc w:val="left"/>
      <w:pPr>
        <w:tabs>
          <w:tab w:val="num" w:pos="3600"/>
        </w:tabs>
        <w:ind w:left="3600" w:hanging="360"/>
      </w:pPr>
      <w:rPr>
        <w:rFonts w:ascii="Wingdings" w:hAnsi="Wingdings" w:hint="default"/>
      </w:rPr>
    </w:lvl>
    <w:lvl w:ilvl="5" w:tplc="A3267532" w:tentative="1">
      <w:start w:val="1"/>
      <w:numFmt w:val="bullet"/>
      <w:lvlText w:val=""/>
      <w:lvlJc w:val="left"/>
      <w:pPr>
        <w:tabs>
          <w:tab w:val="num" w:pos="4320"/>
        </w:tabs>
        <w:ind w:left="4320" w:hanging="360"/>
      </w:pPr>
      <w:rPr>
        <w:rFonts w:ascii="Wingdings" w:hAnsi="Wingdings" w:hint="default"/>
      </w:rPr>
    </w:lvl>
    <w:lvl w:ilvl="6" w:tplc="5C1CF0B6" w:tentative="1">
      <w:start w:val="1"/>
      <w:numFmt w:val="bullet"/>
      <w:lvlText w:val=""/>
      <w:lvlJc w:val="left"/>
      <w:pPr>
        <w:tabs>
          <w:tab w:val="num" w:pos="5040"/>
        </w:tabs>
        <w:ind w:left="5040" w:hanging="360"/>
      </w:pPr>
      <w:rPr>
        <w:rFonts w:ascii="Wingdings" w:hAnsi="Wingdings" w:hint="default"/>
      </w:rPr>
    </w:lvl>
    <w:lvl w:ilvl="7" w:tplc="083A15C2" w:tentative="1">
      <w:start w:val="1"/>
      <w:numFmt w:val="bullet"/>
      <w:lvlText w:val=""/>
      <w:lvlJc w:val="left"/>
      <w:pPr>
        <w:tabs>
          <w:tab w:val="num" w:pos="5760"/>
        </w:tabs>
        <w:ind w:left="5760" w:hanging="360"/>
      </w:pPr>
      <w:rPr>
        <w:rFonts w:ascii="Wingdings" w:hAnsi="Wingdings" w:hint="default"/>
      </w:rPr>
    </w:lvl>
    <w:lvl w:ilvl="8" w:tplc="17E4F1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94DBD"/>
    <w:multiLevelType w:val="hybridMultilevel"/>
    <w:tmpl w:val="224AECCC"/>
    <w:lvl w:ilvl="0" w:tplc="D52802C8">
      <w:start w:val="1"/>
      <w:numFmt w:val="bullet"/>
      <w:lvlText w:val=""/>
      <w:lvlJc w:val="left"/>
      <w:pPr>
        <w:tabs>
          <w:tab w:val="num" w:pos="720"/>
        </w:tabs>
        <w:ind w:left="720" w:hanging="360"/>
      </w:pPr>
      <w:rPr>
        <w:rFonts w:ascii="Wingdings" w:hAnsi="Wingdings" w:hint="default"/>
      </w:rPr>
    </w:lvl>
    <w:lvl w:ilvl="1" w:tplc="052A930C" w:tentative="1">
      <w:start w:val="1"/>
      <w:numFmt w:val="bullet"/>
      <w:lvlText w:val=""/>
      <w:lvlJc w:val="left"/>
      <w:pPr>
        <w:tabs>
          <w:tab w:val="num" w:pos="1440"/>
        </w:tabs>
        <w:ind w:left="1440" w:hanging="360"/>
      </w:pPr>
      <w:rPr>
        <w:rFonts w:ascii="Wingdings" w:hAnsi="Wingdings" w:hint="default"/>
      </w:rPr>
    </w:lvl>
    <w:lvl w:ilvl="2" w:tplc="A7E0E680" w:tentative="1">
      <w:start w:val="1"/>
      <w:numFmt w:val="bullet"/>
      <w:lvlText w:val=""/>
      <w:lvlJc w:val="left"/>
      <w:pPr>
        <w:tabs>
          <w:tab w:val="num" w:pos="2160"/>
        </w:tabs>
        <w:ind w:left="2160" w:hanging="360"/>
      </w:pPr>
      <w:rPr>
        <w:rFonts w:ascii="Wingdings" w:hAnsi="Wingdings" w:hint="default"/>
      </w:rPr>
    </w:lvl>
    <w:lvl w:ilvl="3" w:tplc="5C021DA4" w:tentative="1">
      <w:start w:val="1"/>
      <w:numFmt w:val="bullet"/>
      <w:lvlText w:val=""/>
      <w:lvlJc w:val="left"/>
      <w:pPr>
        <w:tabs>
          <w:tab w:val="num" w:pos="2880"/>
        </w:tabs>
        <w:ind w:left="2880" w:hanging="360"/>
      </w:pPr>
      <w:rPr>
        <w:rFonts w:ascii="Wingdings" w:hAnsi="Wingdings" w:hint="default"/>
      </w:rPr>
    </w:lvl>
    <w:lvl w:ilvl="4" w:tplc="86F029CA" w:tentative="1">
      <w:start w:val="1"/>
      <w:numFmt w:val="bullet"/>
      <w:lvlText w:val=""/>
      <w:lvlJc w:val="left"/>
      <w:pPr>
        <w:tabs>
          <w:tab w:val="num" w:pos="3600"/>
        </w:tabs>
        <w:ind w:left="3600" w:hanging="360"/>
      </w:pPr>
      <w:rPr>
        <w:rFonts w:ascii="Wingdings" w:hAnsi="Wingdings" w:hint="default"/>
      </w:rPr>
    </w:lvl>
    <w:lvl w:ilvl="5" w:tplc="B034657C" w:tentative="1">
      <w:start w:val="1"/>
      <w:numFmt w:val="bullet"/>
      <w:lvlText w:val=""/>
      <w:lvlJc w:val="left"/>
      <w:pPr>
        <w:tabs>
          <w:tab w:val="num" w:pos="4320"/>
        </w:tabs>
        <w:ind w:left="4320" w:hanging="360"/>
      </w:pPr>
      <w:rPr>
        <w:rFonts w:ascii="Wingdings" w:hAnsi="Wingdings" w:hint="default"/>
      </w:rPr>
    </w:lvl>
    <w:lvl w:ilvl="6" w:tplc="CD8AE0DA" w:tentative="1">
      <w:start w:val="1"/>
      <w:numFmt w:val="bullet"/>
      <w:lvlText w:val=""/>
      <w:lvlJc w:val="left"/>
      <w:pPr>
        <w:tabs>
          <w:tab w:val="num" w:pos="5040"/>
        </w:tabs>
        <w:ind w:left="5040" w:hanging="360"/>
      </w:pPr>
      <w:rPr>
        <w:rFonts w:ascii="Wingdings" w:hAnsi="Wingdings" w:hint="default"/>
      </w:rPr>
    </w:lvl>
    <w:lvl w:ilvl="7" w:tplc="9648C012" w:tentative="1">
      <w:start w:val="1"/>
      <w:numFmt w:val="bullet"/>
      <w:lvlText w:val=""/>
      <w:lvlJc w:val="left"/>
      <w:pPr>
        <w:tabs>
          <w:tab w:val="num" w:pos="5760"/>
        </w:tabs>
        <w:ind w:left="5760" w:hanging="360"/>
      </w:pPr>
      <w:rPr>
        <w:rFonts w:ascii="Wingdings" w:hAnsi="Wingdings" w:hint="default"/>
      </w:rPr>
    </w:lvl>
    <w:lvl w:ilvl="8" w:tplc="1292E9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64283"/>
    <w:multiLevelType w:val="multilevel"/>
    <w:tmpl w:val="D1704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0E4913"/>
    <w:multiLevelType w:val="hybridMultilevel"/>
    <w:tmpl w:val="6960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12"/>
  </w:num>
  <w:num w:numId="6">
    <w:abstractNumId w:val="4"/>
  </w:num>
  <w:num w:numId="7">
    <w:abstractNumId w:val="13"/>
  </w:num>
  <w:num w:numId="8">
    <w:abstractNumId w:val="5"/>
  </w:num>
  <w:num w:numId="9">
    <w:abstractNumId w:val="9"/>
  </w:num>
  <w:num w:numId="10">
    <w:abstractNumId w:val="14"/>
  </w:num>
  <w:num w:numId="11">
    <w:abstractNumId w:val="3"/>
  </w:num>
  <w:num w:numId="12">
    <w:abstractNumId w:val="8"/>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62"/>
    <w:rsid w:val="00000958"/>
    <w:rsid w:val="00000B0D"/>
    <w:rsid w:val="00000D12"/>
    <w:rsid w:val="0000152C"/>
    <w:rsid w:val="0000171F"/>
    <w:rsid w:val="00001BE5"/>
    <w:rsid w:val="00001FB6"/>
    <w:rsid w:val="000029F2"/>
    <w:rsid w:val="00002A14"/>
    <w:rsid w:val="00002C57"/>
    <w:rsid w:val="00003483"/>
    <w:rsid w:val="000035B1"/>
    <w:rsid w:val="000037A1"/>
    <w:rsid w:val="00003E43"/>
    <w:rsid w:val="0000428F"/>
    <w:rsid w:val="00004794"/>
    <w:rsid w:val="000048CB"/>
    <w:rsid w:val="0000551D"/>
    <w:rsid w:val="000057D6"/>
    <w:rsid w:val="0000584E"/>
    <w:rsid w:val="00006F5F"/>
    <w:rsid w:val="0000745A"/>
    <w:rsid w:val="000075B8"/>
    <w:rsid w:val="000076FF"/>
    <w:rsid w:val="00007DEE"/>
    <w:rsid w:val="000107B3"/>
    <w:rsid w:val="000108B3"/>
    <w:rsid w:val="00010B38"/>
    <w:rsid w:val="00011538"/>
    <w:rsid w:val="000115A2"/>
    <w:rsid w:val="000116F8"/>
    <w:rsid w:val="000118D6"/>
    <w:rsid w:val="000119E4"/>
    <w:rsid w:val="000127B4"/>
    <w:rsid w:val="00012A72"/>
    <w:rsid w:val="00013215"/>
    <w:rsid w:val="000137EA"/>
    <w:rsid w:val="00013C5C"/>
    <w:rsid w:val="000141C9"/>
    <w:rsid w:val="0001445E"/>
    <w:rsid w:val="00014818"/>
    <w:rsid w:val="000148C1"/>
    <w:rsid w:val="00014C9B"/>
    <w:rsid w:val="000159E4"/>
    <w:rsid w:val="000162E8"/>
    <w:rsid w:val="00016672"/>
    <w:rsid w:val="00016E92"/>
    <w:rsid w:val="00017020"/>
    <w:rsid w:val="00017AB7"/>
    <w:rsid w:val="00017BC6"/>
    <w:rsid w:val="00017F01"/>
    <w:rsid w:val="00020023"/>
    <w:rsid w:val="00021E36"/>
    <w:rsid w:val="000223C4"/>
    <w:rsid w:val="00022749"/>
    <w:rsid w:val="00022F24"/>
    <w:rsid w:val="00023134"/>
    <w:rsid w:val="000232DA"/>
    <w:rsid w:val="00023BA2"/>
    <w:rsid w:val="00023BDF"/>
    <w:rsid w:val="00024862"/>
    <w:rsid w:val="0002583B"/>
    <w:rsid w:val="00025FD5"/>
    <w:rsid w:val="00026935"/>
    <w:rsid w:val="00026B69"/>
    <w:rsid w:val="00026C04"/>
    <w:rsid w:val="0002743A"/>
    <w:rsid w:val="00027965"/>
    <w:rsid w:val="00027E99"/>
    <w:rsid w:val="00030157"/>
    <w:rsid w:val="00030388"/>
    <w:rsid w:val="0003104A"/>
    <w:rsid w:val="00032DB0"/>
    <w:rsid w:val="000336E3"/>
    <w:rsid w:val="00033850"/>
    <w:rsid w:val="00033A28"/>
    <w:rsid w:val="00033CEC"/>
    <w:rsid w:val="000348D0"/>
    <w:rsid w:val="00034C4E"/>
    <w:rsid w:val="000359CC"/>
    <w:rsid w:val="000360B5"/>
    <w:rsid w:val="000361C9"/>
    <w:rsid w:val="00036228"/>
    <w:rsid w:val="000362E9"/>
    <w:rsid w:val="000364EF"/>
    <w:rsid w:val="000364FA"/>
    <w:rsid w:val="000365C7"/>
    <w:rsid w:val="00036647"/>
    <w:rsid w:val="00036B6E"/>
    <w:rsid w:val="00036F8D"/>
    <w:rsid w:val="0003777E"/>
    <w:rsid w:val="0003796D"/>
    <w:rsid w:val="00037AAA"/>
    <w:rsid w:val="00037E2B"/>
    <w:rsid w:val="00040002"/>
    <w:rsid w:val="00040635"/>
    <w:rsid w:val="00040B25"/>
    <w:rsid w:val="00040B5B"/>
    <w:rsid w:val="00041144"/>
    <w:rsid w:val="0004167A"/>
    <w:rsid w:val="00041A7D"/>
    <w:rsid w:val="00041E7C"/>
    <w:rsid w:val="00042069"/>
    <w:rsid w:val="00042292"/>
    <w:rsid w:val="00042ADD"/>
    <w:rsid w:val="00043AD2"/>
    <w:rsid w:val="0004493D"/>
    <w:rsid w:val="000452C8"/>
    <w:rsid w:val="000452F0"/>
    <w:rsid w:val="000457BF"/>
    <w:rsid w:val="00045933"/>
    <w:rsid w:val="00045B29"/>
    <w:rsid w:val="00046192"/>
    <w:rsid w:val="00046D45"/>
    <w:rsid w:val="000473DA"/>
    <w:rsid w:val="00047C21"/>
    <w:rsid w:val="00050103"/>
    <w:rsid w:val="000505BA"/>
    <w:rsid w:val="000506FF"/>
    <w:rsid w:val="00051D5C"/>
    <w:rsid w:val="00051D8F"/>
    <w:rsid w:val="00051DF3"/>
    <w:rsid w:val="00051F40"/>
    <w:rsid w:val="00051FB7"/>
    <w:rsid w:val="000530E3"/>
    <w:rsid w:val="00053D2F"/>
    <w:rsid w:val="0005481B"/>
    <w:rsid w:val="0005582F"/>
    <w:rsid w:val="00055A30"/>
    <w:rsid w:val="00055AAE"/>
    <w:rsid w:val="00056136"/>
    <w:rsid w:val="00056A5C"/>
    <w:rsid w:val="00056D10"/>
    <w:rsid w:val="00056DB3"/>
    <w:rsid w:val="000572D9"/>
    <w:rsid w:val="00057AF6"/>
    <w:rsid w:val="00060098"/>
    <w:rsid w:val="000602CC"/>
    <w:rsid w:val="00060320"/>
    <w:rsid w:val="00060A12"/>
    <w:rsid w:val="00061146"/>
    <w:rsid w:val="00061211"/>
    <w:rsid w:val="0006131C"/>
    <w:rsid w:val="00061BBD"/>
    <w:rsid w:val="00061E1E"/>
    <w:rsid w:val="00061EDC"/>
    <w:rsid w:val="00061FB8"/>
    <w:rsid w:val="00062276"/>
    <w:rsid w:val="00062355"/>
    <w:rsid w:val="000626E4"/>
    <w:rsid w:val="00062727"/>
    <w:rsid w:val="00062819"/>
    <w:rsid w:val="00063779"/>
    <w:rsid w:val="00063AFC"/>
    <w:rsid w:val="00063D39"/>
    <w:rsid w:val="00063F24"/>
    <w:rsid w:val="0006417B"/>
    <w:rsid w:val="00064CC8"/>
    <w:rsid w:val="00064FA9"/>
    <w:rsid w:val="00065861"/>
    <w:rsid w:val="00065BA8"/>
    <w:rsid w:val="00065C16"/>
    <w:rsid w:val="00066215"/>
    <w:rsid w:val="00066A9C"/>
    <w:rsid w:val="00066C53"/>
    <w:rsid w:val="000671E3"/>
    <w:rsid w:val="00067335"/>
    <w:rsid w:val="0006787F"/>
    <w:rsid w:val="00070D62"/>
    <w:rsid w:val="000710B1"/>
    <w:rsid w:val="0007137B"/>
    <w:rsid w:val="000725DB"/>
    <w:rsid w:val="000727E1"/>
    <w:rsid w:val="0007308D"/>
    <w:rsid w:val="0007322F"/>
    <w:rsid w:val="000737F7"/>
    <w:rsid w:val="00073ABC"/>
    <w:rsid w:val="00073F59"/>
    <w:rsid w:val="000748E4"/>
    <w:rsid w:val="00074DAB"/>
    <w:rsid w:val="000750F4"/>
    <w:rsid w:val="00075E29"/>
    <w:rsid w:val="000765C5"/>
    <w:rsid w:val="00076716"/>
    <w:rsid w:val="00076C6A"/>
    <w:rsid w:val="00076DCC"/>
    <w:rsid w:val="000774EF"/>
    <w:rsid w:val="00077FF5"/>
    <w:rsid w:val="000801AA"/>
    <w:rsid w:val="00080512"/>
    <w:rsid w:val="00080706"/>
    <w:rsid w:val="0008086A"/>
    <w:rsid w:val="0008167D"/>
    <w:rsid w:val="0008180D"/>
    <w:rsid w:val="000821BD"/>
    <w:rsid w:val="000825DD"/>
    <w:rsid w:val="0008273A"/>
    <w:rsid w:val="00082E00"/>
    <w:rsid w:val="000831DD"/>
    <w:rsid w:val="0008408C"/>
    <w:rsid w:val="000845F2"/>
    <w:rsid w:val="00084638"/>
    <w:rsid w:val="0008476B"/>
    <w:rsid w:val="000859E3"/>
    <w:rsid w:val="00085B16"/>
    <w:rsid w:val="000860CB"/>
    <w:rsid w:val="00086722"/>
    <w:rsid w:val="00086A3C"/>
    <w:rsid w:val="00086DBC"/>
    <w:rsid w:val="00087103"/>
    <w:rsid w:val="000908A1"/>
    <w:rsid w:val="00090C6D"/>
    <w:rsid w:val="000911B9"/>
    <w:rsid w:val="000932F5"/>
    <w:rsid w:val="00093639"/>
    <w:rsid w:val="00093EBE"/>
    <w:rsid w:val="00093F34"/>
    <w:rsid w:val="00094251"/>
    <w:rsid w:val="000946FB"/>
    <w:rsid w:val="00095099"/>
    <w:rsid w:val="00095864"/>
    <w:rsid w:val="00095BDD"/>
    <w:rsid w:val="00095C89"/>
    <w:rsid w:val="00095ED0"/>
    <w:rsid w:val="000960A7"/>
    <w:rsid w:val="00096546"/>
    <w:rsid w:val="000972D6"/>
    <w:rsid w:val="0009736B"/>
    <w:rsid w:val="00097901"/>
    <w:rsid w:val="000A00E8"/>
    <w:rsid w:val="000A0BBD"/>
    <w:rsid w:val="000A0DA6"/>
    <w:rsid w:val="000A1BA6"/>
    <w:rsid w:val="000A235B"/>
    <w:rsid w:val="000A24BD"/>
    <w:rsid w:val="000A29CB"/>
    <w:rsid w:val="000A2E0F"/>
    <w:rsid w:val="000A2ECD"/>
    <w:rsid w:val="000A36EB"/>
    <w:rsid w:val="000A41A0"/>
    <w:rsid w:val="000A42B1"/>
    <w:rsid w:val="000A4334"/>
    <w:rsid w:val="000A5966"/>
    <w:rsid w:val="000A5A23"/>
    <w:rsid w:val="000A5C30"/>
    <w:rsid w:val="000A5F0F"/>
    <w:rsid w:val="000A6250"/>
    <w:rsid w:val="000A6517"/>
    <w:rsid w:val="000A65FA"/>
    <w:rsid w:val="000A7041"/>
    <w:rsid w:val="000A7228"/>
    <w:rsid w:val="000A7E62"/>
    <w:rsid w:val="000B01C0"/>
    <w:rsid w:val="000B07AB"/>
    <w:rsid w:val="000B0983"/>
    <w:rsid w:val="000B0A35"/>
    <w:rsid w:val="000B0B8D"/>
    <w:rsid w:val="000B10A2"/>
    <w:rsid w:val="000B2CE6"/>
    <w:rsid w:val="000B2D44"/>
    <w:rsid w:val="000B30E0"/>
    <w:rsid w:val="000B4270"/>
    <w:rsid w:val="000B4399"/>
    <w:rsid w:val="000B4B5B"/>
    <w:rsid w:val="000B5AAE"/>
    <w:rsid w:val="000B5B99"/>
    <w:rsid w:val="000B6548"/>
    <w:rsid w:val="000B7633"/>
    <w:rsid w:val="000B7B0C"/>
    <w:rsid w:val="000C07CC"/>
    <w:rsid w:val="000C0D91"/>
    <w:rsid w:val="000C1355"/>
    <w:rsid w:val="000C13A4"/>
    <w:rsid w:val="000C15C8"/>
    <w:rsid w:val="000C1F30"/>
    <w:rsid w:val="000C3540"/>
    <w:rsid w:val="000C448D"/>
    <w:rsid w:val="000C4632"/>
    <w:rsid w:val="000C465A"/>
    <w:rsid w:val="000C4880"/>
    <w:rsid w:val="000C49D3"/>
    <w:rsid w:val="000C4F0E"/>
    <w:rsid w:val="000C5512"/>
    <w:rsid w:val="000C5EFB"/>
    <w:rsid w:val="000C5F41"/>
    <w:rsid w:val="000C6D17"/>
    <w:rsid w:val="000C6E69"/>
    <w:rsid w:val="000C7149"/>
    <w:rsid w:val="000D04A1"/>
    <w:rsid w:val="000D0FE1"/>
    <w:rsid w:val="000D15A3"/>
    <w:rsid w:val="000D1E76"/>
    <w:rsid w:val="000D2043"/>
    <w:rsid w:val="000D25F7"/>
    <w:rsid w:val="000D2B45"/>
    <w:rsid w:val="000D2C29"/>
    <w:rsid w:val="000D3309"/>
    <w:rsid w:val="000D37F3"/>
    <w:rsid w:val="000D3E15"/>
    <w:rsid w:val="000D43CC"/>
    <w:rsid w:val="000D4D72"/>
    <w:rsid w:val="000D5F11"/>
    <w:rsid w:val="000D66E4"/>
    <w:rsid w:val="000D68C0"/>
    <w:rsid w:val="000D6A4A"/>
    <w:rsid w:val="000D6DFF"/>
    <w:rsid w:val="000D6F6A"/>
    <w:rsid w:val="000D6FC4"/>
    <w:rsid w:val="000D76D5"/>
    <w:rsid w:val="000D7F45"/>
    <w:rsid w:val="000E000E"/>
    <w:rsid w:val="000E01CE"/>
    <w:rsid w:val="000E059F"/>
    <w:rsid w:val="000E0D5C"/>
    <w:rsid w:val="000E0F42"/>
    <w:rsid w:val="000E1DEA"/>
    <w:rsid w:val="000E3466"/>
    <w:rsid w:val="000E4813"/>
    <w:rsid w:val="000E49DF"/>
    <w:rsid w:val="000E4AB2"/>
    <w:rsid w:val="000E63E1"/>
    <w:rsid w:val="000E695D"/>
    <w:rsid w:val="000E709E"/>
    <w:rsid w:val="000E78C7"/>
    <w:rsid w:val="000F012A"/>
    <w:rsid w:val="000F0C4A"/>
    <w:rsid w:val="000F0CB3"/>
    <w:rsid w:val="000F0FA0"/>
    <w:rsid w:val="000F11DC"/>
    <w:rsid w:val="000F18A8"/>
    <w:rsid w:val="000F1B2C"/>
    <w:rsid w:val="000F1B33"/>
    <w:rsid w:val="000F2D6D"/>
    <w:rsid w:val="000F3033"/>
    <w:rsid w:val="000F3972"/>
    <w:rsid w:val="000F475B"/>
    <w:rsid w:val="000F547F"/>
    <w:rsid w:val="000F6022"/>
    <w:rsid w:val="000F6A5D"/>
    <w:rsid w:val="000F6BA9"/>
    <w:rsid w:val="000F6DD0"/>
    <w:rsid w:val="000F7DA1"/>
    <w:rsid w:val="0010023B"/>
    <w:rsid w:val="001013E1"/>
    <w:rsid w:val="00101425"/>
    <w:rsid w:val="00102534"/>
    <w:rsid w:val="00102679"/>
    <w:rsid w:val="00102917"/>
    <w:rsid w:val="00102D59"/>
    <w:rsid w:val="00102FBF"/>
    <w:rsid w:val="0010349C"/>
    <w:rsid w:val="0010388C"/>
    <w:rsid w:val="00103D43"/>
    <w:rsid w:val="00105196"/>
    <w:rsid w:val="00105433"/>
    <w:rsid w:val="00105673"/>
    <w:rsid w:val="00106DFC"/>
    <w:rsid w:val="0010766D"/>
    <w:rsid w:val="00107A38"/>
    <w:rsid w:val="00110364"/>
    <w:rsid w:val="0011172C"/>
    <w:rsid w:val="00111B53"/>
    <w:rsid w:val="001126D7"/>
    <w:rsid w:val="00112ACC"/>
    <w:rsid w:val="00113163"/>
    <w:rsid w:val="001138B9"/>
    <w:rsid w:val="00113AA8"/>
    <w:rsid w:val="00114003"/>
    <w:rsid w:val="0011406E"/>
    <w:rsid w:val="001146DF"/>
    <w:rsid w:val="001147DA"/>
    <w:rsid w:val="00114DBC"/>
    <w:rsid w:val="001151D9"/>
    <w:rsid w:val="001161ED"/>
    <w:rsid w:val="00116232"/>
    <w:rsid w:val="001164DA"/>
    <w:rsid w:val="0012043D"/>
    <w:rsid w:val="00120591"/>
    <w:rsid w:val="00120AC6"/>
    <w:rsid w:val="00120BC5"/>
    <w:rsid w:val="00120C15"/>
    <w:rsid w:val="00120CD8"/>
    <w:rsid w:val="00120D71"/>
    <w:rsid w:val="001215BC"/>
    <w:rsid w:val="00121B56"/>
    <w:rsid w:val="001223E1"/>
    <w:rsid w:val="00122E83"/>
    <w:rsid w:val="00122FB8"/>
    <w:rsid w:val="00123685"/>
    <w:rsid w:val="00123877"/>
    <w:rsid w:val="00123D3B"/>
    <w:rsid w:val="001240F7"/>
    <w:rsid w:val="001248D6"/>
    <w:rsid w:val="00124CE3"/>
    <w:rsid w:val="00124D32"/>
    <w:rsid w:val="00125641"/>
    <w:rsid w:val="001256D6"/>
    <w:rsid w:val="00125792"/>
    <w:rsid w:val="00125931"/>
    <w:rsid w:val="001259CF"/>
    <w:rsid w:val="00125BDD"/>
    <w:rsid w:val="00125F2C"/>
    <w:rsid w:val="0012671A"/>
    <w:rsid w:val="00126B34"/>
    <w:rsid w:val="0012729F"/>
    <w:rsid w:val="00127700"/>
    <w:rsid w:val="00130107"/>
    <w:rsid w:val="00130220"/>
    <w:rsid w:val="00131733"/>
    <w:rsid w:val="00131746"/>
    <w:rsid w:val="00132300"/>
    <w:rsid w:val="00132AE2"/>
    <w:rsid w:val="00132D2D"/>
    <w:rsid w:val="0013364B"/>
    <w:rsid w:val="00133722"/>
    <w:rsid w:val="00134921"/>
    <w:rsid w:val="001349CE"/>
    <w:rsid w:val="001353F2"/>
    <w:rsid w:val="0013557E"/>
    <w:rsid w:val="001356E4"/>
    <w:rsid w:val="001359D1"/>
    <w:rsid w:val="00135B41"/>
    <w:rsid w:val="00135BCD"/>
    <w:rsid w:val="001367FE"/>
    <w:rsid w:val="00136908"/>
    <w:rsid w:val="00136A7F"/>
    <w:rsid w:val="00136C84"/>
    <w:rsid w:val="00140286"/>
    <w:rsid w:val="00140352"/>
    <w:rsid w:val="00140358"/>
    <w:rsid w:val="00140586"/>
    <w:rsid w:val="00140B48"/>
    <w:rsid w:val="00141431"/>
    <w:rsid w:val="001417AF"/>
    <w:rsid w:val="00141A8C"/>
    <w:rsid w:val="00141BE3"/>
    <w:rsid w:val="00142F80"/>
    <w:rsid w:val="001436B3"/>
    <w:rsid w:val="00145A20"/>
    <w:rsid w:val="001466C4"/>
    <w:rsid w:val="00146ABC"/>
    <w:rsid w:val="00146C30"/>
    <w:rsid w:val="00147CF2"/>
    <w:rsid w:val="00150548"/>
    <w:rsid w:val="00150AB8"/>
    <w:rsid w:val="00151742"/>
    <w:rsid w:val="001520CC"/>
    <w:rsid w:val="00152BC1"/>
    <w:rsid w:val="001537F3"/>
    <w:rsid w:val="00153975"/>
    <w:rsid w:val="00153BB8"/>
    <w:rsid w:val="00154B0B"/>
    <w:rsid w:val="00154D32"/>
    <w:rsid w:val="00154D76"/>
    <w:rsid w:val="00154EBD"/>
    <w:rsid w:val="00154F32"/>
    <w:rsid w:val="001558E3"/>
    <w:rsid w:val="00155A72"/>
    <w:rsid w:val="001572E2"/>
    <w:rsid w:val="001573E8"/>
    <w:rsid w:val="00157756"/>
    <w:rsid w:val="00160215"/>
    <w:rsid w:val="00160A5A"/>
    <w:rsid w:val="00161205"/>
    <w:rsid w:val="001614F8"/>
    <w:rsid w:val="00161839"/>
    <w:rsid w:val="0016184A"/>
    <w:rsid w:val="00161C30"/>
    <w:rsid w:val="00161CB5"/>
    <w:rsid w:val="00162183"/>
    <w:rsid w:val="001625F3"/>
    <w:rsid w:val="001627E4"/>
    <w:rsid w:val="00162B61"/>
    <w:rsid w:val="00162D84"/>
    <w:rsid w:val="00162DF1"/>
    <w:rsid w:val="001635BF"/>
    <w:rsid w:val="00163BE4"/>
    <w:rsid w:val="0016460E"/>
    <w:rsid w:val="001646CD"/>
    <w:rsid w:val="0016506C"/>
    <w:rsid w:val="00165229"/>
    <w:rsid w:val="0016571C"/>
    <w:rsid w:val="00165BD2"/>
    <w:rsid w:val="001665E7"/>
    <w:rsid w:val="0016706C"/>
    <w:rsid w:val="00167312"/>
    <w:rsid w:val="00167EA7"/>
    <w:rsid w:val="00170810"/>
    <w:rsid w:val="00170A9B"/>
    <w:rsid w:val="00170D8D"/>
    <w:rsid w:val="00172099"/>
    <w:rsid w:val="00172184"/>
    <w:rsid w:val="00172FF8"/>
    <w:rsid w:val="0017355C"/>
    <w:rsid w:val="00173B17"/>
    <w:rsid w:val="001746DE"/>
    <w:rsid w:val="0017496B"/>
    <w:rsid w:val="0017524D"/>
    <w:rsid w:val="001752B4"/>
    <w:rsid w:val="0017641E"/>
    <w:rsid w:val="00176643"/>
    <w:rsid w:val="00176CA4"/>
    <w:rsid w:val="00177D04"/>
    <w:rsid w:val="00177F7C"/>
    <w:rsid w:val="00180132"/>
    <w:rsid w:val="001802E0"/>
    <w:rsid w:val="0018199D"/>
    <w:rsid w:val="0018217B"/>
    <w:rsid w:val="001832EE"/>
    <w:rsid w:val="00183334"/>
    <w:rsid w:val="00183859"/>
    <w:rsid w:val="00183985"/>
    <w:rsid w:val="001848AC"/>
    <w:rsid w:val="00184970"/>
    <w:rsid w:val="00184A2C"/>
    <w:rsid w:val="00184BDE"/>
    <w:rsid w:val="00184EB5"/>
    <w:rsid w:val="0018603E"/>
    <w:rsid w:val="00186454"/>
    <w:rsid w:val="0018688C"/>
    <w:rsid w:val="00186ECA"/>
    <w:rsid w:val="00186FC5"/>
    <w:rsid w:val="00187060"/>
    <w:rsid w:val="0018762D"/>
    <w:rsid w:val="0018798A"/>
    <w:rsid w:val="00190871"/>
    <w:rsid w:val="00191447"/>
    <w:rsid w:val="00191764"/>
    <w:rsid w:val="001917B8"/>
    <w:rsid w:val="00191B27"/>
    <w:rsid w:val="0019219A"/>
    <w:rsid w:val="00192E02"/>
    <w:rsid w:val="00193C03"/>
    <w:rsid w:val="00193F86"/>
    <w:rsid w:val="00195551"/>
    <w:rsid w:val="0019568D"/>
    <w:rsid w:val="001957EC"/>
    <w:rsid w:val="00195DAF"/>
    <w:rsid w:val="00196107"/>
    <w:rsid w:val="00196648"/>
    <w:rsid w:val="00196952"/>
    <w:rsid w:val="00196955"/>
    <w:rsid w:val="001971B3"/>
    <w:rsid w:val="00197A51"/>
    <w:rsid w:val="00197FB0"/>
    <w:rsid w:val="001A02BE"/>
    <w:rsid w:val="001A0671"/>
    <w:rsid w:val="001A110A"/>
    <w:rsid w:val="001A116A"/>
    <w:rsid w:val="001A1A6E"/>
    <w:rsid w:val="001A1EE7"/>
    <w:rsid w:val="001A1FC6"/>
    <w:rsid w:val="001A3A7C"/>
    <w:rsid w:val="001A52E2"/>
    <w:rsid w:val="001A549D"/>
    <w:rsid w:val="001A5FB3"/>
    <w:rsid w:val="001A64D6"/>
    <w:rsid w:val="001A7291"/>
    <w:rsid w:val="001A7DA0"/>
    <w:rsid w:val="001B0473"/>
    <w:rsid w:val="001B05E3"/>
    <w:rsid w:val="001B0EE8"/>
    <w:rsid w:val="001B1C90"/>
    <w:rsid w:val="001B1D8D"/>
    <w:rsid w:val="001B2D07"/>
    <w:rsid w:val="001B319F"/>
    <w:rsid w:val="001B35FB"/>
    <w:rsid w:val="001B3B30"/>
    <w:rsid w:val="001B465A"/>
    <w:rsid w:val="001B493D"/>
    <w:rsid w:val="001B4B2B"/>
    <w:rsid w:val="001B4B83"/>
    <w:rsid w:val="001B53F5"/>
    <w:rsid w:val="001B5445"/>
    <w:rsid w:val="001B5525"/>
    <w:rsid w:val="001B55C9"/>
    <w:rsid w:val="001B579C"/>
    <w:rsid w:val="001B58FD"/>
    <w:rsid w:val="001B591D"/>
    <w:rsid w:val="001B5AED"/>
    <w:rsid w:val="001B5BD4"/>
    <w:rsid w:val="001B5C6E"/>
    <w:rsid w:val="001B5C7A"/>
    <w:rsid w:val="001B60F2"/>
    <w:rsid w:val="001B6D11"/>
    <w:rsid w:val="001B758F"/>
    <w:rsid w:val="001C00DE"/>
    <w:rsid w:val="001C0339"/>
    <w:rsid w:val="001C0D65"/>
    <w:rsid w:val="001C0D98"/>
    <w:rsid w:val="001C1230"/>
    <w:rsid w:val="001C1332"/>
    <w:rsid w:val="001C1439"/>
    <w:rsid w:val="001C160B"/>
    <w:rsid w:val="001C176C"/>
    <w:rsid w:val="001C2403"/>
    <w:rsid w:val="001C2BCB"/>
    <w:rsid w:val="001C2DE2"/>
    <w:rsid w:val="001C32BC"/>
    <w:rsid w:val="001C330A"/>
    <w:rsid w:val="001C367C"/>
    <w:rsid w:val="001C3A57"/>
    <w:rsid w:val="001C3B8C"/>
    <w:rsid w:val="001C3BDB"/>
    <w:rsid w:val="001C446E"/>
    <w:rsid w:val="001C4587"/>
    <w:rsid w:val="001C4B55"/>
    <w:rsid w:val="001C526D"/>
    <w:rsid w:val="001C577E"/>
    <w:rsid w:val="001C5D9C"/>
    <w:rsid w:val="001C617C"/>
    <w:rsid w:val="001C67AE"/>
    <w:rsid w:val="001C6E95"/>
    <w:rsid w:val="001C76C0"/>
    <w:rsid w:val="001D027D"/>
    <w:rsid w:val="001D05B3"/>
    <w:rsid w:val="001D060B"/>
    <w:rsid w:val="001D066E"/>
    <w:rsid w:val="001D0A8F"/>
    <w:rsid w:val="001D11D5"/>
    <w:rsid w:val="001D1719"/>
    <w:rsid w:val="001D1CEA"/>
    <w:rsid w:val="001D2B17"/>
    <w:rsid w:val="001D2DE4"/>
    <w:rsid w:val="001D2F5A"/>
    <w:rsid w:val="001D3254"/>
    <w:rsid w:val="001D36D2"/>
    <w:rsid w:val="001D36FE"/>
    <w:rsid w:val="001D4887"/>
    <w:rsid w:val="001D507B"/>
    <w:rsid w:val="001D5C6D"/>
    <w:rsid w:val="001D5CAD"/>
    <w:rsid w:val="001D6048"/>
    <w:rsid w:val="001D6591"/>
    <w:rsid w:val="001D75B9"/>
    <w:rsid w:val="001D7C45"/>
    <w:rsid w:val="001E03FD"/>
    <w:rsid w:val="001E088A"/>
    <w:rsid w:val="001E0BCF"/>
    <w:rsid w:val="001E1230"/>
    <w:rsid w:val="001E1602"/>
    <w:rsid w:val="001E1A49"/>
    <w:rsid w:val="001E1D4F"/>
    <w:rsid w:val="001E29BE"/>
    <w:rsid w:val="001E2A2D"/>
    <w:rsid w:val="001E3E92"/>
    <w:rsid w:val="001E42EE"/>
    <w:rsid w:val="001E4C2A"/>
    <w:rsid w:val="001E5BC7"/>
    <w:rsid w:val="001E5D15"/>
    <w:rsid w:val="001E5E55"/>
    <w:rsid w:val="001E7142"/>
    <w:rsid w:val="001E768B"/>
    <w:rsid w:val="001E7C40"/>
    <w:rsid w:val="001F0992"/>
    <w:rsid w:val="001F0D5A"/>
    <w:rsid w:val="001F11A1"/>
    <w:rsid w:val="001F1247"/>
    <w:rsid w:val="001F151F"/>
    <w:rsid w:val="001F19D0"/>
    <w:rsid w:val="001F1C28"/>
    <w:rsid w:val="001F2684"/>
    <w:rsid w:val="001F2F6B"/>
    <w:rsid w:val="001F39C9"/>
    <w:rsid w:val="001F3FB0"/>
    <w:rsid w:val="001F4068"/>
    <w:rsid w:val="001F502B"/>
    <w:rsid w:val="001F5452"/>
    <w:rsid w:val="001F5A98"/>
    <w:rsid w:val="001F6CC2"/>
    <w:rsid w:val="001F6E7D"/>
    <w:rsid w:val="00200A80"/>
    <w:rsid w:val="00200AA0"/>
    <w:rsid w:val="00201755"/>
    <w:rsid w:val="00201DDE"/>
    <w:rsid w:val="00202769"/>
    <w:rsid w:val="00202C55"/>
    <w:rsid w:val="00202D25"/>
    <w:rsid w:val="00203E2B"/>
    <w:rsid w:val="0020496E"/>
    <w:rsid w:val="00204C24"/>
    <w:rsid w:val="00204C3E"/>
    <w:rsid w:val="00204E30"/>
    <w:rsid w:val="002052DF"/>
    <w:rsid w:val="002053AE"/>
    <w:rsid w:val="00205564"/>
    <w:rsid w:val="00206F61"/>
    <w:rsid w:val="0021173B"/>
    <w:rsid w:val="00211E3F"/>
    <w:rsid w:val="00212132"/>
    <w:rsid w:val="0021355F"/>
    <w:rsid w:val="002137EB"/>
    <w:rsid w:val="00214106"/>
    <w:rsid w:val="002142C5"/>
    <w:rsid w:val="00214478"/>
    <w:rsid w:val="00214556"/>
    <w:rsid w:val="0021480B"/>
    <w:rsid w:val="00215AA2"/>
    <w:rsid w:val="00215B3F"/>
    <w:rsid w:val="00215DA5"/>
    <w:rsid w:val="00215F44"/>
    <w:rsid w:val="00216B3F"/>
    <w:rsid w:val="00216B52"/>
    <w:rsid w:val="00216D8B"/>
    <w:rsid w:val="00216FC7"/>
    <w:rsid w:val="00217275"/>
    <w:rsid w:val="00217567"/>
    <w:rsid w:val="00217C76"/>
    <w:rsid w:val="00220E93"/>
    <w:rsid w:val="00220EF9"/>
    <w:rsid w:val="002212D2"/>
    <w:rsid w:val="002215D9"/>
    <w:rsid w:val="00221842"/>
    <w:rsid w:val="00221E7F"/>
    <w:rsid w:val="002223AF"/>
    <w:rsid w:val="0022260D"/>
    <w:rsid w:val="002226DE"/>
    <w:rsid w:val="002238B1"/>
    <w:rsid w:val="00223F4F"/>
    <w:rsid w:val="00224723"/>
    <w:rsid w:val="002254EF"/>
    <w:rsid w:val="00226E36"/>
    <w:rsid w:val="00227125"/>
    <w:rsid w:val="002275CA"/>
    <w:rsid w:val="002278E6"/>
    <w:rsid w:val="00227AA5"/>
    <w:rsid w:val="002305DE"/>
    <w:rsid w:val="00230A62"/>
    <w:rsid w:val="002310C9"/>
    <w:rsid w:val="00231756"/>
    <w:rsid w:val="002319EF"/>
    <w:rsid w:val="00232BF2"/>
    <w:rsid w:val="00232DBD"/>
    <w:rsid w:val="00232FE5"/>
    <w:rsid w:val="002331B2"/>
    <w:rsid w:val="00233456"/>
    <w:rsid w:val="00233CBF"/>
    <w:rsid w:val="00233D70"/>
    <w:rsid w:val="00234534"/>
    <w:rsid w:val="00236461"/>
    <w:rsid w:val="00236A96"/>
    <w:rsid w:val="00236DD2"/>
    <w:rsid w:val="0023736F"/>
    <w:rsid w:val="0023754B"/>
    <w:rsid w:val="0024019A"/>
    <w:rsid w:val="00240490"/>
    <w:rsid w:val="00240872"/>
    <w:rsid w:val="00240BE3"/>
    <w:rsid w:val="00240C9D"/>
    <w:rsid w:val="00241BA0"/>
    <w:rsid w:val="00241F2E"/>
    <w:rsid w:val="0024248F"/>
    <w:rsid w:val="0024287F"/>
    <w:rsid w:val="00242C60"/>
    <w:rsid w:val="00242DD4"/>
    <w:rsid w:val="00242EAD"/>
    <w:rsid w:val="0024308D"/>
    <w:rsid w:val="002433F4"/>
    <w:rsid w:val="002433F5"/>
    <w:rsid w:val="002435A8"/>
    <w:rsid w:val="00244F19"/>
    <w:rsid w:val="00245A3F"/>
    <w:rsid w:val="00245A93"/>
    <w:rsid w:val="00245F1B"/>
    <w:rsid w:val="002467D3"/>
    <w:rsid w:val="00250937"/>
    <w:rsid w:val="002529D1"/>
    <w:rsid w:val="00252A39"/>
    <w:rsid w:val="00252C51"/>
    <w:rsid w:val="00252F7F"/>
    <w:rsid w:val="00253404"/>
    <w:rsid w:val="00254043"/>
    <w:rsid w:val="00254326"/>
    <w:rsid w:val="002552B3"/>
    <w:rsid w:val="00255405"/>
    <w:rsid w:val="0025569B"/>
    <w:rsid w:val="002560DC"/>
    <w:rsid w:val="002566EF"/>
    <w:rsid w:val="00256955"/>
    <w:rsid w:val="00256DC3"/>
    <w:rsid w:val="00257223"/>
    <w:rsid w:val="00257231"/>
    <w:rsid w:val="00257580"/>
    <w:rsid w:val="00257888"/>
    <w:rsid w:val="00257ADC"/>
    <w:rsid w:val="00257B5F"/>
    <w:rsid w:val="00257B71"/>
    <w:rsid w:val="00257BC0"/>
    <w:rsid w:val="00257D0B"/>
    <w:rsid w:val="00260308"/>
    <w:rsid w:val="002603BD"/>
    <w:rsid w:val="002609F0"/>
    <w:rsid w:val="00260FDE"/>
    <w:rsid w:val="002614AC"/>
    <w:rsid w:val="00261B24"/>
    <w:rsid w:val="00261BB6"/>
    <w:rsid w:val="00261E6C"/>
    <w:rsid w:val="002625BF"/>
    <w:rsid w:val="002625C6"/>
    <w:rsid w:val="002629AA"/>
    <w:rsid w:val="00262B70"/>
    <w:rsid w:val="00263021"/>
    <w:rsid w:val="002632AD"/>
    <w:rsid w:val="00263577"/>
    <w:rsid w:val="00263EA8"/>
    <w:rsid w:val="00264403"/>
    <w:rsid w:val="002644EE"/>
    <w:rsid w:val="0026475F"/>
    <w:rsid w:val="002648F3"/>
    <w:rsid w:val="00264988"/>
    <w:rsid w:val="0026547E"/>
    <w:rsid w:val="00265ACB"/>
    <w:rsid w:val="00266068"/>
    <w:rsid w:val="00266473"/>
    <w:rsid w:val="00266C18"/>
    <w:rsid w:val="00266E61"/>
    <w:rsid w:val="0026704B"/>
    <w:rsid w:val="0026739C"/>
    <w:rsid w:val="002678AA"/>
    <w:rsid w:val="00267B87"/>
    <w:rsid w:val="00267F03"/>
    <w:rsid w:val="00270507"/>
    <w:rsid w:val="00270E94"/>
    <w:rsid w:val="0027144A"/>
    <w:rsid w:val="0027173D"/>
    <w:rsid w:val="00271750"/>
    <w:rsid w:val="00272878"/>
    <w:rsid w:val="00273652"/>
    <w:rsid w:val="00273CB6"/>
    <w:rsid w:val="00273D63"/>
    <w:rsid w:val="00273DDF"/>
    <w:rsid w:val="002748C4"/>
    <w:rsid w:val="002758A3"/>
    <w:rsid w:val="00276C44"/>
    <w:rsid w:val="00276E1D"/>
    <w:rsid w:val="00277120"/>
    <w:rsid w:val="002774EC"/>
    <w:rsid w:val="00277866"/>
    <w:rsid w:val="0028068B"/>
    <w:rsid w:val="002809DE"/>
    <w:rsid w:val="00280AAF"/>
    <w:rsid w:val="0028103C"/>
    <w:rsid w:val="00281133"/>
    <w:rsid w:val="00281213"/>
    <w:rsid w:val="00281972"/>
    <w:rsid w:val="00282EAC"/>
    <w:rsid w:val="00282FB9"/>
    <w:rsid w:val="00283012"/>
    <w:rsid w:val="00283182"/>
    <w:rsid w:val="00284048"/>
    <w:rsid w:val="0028493B"/>
    <w:rsid w:val="002854D9"/>
    <w:rsid w:val="00285998"/>
    <w:rsid w:val="002863EA"/>
    <w:rsid w:val="0028669A"/>
    <w:rsid w:val="0028696F"/>
    <w:rsid w:val="00286C67"/>
    <w:rsid w:val="00287732"/>
    <w:rsid w:val="002877C8"/>
    <w:rsid w:val="00290180"/>
    <w:rsid w:val="00290838"/>
    <w:rsid w:val="00291443"/>
    <w:rsid w:val="002917F7"/>
    <w:rsid w:val="00291947"/>
    <w:rsid w:val="00291EDD"/>
    <w:rsid w:val="0029215B"/>
    <w:rsid w:val="00292751"/>
    <w:rsid w:val="002929A8"/>
    <w:rsid w:val="0029343B"/>
    <w:rsid w:val="00293A1B"/>
    <w:rsid w:val="00293C4B"/>
    <w:rsid w:val="00294448"/>
    <w:rsid w:val="002946B4"/>
    <w:rsid w:val="00294AE8"/>
    <w:rsid w:val="00295196"/>
    <w:rsid w:val="00295941"/>
    <w:rsid w:val="0029609E"/>
    <w:rsid w:val="00296DB5"/>
    <w:rsid w:val="00296DDE"/>
    <w:rsid w:val="00296F76"/>
    <w:rsid w:val="00297160"/>
    <w:rsid w:val="00297F82"/>
    <w:rsid w:val="002A0773"/>
    <w:rsid w:val="002A1073"/>
    <w:rsid w:val="002A2365"/>
    <w:rsid w:val="002A2531"/>
    <w:rsid w:val="002A29C7"/>
    <w:rsid w:val="002A2BB5"/>
    <w:rsid w:val="002A2C77"/>
    <w:rsid w:val="002A32C9"/>
    <w:rsid w:val="002A345D"/>
    <w:rsid w:val="002A3599"/>
    <w:rsid w:val="002A3A0E"/>
    <w:rsid w:val="002A44F6"/>
    <w:rsid w:val="002A47C3"/>
    <w:rsid w:val="002A4858"/>
    <w:rsid w:val="002A4CC1"/>
    <w:rsid w:val="002A6004"/>
    <w:rsid w:val="002A6427"/>
    <w:rsid w:val="002A7774"/>
    <w:rsid w:val="002A794D"/>
    <w:rsid w:val="002A7D6B"/>
    <w:rsid w:val="002B0543"/>
    <w:rsid w:val="002B073C"/>
    <w:rsid w:val="002B0C52"/>
    <w:rsid w:val="002B0E42"/>
    <w:rsid w:val="002B0F02"/>
    <w:rsid w:val="002B0F6D"/>
    <w:rsid w:val="002B23B0"/>
    <w:rsid w:val="002B23FB"/>
    <w:rsid w:val="002B3D32"/>
    <w:rsid w:val="002B3E1A"/>
    <w:rsid w:val="002B4096"/>
    <w:rsid w:val="002B417D"/>
    <w:rsid w:val="002B457F"/>
    <w:rsid w:val="002B464E"/>
    <w:rsid w:val="002B4C92"/>
    <w:rsid w:val="002B501B"/>
    <w:rsid w:val="002B5203"/>
    <w:rsid w:val="002B546D"/>
    <w:rsid w:val="002B5A1A"/>
    <w:rsid w:val="002B661F"/>
    <w:rsid w:val="002B6F0E"/>
    <w:rsid w:val="002B725A"/>
    <w:rsid w:val="002B7367"/>
    <w:rsid w:val="002B7432"/>
    <w:rsid w:val="002B75E0"/>
    <w:rsid w:val="002B7695"/>
    <w:rsid w:val="002B76F2"/>
    <w:rsid w:val="002C008A"/>
    <w:rsid w:val="002C0138"/>
    <w:rsid w:val="002C01A4"/>
    <w:rsid w:val="002C0381"/>
    <w:rsid w:val="002C0649"/>
    <w:rsid w:val="002C1D62"/>
    <w:rsid w:val="002C2187"/>
    <w:rsid w:val="002C2190"/>
    <w:rsid w:val="002C2355"/>
    <w:rsid w:val="002C257B"/>
    <w:rsid w:val="002C29B4"/>
    <w:rsid w:val="002C2BD1"/>
    <w:rsid w:val="002C2CB4"/>
    <w:rsid w:val="002C39AF"/>
    <w:rsid w:val="002C3FE1"/>
    <w:rsid w:val="002C435A"/>
    <w:rsid w:val="002C45AB"/>
    <w:rsid w:val="002C4659"/>
    <w:rsid w:val="002C52F1"/>
    <w:rsid w:val="002C53E7"/>
    <w:rsid w:val="002C6CB8"/>
    <w:rsid w:val="002C7416"/>
    <w:rsid w:val="002C79A1"/>
    <w:rsid w:val="002C7FDC"/>
    <w:rsid w:val="002D0963"/>
    <w:rsid w:val="002D0C6D"/>
    <w:rsid w:val="002D0DCF"/>
    <w:rsid w:val="002D11B0"/>
    <w:rsid w:val="002D1389"/>
    <w:rsid w:val="002D312E"/>
    <w:rsid w:val="002D384A"/>
    <w:rsid w:val="002D38C6"/>
    <w:rsid w:val="002D3CF0"/>
    <w:rsid w:val="002D464C"/>
    <w:rsid w:val="002D4C4F"/>
    <w:rsid w:val="002D5496"/>
    <w:rsid w:val="002D5C2C"/>
    <w:rsid w:val="002D5D06"/>
    <w:rsid w:val="002D62C8"/>
    <w:rsid w:val="002D6455"/>
    <w:rsid w:val="002D65F9"/>
    <w:rsid w:val="002D67DB"/>
    <w:rsid w:val="002D7024"/>
    <w:rsid w:val="002D7642"/>
    <w:rsid w:val="002D795B"/>
    <w:rsid w:val="002D7C59"/>
    <w:rsid w:val="002D7CC3"/>
    <w:rsid w:val="002E02BB"/>
    <w:rsid w:val="002E0532"/>
    <w:rsid w:val="002E05CE"/>
    <w:rsid w:val="002E05DD"/>
    <w:rsid w:val="002E085D"/>
    <w:rsid w:val="002E1428"/>
    <w:rsid w:val="002E1A3F"/>
    <w:rsid w:val="002E1F8C"/>
    <w:rsid w:val="002E2484"/>
    <w:rsid w:val="002E2A68"/>
    <w:rsid w:val="002E2E79"/>
    <w:rsid w:val="002E2EAE"/>
    <w:rsid w:val="002E35B1"/>
    <w:rsid w:val="002E447E"/>
    <w:rsid w:val="002E4A28"/>
    <w:rsid w:val="002E4BE2"/>
    <w:rsid w:val="002E54AE"/>
    <w:rsid w:val="002E5C99"/>
    <w:rsid w:val="002E647C"/>
    <w:rsid w:val="002E7758"/>
    <w:rsid w:val="002E7770"/>
    <w:rsid w:val="002E797E"/>
    <w:rsid w:val="002F03AB"/>
    <w:rsid w:val="002F1416"/>
    <w:rsid w:val="002F146A"/>
    <w:rsid w:val="002F1828"/>
    <w:rsid w:val="002F1D3C"/>
    <w:rsid w:val="002F2361"/>
    <w:rsid w:val="002F23C1"/>
    <w:rsid w:val="002F2405"/>
    <w:rsid w:val="002F2997"/>
    <w:rsid w:val="002F2D2D"/>
    <w:rsid w:val="002F31C0"/>
    <w:rsid w:val="002F3255"/>
    <w:rsid w:val="002F3976"/>
    <w:rsid w:val="002F3BF7"/>
    <w:rsid w:val="002F4617"/>
    <w:rsid w:val="002F4A6D"/>
    <w:rsid w:val="002F558C"/>
    <w:rsid w:val="002F5C72"/>
    <w:rsid w:val="002F6460"/>
    <w:rsid w:val="002F6B12"/>
    <w:rsid w:val="002F72E9"/>
    <w:rsid w:val="003000E2"/>
    <w:rsid w:val="003002B8"/>
    <w:rsid w:val="003004A2"/>
    <w:rsid w:val="00300BD3"/>
    <w:rsid w:val="0030171D"/>
    <w:rsid w:val="0030193F"/>
    <w:rsid w:val="003020D4"/>
    <w:rsid w:val="003030E2"/>
    <w:rsid w:val="003031A4"/>
    <w:rsid w:val="00303612"/>
    <w:rsid w:val="003040C6"/>
    <w:rsid w:val="003050C4"/>
    <w:rsid w:val="00305CD7"/>
    <w:rsid w:val="00306626"/>
    <w:rsid w:val="00306923"/>
    <w:rsid w:val="00306C2A"/>
    <w:rsid w:val="003072A9"/>
    <w:rsid w:val="00307E47"/>
    <w:rsid w:val="003106F6"/>
    <w:rsid w:val="003119CC"/>
    <w:rsid w:val="00311FA0"/>
    <w:rsid w:val="003126CE"/>
    <w:rsid w:val="0031282C"/>
    <w:rsid w:val="00312ECD"/>
    <w:rsid w:val="00312F65"/>
    <w:rsid w:val="00313C48"/>
    <w:rsid w:val="00314779"/>
    <w:rsid w:val="003150B1"/>
    <w:rsid w:val="003152EE"/>
    <w:rsid w:val="0031586F"/>
    <w:rsid w:val="00315DC9"/>
    <w:rsid w:val="00316207"/>
    <w:rsid w:val="003164CD"/>
    <w:rsid w:val="00316A8A"/>
    <w:rsid w:val="00316BFA"/>
    <w:rsid w:val="00316DA4"/>
    <w:rsid w:val="00317198"/>
    <w:rsid w:val="0031762A"/>
    <w:rsid w:val="003179C5"/>
    <w:rsid w:val="00317B94"/>
    <w:rsid w:val="00317D74"/>
    <w:rsid w:val="00320010"/>
    <w:rsid w:val="0032060C"/>
    <w:rsid w:val="00320DCC"/>
    <w:rsid w:val="00320E4F"/>
    <w:rsid w:val="00321919"/>
    <w:rsid w:val="00321D44"/>
    <w:rsid w:val="003223F2"/>
    <w:rsid w:val="003225DE"/>
    <w:rsid w:val="00323060"/>
    <w:rsid w:val="00323423"/>
    <w:rsid w:val="00323489"/>
    <w:rsid w:val="00323492"/>
    <w:rsid w:val="00323667"/>
    <w:rsid w:val="0032401D"/>
    <w:rsid w:val="0032416B"/>
    <w:rsid w:val="003246CA"/>
    <w:rsid w:val="00324EAB"/>
    <w:rsid w:val="003257BA"/>
    <w:rsid w:val="00325CD3"/>
    <w:rsid w:val="00325DF4"/>
    <w:rsid w:val="003263DE"/>
    <w:rsid w:val="0032691C"/>
    <w:rsid w:val="00326C00"/>
    <w:rsid w:val="00326E3D"/>
    <w:rsid w:val="00327082"/>
    <w:rsid w:val="003279C6"/>
    <w:rsid w:val="0033042B"/>
    <w:rsid w:val="00330907"/>
    <w:rsid w:val="00330AF8"/>
    <w:rsid w:val="00331020"/>
    <w:rsid w:val="003316BE"/>
    <w:rsid w:val="003320D1"/>
    <w:rsid w:val="00332101"/>
    <w:rsid w:val="00332118"/>
    <w:rsid w:val="00332B43"/>
    <w:rsid w:val="003331FF"/>
    <w:rsid w:val="00333495"/>
    <w:rsid w:val="00333537"/>
    <w:rsid w:val="003339F7"/>
    <w:rsid w:val="00333D12"/>
    <w:rsid w:val="003346D7"/>
    <w:rsid w:val="00334BD5"/>
    <w:rsid w:val="00335228"/>
    <w:rsid w:val="003352A4"/>
    <w:rsid w:val="003354FB"/>
    <w:rsid w:val="00336472"/>
    <w:rsid w:val="00336554"/>
    <w:rsid w:val="00336BED"/>
    <w:rsid w:val="00336CAC"/>
    <w:rsid w:val="00336F17"/>
    <w:rsid w:val="00336F77"/>
    <w:rsid w:val="0033723D"/>
    <w:rsid w:val="00337ADD"/>
    <w:rsid w:val="00337BAF"/>
    <w:rsid w:val="0034084E"/>
    <w:rsid w:val="00341346"/>
    <w:rsid w:val="003417A5"/>
    <w:rsid w:val="00341BD3"/>
    <w:rsid w:val="00342085"/>
    <w:rsid w:val="003428B1"/>
    <w:rsid w:val="00342F56"/>
    <w:rsid w:val="00343462"/>
    <w:rsid w:val="003435EF"/>
    <w:rsid w:val="00343859"/>
    <w:rsid w:val="00343BD3"/>
    <w:rsid w:val="00343C7D"/>
    <w:rsid w:val="00343DAA"/>
    <w:rsid w:val="0034407B"/>
    <w:rsid w:val="0034445E"/>
    <w:rsid w:val="0034460A"/>
    <w:rsid w:val="00344732"/>
    <w:rsid w:val="00344EB7"/>
    <w:rsid w:val="00345D00"/>
    <w:rsid w:val="00345F58"/>
    <w:rsid w:val="00346913"/>
    <w:rsid w:val="00346F42"/>
    <w:rsid w:val="00347174"/>
    <w:rsid w:val="0034787B"/>
    <w:rsid w:val="00347CBB"/>
    <w:rsid w:val="00347E71"/>
    <w:rsid w:val="003500D2"/>
    <w:rsid w:val="00350152"/>
    <w:rsid w:val="003501BB"/>
    <w:rsid w:val="003502D8"/>
    <w:rsid w:val="00350916"/>
    <w:rsid w:val="00350E38"/>
    <w:rsid w:val="00350E51"/>
    <w:rsid w:val="00351819"/>
    <w:rsid w:val="00351A65"/>
    <w:rsid w:val="00351A74"/>
    <w:rsid w:val="00351C0F"/>
    <w:rsid w:val="00352228"/>
    <w:rsid w:val="00352BE6"/>
    <w:rsid w:val="00353703"/>
    <w:rsid w:val="0035388A"/>
    <w:rsid w:val="00354923"/>
    <w:rsid w:val="00355657"/>
    <w:rsid w:val="0035591F"/>
    <w:rsid w:val="003559B0"/>
    <w:rsid w:val="00355BDB"/>
    <w:rsid w:val="00356BF6"/>
    <w:rsid w:val="00356FB8"/>
    <w:rsid w:val="00357B03"/>
    <w:rsid w:val="00357C84"/>
    <w:rsid w:val="00360175"/>
    <w:rsid w:val="00360BFC"/>
    <w:rsid w:val="00360F35"/>
    <w:rsid w:val="00361127"/>
    <w:rsid w:val="00361449"/>
    <w:rsid w:val="00361552"/>
    <w:rsid w:val="00361FD7"/>
    <w:rsid w:val="00362CFA"/>
    <w:rsid w:val="00363D5C"/>
    <w:rsid w:val="00363FD9"/>
    <w:rsid w:val="0036444C"/>
    <w:rsid w:val="00364484"/>
    <w:rsid w:val="00364A8B"/>
    <w:rsid w:val="003650DB"/>
    <w:rsid w:val="0036516C"/>
    <w:rsid w:val="0036566A"/>
    <w:rsid w:val="00365C40"/>
    <w:rsid w:val="00365E3E"/>
    <w:rsid w:val="00366326"/>
    <w:rsid w:val="00366AE3"/>
    <w:rsid w:val="00366B8A"/>
    <w:rsid w:val="003671AD"/>
    <w:rsid w:val="00367640"/>
    <w:rsid w:val="00367969"/>
    <w:rsid w:val="00367EAC"/>
    <w:rsid w:val="003704A2"/>
    <w:rsid w:val="00370CAC"/>
    <w:rsid w:val="00370F1C"/>
    <w:rsid w:val="003711E0"/>
    <w:rsid w:val="00371907"/>
    <w:rsid w:val="00371A14"/>
    <w:rsid w:val="00371C38"/>
    <w:rsid w:val="0037255D"/>
    <w:rsid w:val="00372770"/>
    <w:rsid w:val="00373026"/>
    <w:rsid w:val="0037329F"/>
    <w:rsid w:val="00373A19"/>
    <w:rsid w:val="003743D1"/>
    <w:rsid w:val="00374A23"/>
    <w:rsid w:val="00374A79"/>
    <w:rsid w:val="00374D58"/>
    <w:rsid w:val="00374E87"/>
    <w:rsid w:val="00375466"/>
    <w:rsid w:val="0037558E"/>
    <w:rsid w:val="00375A5F"/>
    <w:rsid w:val="00375B9E"/>
    <w:rsid w:val="00375D3B"/>
    <w:rsid w:val="003767E4"/>
    <w:rsid w:val="00376E18"/>
    <w:rsid w:val="00376FD8"/>
    <w:rsid w:val="003778CB"/>
    <w:rsid w:val="00377FE6"/>
    <w:rsid w:val="00380AE0"/>
    <w:rsid w:val="00380D43"/>
    <w:rsid w:val="003812C7"/>
    <w:rsid w:val="003814EF"/>
    <w:rsid w:val="003819BB"/>
    <w:rsid w:val="00382853"/>
    <w:rsid w:val="003837BB"/>
    <w:rsid w:val="0038416B"/>
    <w:rsid w:val="00384CE4"/>
    <w:rsid w:val="003851B2"/>
    <w:rsid w:val="0038569C"/>
    <w:rsid w:val="003858D1"/>
    <w:rsid w:val="003860F9"/>
    <w:rsid w:val="0038677E"/>
    <w:rsid w:val="00386D43"/>
    <w:rsid w:val="00387168"/>
    <w:rsid w:val="003877CF"/>
    <w:rsid w:val="00387886"/>
    <w:rsid w:val="00387BF5"/>
    <w:rsid w:val="00390480"/>
    <w:rsid w:val="003907B1"/>
    <w:rsid w:val="00390FA5"/>
    <w:rsid w:val="00390FAC"/>
    <w:rsid w:val="00391049"/>
    <w:rsid w:val="00392458"/>
    <w:rsid w:val="00392DE5"/>
    <w:rsid w:val="00393335"/>
    <w:rsid w:val="00393356"/>
    <w:rsid w:val="00393821"/>
    <w:rsid w:val="00393977"/>
    <w:rsid w:val="00393B47"/>
    <w:rsid w:val="00393BAE"/>
    <w:rsid w:val="00393FAA"/>
    <w:rsid w:val="003943A0"/>
    <w:rsid w:val="0039491A"/>
    <w:rsid w:val="00394A90"/>
    <w:rsid w:val="0039575C"/>
    <w:rsid w:val="003957A3"/>
    <w:rsid w:val="00395A68"/>
    <w:rsid w:val="00395DFD"/>
    <w:rsid w:val="00395EA4"/>
    <w:rsid w:val="003967BF"/>
    <w:rsid w:val="003969E3"/>
    <w:rsid w:val="0039726C"/>
    <w:rsid w:val="003976CE"/>
    <w:rsid w:val="0039772D"/>
    <w:rsid w:val="00397AE4"/>
    <w:rsid w:val="003A054C"/>
    <w:rsid w:val="003A07B8"/>
    <w:rsid w:val="003A0F50"/>
    <w:rsid w:val="003A16EC"/>
    <w:rsid w:val="003A17CC"/>
    <w:rsid w:val="003A1A3D"/>
    <w:rsid w:val="003A1AB2"/>
    <w:rsid w:val="003A1B43"/>
    <w:rsid w:val="003A237D"/>
    <w:rsid w:val="003A2493"/>
    <w:rsid w:val="003A2E6D"/>
    <w:rsid w:val="003A3922"/>
    <w:rsid w:val="003A3D14"/>
    <w:rsid w:val="003A3FBD"/>
    <w:rsid w:val="003A4289"/>
    <w:rsid w:val="003A4592"/>
    <w:rsid w:val="003A4915"/>
    <w:rsid w:val="003A4DCD"/>
    <w:rsid w:val="003A580E"/>
    <w:rsid w:val="003A6413"/>
    <w:rsid w:val="003A65F1"/>
    <w:rsid w:val="003A6703"/>
    <w:rsid w:val="003A686B"/>
    <w:rsid w:val="003B0184"/>
    <w:rsid w:val="003B076C"/>
    <w:rsid w:val="003B0A3A"/>
    <w:rsid w:val="003B0B7B"/>
    <w:rsid w:val="003B1C24"/>
    <w:rsid w:val="003B29C6"/>
    <w:rsid w:val="003B2C1B"/>
    <w:rsid w:val="003B30DA"/>
    <w:rsid w:val="003B32DE"/>
    <w:rsid w:val="003B36AC"/>
    <w:rsid w:val="003B4D16"/>
    <w:rsid w:val="003B507B"/>
    <w:rsid w:val="003B557D"/>
    <w:rsid w:val="003B5CD4"/>
    <w:rsid w:val="003B5E19"/>
    <w:rsid w:val="003B5F16"/>
    <w:rsid w:val="003B6491"/>
    <w:rsid w:val="003C060C"/>
    <w:rsid w:val="003C116F"/>
    <w:rsid w:val="003C2215"/>
    <w:rsid w:val="003C28FD"/>
    <w:rsid w:val="003C2E25"/>
    <w:rsid w:val="003C2EA9"/>
    <w:rsid w:val="003C3227"/>
    <w:rsid w:val="003C44D9"/>
    <w:rsid w:val="003C51D1"/>
    <w:rsid w:val="003C5267"/>
    <w:rsid w:val="003C534A"/>
    <w:rsid w:val="003C57F4"/>
    <w:rsid w:val="003C5BF6"/>
    <w:rsid w:val="003C5D8B"/>
    <w:rsid w:val="003C62F5"/>
    <w:rsid w:val="003C62FD"/>
    <w:rsid w:val="003C6B3E"/>
    <w:rsid w:val="003C7CAA"/>
    <w:rsid w:val="003C7D33"/>
    <w:rsid w:val="003D098C"/>
    <w:rsid w:val="003D0C29"/>
    <w:rsid w:val="003D1BAC"/>
    <w:rsid w:val="003D1E8B"/>
    <w:rsid w:val="003D2CF3"/>
    <w:rsid w:val="003D2E3B"/>
    <w:rsid w:val="003D2F32"/>
    <w:rsid w:val="003D30BA"/>
    <w:rsid w:val="003D3B2B"/>
    <w:rsid w:val="003D3F47"/>
    <w:rsid w:val="003D44FD"/>
    <w:rsid w:val="003D4864"/>
    <w:rsid w:val="003D4B1D"/>
    <w:rsid w:val="003D5DA4"/>
    <w:rsid w:val="003D65AC"/>
    <w:rsid w:val="003D68F0"/>
    <w:rsid w:val="003D690F"/>
    <w:rsid w:val="003D69F0"/>
    <w:rsid w:val="003D7089"/>
    <w:rsid w:val="003E01CD"/>
    <w:rsid w:val="003E031F"/>
    <w:rsid w:val="003E0503"/>
    <w:rsid w:val="003E057F"/>
    <w:rsid w:val="003E0856"/>
    <w:rsid w:val="003E0929"/>
    <w:rsid w:val="003E098D"/>
    <w:rsid w:val="003E1AD6"/>
    <w:rsid w:val="003E1F37"/>
    <w:rsid w:val="003E2627"/>
    <w:rsid w:val="003E2B5D"/>
    <w:rsid w:val="003E2EE7"/>
    <w:rsid w:val="003E2F91"/>
    <w:rsid w:val="003E3268"/>
    <w:rsid w:val="003E35E0"/>
    <w:rsid w:val="003E35EF"/>
    <w:rsid w:val="003E3799"/>
    <w:rsid w:val="003E4105"/>
    <w:rsid w:val="003E4902"/>
    <w:rsid w:val="003E4B0A"/>
    <w:rsid w:val="003E5EB4"/>
    <w:rsid w:val="003E62D3"/>
    <w:rsid w:val="003E666D"/>
    <w:rsid w:val="003E6C3C"/>
    <w:rsid w:val="003E71E1"/>
    <w:rsid w:val="003E754D"/>
    <w:rsid w:val="003E7D02"/>
    <w:rsid w:val="003F05E7"/>
    <w:rsid w:val="003F065E"/>
    <w:rsid w:val="003F09DF"/>
    <w:rsid w:val="003F130E"/>
    <w:rsid w:val="003F162C"/>
    <w:rsid w:val="003F171E"/>
    <w:rsid w:val="003F1D4A"/>
    <w:rsid w:val="003F1EF8"/>
    <w:rsid w:val="003F1FD1"/>
    <w:rsid w:val="003F2CD5"/>
    <w:rsid w:val="003F2FF1"/>
    <w:rsid w:val="003F3F2F"/>
    <w:rsid w:val="003F4978"/>
    <w:rsid w:val="003F520C"/>
    <w:rsid w:val="003F559A"/>
    <w:rsid w:val="003F5983"/>
    <w:rsid w:val="003F5B90"/>
    <w:rsid w:val="003F60BA"/>
    <w:rsid w:val="003F6F60"/>
    <w:rsid w:val="003F73E3"/>
    <w:rsid w:val="003F7BD5"/>
    <w:rsid w:val="0040071C"/>
    <w:rsid w:val="0040076D"/>
    <w:rsid w:val="004012F3"/>
    <w:rsid w:val="00402D31"/>
    <w:rsid w:val="004031B2"/>
    <w:rsid w:val="004032E7"/>
    <w:rsid w:val="0040358A"/>
    <w:rsid w:val="004035EC"/>
    <w:rsid w:val="00403906"/>
    <w:rsid w:val="00403D36"/>
    <w:rsid w:val="00404800"/>
    <w:rsid w:val="00404826"/>
    <w:rsid w:val="00404B8D"/>
    <w:rsid w:val="00405146"/>
    <w:rsid w:val="00405466"/>
    <w:rsid w:val="00405993"/>
    <w:rsid w:val="0040691F"/>
    <w:rsid w:val="004069C2"/>
    <w:rsid w:val="00406A6F"/>
    <w:rsid w:val="00406BA7"/>
    <w:rsid w:val="00406C10"/>
    <w:rsid w:val="00406DD2"/>
    <w:rsid w:val="00406F43"/>
    <w:rsid w:val="00407182"/>
    <w:rsid w:val="004072AE"/>
    <w:rsid w:val="004077C6"/>
    <w:rsid w:val="00407B1B"/>
    <w:rsid w:val="00407D69"/>
    <w:rsid w:val="004104DD"/>
    <w:rsid w:val="00410553"/>
    <w:rsid w:val="00410695"/>
    <w:rsid w:val="00412096"/>
    <w:rsid w:val="00412257"/>
    <w:rsid w:val="00412390"/>
    <w:rsid w:val="004133CA"/>
    <w:rsid w:val="00414170"/>
    <w:rsid w:val="004146A4"/>
    <w:rsid w:val="00414F13"/>
    <w:rsid w:val="00415083"/>
    <w:rsid w:val="004152DB"/>
    <w:rsid w:val="004156F1"/>
    <w:rsid w:val="004167FB"/>
    <w:rsid w:val="004171CA"/>
    <w:rsid w:val="00417867"/>
    <w:rsid w:val="00417F89"/>
    <w:rsid w:val="004200BD"/>
    <w:rsid w:val="004202C3"/>
    <w:rsid w:val="0042038B"/>
    <w:rsid w:val="00420FFC"/>
    <w:rsid w:val="00421061"/>
    <w:rsid w:val="00421E1A"/>
    <w:rsid w:val="00422287"/>
    <w:rsid w:val="0042254A"/>
    <w:rsid w:val="004234AF"/>
    <w:rsid w:val="00423984"/>
    <w:rsid w:val="00423F6A"/>
    <w:rsid w:val="004251A3"/>
    <w:rsid w:val="004251BD"/>
    <w:rsid w:val="00425284"/>
    <w:rsid w:val="00425905"/>
    <w:rsid w:val="00426001"/>
    <w:rsid w:val="0042658F"/>
    <w:rsid w:val="00426738"/>
    <w:rsid w:val="0042765F"/>
    <w:rsid w:val="00427C99"/>
    <w:rsid w:val="0043031A"/>
    <w:rsid w:val="0043082F"/>
    <w:rsid w:val="00431260"/>
    <w:rsid w:val="004313F6"/>
    <w:rsid w:val="004318DE"/>
    <w:rsid w:val="00432557"/>
    <w:rsid w:val="00432719"/>
    <w:rsid w:val="00432B5F"/>
    <w:rsid w:val="0043325D"/>
    <w:rsid w:val="004332C5"/>
    <w:rsid w:val="004332D9"/>
    <w:rsid w:val="00433523"/>
    <w:rsid w:val="00433987"/>
    <w:rsid w:val="0043437F"/>
    <w:rsid w:val="0043447B"/>
    <w:rsid w:val="004347A3"/>
    <w:rsid w:val="00434970"/>
    <w:rsid w:val="00434BD8"/>
    <w:rsid w:val="004357E0"/>
    <w:rsid w:val="00435A9C"/>
    <w:rsid w:val="00435DC9"/>
    <w:rsid w:val="00436E9D"/>
    <w:rsid w:val="00436F6D"/>
    <w:rsid w:val="00437D8A"/>
    <w:rsid w:val="00440107"/>
    <w:rsid w:val="00440598"/>
    <w:rsid w:val="004405A9"/>
    <w:rsid w:val="00440D07"/>
    <w:rsid w:val="004410DE"/>
    <w:rsid w:val="00441227"/>
    <w:rsid w:val="004416CB"/>
    <w:rsid w:val="00441C80"/>
    <w:rsid w:val="0044244D"/>
    <w:rsid w:val="004437EB"/>
    <w:rsid w:val="00444F7E"/>
    <w:rsid w:val="004458F0"/>
    <w:rsid w:val="00445BF8"/>
    <w:rsid w:val="00445C4C"/>
    <w:rsid w:val="004462A3"/>
    <w:rsid w:val="0044636F"/>
    <w:rsid w:val="00446BA9"/>
    <w:rsid w:val="00446CF9"/>
    <w:rsid w:val="0044764B"/>
    <w:rsid w:val="00450345"/>
    <w:rsid w:val="004513FA"/>
    <w:rsid w:val="0045174E"/>
    <w:rsid w:val="00451FA0"/>
    <w:rsid w:val="00452779"/>
    <w:rsid w:val="00452966"/>
    <w:rsid w:val="00452B2D"/>
    <w:rsid w:val="00454C74"/>
    <w:rsid w:val="00454D7A"/>
    <w:rsid w:val="00454FB3"/>
    <w:rsid w:val="004557E2"/>
    <w:rsid w:val="00455DA5"/>
    <w:rsid w:val="00455F43"/>
    <w:rsid w:val="00456366"/>
    <w:rsid w:val="0045717F"/>
    <w:rsid w:val="0045728E"/>
    <w:rsid w:val="00461AA1"/>
    <w:rsid w:val="00461B6F"/>
    <w:rsid w:val="0046262B"/>
    <w:rsid w:val="00462BF4"/>
    <w:rsid w:val="00462C81"/>
    <w:rsid w:val="00462C83"/>
    <w:rsid w:val="00462C84"/>
    <w:rsid w:val="00462EA2"/>
    <w:rsid w:val="004635A5"/>
    <w:rsid w:val="00463919"/>
    <w:rsid w:val="00463A9B"/>
    <w:rsid w:val="00463EC9"/>
    <w:rsid w:val="0046437B"/>
    <w:rsid w:val="004644ED"/>
    <w:rsid w:val="00464A72"/>
    <w:rsid w:val="00464C1E"/>
    <w:rsid w:val="00464D41"/>
    <w:rsid w:val="00464F14"/>
    <w:rsid w:val="004651B6"/>
    <w:rsid w:val="00465226"/>
    <w:rsid w:val="00465326"/>
    <w:rsid w:val="00465A22"/>
    <w:rsid w:val="00466014"/>
    <w:rsid w:val="00466C0F"/>
    <w:rsid w:val="00466EB1"/>
    <w:rsid w:val="00467122"/>
    <w:rsid w:val="00467622"/>
    <w:rsid w:val="00467D10"/>
    <w:rsid w:val="00470541"/>
    <w:rsid w:val="00470C41"/>
    <w:rsid w:val="00470CC1"/>
    <w:rsid w:val="00470D4E"/>
    <w:rsid w:val="00471A21"/>
    <w:rsid w:val="00471F0A"/>
    <w:rsid w:val="00472943"/>
    <w:rsid w:val="00472CB1"/>
    <w:rsid w:val="00473A69"/>
    <w:rsid w:val="00473BE2"/>
    <w:rsid w:val="00474617"/>
    <w:rsid w:val="00474760"/>
    <w:rsid w:val="00474DFF"/>
    <w:rsid w:val="004755F6"/>
    <w:rsid w:val="00475744"/>
    <w:rsid w:val="00475B74"/>
    <w:rsid w:val="00476075"/>
    <w:rsid w:val="00476362"/>
    <w:rsid w:val="00476C96"/>
    <w:rsid w:val="00477DAB"/>
    <w:rsid w:val="00477F3E"/>
    <w:rsid w:val="00480212"/>
    <w:rsid w:val="004810FE"/>
    <w:rsid w:val="00481AFA"/>
    <w:rsid w:val="00481C0D"/>
    <w:rsid w:val="004822ED"/>
    <w:rsid w:val="00483284"/>
    <w:rsid w:val="004837F2"/>
    <w:rsid w:val="00483B22"/>
    <w:rsid w:val="00484C15"/>
    <w:rsid w:val="0048551E"/>
    <w:rsid w:val="0048651B"/>
    <w:rsid w:val="00486D06"/>
    <w:rsid w:val="0048718B"/>
    <w:rsid w:val="00487611"/>
    <w:rsid w:val="0049162D"/>
    <w:rsid w:val="004919C6"/>
    <w:rsid w:val="00492779"/>
    <w:rsid w:val="00492977"/>
    <w:rsid w:val="00492A1C"/>
    <w:rsid w:val="00492CAA"/>
    <w:rsid w:val="00492EE0"/>
    <w:rsid w:val="00493571"/>
    <w:rsid w:val="00494675"/>
    <w:rsid w:val="00495940"/>
    <w:rsid w:val="00495FD7"/>
    <w:rsid w:val="004961CE"/>
    <w:rsid w:val="00497366"/>
    <w:rsid w:val="00497B4B"/>
    <w:rsid w:val="004A04A7"/>
    <w:rsid w:val="004A0D5A"/>
    <w:rsid w:val="004A0DD3"/>
    <w:rsid w:val="004A0F3B"/>
    <w:rsid w:val="004A0F94"/>
    <w:rsid w:val="004A1D8B"/>
    <w:rsid w:val="004A2A0B"/>
    <w:rsid w:val="004A2A62"/>
    <w:rsid w:val="004A329B"/>
    <w:rsid w:val="004A3F0E"/>
    <w:rsid w:val="004A3F3D"/>
    <w:rsid w:val="004A4D1F"/>
    <w:rsid w:val="004A54EA"/>
    <w:rsid w:val="004A573D"/>
    <w:rsid w:val="004A5767"/>
    <w:rsid w:val="004A6039"/>
    <w:rsid w:val="004A611A"/>
    <w:rsid w:val="004A6587"/>
    <w:rsid w:val="004A65FB"/>
    <w:rsid w:val="004A667D"/>
    <w:rsid w:val="004A6B12"/>
    <w:rsid w:val="004A7B36"/>
    <w:rsid w:val="004A7E38"/>
    <w:rsid w:val="004B0BDC"/>
    <w:rsid w:val="004B0CB9"/>
    <w:rsid w:val="004B0FA1"/>
    <w:rsid w:val="004B14ED"/>
    <w:rsid w:val="004B183B"/>
    <w:rsid w:val="004B199D"/>
    <w:rsid w:val="004B29DC"/>
    <w:rsid w:val="004B3807"/>
    <w:rsid w:val="004B3BB7"/>
    <w:rsid w:val="004B42A0"/>
    <w:rsid w:val="004B42B7"/>
    <w:rsid w:val="004B4783"/>
    <w:rsid w:val="004B4E0F"/>
    <w:rsid w:val="004B4FF9"/>
    <w:rsid w:val="004B5792"/>
    <w:rsid w:val="004B59E9"/>
    <w:rsid w:val="004B5E37"/>
    <w:rsid w:val="004B5EF3"/>
    <w:rsid w:val="004B6566"/>
    <w:rsid w:val="004B66E7"/>
    <w:rsid w:val="004B6EF6"/>
    <w:rsid w:val="004B703D"/>
    <w:rsid w:val="004B7156"/>
    <w:rsid w:val="004B743B"/>
    <w:rsid w:val="004B75BB"/>
    <w:rsid w:val="004B7DCD"/>
    <w:rsid w:val="004B7EBC"/>
    <w:rsid w:val="004C0AF9"/>
    <w:rsid w:val="004C0D59"/>
    <w:rsid w:val="004C1006"/>
    <w:rsid w:val="004C1428"/>
    <w:rsid w:val="004C1CA0"/>
    <w:rsid w:val="004C1EAE"/>
    <w:rsid w:val="004C23EF"/>
    <w:rsid w:val="004C3205"/>
    <w:rsid w:val="004C376E"/>
    <w:rsid w:val="004C3B45"/>
    <w:rsid w:val="004C3C08"/>
    <w:rsid w:val="004C3C43"/>
    <w:rsid w:val="004C3D43"/>
    <w:rsid w:val="004C3E23"/>
    <w:rsid w:val="004C401B"/>
    <w:rsid w:val="004C45EC"/>
    <w:rsid w:val="004C5479"/>
    <w:rsid w:val="004C59CE"/>
    <w:rsid w:val="004C616E"/>
    <w:rsid w:val="004C65B8"/>
    <w:rsid w:val="004C6E88"/>
    <w:rsid w:val="004C7207"/>
    <w:rsid w:val="004D06AB"/>
    <w:rsid w:val="004D0B1E"/>
    <w:rsid w:val="004D0B41"/>
    <w:rsid w:val="004D0D14"/>
    <w:rsid w:val="004D1E90"/>
    <w:rsid w:val="004D210A"/>
    <w:rsid w:val="004D2452"/>
    <w:rsid w:val="004D2B1C"/>
    <w:rsid w:val="004D2B93"/>
    <w:rsid w:val="004D30D5"/>
    <w:rsid w:val="004D31EE"/>
    <w:rsid w:val="004D37D2"/>
    <w:rsid w:val="004D3BC1"/>
    <w:rsid w:val="004D4007"/>
    <w:rsid w:val="004D41A7"/>
    <w:rsid w:val="004D4219"/>
    <w:rsid w:val="004D438E"/>
    <w:rsid w:val="004D456E"/>
    <w:rsid w:val="004D49FB"/>
    <w:rsid w:val="004D57C4"/>
    <w:rsid w:val="004D604F"/>
    <w:rsid w:val="004D6A24"/>
    <w:rsid w:val="004D6CB0"/>
    <w:rsid w:val="004D7462"/>
    <w:rsid w:val="004D7811"/>
    <w:rsid w:val="004D7890"/>
    <w:rsid w:val="004E0616"/>
    <w:rsid w:val="004E0905"/>
    <w:rsid w:val="004E096A"/>
    <w:rsid w:val="004E12AA"/>
    <w:rsid w:val="004E132B"/>
    <w:rsid w:val="004E2D57"/>
    <w:rsid w:val="004E38FF"/>
    <w:rsid w:val="004E468F"/>
    <w:rsid w:val="004E50BD"/>
    <w:rsid w:val="004E516B"/>
    <w:rsid w:val="004E5476"/>
    <w:rsid w:val="004E5A7D"/>
    <w:rsid w:val="004E6382"/>
    <w:rsid w:val="004E6519"/>
    <w:rsid w:val="004E6E42"/>
    <w:rsid w:val="004E7E72"/>
    <w:rsid w:val="004F0005"/>
    <w:rsid w:val="004F010F"/>
    <w:rsid w:val="004F018D"/>
    <w:rsid w:val="004F0894"/>
    <w:rsid w:val="004F10BB"/>
    <w:rsid w:val="004F232A"/>
    <w:rsid w:val="004F280D"/>
    <w:rsid w:val="004F28EC"/>
    <w:rsid w:val="004F3324"/>
    <w:rsid w:val="004F3366"/>
    <w:rsid w:val="004F3478"/>
    <w:rsid w:val="004F352A"/>
    <w:rsid w:val="004F376B"/>
    <w:rsid w:val="004F4185"/>
    <w:rsid w:val="004F459C"/>
    <w:rsid w:val="004F4FC2"/>
    <w:rsid w:val="004F5075"/>
    <w:rsid w:val="004F543C"/>
    <w:rsid w:val="004F5466"/>
    <w:rsid w:val="004F5DC7"/>
    <w:rsid w:val="004F5FBB"/>
    <w:rsid w:val="004F7518"/>
    <w:rsid w:val="004F7C74"/>
    <w:rsid w:val="004F7FF9"/>
    <w:rsid w:val="0050034A"/>
    <w:rsid w:val="005008DC"/>
    <w:rsid w:val="00500AD2"/>
    <w:rsid w:val="00500E3E"/>
    <w:rsid w:val="00501108"/>
    <w:rsid w:val="005015FF"/>
    <w:rsid w:val="00502D8B"/>
    <w:rsid w:val="005030C5"/>
    <w:rsid w:val="005030E8"/>
    <w:rsid w:val="00503306"/>
    <w:rsid w:val="005042AB"/>
    <w:rsid w:val="00504EA5"/>
    <w:rsid w:val="005051F7"/>
    <w:rsid w:val="00505A38"/>
    <w:rsid w:val="00505CAF"/>
    <w:rsid w:val="0050688B"/>
    <w:rsid w:val="00506A5E"/>
    <w:rsid w:val="00506ADD"/>
    <w:rsid w:val="00506F66"/>
    <w:rsid w:val="005071EC"/>
    <w:rsid w:val="0050779A"/>
    <w:rsid w:val="00510C41"/>
    <w:rsid w:val="0051118F"/>
    <w:rsid w:val="0051354C"/>
    <w:rsid w:val="0051418C"/>
    <w:rsid w:val="005142A4"/>
    <w:rsid w:val="005144E1"/>
    <w:rsid w:val="00514675"/>
    <w:rsid w:val="00514731"/>
    <w:rsid w:val="00515554"/>
    <w:rsid w:val="00515719"/>
    <w:rsid w:val="005157BD"/>
    <w:rsid w:val="005159BB"/>
    <w:rsid w:val="00515A5A"/>
    <w:rsid w:val="00515CC9"/>
    <w:rsid w:val="00515ED1"/>
    <w:rsid w:val="0051608F"/>
    <w:rsid w:val="005161FA"/>
    <w:rsid w:val="00517538"/>
    <w:rsid w:val="00517722"/>
    <w:rsid w:val="00520175"/>
    <w:rsid w:val="005207D3"/>
    <w:rsid w:val="00520979"/>
    <w:rsid w:val="0052289C"/>
    <w:rsid w:val="00522CBE"/>
    <w:rsid w:val="00523455"/>
    <w:rsid w:val="00524335"/>
    <w:rsid w:val="00524DEF"/>
    <w:rsid w:val="0052553D"/>
    <w:rsid w:val="0052588F"/>
    <w:rsid w:val="005260BE"/>
    <w:rsid w:val="00526760"/>
    <w:rsid w:val="00526C3D"/>
    <w:rsid w:val="00527AB9"/>
    <w:rsid w:val="00527F8C"/>
    <w:rsid w:val="0053032E"/>
    <w:rsid w:val="00530579"/>
    <w:rsid w:val="00531006"/>
    <w:rsid w:val="005313D9"/>
    <w:rsid w:val="005317DC"/>
    <w:rsid w:val="00531838"/>
    <w:rsid w:val="0053222F"/>
    <w:rsid w:val="00532257"/>
    <w:rsid w:val="00532B04"/>
    <w:rsid w:val="00532E94"/>
    <w:rsid w:val="00532F4B"/>
    <w:rsid w:val="00533B53"/>
    <w:rsid w:val="00534805"/>
    <w:rsid w:val="005349D3"/>
    <w:rsid w:val="005355EA"/>
    <w:rsid w:val="0053571E"/>
    <w:rsid w:val="00535EDF"/>
    <w:rsid w:val="0053631C"/>
    <w:rsid w:val="00536D22"/>
    <w:rsid w:val="00537C71"/>
    <w:rsid w:val="005405AB"/>
    <w:rsid w:val="00541039"/>
    <w:rsid w:val="005411B1"/>
    <w:rsid w:val="0054165E"/>
    <w:rsid w:val="0054271C"/>
    <w:rsid w:val="00543076"/>
    <w:rsid w:val="005440DA"/>
    <w:rsid w:val="005443AA"/>
    <w:rsid w:val="005449DF"/>
    <w:rsid w:val="00544A32"/>
    <w:rsid w:val="00545DEC"/>
    <w:rsid w:val="005462C2"/>
    <w:rsid w:val="00546324"/>
    <w:rsid w:val="005469CC"/>
    <w:rsid w:val="0054733C"/>
    <w:rsid w:val="005500B3"/>
    <w:rsid w:val="00550C36"/>
    <w:rsid w:val="00551123"/>
    <w:rsid w:val="00551BC8"/>
    <w:rsid w:val="00552D6B"/>
    <w:rsid w:val="0055331B"/>
    <w:rsid w:val="00553580"/>
    <w:rsid w:val="00553C49"/>
    <w:rsid w:val="005544EC"/>
    <w:rsid w:val="00554647"/>
    <w:rsid w:val="00554A98"/>
    <w:rsid w:val="00554F49"/>
    <w:rsid w:val="005555F5"/>
    <w:rsid w:val="00555A1A"/>
    <w:rsid w:val="00555AF6"/>
    <w:rsid w:val="00555BEA"/>
    <w:rsid w:val="00556887"/>
    <w:rsid w:val="00556E4A"/>
    <w:rsid w:val="00556E9B"/>
    <w:rsid w:val="00556EE2"/>
    <w:rsid w:val="00557BB5"/>
    <w:rsid w:val="00557C82"/>
    <w:rsid w:val="0056063F"/>
    <w:rsid w:val="00560E37"/>
    <w:rsid w:val="0056261C"/>
    <w:rsid w:val="00562D7E"/>
    <w:rsid w:val="0056359E"/>
    <w:rsid w:val="0056387C"/>
    <w:rsid w:val="005644DE"/>
    <w:rsid w:val="00564BD9"/>
    <w:rsid w:val="0056532E"/>
    <w:rsid w:val="00565EAB"/>
    <w:rsid w:val="005664AD"/>
    <w:rsid w:val="0056656B"/>
    <w:rsid w:val="00566BE9"/>
    <w:rsid w:val="00566EB0"/>
    <w:rsid w:val="00567492"/>
    <w:rsid w:val="005677C9"/>
    <w:rsid w:val="00567844"/>
    <w:rsid w:val="00567849"/>
    <w:rsid w:val="00570125"/>
    <w:rsid w:val="00571790"/>
    <w:rsid w:val="0057192C"/>
    <w:rsid w:val="00571E90"/>
    <w:rsid w:val="0057213D"/>
    <w:rsid w:val="00572C68"/>
    <w:rsid w:val="00572D24"/>
    <w:rsid w:val="0057349B"/>
    <w:rsid w:val="00573522"/>
    <w:rsid w:val="005736DB"/>
    <w:rsid w:val="005751D2"/>
    <w:rsid w:val="00575BF2"/>
    <w:rsid w:val="00576D3D"/>
    <w:rsid w:val="00577483"/>
    <w:rsid w:val="00577647"/>
    <w:rsid w:val="00577ECB"/>
    <w:rsid w:val="00580093"/>
    <w:rsid w:val="0058127D"/>
    <w:rsid w:val="005826E6"/>
    <w:rsid w:val="00582793"/>
    <w:rsid w:val="00582C55"/>
    <w:rsid w:val="00583C3A"/>
    <w:rsid w:val="00583F85"/>
    <w:rsid w:val="0058408C"/>
    <w:rsid w:val="00584CCE"/>
    <w:rsid w:val="005853A4"/>
    <w:rsid w:val="00585645"/>
    <w:rsid w:val="00585902"/>
    <w:rsid w:val="005862B1"/>
    <w:rsid w:val="00590B22"/>
    <w:rsid w:val="00590C2C"/>
    <w:rsid w:val="00590DD4"/>
    <w:rsid w:val="0059261C"/>
    <w:rsid w:val="00592968"/>
    <w:rsid w:val="00593459"/>
    <w:rsid w:val="00593933"/>
    <w:rsid w:val="00593D9B"/>
    <w:rsid w:val="00593F4A"/>
    <w:rsid w:val="00594137"/>
    <w:rsid w:val="00594146"/>
    <w:rsid w:val="00594C3F"/>
    <w:rsid w:val="00595450"/>
    <w:rsid w:val="00595798"/>
    <w:rsid w:val="00595D2C"/>
    <w:rsid w:val="00595DA6"/>
    <w:rsid w:val="00595F81"/>
    <w:rsid w:val="00596765"/>
    <w:rsid w:val="005975F0"/>
    <w:rsid w:val="0059762E"/>
    <w:rsid w:val="00597CDF"/>
    <w:rsid w:val="00597FC9"/>
    <w:rsid w:val="00597FD8"/>
    <w:rsid w:val="005A0179"/>
    <w:rsid w:val="005A1135"/>
    <w:rsid w:val="005A114F"/>
    <w:rsid w:val="005A1C14"/>
    <w:rsid w:val="005A3356"/>
    <w:rsid w:val="005A369B"/>
    <w:rsid w:val="005A3F82"/>
    <w:rsid w:val="005A40F7"/>
    <w:rsid w:val="005A443D"/>
    <w:rsid w:val="005A467F"/>
    <w:rsid w:val="005A4DF1"/>
    <w:rsid w:val="005A545C"/>
    <w:rsid w:val="005A63A6"/>
    <w:rsid w:val="005A703F"/>
    <w:rsid w:val="005A7114"/>
    <w:rsid w:val="005A7442"/>
    <w:rsid w:val="005A7502"/>
    <w:rsid w:val="005A7694"/>
    <w:rsid w:val="005A7831"/>
    <w:rsid w:val="005B0516"/>
    <w:rsid w:val="005B05FF"/>
    <w:rsid w:val="005B0714"/>
    <w:rsid w:val="005B1B6B"/>
    <w:rsid w:val="005B1CCA"/>
    <w:rsid w:val="005B2507"/>
    <w:rsid w:val="005B2CFD"/>
    <w:rsid w:val="005B35D5"/>
    <w:rsid w:val="005B35F1"/>
    <w:rsid w:val="005B4114"/>
    <w:rsid w:val="005B4249"/>
    <w:rsid w:val="005B457A"/>
    <w:rsid w:val="005B466E"/>
    <w:rsid w:val="005B5569"/>
    <w:rsid w:val="005B5CCF"/>
    <w:rsid w:val="005B5E84"/>
    <w:rsid w:val="005B60DD"/>
    <w:rsid w:val="005B65DC"/>
    <w:rsid w:val="005B6780"/>
    <w:rsid w:val="005B71CC"/>
    <w:rsid w:val="005B7A8B"/>
    <w:rsid w:val="005B7BA1"/>
    <w:rsid w:val="005C1B7C"/>
    <w:rsid w:val="005C2009"/>
    <w:rsid w:val="005C225D"/>
    <w:rsid w:val="005C2794"/>
    <w:rsid w:val="005C27F0"/>
    <w:rsid w:val="005C2981"/>
    <w:rsid w:val="005C30FC"/>
    <w:rsid w:val="005C31AF"/>
    <w:rsid w:val="005C3332"/>
    <w:rsid w:val="005C3C70"/>
    <w:rsid w:val="005C3F5F"/>
    <w:rsid w:val="005C4040"/>
    <w:rsid w:val="005C494D"/>
    <w:rsid w:val="005C4ED4"/>
    <w:rsid w:val="005C5151"/>
    <w:rsid w:val="005C5404"/>
    <w:rsid w:val="005C54C8"/>
    <w:rsid w:val="005C6096"/>
    <w:rsid w:val="005C62EA"/>
    <w:rsid w:val="005C687B"/>
    <w:rsid w:val="005C731C"/>
    <w:rsid w:val="005C73E7"/>
    <w:rsid w:val="005C7556"/>
    <w:rsid w:val="005D098F"/>
    <w:rsid w:val="005D09E5"/>
    <w:rsid w:val="005D10B8"/>
    <w:rsid w:val="005D1282"/>
    <w:rsid w:val="005D1CA5"/>
    <w:rsid w:val="005D23EE"/>
    <w:rsid w:val="005D39F4"/>
    <w:rsid w:val="005D3C3E"/>
    <w:rsid w:val="005D40BB"/>
    <w:rsid w:val="005D4C35"/>
    <w:rsid w:val="005D5337"/>
    <w:rsid w:val="005D72E2"/>
    <w:rsid w:val="005D7E30"/>
    <w:rsid w:val="005E025D"/>
    <w:rsid w:val="005E0497"/>
    <w:rsid w:val="005E06DF"/>
    <w:rsid w:val="005E0D5C"/>
    <w:rsid w:val="005E0DF1"/>
    <w:rsid w:val="005E0FFF"/>
    <w:rsid w:val="005E138F"/>
    <w:rsid w:val="005E16E6"/>
    <w:rsid w:val="005E2995"/>
    <w:rsid w:val="005E3304"/>
    <w:rsid w:val="005E3648"/>
    <w:rsid w:val="005E3875"/>
    <w:rsid w:val="005E3D4D"/>
    <w:rsid w:val="005E489C"/>
    <w:rsid w:val="005E652B"/>
    <w:rsid w:val="005E66D8"/>
    <w:rsid w:val="005E6BC9"/>
    <w:rsid w:val="005E6E54"/>
    <w:rsid w:val="005E7385"/>
    <w:rsid w:val="005E7C6E"/>
    <w:rsid w:val="005E7F28"/>
    <w:rsid w:val="005F0585"/>
    <w:rsid w:val="005F0900"/>
    <w:rsid w:val="005F0A97"/>
    <w:rsid w:val="005F166C"/>
    <w:rsid w:val="005F1B50"/>
    <w:rsid w:val="005F2441"/>
    <w:rsid w:val="005F270C"/>
    <w:rsid w:val="005F2F36"/>
    <w:rsid w:val="005F3272"/>
    <w:rsid w:val="005F4059"/>
    <w:rsid w:val="005F47E3"/>
    <w:rsid w:val="005F496E"/>
    <w:rsid w:val="005F5DCB"/>
    <w:rsid w:val="005F6662"/>
    <w:rsid w:val="005F6D3F"/>
    <w:rsid w:val="005F6DFD"/>
    <w:rsid w:val="00600091"/>
    <w:rsid w:val="006000AF"/>
    <w:rsid w:val="006005B9"/>
    <w:rsid w:val="00600935"/>
    <w:rsid w:val="00601649"/>
    <w:rsid w:val="00601A80"/>
    <w:rsid w:val="0060299D"/>
    <w:rsid w:val="006038D3"/>
    <w:rsid w:val="00603BE1"/>
    <w:rsid w:val="0060477F"/>
    <w:rsid w:val="00604839"/>
    <w:rsid w:val="0060488B"/>
    <w:rsid w:val="00604904"/>
    <w:rsid w:val="00605E8E"/>
    <w:rsid w:val="0060651D"/>
    <w:rsid w:val="00606D50"/>
    <w:rsid w:val="00606E3E"/>
    <w:rsid w:val="00607D1F"/>
    <w:rsid w:val="00607DC8"/>
    <w:rsid w:val="00610BB8"/>
    <w:rsid w:val="00611265"/>
    <w:rsid w:val="00611A12"/>
    <w:rsid w:val="00611E37"/>
    <w:rsid w:val="00612455"/>
    <w:rsid w:val="00612759"/>
    <w:rsid w:val="0061275C"/>
    <w:rsid w:val="00612D63"/>
    <w:rsid w:val="00612D9F"/>
    <w:rsid w:val="00613DDB"/>
    <w:rsid w:val="0061461F"/>
    <w:rsid w:val="006154EE"/>
    <w:rsid w:val="00615597"/>
    <w:rsid w:val="006156A0"/>
    <w:rsid w:val="00615A09"/>
    <w:rsid w:val="006161B7"/>
    <w:rsid w:val="006166C9"/>
    <w:rsid w:val="00616A65"/>
    <w:rsid w:val="00616D54"/>
    <w:rsid w:val="00617428"/>
    <w:rsid w:val="00617BB6"/>
    <w:rsid w:val="0062046E"/>
    <w:rsid w:val="00621E3C"/>
    <w:rsid w:val="00621F11"/>
    <w:rsid w:val="0062257A"/>
    <w:rsid w:val="0062299D"/>
    <w:rsid w:val="00622AE8"/>
    <w:rsid w:val="00622E24"/>
    <w:rsid w:val="00622FF5"/>
    <w:rsid w:val="0062324E"/>
    <w:rsid w:val="00623F76"/>
    <w:rsid w:val="00624091"/>
    <w:rsid w:val="0062466A"/>
    <w:rsid w:val="00624C11"/>
    <w:rsid w:val="00624C43"/>
    <w:rsid w:val="006257DF"/>
    <w:rsid w:val="00625968"/>
    <w:rsid w:val="00625D77"/>
    <w:rsid w:val="00626443"/>
    <w:rsid w:val="00626D50"/>
    <w:rsid w:val="00630094"/>
    <w:rsid w:val="006310AC"/>
    <w:rsid w:val="0063154C"/>
    <w:rsid w:val="0063164F"/>
    <w:rsid w:val="00631CDA"/>
    <w:rsid w:val="00632686"/>
    <w:rsid w:val="00632DCD"/>
    <w:rsid w:val="0063378D"/>
    <w:rsid w:val="00633AFD"/>
    <w:rsid w:val="00633E95"/>
    <w:rsid w:val="00635B58"/>
    <w:rsid w:val="006367FC"/>
    <w:rsid w:val="00636F52"/>
    <w:rsid w:val="006410B6"/>
    <w:rsid w:val="00641712"/>
    <w:rsid w:val="00642DF8"/>
    <w:rsid w:val="006439DF"/>
    <w:rsid w:val="00643A10"/>
    <w:rsid w:val="00644534"/>
    <w:rsid w:val="00645A6B"/>
    <w:rsid w:val="006460B2"/>
    <w:rsid w:val="006479BA"/>
    <w:rsid w:val="006479BF"/>
    <w:rsid w:val="006479F0"/>
    <w:rsid w:val="00647A55"/>
    <w:rsid w:val="00647EB4"/>
    <w:rsid w:val="00650FE9"/>
    <w:rsid w:val="00651A96"/>
    <w:rsid w:val="00651EBA"/>
    <w:rsid w:val="00652290"/>
    <w:rsid w:val="006528FE"/>
    <w:rsid w:val="00652987"/>
    <w:rsid w:val="006531A0"/>
    <w:rsid w:val="00653279"/>
    <w:rsid w:val="006537FB"/>
    <w:rsid w:val="00653FFC"/>
    <w:rsid w:val="0065558A"/>
    <w:rsid w:val="00656068"/>
    <w:rsid w:val="006569A3"/>
    <w:rsid w:val="006572FA"/>
    <w:rsid w:val="006576DC"/>
    <w:rsid w:val="00657764"/>
    <w:rsid w:val="006577BF"/>
    <w:rsid w:val="0066047A"/>
    <w:rsid w:val="0066086D"/>
    <w:rsid w:val="006609B5"/>
    <w:rsid w:val="006614AB"/>
    <w:rsid w:val="00661611"/>
    <w:rsid w:val="00661E22"/>
    <w:rsid w:val="00661EFB"/>
    <w:rsid w:val="0066232C"/>
    <w:rsid w:val="006625A8"/>
    <w:rsid w:val="00663B67"/>
    <w:rsid w:val="006641C0"/>
    <w:rsid w:val="00664AB0"/>
    <w:rsid w:val="006652A0"/>
    <w:rsid w:val="006652F5"/>
    <w:rsid w:val="006654DC"/>
    <w:rsid w:val="0066558C"/>
    <w:rsid w:val="0066578B"/>
    <w:rsid w:val="006659D1"/>
    <w:rsid w:val="00666127"/>
    <w:rsid w:val="006663FE"/>
    <w:rsid w:val="0066654E"/>
    <w:rsid w:val="0066660C"/>
    <w:rsid w:val="00666648"/>
    <w:rsid w:val="00666E66"/>
    <w:rsid w:val="00667069"/>
    <w:rsid w:val="0066718E"/>
    <w:rsid w:val="006671E8"/>
    <w:rsid w:val="006672F0"/>
    <w:rsid w:val="00667D5C"/>
    <w:rsid w:val="00667FE4"/>
    <w:rsid w:val="00670104"/>
    <w:rsid w:val="0067050A"/>
    <w:rsid w:val="0067180C"/>
    <w:rsid w:val="00671DFD"/>
    <w:rsid w:val="00672406"/>
    <w:rsid w:val="00672710"/>
    <w:rsid w:val="00672F76"/>
    <w:rsid w:val="00673623"/>
    <w:rsid w:val="00674090"/>
    <w:rsid w:val="006740AF"/>
    <w:rsid w:val="006747E7"/>
    <w:rsid w:val="00676CE3"/>
    <w:rsid w:val="0067714E"/>
    <w:rsid w:val="0068031C"/>
    <w:rsid w:val="0068035C"/>
    <w:rsid w:val="00680A28"/>
    <w:rsid w:val="00680B71"/>
    <w:rsid w:val="0068196E"/>
    <w:rsid w:val="00681D01"/>
    <w:rsid w:val="006828D8"/>
    <w:rsid w:val="00683B05"/>
    <w:rsid w:val="0068406C"/>
    <w:rsid w:val="006847AE"/>
    <w:rsid w:val="00684AA6"/>
    <w:rsid w:val="00685C2D"/>
    <w:rsid w:val="00686603"/>
    <w:rsid w:val="00686BC5"/>
    <w:rsid w:val="006873C7"/>
    <w:rsid w:val="0068793D"/>
    <w:rsid w:val="00690490"/>
    <w:rsid w:val="00690BA6"/>
    <w:rsid w:val="006913EC"/>
    <w:rsid w:val="00691865"/>
    <w:rsid w:val="006929F8"/>
    <w:rsid w:val="0069310E"/>
    <w:rsid w:val="00694030"/>
    <w:rsid w:val="00694FD8"/>
    <w:rsid w:val="0069517A"/>
    <w:rsid w:val="006952EF"/>
    <w:rsid w:val="006956C2"/>
    <w:rsid w:val="006958C9"/>
    <w:rsid w:val="00696DC8"/>
    <w:rsid w:val="00696EF8"/>
    <w:rsid w:val="006971B9"/>
    <w:rsid w:val="006A0F75"/>
    <w:rsid w:val="006A11D5"/>
    <w:rsid w:val="006A1351"/>
    <w:rsid w:val="006A15DD"/>
    <w:rsid w:val="006A1601"/>
    <w:rsid w:val="006A1638"/>
    <w:rsid w:val="006A1817"/>
    <w:rsid w:val="006A2434"/>
    <w:rsid w:val="006A2B60"/>
    <w:rsid w:val="006A32B6"/>
    <w:rsid w:val="006A3A77"/>
    <w:rsid w:val="006A3FB7"/>
    <w:rsid w:val="006A4392"/>
    <w:rsid w:val="006A43D8"/>
    <w:rsid w:val="006A4F5D"/>
    <w:rsid w:val="006A5590"/>
    <w:rsid w:val="006A5A8C"/>
    <w:rsid w:val="006A5BA5"/>
    <w:rsid w:val="006A6B83"/>
    <w:rsid w:val="006A791A"/>
    <w:rsid w:val="006B19B3"/>
    <w:rsid w:val="006B1CDA"/>
    <w:rsid w:val="006B2683"/>
    <w:rsid w:val="006B292F"/>
    <w:rsid w:val="006B3576"/>
    <w:rsid w:val="006B3B78"/>
    <w:rsid w:val="006B3BDD"/>
    <w:rsid w:val="006B40AF"/>
    <w:rsid w:val="006B4388"/>
    <w:rsid w:val="006B4DEA"/>
    <w:rsid w:val="006B4F0B"/>
    <w:rsid w:val="006B50EF"/>
    <w:rsid w:val="006B53A0"/>
    <w:rsid w:val="006B5D88"/>
    <w:rsid w:val="006B5F94"/>
    <w:rsid w:val="006B5FF4"/>
    <w:rsid w:val="006B6AD0"/>
    <w:rsid w:val="006B732B"/>
    <w:rsid w:val="006B7676"/>
    <w:rsid w:val="006B7C68"/>
    <w:rsid w:val="006C0BD1"/>
    <w:rsid w:val="006C1B53"/>
    <w:rsid w:val="006C2395"/>
    <w:rsid w:val="006C4266"/>
    <w:rsid w:val="006C4CE6"/>
    <w:rsid w:val="006C5221"/>
    <w:rsid w:val="006C642B"/>
    <w:rsid w:val="006C64A6"/>
    <w:rsid w:val="006C6806"/>
    <w:rsid w:val="006C7BC3"/>
    <w:rsid w:val="006C7D5E"/>
    <w:rsid w:val="006C7DD7"/>
    <w:rsid w:val="006C7E67"/>
    <w:rsid w:val="006D0B96"/>
    <w:rsid w:val="006D0C3A"/>
    <w:rsid w:val="006D17DC"/>
    <w:rsid w:val="006D1C61"/>
    <w:rsid w:val="006D1FA5"/>
    <w:rsid w:val="006D2070"/>
    <w:rsid w:val="006D262B"/>
    <w:rsid w:val="006D28E8"/>
    <w:rsid w:val="006D37D9"/>
    <w:rsid w:val="006D41F6"/>
    <w:rsid w:val="006D42BE"/>
    <w:rsid w:val="006D4822"/>
    <w:rsid w:val="006D4E91"/>
    <w:rsid w:val="006D50E6"/>
    <w:rsid w:val="006D524A"/>
    <w:rsid w:val="006D579B"/>
    <w:rsid w:val="006D5833"/>
    <w:rsid w:val="006D6C36"/>
    <w:rsid w:val="006D6D95"/>
    <w:rsid w:val="006D78CF"/>
    <w:rsid w:val="006D7B2E"/>
    <w:rsid w:val="006D7D7F"/>
    <w:rsid w:val="006E0184"/>
    <w:rsid w:val="006E01E0"/>
    <w:rsid w:val="006E08C1"/>
    <w:rsid w:val="006E1D2E"/>
    <w:rsid w:val="006E1DEC"/>
    <w:rsid w:val="006E1FDA"/>
    <w:rsid w:val="006E26DC"/>
    <w:rsid w:val="006E27F1"/>
    <w:rsid w:val="006E2C27"/>
    <w:rsid w:val="006E2CCA"/>
    <w:rsid w:val="006E3D76"/>
    <w:rsid w:val="006E4213"/>
    <w:rsid w:val="006E4767"/>
    <w:rsid w:val="006E5348"/>
    <w:rsid w:val="006E569D"/>
    <w:rsid w:val="006E5CA7"/>
    <w:rsid w:val="006E6187"/>
    <w:rsid w:val="006E6CE3"/>
    <w:rsid w:val="006E6FD1"/>
    <w:rsid w:val="006E6FEE"/>
    <w:rsid w:val="006E70AA"/>
    <w:rsid w:val="006E72CB"/>
    <w:rsid w:val="006E7BEE"/>
    <w:rsid w:val="006F0016"/>
    <w:rsid w:val="006F02C1"/>
    <w:rsid w:val="006F04A2"/>
    <w:rsid w:val="006F06CA"/>
    <w:rsid w:val="006F0DFF"/>
    <w:rsid w:val="006F0F43"/>
    <w:rsid w:val="006F161C"/>
    <w:rsid w:val="006F19CB"/>
    <w:rsid w:val="006F2A2F"/>
    <w:rsid w:val="006F2CCC"/>
    <w:rsid w:val="006F3691"/>
    <w:rsid w:val="006F4B10"/>
    <w:rsid w:val="006F4E07"/>
    <w:rsid w:val="006F4EC7"/>
    <w:rsid w:val="006F596A"/>
    <w:rsid w:val="006F6372"/>
    <w:rsid w:val="006F6946"/>
    <w:rsid w:val="006F6B2E"/>
    <w:rsid w:val="006F6DB7"/>
    <w:rsid w:val="006F6F84"/>
    <w:rsid w:val="006F6FD2"/>
    <w:rsid w:val="006F72D9"/>
    <w:rsid w:val="006F76F7"/>
    <w:rsid w:val="006F7C01"/>
    <w:rsid w:val="00700640"/>
    <w:rsid w:val="00700B8C"/>
    <w:rsid w:val="00700ECE"/>
    <w:rsid w:val="00701C5B"/>
    <w:rsid w:val="00701DEB"/>
    <w:rsid w:val="0070327F"/>
    <w:rsid w:val="00703678"/>
    <w:rsid w:val="007038CC"/>
    <w:rsid w:val="007038CF"/>
    <w:rsid w:val="00703CA3"/>
    <w:rsid w:val="007050D9"/>
    <w:rsid w:val="00705A81"/>
    <w:rsid w:val="00705C2E"/>
    <w:rsid w:val="00705DB9"/>
    <w:rsid w:val="00705E62"/>
    <w:rsid w:val="00706030"/>
    <w:rsid w:val="00706678"/>
    <w:rsid w:val="00706999"/>
    <w:rsid w:val="00706B8E"/>
    <w:rsid w:val="00706E45"/>
    <w:rsid w:val="00706F31"/>
    <w:rsid w:val="00707E10"/>
    <w:rsid w:val="00710103"/>
    <w:rsid w:val="00710245"/>
    <w:rsid w:val="00710320"/>
    <w:rsid w:val="0071085D"/>
    <w:rsid w:val="00710B50"/>
    <w:rsid w:val="00710F51"/>
    <w:rsid w:val="007110D4"/>
    <w:rsid w:val="00711377"/>
    <w:rsid w:val="00711ECA"/>
    <w:rsid w:val="00711F0B"/>
    <w:rsid w:val="00713438"/>
    <w:rsid w:val="00713669"/>
    <w:rsid w:val="00714005"/>
    <w:rsid w:val="007142E0"/>
    <w:rsid w:val="007146C0"/>
    <w:rsid w:val="00715D51"/>
    <w:rsid w:val="00715D81"/>
    <w:rsid w:val="007167FB"/>
    <w:rsid w:val="007169A7"/>
    <w:rsid w:val="00716AFC"/>
    <w:rsid w:val="007171EA"/>
    <w:rsid w:val="00717BB4"/>
    <w:rsid w:val="00717E13"/>
    <w:rsid w:val="00720326"/>
    <w:rsid w:val="00721897"/>
    <w:rsid w:val="00721A84"/>
    <w:rsid w:val="00721C74"/>
    <w:rsid w:val="00722195"/>
    <w:rsid w:val="0072286B"/>
    <w:rsid w:val="00722A0C"/>
    <w:rsid w:val="00722A8D"/>
    <w:rsid w:val="00722D03"/>
    <w:rsid w:val="00722FAB"/>
    <w:rsid w:val="007233D9"/>
    <w:rsid w:val="00723965"/>
    <w:rsid w:val="0072445C"/>
    <w:rsid w:val="0072454C"/>
    <w:rsid w:val="007248D4"/>
    <w:rsid w:val="00724A90"/>
    <w:rsid w:val="00724DC6"/>
    <w:rsid w:val="00725356"/>
    <w:rsid w:val="0072546B"/>
    <w:rsid w:val="0072547A"/>
    <w:rsid w:val="0072576C"/>
    <w:rsid w:val="007259F8"/>
    <w:rsid w:val="00725C6D"/>
    <w:rsid w:val="0072601D"/>
    <w:rsid w:val="00726296"/>
    <w:rsid w:val="00726772"/>
    <w:rsid w:val="007271AC"/>
    <w:rsid w:val="0073004F"/>
    <w:rsid w:val="0073039B"/>
    <w:rsid w:val="00730B27"/>
    <w:rsid w:val="00730B52"/>
    <w:rsid w:val="0073132A"/>
    <w:rsid w:val="0073147D"/>
    <w:rsid w:val="007315F2"/>
    <w:rsid w:val="0073188A"/>
    <w:rsid w:val="007318D5"/>
    <w:rsid w:val="00731AD1"/>
    <w:rsid w:val="00731B08"/>
    <w:rsid w:val="00732627"/>
    <w:rsid w:val="00732CDB"/>
    <w:rsid w:val="0073300F"/>
    <w:rsid w:val="00733123"/>
    <w:rsid w:val="00733124"/>
    <w:rsid w:val="007340F9"/>
    <w:rsid w:val="007341A3"/>
    <w:rsid w:val="00735BE4"/>
    <w:rsid w:val="00735F80"/>
    <w:rsid w:val="007366E7"/>
    <w:rsid w:val="007366EB"/>
    <w:rsid w:val="00736AE6"/>
    <w:rsid w:val="00736C15"/>
    <w:rsid w:val="0073753E"/>
    <w:rsid w:val="007378BE"/>
    <w:rsid w:val="00737B6D"/>
    <w:rsid w:val="007401F9"/>
    <w:rsid w:val="007402F1"/>
    <w:rsid w:val="007409B0"/>
    <w:rsid w:val="00740A73"/>
    <w:rsid w:val="0074196B"/>
    <w:rsid w:val="007420A9"/>
    <w:rsid w:val="00742D88"/>
    <w:rsid w:val="0074377B"/>
    <w:rsid w:val="0074384B"/>
    <w:rsid w:val="00744667"/>
    <w:rsid w:val="00745737"/>
    <w:rsid w:val="00746CE8"/>
    <w:rsid w:val="00746FC0"/>
    <w:rsid w:val="00747376"/>
    <w:rsid w:val="00747855"/>
    <w:rsid w:val="007479D5"/>
    <w:rsid w:val="00747FB6"/>
    <w:rsid w:val="00750EBE"/>
    <w:rsid w:val="00750F41"/>
    <w:rsid w:val="007512A1"/>
    <w:rsid w:val="0075155A"/>
    <w:rsid w:val="00751EC9"/>
    <w:rsid w:val="00752E5B"/>
    <w:rsid w:val="0075319E"/>
    <w:rsid w:val="00753213"/>
    <w:rsid w:val="0075374E"/>
    <w:rsid w:val="007539D8"/>
    <w:rsid w:val="00753E90"/>
    <w:rsid w:val="00754FE7"/>
    <w:rsid w:val="00755844"/>
    <w:rsid w:val="00755A55"/>
    <w:rsid w:val="00755CF3"/>
    <w:rsid w:val="00755E32"/>
    <w:rsid w:val="007577EA"/>
    <w:rsid w:val="00760729"/>
    <w:rsid w:val="0076076A"/>
    <w:rsid w:val="0076131F"/>
    <w:rsid w:val="007616DF"/>
    <w:rsid w:val="00761876"/>
    <w:rsid w:val="007618FF"/>
    <w:rsid w:val="00761B44"/>
    <w:rsid w:val="0076287B"/>
    <w:rsid w:val="00762E7F"/>
    <w:rsid w:val="007634D8"/>
    <w:rsid w:val="007637BC"/>
    <w:rsid w:val="00763CC5"/>
    <w:rsid w:val="00763E4C"/>
    <w:rsid w:val="00763FA1"/>
    <w:rsid w:val="00764157"/>
    <w:rsid w:val="0076481E"/>
    <w:rsid w:val="00764C1D"/>
    <w:rsid w:val="00764E94"/>
    <w:rsid w:val="00764F84"/>
    <w:rsid w:val="007655E0"/>
    <w:rsid w:val="007667C0"/>
    <w:rsid w:val="007672A4"/>
    <w:rsid w:val="0076742E"/>
    <w:rsid w:val="00767D58"/>
    <w:rsid w:val="00767E6A"/>
    <w:rsid w:val="007700EA"/>
    <w:rsid w:val="00770825"/>
    <w:rsid w:val="007708F3"/>
    <w:rsid w:val="00770C2E"/>
    <w:rsid w:val="007711CE"/>
    <w:rsid w:val="00771ACC"/>
    <w:rsid w:val="00771E2C"/>
    <w:rsid w:val="00771E7D"/>
    <w:rsid w:val="007722EB"/>
    <w:rsid w:val="00772E9F"/>
    <w:rsid w:val="00773295"/>
    <w:rsid w:val="007739C3"/>
    <w:rsid w:val="00773ACA"/>
    <w:rsid w:val="00774014"/>
    <w:rsid w:val="00774E95"/>
    <w:rsid w:val="00775840"/>
    <w:rsid w:val="00776405"/>
    <w:rsid w:val="00776D78"/>
    <w:rsid w:val="0077717B"/>
    <w:rsid w:val="007775C2"/>
    <w:rsid w:val="007779E3"/>
    <w:rsid w:val="00777A0F"/>
    <w:rsid w:val="00777DEE"/>
    <w:rsid w:val="0078071F"/>
    <w:rsid w:val="00780D88"/>
    <w:rsid w:val="00780EFF"/>
    <w:rsid w:val="00781DC7"/>
    <w:rsid w:val="007822E6"/>
    <w:rsid w:val="00782308"/>
    <w:rsid w:val="007827AB"/>
    <w:rsid w:val="00782F2D"/>
    <w:rsid w:val="0078336A"/>
    <w:rsid w:val="007847A0"/>
    <w:rsid w:val="00784A03"/>
    <w:rsid w:val="00784D56"/>
    <w:rsid w:val="00784E46"/>
    <w:rsid w:val="00784FAE"/>
    <w:rsid w:val="0078524E"/>
    <w:rsid w:val="0078659A"/>
    <w:rsid w:val="00786A4C"/>
    <w:rsid w:val="00786BF6"/>
    <w:rsid w:val="007870D8"/>
    <w:rsid w:val="00787224"/>
    <w:rsid w:val="00787759"/>
    <w:rsid w:val="00787C37"/>
    <w:rsid w:val="0079120D"/>
    <w:rsid w:val="007913C4"/>
    <w:rsid w:val="00791F93"/>
    <w:rsid w:val="00792347"/>
    <w:rsid w:val="007935C2"/>
    <w:rsid w:val="007937F6"/>
    <w:rsid w:val="00793829"/>
    <w:rsid w:val="0079399C"/>
    <w:rsid w:val="00793AF4"/>
    <w:rsid w:val="00793CFE"/>
    <w:rsid w:val="007941A9"/>
    <w:rsid w:val="0079440E"/>
    <w:rsid w:val="00794536"/>
    <w:rsid w:val="00796031"/>
    <w:rsid w:val="0079686A"/>
    <w:rsid w:val="007975FE"/>
    <w:rsid w:val="00797A5E"/>
    <w:rsid w:val="007A18D6"/>
    <w:rsid w:val="007A1D3F"/>
    <w:rsid w:val="007A1D82"/>
    <w:rsid w:val="007A1E39"/>
    <w:rsid w:val="007A20EF"/>
    <w:rsid w:val="007A26B2"/>
    <w:rsid w:val="007A3A57"/>
    <w:rsid w:val="007A3D31"/>
    <w:rsid w:val="007A44DB"/>
    <w:rsid w:val="007A4CE1"/>
    <w:rsid w:val="007A5355"/>
    <w:rsid w:val="007A5559"/>
    <w:rsid w:val="007A5A9C"/>
    <w:rsid w:val="007A5B6D"/>
    <w:rsid w:val="007A5B94"/>
    <w:rsid w:val="007A6533"/>
    <w:rsid w:val="007A73BA"/>
    <w:rsid w:val="007A7BF8"/>
    <w:rsid w:val="007B06FB"/>
    <w:rsid w:val="007B0E9E"/>
    <w:rsid w:val="007B21A1"/>
    <w:rsid w:val="007B2583"/>
    <w:rsid w:val="007B2982"/>
    <w:rsid w:val="007B2A32"/>
    <w:rsid w:val="007B2BA0"/>
    <w:rsid w:val="007B3009"/>
    <w:rsid w:val="007B3BBB"/>
    <w:rsid w:val="007B3DB7"/>
    <w:rsid w:val="007B47F7"/>
    <w:rsid w:val="007B594A"/>
    <w:rsid w:val="007B5A3B"/>
    <w:rsid w:val="007B67B5"/>
    <w:rsid w:val="007B784C"/>
    <w:rsid w:val="007B78C1"/>
    <w:rsid w:val="007C0EEA"/>
    <w:rsid w:val="007C0F76"/>
    <w:rsid w:val="007C185B"/>
    <w:rsid w:val="007C1AB1"/>
    <w:rsid w:val="007C1F2A"/>
    <w:rsid w:val="007C2B9A"/>
    <w:rsid w:val="007C352E"/>
    <w:rsid w:val="007C3C8A"/>
    <w:rsid w:val="007C4E38"/>
    <w:rsid w:val="007C4F9D"/>
    <w:rsid w:val="007C55FD"/>
    <w:rsid w:val="007C5957"/>
    <w:rsid w:val="007C5B1E"/>
    <w:rsid w:val="007C5B2F"/>
    <w:rsid w:val="007C5F82"/>
    <w:rsid w:val="007C669A"/>
    <w:rsid w:val="007C6AB5"/>
    <w:rsid w:val="007C7351"/>
    <w:rsid w:val="007C73FC"/>
    <w:rsid w:val="007C7694"/>
    <w:rsid w:val="007D040A"/>
    <w:rsid w:val="007D0A86"/>
    <w:rsid w:val="007D1975"/>
    <w:rsid w:val="007D285A"/>
    <w:rsid w:val="007D28FC"/>
    <w:rsid w:val="007D2D95"/>
    <w:rsid w:val="007D2E06"/>
    <w:rsid w:val="007D3317"/>
    <w:rsid w:val="007D4455"/>
    <w:rsid w:val="007D465E"/>
    <w:rsid w:val="007D50EA"/>
    <w:rsid w:val="007D557A"/>
    <w:rsid w:val="007D583B"/>
    <w:rsid w:val="007D652D"/>
    <w:rsid w:val="007D6F4E"/>
    <w:rsid w:val="007D74F5"/>
    <w:rsid w:val="007D784F"/>
    <w:rsid w:val="007D7BED"/>
    <w:rsid w:val="007E1F70"/>
    <w:rsid w:val="007E2A3A"/>
    <w:rsid w:val="007E3401"/>
    <w:rsid w:val="007E37DD"/>
    <w:rsid w:val="007E39D8"/>
    <w:rsid w:val="007E45F8"/>
    <w:rsid w:val="007E4831"/>
    <w:rsid w:val="007E5D32"/>
    <w:rsid w:val="007E5D5B"/>
    <w:rsid w:val="007E5ED4"/>
    <w:rsid w:val="007E6933"/>
    <w:rsid w:val="007E779D"/>
    <w:rsid w:val="007E7853"/>
    <w:rsid w:val="007E7C43"/>
    <w:rsid w:val="007E7DB5"/>
    <w:rsid w:val="007E7F99"/>
    <w:rsid w:val="007F00EF"/>
    <w:rsid w:val="007F0E4F"/>
    <w:rsid w:val="007F130F"/>
    <w:rsid w:val="007F139A"/>
    <w:rsid w:val="007F1ECC"/>
    <w:rsid w:val="007F2597"/>
    <w:rsid w:val="007F25B9"/>
    <w:rsid w:val="007F2FAF"/>
    <w:rsid w:val="007F32D0"/>
    <w:rsid w:val="007F349B"/>
    <w:rsid w:val="007F3706"/>
    <w:rsid w:val="007F381B"/>
    <w:rsid w:val="007F3B6C"/>
    <w:rsid w:val="007F3C30"/>
    <w:rsid w:val="007F4C2C"/>
    <w:rsid w:val="007F5BEA"/>
    <w:rsid w:val="007F6B15"/>
    <w:rsid w:val="007F6F2C"/>
    <w:rsid w:val="007F73C2"/>
    <w:rsid w:val="0080004B"/>
    <w:rsid w:val="008009FB"/>
    <w:rsid w:val="00800F1A"/>
    <w:rsid w:val="00800F20"/>
    <w:rsid w:val="0080165E"/>
    <w:rsid w:val="0080190F"/>
    <w:rsid w:val="0080241E"/>
    <w:rsid w:val="00802901"/>
    <w:rsid w:val="00802D38"/>
    <w:rsid w:val="00803358"/>
    <w:rsid w:val="00803C86"/>
    <w:rsid w:val="00803DA6"/>
    <w:rsid w:val="00803F78"/>
    <w:rsid w:val="008042C9"/>
    <w:rsid w:val="00804BB3"/>
    <w:rsid w:val="00804F2B"/>
    <w:rsid w:val="00805BF2"/>
    <w:rsid w:val="00806A8C"/>
    <w:rsid w:val="00806E9A"/>
    <w:rsid w:val="00807C8C"/>
    <w:rsid w:val="00810B44"/>
    <w:rsid w:val="00810E2E"/>
    <w:rsid w:val="00811291"/>
    <w:rsid w:val="00812102"/>
    <w:rsid w:val="00812EF3"/>
    <w:rsid w:val="00813281"/>
    <w:rsid w:val="008132D1"/>
    <w:rsid w:val="008134F4"/>
    <w:rsid w:val="008135E3"/>
    <w:rsid w:val="008138CA"/>
    <w:rsid w:val="00813931"/>
    <w:rsid w:val="00813E99"/>
    <w:rsid w:val="00813F51"/>
    <w:rsid w:val="008154D4"/>
    <w:rsid w:val="008159E3"/>
    <w:rsid w:val="008161BD"/>
    <w:rsid w:val="00816650"/>
    <w:rsid w:val="00816839"/>
    <w:rsid w:val="00816E05"/>
    <w:rsid w:val="00817963"/>
    <w:rsid w:val="00820290"/>
    <w:rsid w:val="0082069B"/>
    <w:rsid w:val="00820933"/>
    <w:rsid w:val="008211AE"/>
    <w:rsid w:val="008219C2"/>
    <w:rsid w:val="00821E5D"/>
    <w:rsid w:val="00822065"/>
    <w:rsid w:val="00822704"/>
    <w:rsid w:val="00822727"/>
    <w:rsid w:val="00822F15"/>
    <w:rsid w:val="00823071"/>
    <w:rsid w:val="00823AA6"/>
    <w:rsid w:val="00823B68"/>
    <w:rsid w:val="008241B2"/>
    <w:rsid w:val="008243F2"/>
    <w:rsid w:val="0082492E"/>
    <w:rsid w:val="00824E71"/>
    <w:rsid w:val="00825200"/>
    <w:rsid w:val="00825774"/>
    <w:rsid w:val="008258EF"/>
    <w:rsid w:val="00825C8A"/>
    <w:rsid w:val="00825F4D"/>
    <w:rsid w:val="008267CB"/>
    <w:rsid w:val="00826C07"/>
    <w:rsid w:val="00826E35"/>
    <w:rsid w:val="00827CBA"/>
    <w:rsid w:val="00827E28"/>
    <w:rsid w:val="008304CE"/>
    <w:rsid w:val="008311A1"/>
    <w:rsid w:val="00832205"/>
    <w:rsid w:val="00832482"/>
    <w:rsid w:val="00832DE5"/>
    <w:rsid w:val="008337F4"/>
    <w:rsid w:val="00833C52"/>
    <w:rsid w:val="008349AD"/>
    <w:rsid w:val="00834B7E"/>
    <w:rsid w:val="008356A1"/>
    <w:rsid w:val="008358B6"/>
    <w:rsid w:val="00835FCC"/>
    <w:rsid w:val="00836483"/>
    <w:rsid w:val="00836A9C"/>
    <w:rsid w:val="00837D8E"/>
    <w:rsid w:val="00840239"/>
    <w:rsid w:val="00840479"/>
    <w:rsid w:val="008405A4"/>
    <w:rsid w:val="00840A74"/>
    <w:rsid w:val="00840B92"/>
    <w:rsid w:val="00841AB1"/>
    <w:rsid w:val="00841E14"/>
    <w:rsid w:val="00841F3E"/>
    <w:rsid w:val="00842602"/>
    <w:rsid w:val="00842BCC"/>
    <w:rsid w:val="0084481D"/>
    <w:rsid w:val="00844F44"/>
    <w:rsid w:val="00845077"/>
    <w:rsid w:val="008452C7"/>
    <w:rsid w:val="00845AF9"/>
    <w:rsid w:val="0084669F"/>
    <w:rsid w:val="00846A71"/>
    <w:rsid w:val="00846E3A"/>
    <w:rsid w:val="008475BD"/>
    <w:rsid w:val="00847975"/>
    <w:rsid w:val="00850950"/>
    <w:rsid w:val="00850B8B"/>
    <w:rsid w:val="00850BE9"/>
    <w:rsid w:val="008512F2"/>
    <w:rsid w:val="0085133D"/>
    <w:rsid w:val="008513A4"/>
    <w:rsid w:val="008526C1"/>
    <w:rsid w:val="00852D8E"/>
    <w:rsid w:val="00852E7B"/>
    <w:rsid w:val="00852ED9"/>
    <w:rsid w:val="008534E4"/>
    <w:rsid w:val="00853B53"/>
    <w:rsid w:val="00853C5B"/>
    <w:rsid w:val="00855DBE"/>
    <w:rsid w:val="00856656"/>
    <w:rsid w:val="00856764"/>
    <w:rsid w:val="00857A69"/>
    <w:rsid w:val="00857BE2"/>
    <w:rsid w:val="00857D3C"/>
    <w:rsid w:val="00857EAB"/>
    <w:rsid w:val="00857FDE"/>
    <w:rsid w:val="00861C93"/>
    <w:rsid w:val="008627CE"/>
    <w:rsid w:val="008627F9"/>
    <w:rsid w:val="00862880"/>
    <w:rsid w:val="0086354A"/>
    <w:rsid w:val="00863CB6"/>
    <w:rsid w:val="008640EA"/>
    <w:rsid w:val="00864884"/>
    <w:rsid w:val="00864CB8"/>
    <w:rsid w:val="00865264"/>
    <w:rsid w:val="00865886"/>
    <w:rsid w:val="008661DD"/>
    <w:rsid w:val="00866576"/>
    <w:rsid w:val="00866578"/>
    <w:rsid w:val="008667B4"/>
    <w:rsid w:val="00866A6B"/>
    <w:rsid w:val="00866DF1"/>
    <w:rsid w:val="00867538"/>
    <w:rsid w:val="00867B9D"/>
    <w:rsid w:val="00867F6C"/>
    <w:rsid w:val="00870030"/>
    <w:rsid w:val="0087003F"/>
    <w:rsid w:val="0087077A"/>
    <w:rsid w:val="00870B9B"/>
    <w:rsid w:val="008714DB"/>
    <w:rsid w:val="00871619"/>
    <w:rsid w:val="00871894"/>
    <w:rsid w:val="008718B4"/>
    <w:rsid w:val="00871B8A"/>
    <w:rsid w:val="00871F59"/>
    <w:rsid w:val="00872539"/>
    <w:rsid w:val="008726F6"/>
    <w:rsid w:val="00872800"/>
    <w:rsid w:val="00872B6C"/>
    <w:rsid w:val="0087304D"/>
    <w:rsid w:val="00873076"/>
    <w:rsid w:val="008735A3"/>
    <w:rsid w:val="0087378F"/>
    <w:rsid w:val="00874214"/>
    <w:rsid w:val="008748A2"/>
    <w:rsid w:val="00874DFB"/>
    <w:rsid w:val="00876CEA"/>
    <w:rsid w:val="00876D29"/>
    <w:rsid w:val="00876F9A"/>
    <w:rsid w:val="008775E6"/>
    <w:rsid w:val="0087779C"/>
    <w:rsid w:val="0088013F"/>
    <w:rsid w:val="00880188"/>
    <w:rsid w:val="008804D9"/>
    <w:rsid w:val="00880A30"/>
    <w:rsid w:val="00881417"/>
    <w:rsid w:val="0088250C"/>
    <w:rsid w:val="00882612"/>
    <w:rsid w:val="00882B05"/>
    <w:rsid w:val="00883A29"/>
    <w:rsid w:val="00883B38"/>
    <w:rsid w:val="00883D69"/>
    <w:rsid w:val="00884EF6"/>
    <w:rsid w:val="008854B1"/>
    <w:rsid w:val="00885726"/>
    <w:rsid w:val="0088615D"/>
    <w:rsid w:val="0088719C"/>
    <w:rsid w:val="00887312"/>
    <w:rsid w:val="00887B33"/>
    <w:rsid w:val="00887D65"/>
    <w:rsid w:val="0089011C"/>
    <w:rsid w:val="00890D90"/>
    <w:rsid w:val="00891177"/>
    <w:rsid w:val="008911AE"/>
    <w:rsid w:val="008914DB"/>
    <w:rsid w:val="008915B8"/>
    <w:rsid w:val="00891E10"/>
    <w:rsid w:val="0089209A"/>
    <w:rsid w:val="00892592"/>
    <w:rsid w:val="0089275A"/>
    <w:rsid w:val="00892A84"/>
    <w:rsid w:val="00892E1E"/>
    <w:rsid w:val="0089597F"/>
    <w:rsid w:val="0089717F"/>
    <w:rsid w:val="00897810"/>
    <w:rsid w:val="00897D51"/>
    <w:rsid w:val="00897E84"/>
    <w:rsid w:val="008A008A"/>
    <w:rsid w:val="008A00B9"/>
    <w:rsid w:val="008A12D0"/>
    <w:rsid w:val="008A1C01"/>
    <w:rsid w:val="008A1F91"/>
    <w:rsid w:val="008A2060"/>
    <w:rsid w:val="008A35E3"/>
    <w:rsid w:val="008A373A"/>
    <w:rsid w:val="008A41C1"/>
    <w:rsid w:val="008A4212"/>
    <w:rsid w:val="008A422A"/>
    <w:rsid w:val="008A436E"/>
    <w:rsid w:val="008A437E"/>
    <w:rsid w:val="008A4A1C"/>
    <w:rsid w:val="008A515E"/>
    <w:rsid w:val="008A5325"/>
    <w:rsid w:val="008A56A0"/>
    <w:rsid w:val="008A5CA1"/>
    <w:rsid w:val="008A6269"/>
    <w:rsid w:val="008A685F"/>
    <w:rsid w:val="008A72AE"/>
    <w:rsid w:val="008A7574"/>
    <w:rsid w:val="008A7C00"/>
    <w:rsid w:val="008A7CE8"/>
    <w:rsid w:val="008A7FBA"/>
    <w:rsid w:val="008B07FB"/>
    <w:rsid w:val="008B0A9E"/>
    <w:rsid w:val="008B0BFD"/>
    <w:rsid w:val="008B125F"/>
    <w:rsid w:val="008B1626"/>
    <w:rsid w:val="008B1816"/>
    <w:rsid w:val="008B1AFD"/>
    <w:rsid w:val="008B1BDE"/>
    <w:rsid w:val="008B23D4"/>
    <w:rsid w:val="008B2443"/>
    <w:rsid w:val="008B311F"/>
    <w:rsid w:val="008B3297"/>
    <w:rsid w:val="008B3A77"/>
    <w:rsid w:val="008B442E"/>
    <w:rsid w:val="008B61D4"/>
    <w:rsid w:val="008B6240"/>
    <w:rsid w:val="008B641B"/>
    <w:rsid w:val="008B6500"/>
    <w:rsid w:val="008C06DD"/>
    <w:rsid w:val="008C0E1E"/>
    <w:rsid w:val="008C1217"/>
    <w:rsid w:val="008C1415"/>
    <w:rsid w:val="008C1421"/>
    <w:rsid w:val="008C15AD"/>
    <w:rsid w:val="008C17E9"/>
    <w:rsid w:val="008C1FBF"/>
    <w:rsid w:val="008C22D4"/>
    <w:rsid w:val="008C27EA"/>
    <w:rsid w:val="008C2F8E"/>
    <w:rsid w:val="008C462E"/>
    <w:rsid w:val="008C51E2"/>
    <w:rsid w:val="008C5201"/>
    <w:rsid w:val="008C5CBB"/>
    <w:rsid w:val="008C6C98"/>
    <w:rsid w:val="008D0F1D"/>
    <w:rsid w:val="008D103F"/>
    <w:rsid w:val="008D11F4"/>
    <w:rsid w:val="008D14F0"/>
    <w:rsid w:val="008D155C"/>
    <w:rsid w:val="008D1F3E"/>
    <w:rsid w:val="008D263E"/>
    <w:rsid w:val="008D29E0"/>
    <w:rsid w:val="008D30DE"/>
    <w:rsid w:val="008D37BB"/>
    <w:rsid w:val="008D4337"/>
    <w:rsid w:val="008D5452"/>
    <w:rsid w:val="008D5D1D"/>
    <w:rsid w:val="008D631F"/>
    <w:rsid w:val="008D6738"/>
    <w:rsid w:val="008D6D21"/>
    <w:rsid w:val="008D6E43"/>
    <w:rsid w:val="008D6E5C"/>
    <w:rsid w:val="008D780C"/>
    <w:rsid w:val="008E1A30"/>
    <w:rsid w:val="008E2EF2"/>
    <w:rsid w:val="008E33A7"/>
    <w:rsid w:val="008E3B4E"/>
    <w:rsid w:val="008E3C54"/>
    <w:rsid w:val="008E4865"/>
    <w:rsid w:val="008E4AD8"/>
    <w:rsid w:val="008E4D4C"/>
    <w:rsid w:val="008E4F5C"/>
    <w:rsid w:val="008E5676"/>
    <w:rsid w:val="008E649A"/>
    <w:rsid w:val="008E64FB"/>
    <w:rsid w:val="008E6927"/>
    <w:rsid w:val="008E755C"/>
    <w:rsid w:val="008E7B44"/>
    <w:rsid w:val="008F04CE"/>
    <w:rsid w:val="008F052B"/>
    <w:rsid w:val="008F14BC"/>
    <w:rsid w:val="008F1A1C"/>
    <w:rsid w:val="008F1A35"/>
    <w:rsid w:val="008F1B76"/>
    <w:rsid w:val="008F1B86"/>
    <w:rsid w:val="008F1BA2"/>
    <w:rsid w:val="008F210B"/>
    <w:rsid w:val="008F221C"/>
    <w:rsid w:val="008F3398"/>
    <w:rsid w:val="008F3922"/>
    <w:rsid w:val="008F3F33"/>
    <w:rsid w:val="008F409C"/>
    <w:rsid w:val="008F4114"/>
    <w:rsid w:val="008F4167"/>
    <w:rsid w:val="008F5508"/>
    <w:rsid w:val="008F5AC3"/>
    <w:rsid w:val="008F5E13"/>
    <w:rsid w:val="008F6310"/>
    <w:rsid w:val="008F65B4"/>
    <w:rsid w:val="008F66F4"/>
    <w:rsid w:val="008F68E5"/>
    <w:rsid w:val="008F691B"/>
    <w:rsid w:val="008F766D"/>
    <w:rsid w:val="008F7B73"/>
    <w:rsid w:val="009006A2"/>
    <w:rsid w:val="00900761"/>
    <w:rsid w:val="009010F8"/>
    <w:rsid w:val="00902C79"/>
    <w:rsid w:val="00902DEE"/>
    <w:rsid w:val="00903017"/>
    <w:rsid w:val="00903345"/>
    <w:rsid w:val="00903394"/>
    <w:rsid w:val="0090427C"/>
    <w:rsid w:val="009047C2"/>
    <w:rsid w:val="00904B89"/>
    <w:rsid w:val="00904C51"/>
    <w:rsid w:val="00904F39"/>
    <w:rsid w:val="009050E5"/>
    <w:rsid w:val="00905209"/>
    <w:rsid w:val="00905CA3"/>
    <w:rsid w:val="00906A7B"/>
    <w:rsid w:val="0091010D"/>
    <w:rsid w:val="00910E16"/>
    <w:rsid w:val="00910EAD"/>
    <w:rsid w:val="00910EF5"/>
    <w:rsid w:val="009119A2"/>
    <w:rsid w:val="00911C12"/>
    <w:rsid w:val="00912522"/>
    <w:rsid w:val="00912EC7"/>
    <w:rsid w:val="00913322"/>
    <w:rsid w:val="00913524"/>
    <w:rsid w:val="00913E8C"/>
    <w:rsid w:val="00914088"/>
    <w:rsid w:val="0091533F"/>
    <w:rsid w:val="00915E80"/>
    <w:rsid w:val="009162CC"/>
    <w:rsid w:val="0091664E"/>
    <w:rsid w:val="0091669F"/>
    <w:rsid w:val="00916C68"/>
    <w:rsid w:val="00916F4E"/>
    <w:rsid w:val="00917869"/>
    <w:rsid w:val="00917DFF"/>
    <w:rsid w:val="00921C38"/>
    <w:rsid w:val="009222D8"/>
    <w:rsid w:val="00922591"/>
    <w:rsid w:val="009235C4"/>
    <w:rsid w:val="0092371C"/>
    <w:rsid w:val="0092399C"/>
    <w:rsid w:val="009256F7"/>
    <w:rsid w:val="00925AE2"/>
    <w:rsid w:val="00925B90"/>
    <w:rsid w:val="00926412"/>
    <w:rsid w:val="00926468"/>
    <w:rsid w:val="009264F9"/>
    <w:rsid w:val="009269C1"/>
    <w:rsid w:val="00926D40"/>
    <w:rsid w:val="00926F7C"/>
    <w:rsid w:val="0092713B"/>
    <w:rsid w:val="00930290"/>
    <w:rsid w:val="009308A2"/>
    <w:rsid w:val="009309F2"/>
    <w:rsid w:val="00930DF7"/>
    <w:rsid w:val="00931860"/>
    <w:rsid w:val="00931E59"/>
    <w:rsid w:val="00931EA2"/>
    <w:rsid w:val="00932133"/>
    <w:rsid w:val="0093229A"/>
    <w:rsid w:val="009322DC"/>
    <w:rsid w:val="009323C8"/>
    <w:rsid w:val="00932F38"/>
    <w:rsid w:val="00933881"/>
    <w:rsid w:val="00933C1F"/>
    <w:rsid w:val="009359FE"/>
    <w:rsid w:val="00936D7C"/>
    <w:rsid w:val="00937615"/>
    <w:rsid w:val="009376B4"/>
    <w:rsid w:val="00937CB2"/>
    <w:rsid w:val="0094024D"/>
    <w:rsid w:val="00940579"/>
    <w:rsid w:val="0094138D"/>
    <w:rsid w:val="00941513"/>
    <w:rsid w:val="0094172F"/>
    <w:rsid w:val="00941DC5"/>
    <w:rsid w:val="00942630"/>
    <w:rsid w:val="00943DCA"/>
    <w:rsid w:val="0094439D"/>
    <w:rsid w:val="00944AB5"/>
    <w:rsid w:val="00944F7F"/>
    <w:rsid w:val="0094540A"/>
    <w:rsid w:val="009455B4"/>
    <w:rsid w:val="00945623"/>
    <w:rsid w:val="00945669"/>
    <w:rsid w:val="0094629E"/>
    <w:rsid w:val="0094678A"/>
    <w:rsid w:val="00946BE1"/>
    <w:rsid w:val="00947041"/>
    <w:rsid w:val="00947F44"/>
    <w:rsid w:val="00950DBF"/>
    <w:rsid w:val="0095102D"/>
    <w:rsid w:val="00951056"/>
    <w:rsid w:val="00951A2D"/>
    <w:rsid w:val="009521D6"/>
    <w:rsid w:val="00952BC0"/>
    <w:rsid w:val="00954217"/>
    <w:rsid w:val="0095427A"/>
    <w:rsid w:val="009548B4"/>
    <w:rsid w:val="00954B9D"/>
    <w:rsid w:val="00954E2F"/>
    <w:rsid w:val="00955483"/>
    <w:rsid w:val="0095560B"/>
    <w:rsid w:val="009556F1"/>
    <w:rsid w:val="00955AE2"/>
    <w:rsid w:val="00955CF0"/>
    <w:rsid w:val="00955F27"/>
    <w:rsid w:val="00955FC6"/>
    <w:rsid w:val="009560B7"/>
    <w:rsid w:val="00956252"/>
    <w:rsid w:val="00957504"/>
    <w:rsid w:val="009577D2"/>
    <w:rsid w:val="0096059B"/>
    <w:rsid w:val="00960891"/>
    <w:rsid w:val="009617CB"/>
    <w:rsid w:val="009619A3"/>
    <w:rsid w:val="00962289"/>
    <w:rsid w:val="0096229F"/>
    <w:rsid w:val="0096268D"/>
    <w:rsid w:val="0096284A"/>
    <w:rsid w:val="0096295A"/>
    <w:rsid w:val="00963469"/>
    <w:rsid w:val="00963644"/>
    <w:rsid w:val="00963C69"/>
    <w:rsid w:val="0096438E"/>
    <w:rsid w:val="00964A5D"/>
    <w:rsid w:val="00964BD6"/>
    <w:rsid w:val="00964DAB"/>
    <w:rsid w:val="009650F6"/>
    <w:rsid w:val="00965481"/>
    <w:rsid w:val="009657F3"/>
    <w:rsid w:val="0096580E"/>
    <w:rsid w:val="0096687D"/>
    <w:rsid w:val="0096698E"/>
    <w:rsid w:val="00966C12"/>
    <w:rsid w:val="009701A3"/>
    <w:rsid w:val="00970934"/>
    <w:rsid w:val="00970A01"/>
    <w:rsid w:val="00970A73"/>
    <w:rsid w:val="00970E0E"/>
    <w:rsid w:val="00970ECC"/>
    <w:rsid w:val="00971C03"/>
    <w:rsid w:val="00972589"/>
    <w:rsid w:val="00972638"/>
    <w:rsid w:val="00973618"/>
    <w:rsid w:val="00973B1E"/>
    <w:rsid w:val="00974466"/>
    <w:rsid w:val="0097473F"/>
    <w:rsid w:val="00974744"/>
    <w:rsid w:val="00974D3C"/>
    <w:rsid w:val="009760E0"/>
    <w:rsid w:val="00976146"/>
    <w:rsid w:val="009766A5"/>
    <w:rsid w:val="009773AD"/>
    <w:rsid w:val="009777BA"/>
    <w:rsid w:val="00977B4E"/>
    <w:rsid w:val="00977D43"/>
    <w:rsid w:val="00977FCA"/>
    <w:rsid w:val="009812D5"/>
    <w:rsid w:val="00983B75"/>
    <w:rsid w:val="00983F15"/>
    <w:rsid w:val="009842A7"/>
    <w:rsid w:val="0098434A"/>
    <w:rsid w:val="00984A7B"/>
    <w:rsid w:val="0098605F"/>
    <w:rsid w:val="00986515"/>
    <w:rsid w:val="00986861"/>
    <w:rsid w:val="00986F8D"/>
    <w:rsid w:val="00987806"/>
    <w:rsid w:val="00987BB9"/>
    <w:rsid w:val="00987E5B"/>
    <w:rsid w:val="00987E8A"/>
    <w:rsid w:val="009900C2"/>
    <w:rsid w:val="0099103B"/>
    <w:rsid w:val="00991153"/>
    <w:rsid w:val="009915CA"/>
    <w:rsid w:val="00991861"/>
    <w:rsid w:val="00991B50"/>
    <w:rsid w:val="00991B6E"/>
    <w:rsid w:val="009922CF"/>
    <w:rsid w:val="009923DB"/>
    <w:rsid w:val="00992E06"/>
    <w:rsid w:val="00992EE8"/>
    <w:rsid w:val="00993000"/>
    <w:rsid w:val="009931D0"/>
    <w:rsid w:val="009937BE"/>
    <w:rsid w:val="009941E1"/>
    <w:rsid w:val="00996FE8"/>
    <w:rsid w:val="00997345"/>
    <w:rsid w:val="009975AB"/>
    <w:rsid w:val="00997934"/>
    <w:rsid w:val="009A0DE5"/>
    <w:rsid w:val="009A17DA"/>
    <w:rsid w:val="009A3257"/>
    <w:rsid w:val="009A368D"/>
    <w:rsid w:val="009A4C1B"/>
    <w:rsid w:val="009A4CCD"/>
    <w:rsid w:val="009A4EAF"/>
    <w:rsid w:val="009A50B8"/>
    <w:rsid w:val="009A52F6"/>
    <w:rsid w:val="009A5F62"/>
    <w:rsid w:val="009A6C38"/>
    <w:rsid w:val="009A7239"/>
    <w:rsid w:val="009A7742"/>
    <w:rsid w:val="009A779F"/>
    <w:rsid w:val="009A7C31"/>
    <w:rsid w:val="009B00AB"/>
    <w:rsid w:val="009B01B5"/>
    <w:rsid w:val="009B0617"/>
    <w:rsid w:val="009B11C4"/>
    <w:rsid w:val="009B1581"/>
    <w:rsid w:val="009B2EFA"/>
    <w:rsid w:val="009B3067"/>
    <w:rsid w:val="009B4F94"/>
    <w:rsid w:val="009B5B88"/>
    <w:rsid w:val="009B5DD2"/>
    <w:rsid w:val="009B6042"/>
    <w:rsid w:val="009B62CA"/>
    <w:rsid w:val="009B6621"/>
    <w:rsid w:val="009B6A84"/>
    <w:rsid w:val="009B72FC"/>
    <w:rsid w:val="009B792F"/>
    <w:rsid w:val="009C088C"/>
    <w:rsid w:val="009C0D71"/>
    <w:rsid w:val="009C1771"/>
    <w:rsid w:val="009C1ACF"/>
    <w:rsid w:val="009C2039"/>
    <w:rsid w:val="009C2431"/>
    <w:rsid w:val="009C2526"/>
    <w:rsid w:val="009C2722"/>
    <w:rsid w:val="009C29F0"/>
    <w:rsid w:val="009C3250"/>
    <w:rsid w:val="009C447F"/>
    <w:rsid w:val="009C4910"/>
    <w:rsid w:val="009C49ED"/>
    <w:rsid w:val="009C4A9A"/>
    <w:rsid w:val="009C51A9"/>
    <w:rsid w:val="009C57B6"/>
    <w:rsid w:val="009C61D5"/>
    <w:rsid w:val="009C725A"/>
    <w:rsid w:val="009C77BE"/>
    <w:rsid w:val="009C78BD"/>
    <w:rsid w:val="009D0384"/>
    <w:rsid w:val="009D0631"/>
    <w:rsid w:val="009D0EBC"/>
    <w:rsid w:val="009D1087"/>
    <w:rsid w:val="009D17A4"/>
    <w:rsid w:val="009D46E8"/>
    <w:rsid w:val="009D4E1E"/>
    <w:rsid w:val="009D533A"/>
    <w:rsid w:val="009D5C7C"/>
    <w:rsid w:val="009D6B02"/>
    <w:rsid w:val="009E0134"/>
    <w:rsid w:val="009E0497"/>
    <w:rsid w:val="009E04DE"/>
    <w:rsid w:val="009E070E"/>
    <w:rsid w:val="009E0A75"/>
    <w:rsid w:val="009E11EC"/>
    <w:rsid w:val="009E172E"/>
    <w:rsid w:val="009E2971"/>
    <w:rsid w:val="009E2A21"/>
    <w:rsid w:val="009E3D40"/>
    <w:rsid w:val="009E4780"/>
    <w:rsid w:val="009E5CAE"/>
    <w:rsid w:val="009E605C"/>
    <w:rsid w:val="009E6948"/>
    <w:rsid w:val="009E723A"/>
    <w:rsid w:val="009E76EE"/>
    <w:rsid w:val="009F0C35"/>
    <w:rsid w:val="009F18F3"/>
    <w:rsid w:val="009F1B2E"/>
    <w:rsid w:val="009F1CBD"/>
    <w:rsid w:val="009F2C31"/>
    <w:rsid w:val="009F434D"/>
    <w:rsid w:val="009F45E2"/>
    <w:rsid w:val="009F4F43"/>
    <w:rsid w:val="009F53BE"/>
    <w:rsid w:val="009F5A54"/>
    <w:rsid w:val="009F5EB7"/>
    <w:rsid w:val="009F6142"/>
    <w:rsid w:val="009F63C1"/>
    <w:rsid w:val="009F73CA"/>
    <w:rsid w:val="009F7691"/>
    <w:rsid w:val="009F7960"/>
    <w:rsid w:val="009F7BF1"/>
    <w:rsid w:val="009F7ECF"/>
    <w:rsid w:val="00A000AF"/>
    <w:rsid w:val="00A00AD2"/>
    <w:rsid w:val="00A00FEC"/>
    <w:rsid w:val="00A01369"/>
    <w:rsid w:val="00A0175B"/>
    <w:rsid w:val="00A01AD5"/>
    <w:rsid w:val="00A01CD6"/>
    <w:rsid w:val="00A02133"/>
    <w:rsid w:val="00A02811"/>
    <w:rsid w:val="00A02DFA"/>
    <w:rsid w:val="00A038F9"/>
    <w:rsid w:val="00A04E88"/>
    <w:rsid w:val="00A04FDD"/>
    <w:rsid w:val="00A053DE"/>
    <w:rsid w:val="00A05D54"/>
    <w:rsid w:val="00A05E10"/>
    <w:rsid w:val="00A06403"/>
    <w:rsid w:val="00A06CFC"/>
    <w:rsid w:val="00A07193"/>
    <w:rsid w:val="00A074C4"/>
    <w:rsid w:val="00A100EF"/>
    <w:rsid w:val="00A10444"/>
    <w:rsid w:val="00A10E66"/>
    <w:rsid w:val="00A11102"/>
    <w:rsid w:val="00A11868"/>
    <w:rsid w:val="00A118D2"/>
    <w:rsid w:val="00A1198B"/>
    <w:rsid w:val="00A11CFB"/>
    <w:rsid w:val="00A123D8"/>
    <w:rsid w:val="00A1303B"/>
    <w:rsid w:val="00A1319A"/>
    <w:rsid w:val="00A13520"/>
    <w:rsid w:val="00A1390C"/>
    <w:rsid w:val="00A13A5F"/>
    <w:rsid w:val="00A141B5"/>
    <w:rsid w:val="00A14B6D"/>
    <w:rsid w:val="00A156AB"/>
    <w:rsid w:val="00A157F9"/>
    <w:rsid w:val="00A15A43"/>
    <w:rsid w:val="00A171B0"/>
    <w:rsid w:val="00A17751"/>
    <w:rsid w:val="00A17C28"/>
    <w:rsid w:val="00A20670"/>
    <w:rsid w:val="00A20690"/>
    <w:rsid w:val="00A20C6E"/>
    <w:rsid w:val="00A21C5C"/>
    <w:rsid w:val="00A2269A"/>
    <w:rsid w:val="00A23572"/>
    <w:rsid w:val="00A235A4"/>
    <w:rsid w:val="00A2388F"/>
    <w:rsid w:val="00A238BD"/>
    <w:rsid w:val="00A23A9A"/>
    <w:rsid w:val="00A24A08"/>
    <w:rsid w:val="00A24C63"/>
    <w:rsid w:val="00A25627"/>
    <w:rsid w:val="00A258CE"/>
    <w:rsid w:val="00A25A95"/>
    <w:rsid w:val="00A262CE"/>
    <w:rsid w:val="00A2638F"/>
    <w:rsid w:val="00A26740"/>
    <w:rsid w:val="00A26817"/>
    <w:rsid w:val="00A27550"/>
    <w:rsid w:val="00A275F2"/>
    <w:rsid w:val="00A27B58"/>
    <w:rsid w:val="00A30637"/>
    <w:rsid w:val="00A30CDE"/>
    <w:rsid w:val="00A31926"/>
    <w:rsid w:val="00A31B1A"/>
    <w:rsid w:val="00A320B0"/>
    <w:rsid w:val="00A32A85"/>
    <w:rsid w:val="00A33B1F"/>
    <w:rsid w:val="00A33F7F"/>
    <w:rsid w:val="00A3429F"/>
    <w:rsid w:val="00A342A7"/>
    <w:rsid w:val="00A345F5"/>
    <w:rsid w:val="00A3565D"/>
    <w:rsid w:val="00A360D8"/>
    <w:rsid w:val="00A3620F"/>
    <w:rsid w:val="00A36B56"/>
    <w:rsid w:val="00A374FA"/>
    <w:rsid w:val="00A378CD"/>
    <w:rsid w:val="00A37A56"/>
    <w:rsid w:val="00A40151"/>
    <w:rsid w:val="00A405A1"/>
    <w:rsid w:val="00A40D05"/>
    <w:rsid w:val="00A4181F"/>
    <w:rsid w:val="00A4186D"/>
    <w:rsid w:val="00A428A0"/>
    <w:rsid w:val="00A42F31"/>
    <w:rsid w:val="00A437AA"/>
    <w:rsid w:val="00A43C56"/>
    <w:rsid w:val="00A43D8E"/>
    <w:rsid w:val="00A43EA8"/>
    <w:rsid w:val="00A44108"/>
    <w:rsid w:val="00A4414A"/>
    <w:rsid w:val="00A44675"/>
    <w:rsid w:val="00A446E6"/>
    <w:rsid w:val="00A4501E"/>
    <w:rsid w:val="00A45033"/>
    <w:rsid w:val="00A46006"/>
    <w:rsid w:val="00A472EF"/>
    <w:rsid w:val="00A47510"/>
    <w:rsid w:val="00A47677"/>
    <w:rsid w:val="00A47853"/>
    <w:rsid w:val="00A5121B"/>
    <w:rsid w:val="00A51A1B"/>
    <w:rsid w:val="00A51DF2"/>
    <w:rsid w:val="00A523E6"/>
    <w:rsid w:val="00A529ED"/>
    <w:rsid w:val="00A52C22"/>
    <w:rsid w:val="00A5326A"/>
    <w:rsid w:val="00A5339C"/>
    <w:rsid w:val="00A5391A"/>
    <w:rsid w:val="00A53A4A"/>
    <w:rsid w:val="00A53F09"/>
    <w:rsid w:val="00A55774"/>
    <w:rsid w:val="00A5580E"/>
    <w:rsid w:val="00A55AD4"/>
    <w:rsid w:val="00A56677"/>
    <w:rsid w:val="00A56957"/>
    <w:rsid w:val="00A57087"/>
    <w:rsid w:val="00A57BDF"/>
    <w:rsid w:val="00A6037B"/>
    <w:rsid w:val="00A60426"/>
    <w:rsid w:val="00A6089F"/>
    <w:rsid w:val="00A62000"/>
    <w:rsid w:val="00A624B9"/>
    <w:rsid w:val="00A6387C"/>
    <w:rsid w:val="00A63AF0"/>
    <w:rsid w:val="00A63C0D"/>
    <w:rsid w:val="00A640BA"/>
    <w:rsid w:val="00A64539"/>
    <w:rsid w:val="00A64C4A"/>
    <w:rsid w:val="00A65216"/>
    <w:rsid w:val="00A654B0"/>
    <w:rsid w:val="00A657B2"/>
    <w:rsid w:val="00A6583C"/>
    <w:rsid w:val="00A65BCF"/>
    <w:rsid w:val="00A6623E"/>
    <w:rsid w:val="00A669F9"/>
    <w:rsid w:val="00A66A2E"/>
    <w:rsid w:val="00A67215"/>
    <w:rsid w:val="00A7170F"/>
    <w:rsid w:val="00A71C83"/>
    <w:rsid w:val="00A72086"/>
    <w:rsid w:val="00A72167"/>
    <w:rsid w:val="00A72218"/>
    <w:rsid w:val="00A722DA"/>
    <w:rsid w:val="00A729A3"/>
    <w:rsid w:val="00A72C09"/>
    <w:rsid w:val="00A73499"/>
    <w:rsid w:val="00A744AC"/>
    <w:rsid w:val="00A74519"/>
    <w:rsid w:val="00A74D05"/>
    <w:rsid w:val="00A754C8"/>
    <w:rsid w:val="00A7585B"/>
    <w:rsid w:val="00A75867"/>
    <w:rsid w:val="00A75913"/>
    <w:rsid w:val="00A76D67"/>
    <w:rsid w:val="00A7720E"/>
    <w:rsid w:val="00A800EB"/>
    <w:rsid w:val="00A80621"/>
    <w:rsid w:val="00A80875"/>
    <w:rsid w:val="00A812CF"/>
    <w:rsid w:val="00A8139D"/>
    <w:rsid w:val="00A8164C"/>
    <w:rsid w:val="00A8191E"/>
    <w:rsid w:val="00A81F44"/>
    <w:rsid w:val="00A82137"/>
    <w:rsid w:val="00A836B2"/>
    <w:rsid w:val="00A84193"/>
    <w:rsid w:val="00A841EE"/>
    <w:rsid w:val="00A8446C"/>
    <w:rsid w:val="00A84CB2"/>
    <w:rsid w:val="00A85180"/>
    <w:rsid w:val="00A858B6"/>
    <w:rsid w:val="00A8597B"/>
    <w:rsid w:val="00A86277"/>
    <w:rsid w:val="00A865A0"/>
    <w:rsid w:val="00A86CD5"/>
    <w:rsid w:val="00A86CEF"/>
    <w:rsid w:val="00A86F44"/>
    <w:rsid w:val="00A873F0"/>
    <w:rsid w:val="00A9026F"/>
    <w:rsid w:val="00A9027E"/>
    <w:rsid w:val="00A9078B"/>
    <w:rsid w:val="00A90B44"/>
    <w:rsid w:val="00A90FF9"/>
    <w:rsid w:val="00A911EF"/>
    <w:rsid w:val="00A91913"/>
    <w:rsid w:val="00A9309D"/>
    <w:rsid w:val="00A93544"/>
    <w:rsid w:val="00A936BE"/>
    <w:rsid w:val="00A93706"/>
    <w:rsid w:val="00A93F84"/>
    <w:rsid w:val="00A9417A"/>
    <w:rsid w:val="00A94C2C"/>
    <w:rsid w:val="00A95506"/>
    <w:rsid w:val="00A9560E"/>
    <w:rsid w:val="00A95724"/>
    <w:rsid w:val="00A95941"/>
    <w:rsid w:val="00A95B74"/>
    <w:rsid w:val="00A95BC8"/>
    <w:rsid w:val="00A95C5C"/>
    <w:rsid w:val="00A96175"/>
    <w:rsid w:val="00A9676C"/>
    <w:rsid w:val="00A967FD"/>
    <w:rsid w:val="00A96AAE"/>
    <w:rsid w:val="00A96AED"/>
    <w:rsid w:val="00A96D5D"/>
    <w:rsid w:val="00A974D3"/>
    <w:rsid w:val="00A97543"/>
    <w:rsid w:val="00A97B47"/>
    <w:rsid w:val="00A97BE8"/>
    <w:rsid w:val="00AA0064"/>
    <w:rsid w:val="00AA019F"/>
    <w:rsid w:val="00AA0456"/>
    <w:rsid w:val="00AA0459"/>
    <w:rsid w:val="00AA0872"/>
    <w:rsid w:val="00AA0A6C"/>
    <w:rsid w:val="00AA121E"/>
    <w:rsid w:val="00AA188C"/>
    <w:rsid w:val="00AA1B28"/>
    <w:rsid w:val="00AA2052"/>
    <w:rsid w:val="00AA2D9D"/>
    <w:rsid w:val="00AA319B"/>
    <w:rsid w:val="00AA3A83"/>
    <w:rsid w:val="00AA3B72"/>
    <w:rsid w:val="00AA3C7C"/>
    <w:rsid w:val="00AA3CBA"/>
    <w:rsid w:val="00AA3E21"/>
    <w:rsid w:val="00AA3E2F"/>
    <w:rsid w:val="00AA40C8"/>
    <w:rsid w:val="00AA429F"/>
    <w:rsid w:val="00AA5966"/>
    <w:rsid w:val="00AA69F4"/>
    <w:rsid w:val="00AA7122"/>
    <w:rsid w:val="00AA7740"/>
    <w:rsid w:val="00AA79AD"/>
    <w:rsid w:val="00AA7F8C"/>
    <w:rsid w:val="00AB05BA"/>
    <w:rsid w:val="00AB06A6"/>
    <w:rsid w:val="00AB08D8"/>
    <w:rsid w:val="00AB124F"/>
    <w:rsid w:val="00AB19B6"/>
    <w:rsid w:val="00AB254B"/>
    <w:rsid w:val="00AB2D87"/>
    <w:rsid w:val="00AB3070"/>
    <w:rsid w:val="00AB320D"/>
    <w:rsid w:val="00AB37AE"/>
    <w:rsid w:val="00AB4204"/>
    <w:rsid w:val="00AB4BA5"/>
    <w:rsid w:val="00AB4C0B"/>
    <w:rsid w:val="00AB6B87"/>
    <w:rsid w:val="00AB75B0"/>
    <w:rsid w:val="00AC0250"/>
    <w:rsid w:val="00AC0CB1"/>
    <w:rsid w:val="00AC0E25"/>
    <w:rsid w:val="00AC1626"/>
    <w:rsid w:val="00AC1988"/>
    <w:rsid w:val="00AC1BF2"/>
    <w:rsid w:val="00AC2013"/>
    <w:rsid w:val="00AC24ED"/>
    <w:rsid w:val="00AC2BF7"/>
    <w:rsid w:val="00AC2D52"/>
    <w:rsid w:val="00AC3166"/>
    <w:rsid w:val="00AC35E6"/>
    <w:rsid w:val="00AC368D"/>
    <w:rsid w:val="00AC3820"/>
    <w:rsid w:val="00AC388C"/>
    <w:rsid w:val="00AC3A7B"/>
    <w:rsid w:val="00AC4199"/>
    <w:rsid w:val="00AC4280"/>
    <w:rsid w:val="00AC4573"/>
    <w:rsid w:val="00AC4948"/>
    <w:rsid w:val="00AC4A53"/>
    <w:rsid w:val="00AC4BE9"/>
    <w:rsid w:val="00AC4C5B"/>
    <w:rsid w:val="00AC4CF9"/>
    <w:rsid w:val="00AC5087"/>
    <w:rsid w:val="00AC512E"/>
    <w:rsid w:val="00AC54A7"/>
    <w:rsid w:val="00AC588F"/>
    <w:rsid w:val="00AC58FB"/>
    <w:rsid w:val="00AC5D19"/>
    <w:rsid w:val="00AC6160"/>
    <w:rsid w:val="00AC6921"/>
    <w:rsid w:val="00AC7606"/>
    <w:rsid w:val="00AC7636"/>
    <w:rsid w:val="00AC777F"/>
    <w:rsid w:val="00AC77B5"/>
    <w:rsid w:val="00AC78F7"/>
    <w:rsid w:val="00AC7A9A"/>
    <w:rsid w:val="00AD084E"/>
    <w:rsid w:val="00AD09E1"/>
    <w:rsid w:val="00AD0BB2"/>
    <w:rsid w:val="00AD19FD"/>
    <w:rsid w:val="00AD1A6F"/>
    <w:rsid w:val="00AD1C5E"/>
    <w:rsid w:val="00AD2440"/>
    <w:rsid w:val="00AD2C72"/>
    <w:rsid w:val="00AD3137"/>
    <w:rsid w:val="00AD3474"/>
    <w:rsid w:val="00AD3C81"/>
    <w:rsid w:val="00AD4569"/>
    <w:rsid w:val="00AD5537"/>
    <w:rsid w:val="00AD58BB"/>
    <w:rsid w:val="00AD5ABC"/>
    <w:rsid w:val="00AD5B34"/>
    <w:rsid w:val="00AD6040"/>
    <w:rsid w:val="00AD6CEA"/>
    <w:rsid w:val="00AD7886"/>
    <w:rsid w:val="00AE03CB"/>
    <w:rsid w:val="00AE0E88"/>
    <w:rsid w:val="00AE126C"/>
    <w:rsid w:val="00AE159B"/>
    <w:rsid w:val="00AE1814"/>
    <w:rsid w:val="00AE22DD"/>
    <w:rsid w:val="00AE31A7"/>
    <w:rsid w:val="00AE355D"/>
    <w:rsid w:val="00AE3D19"/>
    <w:rsid w:val="00AE4E9A"/>
    <w:rsid w:val="00AE6862"/>
    <w:rsid w:val="00AE6977"/>
    <w:rsid w:val="00AE727A"/>
    <w:rsid w:val="00AE764F"/>
    <w:rsid w:val="00AE7A9B"/>
    <w:rsid w:val="00AF0595"/>
    <w:rsid w:val="00AF0D1B"/>
    <w:rsid w:val="00AF0F69"/>
    <w:rsid w:val="00AF17BA"/>
    <w:rsid w:val="00AF18A6"/>
    <w:rsid w:val="00AF1BA7"/>
    <w:rsid w:val="00AF201D"/>
    <w:rsid w:val="00AF208A"/>
    <w:rsid w:val="00AF29A2"/>
    <w:rsid w:val="00AF2A5D"/>
    <w:rsid w:val="00AF2D55"/>
    <w:rsid w:val="00AF3105"/>
    <w:rsid w:val="00AF3147"/>
    <w:rsid w:val="00AF3E77"/>
    <w:rsid w:val="00AF4247"/>
    <w:rsid w:val="00AF45DF"/>
    <w:rsid w:val="00AF4934"/>
    <w:rsid w:val="00AF49CC"/>
    <w:rsid w:val="00AF4BEE"/>
    <w:rsid w:val="00AF5144"/>
    <w:rsid w:val="00AF5204"/>
    <w:rsid w:val="00AF53AE"/>
    <w:rsid w:val="00AF551A"/>
    <w:rsid w:val="00AF5630"/>
    <w:rsid w:val="00AF57EF"/>
    <w:rsid w:val="00AF6179"/>
    <w:rsid w:val="00B0017F"/>
    <w:rsid w:val="00B00311"/>
    <w:rsid w:val="00B0089B"/>
    <w:rsid w:val="00B02188"/>
    <w:rsid w:val="00B02A37"/>
    <w:rsid w:val="00B02BC9"/>
    <w:rsid w:val="00B03388"/>
    <w:rsid w:val="00B03597"/>
    <w:rsid w:val="00B04D31"/>
    <w:rsid w:val="00B0544B"/>
    <w:rsid w:val="00B05670"/>
    <w:rsid w:val="00B05F7B"/>
    <w:rsid w:val="00B06D0D"/>
    <w:rsid w:val="00B06FBC"/>
    <w:rsid w:val="00B072F2"/>
    <w:rsid w:val="00B07AB4"/>
    <w:rsid w:val="00B07DD1"/>
    <w:rsid w:val="00B07FD1"/>
    <w:rsid w:val="00B10797"/>
    <w:rsid w:val="00B1149D"/>
    <w:rsid w:val="00B11719"/>
    <w:rsid w:val="00B11725"/>
    <w:rsid w:val="00B11929"/>
    <w:rsid w:val="00B11B0F"/>
    <w:rsid w:val="00B11B40"/>
    <w:rsid w:val="00B121C5"/>
    <w:rsid w:val="00B1287A"/>
    <w:rsid w:val="00B12CF4"/>
    <w:rsid w:val="00B1364A"/>
    <w:rsid w:val="00B13766"/>
    <w:rsid w:val="00B13DE9"/>
    <w:rsid w:val="00B14413"/>
    <w:rsid w:val="00B14931"/>
    <w:rsid w:val="00B14A61"/>
    <w:rsid w:val="00B14F8C"/>
    <w:rsid w:val="00B15880"/>
    <w:rsid w:val="00B17046"/>
    <w:rsid w:val="00B1725B"/>
    <w:rsid w:val="00B17918"/>
    <w:rsid w:val="00B17CE5"/>
    <w:rsid w:val="00B204F1"/>
    <w:rsid w:val="00B208D0"/>
    <w:rsid w:val="00B21171"/>
    <w:rsid w:val="00B212B1"/>
    <w:rsid w:val="00B21E22"/>
    <w:rsid w:val="00B2224A"/>
    <w:rsid w:val="00B2389B"/>
    <w:rsid w:val="00B23CA7"/>
    <w:rsid w:val="00B24230"/>
    <w:rsid w:val="00B2457B"/>
    <w:rsid w:val="00B24A89"/>
    <w:rsid w:val="00B2504D"/>
    <w:rsid w:val="00B256A8"/>
    <w:rsid w:val="00B265B8"/>
    <w:rsid w:val="00B26A78"/>
    <w:rsid w:val="00B26AD1"/>
    <w:rsid w:val="00B3068C"/>
    <w:rsid w:val="00B30EC4"/>
    <w:rsid w:val="00B31AA5"/>
    <w:rsid w:val="00B32B00"/>
    <w:rsid w:val="00B32DA1"/>
    <w:rsid w:val="00B33025"/>
    <w:rsid w:val="00B33244"/>
    <w:rsid w:val="00B33903"/>
    <w:rsid w:val="00B33A82"/>
    <w:rsid w:val="00B34790"/>
    <w:rsid w:val="00B347C3"/>
    <w:rsid w:val="00B34BA8"/>
    <w:rsid w:val="00B3564D"/>
    <w:rsid w:val="00B3576E"/>
    <w:rsid w:val="00B364B1"/>
    <w:rsid w:val="00B36F11"/>
    <w:rsid w:val="00B372A3"/>
    <w:rsid w:val="00B37645"/>
    <w:rsid w:val="00B37706"/>
    <w:rsid w:val="00B37BF8"/>
    <w:rsid w:val="00B37D16"/>
    <w:rsid w:val="00B37E78"/>
    <w:rsid w:val="00B40065"/>
    <w:rsid w:val="00B40659"/>
    <w:rsid w:val="00B4073D"/>
    <w:rsid w:val="00B40A18"/>
    <w:rsid w:val="00B40C84"/>
    <w:rsid w:val="00B40F9B"/>
    <w:rsid w:val="00B412AE"/>
    <w:rsid w:val="00B413BE"/>
    <w:rsid w:val="00B41547"/>
    <w:rsid w:val="00B41E0E"/>
    <w:rsid w:val="00B41E57"/>
    <w:rsid w:val="00B4255C"/>
    <w:rsid w:val="00B42741"/>
    <w:rsid w:val="00B42E74"/>
    <w:rsid w:val="00B43174"/>
    <w:rsid w:val="00B433B6"/>
    <w:rsid w:val="00B43CC5"/>
    <w:rsid w:val="00B43D6A"/>
    <w:rsid w:val="00B43DE8"/>
    <w:rsid w:val="00B44148"/>
    <w:rsid w:val="00B4505B"/>
    <w:rsid w:val="00B45439"/>
    <w:rsid w:val="00B45649"/>
    <w:rsid w:val="00B461B6"/>
    <w:rsid w:val="00B461D5"/>
    <w:rsid w:val="00B47846"/>
    <w:rsid w:val="00B47D84"/>
    <w:rsid w:val="00B5017E"/>
    <w:rsid w:val="00B50929"/>
    <w:rsid w:val="00B510D0"/>
    <w:rsid w:val="00B5195B"/>
    <w:rsid w:val="00B51D9C"/>
    <w:rsid w:val="00B51ED2"/>
    <w:rsid w:val="00B52C9E"/>
    <w:rsid w:val="00B52DEE"/>
    <w:rsid w:val="00B52E20"/>
    <w:rsid w:val="00B52EA4"/>
    <w:rsid w:val="00B5351E"/>
    <w:rsid w:val="00B53835"/>
    <w:rsid w:val="00B53B42"/>
    <w:rsid w:val="00B53BF9"/>
    <w:rsid w:val="00B5423C"/>
    <w:rsid w:val="00B54E6A"/>
    <w:rsid w:val="00B54F02"/>
    <w:rsid w:val="00B550A4"/>
    <w:rsid w:val="00B55869"/>
    <w:rsid w:val="00B55C60"/>
    <w:rsid w:val="00B56713"/>
    <w:rsid w:val="00B56A59"/>
    <w:rsid w:val="00B56AF3"/>
    <w:rsid w:val="00B5716F"/>
    <w:rsid w:val="00B57327"/>
    <w:rsid w:val="00B57390"/>
    <w:rsid w:val="00B573AC"/>
    <w:rsid w:val="00B609F6"/>
    <w:rsid w:val="00B60B51"/>
    <w:rsid w:val="00B60C8E"/>
    <w:rsid w:val="00B60F1D"/>
    <w:rsid w:val="00B61A03"/>
    <w:rsid w:val="00B62025"/>
    <w:rsid w:val="00B622E7"/>
    <w:rsid w:val="00B63101"/>
    <w:rsid w:val="00B63431"/>
    <w:rsid w:val="00B634B8"/>
    <w:rsid w:val="00B64216"/>
    <w:rsid w:val="00B64436"/>
    <w:rsid w:val="00B64EE9"/>
    <w:rsid w:val="00B64FDC"/>
    <w:rsid w:val="00B6616D"/>
    <w:rsid w:val="00B662BE"/>
    <w:rsid w:val="00B677E3"/>
    <w:rsid w:val="00B6789B"/>
    <w:rsid w:val="00B67B12"/>
    <w:rsid w:val="00B700AA"/>
    <w:rsid w:val="00B71195"/>
    <w:rsid w:val="00B718EE"/>
    <w:rsid w:val="00B7197A"/>
    <w:rsid w:val="00B729DF"/>
    <w:rsid w:val="00B73998"/>
    <w:rsid w:val="00B73CD4"/>
    <w:rsid w:val="00B747E4"/>
    <w:rsid w:val="00B74D6E"/>
    <w:rsid w:val="00B74EDD"/>
    <w:rsid w:val="00B75038"/>
    <w:rsid w:val="00B750F5"/>
    <w:rsid w:val="00B758A6"/>
    <w:rsid w:val="00B75E24"/>
    <w:rsid w:val="00B75F8B"/>
    <w:rsid w:val="00B76012"/>
    <w:rsid w:val="00B760E1"/>
    <w:rsid w:val="00B76103"/>
    <w:rsid w:val="00B76768"/>
    <w:rsid w:val="00B774D8"/>
    <w:rsid w:val="00B776E9"/>
    <w:rsid w:val="00B778CB"/>
    <w:rsid w:val="00B77C57"/>
    <w:rsid w:val="00B77D45"/>
    <w:rsid w:val="00B80C03"/>
    <w:rsid w:val="00B80CF8"/>
    <w:rsid w:val="00B80EAE"/>
    <w:rsid w:val="00B81738"/>
    <w:rsid w:val="00B81BD1"/>
    <w:rsid w:val="00B820FB"/>
    <w:rsid w:val="00B82304"/>
    <w:rsid w:val="00B830A2"/>
    <w:rsid w:val="00B83D70"/>
    <w:rsid w:val="00B83DCF"/>
    <w:rsid w:val="00B8434A"/>
    <w:rsid w:val="00B843F7"/>
    <w:rsid w:val="00B84A0A"/>
    <w:rsid w:val="00B853F2"/>
    <w:rsid w:val="00B8543B"/>
    <w:rsid w:val="00B85B0D"/>
    <w:rsid w:val="00B85CF1"/>
    <w:rsid w:val="00B85F37"/>
    <w:rsid w:val="00B86117"/>
    <w:rsid w:val="00B863ED"/>
    <w:rsid w:val="00B868F5"/>
    <w:rsid w:val="00B871F6"/>
    <w:rsid w:val="00B87A10"/>
    <w:rsid w:val="00B87ABE"/>
    <w:rsid w:val="00B90432"/>
    <w:rsid w:val="00B90474"/>
    <w:rsid w:val="00B90A4D"/>
    <w:rsid w:val="00B90A97"/>
    <w:rsid w:val="00B9110A"/>
    <w:rsid w:val="00B91B77"/>
    <w:rsid w:val="00B92469"/>
    <w:rsid w:val="00B9249E"/>
    <w:rsid w:val="00B92A37"/>
    <w:rsid w:val="00B92C7D"/>
    <w:rsid w:val="00B936A9"/>
    <w:rsid w:val="00B93B0F"/>
    <w:rsid w:val="00B93DE5"/>
    <w:rsid w:val="00B94C7F"/>
    <w:rsid w:val="00B954F9"/>
    <w:rsid w:val="00B957D3"/>
    <w:rsid w:val="00B95E20"/>
    <w:rsid w:val="00B96C97"/>
    <w:rsid w:val="00B96EEE"/>
    <w:rsid w:val="00B971A4"/>
    <w:rsid w:val="00B97CBA"/>
    <w:rsid w:val="00BA0EEB"/>
    <w:rsid w:val="00BA12A7"/>
    <w:rsid w:val="00BA1434"/>
    <w:rsid w:val="00BA1819"/>
    <w:rsid w:val="00BA279D"/>
    <w:rsid w:val="00BA33F6"/>
    <w:rsid w:val="00BA3854"/>
    <w:rsid w:val="00BA3D60"/>
    <w:rsid w:val="00BA41C2"/>
    <w:rsid w:val="00BA4259"/>
    <w:rsid w:val="00BA435D"/>
    <w:rsid w:val="00BA4BCD"/>
    <w:rsid w:val="00BA53D9"/>
    <w:rsid w:val="00BA552D"/>
    <w:rsid w:val="00BA558A"/>
    <w:rsid w:val="00BA6519"/>
    <w:rsid w:val="00BA70CE"/>
    <w:rsid w:val="00BA7140"/>
    <w:rsid w:val="00BA7698"/>
    <w:rsid w:val="00BA7D67"/>
    <w:rsid w:val="00BB0233"/>
    <w:rsid w:val="00BB04AE"/>
    <w:rsid w:val="00BB1C98"/>
    <w:rsid w:val="00BB1FC2"/>
    <w:rsid w:val="00BB210C"/>
    <w:rsid w:val="00BB22B5"/>
    <w:rsid w:val="00BB25A0"/>
    <w:rsid w:val="00BB3B44"/>
    <w:rsid w:val="00BB4188"/>
    <w:rsid w:val="00BB449A"/>
    <w:rsid w:val="00BB5A14"/>
    <w:rsid w:val="00BB6DE1"/>
    <w:rsid w:val="00BB7901"/>
    <w:rsid w:val="00BB7D87"/>
    <w:rsid w:val="00BC003E"/>
    <w:rsid w:val="00BC0994"/>
    <w:rsid w:val="00BC14FC"/>
    <w:rsid w:val="00BC21A4"/>
    <w:rsid w:val="00BC2998"/>
    <w:rsid w:val="00BC2A5A"/>
    <w:rsid w:val="00BC30B9"/>
    <w:rsid w:val="00BC3362"/>
    <w:rsid w:val="00BC3D4E"/>
    <w:rsid w:val="00BC4E60"/>
    <w:rsid w:val="00BC5356"/>
    <w:rsid w:val="00BC5772"/>
    <w:rsid w:val="00BC5FC5"/>
    <w:rsid w:val="00BC62F4"/>
    <w:rsid w:val="00BC7163"/>
    <w:rsid w:val="00BC7E7D"/>
    <w:rsid w:val="00BD0A45"/>
    <w:rsid w:val="00BD107E"/>
    <w:rsid w:val="00BD12C4"/>
    <w:rsid w:val="00BD14CB"/>
    <w:rsid w:val="00BD22CD"/>
    <w:rsid w:val="00BD29C8"/>
    <w:rsid w:val="00BD3182"/>
    <w:rsid w:val="00BD34AD"/>
    <w:rsid w:val="00BD3644"/>
    <w:rsid w:val="00BD393B"/>
    <w:rsid w:val="00BD3FD2"/>
    <w:rsid w:val="00BD4A04"/>
    <w:rsid w:val="00BD50F5"/>
    <w:rsid w:val="00BD5253"/>
    <w:rsid w:val="00BD53E4"/>
    <w:rsid w:val="00BD5809"/>
    <w:rsid w:val="00BD698B"/>
    <w:rsid w:val="00BD715D"/>
    <w:rsid w:val="00BD7362"/>
    <w:rsid w:val="00BD7412"/>
    <w:rsid w:val="00BD7953"/>
    <w:rsid w:val="00BD7EA4"/>
    <w:rsid w:val="00BE064B"/>
    <w:rsid w:val="00BE098E"/>
    <w:rsid w:val="00BE0AAB"/>
    <w:rsid w:val="00BE10BC"/>
    <w:rsid w:val="00BE2384"/>
    <w:rsid w:val="00BE3159"/>
    <w:rsid w:val="00BE3E57"/>
    <w:rsid w:val="00BE412F"/>
    <w:rsid w:val="00BE4D1C"/>
    <w:rsid w:val="00BE508B"/>
    <w:rsid w:val="00BE516C"/>
    <w:rsid w:val="00BE54E3"/>
    <w:rsid w:val="00BE5ADA"/>
    <w:rsid w:val="00BE5FBB"/>
    <w:rsid w:val="00BE605E"/>
    <w:rsid w:val="00BE639B"/>
    <w:rsid w:val="00BE66E7"/>
    <w:rsid w:val="00BE66FF"/>
    <w:rsid w:val="00BE6CE4"/>
    <w:rsid w:val="00BF0B32"/>
    <w:rsid w:val="00BF0CB6"/>
    <w:rsid w:val="00BF11E5"/>
    <w:rsid w:val="00BF18E4"/>
    <w:rsid w:val="00BF1AC7"/>
    <w:rsid w:val="00BF1F9B"/>
    <w:rsid w:val="00BF217F"/>
    <w:rsid w:val="00BF2D0D"/>
    <w:rsid w:val="00BF464B"/>
    <w:rsid w:val="00BF4879"/>
    <w:rsid w:val="00BF48F5"/>
    <w:rsid w:val="00BF54D5"/>
    <w:rsid w:val="00BF5942"/>
    <w:rsid w:val="00BF6285"/>
    <w:rsid w:val="00BF711E"/>
    <w:rsid w:val="00BF71ED"/>
    <w:rsid w:val="00BF7292"/>
    <w:rsid w:val="00BF76B9"/>
    <w:rsid w:val="00C00432"/>
    <w:rsid w:val="00C00F24"/>
    <w:rsid w:val="00C01507"/>
    <w:rsid w:val="00C016FE"/>
    <w:rsid w:val="00C0224B"/>
    <w:rsid w:val="00C0241F"/>
    <w:rsid w:val="00C0253F"/>
    <w:rsid w:val="00C02F22"/>
    <w:rsid w:val="00C03319"/>
    <w:rsid w:val="00C03B1E"/>
    <w:rsid w:val="00C03EA9"/>
    <w:rsid w:val="00C040DE"/>
    <w:rsid w:val="00C0419D"/>
    <w:rsid w:val="00C0468E"/>
    <w:rsid w:val="00C04B10"/>
    <w:rsid w:val="00C04E21"/>
    <w:rsid w:val="00C052C6"/>
    <w:rsid w:val="00C055B1"/>
    <w:rsid w:val="00C0567A"/>
    <w:rsid w:val="00C0608A"/>
    <w:rsid w:val="00C06D61"/>
    <w:rsid w:val="00C073C3"/>
    <w:rsid w:val="00C076A7"/>
    <w:rsid w:val="00C076CD"/>
    <w:rsid w:val="00C07BA1"/>
    <w:rsid w:val="00C112F7"/>
    <w:rsid w:val="00C118A5"/>
    <w:rsid w:val="00C11D78"/>
    <w:rsid w:val="00C12061"/>
    <w:rsid w:val="00C120B6"/>
    <w:rsid w:val="00C12CBA"/>
    <w:rsid w:val="00C1310C"/>
    <w:rsid w:val="00C13344"/>
    <w:rsid w:val="00C13FC1"/>
    <w:rsid w:val="00C150CF"/>
    <w:rsid w:val="00C15631"/>
    <w:rsid w:val="00C15A8C"/>
    <w:rsid w:val="00C15B44"/>
    <w:rsid w:val="00C161DF"/>
    <w:rsid w:val="00C169EB"/>
    <w:rsid w:val="00C16E25"/>
    <w:rsid w:val="00C17247"/>
    <w:rsid w:val="00C17A9C"/>
    <w:rsid w:val="00C17CE0"/>
    <w:rsid w:val="00C20909"/>
    <w:rsid w:val="00C2186D"/>
    <w:rsid w:val="00C22556"/>
    <w:rsid w:val="00C225C0"/>
    <w:rsid w:val="00C22CDC"/>
    <w:rsid w:val="00C22FA2"/>
    <w:rsid w:val="00C23013"/>
    <w:rsid w:val="00C23097"/>
    <w:rsid w:val="00C23188"/>
    <w:rsid w:val="00C233F8"/>
    <w:rsid w:val="00C24AC3"/>
    <w:rsid w:val="00C24D3A"/>
    <w:rsid w:val="00C25067"/>
    <w:rsid w:val="00C255E7"/>
    <w:rsid w:val="00C258DA"/>
    <w:rsid w:val="00C260F5"/>
    <w:rsid w:val="00C27507"/>
    <w:rsid w:val="00C27A1F"/>
    <w:rsid w:val="00C27A80"/>
    <w:rsid w:val="00C30F73"/>
    <w:rsid w:val="00C326FD"/>
    <w:rsid w:val="00C33223"/>
    <w:rsid w:val="00C33533"/>
    <w:rsid w:val="00C3353C"/>
    <w:rsid w:val="00C33741"/>
    <w:rsid w:val="00C3427C"/>
    <w:rsid w:val="00C345B0"/>
    <w:rsid w:val="00C34801"/>
    <w:rsid w:val="00C34C58"/>
    <w:rsid w:val="00C36785"/>
    <w:rsid w:val="00C36AC1"/>
    <w:rsid w:val="00C36E73"/>
    <w:rsid w:val="00C402B6"/>
    <w:rsid w:val="00C4064F"/>
    <w:rsid w:val="00C407E9"/>
    <w:rsid w:val="00C40B93"/>
    <w:rsid w:val="00C40D9A"/>
    <w:rsid w:val="00C41F1B"/>
    <w:rsid w:val="00C42FBB"/>
    <w:rsid w:val="00C4354B"/>
    <w:rsid w:val="00C44153"/>
    <w:rsid w:val="00C442DF"/>
    <w:rsid w:val="00C44D28"/>
    <w:rsid w:val="00C45899"/>
    <w:rsid w:val="00C462F9"/>
    <w:rsid w:val="00C46EFD"/>
    <w:rsid w:val="00C4703B"/>
    <w:rsid w:val="00C502DB"/>
    <w:rsid w:val="00C50982"/>
    <w:rsid w:val="00C50D94"/>
    <w:rsid w:val="00C50DC9"/>
    <w:rsid w:val="00C51073"/>
    <w:rsid w:val="00C51561"/>
    <w:rsid w:val="00C51779"/>
    <w:rsid w:val="00C5262B"/>
    <w:rsid w:val="00C532F9"/>
    <w:rsid w:val="00C533C4"/>
    <w:rsid w:val="00C538E3"/>
    <w:rsid w:val="00C53E8C"/>
    <w:rsid w:val="00C54109"/>
    <w:rsid w:val="00C54136"/>
    <w:rsid w:val="00C541E1"/>
    <w:rsid w:val="00C54416"/>
    <w:rsid w:val="00C5486D"/>
    <w:rsid w:val="00C54A83"/>
    <w:rsid w:val="00C54D7F"/>
    <w:rsid w:val="00C550D1"/>
    <w:rsid w:val="00C552BF"/>
    <w:rsid w:val="00C5610C"/>
    <w:rsid w:val="00C56171"/>
    <w:rsid w:val="00C56438"/>
    <w:rsid w:val="00C56668"/>
    <w:rsid w:val="00C5670A"/>
    <w:rsid w:val="00C5687B"/>
    <w:rsid w:val="00C57042"/>
    <w:rsid w:val="00C5777E"/>
    <w:rsid w:val="00C57CC3"/>
    <w:rsid w:val="00C60E03"/>
    <w:rsid w:val="00C61073"/>
    <w:rsid w:val="00C611AE"/>
    <w:rsid w:val="00C61A3F"/>
    <w:rsid w:val="00C61F7F"/>
    <w:rsid w:val="00C62363"/>
    <w:rsid w:val="00C6260E"/>
    <w:rsid w:val="00C62691"/>
    <w:rsid w:val="00C62C75"/>
    <w:rsid w:val="00C62D2A"/>
    <w:rsid w:val="00C62D68"/>
    <w:rsid w:val="00C632EC"/>
    <w:rsid w:val="00C634AD"/>
    <w:rsid w:val="00C63FDF"/>
    <w:rsid w:val="00C6458B"/>
    <w:rsid w:val="00C647D0"/>
    <w:rsid w:val="00C64902"/>
    <w:rsid w:val="00C65049"/>
    <w:rsid w:val="00C650AC"/>
    <w:rsid w:val="00C65694"/>
    <w:rsid w:val="00C65DE0"/>
    <w:rsid w:val="00C66CC0"/>
    <w:rsid w:val="00C674E4"/>
    <w:rsid w:val="00C67511"/>
    <w:rsid w:val="00C67725"/>
    <w:rsid w:val="00C67B7C"/>
    <w:rsid w:val="00C711C5"/>
    <w:rsid w:val="00C71FD3"/>
    <w:rsid w:val="00C722FD"/>
    <w:rsid w:val="00C7260C"/>
    <w:rsid w:val="00C7277D"/>
    <w:rsid w:val="00C72AC4"/>
    <w:rsid w:val="00C72B25"/>
    <w:rsid w:val="00C732BD"/>
    <w:rsid w:val="00C734DA"/>
    <w:rsid w:val="00C73D3A"/>
    <w:rsid w:val="00C73E2D"/>
    <w:rsid w:val="00C74A2A"/>
    <w:rsid w:val="00C750D2"/>
    <w:rsid w:val="00C75303"/>
    <w:rsid w:val="00C75439"/>
    <w:rsid w:val="00C75491"/>
    <w:rsid w:val="00C75F79"/>
    <w:rsid w:val="00C76A21"/>
    <w:rsid w:val="00C76C6B"/>
    <w:rsid w:val="00C770A0"/>
    <w:rsid w:val="00C77EDB"/>
    <w:rsid w:val="00C77FDD"/>
    <w:rsid w:val="00C8076C"/>
    <w:rsid w:val="00C80C6A"/>
    <w:rsid w:val="00C80CDB"/>
    <w:rsid w:val="00C80F5B"/>
    <w:rsid w:val="00C81041"/>
    <w:rsid w:val="00C81376"/>
    <w:rsid w:val="00C81880"/>
    <w:rsid w:val="00C81AE1"/>
    <w:rsid w:val="00C81EB6"/>
    <w:rsid w:val="00C82079"/>
    <w:rsid w:val="00C82437"/>
    <w:rsid w:val="00C82463"/>
    <w:rsid w:val="00C82EB5"/>
    <w:rsid w:val="00C8325A"/>
    <w:rsid w:val="00C83360"/>
    <w:rsid w:val="00C8362D"/>
    <w:rsid w:val="00C84AA3"/>
    <w:rsid w:val="00C84F8E"/>
    <w:rsid w:val="00C851CF"/>
    <w:rsid w:val="00C85373"/>
    <w:rsid w:val="00C8595C"/>
    <w:rsid w:val="00C861E4"/>
    <w:rsid w:val="00C86626"/>
    <w:rsid w:val="00C87BFD"/>
    <w:rsid w:val="00C87E48"/>
    <w:rsid w:val="00C90094"/>
    <w:rsid w:val="00C900BD"/>
    <w:rsid w:val="00C90610"/>
    <w:rsid w:val="00C90676"/>
    <w:rsid w:val="00C90C09"/>
    <w:rsid w:val="00C91743"/>
    <w:rsid w:val="00C92D13"/>
    <w:rsid w:val="00C92E07"/>
    <w:rsid w:val="00C92E93"/>
    <w:rsid w:val="00C93426"/>
    <w:rsid w:val="00C93FCB"/>
    <w:rsid w:val="00C9432E"/>
    <w:rsid w:val="00C9512F"/>
    <w:rsid w:val="00C951C6"/>
    <w:rsid w:val="00C96138"/>
    <w:rsid w:val="00C9646A"/>
    <w:rsid w:val="00C969B0"/>
    <w:rsid w:val="00C96E61"/>
    <w:rsid w:val="00C97DB2"/>
    <w:rsid w:val="00C97FB5"/>
    <w:rsid w:val="00CA03E2"/>
    <w:rsid w:val="00CA0A8A"/>
    <w:rsid w:val="00CA1FE5"/>
    <w:rsid w:val="00CA2094"/>
    <w:rsid w:val="00CA2BE8"/>
    <w:rsid w:val="00CA3E36"/>
    <w:rsid w:val="00CA3ED1"/>
    <w:rsid w:val="00CA4281"/>
    <w:rsid w:val="00CA4323"/>
    <w:rsid w:val="00CA47C2"/>
    <w:rsid w:val="00CA4A53"/>
    <w:rsid w:val="00CA4F34"/>
    <w:rsid w:val="00CA5632"/>
    <w:rsid w:val="00CA5F6F"/>
    <w:rsid w:val="00CA727C"/>
    <w:rsid w:val="00CA7804"/>
    <w:rsid w:val="00CB02C0"/>
    <w:rsid w:val="00CB0456"/>
    <w:rsid w:val="00CB04EE"/>
    <w:rsid w:val="00CB0716"/>
    <w:rsid w:val="00CB0821"/>
    <w:rsid w:val="00CB15A1"/>
    <w:rsid w:val="00CB16EB"/>
    <w:rsid w:val="00CB17DB"/>
    <w:rsid w:val="00CB29F3"/>
    <w:rsid w:val="00CB2CB9"/>
    <w:rsid w:val="00CB2D67"/>
    <w:rsid w:val="00CB2FEC"/>
    <w:rsid w:val="00CB33D9"/>
    <w:rsid w:val="00CB3942"/>
    <w:rsid w:val="00CB3BB2"/>
    <w:rsid w:val="00CB3CDA"/>
    <w:rsid w:val="00CB497D"/>
    <w:rsid w:val="00CB4F33"/>
    <w:rsid w:val="00CB53DD"/>
    <w:rsid w:val="00CB5F56"/>
    <w:rsid w:val="00CB62CB"/>
    <w:rsid w:val="00CB63A8"/>
    <w:rsid w:val="00CB64DA"/>
    <w:rsid w:val="00CB6505"/>
    <w:rsid w:val="00CB764C"/>
    <w:rsid w:val="00CB7A6C"/>
    <w:rsid w:val="00CC06FC"/>
    <w:rsid w:val="00CC1024"/>
    <w:rsid w:val="00CC1B62"/>
    <w:rsid w:val="00CC1C79"/>
    <w:rsid w:val="00CC1E69"/>
    <w:rsid w:val="00CC28FA"/>
    <w:rsid w:val="00CC2C2F"/>
    <w:rsid w:val="00CC2F43"/>
    <w:rsid w:val="00CC30B9"/>
    <w:rsid w:val="00CC314B"/>
    <w:rsid w:val="00CC3668"/>
    <w:rsid w:val="00CC4A4A"/>
    <w:rsid w:val="00CC4FF0"/>
    <w:rsid w:val="00CC5174"/>
    <w:rsid w:val="00CC518E"/>
    <w:rsid w:val="00CC557A"/>
    <w:rsid w:val="00CC60A9"/>
    <w:rsid w:val="00CC6532"/>
    <w:rsid w:val="00CC6C58"/>
    <w:rsid w:val="00CC6E68"/>
    <w:rsid w:val="00CC74E5"/>
    <w:rsid w:val="00CC75D6"/>
    <w:rsid w:val="00CC78C0"/>
    <w:rsid w:val="00CC7F73"/>
    <w:rsid w:val="00CD03BE"/>
    <w:rsid w:val="00CD044D"/>
    <w:rsid w:val="00CD0CFC"/>
    <w:rsid w:val="00CD112C"/>
    <w:rsid w:val="00CD1706"/>
    <w:rsid w:val="00CD1BA4"/>
    <w:rsid w:val="00CD1E12"/>
    <w:rsid w:val="00CD3127"/>
    <w:rsid w:val="00CD5040"/>
    <w:rsid w:val="00CD55CB"/>
    <w:rsid w:val="00CD5D83"/>
    <w:rsid w:val="00CD7933"/>
    <w:rsid w:val="00CD79ED"/>
    <w:rsid w:val="00CE008F"/>
    <w:rsid w:val="00CE03C3"/>
    <w:rsid w:val="00CE0589"/>
    <w:rsid w:val="00CE0A52"/>
    <w:rsid w:val="00CE109E"/>
    <w:rsid w:val="00CE1114"/>
    <w:rsid w:val="00CE155A"/>
    <w:rsid w:val="00CE195D"/>
    <w:rsid w:val="00CE1AA7"/>
    <w:rsid w:val="00CE1BCC"/>
    <w:rsid w:val="00CE1D50"/>
    <w:rsid w:val="00CE2394"/>
    <w:rsid w:val="00CE23B1"/>
    <w:rsid w:val="00CE2401"/>
    <w:rsid w:val="00CE3151"/>
    <w:rsid w:val="00CE3B42"/>
    <w:rsid w:val="00CE3D61"/>
    <w:rsid w:val="00CE3FA3"/>
    <w:rsid w:val="00CE434A"/>
    <w:rsid w:val="00CE4B55"/>
    <w:rsid w:val="00CE52DF"/>
    <w:rsid w:val="00CE5B05"/>
    <w:rsid w:val="00CE5F2F"/>
    <w:rsid w:val="00CE603B"/>
    <w:rsid w:val="00CE6BBD"/>
    <w:rsid w:val="00CE72B0"/>
    <w:rsid w:val="00CE770E"/>
    <w:rsid w:val="00CE7CD8"/>
    <w:rsid w:val="00CE7EE3"/>
    <w:rsid w:val="00CE7F7D"/>
    <w:rsid w:val="00CF0BF8"/>
    <w:rsid w:val="00CF1037"/>
    <w:rsid w:val="00CF1FE2"/>
    <w:rsid w:val="00CF2312"/>
    <w:rsid w:val="00CF2BCE"/>
    <w:rsid w:val="00CF37A7"/>
    <w:rsid w:val="00CF393F"/>
    <w:rsid w:val="00CF3955"/>
    <w:rsid w:val="00CF3D71"/>
    <w:rsid w:val="00CF4044"/>
    <w:rsid w:val="00CF40A2"/>
    <w:rsid w:val="00CF438B"/>
    <w:rsid w:val="00CF444B"/>
    <w:rsid w:val="00CF44E5"/>
    <w:rsid w:val="00CF482E"/>
    <w:rsid w:val="00CF4B30"/>
    <w:rsid w:val="00CF4EB6"/>
    <w:rsid w:val="00CF4ECF"/>
    <w:rsid w:val="00CF5185"/>
    <w:rsid w:val="00CF5496"/>
    <w:rsid w:val="00CF5F8B"/>
    <w:rsid w:val="00CF7425"/>
    <w:rsid w:val="00CF7D07"/>
    <w:rsid w:val="00D00305"/>
    <w:rsid w:val="00D01366"/>
    <w:rsid w:val="00D0140D"/>
    <w:rsid w:val="00D01B82"/>
    <w:rsid w:val="00D01D31"/>
    <w:rsid w:val="00D024FE"/>
    <w:rsid w:val="00D033AE"/>
    <w:rsid w:val="00D0364F"/>
    <w:rsid w:val="00D0385F"/>
    <w:rsid w:val="00D038EB"/>
    <w:rsid w:val="00D039A8"/>
    <w:rsid w:val="00D03A99"/>
    <w:rsid w:val="00D0402F"/>
    <w:rsid w:val="00D04E37"/>
    <w:rsid w:val="00D0521B"/>
    <w:rsid w:val="00D058CD"/>
    <w:rsid w:val="00D061E6"/>
    <w:rsid w:val="00D0771B"/>
    <w:rsid w:val="00D07A1B"/>
    <w:rsid w:val="00D102D5"/>
    <w:rsid w:val="00D1050F"/>
    <w:rsid w:val="00D108D0"/>
    <w:rsid w:val="00D10F1A"/>
    <w:rsid w:val="00D132EA"/>
    <w:rsid w:val="00D134D9"/>
    <w:rsid w:val="00D1392C"/>
    <w:rsid w:val="00D13959"/>
    <w:rsid w:val="00D146B4"/>
    <w:rsid w:val="00D14C73"/>
    <w:rsid w:val="00D1502F"/>
    <w:rsid w:val="00D150F4"/>
    <w:rsid w:val="00D1528B"/>
    <w:rsid w:val="00D156D3"/>
    <w:rsid w:val="00D1571C"/>
    <w:rsid w:val="00D15EC3"/>
    <w:rsid w:val="00D16452"/>
    <w:rsid w:val="00D16509"/>
    <w:rsid w:val="00D16A8D"/>
    <w:rsid w:val="00D209CA"/>
    <w:rsid w:val="00D21719"/>
    <w:rsid w:val="00D21AFE"/>
    <w:rsid w:val="00D21D05"/>
    <w:rsid w:val="00D222E9"/>
    <w:rsid w:val="00D223C4"/>
    <w:rsid w:val="00D2247D"/>
    <w:rsid w:val="00D229BD"/>
    <w:rsid w:val="00D22DB3"/>
    <w:rsid w:val="00D22FEA"/>
    <w:rsid w:val="00D23008"/>
    <w:rsid w:val="00D23E26"/>
    <w:rsid w:val="00D23FF2"/>
    <w:rsid w:val="00D24086"/>
    <w:rsid w:val="00D24B51"/>
    <w:rsid w:val="00D2526F"/>
    <w:rsid w:val="00D254F6"/>
    <w:rsid w:val="00D25C43"/>
    <w:rsid w:val="00D25DED"/>
    <w:rsid w:val="00D25F56"/>
    <w:rsid w:val="00D262A6"/>
    <w:rsid w:val="00D26FF3"/>
    <w:rsid w:val="00D274D4"/>
    <w:rsid w:val="00D27913"/>
    <w:rsid w:val="00D27B98"/>
    <w:rsid w:val="00D3029F"/>
    <w:rsid w:val="00D30813"/>
    <w:rsid w:val="00D30985"/>
    <w:rsid w:val="00D30EA0"/>
    <w:rsid w:val="00D312B3"/>
    <w:rsid w:val="00D31B2D"/>
    <w:rsid w:val="00D31C43"/>
    <w:rsid w:val="00D31E35"/>
    <w:rsid w:val="00D32552"/>
    <w:rsid w:val="00D32E33"/>
    <w:rsid w:val="00D33A1E"/>
    <w:rsid w:val="00D33A6C"/>
    <w:rsid w:val="00D33D2D"/>
    <w:rsid w:val="00D34885"/>
    <w:rsid w:val="00D3495B"/>
    <w:rsid w:val="00D34E60"/>
    <w:rsid w:val="00D34E88"/>
    <w:rsid w:val="00D36823"/>
    <w:rsid w:val="00D36BB3"/>
    <w:rsid w:val="00D37903"/>
    <w:rsid w:val="00D4030C"/>
    <w:rsid w:val="00D4104C"/>
    <w:rsid w:val="00D4202C"/>
    <w:rsid w:val="00D434DD"/>
    <w:rsid w:val="00D43D8D"/>
    <w:rsid w:val="00D448A2"/>
    <w:rsid w:val="00D44AB9"/>
    <w:rsid w:val="00D44D68"/>
    <w:rsid w:val="00D471E9"/>
    <w:rsid w:val="00D47A6E"/>
    <w:rsid w:val="00D500A6"/>
    <w:rsid w:val="00D50C9D"/>
    <w:rsid w:val="00D51F41"/>
    <w:rsid w:val="00D52D6D"/>
    <w:rsid w:val="00D536B7"/>
    <w:rsid w:val="00D5392B"/>
    <w:rsid w:val="00D542F0"/>
    <w:rsid w:val="00D550DA"/>
    <w:rsid w:val="00D55441"/>
    <w:rsid w:val="00D55CC9"/>
    <w:rsid w:val="00D55F86"/>
    <w:rsid w:val="00D56C6E"/>
    <w:rsid w:val="00D56D2C"/>
    <w:rsid w:val="00D57108"/>
    <w:rsid w:val="00D60221"/>
    <w:rsid w:val="00D609BD"/>
    <w:rsid w:val="00D611BE"/>
    <w:rsid w:val="00D6126C"/>
    <w:rsid w:val="00D619E9"/>
    <w:rsid w:val="00D61AA0"/>
    <w:rsid w:val="00D6228D"/>
    <w:rsid w:val="00D62F52"/>
    <w:rsid w:val="00D635AC"/>
    <w:rsid w:val="00D6479D"/>
    <w:rsid w:val="00D649D1"/>
    <w:rsid w:val="00D64E46"/>
    <w:rsid w:val="00D6587A"/>
    <w:rsid w:val="00D66A52"/>
    <w:rsid w:val="00D66F93"/>
    <w:rsid w:val="00D677E5"/>
    <w:rsid w:val="00D70259"/>
    <w:rsid w:val="00D707E4"/>
    <w:rsid w:val="00D70915"/>
    <w:rsid w:val="00D70CFC"/>
    <w:rsid w:val="00D70D56"/>
    <w:rsid w:val="00D70E89"/>
    <w:rsid w:val="00D7171D"/>
    <w:rsid w:val="00D72337"/>
    <w:rsid w:val="00D727EB"/>
    <w:rsid w:val="00D728A7"/>
    <w:rsid w:val="00D72CC9"/>
    <w:rsid w:val="00D73593"/>
    <w:rsid w:val="00D73902"/>
    <w:rsid w:val="00D73C75"/>
    <w:rsid w:val="00D73FC1"/>
    <w:rsid w:val="00D7414A"/>
    <w:rsid w:val="00D74551"/>
    <w:rsid w:val="00D747EA"/>
    <w:rsid w:val="00D74986"/>
    <w:rsid w:val="00D74C8C"/>
    <w:rsid w:val="00D75696"/>
    <w:rsid w:val="00D75F00"/>
    <w:rsid w:val="00D7668C"/>
    <w:rsid w:val="00D77211"/>
    <w:rsid w:val="00D77760"/>
    <w:rsid w:val="00D80248"/>
    <w:rsid w:val="00D80461"/>
    <w:rsid w:val="00D8085E"/>
    <w:rsid w:val="00D80BD9"/>
    <w:rsid w:val="00D81347"/>
    <w:rsid w:val="00D8139F"/>
    <w:rsid w:val="00D813BF"/>
    <w:rsid w:val="00D81B66"/>
    <w:rsid w:val="00D81DD6"/>
    <w:rsid w:val="00D82743"/>
    <w:rsid w:val="00D839D0"/>
    <w:rsid w:val="00D83B85"/>
    <w:rsid w:val="00D841E5"/>
    <w:rsid w:val="00D84A6F"/>
    <w:rsid w:val="00D84EF8"/>
    <w:rsid w:val="00D850D4"/>
    <w:rsid w:val="00D85691"/>
    <w:rsid w:val="00D85763"/>
    <w:rsid w:val="00D857DA"/>
    <w:rsid w:val="00D865E1"/>
    <w:rsid w:val="00D86E57"/>
    <w:rsid w:val="00D874CC"/>
    <w:rsid w:val="00D87658"/>
    <w:rsid w:val="00D87876"/>
    <w:rsid w:val="00D90497"/>
    <w:rsid w:val="00D90F54"/>
    <w:rsid w:val="00D917CB"/>
    <w:rsid w:val="00D930EF"/>
    <w:rsid w:val="00D935EE"/>
    <w:rsid w:val="00D94022"/>
    <w:rsid w:val="00D946B5"/>
    <w:rsid w:val="00D94B62"/>
    <w:rsid w:val="00D9558D"/>
    <w:rsid w:val="00D956EA"/>
    <w:rsid w:val="00D95D72"/>
    <w:rsid w:val="00D96FD3"/>
    <w:rsid w:val="00D97404"/>
    <w:rsid w:val="00D976B3"/>
    <w:rsid w:val="00D97A79"/>
    <w:rsid w:val="00D97F2D"/>
    <w:rsid w:val="00DA035F"/>
    <w:rsid w:val="00DA12A8"/>
    <w:rsid w:val="00DA1D03"/>
    <w:rsid w:val="00DA1D6E"/>
    <w:rsid w:val="00DA1F20"/>
    <w:rsid w:val="00DA2699"/>
    <w:rsid w:val="00DA3A1A"/>
    <w:rsid w:val="00DA46C9"/>
    <w:rsid w:val="00DA5E50"/>
    <w:rsid w:val="00DA6B3D"/>
    <w:rsid w:val="00DA6D6E"/>
    <w:rsid w:val="00DB0016"/>
    <w:rsid w:val="00DB018F"/>
    <w:rsid w:val="00DB08DD"/>
    <w:rsid w:val="00DB1311"/>
    <w:rsid w:val="00DB15E2"/>
    <w:rsid w:val="00DB1BF3"/>
    <w:rsid w:val="00DB27DB"/>
    <w:rsid w:val="00DB2DFF"/>
    <w:rsid w:val="00DB2E8F"/>
    <w:rsid w:val="00DB344E"/>
    <w:rsid w:val="00DB4744"/>
    <w:rsid w:val="00DB4C59"/>
    <w:rsid w:val="00DB4CA9"/>
    <w:rsid w:val="00DB5012"/>
    <w:rsid w:val="00DB5465"/>
    <w:rsid w:val="00DB59E2"/>
    <w:rsid w:val="00DB6102"/>
    <w:rsid w:val="00DB64E4"/>
    <w:rsid w:val="00DB7109"/>
    <w:rsid w:val="00DB713B"/>
    <w:rsid w:val="00DB75D7"/>
    <w:rsid w:val="00DB7715"/>
    <w:rsid w:val="00DC0357"/>
    <w:rsid w:val="00DC0E2A"/>
    <w:rsid w:val="00DC0E3A"/>
    <w:rsid w:val="00DC10A7"/>
    <w:rsid w:val="00DC2C11"/>
    <w:rsid w:val="00DC2D70"/>
    <w:rsid w:val="00DC2EC6"/>
    <w:rsid w:val="00DC4756"/>
    <w:rsid w:val="00DC483F"/>
    <w:rsid w:val="00DC52BD"/>
    <w:rsid w:val="00DC5440"/>
    <w:rsid w:val="00DC5635"/>
    <w:rsid w:val="00DC56AC"/>
    <w:rsid w:val="00DC5768"/>
    <w:rsid w:val="00DC5EA0"/>
    <w:rsid w:val="00DC639D"/>
    <w:rsid w:val="00DC7263"/>
    <w:rsid w:val="00DC784D"/>
    <w:rsid w:val="00DD07F1"/>
    <w:rsid w:val="00DD1615"/>
    <w:rsid w:val="00DD1C6C"/>
    <w:rsid w:val="00DD255E"/>
    <w:rsid w:val="00DD269F"/>
    <w:rsid w:val="00DD3663"/>
    <w:rsid w:val="00DD37AC"/>
    <w:rsid w:val="00DD4019"/>
    <w:rsid w:val="00DD4220"/>
    <w:rsid w:val="00DD554A"/>
    <w:rsid w:val="00DD6473"/>
    <w:rsid w:val="00DD6986"/>
    <w:rsid w:val="00DD6B32"/>
    <w:rsid w:val="00DD75BB"/>
    <w:rsid w:val="00DD76CC"/>
    <w:rsid w:val="00DD7EA9"/>
    <w:rsid w:val="00DE0104"/>
    <w:rsid w:val="00DE0111"/>
    <w:rsid w:val="00DE01AB"/>
    <w:rsid w:val="00DE0D5D"/>
    <w:rsid w:val="00DE112D"/>
    <w:rsid w:val="00DE1160"/>
    <w:rsid w:val="00DE1D46"/>
    <w:rsid w:val="00DE1E05"/>
    <w:rsid w:val="00DE22BD"/>
    <w:rsid w:val="00DE2604"/>
    <w:rsid w:val="00DE30DD"/>
    <w:rsid w:val="00DE34AF"/>
    <w:rsid w:val="00DE4058"/>
    <w:rsid w:val="00DE451E"/>
    <w:rsid w:val="00DE552E"/>
    <w:rsid w:val="00DE5F5D"/>
    <w:rsid w:val="00DE60B0"/>
    <w:rsid w:val="00DE667D"/>
    <w:rsid w:val="00DE69CF"/>
    <w:rsid w:val="00DE7427"/>
    <w:rsid w:val="00DE78B4"/>
    <w:rsid w:val="00DE7B66"/>
    <w:rsid w:val="00DE7CCC"/>
    <w:rsid w:val="00DF0902"/>
    <w:rsid w:val="00DF10B4"/>
    <w:rsid w:val="00DF10BC"/>
    <w:rsid w:val="00DF19DC"/>
    <w:rsid w:val="00DF1A0D"/>
    <w:rsid w:val="00DF1B6D"/>
    <w:rsid w:val="00DF2F95"/>
    <w:rsid w:val="00DF336C"/>
    <w:rsid w:val="00DF36CE"/>
    <w:rsid w:val="00DF397D"/>
    <w:rsid w:val="00DF3AB4"/>
    <w:rsid w:val="00DF535D"/>
    <w:rsid w:val="00DF5459"/>
    <w:rsid w:val="00DF6C43"/>
    <w:rsid w:val="00DF74EF"/>
    <w:rsid w:val="00DF773A"/>
    <w:rsid w:val="00E009DE"/>
    <w:rsid w:val="00E00EC7"/>
    <w:rsid w:val="00E01DB3"/>
    <w:rsid w:val="00E01F59"/>
    <w:rsid w:val="00E0218E"/>
    <w:rsid w:val="00E022EE"/>
    <w:rsid w:val="00E02DD0"/>
    <w:rsid w:val="00E0327D"/>
    <w:rsid w:val="00E032D7"/>
    <w:rsid w:val="00E03317"/>
    <w:rsid w:val="00E034E3"/>
    <w:rsid w:val="00E036B4"/>
    <w:rsid w:val="00E047EC"/>
    <w:rsid w:val="00E04ABE"/>
    <w:rsid w:val="00E05025"/>
    <w:rsid w:val="00E060C1"/>
    <w:rsid w:val="00E06358"/>
    <w:rsid w:val="00E0661A"/>
    <w:rsid w:val="00E066A6"/>
    <w:rsid w:val="00E07459"/>
    <w:rsid w:val="00E07738"/>
    <w:rsid w:val="00E07BAA"/>
    <w:rsid w:val="00E100C3"/>
    <w:rsid w:val="00E10190"/>
    <w:rsid w:val="00E10415"/>
    <w:rsid w:val="00E10F18"/>
    <w:rsid w:val="00E10FD1"/>
    <w:rsid w:val="00E11129"/>
    <w:rsid w:val="00E11227"/>
    <w:rsid w:val="00E11394"/>
    <w:rsid w:val="00E120FC"/>
    <w:rsid w:val="00E12382"/>
    <w:rsid w:val="00E123A9"/>
    <w:rsid w:val="00E131AA"/>
    <w:rsid w:val="00E138CD"/>
    <w:rsid w:val="00E13B37"/>
    <w:rsid w:val="00E13BF9"/>
    <w:rsid w:val="00E14933"/>
    <w:rsid w:val="00E14D0F"/>
    <w:rsid w:val="00E15048"/>
    <w:rsid w:val="00E152B2"/>
    <w:rsid w:val="00E164C4"/>
    <w:rsid w:val="00E173D9"/>
    <w:rsid w:val="00E1742A"/>
    <w:rsid w:val="00E175E8"/>
    <w:rsid w:val="00E17614"/>
    <w:rsid w:val="00E17B0A"/>
    <w:rsid w:val="00E17BE9"/>
    <w:rsid w:val="00E20142"/>
    <w:rsid w:val="00E202AA"/>
    <w:rsid w:val="00E20579"/>
    <w:rsid w:val="00E2065D"/>
    <w:rsid w:val="00E209A5"/>
    <w:rsid w:val="00E2160A"/>
    <w:rsid w:val="00E21CCC"/>
    <w:rsid w:val="00E21D6B"/>
    <w:rsid w:val="00E22BFE"/>
    <w:rsid w:val="00E22CB5"/>
    <w:rsid w:val="00E231F2"/>
    <w:rsid w:val="00E2391E"/>
    <w:rsid w:val="00E23E58"/>
    <w:rsid w:val="00E2481E"/>
    <w:rsid w:val="00E2532A"/>
    <w:rsid w:val="00E260CD"/>
    <w:rsid w:val="00E269B9"/>
    <w:rsid w:val="00E270FD"/>
    <w:rsid w:val="00E301D5"/>
    <w:rsid w:val="00E3066F"/>
    <w:rsid w:val="00E30896"/>
    <w:rsid w:val="00E30979"/>
    <w:rsid w:val="00E30D63"/>
    <w:rsid w:val="00E31527"/>
    <w:rsid w:val="00E32F3D"/>
    <w:rsid w:val="00E336F8"/>
    <w:rsid w:val="00E33CC4"/>
    <w:rsid w:val="00E346ED"/>
    <w:rsid w:val="00E34E59"/>
    <w:rsid w:val="00E3507E"/>
    <w:rsid w:val="00E35A9A"/>
    <w:rsid w:val="00E35FC8"/>
    <w:rsid w:val="00E364B2"/>
    <w:rsid w:val="00E3658E"/>
    <w:rsid w:val="00E405F5"/>
    <w:rsid w:val="00E406B3"/>
    <w:rsid w:val="00E4133E"/>
    <w:rsid w:val="00E41B75"/>
    <w:rsid w:val="00E41CF8"/>
    <w:rsid w:val="00E4329D"/>
    <w:rsid w:val="00E43DDE"/>
    <w:rsid w:val="00E445FF"/>
    <w:rsid w:val="00E45194"/>
    <w:rsid w:val="00E45809"/>
    <w:rsid w:val="00E45980"/>
    <w:rsid w:val="00E45B85"/>
    <w:rsid w:val="00E46C7E"/>
    <w:rsid w:val="00E46F0A"/>
    <w:rsid w:val="00E4703B"/>
    <w:rsid w:val="00E4705D"/>
    <w:rsid w:val="00E47FAA"/>
    <w:rsid w:val="00E50189"/>
    <w:rsid w:val="00E50EAA"/>
    <w:rsid w:val="00E50EBB"/>
    <w:rsid w:val="00E517EC"/>
    <w:rsid w:val="00E51C04"/>
    <w:rsid w:val="00E52425"/>
    <w:rsid w:val="00E52AA3"/>
    <w:rsid w:val="00E531BD"/>
    <w:rsid w:val="00E535AF"/>
    <w:rsid w:val="00E53D8B"/>
    <w:rsid w:val="00E54063"/>
    <w:rsid w:val="00E548B9"/>
    <w:rsid w:val="00E54B94"/>
    <w:rsid w:val="00E54C42"/>
    <w:rsid w:val="00E554E2"/>
    <w:rsid w:val="00E555CA"/>
    <w:rsid w:val="00E5594D"/>
    <w:rsid w:val="00E55B76"/>
    <w:rsid w:val="00E55CE4"/>
    <w:rsid w:val="00E55F28"/>
    <w:rsid w:val="00E56CB1"/>
    <w:rsid w:val="00E57A43"/>
    <w:rsid w:val="00E6030A"/>
    <w:rsid w:val="00E6054E"/>
    <w:rsid w:val="00E6080F"/>
    <w:rsid w:val="00E61135"/>
    <w:rsid w:val="00E6134E"/>
    <w:rsid w:val="00E61FEC"/>
    <w:rsid w:val="00E638FC"/>
    <w:rsid w:val="00E6405A"/>
    <w:rsid w:val="00E651CD"/>
    <w:rsid w:val="00E66A74"/>
    <w:rsid w:val="00E6730B"/>
    <w:rsid w:val="00E70B75"/>
    <w:rsid w:val="00E70C61"/>
    <w:rsid w:val="00E70CDF"/>
    <w:rsid w:val="00E71B87"/>
    <w:rsid w:val="00E71EE3"/>
    <w:rsid w:val="00E723C1"/>
    <w:rsid w:val="00E72BDA"/>
    <w:rsid w:val="00E737D8"/>
    <w:rsid w:val="00E73B96"/>
    <w:rsid w:val="00E73D02"/>
    <w:rsid w:val="00E749D6"/>
    <w:rsid w:val="00E751DD"/>
    <w:rsid w:val="00E75D2F"/>
    <w:rsid w:val="00E75FD1"/>
    <w:rsid w:val="00E76B7E"/>
    <w:rsid w:val="00E76C80"/>
    <w:rsid w:val="00E76CB8"/>
    <w:rsid w:val="00E76DCE"/>
    <w:rsid w:val="00E76FC8"/>
    <w:rsid w:val="00E77167"/>
    <w:rsid w:val="00E77240"/>
    <w:rsid w:val="00E779F2"/>
    <w:rsid w:val="00E802C0"/>
    <w:rsid w:val="00E80DAD"/>
    <w:rsid w:val="00E817F9"/>
    <w:rsid w:val="00E818A0"/>
    <w:rsid w:val="00E82E27"/>
    <w:rsid w:val="00E8426B"/>
    <w:rsid w:val="00E84520"/>
    <w:rsid w:val="00E84BA2"/>
    <w:rsid w:val="00E84F9F"/>
    <w:rsid w:val="00E85A21"/>
    <w:rsid w:val="00E8689C"/>
    <w:rsid w:val="00E8746D"/>
    <w:rsid w:val="00E877CA"/>
    <w:rsid w:val="00E87C32"/>
    <w:rsid w:val="00E87E8E"/>
    <w:rsid w:val="00E90ECA"/>
    <w:rsid w:val="00E9101C"/>
    <w:rsid w:val="00E91303"/>
    <w:rsid w:val="00E91BAA"/>
    <w:rsid w:val="00E91D40"/>
    <w:rsid w:val="00E91D4D"/>
    <w:rsid w:val="00E9256C"/>
    <w:rsid w:val="00E92954"/>
    <w:rsid w:val="00E92ABE"/>
    <w:rsid w:val="00E92AE9"/>
    <w:rsid w:val="00E93D89"/>
    <w:rsid w:val="00E94266"/>
    <w:rsid w:val="00E94787"/>
    <w:rsid w:val="00E947C1"/>
    <w:rsid w:val="00E948DB"/>
    <w:rsid w:val="00E94E1E"/>
    <w:rsid w:val="00E94EB1"/>
    <w:rsid w:val="00E95A05"/>
    <w:rsid w:val="00E95F2D"/>
    <w:rsid w:val="00E96017"/>
    <w:rsid w:val="00E96236"/>
    <w:rsid w:val="00E96500"/>
    <w:rsid w:val="00E9688C"/>
    <w:rsid w:val="00E96D9C"/>
    <w:rsid w:val="00E974E7"/>
    <w:rsid w:val="00E9765A"/>
    <w:rsid w:val="00EA02B7"/>
    <w:rsid w:val="00EA106B"/>
    <w:rsid w:val="00EA1B32"/>
    <w:rsid w:val="00EA1C88"/>
    <w:rsid w:val="00EA1CCC"/>
    <w:rsid w:val="00EA2034"/>
    <w:rsid w:val="00EA374D"/>
    <w:rsid w:val="00EA38BC"/>
    <w:rsid w:val="00EA42D2"/>
    <w:rsid w:val="00EA4A9C"/>
    <w:rsid w:val="00EA5104"/>
    <w:rsid w:val="00EA5361"/>
    <w:rsid w:val="00EA5907"/>
    <w:rsid w:val="00EA5B91"/>
    <w:rsid w:val="00EA5D68"/>
    <w:rsid w:val="00EA6C39"/>
    <w:rsid w:val="00EA7E7A"/>
    <w:rsid w:val="00EB03EA"/>
    <w:rsid w:val="00EB08A5"/>
    <w:rsid w:val="00EB1279"/>
    <w:rsid w:val="00EB2336"/>
    <w:rsid w:val="00EB2943"/>
    <w:rsid w:val="00EB3169"/>
    <w:rsid w:val="00EB318E"/>
    <w:rsid w:val="00EB34FA"/>
    <w:rsid w:val="00EB45A6"/>
    <w:rsid w:val="00EB4EB1"/>
    <w:rsid w:val="00EB6526"/>
    <w:rsid w:val="00EC033F"/>
    <w:rsid w:val="00EC21C1"/>
    <w:rsid w:val="00EC2618"/>
    <w:rsid w:val="00EC2A46"/>
    <w:rsid w:val="00EC2C73"/>
    <w:rsid w:val="00EC3365"/>
    <w:rsid w:val="00EC3D89"/>
    <w:rsid w:val="00EC3EA7"/>
    <w:rsid w:val="00EC54DD"/>
    <w:rsid w:val="00EC5B5B"/>
    <w:rsid w:val="00EC5B96"/>
    <w:rsid w:val="00EC6A7F"/>
    <w:rsid w:val="00EC6B0B"/>
    <w:rsid w:val="00EC6EC2"/>
    <w:rsid w:val="00EC77AE"/>
    <w:rsid w:val="00EC79E3"/>
    <w:rsid w:val="00EC7C48"/>
    <w:rsid w:val="00ED09F8"/>
    <w:rsid w:val="00ED0E48"/>
    <w:rsid w:val="00ED0E9E"/>
    <w:rsid w:val="00ED1673"/>
    <w:rsid w:val="00ED1ECC"/>
    <w:rsid w:val="00ED1FB8"/>
    <w:rsid w:val="00ED2351"/>
    <w:rsid w:val="00ED2843"/>
    <w:rsid w:val="00ED2877"/>
    <w:rsid w:val="00ED2ED2"/>
    <w:rsid w:val="00ED466D"/>
    <w:rsid w:val="00ED55AD"/>
    <w:rsid w:val="00ED5CBD"/>
    <w:rsid w:val="00ED62EF"/>
    <w:rsid w:val="00ED6308"/>
    <w:rsid w:val="00ED6ECC"/>
    <w:rsid w:val="00ED75D4"/>
    <w:rsid w:val="00EE0383"/>
    <w:rsid w:val="00EE03B3"/>
    <w:rsid w:val="00EE1371"/>
    <w:rsid w:val="00EE1CA7"/>
    <w:rsid w:val="00EE1DDB"/>
    <w:rsid w:val="00EE26C5"/>
    <w:rsid w:val="00EE2F0E"/>
    <w:rsid w:val="00EE3773"/>
    <w:rsid w:val="00EE4607"/>
    <w:rsid w:val="00EE4EAE"/>
    <w:rsid w:val="00EE5548"/>
    <w:rsid w:val="00EE561F"/>
    <w:rsid w:val="00EE5937"/>
    <w:rsid w:val="00EE6EA7"/>
    <w:rsid w:val="00EE70D9"/>
    <w:rsid w:val="00EE7491"/>
    <w:rsid w:val="00EE775A"/>
    <w:rsid w:val="00EF100B"/>
    <w:rsid w:val="00EF1185"/>
    <w:rsid w:val="00EF188D"/>
    <w:rsid w:val="00EF1C30"/>
    <w:rsid w:val="00EF1C88"/>
    <w:rsid w:val="00EF26F1"/>
    <w:rsid w:val="00EF2875"/>
    <w:rsid w:val="00EF3106"/>
    <w:rsid w:val="00EF3297"/>
    <w:rsid w:val="00EF3469"/>
    <w:rsid w:val="00EF4149"/>
    <w:rsid w:val="00EF5275"/>
    <w:rsid w:val="00EF6804"/>
    <w:rsid w:val="00EF6861"/>
    <w:rsid w:val="00EF6CF5"/>
    <w:rsid w:val="00EF7051"/>
    <w:rsid w:val="00EF718B"/>
    <w:rsid w:val="00F0007D"/>
    <w:rsid w:val="00F006E8"/>
    <w:rsid w:val="00F00CA4"/>
    <w:rsid w:val="00F00D72"/>
    <w:rsid w:val="00F010A6"/>
    <w:rsid w:val="00F01564"/>
    <w:rsid w:val="00F01E86"/>
    <w:rsid w:val="00F01F2C"/>
    <w:rsid w:val="00F02C29"/>
    <w:rsid w:val="00F02FFF"/>
    <w:rsid w:val="00F03C01"/>
    <w:rsid w:val="00F04138"/>
    <w:rsid w:val="00F0522B"/>
    <w:rsid w:val="00F0525F"/>
    <w:rsid w:val="00F05DED"/>
    <w:rsid w:val="00F064E7"/>
    <w:rsid w:val="00F107DB"/>
    <w:rsid w:val="00F10B87"/>
    <w:rsid w:val="00F10CEA"/>
    <w:rsid w:val="00F10D7D"/>
    <w:rsid w:val="00F11064"/>
    <w:rsid w:val="00F11255"/>
    <w:rsid w:val="00F12EBD"/>
    <w:rsid w:val="00F12FE9"/>
    <w:rsid w:val="00F13A9D"/>
    <w:rsid w:val="00F13AED"/>
    <w:rsid w:val="00F13B7C"/>
    <w:rsid w:val="00F13C39"/>
    <w:rsid w:val="00F14366"/>
    <w:rsid w:val="00F15203"/>
    <w:rsid w:val="00F15E5E"/>
    <w:rsid w:val="00F1605F"/>
    <w:rsid w:val="00F1640E"/>
    <w:rsid w:val="00F17060"/>
    <w:rsid w:val="00F17A24"/>
    <w:rsid w:val="00F2049B"/>
    <w:rsid w:val="00F20760"/>
    <w:rsid w:val="00F2171F"/>
    <w:rsid w:val="00F21A39"/>
    <w:rsid w:val="00F21EBF"/>
    <w:rsid w:val="00F21F51"/>
    <w:rsid w:val="00F21FDD"/>
    <w:rsid w:val="00F2265A"/>
    <w:rsid w:val="00F228FE"/>
    <w:rsid w:val="00F22AC5"/>
    <w:rsid w:val="00F22C1C"/>
    <w:rsid w:val="00F2343F"/>
    <w:rsid w:val="00F235BD"/>
    <w:rsid w:val="00F23A4E"/>
    <w:rsid w:val="00F24228"/>
    <w:rsid w:val="00F24288"/>
    <w:rsid w:val="00F2445E"/>
    <w:rsid w:val="00F24BE2"/>
    <w:rsid w:val="00F24CFA"/>
    <w:rsid w:val="00F24E20"/>
    <w:rsid w:val="00F25B6B"/>
    <w:rsid w:val="00F265EC"/>
    <w:rsid w:val="00F2683D"/>
    <w:rsid w:val="00F27056"/>
    <w:rsid w:val="00F27E0A"/>
    <w:rsid w:val="00F27FDA"/>
    <w:rsid w:val="00F302E2"/>
    <w:rsid w:val="00F302FB"/>
    <w:rsid w:val="00F30A81"/>
    <w:rsid w:val="00F31282"/>
    <w:rsid w:val="00F3179D"/>
    <w:rsid w:val="00F31958"/>
    <w:rsid w:val="00F31F8D"/>
    <w:rsid w:val="00F32C25"/>
    <w:rsid w:val="00F330DD"/>
    <w:rsid w:val="00F330F4"/>
    <w:rsid w:val="00F332B1"/>
    <w:rsid w:val="00F33699"/>
    <w:rsid w:val="00F33825"/>
    <w:rsid w:val="00F33FC5"/>
    <w:rsid w:val="00F34C02"/>
    <w:rsid w:val="00F36460"/>
    <w:rsid w:val="00F36516"/>
    <w:rsid w:val="00F36BA7"/>
    <w:rsid w:val="00F36C88"/>
    <w:rsid w:val="00F36DB3"/>
    <w:rsid w:val="00F3712E"/>
    <w:rsid w:val="00F40F07"/>
    <w:rsid w:val="00F411F4"/>
    <w:rsid w:val="00F41448"/>
    <w:rsid w:val="00F4147F"/>
    <w:rsid w:val="00F422F1"/>
    <w:rsid w:val="00F42C15"/>
    <w:rsid w:val="00F42C19"/>
    <w:rsid w:val="00F433CA"/>
    <w:rsid w:val="00F433E9"/>
    <w:rsid w:val="00F4343C"/>
    <w:rsid w:val="00F43D0B"/>
    <w:rsid w:val="00F45889"/>
    <w:rsid w:val="00F45F6E"/>
    <w:rsid w:val="00F4622A"/>
    <w:rsid w:val="00F4653A"/>
    <w:rsid w:val="00F47234"/>
    <w:rsid w:val="00F5075A"/>
    <w:rsid w:val="00F50CEE"/>
    <w:rsid w:val="00F50E7C"/>
    <w:rsid w:val="00F51F31"/>
    <w:rsid w:val="00F528B7"/>
    <w:rsid w:val="00F52AE4"/>
    <w:rsid w:val="00F52DB6"/>
    <w:rsid w:val="00F535D4"/>
    <w:rsid w:val="00F53EA7"/>
    <w:rsid w:val="00F53F6D"/>
    <w:rsid w:val="00F54AB9"/>
    <w:rsid w:val="00F54E69"/>
    <w:rsid w:val="00F5508B"/>
    <w:rsid w:val="00F553CA"/>
    <w:rsid w:val="00F55554"/>
    <w:rsid w:val="00F55C7D"/>
    <w:rsid w:val="00F55EBE"/>
    <w:rsid w:val="00F605E7"/>
    <w:rsid w:val="00F6074F"/>
    <w:rsid w:val="00F60940"/>
    <w:rsid w:val="00F612F9"/>
    <w:rsid w:val="00F618F6"/>
    <w:rsid w:val="00F62281"/>
    <w:rsid w:val="00F62E25"/>
    <w:rsid w:val="00F63320"/>
    <w:rsid w:val="00F6403B"/>
    <w:rsid w:val="00F6414A"/>
    <w:rsid w:val="00F6496C"/>
    <w:rsid w:val="00F649A0"/>
    <w:rsid w:val="00F6566F"/>
    <w:rsid w:val="00F66247"/>
    <w:rsid w:val="00F70587"/>
    <w:rsid w:val="00F709AD"/>
    <w:rsid w:val="00F7152B"/>
    <w:rsid w:val="00F71752"/>
    <w:rsid w:val="00F71916"/>
    <w:rsid w:val="00F71B1A"/>
    <w:rsid w:val="00F71FFF"/>
    <w:rsid w:val="00F72B87"/>
    <w:rsid w:val="00F737DC"/>
    <w:rsid w:val="00F73A83"/>
    <w:rsid w:val="00F73D72"/>
    <w:rsid w:val="00F7456F"/>
    <w:rsid w:val="00F75223"/>
    <w:rsid w:val="00F75B60"/>
    <w:rsid w:val="00F760FF"/>
    <w:rsid w:val="00F761FC"/>
    <w:rsid w:val="00F764D1"/>
    <w:rsid w:val="00F76C74"/>
    <w:rsid w:val="00F7700F"/>
    <w:rsid w:val="00F77612"/>
    <w:rsid w:val="00F77CB3"/>
    <w:rsid w:val="00F77E70"/>
    <w:rsid w:val="00F77F26"/>
    <w:rsid w:val="00F8045E"/>
    <w:rsid w:val="00F80E33"/>
    <w:rsid w:val="00F80F16"/>
    <w:rsid w:val="00F81557"/>
    <w:rsid w:val="00F81830"/>
    <w:rsid w:val="00F81836"/>
    <w:rsid w:val="00F81970"/>
    <w:rsid w:val="00F81C11"/>
    <w:rsid w:val="00F81EA0"/>
    <w:rsid w:val="00F82520"/>
    <w:rsid w:val="00F829F4"/>
    <w:rsid w:val="00F83FD3"/>
    <w:rsid w:val="00F84011"/>
    <w:rsid w:val="00F8473A"/>
    <w:rsid w:val="00F84C89"/>
    <w:rsid w:val="00F84F97"/>
    <w:rsid w:val="00F854FE"/>
    <w:rsid w:val="00F86572"/>
    <w:rsid w:val="00F86A81"/>
    <w:rsid w:val="00F86ACC"/>
    <w:rsid w:val="00F87270"/>
    <w:rsid w:val="00F876FB"/>
    <w:rsid w:val="00F90653"/>
    <w:rsid w:val="00F913E8"/>
    <w:rsid w:val="00F91A22"/>
    <w:rsid w:val="00F91AFC"/>
    <w:rsid w:val="00F91B6A"/>
    <w:rsid w:val="00F9227B"/>
    <w:rsid w:val="00F92772"/>
    <w:rsid w:val="00F92A00"/>
    <w:rsid w:val="00F92A08"/>
    <w:rsid w:val="00F92AFA"/>
    <w:rsid w:val="00F9401B"/>
    <w:rsid w:val="00F9445F"/>
    <w:rsid w:val="00F9512F"/>
    <w:rsid w:val="00F95B5C"/>
    <w:rsid w:val="00F9736F"/>
    <w:rsid w:val="00F97E2C"/>
    <w:rsid w:val="00FA1021"/>
    <w:rsid w:val="00FA23B4"/>
    <w:rsid w:val="00FA270B"/>
    <w:rsid w:val="00FA2A02"/>
    <w:rsid w:val="00FA2F63"/>
    <w:rsid w:val="00FA2FDC"/>
    <w:rsid w:val="00FA35EE"/>
    <w:rsid w:val="00FA3724"/>
    <w:rsid w:val="00FA409F"/>
    <w:rsid w:val="00FA48C8"/>
    <w:rsid w:val="00FA4C54"/>
    <w:rsid w:val="00FA5473"/>
    <w:rsid w:val="00FA54A0"/>
    <w:rsid w:val="00FA5A3A"/>
    <w:rsid w:val="00FA64D2"/>
    <w:rsid w:val="00FA7693"/>
    <w:rsid w:val="00FB03C4"/>
    <w:rsid w:val="00FB098B"/>
    <w:rsid w:val="00FB2D54"/>
    <w:rsid w:val="00FB306A"/>
    <w:rsid w:val="00FB3E3D"/>
    <w:rsid w:val="00FB572F"/>
    <w:rsid w:val="00FB5A28"/>
    <w:rsid w:val="00FB5BFB"/>
    <w:rsid w:val="00FB662C"/>
    <w:rsid w:val="00FB6A0A"/>
    <w:rsid w:val="00FB70EB"/>
    <w:rsid w:val="00FB7D68"/>
    <w:rsid w:val="00FC03B7"/>
    <w:rsid w:val="00FC0D84"/>
    <w:rsid w:val="00FC1050"/>
    <w:rsid w:val="00FC1261"/>
    <w:rsid w:val="00FC12F9"/>
    <w:rsid w:val="00FC174D"/>
    <w:rsid w:val="00FC2E5D"/>
    <w:rsid w:val="00FC2F73"/>
    <w:rsid w:val="00FC3786"/>
    <w:rsid w:val="00FC3C9E"/>
    <w:rsid w:val="00FC455D"/>
    <w:rsid w:val="00FC4963"/>
    <w:rsid w:val="00FC49C7"/>
    <w:rsid w:val="00FC4E23"/>
    <w:rsid w:val="00FC51CC"/>
    <w:rsid w:val="00FC5317"/>
    <w:rsid w:val="00FC5A74"/>
    <w:rsid w:val="00FC5B5E"/>
    <w:rsid w:val="00FC5D06"/>
    <w:rsid w:val="00FC62D9"/>
    <w:rsid w:val="00FC62F1"/>
    <w:rsid w:val="00FC6405"/>
    <w:rsid w:val="00FC6CA6"/>
    <w:rsid w:val="00FC769C"/>
    <w:rsid w:val="00FD07AC"/>
    <w:rsid w:val="00FD0885"/>
    <w:rsid w:val="00FD0AEA"/>
    <w:rsid w:val="00FD1181"/>
    <w:rsid w:val="00FD14CA"/>
    <w:rsid w:val="00FD1818"/>
    <w:rsid w:val="00FD25EC"/>
    <w:rsid w:val="00FD29AF"/>
    <w:rsid w:val="00FD2F76"/>
    <w:rsid w:val="00FD2F7F"/>
    <w:rsid w:val="00FD3EFD"/>
    <w:rsid w:val="00FD3F96"/>
    <w:rsid w:val="00FD4026"/>
    <w:rsid w:val="00FD49AA"/>
    <w:rsid w:val="00FD57A6"/>
    <w:rsid w:val="00FD589F"/>
    <w:rsid w:val="00FD618E"/>
    <w:rsid w:val="00FD6ABA"/>
    <w:rsid w:val="00FD6B26"/>
    <w:rsid w:val="00FE0416"/>
    <w:rsid w:val="00FE17F7"/>
    <w:rsid w:val="00FE1948"/>
    <w:rsid w:val="00FE1FB6"/>
    <w:rsid w:val="00FE2B39"/>
    <w:rsid w:val="00FE2CE4"/>
    <w:rsid w:val="00FE340B"/>
    <w:rsid w:val="00FE3849"/>
    <w:rsid w:val="00FE4165"/>
    <w:rsid w:val="00FE4431"/>
    <w:rsid w:val="00FE57F6"/>
    <w:rsid w:val="00FE59CD"/>
    <w:rsid w:val="00FE662E"/>
    <w:rsid w:val="00FE6708"/>
    <w:rsid w:val="00FE6E2B"/>
    <w:rsid w:val="00FE743D"/>
    <w:rsid w:val="00FE75C2"/>
    <w:rsid w:val="00FE78E9"/>
    <w:rsid w:val="00FE7E45"/>
    <w:rsid w:val="00FF0118"/>
    <w:rsid w:val="00FF0271"/>
    <w:rsid w:val="00FF099A"/>
    <w:rsid w:val="00FF0F83"/>
    <w:rsid w:val="00FF10EA"/>
    <w:rsid w:val="00FF1574"/>
    <w:rsid w:val="00FF1BE1"/>
    <w:rsid w:val="00FF1F46"/>
    <w:rsid w:val="00FF210A"/>
    <w:rsid w:val="00FF2977"/>
    <w:rsid w:val="00FF3796"/>
    <w:rsid w:val="00FF3F89"/>
    <w:rsid w:val="00FF4157"/>
    <w:rsid w:val="00FF539D"/>
    <w:rsid w:val="00FF53A0"/>
    <w:rsid w:val="00FF5A7C"/>
    <w:rsid w:val="00FF6A67"/>
    <w:rsid w:val="00FF6A83"/>
    <w:rsid w:val="00FF6DCE"/>
    <w:rsid w:val="00FF6E50"/>
    <w:rsid w:val="00FF72A9"/>
    <w:rsid w:val="00FF7583"/>
    <w:rsid w:val="00FF76A2"/>
    <w:rsid w:val="00FF7F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70DC"/>
  <w14:defaultImageDpi w14:val="32767"/>
  <w15:docId w15:val="{EA2DE1BB-6BC2-41BF-94B5-75A41FA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B76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5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64B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62"/>
    <w:pPr>
      <w:ind w:left="720"/>
      <w:contextualSpacing/>
    </w:pPr>
  </w:style>
  <w:style w:type="paragraph" w:styleId="FootnoteText">
    <w:name w:val="footnote text"/>
    <w:basedOn w:val="Normal"/>
    <w:link w:val="FootnoteTextChar"/>
    <w:uiPriority w:val="99"/>
    <w:unhideWhenUsed/>
    <w:qFormat/>
    <w:rsid w:val="00954B9D"/>
    <w:rPr>
      <w:sz w:val="20"/>
      <w:szCs w:val="20"/>
    </w:rPr>
  </w:style>
  <w:style w:type="character" w:customStyle="1" w:styleId="FootnoteTextChar">
    <w:name w:val="Footnote Text Char"/>
    <w:basedOn w:val="DefaultParagraphFont"/>
    <w:link w:val="FootnoteText"/>
    <w:uiPriority w:val="99"/>
    <w:rsid w:val="00954B9D"/>
    <w:rPr>
      <w:sz w:val="20"/>
      <w:szCs w:val="20"/>
    </w:rPr>
  </w:style>
  <w:style w:type="character" w:styleId="FootnoteReference">
    <w:name w:val="footnote reference"/>
    <w:basedOn w:val="DefaultParagraphFont"/>
    <w:uiPriority w:val="99"/>
    <w:unhideWhenUsed/>
    <w:rsid w:val="00954B9D"/>
    <w:rPr>
      <w:vertAlign w:val="superscript"/>
    </w:rPr>
  </w:style>
  <w:style w:type="character" w:styleId="CommentReference">
    <w:name w:val="annotation reference"/>
    <w:basedOn w:val="DefaultParagraphFont"/>
    <w:uiPriority w:val="99"/>
    <w:semiHidden/>
    <w:unhideWhenUsed/>
    <w:rsid w:val="0080190F"/>
    <w:rPr>
      <w:sz w:val="16"/>
      <w:szCs w:val="16"/>
    </w:rPr>
  </w:style>
  <w:style w:type="paragraph" w:styleId="CommentText">
    <w:name w:val="annotation text"/>
    <w:basedOn w:val="Normal"/>
    <w:link w:val="CommentTextChar"/>
    <w:uiPriority w:val="99"/>
    <w:unhideWhenUsed/>
    <w:rsid w:val="0080190F"/>
    <w:pPr>
      <w:spacing w:after="160"/>
    </w:pPr>
    <w:rPr>
      <w:sz w:val="20"/>
      <w:szCs w:val="20"/>
    </w:rPr>
  </w:style>
  <w:style w:type="character" w:customStyle="1" w:styleId="CommentTextChar">
    <w:name w:val="Comment Text Char"/>
    <w:basedOn w:val="DefaultParagraphFont"/>
    <w:link w:val="CommentText"/>
    <w:uiPriority w:val="99"/>
    <w:rsid w:val="0080190F"/>
    <w:rPr>
      <w:sz w:val="20"/>
      <w:szCs w:val="20"/>
    </w:rPr>
  </w:style>
  <w:style w:type="paragraph" w:styleId="BalloonText">
    <w:name w:val="Balloon Text"/>
    <w:basedOn w:val="Normal"/>
    <w:link w:val="BalloonTextChar"/>
    <w:uiPriority w:val="99"/>
    <w:semiHidden/>
    <w:unhideWhenUsed/>
    <w:rsid w:val="0080190F"/>
    <w:rPr>
      <w:sz w:val="18"/>
      <w:szCs w:val="18"/>
    </w:rPr>
  </w:style>
  <w:style w:type="character" w:customStyle="1" w:styleId="BalloonTextChar">
    <w:name w:val="Balloon Text Char"/>
    <w:basedOn w:val="DefaultParagraphFont"/>
    <w:link w:val="BalloonText"/>
    <w:uiPriority w:val="99"/>
    <w:semiHidden/>
    <w:rsid w:val="0080190F"/>
    <w:rPr>
      <w:rFonts w:ascii="Times New Roman" w:hAnsi="Times New Roman" w:cs="Times New Roman"/>
      <w:sz w:val="18"/>
      <w:szCs w:val="18"/>
    </w:rPr>
  </w:style>
  <w:style w:type="paragraph" w:styleId="Header">
    <w:name w:val="header"/>
    <w:basedOn w:val="Normal"/>
    <w:link w:val="HeaderChar"/>
    <w:uiPriority w:val="99"/>
    <w:unhideWhenUsed/>
    <w:rsid w:val="002C0138"/>
    <w:pPr>
      <w:tabs>
        <w:tab w:val="center" w:pos="4513"/>
        <w:tab w:val="right" w:pos="9026"/>
      </w:tabs>
    </w:pPr>
  </w:style>
  <w:style w:type="character" w:customStyle="1" w:styleId="HeaderChar">
    <w:name w:val="Header Char"/>
    <w:basedOn w:val="DefaultParagraphFont"/>
    <w:link w:val="Header"/>
    <w:uiPriority w:val="99"/>
    <w:rsid w:val="002C0138"/>
  </w:style>
  <w:style w:type="paragraph" w:styleId="Footer">
    <w:name w:val="footer"/>
    <w:basedOn w:val="Normal"/>
    <w:link w:val="FooterChar"/>
    <w:uiPriority w:val="99"/>
    <w:unhideWhenUsed/>
    <w:rsid w:val="002C0138"/>
    <w:pPr>
      <w:tabs>
        <w:tab w:val="center" w:pos="4513"/>
        <w:tab w:val="right" w:pos="9026"/>
      </w:tabs>
    </w:pPr>
  </w:style>
  <w:style w:type="character" w:customStyle="1" w:styleId="FooterChar">
    <w:name w:val="Footer Char"/>
    <w:basedOn w:val="DefaultParagraphFont"/>
    <w:link w:val="Footer"/>
    <w:uiPriority w:val="99"/>
    <w:rsid w:val="002C0138"/>
  </w:style>
  <w:style w:type="character" w:styleId="Hyperlink">
    <w:name w:val="Hyperlink"/>
    <w:basedOn w:val="DefaultParagraphFont"/>
    <w:uiPriority w:val="99"/>
    <w:unhideWhenUsed/>
    <w:rsid w:val="004F28EC"/>
    <w:rPr>
      <w:color w:val="0563C1" w:themeColor="hyperlink"/>
      <w:u w:val="single"/>
    </w:rPr>
  </w:style>
  <w:style w:type="character" w:customStyle="1" w:styleId="apple-converted-space">
    <w:name w:val="apple-converted-space"/>
    <w:basedOn w:val="DefaultParagraphFont"/>
    <w:rsid w:val="00786BF6"/>
  </w:style>
  <w:style w:type="character" w:customStyle="1" w:styleId="Heading2Char">
    <w:name w:val="Heading 2 Char"/>
    <w:basedOn w:val="DefaultParagraphFont"/>
    <w:link w:val="Heading2"/>
    <w:uiPriority w:val="9"/>
    <w:rsid w:val="00D325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64B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DE60B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00B0D"/>
    <w:pPr>
      <w:spacing w:after="0"/>
    </w:pPr>
    <w:rPr>
      <w:b/>
      <w:bCs/>
    </w:rPr>
  </w:style>
  <w:style w:type="character" w:customStyle="1" w:styleId="CommentSubjectChar">
    <w:name w:val="Comment Subject Char"/>
    <w:basedOn w:val="CommentTextChar"/>
    <w:link w:val="CommentSubject"/>
    <w:uiPriority w:val="99"/>
    <w:semiHidden/>
    <w:rsid w:val="00000B0D"/>
    <w:rPr>
      <w:b/>
      <w:bCs/>
      <w:sz w:val="20"/>
      <w:szCs w:val="20"/>
    </w:rPr>
  </w:style>
  <w:style w:type="character" w:customStyle="1" w:styleId="UnresolvedMention1">
    <w:name w:val="Unresolved Mention1"/>
    <w:basedOn w:val="DefaultParagraphFont"/>
    <w:uiPriority w:val="99"/>
    <w:rsid w:val="0091664E"/>
    <w:rPr>
      <w:color w:val="605E5C"/>
      <w:shd w:val="clear" w:color="auto" w:fill="E1DFDD"/>
    </w:rPr>
  </w:style>
  <w:style w:type="character" w:styleId="FollowedHyperlink">
    <w:name w:val="FollowedHyperlink"/>
    <w:basedOn w:val="DefaultParagraphFont"/>
    <w:uiPriority w:val="99"/>
    <w:semiHidden/>
    <w:unhideWhenUsed/>
    <w:rsid w:val="00DB5465"/>
    <w:rPr>
      <w:color w:val="954F72" w:themeColor="followedHyperlink"/>
      <w:u w:val="single"/>
    </w:rPr>
  </w:style>
  <w:style w:type="paragraph" w:customStyle="1" w:styleId="BibliographyKR">
    <w:name w:val="BibliographyKR"/>
    <w:basedOn w:val="Normal"/>
    <w:qFormat/>
    <w:rsid w:val="00BF18E4"/>
    <w:pPr>
      <w:spacing w:before="120" w:after="120"/>
      <w:ind w:left="720" w:hanging="720"/>
      <w:jc w:val="both"/>
    </w:pPr>
    <w:rPr>
      <w:rFonts w:eastAsiaTheme="minorEastAsia"/>
    </w:rPr>
  </w:style>
  <w:style w:type="paragraph" w:customStyle="1" w:styleId="Quote-Thesis">
    <w:name w:val="Quote - Thesis"/>
    <w:basedOn w:val="Normal"/>
    <w:qFormat/>
    <w:rsid w:val="00880A30"/>
    <w:pPr>
      <w:spacing w:after="240" w:line="360" w:lineRule="auto"/>
      <w:ind w:left="288" w:right="288"/>
      <w:jc w:val="both"/>
    </w:pPr>
    <w:rPr>
      <w:rFonts w:eastAsiaTheme="minorEastAsia"/>
      <w:sz w:val="22"/>
      <w:szCs w:val="20"/>
    </w:rPr>
  </w:style>
  <w:style w:type="paragraph" w:styleId="Revision">
    <w:name w:val="Revision"/>
    <w:hidden/>
    <w:uiPriority w:val="99"/>
    <w:semiHidden/>
    <w:rsid w:val="009C78BD"/>
  </w:style>
  <w:style w:type="character" w:customStyle="1" w:styleId="Heading1Char">
    <w:name w:val="Heading 1 Char"/>
    <w:basedOn w:val="DefaultParagraphFont"/>
    <w:link w:val="Heading1"/>
    <w:uiPriority w:val="9"/>
    <w:rsid w:val="006B7676"/>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BC21A4"/>
  </w:style>
  <w:style w:type="character" w:customStyle="1" w:styleId="UnresolvedMention2">
    <w:name w:val="Unresolved Mention2"/>
    <w:basedOn w:val="DefaultParagraphFont"/>
    <w:uiPriority w:val="99"/>
    <w:semiHidden/>
    <w:unhideWhenUsed/>
    <w:rsid w:val="00882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621">
      <w:bodyDiv w:val="1"/>
      <w:marLeft w:val="0"/>
      <w:marRight w:val="0"/>
      <w:marTop w:val="0"/>
      <w:marBottom w:val="0"/>
      <w:divBdr>
        <w:top w:val="none" w:sz="0" w:space="0" w:color="auto"/>
        <w:left w:val="none" w:sz="0" w:space="0" w:color="auto"/>
        <w:bottom w:val="none" w:sz="0" w:space="0" w:color="auto"/>
        <w:right w:val="none" w:sz="0" w:space="0" w:color="auto"/>
      </w:divBdr>
    </w:div>
    <w:div w:id="28338596">
      <w:bodyDiv w:val="1"/>
      <w:marLeft w:val="0"/>
      <w:marRight w:val="0"/>
      <w:marTop w:val="0"/>
      <w:marBottom w:val="0"/>
      <w:divBdr>
        <w:top w:val="none" w:sz="0" w:space="0" w:color="auto"/>
        <w:left w:val="none" w:sz="0" w:space="0" w:color="auto"/>
        <w:bottom w:val="none" w:sz="0" w:space="0" w:color="auto"/>
        <w:right w:val="none" w:sz="0" w:space="0" w:color="auto"/>
      </w:divBdr>
      <w:divsChild>
        <w:div w:id="502471835">
          <w:marLeft w:val="288"/>
          <w:marRight w:val="0"/>
          <w:marTop w:val="240"/>
          <w:marBottom w:val="0"/>
          <w:divBdr>
            <w:top w:val="none" w:sz="0" w:space="0" w:color="auto"/>
            <w:left w:val="none" w:sz="0" w:space="0" w:color="auto"/>
            <w:bottom w:val="none" w:sz="0" w:space="0" w:color="auto"/>
            <w:right w:val="none" w:sz="0" w:space="0" w:color="auto"/>
          </w:divBdr>
        </w:div>
      </w:divsChild>
    </w:div>
    <w:div w:id="92823922">
      <w:bodyDiv w:val="1"/>
      <w:marLeft w:val="0"/>
      <w:marRight w:val="0"/>
      <w:marTop w:val="0"/>
      <w:marBottom w:val="0"/>
      <w:divBdr>
        <w:top w:val="none" w:sz="0" w:space="0" w:color="auto"/>
        <w:left w:val="none" w:sz="0" w:space="0" w:color="auto"/>
        <w:bottom w:val="none" w:sz="0" w:space="0" w:color="auto"/>
        <w:right w:val="none" w:sz="0" w:space="0" w:color="auto"/>
      </w:divBdr>
    </w:div>
    <w:div w:id="97531064">
      <w:bodyDiv w:val="1"/>
      <w:marLeft w:val="0"/>
      <w:marRight w:val="0"/>
      <w:marTop w:val="0"/>
      <w:marBottom w:val="0"/>
      <w:divBdr>
        <w:top w:val="none" w:sz="0" w:space="0" w:color="auto"/>
        <w:left w:val="none" w:sz="0" w:space="0" w:color="auto"/>
        <w:bottom w:val="none" w:sz="0" w:space="0" w:color="auto"/>
        <w:right w:val="none" w:sz="0" w:space="0" w:color="auto"/>
      </w:divBdr>
    </w:div>
    <w:div w:id="119342650">
      <w:bodyDiv w:val="1"/>
      <w:marLeft w:val="0"/>
      <w:marRight w:val="0"/>
      <w:marTop w:val="0"/>
      <w:marBottom w:val="0"/>
      <w:divBdr>
        <w:top w:val="none" w:sz="0" w:space="0" w:color="auto"/>
        <w:left w:val="none" w:sz="0" w:space="0" w:color="auto"/>
        <w:bottom w:val="none" w:sz="0" w:space="0" w:color="auto"/>
        <w:right w:val="none" w:sz="0" w:space="0" w:color="auto"/>
      </w:divBdr>
    </w:div>
    <w:div w:id="127165292">
      <w:bodyDiv w:val="1"/>
      <w:marLeft w:val="0"/>
      <w:marRight w:val="0"/>
      <w:marTop w:val="0"/>
      <w:marBottom w:val="0"/>
      <w:divBdr>
        <w:top w:val="none" w:sz="0" w:space="0" w:color="auto"/>
        <w:left w:val="none" w:sz="0" w:space="0" w:color="auto"/>
        <w:bottom w:val="none" w:sz="0" w:space="0" w:color="auto"/>
        <w:right w:val="none" w:sz="0" w:space="0" w:color="auto"/>
      </w:divBdr>
    </w:div>
    <w:div w:id="130833339">
      <w:bodyDiv w:val="1"/>
      <w:marLeft w:val="0"/>
      <w:marRight w:val="0"/>
      <w:marTop w:val="0"/>
      <w:marBottom w:val="0"/>
      <w:divBdr>
        <w:top w:val="none" w:sz="0" w:space="0" w:color="auto"/>
        <w:left w:val="none" w:sz="0" w:space="0" w:color="auto"/>
        <w:bottom w:val="none" w:sz="0" w:space="0" w:color="auto"/>
        <w:right w:val="none" w:sz="0" w:space="0" w:color="auto"/>
      </w:divBdr>
      <w:divsChild>
        <w:div w:id="1430851345">
          <w:marLeft w:val="0"/>
          <w:marRight w:val="0"/>
          <w:marTop w:val="0"/>
          <w:marBottom w:val="0"/>
          <w:divBdr>
            <w:top w:val="none" w:sz="0" w:space="0" w:color="auto"/>
            <w:left w:val="none" w:sz="0" w:space="0" w:color="auto"/>
            <w:bottom w:val="none" w:sz="0" w:space="0" w:color="auto"/>
            <w:right w:val="none" w:sz="0" w:space="0" w:color="auto"/>
          </w:divBdr>
          <w:divsChild>
            <w:div w:id="976422895">
              <w:marLeft w:val="0"/>
              <w:marRight w:val="0"/>
              <w:marTop w:val="0"/>
              <w:marBottom w:val="0"/>
              <w:divBdr>
                <w:top w:val="none" w:sz="0" w:space="0" w:color="auto"/>
                <w:left w:val="none" w:sz="0" w:space="0" w:color="auto"/>
                <w:bottom w:val="none" w:sz="0" w:space="0" w:color="auto"/>
                <w:right w:val="none" w:sz="0" w:space="0" w:color="auto"/>
              </w:divBdr>
              <w:divsChild>
                <w:div w:id="2086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431">
      <w:bodyDiv w:val="1"/>
      <w:marLeft w:val="0"/>
      <w:marRight w:val="0"/>
      <w:marTop w:val="0"/>
      <w:marBottom w:val="0"/>
      <w:divBdr>
        <w:top w:val="none" w:sz="0" w:space="0" w:color="auto"/>
        <w:left w:val="none" w:sz="0" w:space="0" w:color="auto"/>
        <w:bottom w:val="none" w:sz="0" w:space="0" w:color="auto"/>
        <w:right w:val="none" w:sz="0" w:space="0" w:color="auto"/>
      </w:divBdr>
    </w:div>
    <w:div w:id="164512242">
      <w:bodyDiv w:val="1"/>
      <w:marLeft w:val="0"/>
      <w:marRight w:val="0"/>
      <w:marTop w:val="0"/>
      <w:marBottom w:val="0"/>
      <w:divBdr>
        <w:top w:val="none" w:sz="0" w:space="0" w:color="auto"/>
        <w:left w:val="none" w:sz="0" w:space="0" w:color="auto"/>
        <w:bottom w:val="none" w:sz="0" w:space="0" w:color="auto"/>
        <w:right w:val="none" w:sz="0" w:space="0" w:color="auto"/>
      </w:divBdr>
    </w:div>
    <w:div w:id="222104751">
      <w:bodyDiv w:val="1"/>
      <w:marLeft w:val="0"/>
      <w:marRight w:val="0"/>
      <w:marTop w:val="0"/>
      <w:marBottom w:val="0"/>
      <w:divBdr>
        <w:top w:val="none" w:sz="0" w:space="0" w:color="auto"/>
        <w:left w:val="none" w:sz="0" w:space="0" w:color="auto"/>
        <w:bottom w:val="none" w:sz="0" w:space="0" w:color="auto"/>
        <w:right w:val="none" w:sz="0" w:space="0" w:color="auto"/>
      </w:divBdr>
    </w:div>
    <w:div w:id="251744302">
      <w:bodyDiv w:val="1"/>
      <w:marLeft w:val="0"/>
      <w:marRight w:val="0"/>
      <w:marTop w:val="0"/>
      <w:marBottom w:val="0"/>
      <w:divBdr>
        <w:top w:val="none" w:sz="0" w:space="0" w:color="auto"/>
        <w:left w:val="none" w:sz="0" w:space="0" w:color="auto"/>
        <w:bottom w:val="none" w:sz="0" w:space="0" w:color="auto"/>
        <w:right w:val="none" w:sz="0" w:space="0" w:color="auto"/>
      </w:divBdr>
      <w:divsChild>
        <w:div w:id="1809279040">
          <w:marLeft w:val="0"/>
          <w:marRight w:val="0"/>
          <w:marTop w:val="0"/>
          <w:marBottom w:val="0"/>
          <w:divBdr>
            <w:top w:val="none" w:sz="0" w:space="0" w:color="auto"/>
            <w:left w:val="none" w:sz="0" w:space="0" w:color="auto"/>
            <w:bottom w:val="none" w:sz="0" w:space="0" w:color="auto"/>
            <w:right w:val="none" w:sz="0" w:space="0" w:color="auto"/>
          </w:divBdr>
          <w:divsChild>
            <w:div w:id="2107655733">
              <w:marLeft w:val="0"/>
              <w:marRight w:val="0"/>
              <w:marTop w:val="0"/>
              <w:marBottom w:val="0"/>
              <w:divBdr>
                <w:top w:val="none" w:sz="0" w:space="0" w:color="auto"/>
                <w:left w:val="none" w:sz="0" w:space="0" w:color="auto"/>
                <w:bottom w:val="none" w:sz="0" w:space="0" w:color="auto"/>
                <w:right w:val="none" w:sz="0" w:space="0" w:color="auto"/>
              </w:divBdr>
              <w:divsChild>
                <w:div w:id="1574703338">
                  <w:marLeft w:val="0"/>
                  <w:marRight w:val="0"/>
                  <w:marTop w:val="0"/>
                  <w:marBottom w:val="0"/>
                  <w:divBdr>
                    <w:top w:val="none" w:sz="0" w:space="0" w:color="auto"/>
                    <w:left w:val="none" w:sz="0" w:space="0" w:color="auto"/>
                    <w:bottom w:val="none" w:sz="0" w:space="0" w:color="auto"/>
                    <w:right w:val="none" w:sz="0" w:space="0" w:color="auto"/>
                  </w:divBdr>
                  <w:divsChild>
                    <w:div w:id="1715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7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9125">
          <w:marLeft w:val="0"/>
          <w:marRight w:val="0"/>
          <w:marTop w:val="0"/>
          <w:marBottom w:val="0"/>
          <w:divBdr>
            <w:top w:val="none" w:sz="0" w:space="0" w:color="auto"/>
            <w:left w:val="none" w:sz="0" w:space="0" w:color="auto"/>
            <w:bottom w:val="none" w:sz="0" w:space="0" w:color="auto"/>
            <w:right w:val="none" w:sz="0" w:space="0" w:color="auto"/>
          </w:divBdr>
          <w:divsChild>
            <w:div w:id="2088186786">
              <w:marLeft w:val="0"/>
              <w:marRight w:val="0"/>
              <w:marTop w:val="0"/>
              <w:marBottom w:val="0"/>
              <w:divBdr>
                <w:top w:val="none" w:sz="0" w:space="0" w:color="auto"/>
                <w:left w:val="none" w:sz="0" w:space="0" w:color="auto"/>
                <w:bottom w:val="none" w:sz="0" w:space="0" w:color="auto"/>
                <w:right w:val="none" w:sz="0" w:space="0" w:color="auto"/>
              </w:divBdr>
              <w:divsChild>
                <w:div w:id="3506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07013">
      <w:bodyDiv w:val="1"/>
      <w:marLeft w:val="0"/>
      <w:marRight w:val="0"/>
      <w:marTop w:val="0"/>
      <w:marBottom w:val="0"/>
      <w:divBdr>
        <w:top w:val="none" w:sz="0" w:space="0" w:color="auto"/>
        <w:left w:val="none" w:sz="0" w:space="0" w:color="auto"/>
        <w:bottom w:val="none" w:sz="0" w:space="0" w:color="auto"/>
        <w:right w:val="none" w:sz="0" w:space="0" w:color="auto"/>
      </w:divBdr>
      <w:divsChild>
        <w:div w:id="17320697">
          <w:marLeft w:val="0"/>
          <w:marRight w:val="0"/>
          <w:marTop w:val="0"/>
          <w:marBottom w:val="0"/>
          <w:divBdr>
            <w:top w:val="none" w:sz="0" w:space="0" w:color="auto"/>
            <w:left w:val="none" w:sz="0" w:space="0" w:color="auto"/>
            <w:bottom w:val="none" w:sz="0" w:space="0" w:color="auto"/>
            <w:right w:val="none" w:sz="0" w:space="0" w:color="auto"/>
          </w:divBdr>
          <w:divsChild>
            <w:div w:id="862519649">
              <w:marLeft w:val="0"/>
              <w:marRight w:val="0"/>
              <w:marTop w:val="0"/>
              <w:marBottom w:val="0"/>
              <w:divBdr>
                <w:top w:val="none" w:sz="0" w:space="0" w:color="auto"/>
                <w:left w:val="none" w:sz="0" w:space="0" w:color="auto"/>
                <w:bottom w:val="none" w:sz="0" w:space="0" w:color="auto"/>
                <w:right w:val="none" w:sz="0" w:space="0" w:color="auto"/>
              </w:divBdr>
              <w:divsChild>
                <w:div w:id="2102870056">
                  <w:marLeft w:val="0"/>
                  <w:marRight w:val="0"/>
                  <w:marTop w:val="0"/>
                  <w:marBottom w:val="0"/>
                  <w:divBdr>
                    <w:top w:val="none" w:sz="0" w:space="0" w:color="auto"/>
                    <w:left w:val="none" w:sz="0" w:space="0" w:color="auto"/>
                    <w:bottom w:val="none" w:sz="0" w:space="0" w:color="auto"/>
                    <w:right w:val="none" w:sz="0" w:space="0" w:color="auto"/>
                  </w:divBdr>
                  <w:divsChild>
                    <w:div w:id="361784207">
                      <w:marLeft w:val="0"/>
                      <w:marRight w:val="0"/>
                      <w:marTop w:val="0"/>
                      <w:marBottom w:val="0"/>
                      <w:divBdr>
                        <w:top w:val="none" w:sz="0" w:space="0" w:color="auto"/>
                        <w:left w:val="none" w:sz="0" w:space="0" w:color="auto"/>
                        <w:bottom w:val="none" w:sz="0" w:space="0" w:color="auto"/>
                        <w:right w:val="none" w:sz="0" w:space="0" w:color="auto"/>
                      </w:divBdr>
                    </w:div>
                  </w:divsChild>
                </w:div>
                <w:div w:id="272636553">
                  <w:marLeft w:val="0"/>
                  <w:marRight w:val="0"/>
                  <w:marTop w:val="0"/>
                  <w:marBottom w:val="0"/>
                  <w:divBdr>
                    <w:top w:val="none" w:sz="0" w:space="0" w:color="auto"/>
                    <w:left w:val="none" w:sz="0" w:space="0" w:color="auto"/>
                    <w:bottom w:val="none" w:sz="0" w:space="0" w:color="auto"/>
                    <w:right w:val="none" w:sz="0" w:space="0" w:color="auto"/>
                  </w:divBdr>
                  <w:divsChild>
                    <w:div w:id="1498837808">
                      <w:marLeft w:val="0"/>
                      <w:marRight w:val="0"/>
                      <w:marTop w:val="0"/>
                      <w:marBottom w:val="0"/>
                      <w:divBdr>
                        <w:top w:val="none" w:sz="0" w:space="0" w:color="auto"/>
                        <w:left w:val="none" w:sz="0" w:space="0" w:color="auto"/>
                        <w:bottom w:val="none" w:sz="0" w:space="0" w:color="auto"/>
                        <w:right w:val="none" w:sz="0" w:space="0" w:color="auto"/>
                      </w:divBdr>
                    </w:div>
                  </w:divsChild>
                </w:div>
                <w:div w:id="1622109340">
                  <w:marLeft w:val="0"/>
                  <w:marRight w:val="0"/>
                  <w:marTop w:val="0"/>
                  <w:marBottom w:val="0"/>
                  <w:divBdr>
                    <w:top w:val="none" w:sz="0" w:space="0" w:color="auto"/>
                    <w:left w:val="none" w:sz="0" w:space="0" w:color="auto"/>
                    <w:bottom w:val="none" w:sz="0" w:space="0" w:color="auto"/>
                    <w:right w:val="none" w:sz="0" w:space="0" w:color="auto"/>
                  </w:divBdr>
                  <w:divsChild>
                    <w:div w:id="428428776">
                      <w:marLeft w:val="0"/>
                      <w:marRight w:val="0"/>
                      <w:marTop w:val="0"/>
                      <w:marBottom w:val="0"/>
                      <w:divBdr>
                        <w:top w:val="none" w:sz="0" w:space="0" w:color="auto"/>
                        <w:left w:val="none" w:sz="0" w:space="0" w:color="auto"/>
                        <w:bottom w:val="none" w:sz="0" w:space="0" w:color="auto"/>
                        <w:right w:val="none" w:sz="0" w:space="0" w:color="auto"/>
                      </w:divBdr>
                    </w:div>
                  </w:divsChild>
                </w:div>
                <w:div w:id="733963957">
                  <w:marLeft w:val="0"/>
                  <w:marRight w:val="0"/>
                  <w:marTop w:val="0"/>
                  <w:marBottom w:val="0"/>
                  <w:divBdr>
                    <w:top w:val="none" w:sz="0" w:space="0" w:color="auto"/>
                    <w:left w:val="none" w:sz="0" w:space="0" w:color="auto"/>
                    <w:bottom w:val="none" w:sz="0" w:space="0" w:color="auto"/>
                    <w:right w:val="none" w:sz="0" w:space="0" w:color="auto"/>
                  </w:divBdr>
                  <w:divsChild>
                    <w:div w:id="1283002670">
                      <w:marLeft w:val="0"/>
                      <w:marRight w:val="0"/>
                      <w:marTop w:val="0"/>
                      <w:marBottom w:val="0"/>
                      <w:divBdr>
                        <w:top w:val="none" w:sz="0" w:space="0" w:color="auto"/>
                        <w:left w:val="none" w:sz="0" w:space="0" w:color="auto"/>
                        <w:bottom w:val="none" w:sz="0" w:space="0" w:color="auto"/>
                        <w:right w:val="none" w:sz="0" w:space="0" w:color="auto"/>
                      </w:divBdr>
                    </w:div>
                  </w:divsChild>
                </w:div>
                <w:div w:id="454904587">
                  <w:marLeft w:val="0"/>
                  <w:marRight w:val="0"/>
                  <w:marTop w:val="0"/>
                  <w:marBottom w:val="0"/>
                  <w:divBdr>
                    <w:top w:val="none" w:sz="0" w:space="0" w:color="auto"/>
                    <w:left w:val="none" w:sz="0" w:space="0" w:color="auto"/>
                    <w:bottom w:val="none" w:sz="0" w:space="0" w:color="auto"/>
                    <w:right w:val="none" w:sz="0" w:space="0" w:color="auto"/>
                  </w:divBdr>
                  <w:divsChild>
                    <w:div w:id="1156874119">
                      <w:marLeft w:val="0"/>
                      <w:marRight w:val="0"/>
                      <w:marTop w:val="0"/>
                      <w:marBottom w:val="0"/>
                      <w:divBdr>
                        <w:top w:val="none" w:sz="0" w:space="0" w:color="auto"/>
                        <w:left w:val="none" w:sz="0" w:space="0" w:color="auto"/>
                        <w:bottom w:val="none" w:sz="0" w:space="0" w:color="auto"/>
                        <w:right w:val="none" w:sz="0" w:space="0" w:color="auto"/>
                      </w:divBdr>
                    </w:div>
                  </w:divsChild>
                </w:div>
                <w:div w:id="1677263631">
                  <w:marLeft w:val="0"/>
                  <w:marRight w:val="0"/>
                  <w:marTop w:val="0"/>
                  <w:marBottom w:val="0"/>
                  <w:divBdr>
                    <w:top w:val="none" w:sz="0" w:space="0" w:color="auto"/>
                    <w:left w:val="none" w:sz="0" w:space="0" w:color="auto"/>
                    <w:bottom w:val="none" w:sz="0" w:space="0" w:color="auto"/>
                    <w:right w:val="none" w:sz="0" w:space="0" w:color="auto"/>
                  </w:divBdr>
                  <w:divsChild>
                    <w:div w:id="106782993">
                      <w:marLeft w:val="0"/>
                      <w:marRight w:val="0"/>
                      <w:marTop w:val="0"/>
                      <w:marBottom w:val="0"/>
                      <w:divBdr>
                        <w:top w:val="none" w:sz="0" w:space="0" w:color="auto"/>
                        <w:left w:val="none" w:sz="0" w:space="0" w:color="auto"/>
                        <w:bottom w:val="none" w:sz="0" w:space="0" w:color="auto"/>
                        <w:right w:val="none" w:sz="0" w:space="0" w:color="auto"/>
                      </w:divBdr>
                    </w:div>
                  </w:divsChild>
                </w:div>
                <w:div w:id="1117216640">
                  <w:marLeft w:val="0"/>
                  <w:marRight w:val="0"/>
                  <w:marTop w:val="0"/>
                  <w:marBottom w:val="0"/>
                  <w:divBdr>
                    <w:top w:val="none" w:sz="0" w:space="0" w:color="auto"/>
                    <w:left w:val="none" w:sz="0" w:space="0" w:color="auto"/>
                    <w:bottom w:val="none" w:sz="0" w:space="0" w:color="auto"/>
                    <w:right w:val="none" w:sz="0" w:space="0" w:color="auto"/>
                  </w:divBdr>
                  <w:divsChild>
                    <w:div w:id="1397780259">
                      <w:marLeft w:val="0"/>
                      <w:marRight w:val="0"/>
                      <w:marTop w:val="0"/>
                      <w:marBottom w:val="0"/>
                      <w:divBdr>
                        <w:top w:val="none" w:sz="0" w:space="0" w:color="auto"/>
                        <w:left w:val="none" w:sz="0" w:space="0" w:color="auto"/>
                        <w:bottom w:val="none" w:sz="0" w:space="0" w:color="auto"/>
                        <w:right w:val="none" w:sz="0" w:space="0" w:color="auto"/>
                      </w:divBdr>
                    </w:div>
                  </w:divsChild>
                </w:div>
                <w:div w:id="562109437">
                  <w:marLeft w:val="0"/>
                  <w:marRight w:val="0"/>
                  <w:marTop w:val="0"/>
                  <w:marBottom w:val="0"/>
                  <w:divBdr>
                    <w:top w:val="none" w:sz="0" w:space="0" w:color="auto"/>
                    <w:left w:val="none" w:sz="0" w:space="0" w:color="auto"/>
                    <w:bottom w:val="none" w:sz="0" w:space="0" w:color="auto"/>
                    <w:right w:val="none" w:sz="0" w:space="0" w:color="auto"/>
                  </w:divBdr>
                  <w:divsChild>
                    <w:div w:id="1674188662">
                      <w:marLeft w:val="0"/>
                      <w:marRight w:val="0"/>
                      <w:marTop w:val="0"/>
                      <w:marBottom w:val="0"/>
                      <w:divBdr>
                        <w:top w:val="none" w:sz="0" w:space="0" w:color="auto"/>
                        <w:left w:val="none" w:sz="0" w:space="0" w:color="auto"/>
                        <w:bottom w:val="none" w:sz="0" w:space="0" w:color="auto"/>
                        <w:right w:val="none" w:sz="0" w:space="0" w:color="auto"/>
                      </w:divBdr>
                    </w:div>
                  </w:divsChild>
                </w:div>
                <w:div w:id="1023364553">
                  <w:marLeft w:val="0"/>
                  <w:marRight w:val="0"/>
                  <w:marTop w:val="0"/>
                  <w:marBottom w:val="0"/>
                  <w:divBdr>
                    <w:top w:val="none" w:sz="0" w:space="0" w:color="auto"/>
                    <w:left w:val="none" w:sz="0" w:space="0" w:color="auto"/>
                    <w:bottom w:val="none" w:sz="0" w:space="0" w:color="auto"/>
                    <w:right w:val="none" w:sz="0" w:space="0" w:color="auto"/>
                  </w:divBdr>
                  <w:divsChild>
                    <w:div w:id="13377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674">
          <w:marLeft w:val="0"/>
          <w:marRight w:val="0"/>
          <w:marTop w:val="0"/>
          <w:marBottom w:val="0"/>
          <w:divBdr>
            <w:top w:val="none" w:sz="0" w:space="0" w:color="auto"/>
            <w:left w:val="none" w:sz="0" w:space="0" w:color="auto"/>
            <w:bottom w:val="none" w:sz="0" w:space="0" w:color="auto"/>
            <w:right w:val="none" w:sz="0" w:space="0" w:color="auto"/>
          </w:divBdr>
          <w:divsChild>
            <w:div w:id="396787131">
              <w:marLeft w:val="0"/>
              <w:marRight w:val="0"/>
              <w:marTop w:val="0"/>
              <w:marBottom w:val="0"/>
              <w:divBdr>
                <w:top w:val="none" w:sz="0" w:space="0" w:color="auto"/>
                <w:left w:val="none" w:sz="0" w:space="0" w:color="auto"/>
                <w:bottom w:val="none" w:sz="0" w:space="0" w:color="auto"/>
                <w:right w:val="none" w:sz="0" w:space="0" w:color="auto"/>
              </w:divBdr>
              <w:divsChild>
                <w:div w:id="1477185306">
                  <w:marLeft w:val="0"/>
                  <w:marRight w:val="0"/>
                  <w:marTop w:val="0"/>
                  <w:marBottom w:val="0"/>
                  <w:divBdr>
                    <w:top w:val="none" w:sz="0" w:space="0" w:color="auto"/>
                    <w:left w:val="none" w:sz="0" w:space="0" w:color="auto"/>
                    <w:bottom w:val="none" w:sz="0" w:space="0" w:color="auto"/>
                    <w:right w:val="none" w:sz="0" w:space="0" w:color="auto"/>
                  </w:divBdr>
                  <w:divsChild>
                    <w:div w:id="1276600719">
                      <w:marLeft w:val="0"/>
                      <w:marRight w:val="0"/>
                      <w:marTop w:val="0"/>
                      <w:marBottom w:val="0"/>
                      <w:divBdr>
                        <w:top w:val="none" w:sz="0" w:space="0" w:color="auto"/>
                        <w:left w:val="none" w:sz="0" w:space="0" w:color="auto"/>
                        <w:bottom w:val="none" w:sz="0" w:space="0" w:color="auto"/>
                        <w:right w:val="none" w:sz="0" w:space="0" w:color="auto"/>
                      </w:divBdr>
                    </w:div>
                  </w:divsChild>
                </w:div>
                <w:div w:id="1742676721">
                  <w:marLeft w:val="0"/>
                  <w:marRight w:val="0"/>
                  <w:marTop w:val="0"/>
                  <w:marBottom w:val="0"/>
                  <w:divBdr>
                    <w:top w:val="none" w:sz="0" w:space="0" w:color="auto"/>
                    <w:left w:val="none" w:sz="0" w:space="0" w:color="auto"/>
                    <w:bottom w:val="none" w:sz="0" w:space="0" w:color="auto"/>
                    <w:right w:val="none" w:sz="0" w:space="0" w:color="auto"/>
                  </w:divBdr>
                  <w:divsChild>
                    <w:div w:id="1370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61307">
      <w:bodyDiv w:val="1"/>
      <w:marLeft w:val="0"/>
      <w:marRight w:val="0"/>
      <w:marTop w:val="0"/>
      <w:marBottom w:val="0"/>
      <w:divBdr>
        <w:top w:val="none" w:sz="0" w:space="0" w:color="auto"/>
        <w:left w:val="none" w:sz="0" w:space="0" w:color="auto"/>
        <w:bottom w:val="none" w:sz="0" w:space="0" w:color="auto"/>
        <w:right w:val="none" w:sz="0" w:space="0" w:color="auto"/>
      </w:divBdr>
    </w:div>
    <w:div w:id="401677477">
      <w:bodyDiv w:val="1"/>
      <w:marLeft w:val="0"/>
      <w:marRight w:val="0"/>
      <w:marTop w:val="0"/>
      <w:marBottom w:val="0"/>
      <w:divBdr>
        <w:top w:val="none" w:sz="0" w:space="0" w:color="auto"/>
        <w:left w:val="none" w:sz="0" w:space="0" w:color="auto"/>
        <w:bottom w:val="none" w:sz="0" w:space="0" w:color="auto"/>
        <w:right w:val="none" w:sz="0" w:space="0" w:color="auto"/>
      </w:divBdr>
    </w:div>
    <w:div w:id="432365256">
      <w:bodyDiv w:val="1"/>
      <w:marLeft w:val="0"/>
      <w:marRight w:val="0"/>
      <w:marTop w:val="0"/>
      <w:marBottom w:val="0"/>
      <w:divBdr>
        <w:top w:val="none" w:sz="0" w:space="0" w:color="auto"/>
        <w:left w:val="none" w:sz="0" w:space="0" w:color="auto"/>
        <w:bottom w:val="none" w:sz="0" w:space="0" w:color="auto"/>
        <w:right w:val="none" w:sz="0" w:space="0" w:color="auto"/>
      </w:divBdr>
    </w:div>
    <w:div w:id="445347190">
      <w:bodyDiv w:val="1"/>
      <w:marLeft w:val="0"/>
      <w:marRight w:val="0"/>
      <w:marTop w:val="0"/>
      <w:marBottom w:val="0"/>
      <w:divBdr>
        <w:top w:val="none" w:sz="0" w:space="0" w:color="auto"/>
        <w:left w:val="none" w:sz="0" w:space="0" w:color="auto"/>
        <w:bottom w:val="none" w:sz="0" w:space="0" w:color="auto"/>
        <w:right w:val="none" w:sz="0" w:space="0" w:color="auto"/>
      </w:divBdr>
    </w:div>
    <w:div w:id="510920854">
      <w:bodyDiv w:val="1"/>
      <w:marLeft w:val="0"/>
      <w:marRight w:val="0"/>
      <w:marTop w:val="0"/>
      <w:marBottom w:val="0"/>
      <w:divBdr>
        <w:top w:val="none" w:sz="0" w:space="0" w:color="auto"/>
        <w:left w:val="none" w:sz="0" w:space="0" w:color="auto"/>
        <w:bottom w:val="none" w:sz="0" w:space="0" w:color="auto"/>
        <w:right w:val="none" w:sz="0" w:space="0" w:color="auto"/>
      </w:divBdr>
    </w:div>
    <w:div w:id="517735963">
      <w:bodyDiv w:val="1"/>
      <w:marLeft w:val="0"/>
      <w:marRight w:val="0"/>
      <w:marTop w:val="0"/>
      <w:marBottom w:val="0"/>
      <w:divBdr>
        <w:top w:val="none" w:sz="0" w:space="0" w:color="auto"/>
        <w:left w:val="none" w:sz="0" w:space="0" w:color="auto"/>
        <w:bottom w:val="none" w:sz="0" w:space="0" w:color="auto"/>
        <w:right w:val="none" w:sz="0" w:space="0" w:color="auto"/>
      </w:divBdr>
      <w:divsChild>
        <w:div w:id="138617549">
          <w:marLeft w:val="0"/>
          <w:marRight w:val="0"/>
          <w:marTop w:val="0"/>
          <w:marBottom w:val="0"/>
          <w:divBdr>
            <w:top w:val="none" w:sz="0" w:space="0" w:color="auto"/>
            <w:left w:val="none" w:sz="0" w:space="0" w:color="auto"/>
            <w:bottom w:val="none" w:sz="0" w:space="0" w:color="auto"/>
            <w:right w:val="none" w:sz="0" w:space="0" w:color="auto"/>
          </w:divBdr>
          <w:divsChild>
            <w:div w:id="847063507">
              <w:marLeft w:val="0"/>
              <w:marRight w:val="0"/>
              <w:marTop w:val="0"/>
              <w:marBottom w:val="0"/>
              <w:divBdr>
                <w:top w:val="none" w:sz="0" w:space="0" w:color="auto"/>
                <w:left w:val="none" w:sz="0" w:space="0" w:color="auto"/>
                <w:bottom w:val="none" w:sz="0" w:space="0" w:color="auto"/>
                <w:right w:val="none" w:sz="0" w:space="0" w:color="auto"/>
              </w:divBdr>
              <w:divsChild>
                <w:div w:id="5180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1945">
      <w:bodyDiv w:val="1"/>
      <w:marLeft w:val="0"/>
      <w:marRight w:val="0"/>
      <w:marTop w:val="0"/>
      <w:marBottom w:val="0"/>
      <w:divBdr>
        <w:top w:val="none" w:sz="0" w:space="0" w:color="auto"/>
        <w:left w:val="none" w:sz="0" w:space="0" w:color="auto"/>
        <w:bottom w:val="none" w:sz="0" w:space="0" w:color="auto"/>
        <w:right w:val="none" w:sz="0" w:space="0" w:color="auto"/>
      </w:divBdr>
      <w:divsChild>
        <w:div w:id="877472325">
          <w:marLeft w:val="288"/>
          <w:marRight w:val="0"/>
          <w:marTop w:val="240"/>
          <w:marBottom w:val="0"/>
          <w:divBdr>
            <w:top w:val="none" w:sz="0" w:space="0" w:color="auto"/>
            <w:left w:val="none" w:sz="0" w:space="0" w:color="auto"/>
            <w:bottom w:val="none" w:sz="0" w:space="0" w:color="auto"/>
            <w:right w:val="none" w:sz="0" w:space="0" w:color="auto"/>
          </w:divBdr>
        </w:div>
      </w:divsChild>
    </w:div>
    <w:div w:id="581330810">
      <w:bodyDiv w:val="1"/>
      <w:marLeft w:val="0"/>
      <w:marRight w:val="0"/>
      <w:marTop w:val="0"/>
      <w:marBottom w:val="0"/>
      <w:divBdr>
        <w:top w:val="none" w:sz="0" w:space="0" w:color="auto"/>
        <w:left w:val="none" w:sz="0" w:space="0" w:color="auto"/>
        <w:bottom w:val="none" w:sz="0" w:space="0" w:color="auto"/>
        <w:right w:val="none" w:sz="0" w:space="0" w:color="auto"/>
      </w:divBdr>
    </w:div>
    <w:div w:id="602612910">
      <w:bodyDiv w:val="1"/>
      <w:marLeft w:val="0"/>
      <w:marRight w:val="0"/>
      <w:marTop w:val="0"/>
      <w:marBottom w:val="0"/>
      <w:divBdr>
        <w:top w:val="none" w:sz="0" w:space="0" w:color="auto"/>
        <w:left w:val="none" w:sz="0" w:space="0" w:color="auto"/>
        <w:bottom w:val="none" w:sz="0" w:space="0" w:color="auto"/>
        <w:right w:val="none" w:sz="0" w:space="0" w:color="auto"/>
      </w:divBdr>
    </w:div>
    <w:div w:id="640354401">
      <w:bodyDiv w:val="1"/>
      <w:marLeft w:val="0"/>
      <w:marRight w:val="0"/>
      <w:marTop w:val="0"/>
      <w:marBottom w:val="0"/>
      <w:divBdr>
        <w:top w:val="none" w:sz="0" w:space="0" w:color="auto"/>
        <w:left w:val="none" w:sz="0" w:space="0" w:color="auto"/>
        <w:bottom w:val="none" w:sz="0" w:space="0" w:color="auto"/>
        <w:right w:val="none" w:sz="0" w:space="0" w:color="auto"/>
      </w:divBdr>
    </w:div>
    <w:div w:id="664940945">
      <w:bodyDiv w:val="1"/>
      <w:marLeft w:val="0"/>
      <w:marRight w:val="0"/>
      <w:marTop w:val="0"/>
      <w:marBottom w:val="0"/>
      <w:divBdr>
        <w:top w:val="none" w:sz="0" w:space="0" w:color="auto"/>
        <w:left w:val="none" w:sz="0" w:space="0" w:color="auto"/>
        <w:bottom w:val="none" w:sz="0" w:space="0" w:color="auto"/>
        <w:right w:val="none" w:sz="0" w:space="0" w:color="auto"/>
      </w:divBdr>
    </w:div>
    <w:div w:id="747188299">
      <w:bodyDiv w:val="1"/>
      <w:marLeft w:val="0"/>
      <w:marRight w:val="0"/>
      <w:marTop w:val="0"/>
      <w:marBottom w:val="0"/>
      <w:divBdr>
        <w:top w:val="none" w:sz="0" w:space="0" w:color="auto"/>
        <w:left w:val="none" w:sz="0" w:space="0" w:color="auto"/>
        <w:bottom w:val="none" w:sz="0" w:space="0" w:color="auto"/>
        <w:right w:val="none" w:sz="0" w:space="0" w:color="auto"/>
      </w:divBdr>
    </w:div>
    <w:div w:id="762536299">
      <w:bodyDiv w:val="1"/>
      <w:marLeft w:val="0"/>
      <w:marRight w:val="0"/>
      <w:marTop w:val="0"/>
      <w:marBottom w:val="0"/>
      <w:divBdr>
        <w:top w:val="none" w:sz="0" w:space="0" w:color="auto"/>
        <w:left w:val="none" w:sz="0" w:space="0" w:color="auto"/>
        <w:bottom w:val="none" w:sz="0" w:space="0" w:color="auto"/>
        <w:right w:val="none" w:sz="0" w:space="0" w:color="auto"/>
      </w:divBdr>
    </w:div>
    <w:div w:id="765225157">
      <w:bodyDiv w:val="1"/>
      <w:marLeft w:val="0"/>
      <w:marRight w:val="0"/>
      <w:marTop w:val="0"/>
      <w:marBottom w:val="0"/>
      <w:divBdr>
        <w:top w:val="none" w:sz="0" w:space="0" w:color="auto"/>
        <w:left w:val="none" w:sz="0" w:space="0" w:color="auto"/>
        <w:bottom w:val="none" w:sz="0" w:space="0" w:color="auto"/>
        <w:right w:val="none" w:sz="0" w:space="0" w:color="auto"/>
      </w:divBdr>
    </w:div>
    <w:div w:id="774180072">
      <w:bodyDiv w:val="1"/>
      <w:marLeft w:val="0"/>
      <w:marRight w:val="0"/>
      <w:marTop w:val="0"/>
      <w:marBottom w:val="0"/>
      <w:divBdr>
        <w:top w:val="none" w:sz="0" w:space="0" w:color="auto"/>
        <w:left w:val="none" w:sz="0" w:space="0" w:color="auto"/>
        <w:bottom w:val="none" w:sz="0" w:space="0" w:color="auto"/>
        <w:right w:val="none" w:sz="0" w:space="0" w:color="auto"/>
      </w:divBdr>
    </w:div>
    <w:div w:id="775947365">
      <w:bodyDiv w:val="1"/>
      <w:marLeft w:val="0"/>
      <w:marRight w:val="0"/>
      <w:marTop w:val="0"/>
      <w:marBottom w:val="0"/>
      <w:divBdr>
        <w:top w:val="none" w:sz="0" w:space="0" w:color="auto"/>
        <w:left w:val="none" w:sz="0" w:space="0" w:color="auto"/>
        <w:bottom w:val="none" w:sz="0" w:space="0" w:color="auto"/>
        <w:right w:val="none" w:sz="0" w:space="0" w:color="auto"/>
      </w:divBdr>
    </w:div>
    <w:div w:id="801578869">
      <w:bodyDiv w:val="1"/>
      <w:marLeft w:val="0"/>
      <w:marRight w:val="0"/>
      <w:marTop w:val="0"/>
      <w:marBottom w:val="0"/>
      <w:divBdr>
        <w:top w:val="none" w:sz="0" w:space="0" w:color="auto"/>
        <w:left w:val="none" w:sz="0" w:space="0" w:color="auto"/>
        <w:bottom w:val="none" w:sz="0" w:space="0" w:color="auto"/>
        <w:right w:val="none" w:sz="0" w:space="0" w:color="auto"/>
      </w:divBdr>
    </w:div>
    <w:div w:id="839855646">
      <w:bodyDiv w:val="1"/>
      <w:marLeft w:val="0"/>
      <w:marRight w:val="0"/>
      <w:marTop w:val="0"/>
      <w:marBottom w:val="0"/>
      <w:divBdr>
        <w:top w:val="none" w:sz="0" w:space="0" w:color="auto"/>
        <w:left w:val="none" w:sz="0" w:space="0" w:color="auto"/>
        <w:bottom w:val="none" w:sz="0" w:space="0" w:color="auto"/>
        <w:right w:val="none" w:sz="0" w:space="0" w:color="auto"/>
      </w:divBdr>
    </w:div>
    <w:div w:id="850946424">
      <w:bodyDiv w:val="1"/>
      <w:marLeft w:val="0"/>
      <w:marRight w:val="0"/>
      <w:marTop w:val="0"/>
      <w:marBottom w:val="0"/>
      <w:divBdr>
        <w:top w:val="none" w:sz="0" w:space="0" w:color="auto"/>
        <w:left w:val="none" w:sz="0" w:space="0" w:color="auto"/>
        <w:bottom w:val="none" w:sz="0" w:space="0" w:color="auto"/>
        <w:right w:val="none" w:sz="0" w:space="0" w:color="auto"/>
      </w:divBdr>
    </w:div>
    <w:div w:id="851917601">
      <w:bodyDiv w:val="1"/>
      <w:marLeft w:val="0"/>
      <w:marRight w:val="0"/>
      <w:marTop w:val="0"/>
      <w:marBottom w:val="0"/>
      <w:divBdr>
        <w:top w:val="none" w:sz="0" w:space="0" w:color="auto"/>
        <w:left w:val="none" w:sz="0" w:space="0" w:color="auto"/>
        <w:bottom w:val="none" w:sz="0" w:space="0" w:color="auto"/>
        <w:right w:val="none" w:sz="0" w:space="0" w:color="auto"/>
      </w:divBdr>
    </w:div>
    <w:div w:id="886065115">
      <w:bodyDiv w:val="1"/>
      <w:marLeft w:val="0"/>
      <w:marRight w:val="0"/>
      <w:marTop w:val="0"/>
      <w:marBottom w:val="0"/>
      <w:divBdr>
        <w:top w:val="none" w:sz="0" w:space="0" w:color="auto"/>
        <w:left w:val="none" w:sz="0" w:space="0" w:color="auto"/>
        <w:bottom w:val="none" w:sz="0" w:space="0" w:color="auto"/>
        <w:right w:val="none" w:sz="0" w:space="0" w:color="auto"/>
      </w:divBdr>
      <w:divsChild>
        <w:div w:id="155194457">
          <w:marLeft w:val="0"/>
          <w:marRight w:val="0"/>
          <w:marTop w:val="0"/>
          <w:marBottom w:val="0"/>
          <w:divBdr>
            <w:top w:val="none" w:sz="0" w:space="0" w:color="auto"/>
            <w:left w:val="none" w:sz="0" w:space="0" w:color="auto"/>
            <w:bottom w:val="none" w:sz="0" w:space="0" w:color="auto"/>
            <w:right w:val="none" w:sz="0" w:space="0" w:color="auto"/>
          </w:divBdr>
          <w:divsChild>
            <w:div w:id="1874536935">
              <w:marLeft w:val="0"/>
              <w:marRight w:val="0"/>
              <w:marTop w:val="0"/>
              <w:marBottom w:val="0"/>
              <w:divBdr>
                <w:top w:val="none" w:sz="0" w:space="0" w:color="auto"/>
                <w:left w:val="none" w:sz="0" w:space="0" w:color="auto"/>
                <w:bottom w:val="none" w:sz="0" w:space="0" w:color="auto"/>
                <w:right w:val="none" w:sz="0" w:space="0" w:color="auto"/>
              </w:divBdr>
              <w:divsChild>
                <w:div w:id="16152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4403">
      <w:bodyDiv w:val="1"/>
      <w:marLeft w:val="0"/>
      <w:marRight w:val="0"/>
      <w:marTop w:val="0"/>
      <w:marBottom w:val="0"/>
      <w:divBdr>
        <w:top w:val="none" w:sz="0" w:space="0" w:color="auto"/>
        <w:left w:val="none" w:sz="0" w:space="0" w:color="auto"/>
        <w:bottom w:val="none" w:sz="0" w:space="0" w:color="auto"/>
        <w:right w:val="none" w:sz="0" w:space="0" w:color="auto"/>
      </w:divBdr>
    </w:div>
    <w:div w:id="906498059">
      <w:bodyDiv w:val="1"/>
      <w:marLeft w:val="0"/>
      <w:marRight w:val="0"/>
      <w:marTop w:val="0"/>
      <w:marBottom w:val="0"/>
      <w:divBdr>
        <w:top w:val="none" w:sz="0" w:space="0" w:color="auto"/>
        <w:left w:val="none" w:sz="0" w:space="0" w:color="auto"/>
        <w:bottom w:val="none" w:sz="0" w:space="0" w:color="auto"/>
        <w:right w:val="none" w:sz="0" w:space="0" w:color="auto"/>
      </w:divBdr>
    </w:div>
    <w:div w:id="939020975">
      <w:bodyDiv w:val="1"/>
      <w:marLeft w:val="0"/>
      <w:marRight w:val="0"/>
      <w:marTop w:val="0"/>
      <w:marBottom w:val="0"/>
      <w:divBdr>
        <w:top w:val="none" w:sz="0" w:space="0" w:color="auto"/>
        <w:left w:val="none" w:sz="0" w:space="0" w:color="auto"/>
        <w:bottom w:val="none" w:sz="0" w:space="0" w:color="auto"/>
        <w:right w:val="none" w:sz="0" w:space="0" w:color="auto"/>
      </w:divBdr>
      <w:divsChild>
        <w:div w:id="2046900219">
          <w:marLeft w:val="0"/>
          <w:marRight w:val="0"/>
          <w:marTop w:val="0"/>
          <w:marBottom w:val="0"/>
          <w:divBdr>
            <w:top w:val="none" w:sz="0" w:space="0" w:color="auto"/>
            <w:left w:val="none" w:sz="0" w:space="0" w:color="auto"/>
            <w:bottom w:val="none" w:sz="0" w:space="0" w:color="auto"/>
            <w:right w:val="none" w:sz="0" w:space="0" w:color="auto"/>
          </w:divBdr>
          <w:divsChild>
            <w:div w:id="1101220035">
              <w:marLeft w:val="0"/>
              <w:marRight w:val="0"/>
              <w:marTop w:val="0"/>
              <w:marBottom w:val="0"/>
              <w:divBdr>
                <w:top w:val="none" w:sz="0" w:space="0" w:color="auto"/>
                <w:left w:val="none" w:sz="0" w:space="0" w:color="auto"/>
                <w:bottom w:val="none" w:sz="0" w:space="0" w:color="auto"/>
                <w:right w:val="none" w:sz="0" w:space="0" w:color="auto"/>
              </w:divBdr>
              <w:divsChild>
                <w:div w:id="1360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4465">
      <w:bodyDiv w:val="1"/>
      <w:marLeft w:val="0"/>
      <w:marRight w:val="0"/>
      <w:marTop w:val="0"/>
      <w:marBottom w:val="0"/>
      <w:divBdr>
        <w:top w:val="none" w:sz="0" w:space="0" w:color="auto"/>
        <w:left w:val="none" w:sz="0" w:space="0" w:color="auto"/>
        <w:bottom w:val="none" w:sz="0" w:space="0" w:color="auto"/>
        <w:right w:val="none" w:sz="0" w:space="0" w:color="auto"/>
      </w:divBdr>
    </w:div>
    <w:div w:id="974260357">
      <w:bodyDiv w:val="1"/>
      <w:marLeft w:val="0"/>
      <w:marRight w:val="0"/>
      <w:marTop w:val="0"/>
      <w:marBottom w:val="0"/>
      <w:divBdr>
        <w:top w:val="none" w:sz="0" w:space="0" w:color="auto"/>
        <w:left w:val="none" w:sz="0" w:space="0" w:color="auto"/>
        <w:bottom w:val="none" w:sz="0" w:space="0" w:color="auto"/>
        <w:right w:val="none" w:sz="0" w:space="0" w:color="auto"/>
      </w:divBdr>
      <w:divsChild>
        <w:div w:id="1832990185">
          <w:marLeft w:val="288"/>
          <w:marRight w:val="0"/>
          <w:marTop w:val="240"/>
          <w:marBottom w:val="0"/>
          <w:divBdr>
            <w:top w:val="none" w:sz="0" w:space="0" w:color="auto"/>
            <w:left w:val="none" w:sz="0" w:space="0" w:color="auto"/>
            <w:bottom w:val="none" w:sz="0" w:space="0" w:color="auto"/>
            <w:right w:val="none" w:sz="0" w:space="0" w:color="auto"/>
          </w:divBdr>
        </w:div>
      </w:divsChild>
    </w:div>
    <w:div w:id="1034113617">
      <w:bodyDiv w:val="1"/>
      <w:marLeft w:val="0"/>
      <w:marRight w:val="0"/>
      <w:marTop w:val="0"/>
      <w:marBottom w:val="0"/>
      <w:divBdr>
        <w:top w:val="none" w:sz="0" w:space="0" w:color="auto"/>
        <w:left w:val="none" w:sz="0" w:space="0" w:color="auto"/>
        <w:bottom w:val="none" w:sz="0" w:space="0" w:color="auto"/>
        <w:right w:val="none" w:sz="0" w:space="0" w:color="auto"/>
      </w:divBdr>
    </w:div>
    <w:div w:id="1045061509">
      <w:bodyDiv w:val="1"/>
      <w:marLeft w:val="0"/>
      <w:marRight w:val="0"/>
      <w:marTop w:val="0"/>
      <w:marBottom w:val="0"/>
      <w:divBdr>
        <w:top w:val="none" w:sz="0" w:space="0" w:color="auto"/>
        <w:left w:val="none" w:sz="0" w:space="0" w:color="auto"/>
        <w:bottom w:val="none" w:sz="0" w:space="0" w:color="auto"/>
        <w:right w:val="none" w:sz="0" w:space="0" w:color="auto"/>
      </w:divBdr>
    </w:div>
    <w:div w:id="1047798938">
      <w:bodyDiv w:val="1"/>
      <w:marLeft w:val="0"/>
      <w:marRight w:val="0"/>
      <w:marTop w:val="0"/>
      <w:marBottom w:val="0"/>
      <w:divBdr>
        <w:top w:val="none" w:sz="0" w:space="0" w:color="auto"/>
        <w:left w:val="none" w:sz="0" w:space="0" w:color="auto"/>
        <w:bottom w:val="none" w:sz="0" w:space="0" w:color="auto"/>
        <w:right w:val="none" w:sz="0" w:space="0" w:color="auto"/>
      </w:divBdr>
      <w:divsChild>
        <w:div w:id="163673214">
          <w:marLeft w:val="0"/>
          <w:marRight w:val="0"/>
          <w:marTop w:val="0"/>
          <w:marBottom w:val="210"/>
          <w:divBdr>
            <w:top w:val="none" w:sz="0" w:space="0" w:color="auto"/>
            <w:left w:val="none" w:sz="0" w:space="0" w:color="auto"/>
            <w:bottom w:val="none" w:sz="0" w:space="0" w:color="auto"/>
            <w:right w:val="none" w:sz="0" w:space="0" w:color="auto"/>
          </w:divBdr>
          <w:divsChild>
            <w:div w:id="30345810">
              <w:marLeft w:val="0"/>
              <w:marRight w:val="0"/>
              <w:marTop w:val="0"/>
              <w:marBottom w:val="0"/>
              <w:divBdr>
                <w:top w:val="none" w:sz="0" w:space="0" w:color="auto"/>
                <w:left w:val="none" w:sz="0" w:space="0" w:color="auto"/>
                <w:bottom w:val="none" w:sz="0" w:space="0" w:color="auto"/>
                <w:right w:val="none" w:sz="0" w:space="0" w:color="auto"/>
              </w:divBdr>
            </w:div>
          </w:divsChild>
        </w:div>
        <w:div w:id="982349407">
          <w:marLeft w:val="0"/>
          <w:marRight w:val="0"/>
          <w:marTop w:val="0"/>
          <w:marBottom w:val="210"/>
          <w:divBdr>
            <w:top w:val="none" w:sz="0" w:space="0" w:color="auto"/>
            <w:left w:val="none" w:sz="0" w:space="0" w:color="auto"/>
            <w:bottom w:val="none" w:sz="0" w:space="0" w:color="auto"/>
            <w:right w:val="none" w:sz="0" w:space="0" w:color="auto"/>
          </w:divBdr>
        </w:div>
      </w:divsChild>
    </w:div>
    <w:div w:id="1070998663">
      <w:bodyDiv w:val="1"/>
      <w:marLeft w:val="0"/>
      <w:marRight w:val="0"/>
      <w:marTop w:val="0"/>
      <w:marBottom w:val="0"/>
      <w:divBdr>
        <w:top w:val="none" w:sz="0" w:space="0" w:color="auto"/>
        <w:left w:val="none" w:sz="0" w:space="0" w:color="auto"/>
        <w:bottom w:val="none" w:sz="0" w:space="0" w:color="auto"/>
        <w:right w:val="none" w:sz="0" w:space="0" w:color="auto"/>
      </w:divBdr>
    </w:div>
    <w:div w:id="1163200834">
      <w:bodyDiv w:val="1"/>
      <w:marLeft w:val="0"/>
      <w:marRight w:val="0"/>
      <w:marTop w:val="0"/>
      <w:marBottom w:val="0"/>
      <w:divBdr>
        <w:top w:val="none" w:sz="0" w:space="0" w:color="auto"/>
        <w:left w:val="none" w:sz="0" w:space="0" w:color="auto"/>
        <w:bottom w:val="none" w:sz="0" w:space="0" w:color="auto"/>
        <w:right w:val="none" w:sz="0" w:space="0" w:color="auto"/>
      </w:divBdr>
      <w:divsChild>
        <w:div w:id="192547442">
          <w:marLeft w:val="0"/>
          <w:marRight w:val="0"/>
          <w:marTop w:val="0"/>
          <w:marBottom w:val="0"/>
          <w:divBdr>
            <w:top w:val="none" w:sz="0" w:space="0" w:color="auto"/>
            <w:left w:val="none" w:sz="0" w:space="0" w:color="auto"/>
            <w:bottom w:val="none" w:sz="0" w:space="0" w:color="auto"/>
            <w:right w:val="none" w:sz="0" w:space="0" w:color="auto"/>
          </w:divBdr>
          <w:divsChild>
            <w:div w:id="574631389">
              <w:marLeft w:val="0"/>
              <w:marRight w:val="0"/>
              <w:marTop w:val="0"/>
              <w:marBottom w:val="0"/>
              <w:divBdr>
                <w:top w:val="none" w:sz="0" w:space="0" w:color="auto"/>
                <w:left w:val="none" w:sz="0" w:space="0" w:color="auto"/>
                <w:bottom w:val="none" w:sz="0" w:space="0" w:color="auto"/>
                <w:right w:val="none" w:sz="0" w:space="0" w:color="auto"/>
              </w:divBdr>
              <w:divsChild>
                <w:div w:id="15960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3874">
      <w:bodyDiv w:val="1"/>
      <w:marLeft w:val="0"/>
      <w:marRight w:val="0"/>
      <w:marTop w:val="0"/>
      <w:marBottom w:val="0"/>
      <w:divBdr>
        <w:top w:val="none" w:sz="0" w:space="0" w:color="auto"/>
        <w:left w:val="none" w:sz="0" w:space="0" w:color="auto"/>
        <w:bottom w:val="none" w:sz="0" w:space="0" w:color="auto"/>
        <w:right w:val="none" w:sz="0" w:space="0" w:color="auto"/>
      </w:divBdr>
    </w:div>
    <w:div w:id="1169710817">
      <w:bodyDiv w:val="1"/>
      <w:marLeft w:val="0"/>
      <w:marRight w:val="0"/>
      <w:marTop w:val="0"/>
      <w:marBottom w:val="0"/>
      <w:divBdr>
        <w:top w:val="none" w:sz="0" w:space="0" w:color="auto"/>
        <w:left w:val="none" w:sz="0" w:space="0" w:color="auto"/>
        <w:bottom w:val="none" w:sz="0" w:space="0" w:color="auto"/>
        <w:right w:val="none" w:sz="0" w:space="0" w:color="auto"/>
      </w:divBdr>
      <w:divsChild>
        <w:div w:id="1279143441">
          <w:marLeft w:val="288"/>
          <w:marRight w:val="0"/>
          <w:marTop w:val="240"/>
          <w:marBottom w:val="0"/>
          <w:divBdr>
            <w:top w:val="none" w:sz="0" w:space="0" w:color="auto"/>
            <w:left w:val="none" w:sz="0" w:space="0" w:color="auto"/>
            <w:bottom w:val="none" w:sz="0" w:space="0" w:color="auto"/>
            <w:right w:val="none" w:sz="0" w:space="0" w:color="auto"/>
          </w:divBdr>
        </w:div>
      </w:divsChild>
    </w:div>
    <w:div w:id="1176655864">
      <w:bodyDiv w:val="1"/>
      <w:marLeft w:val="0"/>
      <w:marRight w:val="0"/>
      <w:marTop w:val="0"/>
      <w:marBottom w:val="0"/>
      <w:divBdr>
        <w:top w:val="none" w:sz="0" w:space="0" w:color="auto"/>
        <w:left w:val="none" w:sz="0" w:space="0" w:color="auto"/>
        <w:bottom w:val="none" w:sz="0" w:space="0" w:color="auto"/>
        <w:right w:val="none" w:sz="0" w:space="0" w:color="auto"/>
      </w:divBdr>
    </w:div>
    <w:div w:id="1189024559">
      <w:bodyDiv w:val="1"/>
      <w:marLeft w:val="0"/>
      <w:marRight w:val="0"/>
      <w:marTop w:val="0"/>
      <w:marBottom w:val="0"/>
      <w:divBdr>
        <w:top w:val="none" w:sz="0" w:space="0" w:color="auto"/>
        <w:left w:val="none" w:sz="0" w:space="0" w:color="auto"/>
        <w:bottom w:val="none" w:sz="0" w:space="0" w:color="auto"/>
        <w:right w:val="none" w:sz="0" w:space="0" w:color="auto"/>
      </w:divBdr>
    </w:div>
    <w:div w:id="1206985753">
      <w:bodyDiv w:val="1"/>
      <w:marLeft w:val="0"/>
      <w:marRight w:val="0"/>
      <w:marTop w:val="0"/>
      <w:marBottom w:val="0"/>
      <w:divBdr>
        <w:top w:val="none" w:sz="0" w:space="0" w:color="auto"/>
        <w:left w:val="none" w:sz="0" w:space="0" w:color="auto"/>
        <w:bottom w:val="none" w:sz="0" w:space="0" w:color="auto"/>
        <w:right w:val="none" w:sz="0" w:space="0" w:color="auto"/>
      </w:divBdr>
    </w:div>
    <w:div w:id="1212840579">
      <w:bodyDiv w:val="1"/>
      <w:marLeft w:val="0"/>
      <w:marRight w:val="0"/>
      <w:marTop w:val="0"/>
      <w:marBottom w:val="0"/>
      <w:divBdr>
        <w:top w:val="none" w:sz="0" w:space="0" w:color="auto"/>
        <w:left w:val="none" w:sz="0" w:space="0" w:color="auto"/>
        <w:bottom w:val="none" w:sz="0" w:space="0" w:color="auto"/>
        <w:right w:val="none" w:sz="0" w:space="0" w:color="auto"/>
      </w:divBdr>
    </w:div>
    <w:div w:id="1262176512">
      <w:bodyDiv w:val="1"/>
      <w:marLeft w:val="0"/>
      <w:marRight w:val="0"/>
      <w:marTop w:val="0"/>
      <w:marBottom w:val="0"/>
      <w:divBdr>
        <w:top w:val="none" w:sz="0" w:space="0" w:color="auto"/>
        <w:left w:val="none" w:sz="0" w:space="0" w:color="auto"/>
        <w:bottom w:val="none" w:sz="0" w:space="0" w:color="auto"/>
        <w:right w:val="none" w:sz="0" w:space="0" w:color="auto"/>
      </w:divBdr>
    </w:div>
    <w:div w:id="1340155695">
      <w:bodyDiv w:val="1"/>
      <w:marLeft w:val="0"/>
      <w:marRight w:val="0"/>
      <w:marTop w:val="0"/>
      <w:marBottom w:val="0"/>
      <w:divBdr>
        <w:top w:val="none" w:sz="0" w:space="0" w:color="auto"/>
        <w:left w:val="none" w:sz="0" w:space="0" w:color="auto"/>
        <w:bottom w:val="none" w:sz="0" w:space="0" w:color="auto"/>
        <w:right w:val="none" w:sz="0" w:space="0" w:color="auto"/>
      </w:divBdr>
      <w:divsChild>
        <w:div w:id="1045787218">
          <w:marLeft w:val="0"/>
          <w:marRight w:val="0"/>
          <w:marTop w:val="0"/>
          <w:marBottom w:val="0"/>
          <w:divBdr>
            <w:top w:val="none" w:sz="0" w:space="0" w:color="auto"/>
            <w:left w:val="none" w:sz="0" w:space="0" w:color="auto"/>
            <w:bottom w:val="none" w:sz="0" w:space="0" w:color="auto"/>
            <w:right w:val="none" w:sz="0" w:space="0" w:color="auto"/>
          </w:divBdr>
          <w:divsChild>
            <w:div w:id="307515216">
              <w:marLeft w:val="0"/>
              <w:marRight w:val="0"/>
              <w:marTop w:val="0"/>
              <w:marBottom w:val="0"/>
              <w:divBdr>
                <w:top w:val="none" w:sz="0" w:space="0" w:color="auto"/>
                <w:left w:val="none" w:sz="0" w:space="0" w:color="auto"/>
                <w:bottom w:val="none" w:sz="0" w:space="0" w:color="auto"/>
                <w:right w:val="none" w:sz="0" w:space="0" w:color="auto"/>
              </w:divBdr>
              <w:divsChild>
                <w:div w:id="8363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2481">
      <w:bodyDiv w:val="1"/>
      <w:marLeft w:val="0"/>
      <w:marRight w:val="0"/>
      <w:marTop w:val="0"/>
      <w:marBottom w:val="0"/>
      <w:divBdr>
        <w:top w:val="none" w:sz="0" w:space="0" w:color="auto"/>
        <w:left w:val="none" w:sz="0" w:space="0" w:color="auto"/>
        <w:bottom w:val="none" w:sz="0" w:space="0" w:color="auto"/>
        <w:right w:val="none" w:sz="0" w:space="0" w:color="auto"/>
      </w:divBdr>
    </w:div>
    <w:div w:id="1360663030">
      <w:bodyDiv w:val="1"/>
      <w:marLeft w:val="0"/>
      <w:marRight w:val="0"/>
      <w:marTop w:val="0"/>
      <w:marBottom w:val="0"/>
      <w:divBdr>
        <w:top w:val="none" w:sz="0" w:space="0" w:color="auto"/>
        <w:left w:val="none" w:sz="0" w:space="0" w:color="auto"/>
        <w:bottom w:val="none" w:sz="0" w:space="0" w:color="auto"/>
        <w:right w:val="none" w:sz="0" w:space="0" w:color="auto"/>
      </w:divBdr>
    </w:div>
    <w:div w:id="1409422524">
      <w:bodyDiv w:val="1"/>
      <w:marLeft w:val="0"/>
      <w:marRight w:val="0"/>
      <w:marTop w:val="0"/>
      <w:marBottom w:val="0"/>
      <w:divBdr>
        <w:top w:val="none" w:sz="0" w:space="0" w:color="auto"/>
        <w:left w:val="none" w:sz="0" w:space="0" w:color="auto"/>
        <w:bottom w:val="none" w:sz="0" w:space="0" w:color="auto"/>
        <w:right w:val="none" w:sz="0" w:space="0" w:color="auto"/>
      </w:divBdr>
    </w:div>
    <w:div w:id="1411393350">
      <w:bodyDiv w:val="1"/>
      <w:marLeft w:val="0"/>
      <w:marRight w:val="0"/>
      <w:marTop w:val="0"/>
      <w:marBottom w:val="0"/>
      <w:divBdr>
        <w:top w:val="none" w:sz="0" w:space="0" w:color="auto"/>
        <w:left w:val="none" w:sz="0" w:space="0" w:color="auto"/>
        <w:bottom w:val="none" w:sz="0" w:space="0" w:color="auto"/>
        <w:right w:val="none" w:sz="0" w:space="0" w:color="auto"/>
      </w:divBdr>
    </w:div>
    <w:div w:id="1436091523">
      <w:bodyDiv w:val="1"/>
      <w:marLeft w:val="0"/>
      <w:marRight w:val="0"/>
      <w:marTop w:val="0"/>
      <w:marBottom w:val="0"/>
      <w:divBdr>
        <w:top w:val="none" w:sz="0" w:space="0" w:color="auto"/>
        <w:left w:val="none" w:sz="0" w:space="0" w:color="auto"/>
        <w:bottom w:val="none" w:sz="0" w:space="0" w:color="auto"/>
        <w:right w:val="none" w:sz="0" w:space="0" w:color="auto"/>
      </w:divBdr>
    </w:div>
    <w:div w:id="1440029709">
      <w:bodyDiv w:val="1"/>
      <w:marLeft w:val="0"/>
      <w:marRight w:val="0"/>
      <w:marTop w:val="0"/>
      <w:marBottom w:val="0"/>
      <w:divBdr>
        <w:top w:val="none" w:sz="0" w:space="0" w:color="auto"/>
        <w:left w:val="none" w:sz="0" w:space="0" w:color="auto"/>
        <w:bottom w:val="none" w:sz="0" w:space="0" w:color="auto"/>
        <w:right w:val="none" w:sz="0" w:space="0" w:color="auto"/>
      </w:divBdr>
    </w:div>
    <w:div w:id="1466893635">
      <w:bodyDiv w:val="1"/>
      <w:marLeft w:val="0"/>
      <w:marRight w:val="0"/>
      <w:marTop w:val="0"/>
      <w:marBottom w:val="0"/>
      <w:divBdr>
        <w:top w:val="none" w:sz="0" w:space="0" w:color="auto"/>
        <w:left w:val="none" w:sz="0" w:space="0" w:color="auto"/>
        <w:bottom w:val="none" w:sz="0" w:space="0" w:color="auto"/>
        <w:right w:val="none" w:sz="0" w:space="0" w:color="auto"/>
      </w:divBdr>
    </w:div>
    <w:div w:id="1510832044">
      <w:bodyDiv w:val="1"/>
      <w:marLeft w:val="0"/>
      <w:marRight w:val="0"/>
      <w:marTop w:val="0"/>
      <w:marBottom w:val="0"/>
      <w:divBdr>
        <w:top w:val="none" w:sz="0" w:space="0" w:color="auto"/>
        <w:left w:val="none" w:sz="0" w:space="0" w:color="auto"/>
        <w:bottom w:val="none" w:sz="0" w:space="0" w:color="auto"/>
        <w:right w:val="none" w:sz="0" w:space="0" w:color="auto"/>
      </w:divBdr>
    </w:div>
    <w:div w:id="1533222072">
      <w:bodyDiv w:val="1"/>
      <w:marLeft w:val="0"/>
      <w:marRight w:val="0"/>
      <w:marTop w:val="0"/>
      <w:marBottom w:val="0"/>
      <w:divBdr>
        <w:top w:val="none" w:sz="0" w:space="0" w:color="auto"/>
        <w:left w:val="none" w:sz="0" w:space="0" w:color="auto"/>
        <w:bottom w:val="none" w:sz="0" w:space="0" w:color="auto"/>
        <w:right w:val="none" w:sz="0" w:space="0" w:color="auto"/>
      </w:divBdr>
    </w:div>
    <w:div w:id="1546944099">
      <w:bodyDiv w:val="1"/>
      <w:marLeft w:val="0"/>
      <w:marRight w:val="0"/>
      <w:marTop w:val="0"/>
      <w:marBottom w:val="0"/>
      <w:divBdr>
        <w:top w:val="none" w:sz="0" w:space="0" w:color="auto"/>
        <w:left w:val="none" w:sz="0" w:space="0" w:color="auto"/>
        <w:bottom w:val="none" w:sz="0" w:space="0" w:color="auto"/>
        <w:right w:val="none" w:sz="0" w:space="0" w:color="auto"/>
      </w:divBdr>
    </w:div>
    <w:div w:id="1616599407">
      <w:bodyDiv w:val="1"/>
      <w:marLeft w:val="0"/>
      <w:marRight w:val="0"/>
      <w:marTop w:val="0"/>
      <w:marBottom w:val="0"/>
      <w:divBdr>
        <w:top w:val="none" w:sz="0" w:space="0" w:color="auto"/>
        <w:left w:val="none" w:sz="0" w:space="0" w:color="auto"/>
        <w:bottom w:val="none" w:sz="0" w:space="0" w:color="auto"/>
        <w:right w:val="none" w:sz="0" w:space="0" w:color="auto"/>
      </w:divBdr>
    </w:div>
    <w:div w:id="1616793783">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61077194">
      <w:bodyDiv w:val="1"/>
      <w:marLeft w:val="0"/>
      <w:marRight w:val="0"/>
      <w:marTop w:val="0"/>
      <w:marBottom w:val="0"/>
      <w:divBdr>
        <w:top w:val="none" w:sz="0" w:space="0" w:color="auto"/>
        <w:left w:val="none" w:sz="0" w:space="0" w:color="auto"/>
        <w:bottom w:val="none" w:sz="0" w:space="0" w:color="auto"/>
        <w:right w:val="none" w:sz="0" w:space="0" w:color="auto"/>
      </w:divBdr>
    </w:div>
    <w:div w:id="1772166136">
      <w:bodyDiv w:val="1"/>
      <w:marLeft w:val="0"/>
      <w:marRight w:val="0"/>
      <w:marTop w:val="0"/>
      <w:marBottom w:val="0"/>
      <w:divBdr>
        <w:top w:val="none" w:sz="0" w:space="0" w:color="auto"/>
        <w:left w:val="none" w:sz="0" w:space="0" w:color="auto"/>
        <w:bottom w:val="none" w:sz="0" w:space="0" w:color="auto"/>
        <w:right w:val="none" w:sz="0" w:space="0" w:color="auto"/>
      </w:divBdr>
    </w:div>
    <w:div w:id="1826237376">
      <w:bodyDiv w:val="1"/>
      <w:marLeft w:val="0"/>
      <w:marRight w:val="0"/>
      <w:marTop w:val="0"/>
      <w:marBottom w:val="0"/>
      <w:divBdr>
        <w:top w:val="none" w:sz="0" w:space="0" w:color="auto"/>
        <w:left w:val="none" w:sz="0" w:space="0" w:color="auto"/>
        <w:bottom w:val="none" w:sz="0" w:space="0" w:color="auto"/>
        <w:right w:val="none" w:sz="0" w:space="0" w:color="auto"/>
      </w:divBdr>
    </w:div>
    <w:div w:id="1846823917">
      <w:bodyDiv w:val="1"/>
      <w:marLeft w:val="0"/>
      <w:marRight w:val="0"/>
      <w:marTop w:val="0"/>
      <w:marBottom w:val="0"/>
      <w:divBdr>
        <w:top w:val="none" w:sz="0" w:space="0" w:color="auto"/>
        <w:left w:val="none" w:sz="0" w:space="0" w:color="auto"/>
        <w:bottom w:val="none" w:sz="0" w:space="0" w:color="auto"/>
        <w:right w:val="none" w:sz="0" w:space="0" w:color="auto"/>
      </w:divBdr>
    </w:div>
    <w:div w:id="1906183924">
      <w:bodyDiv w:val="1"/>
      <w:marLeft w:val="0"/>
      <w:marRight w:val="0"/>
      <w:marTop w:val="0"/>
      <w:marBottom w:val="0"/>
      <w:divBdr>
        <w:top w:val="none" w:sz="0" w:space="0" w:color="auto"/>
        <w:left w:val="none" w:sz="0" w:space="0" w:color="auto"/>
        <w:bottom w:val="none" w:sz="0" w:space="0" w:color="auto"/>
        <w:right w:val="none" w:sz="0" w:space="0" w:color="auto"/>
      </w:divBdr>
    </w:div>
    <w:div w:id="1957564107">
      <w:bodyDiv w:val="1"/>
      <w:marLeft w:val="0"/>
      <w:marRight w:val="0"/>
      <w:marTop w:val="0"/>
      <w:marBottom w:val="0"/>
      <w:divBdr>
        <w:top w:val="none" w:sz="0" w:space="0" w:color="auto"/>
        <w:left w:val="none" w:sz="0" w:space="0" w:color="auto"/>
        <w:bottom w:val="none" w:sz="0" w:space="0" w:color="auto"/>
        <w:right w:val="none" w:sz="0" w:space="0" w:color="auto"/>
      </w:divBdr>
    </w:div>
    <w:div w:id="1965696759">
      <w:bodyDiv w:val="1"/>
      <w:marLeft w:val="0"/>
      <w:marRight w:val="0"/>
      <w:marTop w:val="0"/>
      <w:marBottom w:val="0"/>
      <w:divBdr>
        <w:top w:val="none" w:sz="0" w:space="0" w:color="auto"/>
        <w:left w:val="none" w:sz="0" w:space="0" w:color="auto"/>
        <w:bottom w:val="none" w:sz="0" w:space="0" w:color="auto"/>
        <w:right w:val="none" w:sz="0" w:space="0" w:color="auto"/>
      </w:divBdr>
    </w:div>
    <w:div w:id="1967226187">
      <w:bodyDiv w:val="1"/>
      <w:marLeft w:val="0"/>
      <w:marRight w:val="0"/>
      <w:marTop w:val="0"/>
      <w:marBottom w:val="0"/>
      <w:divBdr>
        <w:top w:val="none" w:sz="0" w:space="0" w:color="auto"/>
        <w:left w:val="none" w:sz="0" w:space="0" w:color="auto"/>
        <w:bottom w:val="none" w:sz="0" w:space="0" w:color="auto"/>
        <w:right w:val="none" w:sz="0" w:space="0" w:color="auto"/>
      </w:divBdr>
    </w:div>
    <w:div w:id="1973629236">
      <w:bodyDiv w:val="1"/>
      <w:marLeft w:val="0"/>
      <w:marRight w:val="0"/>
      <w:marTop w:val="0"/>
      <w:marBottom w:val="0"/>
      <w:divBdr>
        <w:top w:val="none" w:sz="0" w:space="0" w:color="auto"/>
        <w:left w:val="none" w:sz="0" w:space="0" w:color="auto"/>
        <w:bottom w:val="none" w:sz="0" w:space="0" w:color="auto"/>
        <w:right w:val="none" w:sz="0" w:space="0" w:color="auto"/>
      </w:divBdr>
      <w:divsChild>
        <w:div w:id="1061833503">
          <w:marLeft w:val="0"/>
          <w:marRight w:val="0"/>
          <w:marTop w:val="0"/>
          <w:marBottom w:val="0"/>
          <w:divBdr>
            <w:top w:val="none" w:sz="0" w:space="0" w:color="auto"/>
            <w:left w:val="none" w:sz="0" w:space="0" w:color="auto"/>
            <w:bottom w:val="none" w:sz="0" w:space="0" w:color="auto"/>
            <w:right w:val="none" w:sz="0" w:space="0" w:color="auto"/>
          </w:divBdr>
          <w:divsChild>
            <w:div w:id="33772735">
              <w:marLeft w:val="0"/>
              <w:marRight w:val="0"/>
              <w:marTop w:val="0"/>
              <w:marBottom w:val="0"/>
              <w:divBdr>
                <w:top w:val="none" w:sz="0" w:space="0" w:color="auto"/>
                <w:left w:val="none" w:sz="0" w:space="0" w:color="auto"/>
                <w:bottom w:val="none" w:sz="0" w:space="0" w:color="auto"/>
                <w:right w:val="none" w:sz="0" w:space="0" w:color="auto"/>
              </w:divBdr>
              <w:divsChild>
                <w:div w:id="13601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8778">
      <w:bodyDiv w:val="1"/>
      <w:marLeft w:val="0"/>
      <w:marRight w:val="0"/>
      <w:marTop w:val="0"/>
      <w:marBottom w:val="0"/>
      <w:divBdr>
        <w:top w:val="none" w:sz="0" w:space="0" w:color="auto"/>
        <w:left w:val="none" w:sz="0" w:space="0" w:color="auto"/>
        <w:bottom w:val="none" w:sz="0" w:space="0" w:color="auto"/>
        <w:right w:val="none" w:sz="0" w:space="0" w:color="auto"/>
      </w:divBdr>
      <w:divsChild>
        <w:div w:id="1459255351">
          <w:marLeft w:val="0"/>
          <w:marRight w:val="0"/>
          <w:marTop w:val="0"/>
          <w:marBottom w:val="0"/>
          <w:divBdr>
            <w:top w:val="none" w:sz="0" w:space="0" w:color="auto"/>
            <w:left w:val="none" w:sz="0" w:space="0" w:color="auto"/>
            <w:bottom w:val="none" w:sz="0" w:space="0" w:color="auto"/>
            <w:right w:val="none" w:sz="0" w:space="0" w:color="auto"/>
          </w:divBdr>
          <w:divsChild>
            <w:div w:id="1748459052">
              <w:marLeft w:val="0"/>
              <w:marRight w:val="0"/>
              <w:marTop w:val="0"/>
              <w:marBottom w:val="0"/>
              <w:divBdr>
                <w:top w:val="none" w:sz="0" w:space="0" w:color="auto"/>
                <w:left w:val="none" w:sz="0" w:space="0" w:color="auto"/>
                <w:bottom w:val="none" w:sz="0" w:space="0" w:color="auto"/>
                <w:right w:val="none" w:sz="0" w:space="0" w:color="auto"/>
              </w:divBdr>
              <w:divsChild>
                <w:div w:id="3581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2897">
      <w:bodyDiv w:val="1"/>
      <w:marLeft w:val="0"/>
      <w:marRight w:val="0"/>
      <w:marTop w:val="0"/>
      <w:marBottom w:val="0"/>
      <w:divBdr>
        <w:top w:val="none" w:sz="0" w:space="0" w:color="auto"/>
        <w:left w:val="none" w:sz="0" w:space="0" w:color="auto"/>
        <w:bottom w:val="none" w:sz="0" w:space="0" w:color="auto"/>
        <w:right w:val="none" w:sz="0" w:space="0" w:color="auto"/>
      </w:divBdr>
    </w:div>
    <w:div w:id="2010214321">
      <w:bodyDiv w:val="1"/>
      <w:marLeft w:val="0"/>
      <w:marRight w:val="0"/>
      <w:marTop w:val="0"/>
      <w:marBottom w:val="0"/>
      <w:divBdr>
        <w:top w:val="none" w:sz="0" w:space="0" w:color="auto"/>
        <w:left w:val="none" w:sz="0" w:space="0" w:color="auto"/>
        <w:bottom w:val="none" w:sz="0" w:space="0" w:color="auto"/>
        <w:right w:val="none" w:sz="0" w:space="0" w:color="auto"/>
      </w:divBdr>
      <w:divsChild>
        <w:div w:id="1679652344">
          <w:marLeft w:val="0"/>
          <w:marRight w:val="0"/>
          <w:marTop w:val="0"/>
          <w:marBottom w:val="0"/>
          <w:divBdr>
            <w:top w:val="none" w:sz="0" w:space="0" w:color="auto"/>
            <w:left w:val="none" w:sz="0" w:space="0" w:color="auto"/>
            <w:bottom w:val="none" w:sz="0" w:space="0" w:color="auto"/>
            <w:right w:val="none" w:sz="0" w:space="0" w:color="auto"/>
          </w:divBdr>
          <w:divsChild>
            <w:div w:id="280841287">
              <w:marLeft w:val="0"/>
              <w:marRight w:val="0"/>
              <w:marTop w:val="0"/>
              <w:marBottom w:val="0"/>
              <w:divBdr>
                <w:top w:val="none" w:sz="0" w:space="0" w:color="auto"/>
                <w:left w:val="none" w:sz="0" w:space="0" w:color="auto"/>
                <w:bottom w:val="none" w:sz="0" w:space="0" w:color="auto"/>
                <w:right w:val="none" w:sz="0" w:space="0" w:color="auto"/>
              </w:divBdr>
            </w:div>
          </w:divsChild>
        </w:div>
        <w:div w:id="1278491278">
          <w:marLeft w:val="0"/>
          <w:marRight w:val="0"/>
          <w:marTop w:val="0"/>
          <w:marBottom w:val="0"/>
          <w:divBdr>
            <w:top w:val="none" w:sz="0" w:space="0" w:color="auto"/>
            <w:left w:val="none" w:sz="0" w:space="0" w:color="auto"/>
            <w:bottom w:val="none" w:sz="0" w:space="0" w:color="auto"/>
            <w:right w:val="none" w:sz="0" w:space="0" w:color="auto"/>
          </w:divBdr>
          <w:divsChild>
            <w:div w:id="15720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0955">
      <w:bodyDiv w:val="1"/>
      <w:marLeft w:val="0"/>
      <w:marRight w:val="0"/>
      <w:marTop w:val="0"/>
      <w:marBottom w:val="0"/>
      <w:divBdr>
        <w:top w:val="none" w:sz="0" w:space="0" w:color="auto"/>
        <w:left w:val="none" w:sz="0" w:space="0" w:color="auto"/>
        <w:bottom w:val="none" w:sz="0" w:space="0" w:color="auto"/>
        <w:right w:val="none" w:sz="0" w:space="0" w:color="auto"/>
      </w:divBdr>
    </w:div>
    <w:div w:id="2098283536">
      <w:bodyDiv w:val="1"/>
      <w:marLeft w:val="0"/>
      <w:marRight w:val="0"/>
      <w:marTop w:val="0"/>
      <w:marBottom w:val="0"/>
      <w:divBdr>
        <w:top w:val="none" w:sz="0" w:space="0" w:color="auto"/>
        <w:left w:val="none" w:sz="0" w:space="0" w:color="auto"/>
        <w:bottom w:val="none" w:sz="0" w:space="0" w:color="auto"/>
        <w:right w:val="none" w:sz="0" w:space="0" w:color="auto"/>
      </w:divBdr>
    </w:div>
    <w:div w:id="2104494466">
      <w:bodyDiv w:val="1"/>
      <w:marLeft w:val="0"/>
      <w:marRight w:val="0"/>
      <w:marTop w:val="0"/>
      <w:marBottom w:val="0"/>
      <w:divBdr>
        <w:top w:val="none" w:sz="0" w:space="0" w:color="auto"/>
        <w:left w:val="none" w:sz="0" w:space="0" w:color="auto"/>
        <w:bottom w:val="none" w:sz="0" w:space="0" w:color="auto"/>
        <w:right w:val="none" w:sz="0" w:space="0" w:color="auto"/>
      </w:divBdr>
      <w:divsChild>
        <w:div w:id="226189680">
          <w:marLeft w:val="0"/>
          <w:marRight w:val="0"/>
          <w:marTop w:val="0"/>
          <w:marBottom w:val="210"/>
          <w:divBdr>
            <w:top w:val="none" w:sz="0" w:space="0" w:color="auto"/>
            <w:left w:val="none" w:sz="0" w:space="0" w:color="auto"/>
            <w:bottom w:val="none" w:sz="0" w:space="0" w:color="auto"/>
            <w:right w:val="none" w:sz="0" w:space="0" w:color="auto"/>
          </w:divBdr>
          <w:divsChild>
            <w:div w:id="1650355411">
              <w:marLeft w:val="0"/>
              <w:marRight w:val="0"/>
              <w:marTop w:val="0"/>
              <w:marBottom w:val="0"/>
              <w:divBdr>
                <w:top w:val="none" w:sz="0" w:space="0" w:color="auto"/>
                <w:left w:val="none" w:sz="0" w:space="0" w:color="auto"/>
                <w:bottom w:val="none" w:sz="0" w:space="0" w:color="auto"/>
                <w:right w:val="none" w:sz="0" w:space="0" w:color="auto"/>
              </w:divBdr>
            </w:div>
          </w:divsChild>
        </w:div>
        <w:div w:id="451633963">
          <w:marLeft w:val="0"/>
          <w:marRight w:val="0"/>
          <w:marTop w:val="0"/>
          <w:marBottom w:val="210"/>
          <w:divBdr>
            <w:top w:val="none" w:sz="0" w:space="0" w:color="auto"/>
            <w:left w:val="none" w:sz="0" w:space="0" w:color="auto"/>
            <w:bottom w:val="none" w:sz="0" w:space="0" w:color="auto"/>
            <w:right w:val="none" w:sz="0" w:space="0" w:color="auto"/>
          </w:divBdr>
        </w:div>
      </w:divsChild>
    </w:div>
    <w:div w:id="21329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D88B-7622-43B3-90FC-B0AC3158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6474</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Katherine</dc:creator>
  <cp:keywords/>
  <dc:description/>
  <cp:lastModifiedBy>Roscoe, Katherine</cp:lastModifiedBy>
  <cp:revision>3</cp:revision>
  <cp:lastPrinted>2020-08-04T13:40:00Z</cp:lastPrinted>
  <dcterms:created xsi:type="dcterms:W3CDTF">2020-09-16T12:28:00Z</dcterms:created>
  <dcterms:modified xsi:type="dcterms:W3CDTF">2020-09-16T12:29:00Z</dcterms:modified>
</cp:coreProperties>
</file>