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E1E6A" w14:textId="77777777" w:rsidR="00F05D10" w:rsidRDefault="00F05D10" w:rsidP="00F05D10">
      <w:pPr>
        <w:jc w:val="center"/>
        <w:rPr>
          <w:rFonts w:ascii="Arial" w:hAnsi="Arial" w:cs="Arial"/>
          <w:b/>
          <w:sz w:val="28"/>
        </w:rPr>
      </w:pPr>
      <w:r>
        <w:rPr>
          <w:rFonts w:ascii="Arial" w:hAnsi="Arial" w:cs="Arial"/>
          <w:b/>
          <w:sz w:val="28"/>
        </w:rPr>
        <w:t>A UK survey of COVID-19 related social support closures and their effects on older people, people with dementia, and carers</w:t>
      </w:r>
    </w:p>
    <w:p w14:paraId="14717445" w14:textId="77777777" w:rsidR="00F05D10" w:rsidRDefault="00F05D10" w:rsidP="00F05D10">
      <w:pPr>
        <w:jc w:val="center"/>
        <w:rPr>
          <w:rFonts w:ascii="Arial" w:hAnsi="Arial" w:cs="Arial"/>
          <w:b/>
          <w:sz w:val="24"/>
        </w:rPr>
      </w:pPr>
      <w:r>
        <w:rPr>
          <w:rFonts w:ascii="Arial" w:hAnsi="Arial" w:cs="Arial"/>
          <w:b/>
          <w:sz w:val="24"/>
        </w:rPr>
        <w:t>Clarissa Giebel</w:t>
      </w:r>
      <w:r>
        <w:rPr>
          <w:rFonts w:ascii="Arial" w:hAnsi="Arial" w:cs="Arial"/>
          <w:b/>
          <w:sz w:val="24"/>
          <w:vertAlign w:val="superscript"/>
        </w:rPr>
        <w:t>1,</w:t>
      </w:r>
      <w:proofErr w:type="gramStart"/>
      <w:r>
        <w:rPr>
          <w:rFonts w:ascii="Arial" w:hAnsi="Arial" w:cs="Arial"/>
          <w:b/>
          <w:sz w:val="24"/>
          <w:vertAlign w:val="superscript"/>
        </w:rPr>
        <w:t>2,*</w:t>
      </w:r>
      <w:proofErr w:type="gramEnd"/>
      <w:r>
        <w:rPr>
          <w:rFonts w:ascii="Arial" w:hAnsi="Arial" w:cs="Arial"/>
          <w:b/>
          <w:sz w:val="24"/>
        </w:rPr>
        <w:t>, Kathryn Lord</w:t>
      </w:r>
      <w:r>
        <w:rPr>
          <w:rFonts w:ascii="Arial" w:hAnsi="Arial" w:cs="Arial"/>
          <w:b/>
          <w:sz w:val="24"/>
          <w:vertAlign w:val="superscript"/>
        </w:rPr>
        <w:t>3</w:t>
      </w:r>
      <w:r>
        <w:rPr>
          <w:rFonts w:ascii="Arial" w:hAnsi="Arial" w:cs="Arial"/>
          <w:b/>
          <w:sz w:val="24"/>
        </w:rPr>
        <w:t>, Claudia Cooper</w:t>
      </w:r>
      <w:r>
        <w:rPr>
          <w:rFonts w:ascii="Arial" w:hAnsi="Arial" w:cs="Arial"/>
          <w:b/>
          <w:sz w:val="24"/>
          <w:vertAlign w:val="superscript"/>
        </w:rPr>
        <w:t>4</w:t>
      </w:r>
      <w:r>
        <w:rPr>
          <w:rFonts w:ascii="Arial" w:hAnsi="Arial" w:cs="Arial"/>
          <w:b/>
          <w:sz w:val="24"/>
        </w:rPr>
        <w:t>, Justine Shenton</w:t>
      </w:r>
      <w:r>
        <w:rPr>
          <w:rFonts w:ascii="Arial" w:hAnsi="Arial" w:cs="Arial"/>
          <w:b/>
          <w:sz w:val="24"/>
          <w:vertAlign w:val="superscript"/>
        </w:rPr>
        <w:t>5</w:t>
      </w:r>
      <w:r>
        <w:rPr>
          <w:rFonts w:ascii="Arial" w:hAnsi="Arial" w:cs="Arial"/>
          <w:b/>
          <w:sz w:val="24"/>
        </w:rPr>
        <w:t>, Jacqueline Cannon</w:t>
      </w:r>
      <w:r>
        <w:rPr>
          <w:rFonts w:ascii="Arial" w:hAnsi="Arial" w:cs="Arial"/>
          <w:b/>
          <w:sz w:val="24"/>
          <w:vertAlign w:val="superscript"/>
        </w:rPr>
        <w:t>6</w:t>
      </w:r>
      <w:r>
        <w:rPr>
          <w:rFonts w:ascii="Arial" w:hAnsi="Arial" w:cs="Arial"/>
          <w:b/>
          <w:sz w:val="24"/>
        </w:rPr>
        <w:t>, Daniel Pulford</w:t>
      </w:r>
      <w:r>
        <w:rPr>
          <w:rFonts w:ascii="Arial" w:hAnsi="Arial" w:cs="Arial"/>
          <w:b/>
          <w:sz w:val="24"/>
          <w:vertAlign w:val="superscript"/>
        </w:rPr>
        <w:t>7</w:t>
      </w:r>
      <w:r>
        <w:rPr>
          <w:rFonts w:ascii="Arial" w:hAnsi="Arial" w:cs="Arial"/>
          <w:b/>
          <w:sz w:val="24"/>
        </w:rPr>
        <w:t>, Lisa Shaw</w:t>
      </w:r>
      <w:r>
        <w:rPr>
          <w:rFonts w:ascii="Arial" w:hAnsi="Arial" w:cs="Arial"/>
          <w:b/>
          <w:sz w:val="24"/>
          <w:vertAlign w:val="superscript"/>
        </w:rPr>
        <w:t>8</w:t>
      </w:r>
      <w:r>
        <w:rPr>
          <w:rFonts w:ascii="Arial" w:hAnsi="Arial" w:cs="Arial"/>
          <w:b/>
          <w:sz w:val="24"/>
        </w:rPr>
        <w:t>, Anna Gaughan</w:t>
      </w:r>
      <w:r>
        <w:rPr>
          <w:rFonts w:ascii="Arial" w:hAnsi="Arial" w:cs="Arial"/>
          <w:b/>
          <w:sz w:val="24"/>
          <w:vertAlign w:val="superscript"/>
        </w:rPr>
        <w:t>9</w:t>
      </w:r>
      <w:r>
        <w:rPr>
          <w:rFonts w:ascii="Arial" w:hAnsi="Arial" w:cs="Arial"/>
          <w:b/>
          <w:sz w:val="24"/>
        </w:rPr>
        <w:t>, Hilary Tetlow</w:t>
      </w:r>
      <w:r>
        <w:rPr>
          <w:rFonts w:ascii="Arial" w:hAnsi="Arial" w:cs="Arial"/>
          <w:b/>
          <w:sz w:val="24"/>
          <w:vertAlign w:val="superscript"/>
        </w:rPr>
        <w:t>10</w:t>
      </w:r>
      <w:r>
        <w:rPr>
          <w:rFonts w:ascii="Arial" w:hAnsi="Arial" w:cs="Arial"/>
          <w:b/>
          <w:sz w:val="24"/>
        </w:rPr>
        <w:t>, Sarah Butchard</w:t>
      </w:r>
      <w:r>
        <w:rPr>
          <w:rFonts w:ascii="Arial" w:hAnsi="Arial" w:cs="Arial"/>
          <w:b/>
          <w:sz w:val="24"/>
          <w:vertAlign w:val="superscript"/>
        </w:rPr>
        <w:t>1,11</w:t>
      </w:r>
      <w:r>
        <w:rPr>
          <w:rFonts w:ascii="Arial" w:hAnsi="Arial" w:cs="Arial"/>
          <w:b/>
          <w:sz w:val="24"/>
        </w:rPr>
        <w:t>, Stan Limbert</w:t>
      </w:r>
      <w:r>
        <w:rPr>
          <w:rFonts w:ascii="Arial" w:hAnsi="Arial" w:cs="Arial"/>
          <w:b/>
          <w:sz w:val="24"/>
          <w:vertAlign w:val="superscript"/>
        </w:rPr>
        <w:t>2</w:t>
      </w:r>
      <w:r>
        <w:rPr>
          <w:rFonts w:ascii="Arial" w:hAnsi="Arial" w:cs="Arial"/>
          <w:b/>
          <w:sz w:val="24"/>
        </w:rPr>
        <w:t>, Steve Callaghan</w:t>
      </w:r>
      <w:r>
        <w:rPr>
          <w:rFonts w:ascii="Arial" w:hAnsi="Arial" w:cs="Arial"/>
          <w:b/>
          <w:sz w:val="24"/>
          <w:vertAlign w:val="superscript"/>
        </w:rPr>
        <w:t>12</w:t>
      </w:r>
      <w:r>
        <w:rPr>
          <w:rFonts w:ascii="Arial" w:hAnsi="Arial" w:cs="Arial"/>
          <w:b/>
          <w:sz w:val="24"/>
        </w:rPr>
        <w:t>, Rosie Whittington</w:t>
      </w:r>
      <w:r>
        <w:rPr>
          <w:rFonts w:ascii="Arial" w:hAnsi="Arial" w:cs="Arial"/>
          <w:b/>
          <w:sz w:val="24"/>
          <w:vertAlign w:val="superscript"/>
        </w:rPr>
        <w:t>13</w:t>
      </w:r>
      <w:r>
        <w:rPr>
          <w:rFonts w:ascii="Arial" w:hAnsi="Arial" w:cs="Arial"/>
          <w:b/>
          <w:sz w:val="24"/>
        </w:rPr>
        <w:t>, Carol Rogers</w:t>
      </w:r>
      <w:r>
        <w:rPr>
          <w:rFonts w:ascii="Arial" w:hAnsi="Arial" w:cs="Arial"/>
          <w:b/>
          <w:sz w:val="24"/>
          <w:vertAlign w:val="superscript"/>
        </w:rPr>
        <w:t>14</w:t>
      </w:r>
      <w:r>
        <w:rPr>
          <w:rFonts w:ascii="Arial" w:hAnsi="Arial" w:cs="Arial"/>
          <w:b/>
          <w:sz w:val="24"/>
        </w:rPr>
        <w:t>, Aravind Komuravelli</w:t>
      </w:r>
      <w:r>
        <w:rPr>
          <w:rFonts w:ascii="Arial" w:hAnsi="Arial" w:cs="Arial"/>
          <w:b/>
          <w:sz w:val="24"/>
          <w:vertAlign w:val="superscript"/>
        </w:rPr>
        <w:t>15</w:t>
      </w:r>
      <w:r>
        <w:rPr>
          <w:rFonts w:ascii="Arial" w:hAnsi="Arial" w:cs="Arial"/>
          <w:b/>
          <w:sz w:val="24"/>
        </w:rPr>
        <w:t>, Manoj Rajagopal</w:t>
      </w:r>
      <w:r>
        <w:rPr>
          <w:rFonts w:ascii="Arial" w:hAnsi="Arial" w:cs="Arial"/>
          <w:b/>
          <w:sz w:val="24"/>
          <w:vertAlign w:val="superscript"/>
        </w:rPr>
        <w:t>7</w:t>
      </w:r>
      <w:r>
        <w:rPr>
          <w:rFonts w:ascii="Arial" w:hAnsi="Arial" w:cs="Arial"/>
          <w:b/>
          <w:sz w:val="24"/>
        </w:rPr>
        <w:t>, Ruth Eley</w:t>
      </w:r>
      <w:r>
        <w:rPr>
          <w:rFonts w:ascii="Arial" w:hAnsi="Arial" w:cs="Arial"/>
          <w:b/>
          <w:sz w:val="24"/>
          <w:vertAlign w:val="superscript"/>
        </w:rPr>
        <w:t>16</w:t>
      </w:r>
      <w:r>
        <w:rPr>
          <w:rFonts w:ascii="Arial" w:hAnsi="Arial" w:cs="Arial"/>
          <w:b/>
          <w:sz w:val="24"/>
        </w:rPr>
        <w:t>, Caroline Watkins</w:t>
      </w:r>
      <w:r>
        <w:rPr>
          <w:rFonts w:ascii="Arial" w:hAnsi="Arial" w:cs="Arial"/>
          <w:b/>
          <w:sz w:val="24"/>
          <w:vertAlign w:val="superscript"/>
        </w:rPr>
        <w:t>2,17</w:t>
      </w:r>
      <w:r>
        <w:rPr>
          <w:rFonts w:ascii="Arial" w:hAnsi="Arial" w:cs="Arial"/>
          <w:b/>
          <w:sz w:val="24"/>
        </w:rPr>
        <w:t xml:space="preserve">, </w:t>
      </w:r>
      <w:proofErr w:type="spellStart"/>
      <w:r>
        <w:rPr>
          <w:rFonts w:ascii="Arial" w:hAnsi="Arial" w:cs="Arial"/>
          <w:b/>
          <w:sz w:val="24"/>
        </w:rPr>
        <w:t>Murna</w:t>
      </w:r>
      <w:proofErr w:type="spellEnd"/>
      <w:r>
        <w:rPr>
          <w:rFonts w:ascii="Arial" w:hAnsi="Arial" w:cs="Arial"/>
          <w:b/>
          <w:sz w:val="24"/>
        </w:rPr>
        <w:t xml:space="preserve"> Downs</w:t>
      </w:r>
      <w:r>
        <w:rPr>
          <w:rFonts w:ascii="Arial" w:hAnsi="Arial" w:cs="Arial"/>
          <w:b/>
          <w:sz w:val="24"/>
          <w:vertAlign w:val="superscript"/>
        </w:rPr>
        <w:t>3</w:t>
      </w:r>
      <w:r>
        <w:rPr>
          <w:rFonts w:ascii="Arial" w:hAnsi="Arial" w:cs="Arial"/>
          <w:b/>
          <w:sz w:val="24"/>
        </w:rPr>
        <w:t>, Siobhan Reilly</w:t>
      </w:r>
      <w:r>
        <w:rPr>
          <w:rFonts w:ascii="Arial" w:hAnsi="Arial" w:cs="Arial"/>
          <w:b/>
          <w:sz w:val="24"/>
          <w:vertAlign w:val="superscript"/>
        </w:rPr>
        <w:t>2,18</w:t>
      </w:r>
      <w:r>
        <w:rPr>
          <w:rFonts w:ascii="Arial" w:hAnsi="Arial" w:cs="Arial"/>
          <w:b/>
          <w:sz w:val="24"/>
        </w:rPr>
        <w:t>, Kym Ward</w:t>
      </w:r>
      <w:r>
        <w:rPr>
          <w:rFonts w:ascii="Arial" w:hAnsi="Arial" w:cs="Arial"/>
          <w:b/>
          <w:sz w:val="24"/>
          <w:vertAlign w:val="superscript"/>
        </w:rPr>
        <w:t>19</w:t>
      </w:r>
      <w:r>
        <w:rPr>
          <w:rFonts w:ascii="Arial" w:hAnsi="Arial" w:cs="Arial"/>
          <w:b/>
          <w:sz w:val="24"/>
        </w:rPr>
        <w:t>, Rhiannon Corcoran</w:t>
      </w:r>
      <w:r>
        <w:rPr>
          <w:rFonts w:ascii="Arial" w:hAnsi="Arial" w:cs="Arial"/>
          <w:b/>
          <w:sz w:val="24"/>
          <w:vertAlign w:val="superscript"/>
        </w:rPr>
        <w:t>1,2</w:t>
      </w:r>
      <w:r>
        <w:rPr>
          <w:rFonts w:ascii="Arial" w:hAnsi="Arial" w:cs="Arial"/>
          <w:b/>
          <w:sz w:val="24"/>
        </w:rPr>
        <w:t>, Kate Bennett</w:t>
      </w:r>
      <w:r>
        <w:rPr>
          <w:rFonts w:ascii="Arial" w:hAnsi="Arial" w:cs="Arial"/>
          <w:b/>
          <w:sz w:val="24"/>
          <w:vertAlign w:val="superscript"/>
        </w:rPr>
        <w:t>20</w:t>
      </w:r>
      <w:r>
        <w:rPr>
          <w:rFonts w:ascii="Arial" w:hAnsi="Arial" w:cs="Arial"/>
          <w:b/>
          <w:sz w:val="24"/>
        </w:rPr>
        <w:t>, Mark Gabbay</w:t>
      </w:r>
      <w:r>
        <w:rPr>
          <w:rFonts w:ascii="Arial" w:hAnsi="Arial" w:cs="Arial"/>
          <w:b/>
          <w:sz w:val="24"/>
          <w:vertAlign w:val="superscript"/>
        </w:rPr>
        <w:t>1,2</w:t>
      </w:r>
    </w:p>
    <w:p w14:paraId="5F86318A" w14:textId="77777777" w:rsidR="00F05D10" w:rsidRDefault="00F05D10" w:rsidP="00F05D10">
      <w:pPr>
        <w:spacing w:after="0"/>
        <w:jc w:val="center"/>
        <w:rPr>
          <w:rFonts w:ascii="Arial" w:hAnsi="Arial" w:cs="Arial"/>
        </w:rPr>
      </w:pPr>
      <w:r>
        <w:rPr>
          <w:rFonts w:ascii="Arial" w:hAnsi="Arial" w:cs="Arial"/>
          <w:vertAlign w:val="superscript"/>
        </w:rPr>
        <w:t>1</w:t>
      </w:r>
      <w:r>
        <w:rPr>
          <w:rFonts w:ascii="Arial" w:hAnsi="Arial" w:cs="Arial"/>
        </w:rPr>
        <w:t xml:space="preserve"> Department of Primary Care and Mental Health, University of Liverpool, UK</w:t>
      </w:r>
    </w:p>
    <w:p w14:paraId="3A2756FF" w14:textId="77777777" w:rsidR="00F05D10" w:rsidRDefault="00F05D10" w:rsidP="00F05D10">
      <w:pPr>
        <w:spacing w:after="0"/>
        <w:jc w:val="center"/>
        <w:rPr>
          <w:rFonts w:ascii="Arial" w:hAnsi="Arial" w:cs="Arial"/>
        </w:rPr>
      </w:pPr>
      <w:r>
        <w:rPr>
          <w:rFonts w:ascii="Arial" w:hAnsi="Arial" w:cs="Arial"/>
          <w:vertAlign w:val="superscript"/>
        </w:rPr>
        <w:t xml:space="preserve">2 </w:t>
      </w:r>
      <w:r>
        <w:rPr>
          <w:rFonts w:ascii="Arial" w:hAnsi="Arial" w:cs="Arial"/>
        </w:rPr>
        <w:t>NIHR ARC NWC, UK</w:t>
      </w:r>
    </w:p>
    <w:p w14:paraId="124142A4" w14:textId="77777777" w:rsidR="00F05D10" w:rsidRPr="00E21441" w:rsidRDefault="00F05D10" w:rsidP="00F05D10">
      <w:pPr>
        <w:spacing w:after="0"/>
        <w:jc w:val="center"/>
        <w:rPr>
          <w:rFonts w:ascii="Arial" w:hAnsi="Arial" w:cs="Arial"/>
        </w:rPr>
      </w:pPr>
      <w:r>
        <w:rPr>
          <w:rFonts w:ascii="Arial" w:hAnsi="Arial" w:cs="Arial"/>
          <w:vertAlign w:val="superscript"/>
        </w:rPr>
        <w:t>3</w:t>
      </w:r>
      <w:r>
        <w:rPr>
          <w:rFonts w:ascii="Arial" w:hAnsi="Arial" w:cs="Arial"/>
        </w:rPr>
        <w:t xml:space="preserve"> Centre for Applied Dementia Studies, University of Bradford, UK</w:t>
      </w:r>
    </w:p>
    <w:p w14:paraId="6CA6446C" w14:textId="77777777" w:rsidR="00F05D10" w:rsidRDefault="00F05D10" w:rsidP="00F05D10">
      <w:pPr>
        <w:spacing w:after="0"/>
        <w:jc w:val="center"/>
        <w:rPr>
          <w:rFonts w:ascii="Arial" w:hAnsi="Arial" w:cs="Arial"/>
        </w:rPr>
      </w:pPr>
      <w:r>
        <w:rPr>
          <w:rFonts w:ascii="Arial" w:hAnsi="Arial" w:cs="Arial"/>
          <w:vertAlign w:val="superscript"/>
        </w:rPr>
        <w:t>4</w:t>
      </w:r>
      <w:r>
        <w:rPr>
          <w:rFonts w:ascii="Arial" w:hAnsi="Arial" w:cs="Arial"/>
        </w:rPr>
        <w:t xml:space="preserve"> Division of Psychiatry, UCL; Camden and Islington NHS Foundation Trust</w:t>
      </w:r>
    </w:p>
    <w:p w14:paraId="419BE1F0" w14:textId="77777777" w:rsidR="00F05D10" w:rsidRDefault="00F05D10" w:rsidP="00F05D10">
      <w:pPr>
        <w:spacing w:after="0"/>
        <w:jc w:val="center"/>
        <w:rPr>
          <w:rFonts w:ascii="Arial" w:hAnsi="Arial" w:cs="Arial"/>
        </w:rPr>
      </w:pPr>
      <w:r w:rsidRPr="006A7A32">
        <w:rPr>
          <w:rFonts w:ascii="Arial" w:hAnsi="Arial" w:cs="Arial"/>
          <w:vertAlign w:val="superscript"/>
        </w:rPr>
        <w:t>5</w:t>
      </w:r>
      <w:r>
        <w:rPr>
          <w:rFonts w:ascii="Arial" w:hAnsi="Arial" w:cs="Arial"/>
        </w:rPr>
        <w:t xml:space="preserve"> Sefton Older People’s Forum, UK</w:t>
      </w:r>
    </w:p>
    <w:p w14:paraId="14379406" w14:textId="77777777" w:rsidR="00F05D10" w:rsidRDefault="00F05D10" w:rsidP="00F05D10">
      <w:pPr>
        <w:spacing w:after="0"/>
        <w:jc w:val="center"/>
        <w:rPr>
          <w:rFonts w:ascii="Arial" w:hAnsi="Arial" w:cs="Arial"/>
        </w:rPr>
      </w:pPr>
      <w:r w:rsidRPr="006A7A32">
        <w:rPr>
          <w:rFonts w:ascii="Arial" w:hAnsi="Arial" w:cs="Arial"/>
          <w:vertAlign w:val="superscript"/>
        </w:rPr>
        <w:t>6</w:t>
      </w:r>
      <w:r>
        <w:rPr>
          <w:rFonts w:ascii="Arial" w:hAnsi="Arial" w:cs="Arial"/>
        </w:rPr>
        <w:t xml:space="preserve"> Lewy Body Society, UK</w:t>
      </w:r>
    </w:p>
    <w:p w14:paraId="333669DF" w14:textId="77777777" w:rsidR="00F05D10" w:rsidRDefault="00F05D10" w:rsidP="00F05D10">
      <w:pPr>
        <w:spacing w:after="0"/>
        <w:jc w:val="center"/>
        <w:rPr>
          <w:rFonts w:ascii="Arial" w:hAnsi="Arial" w:cs="Arial"/>
        </w:rPr>
      </w:pPr>
      <w:r w:rsidRPr="006A7A32">
        <w:rPr>
          <w:rFonts w:ascii="Arial" w:hAnsi="Arial" w:cs="Arial"/>
          <w:vertAlign w:val="superscript"/>
        </w:rPr>
        <w:t xml:space="preserve">7 </w:t>
      </w:r>
      <w:r>
        <w:rPr>
          <w:rFonts w:ascii="Arial" w:hAnsi="Arial" w:cs="Arial"/>
        </w:rPr>
        <w:t>Lancashire Care NHS Trust, UK</w:t>
      </w:r>
    </w:p>
    <w:p w14:paraId="4988529F" w14:textId="77777777" w:rsidR="00F05D10" w:rsidRDefault="00F05D10" w:rsidP="00F05D10">
      <w:pPr>
        <w:spacing w:after="0"/>
        <w:jc w:val="center"/>
        <w:rPr>
          <w:rFonts w:ascii="Arial" w:hAnsi="Arial" w:cs="Arial"/>
        </w:rPr>
      </w:pPr>
      <w:r w:rsidRPr="006A7A32">
        <w:rPr>
          <w:rFonts w:ascii="Arial" w:hAnsi="Arial" w:cs="Arial"/>
          <w:vertAlign w:val="superscript"/>
        </w:rPr>
        <w:t xml:space="preserve">8 </w:t>
      </w:r>
      <w:r>
        <w:rPr>
          <w:rFonts w:ascii="Arial" w:hAnsi="Arial" w:cs="Arial"/>
        </w:rPr>
        <w:t>Department of Modern Languages and Cultures, University of Liverpool, UK</w:t>
      </w:r>
    </w:p>
    <w:p w14:paraId="0DD689F6" w14:textId="77777777" w:rsidR="00F05D10" w:rsidRDefault="00F05D10" w:rsidP="00F05D10">
      <w:pPr>
        <w:spacing w:after="0"/>
        <w:jc w:val="center"/>
        <w:rPr>
          <w:rFonts w:ascii="Arial" w:hAnsi="Arial" w:cs="Arial"/>
        </w:rPr>
      </w:pPr>
      <w:r w:rsidRPr="006A7A32">
        <w:rPr>
          <w:rFonts w:ascii="Arial" w:hAnsi="Arial" w:cs="Arial"/>
          <w:vertAlign w:val="superscript"/>
        </w:rPr>
        <w:t>9</w:t>
      </w:r>
      <w:r>
        <w:rPr>
          <w:rFonts w:ascii="Arial" w:hAnsi="Arial" w:cs="Arial"/>
        </w:rPr>
        <w:t xml:space="preserve"> Together in Dementia Everyday (TIDE), UK</w:t>
      </w:r>
    </w:p>
    <w:p w14:paraId="7A7760EE" w14:textId="77777777" w:rsidR="00F05D10" w:rsidRDefault="00F05D10" w:rsidP="00F05D10">
      <w:pPr>
        <w:spacing w:after="0"/>
        <w:jc w:val="center"/>
        <w:rPr>
          <w:rFonts w:ascii="Arial" w:hAnsi="Arial" w:cs="Arial"/>
        </w:rPr>
      </w:pPr>
      <w:r w:rsidRPr="006A7A32">
        <w:rPr>
          <w:rFonts w:ascii="Arial" w:hAnsi="Arial" w:cs="Arial"/>
          <w:vertAlign w:val="superscript"/>
        </w:rPr>
        <w:t>10</w:t>
      </w:r>
      <w:r>
        <w:rPr>
          <w:rFonts w:ascii="Arial" w:hAnsi="Arial" w:cs="Arial"/>
        </w:rPr>
        <w:t xml:space="preserve"> SURF Liverpool, UK</w:t>
      </w:r>
    </w:p>
    <w:p w14:paraId="50CE7E00" w14:textId="77777777" w:rsidR="00F05D10" w:rsidRDefault="00F05D10" w:rsidP="00F05D10">
      <w:pPr>
        <w:spacing w:after="0"/>
        <w:jc w:val="center"/>
        <w:rPr>
          <w:rFonts w:ascii="Arial" w:hAnsi="Arial" w:cs="Arial"/>
        </w:rPr>
      </w:pPr>
      <w:r w:rsidRPr="006A7A32">
        <w:rPr>
          <w:rFonts w:ascii="Arial" w:hAnsi="Arial" w:cs="Arial"/>
          <w:vertAlign w:val="superscript"/>
        </w:rPr>
        <w:t>11</w:t>
      </w:r>
      <w:r>
        <w:rPr>
          <w:rFonts w:ascii="Arial" w:hAnsi="Arial" w:cs="Arial"/>
        </w:rPr>
        <w:t xml:space="preserve"> Mersey Care NHS Trust, UK</w:t>
      </w:r>
    </w:p>
    <w:p w14:paraId="1CC4A370" w14:textId="77777777" w:rsidR="00F05D10" w:rsidRDefault="00F05D10" w:rsidP="00F05D10">
      <w:pPr>
        <w:spacing w:after="0"/>
        <w:jc w:val="center"/>
        <w:rPr>
          <w:rFonts w:ascii="Arial" w:hAnsi="Arial" w:cs="Arial"/>
        </w:rPr>
      </w:pPr>
      <w:r w:rsidRPr="006A7A32">
        <w:rPr>
          <w:rFonts w:ascii="Arial" w:hAnsi="Arial" w:cs="Arial"/>
          <w:vertAlign w:val="superscript"/>
        </w:rPr>
        <w:t>12</w:t>
      </w:r>
      <w:r>
        <w:rPr>
          <w:rFonts w:ascii="Arial" w:hAnsi="Arial" w:cs="Arial"/>
        </w:rPr>
        <w:t xml:space="preserve"> EQE Health, UK</w:t>
      </w:r>
    </w:p>
    <w:p w14:paraId="3EBEC692" w14:textId="77777777" w:rsidR="00F05D10" w:rsidRDefault="00F05D10" w:rsidP="00F05D10">
      <w:pPr>
        <w:spacing w:after="0"/>
        <w:jc w:val="center"/>
        <w:rPr>
          <w:rFonts w:ascii="Arial" w:hAnsi="Arial" w:cs="Arial"/>
        </w:rPr>
      </w:pPr>
      <w:r w:rsidRPr="006A7A32">
        <w:rPr>
          <w:rFonts w:ascii="Arial" w:hAnsi="Arial" w:cs="Arial"/>
          <w:vertAlign w:val="superscript"/>
        </w:rPr>
        <w:t>13</w:t>
      </w:r>
      <w:r>
        <w:rPr>
          <w:rFonts w:ascii="Arial" w:hAnsi="Arial" w:cs="Arial"/>
        </w:rPr>
        <w:t xml:space="preserve"> Me2U Day Care Centre, Liverpool, UK</w:t>
      </w:r>
    </w:p>
    <w:p w14:paraId="37D4A26F" w14:textId="77777777" w:rsidR="00F05D10" w:rsidRDefault="00F05D10" w:rsidP="00F05D10">
      <w:pPr>
        <w:spacing w:after="0"/>
        <w:jc w:val="center"/>
        <w:rPr>
          <w:rFonts w:ascii="Arial" w:hAnsi="Arial" w:cs="Arial"/>
        </w:rPr>
      </w:pPr>
      <w:r w:rsidRPr="006A7A32">
        <w:rPr>
          <w:rFonts w:ascii="Arial" w:hAnsi="Arial" w:cs="Arial"/>
          <w:vertAlign w:val="superscript"/>
        </w:rPr>
        <w:t>14</w:t>
      </w:r>
      <w:r>
        <w:rPr>
          <w:rFonts w:ascii="Arial" w:hAnsi="Arial" w:cs="Arial"/>
        </w:rPr>
        <w:t xml:space="preserve"> National Museums Liverpool, UK</w:t>
      </w:r>
    </w:p>
    <w:p w14:paraId="73685C88" w14:textId="77777777" w:rsidR="00F05D10" w:rsidRDefault="00F05D10" w:rsidP="00F05D10">
      <w:pPr>
        <w:spacing w:after="0"/>
        <w:jc w:val="center"/>
        <w:rPr>
          <w:rFonts w:ascii="Arial" w:hAnsi="Arial" w:cs="Arial"/>
        </w:rPr>
      </w:pPr>
      <w:r w:rsidRPr="006A7A32">
        <w:rPr>
          <w:rFonts w:ascii="Arial" w:hAnsi="Arial" w:cs="Arial"/>
          <w:vertAlign w:val="superscript"/>
        </w:rPr>
        <w:t>15</w:t>
      </w:r>
      <w:r>
        <w:rPr>
          <w:rFonts w:ascii="Arial" w:hAnsi="Arial" w:cs="Arial"/>
        </w:rPr>
        <w:t xml:space="preserve"> North West Boroughs NHS Trust, Warrington, UK</w:t>
      </w:r>
    </w:p>
    <w:p w14:paraId="05B2AFF1" w14:textId="77777777" w:rsidR="00F05D10" w:rsidRDefault="00F05D10" w:rsidP="00F05D10">
      <w:pPr>
        <w:spacing w:after="0"/>
        <w:jc w:val="center"/>
        <w:rPr>
          <w:rFonts w:ascii="Arial" w:hAnsi="Arial" w:cs="Arial"/>
        </w:rPr>
      </w:pPr>
      <w:r>
        <w:rPr>
          <w:rFonts w:ascii="Arial" w:hAnsi="Arial" w:cs="Arial"/>
          <w:vertAlign w:val="superscript"/>
        </w:rPr>
        <w:t>16</w:t>
      </w:r>
      <w:r>
        <w:rPr>
          <w:rFonts w:ascii="Arial" w:hAnsi="Arial" w:cs="Arial"/>
        </w:rPr>
        <w:t xml:space="preserve"> Liverpool Dementia Action Alliance, UK</w:t>
      </w:r>
    </w:p>
    <w:p w14:paraId="33145EA2" w14:textId="77777777" w:rsidR="00F05D10" w:rsidRDefault="00F05D10" w:rsidP="00F05D10">
      <w:pPr>
        <w:spacing w:after="0"/>
        <w:jc w:val="center"/>
        <w:rPr>
          <w:rFonts w:ascii="Arial" w:hAnsi="Arial" w:cs="Arial"/>
        </w:rPr>
      </w:pPr>
      <w:r w:rsidRPr="006A7A32">
        <w:rPr>
          <w:rFonts w:ascii="Arial" w:hAnsi="Arial" w:cs="Arial"/>
          <w:vertAlign w:val="superscript"/>
        </w:rPr>
        <w:t>1</w:t>
      </w:r>
      <w:r>
        <w:rPr>
          <w:rFonts w:ascii="Arial" w:hAnsi="Arial" w:cs="Arial"/>
          <w:vertAlign w:val="superscript"/>
        </w:rPr>
        <w:t>7</w:t>
      </w:r>
      <w:r>
        <w:rPr>
          <w:rFonts w:ascii="Arial" w:hAnsi="Arial" w:cs="Arial"/>
        </w:rPr>
        <w:t xml:space="preserve"> Faculty of Health and Wellbeing, UCLAN, UK</w:t>
      </w:r>
    </w:p>
    <w:p w14:paraId="2F7F3B87" w14:textId="77777777" w:rsidR="00F05D10" w:rsidRDefault="00F05D10" w:rsidP="00F05D10">
      <w:pPr>
        <w:spacing w:after="0"/>
        <w:jc w:val="center"/>
        <w:rPr>
          <w:rFonts w:ascii="Arial" w:hAnsi="Arial" w:cs="Arial"/>
        </w:rPr>
      </w:pPr>
      <w:r w:rsidRPr="006A7A32">
        <w:rPr>
          <w:rFonts w:ascii="Arial" w:hAnsi="Arial" w:cs="Arial"/>
          <w:vertAlign w:val="superscript"/>
        </w:rPr>
        <w:t>1</w:t>
      </w:r>
      <w:r>
        <w:rPr>
          <w:rFonts w:ascii="Arial" w:hAnsi="Arial" w:cs="Arial"/>
          <w:vertAlign w:val="superscript"/>
        </w:rPr>
        <w:t>8</w:t>
      </w:r>
      <w:r>
        <w:rPr>
          <w:rFonts w:ascii="Arial" w:hAnsi="Arial" w:cs="Arial"/>
        </w:rPr>
        <w:t xml:space="preserve"> Department of Health Research, Lancaster University, UK</w:t>
      </w:r>
    </w:p>
    <w:p w14:paraId="3F1B793E" w14:textId="77777777" w:rsidR="00F05D10" w:rsidRPr="00D1293B" w:rsidRDefault="00F05D10" w:rsidP="00F05D10">
      <w:pPr>
        <w:spacing w:after="0"/>
        <w:jc w:val="center"/>
        <w:rPr>
          <w:rFonts w:ascii="Arial" w:hAnsi="Arial" w:cs="Arial"/>
        </w:rPr>
      </w:pPr>
      <w:r>
        <w:rPr>
          <w:rFonts w:ascii="Arial" w:hAnsi="Arial" w:cs="Arial"/>
          <w:vertAlign w:val="superscript"/>
        </w:rPr>
        <w:t>19</w:t>
      </w:r>
      <w:r>
        <w:rPr>
          <w:rFonts w:ascii="Arial" w:hAnsi="Arial" w:cs="Arial"/>
        </w:rPr>
        <w:t xml:space="preserve"> The Brain Charity</w:t>
      </w:r>
    </w:p>
    <w:p w14:paraId="1C071924" w14:textId="77777777" w:rsidR="00F05D10" w:rsidRDefault="00F05D10" w:rsidP="00F05D10">
      <w:pPr>
        <w:spacing w:after="0"/>
        <w:jc w:val="center"/>
        <w:rPr>
          <w:rFonts w:ascii="Arial" w:hAnsi="Arial" w:cs="Arial"/>
        </w:rPr>
      </w:pPr>
      <w:r>
        <w:rPr>
          <w:rFonts w:ascii="Arial" w:hAnsi="Arial" w:cs="Arial"/>
          <w:vertAlign w:val="superscript"/>
        </w:rPr>
        <w:t>20</w:t>
      </w:r>
      <w:r>
        <w:rPr>
          <w:rFonts w:ascii="Arial" w:hAnsi="Arial" w:cs="Arial"/>
        </w:rPr>
        <w:t xml:space="preserve"> School of Psychology, University of Liverpool, UK</w:t>
      </w:r>
    </w:p>
    <w:p w14:paraId="575C36D8" w14:textId="77777777" w:rsidR="00F05D10" w:rsidRDefault="00F05D10" w:rsidP="00F05D10"/>
    <w:p w14:paraId="27E371CF" w14:textId="4FC75820" w:rsidR="00F05D10" w:rsidRPr="00C34DB6" w:rsidRDefault="00C34DB6" w:rsidP="00C34DB6">
      <w:pPr>
        <w:jc w:val="both"/>
        <w:rPr>
          <w:rFonts w:ascii="Arial" w:hAnsi="Arial" w:cs="Arial"/>
        </w:rPr>
      </w:pPr>
      <w:bookmarkStart w:id="0" w:name="_Hlk43794625"/>
      <w:r>
        <w:rPr>
          <w:rFonts w:ascii="Arial" w:hAnsi="Arial" w:cs="Arial"/>
          <w:i/>
        </w:rPr>
        <w:t xml:space="preserve">*Correspondence should be addressed to: </w:t>
      </w:r>
      <w:r>
        <w:rPr>
          <w:rFonts w:ascii="Arial" w:hAnsi="Arial" w:cs="Arial"/>
        </w:rPr>
        <w:t>Clarissa Giebel, Waterhouse Building 2</w:t>
      </w:r>
      <w:r w:rsidRPr="00C34DB6">
        <w:rPr>
          <w:rFonts w:ascii="Arial" w:hAnsi="Arial" w:cs="Arial"/>
          <w:vertAlign w:val="superscript"/>
        </w:rPr>
        <w:t>nd</w:t>
      </w:r>
      <w:r>
        <w:rPr>
          <w:rFonts w:ascii="Arial" w:hAnsi="Arial" w:cs="Arial"/>
        </w:rPr>
        <w:t xml:space="preserve"> Floor, University of Liverpool, 1-5 Brownlow Street, Liverpool, L69 3GL. Email: </w:t>
      </w:r>
      <w:hyperlink r:id="rId8" w:history="1">
        <w:r w:rsidRPr="005576DA">
          <w:rPr>
            <w:rStyle w:val="Hyperlink"/>
            <w:rFonts w:ascii="Arial" w:hAnsi="Arial" w:cs="Arial"/>
          </w:rPr>
          <w:t>Clarissa.giebel@liverpool.ac.uk</w:t>
        </w:r>
      </w:hyperlink>
      <w:r>
        <w:rPr>
          <w:rFonts w:ascii="Arial" w:hAnsi="Arial" w:cs="Arial"/>
        </w:rPr>
        <w:t>, Tel: +44 151 794 9966</w:t>
      </w:r>
    </w:p>
    <w:bookmarkEnd w:id="0"/>
    <w:p w14:paraId="0791F363" w14:textId="77777777" w:rsidR="00F05D10" w:rsidRDefault="00F05D10" w:rsidP="00F140A1">
      <w:pPr>
        <w:rPr>
          <w:rFonts w:ascii="Arial" w:hAnsi="Arial" w:cs="Arial"/>
          <w:b/>
          <w:sz w:val="24"/>
        </w:rPr>
      </w:pPr>
    </w:p>
    <w:p w14:paraId="09A9EE45" w14:textId="77777777" w:rsidR="00F05D10" w:rsidRDefault="00F05D10" w:rsidP="00F140A1">
      <w:pPr>
        <w:rPr>
          <w:rFonts w:ascii="Arial" w:hAnsi="Arial" w:cs="Arial"/>
          <w:b/>
          <w:sz w:val="24"/>
        </w:rPr>
      </w:pPr>
    </w:p>
    <w:p w14:paraId="7AD089A8" w14:textId="77777777" w:rsidR="00F05D10" w:rsidRDefault="00F05D10" w:rsidP="00F140A1">
      <w:pPr>
        <w:rPr>
          <w:rFonts w:ascii="Arial" w:hAnsi="Arial" w:cs="Arial"/>
          <w:b/>
          <w:sz w:val="24"/>
        </w:rPr>
      </w:pPr>
    </w:p>
    <w:p w14:paraId="3BDEE0FE" w14:textId="77777777" w:rsidR="00F05D10" w:rsidRDefault="00F05D10" w:rsidP="00F140A1">
      <w:pPr>
        <w:rPr>
          <w:rFonts w:ascii="Arial" w:hAnsi="Arial" w:cs="Arial"/>
          <w:b/>
          <w:sz w:val="24"/>
        </w:rPr>
      </w:pPr>
    </w:p>
    <w:p w14:paraId="35A4CEFF" w14:textId="77777777" w:rsidR="00F05D10" w:rsidRDefault="00F05D10" w:rsidP="00F140A1">
      <w:pPr>
        <w:rPr>
          <w:rFonts w:ascii="Arial" w:hAnsi="Arial" w:cs="Arial"/>
          <w:b/>
          <w:sz w:val="24"/>
        </w:rPr>
      </w:pPr>
    </w:p>
    <w:p w14:paraId="0CE0EF7F" w14:textId="77777777" w:rsidR="00F05D10" w:rsidRDefault="00F05D10" w:rsidP="00F140A1">
      <w:pPr>
        <w:rPr>
          <w:rFonts w:ascii="Arial" w:hAnsi="Arial" w:cs="Arial"/>
          <w:b/>
          <w:sz w:val="24"/>
        </w:rPr>
      </w:pPr>
    </w:p>
    <w:p w14:paraId="2ABDE039" w14:textId="77777777" w:rsidR="00F05D10" w:rsidRDefault="00F05D10" w:rsidP="00F140A1">
      <w:pPr>
        <w:rPr>
          <w:rFonts w:ascii="Arial" w:hAnsi="Arial" w:cs="Arial"/>
          <w:b/>
          <w:sz w:val="24"/>
        </w:rPr>
      </w:pPr>
    </w:p>
    <w:p w14:paraId="7BF4C360" w14:textId="77777777" w:rsidR="00F05D10" w:rsidRDefault="00F05D10" w:rsidP="00F140A1">
      <w:pPr>
        <w:rPr>
          <w:rFonts w:ascii="Arial" w:hAnsi="Arial" w:cs="Arial"/>
          <w:b/>
          <w:sz w:val="24"/>
        </w:rPr>
      </w:pPr>
    </w:p>
    <w:p w14:paraId="051E8DF4" w14:textId="77777777" w:rsidR="00F05D10" w:rsidRDefault="00F05D10" w:rsidP="00F140A1">
      <w:pPr>
        <w:rPr>
          <w:rFonts w:ascii="Arial" w:hAnsi="Arial" w:cs="Arial"/>
          <w:b/>
          <w:sz w:val="24"/>
        </w:rPr>
      </w:pPr>
    </w:p>
    <w:p w14:paraId="11334470" w14:textId="77777777" w:rsidR="00F05D10" w:rsidRDefault="00F05D10" w:rsidP="00F140A1">
      <w:pPr>
        <w:rPr>
          <w:rFonts w:ascii="Arial" w:hAnsi="Arial" w:cs="Arial"/>
          <w:b/>
          <w:sz w:val="24"/>
        </w:rPr>
      </w:pPr>
    </w:p>
    <w:p w14:paraId="02C94EF6" w14:textId="76D5309C" w:rsidR="00F140A1" w:rsidRDefault="00144391" w:rsidP="00F140A1">
      <w:pPr>
        <w:rPr>
          <w:rFonts w:ascii="Arial" w:hAnsi="Arial" w:cs="Arial"/>
          <w:b/>
          <w:sz w:val="24"/>
        </w:rPr>
      </w:pPr>
      <w:r w:rsidRPr="00C277A1">
        <w:rPr>
          <w:rFonts w:ascii="Arial" w:hAnsi="Arial" w:cs="Arial"/>
          <w:b/>
          <w:sz w:val="24"/>
        </w:rPr>
        <w:lastRenderedPageBreak/>
        <w:t>Abstract</w:t>
      </w:r>
    </w:p>
    <w:p w14:paraId="68FC513C" w14:textId="53876E46" w:rsidR="00C277A1" w:rsidRPr="00175A02" w:rsidRDefault="003F5D7E" w:rsidP="00F140A1">
      <w:pPr>
        <w:jc w:val="both"/>
        <w:rPr>
          <w:rFonts w:ascii="Arial" w:hAnsi="Arial" w:cs="Arial"/>
        </w:rPr>
      </w:pPr>
      <w:r>
        <w:rPr>
          <w:rFonts w:ascii="Arial" w:hAnsi="Arial" w:cs="Arial"/>
          <w:b/>
        </w:rPr>
        <w:t>Objectives</w:t>
      </w:r>
      <w:r w:rsidR="00C277A1">
        <w:rPr>
          <w:rFonts w:ascii="Arial" w:hAnsi="Arial" w:cs="Arial"/>
          <w:b/>
        </w:rPr>
        <w:t xml:space="preserve">: </w:t>
      </w:r>
      <w:r w:rsidR="00C277A1">
        <w:rPr>
          <w:rFonts w:ascii="Arial" w:hAnsi="Arial" w:cs="Arial"/>
        </w:rPr>
        <w:t xml:space="preserve">The aim of this national </w:t>
      </w:r>
      <w:r w:rsidR="00AA10CF" w:rsidRPr="00175A02">
        <w:rPr>
          <w:rFonts w:ascii="Arial" w:hAnsi="Arial" w:cs="Arial"/>
        </w:rPr>
        <w:t>surve</w:t>
      </w:r>
      <w:r w:rsidR="00C277A1" w:rsidRPr="00175A02">
        <w:rPr>
          <w:rFonts w:ascii="Arial" w:hAnsi="Arial" w:cs="Arial"/>
        </w:rPr>
        <w:t>y was to explore the impact of C</w:t>
      </w:r>
      <w:r w:rsidR="00DC4841" w:rsidRPr="00175A02">
        <w:rPr>
          <w:rFonts w:ascii="Arial" w:hAnsi="Arial" w:cs="Arial"/>
        </w:rPr>
        <w:t>OVID</w:t>
      </w:r>
      <w:r w:rsidR="00C277A1" w:rsidRPr="00175A02">
        <w:rPr>
          <w:rFonts w:ascii="Arial" w:hAnsi="Arial" w:cs="Arial"/>
        </w:rPr>
        <w:t>-19</w:t>
      </w:r>
      <w:r w:rsidR="0063563D" w:rsidRPr="00175A02">
        <w:rPr>
          <w:rFonts w:ascii="Arial" w:hAnsi="Arial" w:cs="Arial"/>
        </w:rPr>
        <w:t xml:space="preserve"> </w:t>
      </w:r>
      <w:r w:rsidR="00C277A1" w:rsidRPr="00175A02">
        <w:rPr>
          <w:rFonts w:ascii="Arial" w:hAnsi="Arial" w:cs="Arial"/>
        </w:rPr>
        <w:t xml:space="preserve">public health measures on </w:t>
      </w:r>
      <w:r w:rsidR="00AA10CF" w:rsidRPr="00175A02">
        <w:rPr>
          <w:rFonts w:ascii="Arial" w:hAnsi="Arial" w:cs="Arial"/>
        </w:rPr>
        <w:t xml:space="preserve">access to </w:t>
      </w:r>
      <w:r w:rsidR="0063563D" w:rsidRPr="00175A02">
        <w:rPr>
          <w:rFonts w:ascii="Arial" w:hAnsi="Arial" w:cs="Arial"/>
        </w:rPr>
        <w:t>social support service</w:t>
      </w:r>
      <w:r w:rsidR="00AA10CF" w:rsidRPr="00175A02">
        <w:rPr>
          <w:rFonts w:ascii="Arial" w:hAnsi="Arial" w:cs="Arial"/>
        </w:rPr>
        <w:t xml:space="preserve">s </w:t>
      </w:r>
      <w:r w:rsidR="0063563D" w:rsidRPr="00175A02">
        <w:rPr>
          <w:rFonts w:ascii="Arial" w:hAnsi="Arial" w:cs="Arial"/>
        </w:rPr>
        <w:t xml:space="preserve">and the effects of closures of services on the </w:t>
      </w:r>
      <w:r w:rsidR="003215AD" w:rsidRPr="00175A02">
        <w:rPr>
          <w:rFonts w:ascii="Arial" w:hAnsi="Arial" w:cs="Arial"/>
        </w:rPr>
        <w:t xml:space="preserve">mental </w:t>
      </w:r>
      <w:r w:rsidR="0063563D" w:rsidRPr="00175A02">
        <w:rPr>
          <w:rFonts w:ascii="Arial" w:hAnsi="Arial" w:cs="Arial"/>
        </w:rPr>
        <w:t xml:space="preserve">well-being of </w:t>
      </w:r>
      <w:r w:rsidR="00AA10CF" w:rsidRPr="00175A02">
        <w:rPr>
          <w:rFonts w:ascii="Arial" w:hAnsi="Arial" w:cs="Arial"/>
        </w:rPr>
        <w:t>older people and those affected by d</w:t>
      </w:r>
      <w:r w:rsidR="0063563D" w:rsidRPr="00175A02">
        <w:rPr>
          <w:rFonts w:ascii="Arial" w:hAnsi="Arial" w:cs="Arial"/>
        </w:rPr>
        <w:t xml:space="preserve">ementia. </w:t>
      </w:r>
    </w:p>
    <w:p w14:paraId="301433E2" w14:textId="4D8D4171" w:rsidR="00C277A1" w:rsidRPr="00175A02" w:rsidRDefault="0092486F" w:rsidP="00C277A1">
      <w:pPr>
        <w:jc w:val="both"/>
        <w:rPr>
          <w:rFonts w:ascii="Arial" w:hAnsi="Arial" w:cs="Arial"/>
          <w:b/>
        </w:rPr>
      </w:pPr>
      <w:r w:rsidRPr="00175A02">
        <w:rPr>
          <w:rFonts w:ascii="Arial" w:hAnsi="Arial" w:cs="Arial"/>
          <w:b/>
        </w:rPr>
        <w:t>Me</w:t>
      </w:r>
      <w:r w:rsidR="00B47EE0" w:rsidRPr="00175A02">
        <w:rPr>
          <w:rFonts w:ascii="Arial" w:hAnsi="Arial" w:cs="Arial"/>
          <w:b/>
        </w:rPr>
        <w:t>thods</w:t>
      </w:r>
      <w:r w:rsidR="00C277A1" w:rsidRPr="00175A02">
        <w:rPr>
          <w:rFonts w:ascii="Arial" w:hAnsi="Arial" w:cs="Arial"/>
          <w:b/>
        </w:rPr>
        <w:t xml:space="preserve">: </w:t>
      </w:r>
      <w:r w:rsidR="00B47EE0" w:rsidRPr="00175A02">
        <w:rPr>
          <w:rFonts w:ascii="Arial" w:hAnsi="Arial" w:cs="Arial"/>
        </w:rPr>
        <w:t>A UK-wide online and telephone survey was conducted with older adults, people with dementia, and carers between April and May 2020.</w:t>
      </w:r>
      <w:r w:rsidR="001457F1" w:rsidRPr="00175A02">
        <w:rPr>
          <w:rFonts w:ascii="Arial" w:hAnsi="Arial" w:cs="Arial"/>
        </w:rPr>
        <w:t>The s</w:t>
      </w:r>
      <w:r w:rsidR="00197B7B" w:rsidRPr="00175A02">
        <w:rPr>
          <w:rFonts w:ascii="Arial" w:hAnsi="Arial" w:cs="Arial"/>
        </w:rPr>
        <w:t xml:space="preserve">urvey captured demographic and postcode data, </w:t>
      </w:r>
      <w:r w:rsidR="00156033" w:rsidRPr="00175A02">
        <w:rPr>
          <w:rFonts w:ascii="Arial" w:hAnsi="Arial" w:cs="Arial"/>
        </w:rPr>
        <w:t>social support service usage before and after C</w:t>
      </w:r>
      <w:r w:rsidR="001457F1" w:rsidRPr="00175A02">
        <w:rPr>
          <w:rFonts w:ascii="Arial" w:hAnsi="Arial" w:cs="Arial"/>
        </w:rPr>
        <w:t>OVID-</w:t>
      </w:r>
      <w:r w:rsidR="00156033" w:rsidRPr="00175A02">
        <w:rPr>
          <w:rFonts w:ascii="Arial" w:hAnsi="Arial" w:cs="Arial"/>
        </w:rPr>
        <w:t xml:space="preserve">19 public health measures, </w:t>
      </w:r>
      <w:r w:rsidR="00AA10CF" w:rsidRPr="00175A02">
        <w:rPr>
          <w:rFonts w:ascii="Arial" w:hAnsi="Arial" w:cs="Arial"/>
        </w:rPr>
        <w:t xml:space="preserve">current </w:t>
      </w:r>
      <w:r w:rsidR="00682ED5" w:rsidRPr="00175A02">
        <w:rPr>
          <w:rFonts w:ascii="Arial" w:hAnsi="Arial" w:cs="Arial"/>
        </w:rPr>
        <w:t xml:space="preserve">quality of life, </w:t>
      </w:r>
      <w:r w:rsidR="00156033" w:rsidRPr="00175A02">
        <w:rPr>
          <w:rFonts w:ascii="Arial" w:hAnsi="Arial" w:cs="Arial"/>
        </w:rPr>
        <w:t>depression,</w:t>
      </w:r>
      <w:r w:rsidR="00AA10CF" w:rsidRPr="00175A02">
        <w:rPr>
          <w:rFonts w:ascii="Arial" w:hAnsi="Arial" w:cs="Arial"/>
        </w:rPr>
        <w:t xml:space="preserve"> and</w:t>
      </w:r>
      <w:r w:rsidR="00156033" w:rsidRPr="00175A02">
        <w:rPr>
          <w:rFonts w:ascii="Arial" w:hAnsi="Arial" w:cs="Arial"/>
        </w:rPr>
        <w:t xml:space="preserve"> anxiety. </w:t>
      </w:r>
      <w:r w:rsidR="008615A1" w:rsidRPr="00175A02">
        <w:rPr>
          <w:rFonts w:ascii="Arial" w:hAnsi="Arial" w:cs="Arial"/>
        </w:rPr>
        <w:t>Multiple linear regression</w:t>
      </w:r>
      <w:r w:rsidR="00156033" w:rsidRPr="00175A02">
        <w:rPr>
          <w:rFonts w:ascii="Arial" w:hAnsi="Arial" w:cs="Arial"/>
        </w:rPr>
        <w:t xml:space="preserve"> analysis was used to explore the relationship between social support service variations and anxiety</w:t>
      </w:r>
      <w:r w:rsidR="00504699" w:rsidRPr="00175A02">
        <w:rPr>
          <w:rFonts w:ascii="Arial" w:hAnsi="Arial" w:cs="Arial"/>
        </w:rPr>
        <w:t xml:space="preserve"> and</w:t>
      </w:r>
      <w:r w:rsidR="00156033" w:rsidRPr="00175A02">
        <w:rPr>
          <w:rFonts w:ascii="Arial" w:hAnsi="Arial" w:cs="Arial"/>
        </w:rPr>
        <w:t xml:space="preserve"> well-being. </w:t>
      </w:r>
    </w:p>
    <w:p w14:paraId="66C6B34B" w14:textId="2AB9BBF8" w:rsidR="00C277A1" w:rsidRPr="00175A02" w:rsidRDefault="00553EFC" w:rsidP="00C277A1">
      <w:pPr>
        <w:jc w:val="both"/>
        <w:rPr>
          <w:rFonts w:ascii="Arial" w:hAnsi="Arial" w:cs="Arial"/>
          <w:b/>
        </w:rPr>
      </w:pPr>
      <w:r w:rsidRPr="00175A02">
        <w:rPr>
          <w:rFonts w:ascii="Arial" w:hAnsi="Arial" w:cs="Arial"/>
          <w:b/>
        </w:rPr>
        <w:t>Result</w:t>
      </w:r>
      <w:r w:rsidR="00C277A1" w:rsidRPr="00175A02">
        <w:rPr>
          <w:rFonts w:ascii="Arial" w:hAnsi="Arial" w:cs="Arial"/>
          <w:b/>
        </w:rPr>
        <w:t xml:space="preserve">s: </w:t>
      </w:r>
      <w:r w:rsidR="00E12BE4" w:rsidRPr="00175A02">
        <w:rPr>
          <w:rFonts w:ascii="Arial" w:hAnsi="Arial" w:cs="Arial"/>
        </w:rPr>
        <w:t>569</w:t>
      </w:r>
      <w:r w:rsidR="00C04F7A" w:rsidRPr="00175A02">
        <w:rPr>
          <w:rFonts w:ascii="Arial" w:hAnsi="Arial" w:cs="Arial"/>
        </w:rPr>
        <w:t xml:space="preserve"> participants completed the survey</w:t>
      </w:r>
      <w:r w:rsidR="00371918" w:rsidRPr="00175A02">
        <w:rPr>
          <w:rFonts w:ascii="Arial" w:hAnsi="Arial" w:cs="Arial"/>
        </w:rPr>
        <w:t xml:space="preserve"> (6</w:t>
      </w:r>
      <w:r w:rsidR="00E12BE4" w:rsidRPr="00175A02">
        <w:rPr>
          <w:rFonts w:ascii="Arial" w:hAnsi="Arial" w:cs="Arial"/>
        </w:rPr>
        <w:t>1</w:t>
      </w:r>
      <w:r w:rsidR="00371918" w:rsidRPr="00175A02">
        <w:rPr>
          <w:rFonts w:ascii="Arial" w:hAnsi="Arial" w:cs="Arial"/>
        </w:rPr>
        <w:t xml:space="preserve"> people with dementia, </w:t>
      </w:r>
      <w:r w:rsidR="00E12BE4" w:rsidRPr="00175A02">
        <w:rPr>
          <w:rFonts w:ascii="Arial" w:hAnsi="Arial" w:cs="Arial"/>
        </w:rPr>
        <w:t>285</w:t>
      </w:r>
      <w:r w:rsidR="00371918" w:rsidRPr="00175A02">
        <w:rPr>
          <w:rFonts w:ascii="Arial" w:hAnsi="Arial" w:cs="Arial"/>
        </w:rPr>
        <w:t xml:space="preserve"> </w:t>
      </w:r>
      <w:r w:rsidR="00AA10CF" w:rsidRPr="00175A02">
        <w:rPr>
          <w:rFonts w:ascii="Arial" w:hAnsi="Arial" w:cs="Arial"/>
        </w:rPr>
        <w:t xml:space="preserve">unpaid </w:t>
      </w:r>
      <w:r w:rsidR="00371918" w:rsidRPr="00175A02">
        <w:rPr>
          <w:rFonts w:ascii="Arial" w:hAnsi="Arial" w:cs="Arial"/>
        </w:rPr>
        <w:t xml:space="preserve">carers, and </w:t>
      </w:r>
      <w:r w:rsidR="00E12BE4" w:rsidRPr="00175A02">
        <w:rPr>
          <w:rFonts w:ascii="Arial" w:hAnsi="Arial" w:cs="Arial"/>
        </w:rPr>
        <w:t>223</w:t>
      </w:r>
      <w:r w:rsidR="00371918" w:rsidRPr="00175A02">
        <w:rPr>
          <w:rFonts w:ascii="Arial" w:hAnsi="Arial" w:cs="Arial"/>
        </w:rPr>
        <w:t xml:space="preserve"> older adults)</w:t>
      </w:r>
      <w:r w:rsidR="00C04F7A" w:rsidRPr="00175A02">
        <w:rPr>
          <w:rFonts w:ascii="Arial" w:hAnsi="Arial" w:cs="Arial"/>
        </w:rPr>
        <w:t xml:space="preserve">. </w:t>
      </w:r>
      <w:r w:rsidR="000A62D0" w:rsidRPr="00175A02">
        <w:rPr>
          <w:rFonts w:ascii="Arial" w:hAnsi="Arial" w:cs="Arial"/>
        </w:rPr>
        <w:t>Paired samples t-tests and X</w:t>
      </w:r>
      <w:r w:rsidR="000A62D0" w:rsidRPr="00175A02">
        <w:rPr>
          <w:rFonts w:ascii="Arial" w:hAnsi="Arial" w:cs="Arial"/>
          <w:vertAlign w:val="superscript"/>
        </w:rPr>
        <w:t>2</w:t>
      </w:r>
      <w:r w:rsidR="000A62D0" w:rsidRPr="00175A02">
        <w:rPr>
          <w:rFonts w:ascii="Arial" w:hAnsi="Arial" w:cs="Arial"/>
        </w:rPr>
        <w:t xml:space="preserve">-tests showed that the mean hour of weekly social support service usage and the number of people having accessed various services </w:t>
      </w:r>
      <w:r w:rsidR="00AA3DBA" w:rsidRPr="00175A02">
        <w:rPr>
          <w:rFonts w:ascii="Arial" w:hAnsi="Arial" w:cs="Arial"/>
        </w:rPr>
        <w:t>was significantly reduced</w:t>
      </w:r>
      <w:r w:rsidR="004143D4" w:rsidRPr="00175A02">
        <w:rPr>
          <w:rFonts w:ascii="Arial" w:hAnsi="Arial" w:cs="Arial"/>
        </w:rPr>
        <w:t xml:space="preserve"> post</w:t>
      </w:r>
      <w:r w:rsidR="000A62D0" w:rsidRPr="00175A02">
        <w:rPr>
          <w:rFonts w:ascii="Arial" w:hAnsi="Arial" w:cs="Arial"/>
        </w:rPr>
        <w:t xml:space="preserve"> COVID-19. </w:t>
      </w:r>
      <w:r w:rsidR="008615A1" w:rsidRPr="00175A02">
        <w:rPr>
          <w:rFonts w:ascii="Arial" w:hAnsi="Arial" w:cs="Arial"/>
        </w:rPr>
        <w:t>Multiple regression analyses showed that</w:t>
      </w:r>
      <w:r w:rsidR="00C83BAA" w:rsidRPr="00175A02">
        <w:rPr>
          <w:rFonts w:ascii="Arial" w:hAnsi="Arial" w:cs="Arial"/>
        </w:rPr>
        <w:t xml:space="preserve"> higher variations in social support service hours significantly predicted increased levels of anxiety in people with dementia and older adults, and lower levels of </w:t>
      </w:r>
      <w:r w:rsidR="003215AD" w:rsidRPr="00175A02">
        <w:rPr>
          <w:rFonts w:ascii="Arial" w:hAnsi="Arial" w:cs="Arial"/>
        </w:rPr>
        <w:t xml:space="preserve">mental </w:t>
      </w:r>
      <w:r w:rsidR="00C83BAA" w:rsidRPr="00175A02">
        <w:rPr>
          <w:rFonts w:ascii="Arial" w:hAnsi="Arial" w:cs="Arial"/>
        </w:rPr>
        <w:t xml:space="preserve">well-being in </w:t>
      </w:r>
      <w:r w:rsidR="00AA3DBA" w:rsidRPr="00175A02">
        <w:rPr>
          <w:rFonts w:ascii="Arial" w:hAnsi="Arial" w:cs="Arial"/>
        </w:rPr>
        <w:t xml:space="preserve">unpaid </w:t>
      </w:r>
      <w:r w:rsidR="00C83BAA" w:rsidRPr="00175A02">
        <w:rPr>
          <w:rFonts w:ascii="Arial" w:hAnsi="Arial" w:cs="Arial"/>
        </w:rPr>
        <w:t>carers and older adults.</w:t>
      </w:r>
    </w:p>
    <w:p w14:paraId="7A2A03B8" w14:textId="0338EB6B" w:rsidR="00C277A1" w:rsidRPr="00175A02" w:rsidRDefault="00553EFC" w:rsidP="00C277A1">
      <w:pPr>
        <w:jc w:val="both"/>
        <w:rPr>
          <w:rFonts w:ascii="Arial" w:hAnsi="Arial" w:cs="Arial"/>
        </w:rPr>
      </w:pPr>
      <w:r w:rsidRPr="00175A02">
        <w:rPr>
          <w:rFonts w:ascii="Arial" w:hAnsi="Arial" w:cs="Arial"/>
          <w:b/>
        </w:rPr>
        <w:t>Conclusion</w:t>
      </w:r>
      <w:r w:rsidR="0092486F" w:rsidRPr="00175A02">
        <w:rPr>
          <w:rFonts w:ascii="Arial" w:hAnsi="Arial" w:cs="Arial"/>
          <w:b/>
        </w:rPr>
        <w:t>s</w:t>
      </w:r>
      <w:r w:rsidR="00C277A1" w:rsidRPr="00175A02">
        <w:rPr>
          <w:rFonts w:ascii="Arial" w:hAnsi="Arial" w:cs="Arial"/>
          <w:b/>
        </w:rPr>
        <w:t>:</w:t>
      </w:r>
      <w:r w:rsidR="0066714B" w:rsidRPr="00175A02">
        <w:rPr>
          <w:rFonts w:ascii="Arial" w:hAnsi="Arial" w:cs="Arial"/>
          <w:b/>
        </w:rPr>
        <w:t xml:space="preserve"> </w:t>
      </w:r>
      <w:r w:rsidR="0066714B" w:rsidRPr="00175A02">
        <w:rPr>
          <w:rFonts w:ascii="Arial" w:hAnsi="Arial" w:cs="Arial"/>
        </w:rPr>
        <w:t xml:space="preserve">Being unable to access social support services due to COVID contributed to worse </w:t>
      </w:r>
      <w:r w:rsidR="00AA3DBA" w:rsidRPr="00175A02">
        <w:rPr>
          <w:rFonts w:ascii="Arial" w:hAnsi="Arial" w:cs="Arial"/>
        </w:rPr>
        <w:t>quality of life and anxiety</w:t>
      </w:r>
      <w:r w:rsidR="0066714B" w:rsidRPr="00175A02">
        <w:rPr>
          <w:rFonts w:ascii="Arial" w:hAnsi="Arial" w:cs="Arial"/>
        </w:rPr>
        <w:t xml:space="preserve"> in those affected by dementia and older adults across the UK. </w:t>
      </w:r>
      <w:r w:rsidR="00D64F7F" w:rsidRPr="00175A02">
        <w:rPr>
          <w:rFonts w:ascii="Arial" w:hAnsi="Arial" w:cs="Arial"/>
        </w:rPr>
        <w:t>Social support services need to be enabled to continue providing support in adapted formats, especially in light of continued public health restrictions for the foreseeable future</w:t>
      </w:r>
      <w:r w:rsidR="0066714B" w:rsidRPr="00175A02">
        <w:rPr>
          <w:rFonts w:ascii="Arial" w:hAnsi="Arial" w:cs="Arial"/>
        </w:rPr>
        <w:t>.</w:t>
      </w:r>
    </w:p>
    <w:p w14:paraId="4C666C75" w14:textId="105B9B0D" w:rsidR="00C277A1" w:rsidRPr="00175A02" w:rsidRDefault="00C277A1">
      <w:pPr>
        <w:rPr>
          <w:rFonts w:ascii="Arial" w:hAnsi="Arial" w:cs="Arial"/>
          <w:b/>
        </w:rPr>
      </w:pPr>
    </w:p>
    <w:p w14:paraId="4DBD6E80" w14:textId="07ADD22B" w:rsidR="00144391" w:rsidRPr="00175A02" w:rsidRDefault="00BF0607">
      <w:pPr>
        <w:rPr>
          <w:rFonts w:ascii="Arial" w:hAnsi="Arial" w:cs="Arial"/>
        </w:rPr>
      </w:pPr>
      <w:bookmarkStart w:id="1" w:name="_Hlk43794606"/>
      <w:r w:rsidRPr="00175A02">
        <w:rPr>
          <w:rFonts w:ascii="Arial" w:hAnsi="Arial" w:cs="Arial"/>
          <w:b/>
        </w:rPr>
        <w:t xml:space="preserve">Keywords: </w:t>
      </w:r>
      <w:r w:rsidRPr="00175A02">
        <w:rPr>
          <w:rFonts w:ascii="Arial" w:hAnsi="Arial" w:cs="Arial"/>
        </w:rPr>
        <w:t>COVID-19; dementia; social care; quality of life; well-being; caring</w:t>
      </w:r>
    </w:p>
    <w:bookmarkEnd w:id="1"/>
    <w:p w14:paraId="2B4033E7" w14:textId="77777777" w:rsidR="00144391" w:rsidRPr="00175A02" w:rsidRDefault="00144391">
      <w:pPr>
        <w:rPr>
          <w:rFonts w:ascii="Arial" w:hAnsi="Arial" w:cs="Arial"/>
        </w:rPr>
      </w:pPr>
    </w:p>
    <w:p w14:paraId="6C07CDD7" w14:textId="77777777" w:rsidR="00144391" w:rsidRPr="00175A02" w:rsidRDefault="00144391">
      <w:pPr>
        <w:rPr>
          <w:rFonts w:ascii="Arial" w:hAnsi="Arial" w:cs="Arial"/>
        </w:rPr>
      </w:pPr>
    </w:p>
    <w:p w14:paraId="36384D80" w14:textId="77777777" w:rsidR="00144391" w:rsidRPr="00175A02" w:rsidRDefault="00144391">
      <w:pPr>
        <w:rPr>
          <w:rFonts w:ascii="Arial" w:hAnsi="Arial" w:cs="Arial"/>
        </w:rPr>
      </w:pPr>
    </w:p>
    <w:p w14:paraId="4DD7A552" w14:textId="77777777" w:rsidR="00144391" w:rsidRPr="00175A02" w:rsidRDefault="00144391">
      <w:pPr>
        <w:rPr>
          <w:rFonts w:ascii="Arial" w:hAnsi="Arial" w:cs="Arial"/>
        </w:rPr>
      </w:pPr>
    </w:p>
    <w:p w14:paraId="1F5D5659" w14:textId="77777777" w:rsidR="00144391" w:rsidRPr="00175A02" w:rsidRDefault="00144391">
      <w:pPr>
        <w:rPr>
          <w:rFonts w:ascii="Arial" w:hAnsi="Arial" w:cs="Arial"/>
        </w:rPr>
      </w:pPr>
    </w:p>
    <w:p w14:paraId="06F97CA1" w14:textId="77777777" w:rsidR="00144391" w:rsidRPr="00175A02" w:rsidRDefault="00144391">
      <w:pPr>
        <w:rPr>
          <w:rFonts w:ascii="Arial" w:hAnsi="Arial" w:cs="Arial"/>
        </w:rPr>
      </w:pPr>
    </w:p>
    <w:p w14:paraId="1D9D950B" w14:textId="77777777" w:rsidR="00144391" w:rsidRPr="00175A02" w:rsidRDefault="00144391">
      <w:pPr>
        <w:rPr>
          <w:rFonts w:ascii="Arial" w:hAnsi="Arial" w:cs="Arial"/>
        </w:rPr>
      </w:pPr>
    </w:p>
    <w:p w14:paraId="5465B8B2" w14:textId="77777777" w:rsidR="00144391" w:rsidRPr="00175A02" w:rsidRDefault="00144391">
      <w:pPr>
        <w:rPr>
          <w:rFonts w:ascii="Arial" w:hAnsi="Arial" w:cs="Arial"/>
        </w:rPr>
      </w:pPr>
    </w:p>
    <w:p w14:paraId="40728688" w14:textId="0233E760" w:rsidR="00144391" w:rsidRPr="00175A02" w:rsidRDefault="00144391">
      <w:pPr>
        <w:rPr>
          <w:rFonts w:ascii="Arial" w:hAnsi="Arial" w:cs="Arial"/>
        </w:rPr>
      </w:pPr>
    </w:p>
    <w:p w14:paraId="1C400553" w14:textId="77777777" w:rsidR="00C03D4A" w:rsidRPr="00175A02" w:rsidRDefault="00C03D4A">
      <w:pPr>
        <w:rPr>
          <w:rFonts w:ascii="Arial" w:hAnsi="Arial" w:cs="Arial"/>
        </w:rPr>
      </w:pPr>
    </w:p>
    <w:p w14:paraId="07C0B0AC" w14:textId="12CD4A1E" w:rsidR="00144391" w:rsidRPr="00175A02" w:rsidRDefault="00144391">
      <w:pPr>
        <w:rPr>
          <w:rFonts w:ascii="Arial" w:hAnsi="Arial" w:cs="Arial"/>
        </w:rPr>
      </w:pPr>
    </w:p>
    <w:p w14:paraId="68A122D5" w14:textId="11F757F6" w:rsidR="00AA3DBA" w:rsidRPr="00175A02" w:rsidRDefault="00AA3DBA">
      <w:pPr>
        <w:rPr>
          <w:rFonts w:ascii="Arial" w:hAnsi="Arial" w:cs="Arial"/>
        </w:rPr>
      </w:pPr>
    </w:p>
    <w:p w14:paraId="58F631C3" w14:textId="77DFE4EC" w:rsidR="00B47EE0" w:rsidRPr="00175A02" w:rsidRDefault="00B47EE0">
      <w:pPr>
        <w:rPr>
          <w:rFonts w:ascii="Arial" w:hAnsi="Arial" w:cs="Arial"/>
        </w:rPr>
      </w:pPr>
    </w:p>
    <w:p w14:paraId="635E1ED4" w14:textId="77777777" w:rsidR="00B47EE0" w:rsidRPr="00175A02" w:rsidRDefault="00B47EE0">
      <w:pPr>
        <w:rPr>
          <w:rFonts w:ascii="Arial" w:hAnsi="Arial" w:cs="Arial"/>
        </w:rPr>
      </w:pPr>
    </w:p>
    <w:p w14:paraId="3FE2D4D1" w14:textId="7C0B1DA1" w:rsidR="00AD6329" w:rsidRPr="00175A02" w:rsidRDefault="00AD6329">
      <w:pPr>
        <w:rPr>
          <w:rFonts w:ascii="Arial" w:hAnsi="Arial" w:cs="Arial"/>
        </w:rPr>
      </w:pPr>
    </w:p>
    <w:p w14:paraId="517CA32C" w14:textId="77777777" w:rsidR="00AD6329" w:rsidRPr="00175A02" w:rsidRDefault="00AD6329">
      <w:pPr>
        <w:rPr>
          <w:rFonts w:ascii="Arial" w:hAnsi="Arial" w:cs="Arial"/>
        </w:rPr>
      </w:pPr>
    </w:p>
    <w:p w14:paraId="7F6AD86F" w14:textId="459141E8" w:rsidR="00144391" w:rsidRPr="00175A02" w:rsidRDefault="00144391">
      <w:pPr>
        <w:rPr>
          <w:rFonts w:ascii="Arial" w:hAnsi="Arial" w:cs="Arial"/>
          <w:b/>
        </w:rPr>
      </w:pPr>
      <w:r w:rsidRPr="00175A02">
        <w:rPr>
          <w:rFonts w:ascii="Arial" w:hAnsi="Arial" w:cs="Arial"/>
          <w:b/>
        </w:rPr>
        <w:lastRenderedPageBreak/>
        <w:t>Background</w:t>
      </w:r>
    </w:p>
    <w:p w14:paraId="71F733EF" w14:textId="556E2811" w:rsidR="00306EC8" w:rsidRPr="00175A02" w:rsidRDefault="00A67503" w:rsidP="00FD6DDA">
      <w:pPr>
        <w:spacing w:after="0"/>
        <w:jc w:val="both"/>
        <w:rPr>
          <w:rFonts w:ascii="Arial" w:hAnsi="Arial" w:cs="Arial"/>
        </w:rPr>
      </w:pPr>
      <w:r w:rsidRPr="00175A02">
        <w:rPr>
          <w:rFonts w:ascii="Arial" w:hAnsi="Arial" w:cs="Arial"/>
        </w:rPr>
        <w:t>The first case of C</w:t>
      </w:r>
      <w:r w:rsidR="00FD24A2" w:rsidRPr="00175A02">
        <w:rPr>
          <w:rFonts w:ascii="Arial" w:hAnsi="Arial" w:cs="Arial"/>
        </w:rPr>
        <w:t>OVID</w:t>
      </w:r>
      <w:r w:rsidRPr="00175A02">
        <w:rPr>
          <w:rFonts w:ascii="Arial" w:hAnsi="Arial" w:cs="Arial"/>
        </w:rPr>
        <w:t xml:space="preserve">-19 was reported on </w:t>
      </w:r>
      <w:r w:rsidR="00A521DF" w:rsidRPr="00175A02">
        <w:rPr>
          <w:rFonts w:ascii="Arial" w:hAnsi="Arial" w:cs="Arial"/>
        </w:rPr>
        <w:t>New Year’s Eve 2019</w:t>
      </w:r>
      <w:r w:rsidRPr="00175A02">
        <w:rPr>
          <w:rFonts w:ascii="Arial" w:hAnsi="Arial" w:cs="Arial"/>
        </w:rPr>
        <w:t xml:space="preserve"> in Wuhan, China, and has since spread globally</w:t>
      </w:r>
      <w:r w:rsidR="00A037D3" w:rsidRPr="00175A02">
        <w:rPr>
          <w:rFonts w:ascii="Arial" w:hAnsi="Arial" w:cs="Arial"/>
        </w:rPr>
        <w:t>, putting</w:t>
      </w:r>
      <w:r w:rsidRPr="00175A02">
        <w:rPr>
          <w:rFonts w:ascii="Arial" w:hAnsi="Arial" w:cs="Arial"/>
        </w:rPr>
        <w:t xml:space="preserve"> many nations into lockdown. </w:t>
      </w:r>
      <w:r w:rsidR="00114724" w:rsidRPr="00175A02">
        <w:rPr>
          <w:rFonts w:ascii="Arial" w:hAnsi="Arial" w:cs="Arial"/>
        </w:rPr>
        <w:t xml:space="preserve">In the UK, a </w:t>
      </w:r>
      <w:r w:rsidR="00A037D3" w:rsidRPr="00175A02">
        <w:rPr>
          <w:rFonts w:ascii="Arial" w:hAnsi="Arial" w:cs="Arial"/>
        </w:rPr>
        <w:t xml:space="preserve">nationwide </w:t>
      </w:r>
      <w:r w:rsidR="00114724" w:rsidRPr="00175A02">
        <w:rPr>
          <w:rFonts w:ascii="Arial" w:hAnsi="Arial" w:cs="Arial"/>
        </w:rPr>
        <w:t xml:space="preserve">lockdown </w:t>
      </w:r>
      <w:r w:rsidR="002752A0" w:rsidRPr="00175A02">
        <w:rPr>
          <w:rFonts w:ascii="Arial" w:hAnsi="Arial" w:cs="Arial"/>
        </w:rPr>
        <w:t>was</w:t>
      </w:r>
      <w:r w:rsidR="00114724" w:rsidRPr="00175A02">
        <w:rPr>
          <w:rFonts w:ascii="Arial" w:hAnsi="Arial" w:cs="Arial"/>
        </w:rPr>
        <w:t xml:space="preserve"> imposed </w:t>
      </w:r>
      <w:r w:rsidR="002752A0" w:rsidRPr="00175A02">
        <w:rPr>
          <w:rFonts w:ascii="Arial" w:hAnsi="Arial" w:cs="Arial"/>
        </w:rPr>
        <w:t xml:space="preserve">from </w:t>
      </w:r>
      <w:r w:rsidR="00A521DF" w:rsidRPr="00175A02">
        <w:rPr>
          <w:rFonts w:ascii="Arial" w:hAnsi="Arial" w:cs="Arial"/>
        </w:rPr>
        <w:t>the</w:t>
      </w:r>
      <w:r w:rsidR="00114724" w:rsidRPr="00175A02">
        <w:rPr>
          <w:rFonts w:ascii="Arial" w:hAnsi="Arial" w:cs="Arial"/>
        </w:rPr>
        <w:t xml:space="preserve"> 23</w:t>
      </w:r>
      <w:r w:rsidR="00114724" w:rsidRPr="00175A02">
        <w:rPr>
          <w:rFonts w:ascii="Arial" w:hAnsi="Arial" w:cs="Arial"/>
          <w:vertAlign w:val="superscript"/>
        </w:rPr>
        <w:t>rd</w:t>
      </w:r>
      <w:r w:rsidR="00114724" w:rsidRPr="00175A02">
        <w:rPr>
          <w:rFonts w:ascii="Arial" w:hAnsi="Arial" w:cs="Arial"/>
        </w:rPr>
        <w:t xml:space="preserve"> of March</w:t>
      </w:r>
      <w:r w:rsidR="00107EB7" w:rsidRPr="00175A02">
        <w:rPr>
          <w:rFonts w:ascii="Arial" w:hAnsi="Arial" w:cs="Arial"/>
        </w:rPr>
        <w:t xml:space="preserve"> which lasted for over 12 weeks, </w:t>
      </w:r>
      <w:r w:rsidR="005E0D6A" w:rsidRPr="00175A02">
        <w:rPr>
          <w:rFonts w:ascii="Arial" w:hAnsi="Arial" w:cs="Arial"/>
        </w:rPr>
        <w:t>not allowing people to go outside the home more than once a day and only for exercise or essential trips, such as grocery shopping or picking up medication</w:t>
      </w:r>
      <w:r w:rsidR="00A037D3" w:rsidRPr="00175A02">
        <w:rPr>
          <w:rFonts w:ascii="Arial" w:hAnsi="Arial" w:cs="Arial"/>
        </w:rPr>
        <w:t>.</w:t>
      </w:r>
      <w:r w:rsidR="005E0D6A" w:rsidRPr="00175A02">
        <w:rPr>
          <w:rFonts w:ascii="Arial" w:hAnsi="Arial" w:cs="Arial"/>
        </w:rPr>
        <w:t xml:space="preserve"> People aged 70+ and those with underlying health conditions were not supposed to go outside at all and supposed to shield.</w:t>
      </w:r>
      <w:r w:rsidR="00B744BB" w:rsidRPr="00175A02">
        <w:rPr>
          <w:rFonts w:ascii="Arial" w:hAnsi="Arial" w:cs="Arial"/>
        </w:rPr>
        <w:t xml:space="preserve"> </w:t>
      </w:r>
    </w:p>
    <w:p w14:paraId="12C563B9" w14:textId="100B39DD" w:rsidR="00986B77" w:rsidRPr="00175A02" w:rsidRDefault="005F15E4" w:rsidP="00601148">
      <w:pPr>
        <w:spacing w:after="0"/>
        <w:ind w:firstLine="720"/>
        <w:jc w:val="both"/>
        <w:rPr>
          <w:rFonts w:ascii="Arial" w:hAnsi="Arial" w:cs="Arial"/>
        </w:rPr>
      </w:pPr>
      <w:r w:rsidRPr="00175A02">
        <w:rPr>
          <w:rFonts w:ascii="Arial" w:hAnsi="Arial" w:cs="Arial"/>
        </w:rPr>
        <w:t>Across the globe, an estimated 50 million people are living with dementia</w:t>
      </w:r>
      <w:r w:rsidR="00D24DE1" w:rsidRPr="00175A02">
        <w:rPr>
          <w:rFonts w:ascii="Arial" w:hAnsi="Arial" w:cs="Arial"/>
        </w:rPr>
        <w:t xml:space="preserve"> [1]</w:t>
      </w:r>
      <w:r w:rsidRPr="00175A02">
        <w:rPr>
          <w:rFonts w:ascii="Arial" w:hAnsi="Arial" w:cs="Arial"/>
        </w:rPr>
        <w:t xml:space="preserve">, with many more caring for someone with dementia. As there is currently no disease modifying treatment, social care accounts for the great majority of dementia care costs. While residential care accounts for most of these costs, costs </w:t>
      </w:r>
      <w:r w:rsidR="00A037D3" w:rsidRPr="00175A02">
        <w:rPr>
          <w:rFonts w:ascii="Arial" w:hAnsi="Arial" w:cs="Arial"/>
        </w:rPr>
        <w:t>also include</w:t>
      </w:r>
      <w:r w:rsidRPr="00175A02">
        <w:rPr>
          <w:rFonts w:ascii="Arial" w:hAnsi="Arial" w:cs="Arial"/>
        </w:rPr>
        <w:t xml:space="preserve"> peer support groups, respite care, day care centres, </w:t>
      </w:r>
      <w:r w:rsidR="00A037D3" w:rsidRPr="00175A02">
        <w:rPr>
          <w:rFonts w:ascii="Arial" w:hAnsi="Arial" w:cs="Arial"/>
        </w:rPr>
        <w:t>and</w:t>
      </w:r>
      <w:r w:rsidRPr="00175A02">
        <w:rPr>
          <w:rFonts w:ascii="Arial" w:hAnsi="Arial" w:cs="Arial"/>
        </w:rPr>
        <w:t xml:space="preserve"> befriending services which provide vital activities and care for people </w:t>
      </w:r>
      <w:r w:rsidR="00A037D3" w:rsidRPr="00175A02">
        <w:rPr>
          <w:rFonts w:ascii="Arial" w:hAnsi="Arial" w:cs="Arial"/>
        </w:rPr>
        <w:t xml:space="preserve">living </w:t>
      </w:r>
      <w:r w:rsidRPr="00175A02">
        <w:rPr>
          <w:rFonts w:ascii="Arial" w:hAnsi="Arial" w:cs="Arial"/>
        </w:rPr>
        <w:t xml:space="preserve">with dementia </w:t>
      </w:r>
      <w:r w:rsidR="00A037D3" w:rsidRPr="00175A02">
        <w:rPr>
          <w:rFonts w:ascii="Arial" w:hAnsi="Arial" w:cs="Arial"/>
        </w:rPr>
        <w:t xml:space="preserve">(PLWD) </w:t>
      </w:r>
      <w:r w:rsidRPr="00175A02">
        <w:rPr>
          <w:rFonts w:ascii="Arial" w:hAnsi="Arial" w:cs="Arial"/>
        </w:rPr>
        <w:t xml:space="preserve">living in their own homes. </w:t>
      </w:r>
      <w:r w:rsidR="00F53CCD" w:rsidRPr="00175A02">
        <w:rPr>
          <w:rFonts w:ascii="Arial" w:hAnsi="Arial" w:cs="Arial"/>
        </w:rPr>
        <w:t>Some of t</w:t>
      </w:r>
      <w:r w:rsidRPr="00175A02">
        <w:rPr>
          <w:rFonts w:ascii="Arial" w:hAnsi="Arial" w:cs="Arial"/>
        </w:rPr>
        <w:t xml:space="preserve">hese </w:t>
      </w:r>
      <w:r w:rsidR="00EE546B" w:rsidRPr="00175A02">
        <w:rPr>
          <w:rFonts w:ascii="Arial" w:hAnsi="Arial" w:cs="Arial"/>
        </w:rPr>
        <w:t xml:space="preserve">social support </w:t>
      </w:r>
      <w:r w:rsidRPr="00175A02">
        <w:rPr>
          <w:rFonts w:ascii="Arial" w:hAnsi="Arial" w:cs="Arial"/>
        </w:rPr>
        <w:t xml:space="preserve">services </w:t>
      </w:r>
      <w:r w:rsidR="00F53CCD" w:rsidRPr="00175A02">
        <w:rPr>
          <w:rFonts w:ascii="Arial" w:hAnsi="Arial" w:cs="Arial"/>
        </w:rPr>
        <w:t xml:space="preserve">are provided by the voluntary sector, whilst others are provided by the governmental social care system, with some services being subject to financial support to access, whilst others have to be paid for by the individuals themselves. Social support services </w:t>
      </w:r>
      <w:r w:rsidRPr="00175A02">
        <w:rPr>
          <w:rFonts w:ascii="Arial" w:hAnsi="Arial" w:cs="Arial"/>
        </w:rPr>
        <w:t xml:space="preserve">are linked to improved levels of well-being </w:t>
      </w:r>
      <w:r w:rsidR="00D24DE1" w:rsidRPr="00175A02">
        <w:rPr>
          <w:rFonts w:ascii="Arial" w:hAnsi="Arial" w:cs="Arial"/>
        </w:rPr>
        <w:t>[2,3]</w:t>
      </w:r>
      <w:r w:rsidRPr="00175A02">
        <w:rPr>
          <w:rFonts w:ascii="Arial" w:hAnsi="Arial" w:cs="Arial"/>
        </w:rPr>
        <w:t xml:space="preserve"> and quality of life for people with dementia </w:t>
      </w:r>
      <w:r w:rsidR="00D24DE1" w:rsidRPr="00175A02">
        <w:rPr>
          <w:rFonts w:ascii="Arial" w:hAnsi="Arial" w:cs="Arial"/>
        </w:rPr>
        <w:t>[4]</w:t>
      </w:r>
      <w:r w:rsidRPr="00175A02">
        <w:rPr>
          <w:rFonts w:ascii="Arial" w:hAnsi="Arial" w:cs="Arial"/>
        </w:rPr>
        <w:t xml:space="preserve">. </w:t>
      </w:r>
      <w:r w:rsidR="001F4E9F" w:rsidRPr="00175A02">
        <w:rPr>
          <w:rFonts w:ascii="Arial" w:hAnsi="Arial" w:cs="Arial"/>
        </w:rPr>
        <w:t xml:space="preserve">Older adults experience high rates of social isolation </w:t>
      </w:r>
      <w:r w:rsidR="00D24DE1" w:rsidRPr="00175A02">
        <w:rPr>
          <w:rFonts w:ascii="Arial" w:hAnsi="Arial" w:cs="Arial"/>
        </w:rPr>
        <w:t>[5]</w:t>
      </w:r>
      <w:r w:rsidR="001F4E9F" w:rsidRPr="00175A02">
        <w:rPr>
          <w:rFonts w:ascii="Arial" w:hAnsi="Arial" w:cs="Arial"/>
        </w:rPr>
        <w:t xml:space="preserve">, and a third of UK older adults live alone </w:t>
      </w:r>
      <w:r w:rsidR="00D24DE1" w:rsidRPr="00175A02">
        <w:rPr>
          <w:rFonts w:ascii="Arial" w:hAnsi="Arial" w:cs="Arial"/>
        </w:rPr>
        <w:t>[6]</w:t>
      </w:r>
      <w:r w:rsidR="001F4E9F" w:rsidRPr="00175A02">
        <w:rPr>
          <w:rFonts w:ascii="Arial" w:hAnsi="Arial" w:cs="Arial"/>
        </w:rPr>
        <w:t xml:space="preserve">. Social support services can provide an important life line to support them live well and engage socially. Greater social engagement has been linked to lower levels of loneliness and depression, and higher quality of life </w:t>
      </w:r>
      <w:r w:rsidR="00D24DE1" w:rsidRPr="00175A02">
        <w:rPr>
          <w:rFonts w:ascii="Arial" w:hAnsi="Arial" w:cs="Arial"/>
        </w:rPr>
        <w:t>[7,8]</w:t>
      </w:r>
      <w:r w:rsidR="001F4E9F" w:rsidRPr="00175A02">
        <w:rPr>
          <w:rFonts w:ascii="Arial" w:hAnsi="Arial" w:cs="Arial"/>
        </w:rPr>
        <w:t xml:space="preserve">. </w:t>
      </w:r>
    </w:p>
    <w:p w14:paraId="666D084B" w14:textId="66A61633" w:rsidR="00D24556" w:rsidRPr="00175A02" w:rsidRDefault="00D24556" w:rsidP="00D24556">
      <w:pPr>
        <w:spacing w:after="0"/>
        <w:ind w:firstLine="720"/>
        <w:jc w:val="both"/>
        <w:rPr>
          <w:rFonts w:ascii="Arial" w:hAnsi="Arial" w:cs="Arial"/>
        </w:rPr>
      </w:pPr>
      <w:r w:rsidRPr="00175A02">
        <w:rPr>
          <w:rFonts w:ascii="Arial" w:hAnsi="Arial" w:cs="Arial"/>
        </w:rPr>
        <w:t>Even prior to</w:t>
      </w:r>
      <w:r w:rsidR="005F15E4" w:rsidRPr="00175A02">
        <w:rPr>
          <w:rFonts w:ascii="Arial" w:hAnsi="Arial" w:cs="Arial"/>
        </w:rPr>
        <w:t xml:space="preserve"> the pandemic</w:t>
      </w:r>
      <w:r w:rsidRPr="00175A02">
        <w:rPr>
          <w:rFonts w:ascii="Arial" w:hAnsi="Arial" w:cs="Arial"/>
        </w:rPr>
        <w:t xml:space="preserve">, access to dementia care varied with sociodemographic characteristics such as gender, area deprivation and ethnicity </w:t>
      </w:r>
      <w:r w:rsidR="00D24DE1" w:rsidRPr="00175A02">
        <w:rPr>
          <w:rFonts w:ascii="Arial" w:hAnsi="Arial" w:cs="Arial"/>
        </w:rPr>
        <w:t>[9,10]</w:t>
      </w:r>
      <w:r w:rsidRPr="00175A02">
        <w:rPr>
          <w:rFonts w:ascii="Arial" w:hAnsi="Arial" w:cs="Arial"/>
        </w:rPr>
        <w:t xml:space="preserve">. Many PLWD living in the community have an unmet need for social company </w:t>
      </w:r>
      <w:r w:rsidR="00D24DE1" w:rsidRPr="00175A02">
        <w:rPr>
          <w:rFonts w:ascii="Arial" w:hAnsi="Arial" w:cs="Arial"/>
        </w:rPr>
        <w:t>[11]</w:t>
      </w:r>
      <w:r w:rsidRPr="00175A02">
        <w:rPr>
          <w:rFonts w:ascii="Arial" w:hAnsi="Arial" w:cs="Arial"/>
        </w:rPr>
        <w:t xml:space="preserve">, and there can be a concern that the impacts of COVID may widen existing inequalities. </w:t>
      </w:r>
      <w:r w:rsidR="001B33A5" w:rsidRPr="00175A02">
        <w:rPr>
          <w:rFonts w:ascii="Arial" w:hAnsi="Arial" w:cs="Arial"/>
        </w:rPr>
        <w:t>A recent qualitative investigation in the UK has reported that people affected by dementia have experienced distress due to reduce</w:t>
      </w:r>
      <w:r w:rsidR="00A037D3" w:rsidRPr="00175A02">
        <w:rPr>
          <w:rFonts w:ascii="Arial" w:hAnsi="Arial" w:cs="Arial"/>
        </w:rPr>
        <w:t>d</w:t>
      </w:r>
      <w:r w:rsidR="001B33A5" w:rsidRPr="00175A02">
        <w:rPr>
          <w:rFonts w:ascii="Arial" w:hAnsi="Arial" w:cs="Arial"/>
        </w:rPr>
        <w:t xml:space="preserve"> availability of social services during the pandemic, with feelings of loss of control, uncertainty, and higher levels of carer burden discussed </w:t>
      </w:r>
      <w:r w:rsidR="00D24DE1" w:rsidRPr="00175A02">
        <w:rPr>
          <w:rFonts w:ascii="Arial" w:hAnsi="Arial" w:cs="Arial"/>
        </w:rPr>
        <w:t>[12]</w:t>
      </w:r>
      <w:r w:rsidR="001B33A5" w:rsidRPr="00175A02">
        <w:rPr>
          <w:rFonts w:ascii="Arial" w:hAnsi="Arial" w:cs="Arial"/>
        </w:rPr>
        <w:t xml:space="preserve">. </w:t>
      </w:r>
      <w:r w:rsidRPr="00175A02">
        <w:rPr>
          <w:rFonts w:ascii="Arial" w:hAnsi="Arial" w:cs="Arial"/>
        </w:rPr>
        <w:t>However, to date no quantitative data have evidenced the impact of these service closures on mental well-being.</w:t>
      </w:r>
    </w:p>
    <w:p w14:paraId="210C1AA7" w14:textId="50994FF0" w:rsidR="001B33A5" w:rsidRPr="00175A02" w:rsidRDefault="001B33A5" w:rsidP="001B33A5">
      <w:pPr>
        <w:spacing w:after="0"/>
        <w:ind w:firstLine="720"/>
        <w:jc w:val="both"/>
        <w:rPr>
          <w:rFonts w:ascii="Arial" w:hAnsi="Arial" w:cs="Arial"/>
        </w:rPr>
      </w:pPr>
      <w:r w:rsidRPr="00175A02">
        <w:rPr>
          <w:rFonts w:ascii="Arial" w:hAnsi="Arial" w:cs="Arial"/>
        </w:rPr>
        <w:t xml:space="preserve">Preliminary findings indicate that mental health in the general UK population has declined since the onset of the pandemic and associated social changes </w:t>
      </w:r>
      <w:r w:rsidR="00D24DE1" w:rsidRPr="00175A02">
        <w:rPr>
          <w:rFonts w:ascii="Arial" w:hAnsi="Arial" w:cs="Arial"/>
        </w:rPr>
        <w:t>[13]</w:t>
      </w:r>
      <w:r w:rsidRPr="00175A02">
        <w:rPr>
          <w:rFonts w:ascii="Arial" w:hAnsi="Arial" w:cs="Arial"/>
        </w:rPr>
        <w:t xml:space="preserve">. However, to our knowledge, this is the first study of mental health and wellbeing that has specifically recruited </w:t>
      </w:r>
      <w:r w:rsidR="00AC359F" w:rsidRPr="00175A02">
        <w:rPr>
          <w:rFonts w:ascii="Arial" w:hAnsi="Arial" w:cs="Arial"/>
        </w:rPr>
        <w:t>PLWD</w:t>
      </w:r>
      <w:r w:rsidRPr="00175A02">
        <w:rPr>
          <w:rFonts w:ascii="Arial" w:hAnsi="Arial" w:cs="Arial"/>
        </w:rPr>
        <w:t>, their family carers</w:t>
      </w:r>
      <w:r w:rsidR="00AC359F" w:rsidRPr="00175A02">
        <w:rPr>
          <w:rFonts w:ascii="Arial" w:hAnsi="Arial" w:cs="Arial"/>
        </w:rPr>
        <w:t>,</w:t>
      </w:r>
      <w:r w:rsidRPr="00175A02">
        <w:rPr>
          <w:rFonts w:ascii="Arial" w:hAnsi="Arial" w:cs="Arial"/>
        </w:rPr>
        <w:t xml:space="preserve"> and older people; and the first to explore how availability of social services for </w:t>
      </w:r>
      <w:r w:rsidR="00AC359F" w:rsidRPr="00175A02">
        <w:rPr>
          <w:rFonts w:ascii="Arial" w:hAnsi="Arial" w:cs="Arial"/>
        </w:rPr>
        <w:t>PLWD</w:t>
      </w:r>
      <w:r w:rsidRPr="00175A02">
        <w:rPr>
          <w:rFonts w:ascii="Arial" w:hAnsi="Arial" w:cs="Arial"/>
        </w:rPr>
        <w:t xml:space="preserve"> has changed with the pandemic.</w:t>
      </w:r>
    </w:p>
    <w:p w14:paraId="68672C4B" w14:textId="5D13A13D" w:rsidR="001B33A5" w:rsidRPr="00175A02" w:rsidRDefault="001B33A5" w:rsidP="001B33A5">
      <w:pPr>
        <w:spacing w:after="0"/>
        <w:ind w:firstLine="720"/>
        <w:jc w:val="both"/>
        <w:rPr>
          <w:rFonts w:ascii="Arial" w:hAnsi="Arial" w:cs="Arial"/>
        </w:rPr>
      </w:pPr>
      <w:r w:rsidRPr="00175A02">
        <w:rPr>
          <w:rFonts w:ascii="Arial" w:hAnsi="Arial" w:cs="Arial"/>
        </w:rPr>
        <w:t>This cross-sectional survey had two aims: (1) to explore how social support service access by older adults and those affected by dementia changed in March 2020, at the time</w:t>
      </w:r>
      <w:r w:rsidR="00AC359F" w:rsidRPr="00175A02">
        <w:rPr>
          <w:rFonts w:ascii="Arial" w:hAnsi="Arial" w:cs="Arial"/>
        </w:rPr>
        <w:t xml:space="preserve"> when</w:t>
      </w:r>
      <w:r w:rsidRPr="00175A02">
        <w:rPr>
          <w:rFonts w:ascii="Arial" w:hAnsi="Arial" w:cs="Arial"/>
        </w:rPr>
        <w:t xml:space="preserve"> COVID-related public health measures were imposed; and (2) to explore, in people who were receiving social support services prior to the pandemic, the relationship between any change in service availability and </w:t>
      </w:r>
      <w:r w:rsidR="003215AD" w:rsidRPr="00175A02">
        <w:rPr>
          <w:rFonts w:ascii="Arial" w:hAnsi="Arial" w:cs="Arial"/>
        </w:rPr>
        <w:t xml:space="preserve">mental </w:t>
      </w:r>
      <w:r w:rsidRPr="00175A02">
        <w:rPr>
          <w:rFonts w:ascii="Arial" w:hAnsi="Arial" w:cs="Arial"/>
        </w:rPr>
        <w:t>well-being, anxiety, and depression symptoms. Social support is defined as community-based, non-residential care. We hypothesised that participants would report receiving on average fewer hours of social support after COVID-19 public health measures were instigated, relative to the weeks before the shutdown; and that receiving fewer hours of social support would be associated with worse well-being, anxiety, and depression among people who are in receipt of care services.</w:t>
      </w:r>
    </w:p>
    <w:p w14:paraId="10556BAF" w14:textId="77777777" w:rsidR="00306EC8" w:rsidRPr="00175A02" w:rsidRDefault="00306EC8" w:rsidP="00144391">
      <w:pPr>
        <w:jc w:val="both"/>
        <w:rPr>
          <w:rFonts w:ascii="Arial" w:hAnsi="Arial" w:cs="Arial"/>
          <w:b/>
          <w:sz w:val="24"/>
        </w:rPr>
      </w:pPr>
    </w:p>
    <w:p w14:paraId="68D4509C" w14:textId="65DDFD90" w:rsidR="00144391" w:rsidRPr="00175A02" w:rsidRDefault="00144391" w:rsidP="00144391">
      <w:pPr>
        <w:jc w:val="both"/>
        <w:rPr>
          <w:rFonts w:ascii="Arial" w:hAnsi="Arial" w:cs="Arial"/>
          <w:b/>
          <w:sz w:val="24"/>
        </w:rPr>
      </w:pPr>
      <w:r w:rsidRPr="00175A02">
        <w:rPr>
          <w:rFonts w:ascii="Arial" w:hAnsi="Arial" w:cs="Arial"/>
          <w:b/>
          <w:sz w:val="24"/>
        </w:rPr>
        <w:t>Methods</w:t>
      </w:r>
    </w:p>
    <w:p w14:paraId="14CEC0D9" w14:textId="195633D2" w:rsidR="00144391" w:rsidRPr="00175A02" w:rsidRDefault="000A36B8" w:rsidP="00244C80">
      <w:pPr>
        <w:spacing w:after="0"/>
        <w:jc w:val="both"/>
        <w:rPr>
          <w:rFonts w:ascii="Arial" w:hAnsi="Arial" w:cs="Arial"/>
          <w:b/>
        </w:rPr>
      </w:pPr>
      <w:r w:rsidRPr="00175A02">
        <w:rPr>
          <w:rFonts w:ascii="Arial" w:hAnsi="Arial" w:cs="Arial"/>
          <w:b/>
        </w:rPr>
        <w:t>Sampling and procedures</w:t>
      </w:r>
    </w:p>
    <w:p w14:paraId="0BBA0534" w14:textId="1B5ACF39" w:rsidR="00B1670F" w:rsidRPr="00175A02" w:rsidRDefault="00CF64BC" w:rsidP="00F113BC">
      <w:pPr>
        <w:spacing w:after="0"/>
        <w:jc w:val="both"/>
        <w:rPr>
          <w:rFonts w:ascii="Arial" w:hAnsi="Arial" w:cs="Arial"/>
        </w:rPr>
      </w:pPr>
      <w:r w:rsidRPr="00175A02">
        <w:rPr>
          <w:rFonts w:ascii="Arial" w:hAnsi="Arial" w:cs="Arial"/>
        </w:rPr>
        <w:t>W</w:t>
      </w:r>
      <w:r w:rsidR="00986B77" w:rsidRPr="00175A02">
        <w:rPr>
          <w:rFonts w:ascii="Arial" w:hAnsi="Arial" w:cs="Arial"/>
        </w:rPr>
        <w:t>e recruited o</w:t>
      </w:r>
      <w:r w:rsidR="00485B2A" w:rsidRPr="00175A02">
        <w:rPr>
          <w:rFonts w:ascii="Arial" w:hAnsi="Arial" w:cs="Arial"/>
        </w:rPr>
        <w:t>lder adults aged 65+, p</w:t>
      </w:r>
      <w:r w:rsidR="00244C80" w:rsidRPr="00175A02">
        <w:rPr>
          <w:rFonts w:ascii="Arial" w:hAnsi="Arial" w:cs="Arial"/>
        </w:rPr>
        <w:t>eople with dementia</w:t>
      </w:r>
      <w:r w:rsidR="00485B2A" w:rsidRPr="00175A02">
        <w:rPr>
          <w:rFonts w:ascii="Arial" w:hAnsi="Arial" w:cs="Arial"/>
        </w:rPr>
        <w:t>,</w:t>
      </w:r>
      <w:r w:rsidR="00244C80" w:rsidRPr="00175A02">
        <w:rPr>
          <w:rFonts w:ascii="Arial" w:hAnsi="Arial" w:cs="Arial"/>
        </w:rPr>
        <w:t xml:space="preserve"> and unpaid current and former carers of </w:t>
      </w:r>
      <w:r w:rsidR="00D04BF2" w:rsidRPr="00175A02">
        <w:rPr>
          <w:rFonts w:ascii="Arial" w:hAnsi="Arial" w:cs="Arial"/>
        </w:rPr>
        <w:t xml:space="preserve">people </w:t>
      </w:r>
      <w:r w:rsidR="00244C80" w:rsidRPr="00175A02">
        <w:rPr>
          <w:rFonts w:ascii="Arial" w:hAnsi="Arial" w:cs="Arial"/>
        </w:rPr>
        <w:t xml:space="preserve">living with dementia </w:t>
      </w:r>
      <w:r w:rsidR="00585372" w:rsidRPr="00175A02">
        <w:rPr>
          <w:rFonts w:ascii="Arial" w:hAnsi="Arial" w:cs="Arial"/>
        </w:rPr>
        <w:t>via</w:t>
      </w:r>
      <w:r w:rsidR="00D04BF2" w:rsidRPr="00175A02">
        <w:rPr>
          <w:rFonts w:ascii="Arial" w:hAnsi="Arial" w:cs="Arial"/>
        </w:rPr>
        <w:t xml:space="preserve">: NIHR Join Dementia Research network, a UK-based research registry for people with dementia, carers, and health volunteers interested in taking part in </w:t>
      </w:r>
      <w:r w:rsidR="00D04BF2" w:rsidRPr="00175A02">
        <w:rPr>
          <w:rFonts w:ascii="Arial" w:hAnsi="Arial" w:cs="Arial"/>
        </w:rPr>
        <w:lastRenderedPageBreak/>
        <w:t xml:space="preserve">dementia research; social media; and </w:t>
      </w:r>
      <w:r w:rsidR="00585372" w:rsidRPr="00175A02">
        <w:rPr>
          <w:rFonts w:ascii="Arial" w:hAnsi="Arial" w:cs="Arial"/>
        </w:rPr>
        <w:t>third sector and social support service organisations</w:t>
      </w:r>
      <w:r w:rsidR="00986B77" w:rsidRPr="00175A02">
        <w:rPr>
          <w:rFonts w:ascii="Arial" w:hAnsi="Arial" w:cs="Arial"/>
        </w:rPr>
        <w:t>,</w:t>
      </w:r>
      <w:r w:rsidR="00585372" w:rsidRPr="00175A02">
        <w:rPr>
          <w:rFonts w:ascii="Arial" w:hAnsi="Arial" w:cs="Arial"/>
        </w:rPr>
        <w:t xml:space="preserve"> </w:t>
      </w:r>
      <w:r w:rsidR="00986B77" w:rsidRPr="00175A02">
        <w:rPr>
          <w:rFonts w:ascii="Arial" w:hAnsi="Arial" w:cs="Arial"/>
        </w:rPr>
        <w:t xml:space="preserve">using </w:t>
      </w:r>
      <w:r w:rsidR="00585372" w:rsidRPr="00175A02">
        <w:rPr>
          <w:rFonts w:ascii="Arial" w:hAnsi="Arial" w:cs="Arial"/>
        </w:rPr>
        <w:t xml:space="preserve">mailing lists and newsletters, </w:t>
      </w:r>
      <w:r w:rsidR="00986B77" w:rsidRPr="00175A02">
        <w:rPr>
          <w:rFonts w:ascii="Arial" w:hAnsi="Arial" w:cs="Arial"/>
        </w:rPr>
        <w:t>and</w:t>
      </w:r>
      <w:r w:rsidR="00585372" w:rsidRPr="00175A02">
        <w:rPr>
          <w:rFonts w:ascii="Arial" w:hAnsi="Arial" w:cs="Arial"/>
        </w:rPr>
        <w:t xml:space="preserve"> </w:t>
      </w:r>
      <w:r w:rsidR="00D04BF2" w:rsidRPr="00175A02">
        <w:rPr>
          <w:rFonts w:ascii="Arial" w:hAnsi="Arial" w:cs="Arial"/>
        </w:rPr>
        <w:t xml:space="preserve">direct </w:t>
      </w:r>
      <w:r w:rsidR="00585372" w:rsidRPr="00175A02">
        <w:rPr>
          <w:rFonts w:ascii="Arial" w:hAnsi="Arial" w:cs="Arial"/>
        </w:rPr>
        <w:t>approach</w:t>
      </w:r>
      <w:r w:rsidR="00D04BF2" w:rsidRPr="00175A02">
        <w:rPr>
          <w:rFonts w:ascii="Arial" w:hAnsi="Arial" w:cs="Arial"/>
        </w:rPr>
        <w:t xml:space="preserve"> </w:t>
      </w:r>
      <w:r w:rsidR="00585372" w:rsidRPr="00175A02">
        <w:rPr>
          <w:rFonts w:ascii="Arial" w:hAnsi="Arial" w:cs="Arial"/>
        </w:rPr>
        <w:t xml:space="preserve">by service providers via telephone or email. </w:t>
      </w:r>
      <w:r w:rsidR="0021108F" w:rsidRPr="00175A02">
        <w:rPr>
          <w:rFonts w:ascii="Arial" w:hAnsi="Arial" w:cs="Arial"/>
        </w:rPr>
        <w:t>As potential participants were mostly approached via generic newsletters</w:t>
      </w:r>
      <w:r w:rsidR="004A33F9" w:rsidRPr="00175A02">
        <w:rPr>
          <w:rFonts w:ascii="Arial" w:hAnsi="Arial" w:cs="Arial"/>
        </w:rPr>
        <w:t>,</w:t>
      </w:r>
      <w:r w:rsidR="0021108F" w:rsidRPr="00175A02">
        <w:rPr>
          <w:rFonts w:ascii="Arial" w:hAnsi="Arial" w:cs="Arial"/>
        </w:rPr>
        <w:t xml:space="preserve"> social media announcements, </w:t>
      </w:r>
      <w:r w:rsidR="004A33F9" w:rsidRPr="00175A02">
        <w:rPr>
          <w:rFonts w:ascii="Arial" w:hAnsi="Arial" w:cs="Arial"/>
        </w:rPr>
        <w:t>and via existing and established networks with third sector organisations and service providers, methods also employed</w:t>
      </w:r>
      <w:r w:rsidR="0021108F" w:rsidRPr="00175A02">
        <w:rPr>
          <w:rFonts w:ascii="Arial" w:hAnsi="Arial" w:cs="Arial"/>
        </w:rPr>
        <w:t xml:space="preserve"> in the University College London COVID-19 Social Study </w:t>
      </w:r>
      <w:r w:rsidR="004A028D" w:rsidRPr="00175A02">
        <w:rPr>
          <w:rFonts w:ascii="Arial" w:hAnsi="Arial" w:cs="Arial"/>
        </w:rPr>
        <w:t>[14]</w:t>
      </w:r>
      <w:r w:rsidR="004A33F9" w:rsidRPr="00175A02">
        <w:rPr>
          <w:rFonts w:ascii="Arial" w:hAnsi="Arial" w:cs="Arial"/>
        </w:rPr>
        <w:t xml:space="preserve">, no data on response rate is available. </w:t>
      </w:r>
      <w:r w:rsidR="000A36B8" w:rsidRPr="00175A02">
        <w:rPr>
          <w:rFonts w:ascii="Arial" w:hAnsi="Arial" w:cs="Arial"/>
        </w:rPr>
        <w:t xml:space="preserve">The survey could be completed either online or via phone with a research team member. </w:t>
      </w:r>
    </w:p>
    <w:p w14:paraId="0E9D8F92" w14:textId="5B0A7DD4" w:rsidR="00F113BC" w:rsidRPr="00175A02" w:rsidRDefault="00F113BC" w:rsidP="00DC024E">
      <w:pPr>
        <w:spacing w:after="0"/>
        <w:ind w:firstLine="720"/>
        <w:jc w:val="both"/>
        <w:rPr>
          <w:rFonts w:ascii="Arial" w:hAnsi="Arial" w:cs="Arial"/>
        </w:rPr>
      </w:pPr>
      <w:r w:rsidRPr="00175A02">
        <w:rPr>
          <w:rFonts w:ascii="Arial" w:hAnsi="Arial" w:cs="Arial"/>
        </w:rPr>
        <w:t xml:space="preserve">The decision to include former carers arose from discussions amongst the research team, which includes academics, clinicians, those affected by dementia, service providers, and third sector organisations. The rationale for this was that former carers often continue to access social support services, mostly peer support groups, after the PLWD’s death in the UK. </w:t>
      </w:r>
    </w:p>
    <w:p w14:paraId="3C8A1D49" w14:textId="08774C92" w:rsidR="00DC024E" w:rsidRPr="00175A02" w:rsidRDefault="00DC024E" w:rsidP="00F113BC">
      <w:pPr>
        <w:ind w:firstLine="720"/>
        <w:jc w:val="both"/>
        <w:rPr>
          <w:rFonts w:ascii="Arial" w:hAnsi="Arial" w:cs="Arial"/>
        </w:rPr>
      </w:pPr>
      <w:r w:rsidRPr="00175A02">
        <w:rPr>
          <w:rFonts w:ascii="Arial" w:hAnsi="Arial" w:cs="Arial"/>
        </w:rPr>
        <w:t>PLWD were assumed to have capacity when taking part in the online survey. For those who completed the survey over the phone, researchers assessed mental capacity at the beginning according to the Mental Capacity Act (2005).</w:t>
      </w:r>
    </w:p>
    <w:p w14:paraId="05CC6DD1" w14:textId="77777777" w:rsidR="00F113BC" w:rsidRPr="00175A02" w:rsidRDefault="00F113BC" w:rsidP="00144391">
      <w:pPr>
        <w:jc w:val="both"/>
        <w:rPr>
          <w:rFonts w:ascii="Arial" w:hAnsi="Arial" w:cs="Arial"/>
        </w:rPr>
      </w:pPr>
    </w:p>
    <w:p w14:paraId="44AE9BE9" w14:textId="32F6C547" w:rsidR="00B1670F" w:rsidRPr="00175A02" w:rsidRDefault="00FF310C" w:rsidP="00356AF6">
      <w:pPr>
        <w:spacing w:after="0"/>
        <w:jc w:val="both"/>
        <w:rPr>
          <w:rFonts w:ascii="Arial" w:hAnsi="Arial" w:cs="Arial"/>
          <w:b/>
        </w:rPr>
      </w:pPr>
      <w:r w:rsidRPr="00175A02">
        <w:rPr>
          <w:rFonts w:ascii="Arial" w:hAnsi="Arial" w:cs="Arial"/>
          <w:b/>
        </w:rPr>
        <w:t>Survey variables</w:t>
      </w:r>
    </w:p>
    <w:p w14:paraId="4A01DBDC" w14:textId="5BB7D9F7" w:rsidR="0021108F" w:rsidRPr="00175A02" w:rsidRDefault="00D90671" w:rsidP="003B55BD">
      <w:pPr>
        <w:spacing w:after="0"/>
        <w:jc w:val="both"/>
        <w:rPr>
          <w:rFonts w:ascii="Arial" w:hAnsi="Arial" w:cs="Arial"/>
        </w:rPr>
      </w:pPr>
      <w:r w:rsidRPr="00175A02">
        <w:rPr>
          <w:rFonts w:ascii="Arial" w:hAnsi="Arial" w:cs="Arial"/>
        </w:rPr>
        <w:t>We asked participants whether they were a PLWD, a current carer, former carer, or aged 65+. Respondents were invited to tick all</w:t>
      </w:r>
      <w:r w:rsidR="0026257F" w:rsidRPr="00175A02">
        <w:rPr>
          <w:rFonts w:ascii="Arial" w:hAnsi="Arial" w:cs="Arial"/>
        </w:rPr>
        <w:t xml:space="preserve"> categories</w:t>
      </w:r>
      <w:r w:rsidRPr="00175A02">
        <w:rPr>
          <w:rFonts w:ascii="Arial" w:hAnsi="Arial" w:cs="Arial"/>
        </w:rPr>
        <w:t xml:space="preserve"> that applied. For the first three categories</w:t>
      </w:r>
      <w:r w:rsidR="0026257F" w:rsidRPr="00175A02">
        <w:rPr>
          <w:rFonts w:ascii="Arial" w:hAnsi="Arial" w:cs="Arial"/>
        </w:rPr>
        <w:t xml:space="preserve"> (PLWD, current carer, former carer)</w:t>
      </w:r>
      <w:r w:rsidRPr="00175A02">
        <w:rPr>
          <w:rFonts w:ascii="Arial" w:hAnsi="Arial" w:cs="Arial"/>
        </w:rPr>
        <w:t>, no participants ticked more than one of these responses. Where respondents ticked aged 65+ and one of the other three categories, they were categorised as a PLWD, current or former carer. Thus</w:t>
      </w:r>
      <w:r w:rsidR="0087019B" w:rsidRPr="00175A02">
        <w:rPr>
          <w:rFonts w:ascii="Arial" w:hAnsi="Arial" w:cs="Arial"/>
        </w:rPr>
        <w:t>,</w:t>
      </w:r>
      <w:r w:rsidR="007E5931" w:rsidRPr="00175A02">
        <w:rPr>
          <w:rFonts w:ascii="Arial" w:hAnsi="Arial" w:cs="Arial"/>
        </w:rPr>
        <w:t xml:space="preserve"> no </w:t>
      </w:r>
      <w:r w:rsidR="003132CC" w:rsidRPr="00175A02">
        <w:rPr>
          <w:rFonts w:ascii="Arial" w:hAnsi="Arial" w:cs="Arial"/>
        </w:rPr>
        <w:t xml:space="preserve">participant in the older adult category had </w:t>
      </w:r>
      <w:r w:rsidRPr="00175A02">
        <w:rPr>
          <w:rFonts w:ascii="Arial" w:hAnsi="Arial" w:cs="Arial"/>
        </w:rPr>
        <w:t>caring responsibilities.</w:t>
      </w:r>
      <w:r w:rsidRPr="00175A02">
        <w:t xml:space="preserve"> </w:t>
      </w:r>
    </w:p>
    <w:p w14:paraId="40E4334E" w14:textId="77777777" w:rsidR="0021108F" w:rsidRPr="00175A02" w:rsidRDefault="0021108F" w:rsidP="003B55BD">
      <w:pPr>
        <w:spacing w:after="0"/>
        <w:jc w:val="both"/>
        <w:rPr>
          <w:rFonts w:ascii="Arial" w:hAnsi="Arial" w:cs="Arial"/>
        </w:rPr>
      </w:pPr>
    </w:p>
    <w:p w14:paraId="407C516E" w14:textId="28B53012" w:rsidR="00D04BF2" w:rsidRPr="00175A02" w:rsidRDefault="00356AF6" w:rsidP="003B55BD">
      <w:pPr>
        <w:spacing w:after="0"/>
        <w:jc w:val="both"/>
        <w:rPr>
          <w:rFonts w:ascii="Arial" w:hAnsi="Arial" w:cs="Arial"/>
        </w:rPr>
      </w:pPr>
      <w:r w:rsidRPr="00175A02">
        <w:rPr>
          <w:rFonts w:ascii="Arial" w:hAnsi="Arial" w:cs="Arial"/>
          <w:b/>
          <w:i/>
        </w:rPr>
        <w:t>Demographic variables</w:t>
      </w:r>
      <w:r w:rsidR="00D04BF2" w:rsidRPr="00175A02">
        <w:rPr>
          <w:rFonts w:ascii="Arial" w:hAnsi="Arial" w:cs="Arial"/>
        </w:rPr>
        <w:t>: These</w:t>
      </w:r>
      <w:r w:rsidRPr="00175A02">
        <w:rPr>
          <w:rFonts w:ascii="Arial" w:hAnsi="Arial" w:cs="Arial"/>
        </w:rPr>
        <w:t xml:space="preserve"> included age, gender, ethnicity, </w:t>
      </w:r>
      <w:r w:rsidR="00986B77" w:rsidRPr="00175A02">
        <w:rPr>
          <w:rFonts w:ascii="Arial" w:hAnsi="Arial" w:cs="Arial"/>
        </w:rPr>
        <w:t xml:space="preserve">and for people with dementia, </w:t>
      </w:r>
      <w:r w:rsidRPr="00175A02">
        <w:rPr>
          <w:rFonts w:ascii="Arial" w:hAnsi="Arial" w:cs="Arial"/>
        </w:rPr>
        <w:t xml:space="preserve">dementia subtype if </w:t>
      </w:r>
      <w:r w:rsidR="00986B77" w:rsidRPr="00175A02">
        <w:rPr>
          <w:rFonts w:ascii="Arial" w:hAnsi="Arial" w:cs="Arial"/>
        </w:rPr>
        <w:t>known</w:t>
      </w:r>
      <w:r w:rsidRPr="00175A02">
        <w:rPr>
          <w:rFonts w:ascii="Arial" w:hAnsi="Arial" w:cs="Arial"/>
        </w:rPr>
        <w:t xml:space="preserve">. </w:t>
      </w:r>
      <w:r w:rsidR="00421FC3" w:rsidRPr="00175A02">
        <w:rPr>
          <w:rFonts w:ascii="Arial" w:hAnsi="Arial" w:cs="Arial"/>
        </w:rPr>
        <w:t>Postcode data w</w:t>
      </w:r>
      <w:r w:rsidR="00D8101C" w:rsidRPr="00175A02">
        <w:rPr>
          <w:rFonts w:ascii="Arial" w:hAnsi="Arial" w:cs="Arial"/>
        </w:rPr>
        <w:t>ere</w:t>
      </w:r>
      <w:r w:rsidR="00421FC3" w:rsidRPr="00175A02">
        <w:rPr>
          <w:rFonts w:ascii="Arial" w:hAnsi="Arial" w:cs="Arial"/>
        </w:rPr>
        <w:t xml:space="preserve"> collected to generate an Index of Multiple Deprivation (IMD) </w:t>
      </w:r>
      <w:r w:rsidR="00E72D01" w:rsidRPr="00175A02">
        <w:rPr>
          <w:rFonts w:ascii="Arial" w:hAnsi="Arial" w:cs="Arial"/>
        </w:rPr>
        <w:t>quintile</w:t>
      </w:r>
      <w:r w:rsidR="00421FC3" w:rsidRPr="00175A02">
        <w:rPr>
          <w:rFonts w:ascii="Arial" w:hAnsi="Arial" w:cs="Arial"/>
        </w:rPr>
        <w:t>. The IMD is an index of neighbourhood deprivation</w:t>
      </w:r>
      <w:r w:rsidR="0083404D" w:rsidRPr="00175A02">
        <w:rPr>
          <w:rFonts w:ascii="Arial" w:hAnsi="Arial" w:cs="Arial"/>
        </w:rPr>
        <w:t xml:space="preserve"> </w:t>
      </w:r>
      <w:r w:rsidR="00C734B0" w:rsidRPr="00175A02">
        <w:rPr>
          <w:rFonts w:ascii="Arial" w:hAnsi="Arial" w:cs="Arial"/>
        </w:rPr>
        <w:t>generating one deprivation score for income, employment, education, health, crime, barriers to housing and services, and living environment</w:t>
      </w:r>
      <w:r w:rsidR="0083404D" w:rsidRPr="00175A02">
        <w:rPr>
          <w:rFonts w:ascii="Arial" w:hAnsi="Arial" w:cs="Arial"/>
        </w:rPr>
        <w:t xml:space="preserve">. </w:t>
      </w:r>
      <w:r w:rsidR="00E72D01" w:rsidRPr="00175A02">
        <w:rPr>
          <w:rFonts w:ascii="Arial" w:hAnsi="Arial" w:cs="Arial"/>
        </w:rPr>
        <w:t>Quintile</w:t>
      </w:r>
      <w:r w:rsidR="0083404D" w:rsidRPr="00175A02">
        <w:rPr>
          <w:rFonts w:ascii="Arial" w:hAnsi="Arial" w:cs="Arial"/>
        </w:rPr>
        <w:t xml:space="preserve"> ‘1’ indicates </w:t>
      </w:r>
      <w:r w:rsidR="00C734B0" w:rsidRPr="00175A02">
        <w:rPr>
          <w:rFonts w:ascii="Arial" w:hAnsi="Arial" w:cs="Arial"/>
        </w:rPr>
        <w:t xml:space="preserve">the </w:t>
      </w:r>
      <w:r w:rsidR="00E72D01" w:rsidRPr="00175A02">
        <w:rPr>
          <w:rFonts w:ascii="Arial" w:hAnsi="Arial" w:cs="Arial"/>
        </w:rPr>
        <w:t>least</w:t>
      </w:r>
      <w:r w:rsidR="00C734B0" w:rsidRPr="00175A02">
        <w:rPr>
          <w:rFonts w:ascii="Arial" w:hAnsi="Arial" w:cs="Arial"/>
        </w:rPr>
        <w:t xml:space="preserve"> disadvantaged neighbourhoods, </w:t>
      </w:r>
      <w:r w:rsidR="00AD7D70" w:rsidRPr="00175A02">
        <w:rPr>
          <w:rFonts w:ascii="Arial" w:hAnsi="Arial" w:cs="Arial"/>
        </w:rPr>
        <w:t xml:space="preserve">with </w:t>
      </w:r>
      <w:r w:rsidR="00E72D01" w:rsidRPr="00175A02">
        <w:rPr>
          <w:rFonts w:ascii="Arial" w:hAnsi="Arial" w:cs="Arial"/>
        </w:rPr>
        <w:t>quintile</w:t>
      </w:r>
      <w:r w:rsidR="00AD7D70" w:rsidRPr="00175A02">
        <w:rPr>
          <w:rFonts w:ascii="Arial" w:hAnsi="Arial" w:cs="Arial"/>
        </w:rPr>
        <w:t xml:space="preserve"> ‘5’ indicating the </w:t>
      </w:r>
      <w:r w:rsidR="00E72D01" w:rsidRPr="00175A02">
        <w:rPr>
          <w:rFonts w:ascii="Arial" w:hAnsi="Arial" w:cs="Arial"/>
        </w:rPr>
        <w:t>most</w:t>
      </w:r>
      <w:r w:rsidR="00C734B0" w:rsidRPr="00175A02">
        <w:rPr>
          <w:rFonts w:ascii="Arial" w:hAnsi="Arial" w:cs="Arial"/>
        </w:rPr>
        <w:t xml:space="preserve"> disadvantaged</w:t>
      </w:r>
      <w:r w:rsidR="00AD7D70" w:rsidRPr="00175A02">
        <w:rPr>
          <w:rFonts w:ascii="Arial" w:hAnsi="Arial" w:cs="Arial"/>
        </w:rPr>
        <w:t xml:space="preserve"> neighbourhoods. </w:t>
      </w:r>
    </w:p>
    <w:p w14:paraId="25D478A3" w14:textId="77777777" w:rsidR="00D04BF2" w:rsidRPr="00175A02" w:rsidRDefault="00D04BF2" w:rsidP="003B55BD">
      <w:pPr>
        <w:spacing w:after="0"/>
        <w:jc w:val="both"/>
        <w:rPr>
          <w:rFonts w:ascii="Arial" w:hAnsi="Arial" w:cs="Arial"/>
        </w:rPr>
      </w:pPr>
    </w:p>
    <w:p w14:paraId="2FB489A0" w14:textId="6447A18E" w:rsidR="001B33A5" w:rsidRPr="00175A02" w:rsidRDefault="001B33A5" w:rsidP="001B33A5">
      <w:pPr>
        <w:spacing w:after="0"/>
        <w:jc w:val="both"/>
        <w:rPr>
          <w:rFonts w:ascii="Arial" w:hAnsi="Arial" w:cs="Arial"/>
        </w:rPr>
      </w:pPr>
      <w:r w:rsidRPr="00175A02">
        <w:rPr>
          <w:rFonts w:ascii="Arial" w:hAnsi="Arial" w:cs="Arial"/>
          <w:b/>
          <w:i/>
        </w:rPr>
        <w:t>Service receipt</w:t>
      </w:r>
      <w:r w:rsidRPr="00175A02">
        <w:rPr>
          <w:rFonts w:ascii="Arial" w:hAnsi="Arial" w:cs="Arial"/>
          <w:i/>
        </w:rPr>
        <w:t>:</w:t>
      </w:r>
      <w:r w:rsidRPr="00175A02">
        <w:rPr>
          <w:rFonts w:ascii="Arial" w:hAnsi="Arial" w:cs="Arial"/>
        </w:rPr>
        <w:t xml:space="preserve"> We developed a brief questionnaire based on consultations with people affected by dementia and clinicians as part of a previous ongoing study. We asked all participants to state types and levels of social support service access, which were recorded in hours per week, including paid carers, support groups, social activities in the community, respite, day care centres, meal deliveries, befriending and accompanying services, and others, pre- (T1) and post- (T2) COVID-19 (measured as in a typical week before and since the UK lockdown on the 23</w:t>
      </w:r>
      <w:r w:rsidRPr="00175A02">
        <w:rPr>
          <w:rFonts w:ascii="Arial" w:hAnsi="Arial" w:cs="Arial"/>
          <w:vertAlign w:val="superscript"/>
        </w:rPr>
        <w:t>rd</w:t>
      </w:r>
      <w:r w:rsidRPr="00175A02">
        <w:rPr>
          <w:rFonts w:ascii="Arial" w:hAnsi="Arial" w:cs="Arial"/>
        </w:rPr>
        <w:t xml:space="preserve"> of March). </w:t>
      </w:r>
      <w:r w:rsidR="00C058BA" w:rsidRPr="00175A02">
        <w:rPr>
          <w:rFonts w:ascii="Arial" w:hAnsi="Arial" w:cs="Arial"/>
        </w:rPr>
        <w:t>From this data, we calculated a variable of variations in social support service usage, by calculating the difference in total weekly hours between T2 and T1.</w:t>
      </w:r>
    </w:p>
    <w:p w14:paraId="49FBE566" w14:textId="77777777" w:rsidR="00D04BF2" w:rsidRPr="00175A02" w:rsidRDefault="00D04BF2" w:rsidP="003B55BD">
      <w:pPr>
        <w:spacing w:after="0"/>
        <w:jc w:val="both"/>
        <w:rPr>
          <w:rFonts w:ascii="Arial" w:hAnsi="Arial" w:cs="Arial"/>
        </w:rPr>
      </w:pPr>
    </w:p>
    <w:p w14:paraId="2C0D1CFE" w14:textId="66F84F9A" w:rsidR="00297091" w:rsidRPr="00175A02" w:rsidRDefault="00D04BF2" w:rsidP="00F27771">
      <w:pPr>
        <w:jc w:val="both"/>
        <w:rPr>
          <w:rFonts w:ascii="Arial" w:hAnsi="Arial" w:cs="Arial"/>
        </w:rPr>
      </w:pPr>
      <w:r w:rsidRPr="00175A02">
        <w:rPr>
          <w:rFonts w:ascii="Arial" w:hAnsi="Arial" w:cs="Arial"/>
          <w:b/>
          <w:i/>
        </w:rPr>
        <w:t>Psychological measures:</w:t>
      </w:r>
      <w:r w:rsidRPr="00175A02">
        <w:rPr>
          <w:rFonts w:ascii="Arial" w:hAnsi="Arial" w:cs="Arial"/>
        </w:rPr>
        <w:t xml:space="preserve"> Participants were asked to complete</w:t>
      </w:r>
      <w:r w:rsidR="000A36B8" w:rsidRPr="00175A02">
        <w:rPr>
          <w:rFonts w:ascii="Arial" w:hAnsi="Arial" w:cs="Arial"/>
        </w:rPr>
        <w:t xml:space="preserve"> the following validated scales:</w:t>
      </w:r>
      <w:r w:rsidR="003071A0" w:rsidRPr="00175A02">
        <w:rPr>
          <w:rFonts w:ascii="Arial" w:hAnsi="Arial" w:cs="Arial"/>
        </w:rPr>
        <w:t xml:space="preserve"> </w:t>
      </w:r>
      <w:r w:rsidR="000A36B8" w:rsidRPr="00175A02">
        <w:rPr>
          <w:rFonts w:ascii="Arial" w:hAnsi="Arial" w:cs="Arial"/>
        </w:rPr>
        <w:t>T</w:t>
      </w:r>
      <w:r w:rsidR="00613D8E" w:rsidRPr="00175A02">
        <w:rPr>
          <w:rFonts w:ascii="Arial" w:hAnsi="Arial" w:cs="Arial"/>
        </w:rPr>
        <w:t xml:space="preserve">he Short </w:t>
      </w:r>
      <w:r w:rsidR="009B3FF7" w:rsidRPr="00175A02">
        <w:rPr>
          <w:rFonts w:ascii="Arial" w:hAnsi="Arial" w:cs="Arial"/>
        </w:rPr>
        <w:t>Warwick-Edinburgh Mental Well-Being Scale</w:t>
      </w:r>
      <w:r w:rsidR="00613D8E" w:rsidRPr="00175A02">
        <w:rPr>
          <w:rFonts w:ascii="Arial" w:hAnsi="Arial" w:cs="Arial"/>
        </w:rPr>
        <w:t xml:space="preserve"> (SWEMWBS</w:t>
      </w:r>
      <w:r w:rsidR="00A67503" w:rsidRPr="00175A02">
        <w:rPr>
          <w:rFonts w:ascii="Arial" w:hAnsi="Arial" w:cs="Arial"/>
        </w:rPr>
        <w:t>)</w:t>
      </w:r>
      <w:r w:rsidR="008B34E6" w:rsidRPr="00175A02">
        <w:rPr>
          <w:rFonts w:ascii="Arial" w:hAnsi="Arial" w:cs="Arial"/>
        </w:rPr>
        <w:t xml:space="preserve"> [1</w:t>
      </w:r>
      <w:r w:rsidR="004A028D" w:rsidRPr="00175A02">
        <w:rPr>
          <w:rFonts w:ascii="Arial" w:hAnsi="Arial" w:cs="Arial"/>
        </w:rPr>
        <w:t>5</w:t>
      </w:r>
      <w:r w:rsidR="008B34E6" w:rsidRPr="00175A02">
        <w:rPr>
          <w:rFonts w:ascii="Arial" w:hAnsi="Arial" w:cs="Arial"/>
        </w:rPr>
        <w:t>]</w:t>
      </w:r>
      <w:r w:rsidR="000A36B8" w:rsidRPr="00175A02">
        <w:rPr>
          <w:rFonts w:ascii="Arial" w:hAnsi="Arial" w:cs="Arial"/>
        </w:rPr>
        <w:t>; this</w:t>
      </w:r>
      <w:r w:rsidR="00A67503" w:rsidRPr="00175A02">
        <w:rPr>
          <w:rFonts w:ascii="Arial" w:hAnsi="Arial" w:cs="Arial"/>
        </w:rPr>
        <w:t xml:space="preserve"> measure</w:t>
      </w:r>
      <w:r w:rsidR="000A36B8" w:rsidRPr="00175A02">
        <w:rPr>
          <w:rFonts w:ascii="Arial" w:hAnsi="Arial" w:cs="Arial"/>
        </w:rPr>
        <w:t>s</w:t>
      </w:r>
      <w:r w:rsidR="00A67503" w:rsidRPr="00175A02">
        <w:rPr>
          <w:rFonts w:ascii="Arial" w:hAnsi="Arial" w:cs="Arial"/>
        </w:rPr>
        <w:t xml:space="preserve"> quality of life </w:t>
      </w:r>
      <w:r w:rsidR="00491558" w:rsidRPr="00175A02">
        <w:rPr>
          <w:rFonts w:ascii="Arial" w:hAnsi="Arial" w:cs="Arial"/>
        </w:rPr>
        <w:t xml:space="preserve">via </w:t>
      </w:r>
      <w:r w:rsidR="00F84D31" w:rsidRPr="00175A02">
        <w:rPr>
          <w:rFonts w:ascii="Arial" w:hAnsi="Arial" w:cs="Arial"/>
        </w:rPr>
        <w:t>seven</w:t>
      </w:r>
      <w:r w:rsidR="00491558" w:rsidRPr="00175A02">
        <w:rPr>
          <w:rFonts w:ascii="Arial" w:hAnsi="Arial" w:cs="Arial"/>
        </w:rPr>
        <w:t xml:space="preserve"> items on a </w:t>
      </w:r>
      <w:r w:rsidR="007708CD" w:rsidRPr="00175A02">
        <w:rPr>
          <w:rFonts w:ascii="Arial" w:hAnsi="Arial" w:cs="Arial"/>
        </w:rPr>
        <w:t>5</w:t>
      </w:r>
      <w:r w:rsidR="00491558" w:rsidRPr="00175A02">
        <w:rPr>
          <w:rFonts w:ascii="Arial" w:hAnsi="Arial" w:cs="Arial"/>
        </w:rPr>
        <w:t>-</w:t>
      </w:r>
      <w:r w:rsidR="007708CD" w:rsidRPr="00175A02">
        <w:rPr>
          <w:rFonts w:ascii="Arial" w:hAnsi="Arial" w:cs="Arial"/>
        </w:rPr>
        <w:t>point</w:t>
      </w:r>
      <w:r w:rsidR="00491558" w:rsidRPr="00175A02">
        <w:rPr>
          <w:rFonts w:ascii="Arial" w:hAnsi="Arial" w:cs="Arial"/>
        </w:rPr>
        <w:t xml:space="preserve"> Likert scale</w:t>
      </w:r>
      <w:r w:rsidR="007708CD" w:rsidRPr="00175A02">
        <w:rPr>
          <w:rFonts w:ascii="Arial" w:hAnsi="Arial" w:cs="Arial"/>
        </w:rPr>
        <w:t>, with higher scores indicating higher levels of well-being</w:t>
      </w:r>
      <w:r w:rsidR="00491558" w:rsidRPr="00175A02">
        <w:rPr>
          <w:rFonts w:ascii="Arial" w:hAnsi="Arial" w:cs="Arial"/>
        </w:rPr>
        <w:t xml:space="preserve">. </w:t>
      </w:r>
      <w:r w:rsidR="003B55BD" w:rsidRPr="00175A02">
        <w:rPr>
          <w:rFonts w:ascii="Arial" w:hAnsi="Arial" w:cs="Arial"/>
        </w:rPr>
        <w:t xml:space="preserve">The Generalised Anxiety Disorder 7 (GAD-7) </w:t>
      </w:r>
      <w:r w:rsidR="008B34E6" w:rsidRPr="00175A02">
        <w:rPr>
          <w:rFonts w:ascii="Arial" w:hAnsi="Arial" w:cs="Arial"/>
        </w:rPr>
        <w:t>[1</w:t>
      </w:r>
      <w:r w:rsidR="004A028D" w:rsidRPr="00175A02">
        <w:rPr>
          <w:rFonts w:ascii="Arial" w:hAnsi="Arial" w:cs="Arial"/>
        </w:rPr>
        <w:t>6</w:t>
      </w:r>
      <w:r w:rsidR="008B34E6" w:rsidRPr="00175A02">
        <w:rPr>
          <w:rFonts w:ascii="Arial" w:hAnsi="Arial" w:cs="Arial"/>
        </w:rPr>
        <w:t xml:space="preserve">] </w:t>
      </w:r>
      <w:r w:rsidR="000A36B8" w:rsidRPr="00175A02">
        <w:rPr>
          <w:rFonts w:ascii="Arial" w:hAnsi="Arial" w:cs="Arial"/>
        </w:rPr>
        <w:t xml:space="preserve">to measure </w:t>
      </w:r>
      <w:r w:rsidR="003B55BD" w:rsidRPr="00175A02">
        <w:rPr>
          <w:rFonts w:ascii="Arial" w:hAnsi="Arial" w:cs="Arial"/>
        </w:rPr>
        <w:t xml:space="preserve">anxiety in the past two weeks, with </w:t>
      </w:r>
      <w:r w:rsidR="00C20690" w:rsidRPr="00175A02">
        <w:rPr>
          <w:rFonts w:ascii="Arial" w:hAnsi="Arial" w:cs="Arial"/>
        </w:rPr>
        <w:t>higher scores indicating higher levels of anxiety</w:t>
      </w:r>
      <w:r w:rsidR="00AE74F8" w:rsidRPr="00175A02">
        <w:rPr>
          <w:rFonts w:ascii="Arial" w:hAnsi="Arial" w:cs="Arial"/>
        </w:rPr>
        <w:t xml:space="preserve">. </w:t>
      </w:r>
      <w:r w:rsidR="003B55BD" w:rsidRPr="00175A02">
        <w:rPr>
          <w:rFonts w:ascii="Arial" w:hAnsi="Arial" w:cs="Arial"/>
        </w:rPr>
        <w:t xml:space="preserve">The </w:t>
      </w:r>
      <w:r w:rsidR="00EE2354" w:rsidRPr="00175A02">
        <w:rPr>
          <w:rFonts w:ascii="Arial" w:hAnsi="Arial" w:cs="Arial"/>
        </w:rPr>
        <w:t xml:space="preserve">Personal Health Questionnaire 9 (PHQ-9) </w:t>
      </w:r>
      <w:r w:rsidR="008B34E6" w:rsidRPr="00175A02">
        <w:rPr>
          <w:rFonts w:ascii="Arial" w:hAnsi="Arial" w:cs="Arial"/>
        </w:rPr>
        <w:t>[1</w:t>
      </w:r>
      <w:r w:rsidR="004A028D" w:rsidRPr="00175A02">
        <w:rPr>
          <w:rFonts w:ascii="Arial" w:hAnsi="Arial" w:cs="Arial"/>
        </w:rPr>
        <w:t>7</w:t>
      </w:r>
      <w:r w:rsidR="008B34E6" w:rsidRPr="00175A02">
        <w:rPr>
          <w:rFonts w:ascii="Arial" w:hAnsi="Arial" w:cs="Arial"/>
        </w:rPr>
        <w:t xml:space="preserve">] </w:t>
      </w:r>
      <w:r w:rsidR="00EE2354" w:rsidRPr="00175A02">
        <w:rPr>
          <w:rFonts w:ascii="Arial" w:hAnsi="Arial" w:cs="Arial"/>
        </w:rPr>
        <w:t>measured levels of depression in the past two weeks</w:t>
      </w:r>
      <w:r w:rsidR="00F94469" w:rsidRPr="00175A02">
        <w:rPr>
          <w:rFonts w:ascii="Arial" w:hAnsi="Arial" w:cs="Arial"/>
        </w:rPr>
        <w:t xml:space="preserve">. </w:t>
      </w:r>
      <w:r w:rsidR="00C20690" w:rsidRPr="00175A02">
        <w:rPr>
          <w:rFonts w:ascii="Arial" w:hAnsi="Arial" w:cs="Arial"/>
        </w:rPr>
        <w:t>Higher scores indicate higher levels of depression</w:t>
      </w:r>
      <w:r w:rsidR="00F94469" w:rsidRPr="00175A02">
        <w:rPr>
          <w:rFonts w:ascii="Arial" w:hAnsi="Arial" w:cs="Arial"/>
        </w:rPr>
        <w:t xml:space="preserve">. </w:t>
      </w:r>
      <w:r w:rsidR="00D54F38" w:rsidRPr="00175A02">
        <w:rPr>
          <w:rFonts w:ascii="Arial" w:hAnsi="Arial" w:cs="Arial"/>
        </w:rPr>
        <w:t>A cut off score of 10 on the GAD-7 and the PHQ-9 indicate moderate anxiety and depression, respectively</w:t>
      </w:r>
      <w:r w:rsidR="00605F2A" w:rsidRPr="00175A02">
        <w:rPr>
          <w:rFonts w:ascii="Arial" w:hAnsi="Arial" w:cs="Arial"/>
        </w:rPr>
        <w:t xml:space="preserve"> </w:t>
      </w:r>
      <w:r w:rsidR="008B34E6" w:rsidRPr="00175A02">
        <w:rPr>
          <w:rFonts w:ascii="Arial" w:hAnsi="Arial" w:cs="Arial"/>
        </w:rPr>
        <w:t>[1</w:t>
      </w:r>
      <w:r w:rsidR="004A028D" w:rsidRPr="00175A02">
        <w:rPr>
          <w:rFonts w:ascii="Arial" w:hAnsi="Arial" w:cs="Arial"/>
        </w:rPr>
        <w:t>8</w:t>
      </w:r>
      <w:r w:rsidR="008B34E6" w:rsidRPr="00175A02">
        <w:rPr>
          <w:rFonts w:ascii="Arial" w:hAnsi="Arial" w:cs="Arial"/>
        </w:rPr>
        <w:t>]</w:t>
      </w:r>
      <w:r w:rsidR="00D54F38" w:rsidRPr="00175A02">
        <w:rPr>
          <w:rFonts w:ascii="Arial" w:hAnsi="Arial" w:cs="Arial"/>
        </w:rPr>
        <w:t xml:space="preserve">. </w:t>
      </w:r>
    </w:p>
    <w:p w14:paraId="294FFED7" w14:textId="77777777" w:rsidR="00710AD3" w:rsidRPr="00175A02" w:rsidRDefault="00710AD3" w:rsidP="00710AD3">
      <w:pPr>
        <w:spacing w:after="0"/>
        <w:jc w:val="both"/>
        <w:rPr>
          <w:rFonts w:ascii="Arial" w:hAnsi="Arial" w:cs="Arial"/>
          <w:b/>
        </w:rPr>
      </w:pPr>
      <w:r w:rsidRPr="00175A02">
        <w:rPr>
          <w:rFonts w:ascii="Arial" w:hAnsi="Arial" w:cs="Arial"/>
          <w:b/>
        </w:rPr>
        <w:t>Data collection</w:t>
      </w:r>
    </w:p>
    <w:p w14:paraId="7CF04476" w14:textId="522E51CE" w:rsidR="00710AD3" w:rsidRPr="00175A02" w:rsidRDefault="00710AD3" w:rsidP="00710AD3">
      <w:pPr>
        <w:jc w:val="both"/>
        <w:rPr>
          <w:rFonts w:ascii="Arial" w:hAnsi="Arial" w:cs="Arial"/>
        </w:rPr>
      </w:pPr>
      <w:r w:rsidRPr="00175A02">
        <w:rPr>
          <w:rFonts w:ascii="Arial" w:hAnsi="Arial" w:cs="Arial"/>
        </w:rPr>
        <w:t xml:space="preserve">The survey could be completed either online or via phone with a research team member who completed the online survey with details provided by the participant. The current data </w:t>
      </w:r>
      <w:r w:rsidR="00B60975" w:rsidRPr="00175A02">
        <w:rPr>
          <w:rFonts w:ascii="Arial" w:hAnsi="Arial" w:cs="Arial"/>
        </w:rPr>
        <w:t>are</w:t>
      </w:r>
      <w:r w:rsidRPr="00175A02">
        <w:rPr>
          <w:rFonts w:ascii="Arial" w:hAnsi="Arial" w:cs="Arial"/>
        </w:rPr>
        <w:t xml:space="preserve"> from </w:t>
      </w:r>
      <w:r w:rsidRPr="00175A02">
        <w:rPr>
          <w:rFonts w:ascii="Arial" w:hAnsi="Arial" w:cs="Arial"/>
        </w:rPr>
        <w:lastRenderedPageBreak/>
        <w:t>the baseline of an ongoing, longitudinal survey.</w:t>
      </w:r>
      <w:r w:rsidR="003D7433" w:rsidRPr="00175A02">
        <w:rPr>
          <w:rFonts w:ascii="Arial" w:hAnsi="Arial" w:cs="Arial"/>
        </w:rPr>
        <w:t xml:space="preserve"> Data were collected from </w:t>
      </w:r>
      <w:r w:rsidR="0072413C" w:rsidRPr="00175A02">
        <w:rPr>
          <w:rFonts w:ascii="Arial" w:hAnsi="Arial" w:cs="Arial"/>
        </w:rPr>
        <w:t>17</w:t>
      </w:r>
      <w:r w:rsidR="0072413C" w:rsidRPr="00175A02">
        <w:rPr>
          <w:rFonts w:ascii="Arial" w:hAnsi="Arial" w:cs="Arial"/>
          <w:vertAlign w:val="superscript"/>
        </w:rPr>
        <w:t>th</w:t>
      </w:r>
      <w:r w:rsidR="0072413C" w:rsidRPr="00175A02">
        <w:rPr>
          <w:rFonts w:ascii="Arial" w:hAnsi="Arial" w:cs="Arial"/>
        </w:rPr>
        <w:t xml:space="preserve"> </w:t>
      </w:r>
      <w:r w:rsidR="003D7433" w:rsidRPr="00175A02">
        <w:rPr>
          <w:rFonts w:ascii="Arial" w:hAnsi="Arial" w:cs="Arial"/>
        </w:rPr>
        <w:t xml:space="preserve">April to </w:t>
      </w:r>
      <w:r w:rsidR="0072413C" w:rsidRPr="00175A02">
        <w:rPr>
          <w:rFonts w:ascii="Arial" w:hAnsi="Arial" w:cs="Arial"/>
        </w:rPr>
        <w:t>15</w:t>
      </w:r>
      <w:r w:rsidR="0072413C" w:rsidRPr="00175A02">
        <w:rPr>
          <w:rFonts w:ascii="Arial" w:hAnsi="Arial" w:cs="Arial"/>
          <w:vertAlign w:val="superscript"/>
        </w:rPr>
        <w:t>th</w:t>
      </w:r>
      <w:r w:rsidR="0072413C" w:rsidRPr="00175A02">
        <w:rPr>
          <w:rFonts w:ascii="Arial" w:hAnsi="Arial" w:cs="Arial"/>
        </w:rPr>
        <w:t xml:space="preserve"> </w:t>
      </w:r>
      <w:r w:rsidR="003D7433" w:rsidRPr="00175A02">
        <w:rPr>
          <w:rFonts w:ascii="Arial" w:hAnsi="Arial" w:cs="Arial"/>
        </w:rPr>
        <w:t>May.</w:t>
      </w:r>
      <w:r w:rsidRPr="00175A02">
        <w:rPr>
          <w:rFonts w:ascii="Arial" w:hAnsi="Arial" w:cs="Arial"/>
        </w:rPr>
        <w:t xml:space="preserve"> </w:t>
      </w:r>
      <w:r w:rsidR="007504DC" w:rsidRPr="00175A02">
        <w:rPr>
          <w:rFonts w:ascii="Arial" w:hAnsi="Arial" w:cs="Arial"/>
        </w:rPr>
        <w:t>We obtained ethical approval from the University of Liverpool prior to study begin [Ref: 7</w:t>
      </w:r>
      <w:r w:rsidR="00434FBB" w:rsidRPr="00175A02">
        <w:rPr>
          <w:rFonts w:ascii="Arial" w:hAnsi="Arial" w:cs="Arial"/>
        </w:rPr>
        <w:t>626</w:t>
      </w:r>
      <w:r w:rsidR="007504DC" w:rsidRPr="00175A02">
        <w:rPr>
          <w:rFonts w:ascii="Arial" w:hAnsi="Arial" w:cs="Arial"/>
        </w:rPr>
        <w:t>].</w:t>
      </w:r>
    </w:p>
    <w:p w14:paraId="69A71F7A" w14:textId="3EEE658F" w:rsidR="00FF310C" w:rsidRPr="00175A02" w:rsidRDefault="00FF310C" w:rsidP="00A67503">
      <w:pPr>
        <w:spacing w:after="0"/>
        <w:jc w:val="both"/>
        <w:rPr>
          <w:rFonts w:ascii="Arial" w:hAnsi="Arial" w:cs="Arial"/>
          <w:b/>
        </w:rPr>
      </w:pPr>
      <w:r w:rsidRPr="00175A02">
        <w:rPr>
          <w:rFonts w:ascii="Arial" w:hAnsi="Arial" w:cs="Arial"/>
          <w:b/>
        </w:rPr>
        <w:t>Data analysis</w:t>
      </w:r>
    </w:p>
    <w:p w14:paraId="21593A95" w14:textId="778A60EC" w:rsidR="00174657" w:rsidRPr="00175A02" w:rsidRDefault="000A36B8" w:rsidP="003D3F42">
      <w:pPr>
        <w:spacing w:after="0"/>
        <w:jc w:val="both"/>
        <w:rPr>
          <w:rFonts w:ascii="Arial" w:hAnsi="Arial" w:cs="Arial"/>
        </w:rPr>
      </w:pPr>
      <w:r w:rsidRPr="00175A02">
        <w:rPr>
          <w:rFonts w:ascii="Arial" w:hAnsi="Arial" w:cs="Arial"/>
        </w:rPr>
        <w:t>We used</w:t>
      </w:r>
      <w:r w:rsidR="009F29A7" w:rsidRPr="00175A02">
        <w:rPr>
          <w:rFonts w:ascii="Arial" w:hAnsi="Arial" w:cs="Arial"/>
        </w:rPr>
        <w:t xml:space="preserve"> SPSS 25</w:t>
      </w:r>
      <w:r w:rsidRPr="00175A02">
        <w:rPr>
          <w:rFonts w:ascii="Arial" w:hAnsi="Arial" w:cs="Arial"/>
        </w:rPr>
        <w:t xml:space="preserve"> to analyse data</w:t>
      </w:r>
      <w:r w:rsidR="009F29A7" w:rsidRPr="00175A02">
        <w:rPr>
          <w:rFonts w:ascii="Arial" w:hAnsi="Arial" w:cs="Arial"/>
        </w:rPr>
        <w:t xml:space="preserve">. </w:t>
      </w:r>
      <w:r w:rsidRPr="00175A02">
        <w:rPr>
          <w:rFonts w:ascii="Arial" w:hAnsi="Arial" w:cs="Arial"/>
        </w:rPr>
        <w:t>We used standard summary statistics to describe the data.</w:t>
      </w:r>
      <w:r w:rsidR="00A67503" w:rsidRPr="00175A02">
        <w:rPr>
          <w:rFonts w:ascii="Arial" w:hAnsi="Arial" w:cs="Arial"/>
        </w:rPr>
        <w:t xml:space="preserve"> </w:t>
      </w:r>
      <w:r w:rsidR="009F29A7" w:rsidRPr="00175A02">
        <w:rPr>
          <w:rFonts w:ascii="Arial" w:hAnsi="Arial" w:cs="Arial"/>
        </w:rPr>
        <w:t>A p</w:t>
      </w:r>
      <w:r w:rsidR="005F2507" w:rsidRPr="00175A02">
        <w:rPr>
          <w:rFonts w:ascii="Arial" w:hAnsi="Arial" w:cs="Arial"/>
        </w:rPr>
        <w:t>ai</w:t>
      </w:r>
      <w:r w:rsidR="00DE609F" w:rsidRPr="00175A02">
        <w:rPr>
          <w:rFonts w:ascii="Arial" w:hAnsi="Arial" w:cs="Arial"/>
        </w:rPr>
        <w:t>red samples t-test was used to compare the mean in hours of social support service usage before and since C</w:t>
      </w:r>
      <w:r w:rsidR="009F29A7" w:rsidRPr="00175A02">
        <w:rPr>
          <w:rFonts w:ascii="Arial" w:hAnsi="Arial" w:cs="Arial"/>
        </w:rPr>
        <w:t>OVID</w:t>
      </w:r>
      <w:r w:rsidR="00DE609F" w:rsidRPr="00175A02">
        <w:rPr>
          <w:rFonts w:ascii="Arial" w:hAnsi="Arial" w:cs="Arial"/>
        </w:rPr>
        <w:t xml:space="preserve">. </w:t>
      </w:r>
      <w:r w:rsidR="001C506F" w:rsidRPr="00175A02">
        <w:rPr>
          <w:rFonts w:ascii="Arial" w:hAnsi="Arial" w:cs="Arial"/>
        </w:rPr>
        <w:t xml:space="preserve">A </w:t>
      </w:r>
      <w:r w:rsidR="009F29A7" w:rsidRPr="00175A02">
        <w:rPr>
          <w:rFonts w:ascii="Arial" w:hAnsi="Arial" w:cs="Arial"/>
        </w:rPr>
        <w:t>Chi-square test w</w:t>
      </w:r>
      <w:r w:rsidR="001C506F" w:rsidRPr="00175A02">
        <w:rPr>
          <w:rFonts w:ascii="Arial" w:hAnsi="Arial" w:cs="Arial"/>
        </w:rPr>
        <w:t>as</w:t>
      </w:r>
      <w:r w:rsidR="009F29A7" w:rsidRPr="00175A02">
        <w:rPr>
          <w:rFonts w:ascii="Arial" w:hAnsi="Arial" w:cs="Arial"/>
        </w:rPr>
        <w:t xml:space="preserve"> used to compare the number of people having used </w:t>
      </w:r>
      <w:r w:rsidR="00FA60A0" w:rsidRPr="00175A02">
        <w:rPr>
          <w:rFonts w:ascii="Arial" w:hAnsi="Arial" w:cs="Arial"/>
        </w:rPr>
        <w:t>no</w:t>
      </w:r>
      <w:r w:rsidR="009F29A7" w:rsidRPr="00175A02">
        <w:rPr>
          <w:rFonts w:ascii="Arial" w:hAnsi="Arial" w:cs="Arial"/>
        </w:rPr>
        <w:t xml:space="preserve"> social support services </w:t>
      </w:r>
      <w:r w:rsidR="001C506F" w:rsidRPr="00175A02">
        <w:rPr>
          <w:rFonts w:ascii="Arial" w:hAnsi="Arial" w:cs="Arial"/>
        </w:rPr>
        <w:t>at T1 and T2</w:t>
      </w:r>
      <w:r w:rsidR="009F29A7" w:rsidRPr="00175A02">
        <w:rPr>
          <w:rFonts w:ascii="Arial" w:hAnsi="Arial" w:cs="Arial"/>
        </w:rPr>
        <w:t>.</w:t>
      </w:r>
      <w:r w:rsidR="001C506F" w:rsidRPr="00175A02">
        <w:rPr>
          <w:rFonts w:ascii="Arial" w:hAnsi="Arial" w:cs="Arial"/>
        </w:rPr>
        <w:t xml:space="preserve"> To assess </w:t>
      </w:r>
      <w:proofErr w:type="spellStart"/>
      <w:r w:rsidR="001C506F" w:rsidRPr="00175A02">
        <w:rPr>
          <w:rFonts w:ascii="Arial" w:hAnsi="Arial" w:cs="Arial"/>
        </w:rPr>
        <w:t>caseness</w:t>
      </w:r>
      <w:proofErr w:type="spellEnd"/>
      <w:r w:rsidR="001C506F" w:rsidRPr="00175A02">
        <w:rPr>
          <w:rFonts w:ascii="Arial" w:hAnsi="Arial" w:cs="Arial"/>
        </w:rPr>
        <w:t xml:space="preserve"> of anxiety and depression, the cut off score for the GAD-7 and the PHQ-9 were employed to categorise participants into those with (‘1’) and without (‘0’) anxiety and depression. </w:t>
      </w:r>
      <w:r w:rsidR="00A6358A" w:rsidRPr="00175A02">
        <w:rPr>
          <w:rFonts w:ascii="Arial" w:hAnsi="Arial" w:cs="Arial"/>
        </w:rPr>
        <w:t xml:space="preserve">For each group (PLWD, </w:t>
      </w:r>
      <w:r w:rsidR="001C506F" w:rsidRPr="00175A02">
        <w:rPr>
          <w:rFonts w:ascii="Arial" w:hAnsi="Arial" w:cs="Arial"/>
        </w:rPr>
        <w:t>unpaid</w:t>
      </w:r>
      <w:r w:rsidR="00E72D01" w:rsidRPr="00175A02">
        <w:rPr>
          <w:rFonts w:ascii="Arial" w:hAnsi="Arial" w:cs="Arial"/>
        </w:rPr>
        <w:t xml:space="preserve"> carers, </w:t>
      </w:r>
      <w:r w:rsidR="00A6358A" w:rsidRPr="00175A02">
        <w:rPr>
          <w:rFonts w:ascii="Arial" w:hAnsi="Arial" w:cs="Arial"/>
        </w:rPr>
        <w:t xml:space="preserve">older adults), </w:t>
      </w:r>
      <w:r w:rsidR="001C506F" w:rsidRPr="00175A02">
        <w:rPr>
          <w:rFonts w:ascii="Arial" w:hAnsi="Arial" w:cs="Arial"/>
        </w:rPr>
        <w:t>m</w:t>
      </w:r>
      <w:r w:rsidR="009A3F38" w:rsidRPr="00175A02">
        <w:rPr>
          <w:rFonts w:ascii="Arial" w:hAnsi="Arial" w:cs="Arial"/>
        </w:rPr>
        <w:t>ultiple regression</w:t>
      </w:r>
      <w:r w:rsidR="00037834" w:rsidRPr="00175A02">
        <w:rPr>
          <w:rFonts w:ascii="Arial" w:hAnsi="Arial" w:cs="Arial"/>
        </w:rPr>
        <w:t xml:space="preserve"> analyses were employed w</w:t>
      </w:r>
      <w:r w:rsidR="00FE2C4D" w:rsidRPr="00175A02">
        <w:rPr>
          <w:rFonts w:ascii="Arial" w:hAnsi="Arial" w:cs="Arial"/>
        </w:rPr>
        <w:t>h</w:t>
      </w:r>
      <w:r w:rsidR="00037834" w:rsidRPr="00175A02">
        <w:rPr>
          <w:rFonts w:ascii="Arial" w:hAnsi="Arial" w:cs="Arial"/>
        </w:rPr>
        <w:t xml:space="preserve">ere variations in hours of social support service usage </w:t>
      </w:r>
      <w:r w:rsidR="00FE2C4D" w:rsidRPr="00175A02">
        <w:rPr>
          <w:rFonts w:ascii="Arial" w:hAnsi="Arial" w:cs="Arial"/>
        </w:rPr>
        <w:t xml:space="preserve">were </w:t>
      </w:r>
      <w:r w:rsidR="001C506F" w:rsidRPr="00175A02">
        <w:rPr>
          <w:rFonts w:ascii="Arial" w:hAnsi="Arial" w:cs="Arial"/>
        </w:rPr>
        <w:t xml:space="preserve">found to be </w:t>
      </w:r>
      <w:r w:rsidR="00037834" w:rsidRPr="00175A02">
        <w:rPr>
          <w:rFonts w:ascii="Arial" w:hAnsi="Arial" w:cs="Arial"/>
        </w:rPr>
        <w:t xml:space="preserve">significantly </w:t>
      </w:r>
      <w:r w:rsidR="00FE2C4D" w:rsidRPr="00175A02">
        <w:rPr>
          <w:rFonts w:ascii="Arial" w:hAnsi="Arial" w:cs="Arial"/>
        </w:rPr>
        <w:t xml:space="preserve">correlated with </w:t>
      </w:r>
      <w:r w:rsidR="001C506F" w:rsidRPr="00175A02">
        <w:rPr>
          <w:rFonts w:ascii="Arial" w:hAnsi="Arial" w:cs="Arial"/>
        </w:rPr>
        <w:t xml:space="preserve">the continuous measures of </w:t>
      </w:r>
      <w:r w:rsidR="00FE2C4D" w:rsidRPr="00175A02">
        <w:rPr>
          <w:rFonts w:ascii="Arial" w:hAnsi="Arial" w:cs="Arial"/>
        </w:rPr>
        <w:t>SWEMWBS, GAD-7, and PHQ-9</w:t>
      </w:r>
      <w:r w:rsidR="001C506F" w:rsidRPr="00175A02">
        <w:rPr>
          <w:rFonts w:ascii="Arial" w:hAnsi="Arial" w:cs="Arial"/>
        </w:rPr>
        <w:t>, via previously conducted bivariate correlation analysis</w:t>
      </w:r>
      <w:r w:rsidR="00037834" w:rsidRPr="00175A02">
        <w:rPr>
          <w:rFonts w:ascii="Arial" w:hAnsi="Arial" w:cs="Arial"/>
        </w:rPr>
        <w:t>.</w:t>
      </w:r>
      <w:r w:rsidR="007E2AA4" w:rsidRPr="00175A02">
        <w:rPr>
          <w:rFonts w:ascii="Arial" w:hAnsi="Arial" w:cs="Arial"/>
        </w:rPr>
        <w:t xml:space="preserve"> Dummy variables were created for IMD quintiles, with Quintile 5 (most disadvantaged) as the reference category.</w:t>
      </w:r>
      <w:r w:rsidR="00037834" w:rsidRPr="00175A02">
        <w:rPr>
          <w:rFonts w:ascii="Arial" w:hAnsi="Arial" w:cs="Arial"/>
        </w:rPr>
        <w:t xml:space="preserve"> </w:t>
      </w:r>
      <w:r w:rsidR="00681DEA" w:rsidRPr="00175A02">
        <w:rPr>
          <w:rFonts w:ascii="Arial" w:hAnsi="Arial" w:cs="Arial"/>
        </w:rPr>
        <w:t>We</w:t>
      </w:r>
      <w:r w:rsidR="00037834" w:rsidRPr="00175A02">
        <w:rPr>
          <w:rFonts w:ascii="Arial" w:hAnsi="Arial" w:cs="Arial"/>
        </w:rPr>
        <w:t xml:space="preserve"> included age, gender, living situation, years of education, </w:t>
      </w:r>
      <w:r w:rsidR="00FE2C4D" w:rsidRPr="00175A02">
        <w:rPr>
          <w:rFonts w:ascii="Arial" w:hAnsi="Arial" w:cs="Arial"/>
        </w:rPr>
        <w:t>and IMD quintile</w:t>
      </w:r>
      <w:r w:rsidR="007E2AA4" w:rsidRPr="00175A02">
        <w:rPr>
          <w:rFonts w:ascii="Arial" w:hAnsi="Arial" w:cs="Arial"/>
        </w:rPr>
        <w:t>s</w:t>
      </w:r>
      <w:r w:rsidR="00FE2C4D" w:rsidRPr="00175A02">
        <w:rPr>
          <w:rFonts w:ascii="Arial" w:hAnsi="Arial" w:cs="Arial"/>
        </w:rPr>
        <w:t xml:space="preserve"> </w:t>
      </w:r>
      <w:r w:rsidR="00681DEA" w:rsidRPr="00175A02">
        <w:rPr>
          <w:rFonts w:ascii="Arial" w:hAnsi="Arial" w:cs="Arial"/>
        </w:rPr>
        <w:t>in regression analyses as covariates</w:t>
      </w:r>
      <w:r w:rsidR="00FE2C4D" w:rsidRPr="00175A02">
        <w:rPr>
          <w:rFonts w:ascii="Arial" w:hAnsi="Arial" w:cs="Arial"/>
        </w:rPr>
        <w:t>, whilst checking for multi-collinearity.</w:t>
      </w:r>
      <w:r w:rsidR="00130530" w:rsidRPr="00175A02">
        <w:rPr>
          <w:rFonts w:ascii="Arial" w:hAnsi="Arial" w:cs="Arial"/>
        </w:rPr>
        <w:t xml:space="preserve"> </w:t>
      </w:r>
    </w:p>
    <w:p w14:paraId="12B5473B" w14:textId="60628630" w:rsidR="003D3F42" w:rsidRPr="00175A02" w:rsidRDefault="003D3F42" w:rsidP="00144391">
      <w:pPr>
        <w:jc w:val="both"/>
        <w:rPr>
          <w:rFonts w:ascii="Arial" w:hAnsi="Arial" w:cs="Arial"/>
        </w:rPr>
      </w:pPr>
      <w:r w:rsidRPr="00175A02">
        <w:rPr>
          <w:rFonts w:ascii="Arial" w:hAnsi="Arial" w:cs="Arial"/>
        </w:rPr>
        <w:tab/>
        <w:t>Participants with complete missing data on the PHQ-9, GAD-7, and SWEMWBS were removed from the total sample. There were no cases with only one or two items missing on the scale, but instead the entire questionnaire was incomplete.</w:t>
      </w:r>
    </w:p>
    <w:p w14:paraId="02F920E8" w14:textId="2289B106" w:rsidR="00174657" w:rsidRPr="00175A02" w:rsidRDefault="00174657" w:rsidP="00144391">
      <w:pPr>
        <w:jc w:val="both"/>
        <w:rPr>
          <w:rFonts w:ascii="Arial" w:hAnsi="Arial" w:cs="Arial"/>
          <w:b/>
          <w:sz w:val="24"/>
        </w:rPr>
      </w:pPr>
      <w:r w:rsidRPr="00175A02">
        <w:rPr>
          <w:rFonts w:ascii="Arial" w:hAnsi="Arial" w:cs="Arial"/>
          <w:b/>
          <w:sz w:val="24"/>
        </w:rPr>
        <w:t>Results</w:t>
      </w:r>
    </w:p>
    <w:p w14:paraId="4104E5FD" w14:textId="5B6A0F43" w:rsidR="00174657" w:rsidRPr="00175A02" w:rsidRDefault="00174657" w:rsidP="00174657">
      <w:pPr>
        <w:spacing w:after="0"/>
        <w:jc w:val="both"/>
        <w:rPr>
          <w:rFonts w:ascii="Arial" w:hAnsi="Arial" w:cs="Arial"/>
          <w:b/>
        </w:rPr>
      </w:pPr>
      <w:r w:rsidRPr="00175A02">
        <w:rPr>
          <w:rFonts w:ascii="Arial" w:hAnsi="Arial" w:cs="Arial"/>
          <w:b/>
        </w:rPr>
        <w:t>Demographic characteristics</w:t>
      </w:r>
    </w:p>
    <w:p w14:paraId="0ED855FC" w14:textId="39BEFD5D" w:rsidR="00174657" w:rsidRPr="00175A02" w:rsidRDefault="0078291A" w:rsidP="005B60B5">
      <w:pPr>
        <w:spacing w:after="0"/>
        <w:jc w:val="both"/>
        <w:rPr>
          <w:rFonts w:ascii="Arial" w:hAnsi="Arial" w:cs="Arial"/>
        </w:rPr>
      </w:pPr>
      <w:r w:rsidRPr="00175A02">
        <w:rPr>
          <w:rFonts w:ascii="Arial" w:hAnsi="Arial" w:cs="Arial"/>
        </w:rPr>
        <w:t>660 people participated in the survey, of which 25 were duplicates and 66 had large numbers of missing data, resulting in 569 participant cases included in this study (</w:t>
      </w:r>
      <w:r w:rsidR="00083FD3" w:rsidRPr="00175A02">
        <w:rPr>
          <w:rFonts w:ascii="Arial" w:hAnsi="Arial" w:cs="Arial"/>
        </w:rPr>
        <w:t>61</w:t>
      </w:r>
      <w:r w:rsidRPr="00175A02">
        <w:rPr>
          <w:rFonts w:ascii="Arial" w:hAnsi="Arial" w:cs="Arial"/>
        </w:rPr>
        <w:t xml:space="preserve"> PLWD; </w:t>
      </w:r>
      <w:r w:rsidR="00083FD3" w:rsidRPr="00175A02">
        <w:rPr>
          <w:rFonts w:ascii="Arial" w:hAnsi="Arial" w:cs="Arial"/>
        </w:rPr>
        <w:t>219</w:t>
      </w:r>
      <w:r w:rsidRPr="00175A02">
        <w:rPr>
          <w:rFonts w:ascii="Arial" w:hAnsi="Arial" w:cs="Arial"/>
        </w:rPr>
        <w:t xml:space="preserve"> current carers; </w:t>
      </w:r>
      <w:r w:rsidR="00083FD3" w:rsidRPr="00175A02">
        <w:rPr>
          <w:rFonts w:ascii="Arial" w:hAnsi="Arial" w:cs="Arial"/>
        </w:rPr>
        <w:t>66</w:t>
      </w:r>
      <w:r w:rsidRPr="00175A02">
        <w:rPr>
          <w:rFonts w:ascii="Arial" w:hAnsi="Arial" w:cs="Arial"/>
        </w:rPr>
        <w:t xml:space="preserve"> former carers; 2</w:t>
      </w:r>
      <w:r w:rsidR="00083FD3" w:rsidRPr="00175A02">
        <w:rPr>
          <w:rFonts w:ascii="Arial" w:hAnsi="Arial" w:cs="Arial"/>
        </w:rPr>
        <w:t>23</w:t>
      </w:r>
      <w:r w:rsidRPr="00175A02">
        <w:rPr>
          <w:rFonts w:ascii="Arial" w:hAnsi="Arial" w:cs="Arial"/>
        </w:rPr>
        <w:t xml:space="preserve"> older adults). </w:t>
      </w:r>
      <w:r w:rsidR="00586266" w:rsidRPr="00175A02">
        <w:rPr>
          <w:rFonts w:ascii="Arial" w:hAnsi="Arial" w:cs="Arial"/>
        </w:rPr>
        <w:t>The majority of participants completed the survey online (</w:t>
      </w:r>
      <w:r w:rsidR="00314DE3" w:rsidRPr="00175A02">
        <w:rPr>
          <w:rFonts w:ascii="Arial" w:hAnsi="Arial" w:cs="Arial"/>
        </w:rPr>
        <w:t>93.5</w:t>
      </w:r>
      <w:r w:rsidR="00586266" w:rsidRPr="00175A02">
        <w:rPr>
          <w:rFonts w:ascii="Arial" w:hAnsi="Arial" w:cs="Arial"/>
        </w:rPr>
        <w:t>%).</w:t>
      </w:r>
    </w:p>
    <w:p w14:paraId="31AAE762" w14:textId="12340BBD" w:rsidR="00A71ADC" w:rsidRPr="00175A02" w:rsidRDefault="005B60B5" w:rsidP="005B60B5">
      <w:pPr>
        <w:ind w:firstLine="720"/>
        <w:jc w:val="both"/>
        <w:rPr>
          <w:rFonts w:ascii="Arial" w:hAnsi="Arial" w:cs="Arial"/>
        </w:rPr>
      </w:pPr>
      <w:r w:rsidRPr="00175A02">
        <w:rPr>
          <w:rFonts w:ascii="Arial" w:hAnsi="Arial" w:cs="Arial"/>
        </w:rPr>
        <w:t>The majority of participants were female (</w:t>
      </w:r>
      <w:r w:rsidR="00D64DBA" w:rsidRPr="00175A02">
        <w:rPr>
          <w:rFonts w:ascii="Arial" w:hAnsi="Arial" w:cs="Arial"/>
        </w:rPr>
        <w:t>68</w:t>
      </w:r>
      <w:r w:rsidRPr="00175A02">
        <w:rPr>
          <w:rFonts w:ascii="Arial" w:hAnsi="Arial" w:cs="Arial"/>
        </w:rPr>
        <w:t xml:space="preserve">%) and from a White ethnic background (97%) lived with </w:t>
      </w:r>
      <w:r w:rsidR="00687276" w:rsidRPr="00175A02">
        <w:rPr>
          <w:rFonts w:ascii="Arial" w:hAnsi="Arial" w:cs="Arial"/>
        </w:rPr>
        <w:t>other(s)</w:t>
      </w:r>
      <w:r w:rsidRPr="00175A02">
        <w:rPr>
          <w:rFonts w:ascii="Arial" w:hAnsi="Arial" w:cs="Arial"/>
        </w:rPr>
        <w:t xml:space="preserve"> (74%) and were retired (71%), with more participants living in less disadvantaged as opposed to more disadvantaged neighbourhoods, as measured by the IMD </w:t>
      </w:r>
      <w:r w:rsidR="008F7198" w:rsidRPr="00175A02">
        <w:rPr>
          <w:rFonts w:ascii="Arial" w:hAnsi="Arial" w:cs="Arial"/>
        </w:rPr>
        <w:t>score</w:t>
      </w:r>
      <w:r w:rsidRPr="00175A02">
        <w:rPr>
          <w:rFonts w:ascii="Arial" w:hAnsi="Arial" w:cs="Arial"/>
        </w:rPr>
        <w:t xml:space="preserve">. Most PLWD lived with and carers (had) cared for someone living with Alzheimer’s disease dementia (41%), followed by mixed (23%) and vascular dementia (14%). PLWD and carers were on average </w:t>
      </w:r>
      <w:r w:rsidR="00CB178D" w:rsidRPr="00175A02">
        <w:rPr>
          <w:rFonts w:ascii="Arial" w:hAnsi="Arial" w:cs="Arial"/>
        </w:rPr>
        <w:t>70</w:t>
      </w:r>
      <w:r w:rsidRPr="00175A02">
        <w:rPr>
          <w:rFonts w:ascii="Arial" w:hAnsi="Arial" w:cs="Arial"/>
        </w:rPr>
        <w:t xml:space="preserve"> (+/-10) and 6</w:t>
      </w:r>
      <w:r w:rsidR="00CB178D" w:rsidRPr="00175A02">
        <w:rPr>
          <w:rFonts w:ascii="Arial" w:hAnsi="Arial" w:cs="Arial"/>
        </w:rPr>
        <w:t>1</w:t>
      </w:r>
      <w:r w:rsidRPr="00175A02">
        <w:rPr>
          <w:rFonts w:ascii="Arial" w:hAnsi="Arial" w:cs="Arial"/>
        </w:rPr>
        <w:t xml:space="preserve"> (+/-13) years of age, respectively, with </w:t>
      </w:r>
      <w:r w:rsidR="00687276" w:rsidRPr="00175A02">
        <w:rPr>
          <w:rFonts w:ascii="Arial" w:hAnsi="Arial" w:cs="Arial"/>
        </w:rPr>
        <w:t xml:space="preserve">the group of </w:t>
      </w:r>
      <w:r w:rsidRPr="00175A02">
        <w:rPr>
          <w:rFonts w:ascii="Arial" w:hAnsi="Arial" w:cs="Arial"/>
        </w:rPr>
        <w:t xml:space="preserve">older adults </w:t>
      </w:r>
      <w:r w:rsidR="00687276" w:rsidRPr="00175A02">
        <w:rPr>
          <w:rFonts w:ascii="Arial" w:hAnsi="Arial" w:cs="Arial"/>
        </w:rPr>
        <w:t>interviewed who did not identify as living with dementia or being a carer for a person with dementia, having a</w:t>
      </w:r>
      <w:r w:rsidRPr="00175A02">
        <w:rPr>
          <w:rFonts w:ascii="Arial" w:hAnsi="Arial" w:cs="Arial"/>
        </w:rPr>
        <w:t>n average</w:t>
      </w:r>
      <w:r w:rsidR="00687276" w:rsidRPr="00175A02">
        <w:rPr>
          <w:rFonts w:ascii="Arial" w:hAnsi="Arial" w:cs="Arial"/>
        </w:rPr>
        <w:t xml:space="preserve"> age of</w:t>
      </w:r>
      <w:r w:rsidRPr="00175A02">
        <w:rPr>
          <w:rFonts w:ascii="Arial" w:hAnsi="Arial" w:cs="Arial"/>
        </w:rPr>
        <w:t xml:space="preserve"> 72 (+/-6). </w:t>
      </w:r>
      <w:r w:rsidR="004706C6" w:rsidRPr="00175A02">
        <w:rPr>
          <w:rFonts w:ascii="Arial" w:hAnsi="Arial" w:cs="Arial"/>
        </w:rPr>
        <w:t>Participants had on average 16 (+/- 4) years of education. Table 1 shows all demographic characteristics of the sample by group.</w:t>
      </w:r>
    </w:p>
    <w:p w14:paraId="2CB9875A" w14:textId="58FC3E9F" w:rsidR="00174657" w:rsidRPr="00175A02" w:rsidRDefault="00174657" w:rsidP="00E036D7">
      <w:pPr>
        <w:spacing w:after="0"/>
        <w:jc w:val="both"/>
        <w:rPr>
          <w:rFonts w:ascii="Arial" w:hAnsi="Arial" w:cs="Arial"/>
          <w:b/>
        </w:rPr>
      </w:pPr>
      <w:r w:rsidRPr="00175A02">
        <w:rPr>
          <w:rFonts w:ascii="Arial" w:hAnsi="Arial" w:cs="Arial"/>
          <w:b/>
        </w:rPr>
        <w:t xml:space="preserve">Social support service usage </w:t>
      </w:r>
      <w:r w:rsidR="0049482C" w:rsidRPr="00175A02">
        <w:rPr>
          <w:rFonts w:ascii="Arial" w:hAnsi="Arial" w:cs="Arial"/>
          <w:b/>
        </w:rPr>
        <w:t>at T1 and T2</w:t>
      </w:r>
    </w:p>
    <w:p w14:paraId="5D727343" w14:textId="6396D7C9" w:rsidR="002A4B03" w:rsidRPr="00175A02" w:rsidRDefault="00E43F8D" w:rsidP="009856A5">
      <w:pPr>
        <w:spacing w:after="0"/>
        <w:jc w:val="both"/>
        <w:rPr>
          <w:rFonts w:ascii="Arial" w:hAnsi="Arial" w:cs="Arial"/>
        </w:rPr>
      </w:pPr>
      <w:r w:rsidRPr="00175A02">
        <w:rPr>
          <w:rFonts w:ascii="Arial" w:hAnsi="Arial" w:cs="Arial"/>
        </w:rPr>
        <w:t>Mean</w:t>
      </w:r>
      <w:r w:rsidR="00AE3EE3" w:rsidRPr="00175A02">
        <w:rPr>
          <w:rFonts w:ascii="Arial" w:hAnsi="Arial" w:cs="Arial"/>
        </w:rPr>
        <w:t xml:space="preserve"> weekly hours of accessing social support services </w:t>
      </w:r>
      <w:r w:rsidRPr="00175A02">
        <w:rPr>
          <w:rFonts w:ascii="Arial" w:hAnsi="Arial" w:cs="Arial"/>
        </w:rPr>
        <w:t xml:space="preserve">was </w:t>
      </w:r>
      <w:r w:rsidR="001D1514" w:rsidRPr="00175A02">
        <w:rPr>
          <w:rFonts w:ascii="Arial" w:hAnsi="Arial" w:cs="Arial"/>
        </w:rPr>
        <w:t>1</w:t>
      </w:r>
      <w:r w:rsidR="00616C19" w:rsidRPr="00175A02">
        <w:rPr>
          <w:rFonts w:ascii="Arial" w:hAnsi="Arial" w:cs="Arial"/>
        </w:rPr>
        <w:t>2.</w:t>
      </w:r>
      <w:r w:rsidR="00CB178D" w:rsidRPr="00175A02">
        <w:rPr>
          <w:rFonts w:ascii="Arial" w:hAnsi="Arial" w:cs="Arial"/>
        </w:rPr>
        <w:t>0</w:t>
      </w:r>
      <w:r w:rsidR="00394E77" w:rsidRPr="00175A02">
        <w:rPr>
          <w:rFonts w:ascii="Arial" w:hAnsi="Arial" w:cs="Arial"/>
        </w:rPr>
        <w:t xml:space="preserve"> </w:t>
      </w:r>
      <w:r w:rsidR="001D1514" w:rsidRPr="00175A02">
        <w:rPr>
          <w:rFonts w:ascii="Arial" w:hAnsi="Arial" w:cs="Arial"/>
        </w:rPr>
        <w:t>(</w:t>
      </w:r>
      <w:r w:rsidRPr="00175A02">
        <w:rPr>
          <w:rFonts w:ascii="Arial" w:hAnsi="Arial" w:cs="Arial"/>
        </w:rPr>
        <w:t>SD=</w:t>
      </w:r>
      <w:r w:rsidR="005773C1" w:rsidRPr="00175A02">
        <w:rPr>
          <w:rFonts w:ascii="Arial" w:hAnsi="Arial" w:cs="Arial"/>
        </w:rPr>
        <w:t>2</w:t>
      </w:r>
      <w:r w:rsidR="00CB178D" w:rsidRPr="00175A02">
        <w:rPr>
          <w:rFonts w:ascii="Arial" w:hAnsi="Arial" w:cs="Arial"/>
        </w:rPr>
        <w:t>8.5</w:t>
      </w:r>
      <w:r w:rsidR="001D1514" w:rsidRPr="00175A02">
        <w:rPr>
          <w:rFonts w:ascii="Arial" w:hAnsi="Arial" w:cs="Arial"/>
        </w:rPr>
        <w:t>)</w:t>
      </w:r>
      <w:r w:rsidRPr="00175A02">
        <w:rPr>
          <w:rFonts w:ascii="Arial" w:hAnsi="Arial" w:cs="Arial"/>
        </w:rPr>
        <w:t xml:space="preserve"> </w:t>
      </w:r>
      <w:r w:rsidR="0064587A" w:rsidRPr="00175A02">
        <w:rPr>
          <w:rFonts w:ascii="Arial" w:hAnsi="Arial" w:cs="Arial"/>
        </w:rPr>
        <w:t>[Skewness= 4.</w:t>
      </w:r>
      <w:r w:rsidR="00CB178D" w:rsidRPr="00175A02">
        <w:rPr>
          <w:rFonts w:ascii="Arial" w:hAnsi="Arial" w:cs="Arial"/>
        </w:rPr>
        <w:t>5</w:t>
      </w:r>
      <w:r w:rsidR="0064587A" w:rsidRPr="00175A02">
        <w:rPr>
          <w:rFonts w:ascii="Arial" w:hAnsi="Arial" w:cs="Arial"/>
        </w:rPr>
        <w:t>; Kurtosis=</w:t>
      </w:r>
      <w:r w:rsidR="00CB178D" w:rsidRPr="00175A02">
        <w:rPr>
          <w:rFonts w:ascii="Arial" w:hAnsi="Arial" w:cs="Arial"/>
        </w:rPr>
        <w:t>21.0</w:t>
      </w:r>
      <w:r w:rsidR="0064587A" w:rsidRPr="00175A02">
        <w:rPr>
          <w:rFonts w:ascii="Arial" w:hAnsi="Arial" w:cs="Arial"/>
        </w:rPr>
        <w:t xml:space="preserve">] </w:t>
      </w:r>
      <w:r w:rsidRPr="00175A02">
        <w:rPr>
          <w:rFonts w:ascii="Arial" w:hAnsi="Arial" w:cs="Arial"/>
        </w:rPr>
        <w:t>a</w:t>
      </w:r>
      <w:r w:rsidR="00394E77" w:rsidRPr="00175A02">
        <w:rPr>
          <w:rFonts w:ascii="Arial" w:hAnsi="Arial" w:cs="Arial"/>
        </w:rPr>
        <w:t>t</w:t>
      </w:r>
      <w:r w:rsidRPr="00175A02">
        <w:rPr>
          <w:rFonts w:ascii="Arial" w:hAnsi="Arial" w:cs="Arial"/>
        </w:rPr>
        <w:t xml:space="preserve"> T1 and </w:t>
      </w:r>
      <w:r w:rsidR="001D1514" w:rsidRPr="00175A02">
        <w:rPr>
          <w:rFonts w:ascii="Arial" w:hAnsi="Arial" w:cs="Arial"/>
        </w:rPr>
        <w:t>6.</w:t>
      </w:r>
      <w:r w:rsidR="00CB178D" w:rsidRPr="00175A02">
        <w:rPr>
          <w:rFonts w:ascii="Arial" w:hAnsi="Arial" w:cs="Arial"/>
        </w:rPr>
        <w:t>6</w:t>
      </w:r>
      <w:r w:rsidR="00394E77" w:rsidRPr="00175A02">
        <w:rPr>
          <w:rFonts w:ascii="Arial" w:hAnsi="Arial" w:cs="Arial"/>
        </w:rPr>
        <w:t xml:space="preserve"> </w:t>
      </w:r>
      <w:r w:rsidR="001D1514" w:rsidRPr="00175A02">
        <w:rPr>
          <w:rFonts w:ascii="Arial" w:hAnsi="Arial" w:cs="Arial"/>
        </w:rPr>
        <w:t>(</w:t>
      </w:r>
      <w:r w:rsidRPr="00175A02">
        <w:rPr>
          <w:rFonts w:ascii="Arial" w:hAnsi="Arial" w:cs="Arial"/>
        </w:rPr>
        <w:t>SD=</w:t>
      </w:r>
      <w:r w:rsidR="00CB178D" w:rsidRPr="00175A02">
        <w:rPr>
          <w:rFonts w:ascii="Arial" w:hAnsi="Arial" w:cs="Arial"/>
        </w:rPr>
        <w:t>29.5</w:t>
      </w:r>
      <w:r w:rsidR="001D1514" w:rsidRPr="00175A02">
        <w:rPr>
          <w:rFonts w:ascii="Arial" w:hAnsi="Arial" w:cs="Arial"/>
        </w:rPr>
        <w:t>)</w:t>
      </w:r>
      <w:r w:rsidR="00AE3EE3" w:rsidRPr="00175A02">
        <w:rPr>
          <w:rFonts w:ascii="Arial" w:hAnsi="Arial" w:cs="Arial"/>
        </w:rPr>
        <w:t xml:space="preserve"> </w:t>
      </w:r>
      <w:r w:rsidR="0064587A" w:rsidRPr="00175A02">
        <w:rPr>
          <w:rFonts w:ascii="Arial" w:hAnsi="Arial" w:cs="Arial"/>
        </w:rPr>
        <w:t>[Skewness=5.</w:t>
      </w:r>
      <w:r w:rsidR="00CB178D" w:rsidRPr="00175A02">
        <w:rPr>
          <w:rFonts w:ascii="Arial" w:hAnsi="Arial" w:cs="Arial"/>
        </w:rPr>
        <w:t>1</w:t>
      </w:r>
      <w:r w:rsidR="0064587A" w:rsidRPr="00175A02">
        <w:rPr>
          <w:rFonts w:ascii="Arial" w:hAnsi="Arial" w:cs="Arial"/>
        </w:rPr>
        <w:t>; Kurtosis= 24.</w:t>
      </w:r>
      <w:r w:rsidR="00CB178D" w:rsidRPr="00175A02">
        <w:rPr>
          <w:rFonts w:ascii="Arial" w:hAnsi="Arial" w:cs="Arial"/>
        </w:rPr>
        <w:t>9</w:t>
      </w:r>
      <w:r w:rsidR="0064587A" w:rsidRPr="00175A02">
        <w:rPr>
          <w:rFonts w:ascii="Arial" w:hAnsi="Arial" w:cs="Arial"/>
        </w:rPr>
        <w:t xml:space="preserve">] </w:t>
      </w:r>
      <w:r w:rsidRPr="00175A02">
        <w:rPr>
          <w:rFonts w:ascii="Arial" w:hAnsi="Arial" w:cs="Arial"/>
        </w:rPr>
        <w:t>at T2</w:t>
      </w:r>
      <w:r w:rsidR="00AE3EE3" w:rsidRPr="00175A02">
        <w:rPr>
          <w:rFonts w:ascii="Arial" w:hAnsi="Arial" w:cs="Arial"/>
        </w:rPr>
        <w:t xml:space="preserve"> [</w:t>
      </w:r>
      <w:r w:rsidRPr="00175A02">
        <w:rPr>
          <w:rFonts w:ascii="Arial" w:hAnsi="Arial" w:cs="Arial"/>
        </w:rPr>
        <w:t xml:space="preserve">paired </w:t>
      </w:r>
      <w:proofErr w:type="gramStart"/>
      <w:r w:rsidR="00AE3EE3" w:rsidRPr="00175A02">
        <w:rPr>
          <w:rFonts w:ascii="Arial" w:hAnsi="Arial" w:cs="Arial"/>
        </w:rPr>
        <w:t>t(</w:t>
      </w:r>
      <w:proofErr w:type="gramEnd"/>
      <w:r w:rsidR="00886978" w:rsidRPr="00175A02">
        <w:rPr>
          <w:rFonts w:ascii="Arial" w:hAnsi="Arial" w:cs="Arial"/>
        </w:rPr>
        <w:t>39</w:t>
      </w:r>
      <w:r w:rsidR="00CB178D" w:rsidRPr="00175A02">
        <w:rPr>
          <w:rFonts w:ascii="Arial" w:hAnsi="Arial" w:cs="Arial"/>
        </w:rPr>
        <w:t>0</w:t>
      </w:r>
      <w:r w:rsidR="00AE3EE3" w:rsidRPr="00175A02">
        <w:rPr>
          <w:rFonts w:ascii="Arial" w:hAnsi="Arial" w:cs="Arial"/>
        </w:rPr>
        <w:t>)=</w:t>
      </w:r>
      <w:r w:rsidR="00886978" w:rsidRPr="00175A02">
        <w:rPr>
          <w:rFonts w:ascii="Arial" w:hAnsi="Arial" w:cs="Arial"/>
        </w:rPr>
        <w:t>4.</w:t>
      </w:r>
      <w:r w:rsidR="00CB178D" w:rsidRPr="00175A02">
        <w:rPr>
          <w:rFonts w:ascii="Arial" w:hAnsi="Arial" w:cs="Arial"/>
        </w:rPr>
        <w:t>894</w:t>
      </w:r>
      <w:r w:rsidR="00AE3EE3" w:rsidRPr="00175A02">
        <w:rPr>
          <w:rFonts w:ascii="Arial" w:hAnsi="Arial" w:cs="Arial"/>
        </w:rPr>
        <w:t xml:space="preserve">, p&lt;.001]. </w:t>
      </w:r>
      <w:r w:rsidR="008D1199" w:rsidRPr="00175A02">
        <w:rPr>
          <w:rFonts w:ascii="Arial" w:hAnsi="Arial" w:cs="Arial"/>
        </w:rPr>
        <w:t>2</w:t>
      </w:r>
      <w:r w:rsidR="00886978" w:rsidRPr="00175A02">
        <w:rPr>
          <w:rFonts w:ascii="Arial" w:hAnsi="Arial" w:cs="Arial"/>
        </w:rPr>
        <w:t>5</w:t>
      </w:r>
      <w:r w:rsidR="005707C5" w:rsidRPr="00175A02">
        <w:rPr>
          <w:rFonts w:ascii="Arial" w:hAnsi="Arial" w:cs="Arial"/>
        </w:rPr>
        <w:t>1</w:t>
      </w:r>
      <w:r w:rsidR="008D1199" w:rsidRPr="00175A02">
        <w:rPr>
          <w:rFonts w:ascii="Arial" w:hAnsi="Arial" w:cs="Arial"/>
        </w:rPr>
        <w:t xml:space="preserve"> participants </w:t>
      </w:r>
      <w:r w:rsidR="00886978" w:rsidRPr="00175A02">
        <w:rPr>
          <w:rFonts w:ascii="Arial" w:hAnsi="Arial" w:cs="Arial"/>
        </w:rPr>
        <w:t xml:space="preserve">reported </w:t>
      </w:r>
      <w:r w:rsidR="008D1199" w:rsidRPr="00175A02">
        <w:rPr>
          <w:rFonts w:ascii="Arial" w:hAnsi="Arial" w:cs="Arial"/>
        </w:rPr>
        <w:t>having received &gt;0 hours at T1 (3</w:t>
      </w:r>
      <w:r w:rsidR="00886978" w:rsidRPr="00175A02">
        <w:rPr>
          <w:rFonts w:ascii="Arial" w:hAnsi="Arial" w:cs="Arial"/>
        </w:rPr>
        <w:t>1</w:t>
      </w:r>
      <w:r w:rsidR="008D1199" w:rsidRPr="00175A02">
        <w:rPr>
          <w:rFonts w:ascii="Arial" w:hAnsi="Arial" w:cs="Arial"/>
        </w:rPr>
        <w:t xml:space="preserve"> PLWD, 1</w:t>
      </w:r>
      <w:r w:rsidR="00886978" w:rsidRPr="00175A02">
        <w:rPr>
          <w:rFonts w:ascii="Arial" w:hAnsi="Arial" w:cs="Arial"/>
        </w:rPr>
        <w:t>5</w:t>
      </w:r>
      <w:r w:rsidR="005707C5" w:rsidRPr="00175A02">
        <w:rPr>
          <w:rFonts w:ascii="Arial" w:hAnsi="Arial" w:cs="Arial"/>
        </w:rPr>
        <w:t>6</w:t>
      </w:r>
      <w:r w:rsidR="008D1199" w:rsidRPr="00175A02">
        <w:rPr>
          <w:rFonts w:ascii="Arial" w:hAnsi="Arial" w:cs="Arial"/>
        </w:rPr>
        <w:t xml:space="preserve"> </w:t>
      </w:r>
      <w:r w:rsidR="00886978" w:rsidRPr="00175A02">
        <w:rPr>
          <w:rFonts w:ascii="Arial" w:hAnsi="Arial" w:cs="Arial"/>
        </w:rPr>
        <w:t>current</w:t>
      </w:r>
      <w:r w:rsidR="008D1199" w:rsidRPr="00175A02">
        <w:rPr>
          <w:rFonts w:ascii="Arial" w:hAnsi="Arial" w:cs="Arial"/>
        </w:rPr>
        <w:t xml:space="preserve"> carers, 2</w:t>
      </w:r>
      <w:r w:rsidR="00886978" w:rsidRPr="00175A02">
        <w:rPr>
          <w:rFonts w:ascii="Arial" w:hAnsi="Arial" w:cs="Arial"/>
        </w:rPr>
        <w:t>0</w:t>
      </w:r>
      <w:r w:rsidR="008D1199" w:rsidRPr="00175A02">
        <w:rPr>
          <w:rFonts w:ascii="Arial" w:hAnsi="Arial" w:cs="Arial"/>
        </w:rPr>
        <w:t xml:space="preserve"> former carers, 4</w:t>
      </w:r>
      <w:r w:rsidR="005707C5" w:rsidRPr="00175A02">
        <w:rPr>
          <w:rFonts w:ascii="Arial" w:hAnsi="Arial" w:cs="Arial"/>
        </w:rPr>
        <w:t>4</w:t>
      </w:r>
      <w:r w:rsidR="008D1199" w:rsidRPr="00175A02">
        <w:rPr>
          <w:rFonts w:ascii="Arial" w:hAnsi="Arial" w:cs="Arial"/>
        </w:rPr>
        <w:t xml:space="preserve"> older adults)</w:t>
      </w:r>
      <w:r w:rsidR="008F7198" w:rsidRPr="00175A02">
        <w:rPr>
          <w:rFonts w:ascii="Arial" w:hAnsi="Arial" w:cs="Arial"/>
        </w:rPr>
        <w:t xml:space="preserve">. </w:t>
      </w:r>
      <w:r w:rsidR="00685BC3" w:rsidRPr="00175A02">
        <w:rPr>
          <w:rFonts w:ascii="Arial" w:hAnsi="Arial" w:cs="Arial"/>
        </w:rPr>
        <w:t xml:space="preserve">Of those, the variation in mean number of hours between </w:t>
      </w:r>
      <w:r w:rsidR="00F53848" w:rsidRPr="00175A02">
        <w:rPr>
          <w:rFonts w:ascii="Arial" w:hAnsi="Arial" w:cs="Arial"/>
        </w:rPr>
        <w:t>T1 and T2</w:t>
      </w:r>
      <w:r w:rsidR="00685BC3" w:rsidRPr="00175A02">
        <w:rPr>
          <w:rFonts w:ascii="Arial" w:hAnsi="Arial" w:cs="Arial"/>
        </w:rPr>
        <w:t xml:space="preserve"> was </w:t>
      </w:r>
      <w:r w:rsidR="005707C5" w:rsidRPr="00175A02">
        <w:rPr>
          <w:rFonts w:ascii="Arial" w:hAnsi="Arial" w:cs="Arial"/>
        </w:rPr>
        <w:t>9.0</w:t>
      </w:r>
      <w:r w:rsidR="00D07522" w:rsidRPr="00175A02">
        <w:rPr>
          <w:rFonts w:ascii="Arial" w:hAnsi="Arial" w:cs="Arial"/>
        </w:rPr>
        <w:t xml:space="preserve"> (+/-2</w:t>
      </w:r>
      <w:r w:rsidR="005707C5" w:rsidRPr="00175A02">
        <w:rPr>
          <w:rFonts w:ascii="Arial" w:hAnsi="Arial" w:cs="Arial"/>
        </w:rPr>
        <w:t>3.4</w:t>
      </w:r>
      <w:r w:rsidR="00D07522" w:rsidRPr="00175A02">
        <w:rPr>
          <w:rFonts w:ascii="Arial" w:hAnsi="Arial" w:cs="Arial"/>
        </w:rPr>
        <w:t>), ranging from -16</w:t>
      </w:r>
      <w:r w:rsidR="005707C5" w:rsidRPr="00175A02">
        <w:rPr>
          <w:rFonts w:ascii="Arial" w:hAnsi="Arial" w:cs="Arial"/>
        </w:rPr>
        <w:t>2</w:t>
      </w:r>
      <w:r w:rsidR="00D07522" w:rsidRPr="00175A02">
        <w:rPr>
          <w:rFonts w:ascii="Arial" w:hAnsi="Arial" w:cs="Arial"/>
        </w:rPr>
        <w:t xml:space="preserve"> to +168, with some participants experiencing fewer hours </w:t>
      </w:r>
      <w:r w:rsidR="00F53848" w:rsidRPr="00175A02">
        <w:rPr>
          <w:rFonts w:ascii="Arial" w:hAnsi="Arial" w:cs="Arial"/>
        </w:rPr>
        <w:t>at T2</w:t>
      </w:r>
      <w:r w:rsidR="00D07522" w:rsidRPr="00175A02">
        <w:rPr>
          <w:rFonts w:ascii="Arial" w:hAnsi="Arial" w:cs="Arial"/>
        </w:rPr>
        <w:t>, and others more hours</w:t>
      </w:r>
      <w:r w:rsidR="004143D4" w:rsidRPr="00175A02">
        <w:rPr>
          <w:rStyle w:val="FootnoteReference"/>
          <w:rFonts w:ascii="Arial" w:hAnsi="Arial" w:cs="Arial"/>
        </w:rPr>
        <w:footnoteReference w:id="1"/>
      </w:r>
      <w:r w:rsidR="00C947A4" w:rsidRPr="00175A02">
        <w:rPr>
          <w:rFonts w:ascii="Arial" w:hAnsi="Arial" w:cs="Arial"/>
        </w:rPr>
        <w:t>.</w:t>
      </w:r>
    </w:p>
    <w:p w14:paraId="2A862E5C" w14:textId="7DE07594" w:rsidR="00174657" w:rsidRPr="00175A02" w:rsidRDefault="00FE1CD2" w:rsidP="00FC35AE">
      <w:pPr>
        <w:spacing w:after="0"/>
        <w:ind w:firstLine="720"/>
        <w:jc w:val="both"/>
        <w:rPr>
          <w:rFonts w:ascii="Arial" w:hAnsi="Arial" w:cs="Arial"/>
        </w:rPr>
      </w:pPr>
      <w:r w:rsidRPr="00175A02">
        <w:rPr>
          <w:rFonts w:ascii="Arial" w:hAnsi="Arial" w:cs="Arial"/>
        </w:rPr>
        <w:t xml:space="preserve">Figure 1 shows social support service usage </w:t>
      </w:r>
      <w:r w:rsidR="00AD5C50" w:rsidRPr="00175A02">
        <w:rPr>
          <w:rFonts w:ascii="Arial" w:hAnsi="Arial" w:cs="Arial"/>
        </w:rPr>
        <w:t xml:space="preserve">at T1 and T2 </w:t>
      </w:r>
      <w:r w:rsidR="00C81142" w:rsidRPr="00175A02">
        <w:rPr>
          <w:rFonts w:ascii="Arial" w:hAnsi="Arial" w:cs="Arial"/>
        </w:rPr>
        <w:t>by group</w:t>
      </w:r>
      <w:r w:rsidRPr="00175A02">
        <w:rPr>
          <w:rFonts w:ascii="Arial" w:hAnsi="Arial" w:cs="Arial"/>
        </w:rPr>
        <w:t xml:space="preserve">. </w:t>
      </w:r>
      <w:r w:rsidR="00374010" w:rsidRPr="00175A02">
        <w:rPr>
          <w:rFonts w:ascii="Arial" w:hAnsi="Arial" w:cs="Arial"/>
        </w:rPr>
        <w:t xml:space="preserve">Engaging in social activities in the community, such as singing and dancing groups, was accessed the most </w:t>
      </w:r>
      <w:r w:rsidR="008B10C4" w:rsidRPr="00175A02">
        <w:rPr>
          <w:rFonts w:ascii="Arial" w:hAnsi="Arial" w:cs="Arial"/>
        </w:rPr>
        <w:t>at T1</w:t>
      </w:r>
      <w:r w:rsidR="00374010" w:rsidRPr="00175A02">
        <w:rPr>
          <w:rFonts w:ascii="Arial" w:hAnsi="Arial" w:cs="Arial"/>
        </w:rPr>
        <w:t xml:space="preserve">, followed by accessing peer support groups and receiving paid carers in the home, as well as day care centres. </w:t>
      </w:r>
      <w:r w:rsidR="00C81142" w:rsidRPr="00175A02">
        <w:rPr>
          <w:rFonts w:ascii="Arial" w:hAnsi="Arial" w:cs="Arial"/>
        </w:rPr>
        <w:t xml:space="preserve">Few carers </w:t>
      </w:r>
      <w:r w:rsidR="00374010" w:rsidRPr="00175A02">
        <w:rPr>
          <w:rFonts w:ascii="Arial" w:hAnsi="Arial" w:cs="Arial"/>
        </w:rPr>
        <w:t xml:space="preserve">accessed respite care. </w:t>
      </w:r>
      <w:r w:rsidR="00C81142" w:rsidRPr="00175A02">
        <w:rPr>
          <w:rFonts w:ascii="Arial" w:hAnsi="Arial" w:cs="Arial"/>
        </w:rPr>
        <w:t xml:space="preserve">PLWD and current carers accessed most services both </w:t>
      </w:r>
      <w:r w:rsidR="000D456D" w:rsidRPr="00175A02">
        <w:rPr>
          <w:rFonts w:ascii="Arial" w:hAnsi="Arial" w:cs="Arial"/>
        </w:rPr>
        <w:t>at T1 and T2</w:t>
      </w:r>
      <w:r w:rsidR="00C81142" w:rsidRPr="00175A02">
        <w:rPr>
          <w:rFonts w:ascii="Arial" w:hAnsi="Arial" w:cs="Arial"/>
        </w:rPr>
        <w:t xml:space="preserve">. </w:t>
      </w:r>
      <w:r w:rsidR="00374010" w:rsidRPr="00175A02">
        <w:rPr>
          <w:rFonts w:ascii="Arial" w:hAnsi="Arial" w:cs="Arial"/>
        </w:rPr>
        <w:t>Out of all types of services, paid carer support was the least affected, with access to all services having declined since the outbreak</w:t>
      </w:r>
      <w:r w:rsidR="00EB6FC3" w:rsidRPr="00175A02">
        <w:rPr>
          <w:rFonts w:ascii="Arial" w:hAnsi="Arial" w:cs="Arial"/>
        </w:rPr>
        <w:t xml:space="preserve"> (except paid carer access for PLWD)</w:t>
      </w:r>
      <w:r w:rsidR="00374010" w:rsidRPr="00175A02">
        <w:rPr>
          <w:rFonts w:ascii="Arial" w:hAnsi="Arial" w:cs="Arial"/>
        </w:rPr>
        <w:t xml:space="preserve">, </w:t>
      </w:r>
      <w:r w:rsidR="00C81142" w:rsidRPr="00175A02">
        <w:rPr>
          <w:rFonts w:ascii="Arial" w:hAnsi="Arial" w:cs="Arial"/>
        </w:rPr>
        <w:t xml:space="preserve">and </w:t>
      </w:r>
      <w:r w:rsidR="00374010" w:rsidRPr="00175A02">
        <w:rPr>
          <w:rFonts w:ascii="Arial" w:hAnsi="Arial" w:cs="Arial"/>
        </w:rPr>
        <w:t xml:space="preserve">the number of people having accessed no support services having risen </w:t>
      </w:r>
      <w:r w:rsidR="00C81142" w:rsidRPr="00175A02">
        <w:rPr>
          <w:rFonts w:ascii="Arial" w:hAnsi="Arial" w:cs="Arial"/>
        </w:rPr>
        <w:t xml:space="preserve">across all </w:t>
      </w:r>
      <w:r w:rsidR="00C81142" w:rsidRPr="00175A02">
        <w:rPr>
          <w:rFonts w:ascii="Arial" w:hAnsi="Arial" w:cs="Arial"/>
        </w:rPr>
        <w:lastRenderedPageBreak/>
        <w:t xml:space="preserve">groups (in the total sample </w:t>
      </w:r>
      <w:r w:rsidR="00374010" w:rsidRPr="00175A02">
        <w:rPr>
          <w:rFonts w:ascii="Arial" w:hAnsi="Arial" w:cs="Arial"/>
        </w:rPr>
        <w:t xml:space="preserve">from </w:t>
      </w:r>
      <w:r w:rsidR="00A0554C" w:rsidRPr="00175A02">
        <w:rPr>
          <w:rFonts w:ascii="Arial" w:hAnsi="Arial" w:cs="Arial"/>
        </w:rPr>
        <w:t>2</w:t>
      </w:r>
      <w:r w:rsidR="000574E6" w:rsidRPr="00175A02">
        <w:rPr>
          <w:rFonts w:ascii="Arial" w:hAnsi="Arial" w:cs="Arial"/>
        </w:rPr>
        <w:t>1</w:t>
      </w:r>
      <w:r w:rsidR="00EB6FC3" w:rsidRPr="00175A02">
        <w:rPr>
          <w:rFonts w:ascii="Arial" w:hAnsi="Arial" w:cs="Arial"/>
        </w:rPr>
        <w:t>2</w:t>
      </w:r>
      <w:r w:rsidR="00A0554C" w:rsidRPr="00175A02">
        <w:rPr>
          <w:rFonts w:ascii="Arial" w:hAnsi="Arial" w:cs="Arial"/>
        </w:rPr>
        <w:t xml:space="preserve"> </w:t>
      </w:r>
      <w:r w:rsidR="00374010" w:rsidRPr="00175A02">
        <w:rPr>
          <w:rFonts w:ascii="Arial" w:hAnsi="Arial" w:cs="Arial"/>
        </w:rPr>
        <w:t>(</w:t>
      </w:r>
      <w:r w:rsidR="00A0554C" w:rsidRPr="00175A02">
        <w:rPr>
          <w:rFonts w:ascii="Arial" w:hAnsi="Arial" w:cs="Arial"/>
        </w:rPr>
        <w:t>3</w:t>
      </w:r>
      <w:r w:rsidR="00EB6FC3" w:rsidRPr="00175A02">
        <w:rPr>
          <w:rFonts w:ascii="Arial" w:hAnsi="Arial" w:cs="Arial"/>
        </w:rPr>
        <w:t>7.3</w:t>
      </w:r>
      <w:r w:rsidR="00374010" w:rsidRPr="00175A02">
        <w:rPr>
          <w:rFonts w:ascii="Arial" w:hAnsi="Arial" w:cs="Arial"/>
        </w:rPr>
        <w:t xml:space="preserve">%) to </w:t>
      </w:r>
      <w:r w:rsidR="00A0554C" w:rsidRPr="00175A02">
        <w:rPr>
          <w:rFonts w:ascii="Arial" w:hAnsi="Arial" w:cs="Arial"/>
        </w:rPr>
        <w:t>3</w:t>
      </w:r>
      <w:r w:rsidR="000574E6" w:rsidRPr="00175A02">
        <w:rPr>
          <w:rFonts w:ascii="Arial" w:hAnsi="Arial" w:cs="Arial"/>
        </w:rPr>
        <w:t>5</w:t>
      </w:r>
      <w:r w:rsidR="00EB6FC3" w:rsidRPr="00175A02">
        <w:rPr>
          <w:rFonts w:ascii="Arial" w:hAnsi="Arial" w:cs="Arial"/>
        </w:rPr>
        <w:t>2</w:t>
      </w:r>
      <w:r w:rsidR="00A0554C" w:rsidRPr="00175A02">
        <w:rPr>
          <w:rFonts w:ascii="Arial" w:hAnsi="Arial" w:cs="Arial"/>
        </w:rPr>
        <w:t xml:space="preserve"> </w:t>
      </w:r>
      <w:r w:rsidR="00374010" w:rsidRPr="00175A02">
        <w:rPr>
          <w:rFonts w:ascii="Arial" w:hAnsi="Arial" w:cs="Arial"/>
        </w:rPr>
        <w:t>(</w:t>
      </w:r>
      <w:r w:rsidR="00EB6FC3" w:rsidRPr="00175A02">
        <w:rPr>
          <w:rFonts w:ascii="Arial" w:hAnsi="Arial" w:cs="Arial"/>
        </w:rPr>
        <w:t>61.9</w:t>
      </w:r>
      <w:r w:rsidR="00374010" w:rsidRPr="00175A02">
        <w:rPr>
          <w:rFonts w:ascii="Arial" w:hAnsi="Arial" w:cs="Arial"/>
        </w:rPr>
        <w:t>%)</w:t>
      </w:r>
      <w:r w:rsidR="00C81142" w:rsidRPr="00175A02">
        <w:rPr>
          <w:rFonts w:ascii="Arial" w:hAnsi="Arial" w:cs="Arial"/>
        </w:rPr>
        <w:t>)</w:t>
      </w:r>
      <w:r w:rsidR="00374010" w:rsidRPr="00175A02">
        <w:rPr>
          <w:rFonts w:ascii="Arial" w:hAnsi="Arial" w:cs="Arial"/>
        </w:rPr>
        <w:t>.</w:t>
      </w:r>
      <w:r w:rsidR="00C81142" w:rsidRPr="00175A02">
        <w:rPr>
          <w:rFonts w:ascii="Arial" w:hAnsi="Arial" w:cs="Arial"/>
        </w:rPr>
        <w:t xml:space="preserve"> </w:t>
      </w:r>
      <w:r w:rsidR="004249D6" w:rsidRPr="00175A02">
        <w:rPr>
          <w:rFonts w:ascii="Arial" w:hAnsi="Arial" w:cs="Arial"/>
        </w:rPr>
        <w:t xml:space="preserve">Chi-square test </w:t>
      </w:r>
      <w:r w:rsidR="00886978" w:rsidRPr="00175A02">
        <w:rPr>
          <w:rFonts w:ascii="Arial" w:hAnsi="Arial" w:cs="Arial"/>
        </w:rPr>
        <w:t>showed that the number of participants receiving no social support at T2 was significantly larger than at T1</w:t>
      </w:r>
      <w:r w:rsidR="004249D6" w:rsidRPr="00175A02">
        <w:rPr>
          <w:rFonts w:ascii="Arial" w:hAnsi="Arial" w:cs="Arial"/>
        </w:rPr>
        <w:t xml:space="preserve"> [X</w:t>
      </w:r>
      <w:r w:rsidR="004249D6" w:rsidRPr="00175A02">
        <w:rPr>
          <w:rFonts w:ascii="Arial" w:hAnsi="Arial" w:cs="Arial"/>
          <w:vertAlign w:val="superscript"/>
        </w:rPr>
        <w:t>2</w:t>
      </w:r>
      <w:r w:rsidR="004249D6" w:rsidRPr="00175A02">
        <w:rPr>
          <w:rFonts w:ascii="Arial" w:hAnsi="Arial" w:cs="Arial"/>
        </w:rPr>
        <w:t>(</w:t>
      </w:r>
      <w:proofErr w:type="gramStart"/>
      <w:r w:rsidR="004249D6" w:rsidRPr="00175A02">
        <w:rPr>
          <w:rFonts w:ascii="Arial" w:hAnsi="Arial" w:cs="Arial"/>
        </w:rPr>
        <w:t>1,</w:t>
      </w:r>
      <w:r w:rsidR="00941706" w:rsidRPr="00175A02">
        <w:rPr>
          <w:rFonts w:ascii="Arial" w:hAnsi="Arial" w:cs="Arial"/>
        </w:rPr>
        <w:t>569</w:t>
      </w:r>
      <w:r w:rsidR="004249D6" w:rsidRPr="00175A02">
        <w:rPr>
          <w:rFonts w:ascii="Arial" w:hAnsi="Arial" w:cs="Arial"/>
        </w:rPr>
        <w:t>)=</w:t>
      </w:r>
      <w:proofErr w:type="gramEnd"/>
      <w:r w:rsidR="004249D6" w:rsidRPr="00175A02">
        <w:rPr>
          <w:rFonts w:ascii="Arial" w:hAnsi="Arial" w:cs="Arial"/>
        </w:rPr>
        <w:t>1</w:t>
      </w:r>
      <w:r w:rsidR="00941706" w:rsidRPr="00175A02">
        <w:rPr>
          <w:rFonts w:ascii="Arial" w:hAnsi="Arial" w:cs="Arial"/>
        </w:rPr>
        <w:t>17.994</w:t>
      </w:r>
      <w:r w:rsidR="004249D6" w:rsidRPr="00175A02">
        <w:rPr>
          <w:rFonts w:ascii="Arial" w:hAnsi="Arial" w:cs="Arial"/>
        </w:rPr>
        <w:t xml:space="preserve">, p&lt;.001]. </w:t>
      </w:r>
      <w:r w:rsidR="00C81142" w:rsidRPr="00175A02">
        <w:rPr>
          <w:rFonts w:ascii="Arial" w:hAnsi="Arial" w:cs="Arial"/>
        </w:rPr>
        <w:t xml:space="preserve">Appendix </w:t>
      </w:r>
      <w:r w:rsidR="00C947A4" w:rsidRPr="00175A02">
        <w:rPr>
          <w:rFonts w:ascii="Arial" w:hAnsi="Arial" w:cs="Arial"/>
        </w:rPr>
        <w:t>1</w:t>
      </w:r>
      <w:r w:rsidR="00C81142" w:rsidRPr="00175A02">
        <w:rPr>
          <w:rFonts w:ascii="Arial" w:hAnsi="Arial" w:cs="Arial"/>
        </w:rPr>
        <w:t xml:space="preserve"> shows the detailed breakdown by group.</w:t>
      </w:r>
      <w:r w:rsidR="000D456D" w:rsidRPr="00175A02">
        <w:rPr>
          <w:rFonts w:ascii="Arial" w:hAnsi="Arial" w:cs="Arial"/>
        </w:rPr>
        <w:t xml:space="preserve"> </w:t>
      </w:r>
    </w:p>
    <w:p w14:paraId="278F8786" w14:textId="2FFA0BCF" w:rsidR="00FE1CD2" w:rsidRPr="00175A02" w:rsidRDefault="00C81142" w:rsidP="00813C85">
      <w:pPr>
        <w:ind w:firstLine="720"/>
        <w:jc w:val="both"/>
        <w:rPr>
          <w:rFonts w:ascii="Arial" w:hAnsi="Arial" w:cs="Arial"/>
        </w:rPr>
      </w:pPr>
      <w:r w:rsidRPr="00175A02">
        <w:rPr>
          <w:rFonts w:ascii="Arial" w:hAnsi="Arial" w:cs="Arial"/>
        </w:rPr>
        <w:t xml:space="preserve">Table 2 </w:t>
      </w:r>
      <w:r w:rsidR="009F046B" w:rsidRPr="00175A02">
        <w:rPr>
          <w:rFonts w:ascii="Arial" w:hAnsi="Arial" w:cs="Arial"/>
        </w:rPr>
        <w:t xml:space="preserve">describes the types and amount of </w:t>
      </w:r>
      <w:r w:rsidRPr="00175A02">
        <w:rPr>
          <w:rFonts w:ascii="Arial" w:hAnsi="Arial" w:cs="Arial"/>
        </w:rPr>
        <w:t>social support service for the total sampl</w:t>
      </w:r>
      <w:r w:rsidR="009F046B" w:rsidRPr="00175A02">
        <w:rPr>
          <w:rFonts w:ascii="Arial" w:hAnsi="Arial" w:cs="Arial"/>
        </w:rPr>
        <w:t xml:space="preserve">e. A significant number of people showed a reduction in </w:t>
      </w:r>
      <w:r w:rsidRPr="00175A02">
        <w:rPr>
          <w:rFonts w:ascii="Arial" w:hAnsi="Arial" w:cs="Arial"/>
        </w:rPr>
        <w:t xml:space="preserve">having accessed </w:t>
      </w:r>
      <w:r w:rsidR="000D456D" w:rsidRPr="00175A02">
        <w:rPr>
          <w:rFonts w:ascii="Arial" w:hAnsi="Arial" w:cs="Arial"/>
        </w:rPr>
        <w:t>no form</w:t>
      </w:r>
      <w:r w:rsidRPr="00175A02">
        <w:rPr>
          <w:rFonts w:ascii="Arial" w:hAnsi="Arial" w:cs="Arial"/>
        </w:rPr>
        <w:t xml:space="preserve"> of social support service </w:t>
      </w:r>
      <w:r w:rsidR="000D456D" w:rsidRPr="00175A02">
        <w:rPr>
          <w:rFonts w:ascii="Arial" w:hAnsi="Arial" w:cs="Arial"/>
        </w:rPr>
        <w:t>between T1 and T2</w:t>
      </w:r>
      <w:r w:rsidRPr="00175A02">
        <w:rPr>
          <w:rFonts w:ascii="Arial" w:hAnsi="Arial" w:cs="Arial"/>
        </w:rPr>
        <w:t>.</w:t>
      </w:r>
    </w:p>
    <w:p w14:paraId="5F137785" w14:textId="62ED6FB9" w:rsidR="005B60B5" w:rsidRPr="00175A02" w:rsidRDefault="005B60B5" w:rsidP="005B60B5">
      <w:pPr>
        <w:spacing w:after="0"/>
        <w:jc w:val="both"/>
        <w:rPr>
          <w:rFonts w:ascii="Arial" w:hAnsi="Arial" w:cs="Arial"/>
          <w:b/>
        </w:rPr>
      </w:pPr>
      <w:r w:rsidRPr="00175A02">
        <w:rPr>
          <w:rFonts w:ascii="Arial" w:hAnsi="Arial" w:cs="Arial"/>
          <w:b/>
        </w:rPr>
        <w:t>Mental well-being</w:t>
      </w:r>
    </w:p>
    <w:p w14:paraId="053C9666" w14:textId="6F3134B8" w:rsidR="003573E7" w:rsidRPr="00175A02" w:rsidRDefault="00FF781F" w:rsidP="005B60B5">
      <w:pPr>
        <w:jc w:val="both"/>
        <w:rPr>
          <w:rFonts w:ascii="Arial" w:hAnsi="Arial" w:cs="Arial"/>
        </w:rPr>
      </w:pPr>
      <w:r w:rsidRPr="00175A02">
        <w:rPr>
          <w:rFonts w:ascii="Arial" w:hAnsi="Arial" w:cs="Arial"/>
        </w:rPr>
        <w:t xml:space="preserve">The group with the highest proportion scoring </w:t>
      </w:r>
      <w:r w:rsidR="0012572C" w:rsidRPr="00175A02">
        <w:rPr>
          <w:rFonts w:ascii="Arial" w:hAnsi="Arial" w:cs="Arial"/>
        </w:rPr>
        <w:t>above the cut off for both anxiety (3</w:t>
      </w:r>
      <w:r w:rsidR="00B47B41" w:rsidRPr="00175A02">
        <w:rPr>
          <w:rFonts w:ascii="Arial" w:hAnsi="Arial" w:cs="Arial"/>
        </w:rPr>
        <w:t>3</w:t>
      </w:r>
      <w:r w:rsidR="0012572C" w:rsidRPr="00175A02">
        <w:rPr>
          <w:rFonts w:ascii="Arial" w:hAnsi="Arial" w:cs="Arial"/>
        </w:rPr>
        <w:t>%) and depression (48%)</w:t>
      </w:r>
      <w:r w:rsidRPr="00175A02">
        <w:rPr>
          <w:rFonts w:ascii="Arial" w:hAnsi="Arial" w:cs="Arial"/>
        </w:rPr>
        <w:t xml:space="preserve"> were those living with dementia. In contrast</w:t>
      </w:r>
      <w:r w:rsidR="0012572C" w:rsidRPr="00175A02">
        <w:rPr>
          <w:rFonts w:ascii="Arial" w:hAnsi="Arial" w:cs="Arial"/>
        </w:rPr>
        <w:t>,</w:t>
      </w:r>
      <w:r w:rsidRPr="00175A02">
        <w:rPr>
          <w:rFonts w:ascii="Arial" w:hAnsi="Arial" w:cs="Arial"/>
        </w:rPr>
        <w:t xml:space="preserve"> far fewer older adults achieved </w:t>
      </w:r>
      <w:proofErr w:type="spellStart"/>
      <w:r w:rsidRPr="00175A02">
        <w:rPr>
          <w:rFonts w:ascii="Arial" w:hAnsi="Arial" w:cs="Arial"/>
        </w:rPr>
        <w:t>caseness</w:t>
      </w:r>
      <w:proofErr w:type="spellEnd"/>
      <w:r w:rsidRPr="00175A02">
        <w:rPr>
          <w:rFonts w:ascii="Arial" w:hAnsi="Arial" w:cs="Arial"/>
        </w:rPr>
        <w:t xml:space="preserve"> (</w:t>
      </w:r>
      <w:r w:rsidR="000574E6" w:rsidRPr="00175A02">
        <w:rPr>
          <w:rFonts w:ascii="Arial" w:hAnsi="Arial" w:cs="Arial"/>
        </w:rPr>
        <w:t>5</w:t>
      </w:r>
      <w:r w:rsidR="0012572C" w:rsidRPr="00175A02">
        <w:rPr>
          <w:rFonts w:ascii="Arial" w:hAnsi="Arial" w:cs="Arial"/>
        </w:rPr>
        <w:t xml:space="preserve">% </w:t>
      </w:r>
      <w:r w:rsidRPr="00175A02">
        <w:rPr>
          <w:rFonts w:ascii="Arial" w:hAnsi="Arial" w:cs="Arial"/>
        </w:rPr>
        <w:t xml:space="preserve">anxiety </w:t>
      </w:r>
      <w:r w:rsidR="0012572C" w:rsidRPr="00175A02">
        <w:rPr>
          <w:rFonts w:ascii="Arial" w:hAnsi="Arial" w:cs="Arial"/>
        </w:rPr>
        <w:t>and 5% depression</w:t>
      </w:r>
      <w:r w:rsidRPr="00175A02">
        <w:rPr>
          <w:rFonts w:ascii="Arial" w:hAnsi="Arial" w:cs="Arial"/>
        </w:rPr>
        <w:t>)</w:t>
      </w:r>
      <w:r w:rsidR="0012572C" w:rsidRPr="00175A02">
        <w:rPr>
          <w:rFonts w:ascii="Arial" w:hAnsi="Arial" w:cs="Arial"/>
        </w:rPr>
        <w:t>.</w:t>
      </w:r>
      <w:r w:rsidR="006B373D" w:rsidRPr="00175A02">
        <w:rPr>
          <w:rFonts w:ascii="Arial" w:hAnsi="Arial" w:cs="Arial"/>
        </w:rPr>
        <w:t xml:space="preserve"> </w:t>
      </w:r>
      <w:r w:rsidRPr="00175A02">
        <w:rPr>
          <w:rFonts w:ascii="Arial" w:hAnsi="Arial" w:cs="Arial"/>
        </w:rPr>
        <w:t>Amongst carers, p</w:t>
      </w:r>
      <w:r w:rsidR="006B373D" w:rsidRPr="00175A02">
        <w:rPr>
          <w:rFonts w:ascii="Arial" w:hAnsi="Arial" w:cs="Arial"/>
        </w:rPr>
        <w:t>roportion</w:t>
      </w:r>
      <w:r w:rsidRPr="00175A02">
        <w:rPr>
          <w:rFonts w:ascii="Arial" w:hAnsi="Arial" w:cs="Arial"/>
        </w:rPr>
        <w:t>s of anxiety and depression were higher amongst current (</w:t>
      </w:r>
      <w:r w:rsidR="00686B40" w:rsidRPr="00175A02">
        <w:rPr>
          <w:rFonts w:ascii="Arial" w:hAnsi="Arial" w:cs="Arial"/>
        </w:rPr>
        <w:t>28%</w:t>
      </w:r>
      <w:r w:rsidRPr="00175A02">
        <w:rPr>
          <w:rFonts w:ascii="Arial" w:hAnsi="Arial" w:cs="Arial"/>
        </w:rPr>
        <w:t xml:space="preserve">, </w:t>
      </w:r>
      <w:r w:rsidR="00686B40" w:rsidRPr="00175A02">
        <w:rPr>
          <w:rFonts w:ascii="Arial" w:hAnsi="Arial" w:cs="Arial"/>
        </w:rPr>
        <w:t>20%</w:t>
      </w:r>
      <w:r w:rsidRPr="00175A02">
        <w:rPr>
          <w:rFonts w:ascii="Arial" w:hAnsi="Arial" w:cs="Arial"/>
        </w:rPr>
        <w:t>) than former carers (</w:t>
      </w:r>
      <w:r w:rsidR="00686B40" w:rsidRPr="00175A02">
        <w:rPr>
          <w:rFonts w:ascii="Arial" w:hAnsi="Arial" w:cs="Arial"/>
        </w:rPr>
        <w:t>1</w:t>
      </w:r>
      <w:r w:rsidR="00B47B41" w:rsidRPr="00175A02">
        <w:rPr>
          <w:rFonts w:ascii="Arial" w:hAnsi="Arial" w:cs="Arial"/>
        </w:rPr>
        <w:t>4</w:t>
      </w:r>
      <w:r w:rsidR="00686B40" w:rsidRPr="00175A02">
        <w:rPr>
          <w:rFonts w:ascii="Arial" w:hAnsi="Arial" w:cs="Arial"/>
        </w:rPr>
        <w:t>%</w:t>
      </w:r>
      <w:r w:rsidRPr="00175A02">
        <w:rPr>
          <w:rFonts w:ascii="Arial" w:hAnsi="Arial" w:cs="Arial"/>
        </w:rPr>
        <w:t xml:space="preserve">, </w:t>
      </w:r>
      <w:r w:rsidR="00686B40" w:rsidRPr="00175A02">
        <w:rPr>
          <w:rFonts w:ascii="Arial" w:hAnsi="Arial" w:cs="Arial"/>
        </w:rPr>
        <w:t>1</w:t>
      </w:r>
      <w:r w:rsidR="00B47B41" w:rsidRPr="00175A02">
        <w:rPr>
          <w:rFonts w:ascii="Arial" w:hAnsi="Arial" w:cs="Arial"/>
        </w:rPr>
        <w:t>1</w:t>
      </w:r>
      <w:r w:rsidR="00686B40" w:rsidRPr="00175A02">
        <w:rPr>
          <w:rFonts w:ascii="Arial" w:hAnsi="Arial" w:cs="Arial"/>
        </w:rPr>
        <w:t>%</w:t>
      </w:r>
      <w:r w:rsidRPr="00175A02">
        <w:rPr>
          <w:rFonts w:ascii="Arial" w:hAnsi="Arial" w:cs="Arial"/>
        </w:rPr>
        <w:t>)</w:t>
      </w:r>
      <w:r w:rsidR="006B373D" w:rsidRPr="00175A02">
        <w:rPr>
          <w:rFonts w:ascii="Arial" w:hAnsi="Arial" w:cs="Arial"/>
        </w:rPr>
        <w:t xml:space="preserve">. </w:t>
      </w:r>
      <w:r w:rsidR="0012572C" w:rsidRPr="00175A02">
        <w:rPr>
          <w:rFonts w:ascii="Arial" w:hAnsi="Arial" w:cs="Arial"/>
        </w:rPr>
        <w:t xml:space="preserve">Figure 2 </w:t>
      </w:r>
      <w:r w:rsidRPr="00175A02">
        <w:rPr>
          <w:rFonts w:ascii="Arial" w:hAnsi="Arial" w:cs="Arial"/>
        </w:rPr>
        <w:t>summarises these findings.</w:t>
      </w:r>
    </w:p>
    <w:p w14:paraId="086EC446" w14:textId="03D15341" w:rsidR="00174657" w:rsidRPr="00175A02" w:rsidRDefault="00E72D01" w:rsidP="00FD22FC">
      <w:pPr>
        <w:spacing w:after="0"/>
        <w:jc w:val="both"/>
        <w:rPr>
          <w:rFonts w:ascii="Arial" w:hAnsi="Arial" w:cs="Arial"/>
          <w:b/>
        </w:rPr>
      </w:pPr>
      <w:r w:rsidRPr="00175A02">
        <w:rPr>
          <w:rFonts w:ascii="Arial" w:hAnsi="Arial" w:cs="Arial"/>
          <w:b/>
        </w:rPr>
        <w:t>Multiple r</w:t>
      </w:r>
      <w:r w:rsidR="007B4E45" w:rsidRPr="00175A02">
        <w:rPr>
          <w:rFonts w:ascii="Arial" w:hAnsi="Arial" w:cs="Arial"/>
          <w:b/>
        </w:rPr>
        <w:t>egression analysis</w:t>
      </w:r>
      <w:r w:rsidR="00B82BC4" w:rsidRPr="00175A02">
        <w:rPr>
          <w:rFonts w:ascii="Arial" w:hAnsi="Arial" w:cs="Arial"/>
          <w:b/>
        </w:rPr>
        <w:t xml:space="preserve"> on</w:t>
      </w:r>
      <w:r w:rsidR="00174657" w:rsidRPr="00175A02">
        <w:rPr>
          <w:rFonts w:ascii="Arial" w:hAnsi="Arial" w:cs="Arial"/>
          <w:b/>
        </w:rPr>
        <w:t xml:space="preserve"> changes in social support service </w:t>
      </w:r>
      <w:r w:rsidR="00060415" w:rsidRPr="00175A02">
        <w:rPr>
          <w:rFonts w:ascii="Arial" w:hAnsi="Arial" w:cs="Arial"/>
          <w:b/>
        </w:rPr>
        <w:t>hours</w:t>
      </w:r>
      <w:r w:rsidR="00174657" w:rsidRPr="00175A02">
        <w:rPr>
          <w:rFonts w:ascii="Arial" w:hAnsi="Arial" w:cs="Arial"/>
          <w:b/>
        </w:rPr>
        <w:t xml:space="preserve"> </w:t>
      </w:r>
      <w:r w:rsidR="00B82BC4" w:rsidRPr="00175A02">
        <w:rPr>
          <w:rFonts w:ascii="Arial" w:hAnsi="Arial" w:cs="Arial"/>
          <w:b/>
        </w:rPr>
        <w:t>and</w:t>
      </w:r>
      <w:r w:rsidR="00174657" w:rsidRPr="00175A02">
        <w:rPr>
          <w:rFonts w:ascii="Arial" w:hAnsi="Arial" w:cs="Arial"/>
          <w:b/>
        </w:rPr>
        <w:t xml:space="preserve"> well-b</w:t>
      </w:r>
      <w:r w:rsidR="00060415" w:rsidRPr="00175A02">
        <w:rPr>
          <w:rFonts w:ascii="Arial" w:hAnsi="Arial" w:cs="Arial"/>
          <w:b/>
        </w:rPr>
        <w:t>eing</w:t>
      </w:r>
      <w:r w:rsidR="00504699" w:rsidRPr="00175A02">
        <w:rPr>
          <w:rFonts w:ascii="Arial" w:hAnsi="Arial" w:cs="Arial"/>
          <w:b/>
        </w:rPr>
        <w:t xml:space="preserve"> and</w:t>
      </w:r>
      <w:r w:rsidR="00060415" w:rsidRPr="00175A02">
        <w:rPr>
          <w:rFonts w:ascii="Arial" w:hAnsi="Arial" w:cs="Arial"/>
          <w:b/>
        </w:rPr>
        <w:t xml:space="preserve"> anxiety</w:t>
      </w:r>
    </w:p>
    <w:p w14:paraId="4500AC8E" w14:textId="51CE1B64" w:rsidR="00B81B57" w:rsidRPr="00175A02" w:rsidRDefault="00B417DC" w:rsidP="00FD22FC">
      <w:pPr>
        <w:spacing w:after="0"/>
        <w:jc w:val="both"/>
        <w:rPr>
          <w:rFonts w:ascii="Arial" w:hAnsi="Arial" w:cs="Arial"/>
        </w:rPr>
      </w:pPr>
      <w:r w:rsidRPr="00175A02">
        <w:rPr>
          <w:rFonts w:ascii="Arial" w:hAnsi="Arial" w:cs="Arial"/>
        </w:rPr>
        <w:t>Of those having received &gt;0 hours at T1</w:t>
      </w:r>
      <w:r w:rsidR="000574E6" w:rsidRPr="00175A02">
        <w:rPr>
          <w:rFonts w:ascii="Arial" w:hAnsi="Arial" w:cs="Arial"/>
        </w:rPr>
        <w:t xml:space="preserve"> (n=25</w:t>
      </w:r>
      <w:r w:rsidR="00AC6B4C" w:rsidRPr="00175A02">
        <w:rPr>
          <w:rFonts w:ascii="Arial" w:hAnsi="Arial" w:cs="Arial"/>
        </w:rPr>
        <w:t>1</w:t>
      </w:r>
      <w:r w:rsidR="000574E6" w:rsidRPr="00175A02">
        <w:rPr>
          <w:rFonts w:ascii="Arial" w:hAnsi="Arial" w:cs="Arial"/>
        </w:rPr>
        <w:t>)</w:t>
      </w:r>
      <w:r w:rsidRPr="00175A02">
        <w:rPr>
          <w:rFonts w:ascii="Arial" w:hAnsi="Arial" w:cs="Arial"/>
        </w:rPr>
        <w:t>, w</w:t>
      </w:r>
      <w:r w:rsidR="00FF781F" w:rsidRPr="00175A02">
        <w:rPr>
          <w:rFonts w:ascii="Arial" w:hAnsi="Arial" w:cs="Arial"/>
        </w:rPr>
        <w:t>e combined current</w:t>
      </w:r>
      <w:r w:rsidR="007E69B0" w:rsidRPr="00175A02">
        <w:rPr>
          <w:rFonts w:ascii="Arial" w:hAnsi="Arial" w:cs="Arial"/>
        </w:rPr>
        <w:t xml:space="preserve"> and former carers </w:t>
      </w:r>
      <w:r w:rsidR="00FF781F" w:rsidRPr="00175A02">
        <w:rPr>
          <w:rFonts w:ascii="Arial" w:hAnsi="Arial" w:cs="Arial"/>
        </w:rPr>
        <w:t>into one single</w:t>
      </w:r>
      <w:r w:rsidR="007E69B0" w:rsidRPr="00175A02">
        <w:rPr>
          <w:rFonts w:ascii="Arial" w:hAnsi="Arial" w:cs="Arial"/>
        </w:rPr>
        <w:t xml:space="preserve"> carers group (n=1</w:t>
      </w:r>
      <w:r w:rsidR="000F2A5E" w:rsidRPr="00175A02">
        <w:rPr>
          <w:rFonts w:ascii="Arial" w:hAnsi="Arial" w:cs="Arial"/>
        </w:rPr>
        <w:t>7</w:t>
      </w:r>
      <w:r w:rsidR="00065857" w:rsidRPr="00175A02">
        <w:rPr>
          <w:rFonts w:ascii="Arial" w:hAnsi="Arial" w:cs="Arial"/>
        </w:rPr>
        <w:t>9</w:t>
      </w:r>
      <w:r w:rsidR="007E69B0" w:rsidRPr="00175A02">
        <w:rPr>
          <w:rFonts w:ascii="Arial" w:hAnsi="Arial" w:cs="Arial"/>
        </w:rPr>
        <w:t>)</w:t>
      </w:r>
      <w:r w:rsidR="00FF781F" w:rsidRPr="00175A02">
        <w:rPr>
          <w:rFonts w:ascii="Arial" w:hAnsi="Arial" w:cs="Arial"/>
        </w:rPr>
        <w:t>, to increase the power of this group for the regression model</w:t>
      </w:r>
      <w:r w:rsidR="007E69B0" w:rsidRPr="00175A02">
        <w:rPr>
          <w:rFonts w:ascii="Arial" w:hAnsi="Arial" w:cs="Arial"/>
        </w:rPr>
        <w:t xml:space="preserve">. </w:t>
      </w:r>
    </w:p>
    <w:p w14:paraId="20E408A1" w14:textId="3008EF15" w:rsidR="007E69B0" w:rsidRPr="00175A02" w:rsidRDefault="007E69B0" w:rsidP="00FD22FC">
      <w:pPr>
        <w:spacing w:after="0"/>
        <w:jc w:val="both"/>
        <w:rPr>
          <w:rFonts w:ascii="Arial" w:hAnsi="Arial" w:cs="Arial"/>
        </w:rPr>
      </w:pPr>
      <w:r w:rsidRPr="00175A02">
        <w:rPr>
          <w:rFonts w:ascii="Arial" w:hAnsi="Arial" w:cs="Arial"/>
        </w:rPr>
        <w:tab/>
        <w:t xml:space="preserve">Bivariate correlation analysis prior to the regression modelling shows that for PLWD, variation in social support hours was significantly related only to </w:t>
      </w:r>
      <w:r w:rsidR="00047DAB" w:rsidRPr="00175A02">
        <w:rPr>
          <w:rFonts w:ascii="Arial" w:hAnsi="Arial" w:cs="Arial"/>
        </w:rPr>
        <w:t xml:space="preserve">higher </w:t>
      </w:r>
      <w:r w:rsidRPr="00175A02">
        <w:rPr>
          <w:rFonts w:ascii="Arial" w:hAnsi="Arial" w:cs="Arial"/>
        </w:rPr>
        <w:t>GAD-7</w:t>
      </w:r>
      <w:r w:rsidR="00047DAB" w:rsidRPr="00175A02">
        <w:rPr>
          <w:rFonts w:ascii="Arial" w:hAnsi="Arial" w:cs="Arial"/>
        </w:rPr>
        <w:t xml:space="preserve"> scores</w:t>
      </w:r>
      <w:r w:rsidRPr="00175A02">
        <w:rPr>
          <w:rFonts w:ascii="Arial" w:hAnsi="Arial" w:cs="Arial"/>
        </w:rPr>
        <w:t xml:space="preserve"> (p&lt;.</w:t>
      </w:r>
      <w:r w:rsidR="00187473" w:rsidRPr="00175A02">
        <w:rPr>
          <w:rFonts w:ascii="Arial" w:hAnsi="Arial" w:cs="Arial"/>
        </w:rPr>
        <w:t>05</w:t>
      </w:r>
      <w:r w:rsidRPr="00175A02">
        <w:rPr>
          <w:rFonts w:ascii="Arial" w:hAnsi="Arial" w:cs="Arial"/>
        </w:rPr>
        <w:t>), not the SWEMWBS (p=.</w:t>
      </w:r>
      <w:r w:rsidR="00651516" w:rsidRPr="00175A02">
        <w:rPr>
          <w:rFonts w:ascii="Arial" w:hAnsi="Arial" w:cs="Arial"/>
        </w:rPr>
        <w:t>392</w:t>
      </w:r>
      <w:r w:rsidRPr="00175A02">
        <w:rPr>
          <w:rFonts w:ascii="Arial" w:hAnsi="Arial" w:cs="Arial"/>
        </w:rPr>
        <w:t>) or PHQ-9 (p=.</w:t>
      </w:r>
      <w:r w:rsidR="00651516" w:rsidRPr="00175A02">
        <w:rPr>
          <w:rFonts w:ascii="Arial" w:hAnsi="Arial" w:cs="Arial"/>
        </w:rPr>
        <w:t>862</w:t>
      </w:r>
      <w:r w:rsidRPr="00175A02">
        <w:rPr>
          <w:rFonts w:ascii="Arial" w:hAnsi="Arial" w:cs="Arial"/>
        </w:rPr>
        <w:t xml:space="preserve">). For carers, variation in social support hours was significantly related </w:t>
      </w:r>
      <w:r w:rsidR="00187473" w:rsidRPr="00175A02">
        <w:rPr>
          <w:rFonts w:ascii="Arial" w:hAnsi="Arial" w:cs="Arial"/>
        </w:rPr>
        <w:t xml:space="preserve">to the </w:t>
      </w:r>
      <w:r w:rsidR="00047DAB" w:rsidRPr="00175A02">
        <w:rPr>
          <w:rFonts w:ascii="Arial" w:hAnsi="Arial" w:cs="Arial"/>
        </w:rPr>
        <w:t xml:space="preserve">reduced scores on the </w:t>
      </w:r>
      <w:r w:rsidR="00187473" w:rsidRPr="00175A02">
        <w:rPr>
          <w:rFonts w:ascii="Arial" w:hAnsi="Arial" w:cs="Arial"/>
        </w:rPr>
        <w:t>SWEMWBS (p&lt;.0</w:t>
      </w:r>
      <w:r w:rsidR="00FC00CA" w:rsidRPr="00175A02">
        <w:rPr>
          <w:rFonts w:ascii="Arial" w:hAnsi="Arial" w:cs="Arial"/>
        </w:rPr>
        <w:t>1</w:t>
      </w:r>
      <w:r w:rsidR="00187473" w:rsidRPr="00175A02">
        <w:rPr>
          <w:rFonts w:ascii="Arial" w:hAnsi="Arial" w:cs="Arial"/>
        </w:rPr>
        <w:t>), not the GAD-7 (p=.</w:t>
      </w:r>
      <w:r w:rsidR="00FC00CA" w:rsidRPr="00175A02">
        <w:rPr>
          <w:rFonts w:ascii="Arial" w:hAnsi="Arial" w:cs="Arial"/>
        </w:rPr>
        <w:t>777</w:t>
      </w:r>
      <w:r w:rsidR="00187473" w:rsidRPr="00175A02">
        <w:rPr>
          <w:rFonts w:ascii="Arial" w:hAnsi="Arial" w:cs="Arial"/>
        </w:rPr>
        <w:t xml:space="preserve">) or the </w:t>
      </w:r>
      <w:r w:rsidR="004B02B9" w:rsidRPr="00175A02">
        <w:rPr>
          <w:rFonts w:ascii="Arial" w:hAnsi="Arial" w:cs="Arial"/>
        </w:rPr>
        <w:t>PHQ-9 (p=.</w:t>
      </w:r>
      <w:r w:rsidR="00FC00CA" w:rsidRPr="00175A02">
        <w:rPr>
          <w:rFonts w:ascii="Arial" w:hAnsi="Arial" w:cs="Arial"/>
        </w:rPr>
        <w:t>475</w:t>
      </w:r>
      <w:r w:rsidR="004B02B9" w:rsidRPr="00175A02">
        <w:rPr>
          <w:rFonts w:ascii="Arial" w:hAnsi="Arial" w:cs="Arial"/>
        </w:rPr>
        <w:t xml:space="preserve">). For older adults, hours were significantly related to </w:t>
      </w:r>
      <w:r w:rsidR="00047DAB" w:rsidRPr="00175A02">
        <w:rPr>
          <w:rFonts w:ascii="Arial" w:hAnsi="Arial" w:cs="Arial"/>
        </w:rPr>
        <w:t xml:space="preserve">reduced scores on the </w:t>
      </w:r>
      <w:r w:rsidR="000211C9" w:rsidRPr="00175A02">
        <w:rPr>
          <w:rFonts w:ascii="Arial" w:hAnsi="Arial" w:cs="Arial"/>
        </w:rPr>
        <w:t>SWEMWBS (p&lt;.0</w:t>
      </w:r>
      <w:r w:rsidR="000E47F3" w:rsidRPr="00175A02">
        <w:rPr>
          <w:rFonts w:ascii="Arial" w:hAnsi="Arial" w:cs="Arial"/>
        </w:rPr>
        <w:t>5</w:t>
      </w:r>
      <w:r w:rsidR="000211C9" w:rsidRPr="00175A02">
        <w:rPr>
          <w:rFonts w:ascii="Arial" w:hAnsi="Arial" w:cs="Arial"/>
        </w:rPr>
        <w:t xml:space="preserve">) and </w:t>
      </w:r>
      <w:r w:rsidR="00047DAB" w:rsidRPr="00175A02">
        <w:rPr>
          <w:rFonts w:ascii="Arial" w:hAnsi="Arial" w:cs="Arial"/>
        </w:rPr>
        <w:t xml:space="preserve">higher scores on the </w:t>
      </w:r>
      <w:r w:rsidR="000211C9" w:rsidRPr="00175A02">
        <w:rPr>
          <w:rFonts w:ascii="Arial" w:hAnsi="Arial" w:cs="Arial"/>
        </w:rPr>
        <w:t>GAD-7 (</w:t>
      </w:r>
      <w:r w:rsidR="00D203BC" w:rsidRPr="00175A02">
        <w:rPr>
          <w:rFonts w:ascii="Arial" w:hAnsi="Arial" w:cs="Arial"/>
        </w:rPr>
        <w:t>p&lt;.0</w:t>
      </w:r>
      <w:r w:rsidR="000E47F3" w:rsidRPr="00175A02">
        <w:rPr>
          <w:rFonts w:ascii="Arial" w:hAnsi="Arial" w:cs="Arial"/>
        </w:rPr>
        <w:t>5</w:t>
      </w:r>
      <w:r w:rsidR="00D203BC" w:rsidRPr="00175A02">
        <w:rPr>
          <w:rFonts w:ascii="Arial" w:hAnsi="Arial" w:cs="Arial"/>
        </w:rPr>
        <w:t>)</w:t>
      </w:r>
      <w:r w:rsidR="000E47F3" w:rsidRPr="00175A02">
        <w:rPr>
          <w:rFonts w:ascii="Arial" w:hAnsi="Arial" w:cs="Arial"/>
        </w:rPr>
        <w:t>, not</w:t>
      </w:r>
      <w:r w:rsidR="00D203BC" w:rsidRPr="00175A02">
        <w:rPr>
          <w:rFonts w:ascii="Arial" w:hAnsi="Arial" w:cs="Arial"/>
        </w:rPr>
        <w:t xml:space="preserve"> the PHQ-9 (p</w:t>
      </w:r>
      <w:r w:rsidR="000E47F3" w:rsidRPr="00175A02">
        <w:rPr>
          <w:rFonts w:ascii="Arial" w:hAnsi="Arial" w:cs="Arial"/>
        </w:rPr>
        <w:t>=.155</w:t>
      </w:r>
      <w:r w:rsidR="00D203BC" w:rsidRPr="00175A02">
        <w:rPr>
          <w:rFonts w:ascii="Arial" w:hAnsi="Arial" w:cs="Arial"/>
        </w:rPr>
        <w:t>).</w:t>
      </w:r>
      <w:r w:rsidR="008A7F15" w:rsidRPr="00175A02">
        <w:rPr>
          <w:rFonts w:ascii="Arial" w:hAnsi="Arial" w:cs="Arial"/>
        </w:rPr>
        <w:t xml:space="preserve"> </w:t>
      </w:r>
    </w:p>
    <w:p w14:paraId="505F174E" w14:textId="13D9B2B6" w:rsidR="00481F35" w:rsidRPr="00175A02" w:rsidRDefault="00D203BC" w:rsidP="00D575A1">
      <w:pPr>
        <w:spacing w:after="0"/>
        <w:jc w:val="both"/>
        <w:rPr>
          <w:rFonts w:ascii="Arial" w:hAnsi="Arial" w:cs="Arial"/>
        </w:rPr>
      </w:pPr>
      <w:bookmarkStart w:id="2" w:name="_Hlk50487704"/>
      <w:r w:rsidRPr="00175A02">
        <w:rPr>
          <w:rFonts w:ascii="Arial" w:hAnsi="Arial" w:cs="Arial"/>
        </w:rPr>
        <w:tab/>
        <w:t>F</w:t>
      </w:r>
      <w:r w:rsidR="000E47F3" w:rsidRPr="00175A02">
        <w:rPr>
          <w:rFonts w:ascii="Arial" w:hAnsi="Arial" w:cs="Arial"/>
        </w:rPr>
        <w:t>our</w:t>
      </w:r>
      <w:r w:rsidRPr="00175A02">
        <w:rPr>
          <w:rFonts w:ascii="Arial" w:hAnsi="Arial" w:cs="Arial"/>
        </w:rPr>
        <w:t xml:space="preserve"> multiple regression analyses were conducted (see Table </w:t>
      </w:r>
      <w:r w:rsidR="008A7F15" w:rsidRPr="00175A02">
        <w:rPr>
          <w:rFonts w:ascii="Arial" w:hAnsi="Arial" w:cs="Arial"/>
        </w:rPr>
        <w:t>3</w:t>
      </w:r>
      <w:r w:rsidRPr="00175A02">
        <w:rPr>
          <w:rFonts w:ascii="Arial" w:hAnsi="Arial" w:cs="Arial"/>
        </w:rPr>
        <w:t xml:space="preserve"> for further details). </w:t>
      </w:r>
      <w:r w:rsidR="001063BD" w:rsidRPr="00175A02">
        <w:rPr>
          <w:rFonts w:ascii="Arial" w:hAnsi="Arial" w:cs="Arial"/>
        </w:rPr>
        <w:t>Variation in social support service hours were significant</w:t>
      </w:r>
      <w:r w:rsidR="008938C6" w:rsidRPr="00175A02">
        <w:rPr>
          <w:rFonts w:ascii="Arial" w:hAnsi="Arial" w:cs="Arial"/>
        </w:rPr>
        <w:t>ly</w:t>
      </w:r>
      <w:r w:rsidR="001063BD" w:rsidRPr="00175A02">
        <w:rPr>
          <w:rFonts w:ascii="Arial" w:hAnsi="Arial" w:cs="Arial"/>
        </w:rPr>
        <w:t xml:space="preserve"> </w:t>
      </w:r>
      <w:r w:rsidR="008938C6" w:rsidRPr="00175A02">
        <w:rPr>
          <w:rFonts w:ascii="Arial" w:hAnsi="Arial" w:cs="Arial"/>
        </w:rPr>
        <w:t>related with</w:t>
      </w:r>
      <w:r w:rsidR="001063BD" w:rsidRPr="00175A02">
        <w:rPr>
          <w:rFonts w:ascii="Arial" w:hAnsi="Arial" w:cs="Arial"/>
        </w:rPr>
        <w:t xml:space="preserve"> anxiety in PLWD (p&lt;.</w:t>
      </w:r>
      <w:r w:rsidR="008C7112" w:rsidRPr="00175A02">
        <w:rPr>
          <w:rFonts w:ascii="Arial" w:hAnsi="Arial" w:cs="Arial"/>
        </w:rPr>
        <w:t>05</w:t>
      </w:r>
      <w:r w:rsidR="001063BD" w:rsidRPr="00175A02">
        <w:rPr>
          <w:rFonts w:ascii="Arial" w:hAnsi="Arial" w:cs="Arial"/>
        </w:rPr>
        <w:t xml:space="preserve">), </w:t>
      </w:r>
      <w:r w:rsidR="003215AD" w:rsidRPr="00175A02">
        <w:rPr>
          <w:rFonts w:ascii="Arial" w:hAnsi="Arial" w:cs="Arial"/>
        </w:rPr>
        <w:t xml:space="preserve">mental </w:t>
      </w:r>
      <w:r w:rsidR="001063BD" w:rsidRPr="00175A02">
        <w:rPr>
          <w:rFonts w:ascii="Arial" w:hAnsi="Arial" w:cs="Arial"/>
        </w:rPr>
        <w:t>well-being in carers (p&lt;.</w:t>
      </w:r>
      <w:r w:rsidR="002D37F4" w:rsidRPr="00175A02">
        <w:rPr>
          <w:rFonts w:ascii="Arial" w:hAnsi="Arial" w:cs="Arial"/>
        </w:rPr>
        <w:t>05</w:t>
      </w:r>
      <w:r w:rsidR="001063BD" w:rsidRPr="00175A02">
        <w:rPr>
          <w:rFonts w:ascii="Arial" w:hAnsi="Arial" w:cs="Arial"/>
        </w:rPr>
        <w:t xml:space="preserve">), and </w:t>
      </w:r>
      <w:r w:rsidR="003215AD" w:rsidRPr="00175A02">
        <w:rPr>
          <w:rFonts w:ascii="Arial" w:hAnsi="Arial" w:cs="Arial"/>
        </w:rPr>
        <w:t xml:space="preserve">mental </w:t>
      </w:r>
      <w:r w:rsidR="001063BD" w:rsidRPr="00175A02">
        <w:rPr>
          <w:rFonts w:ascii="Arial" w:hAnsi="Arial" w:cs="Arial"/>
        </w:rPr>
        <w:t>well-being</w:t>
      </w:r>
      <w:r w:rsidR="00AE2D5D" w:rsidRPr="00175A02">
        <w:rPr>
          <w:rFonts w:ascii="Arial" w:hAnsi="Arial" w:cs="Arial"/>
        </w:rPr>
        <w:t xml:space="preserve"> and </w:t>
      </w:r>
      <w:r w:rsidR="001063BD" w:rsidRPr="00175A02">
        <w:rPr>
          <w:rFonts w:ascii="Arial" w:hAnsi="Arial" w:cs="Arial"/>
        </w:rPr>
        <w:t>anxiety</w:t>
      </w:r>
      <w:r w:rsidR="00AE2D5D" w:rsidRPr="00175A02">
        <w:rPr>
          <w:rFonts w:ascii="Arial" w:hAnsi="Arial" w:cs="Arial"/>
        </w:rPr>
        <w:t xml:space="preserve"> </w:t>
      </w:r>
      <w:r w:rsidR="001063BD" w:rsidRPr="00175A02">
        <w:rPr>
          <w:rFonts w:ascii="Arial" w:hAnsi="Arial" w:cs="Arial"/>
        </w:rPr>
        <w:t>in older adults (p&lt;.</w:t>
      </w:r>
      <w:r w:rsidR="002D37F4" w:rsidRPr="00175A02">
        <w:rPr>
          <w:rFonts w:ascii="Arial" w:hAnsi="Arial" w:cs="Arial"/>
        </w:rPr>
        <w:t>05</w:t>
      </w:r>
      <w:r w:rsidR="001063BD" w:rsidRPr="00175A02">
        <w:rPr>
          <w:rFonts w:ascii="Arial" w:hAnsi="Arial" w:cs="Arial"/>
        </w:rPr>
        <w:t>; p&lt;.</w:t>
      </w:r>
      <w:r w:rsidR="002D37F4" w:rsidRPr="00175A02">
        <w:rPr>
          <w:rFonts w:ascii="Arial" w:hAnsi="Arial" w:cs="Arial"/>
        </w:rPr>
        <w:t>05</w:t>
      </w:r>
      <w:r w:rsidR="00AE2D5D" w:rsidRPr="00175A02">
        <w:rPr>
          <w:rFonts w:ascii="Arial" w:hAnsi="Arial" w:cs="Arial"/>
        </w:rPr>
        <w:t>)</w:t>
      </w:r>
      <w:r w:rsidR="001063BD" w:rsidRPr="00175A02">
        <w:rPr>
          <w:rFonts w:ascii="Arial" w:hAnsi="Arial" w:cs="Arial"/>
        </w:rPr>
        <w:t xml:space="preserve">, all of whom had received </w:t>
      </w:r>
      <w:r w:rsidR="008A7F15" w:rsidRPr="00175A02">
        <w:rPr>
          <w:rFonts w:ascii="Arial" w:hAnsi="Arial" w:cs="Arial"/>
        </w:rPr>
        <w:t>at least some</w:t>
      </w:r>
      <w:r w:rsidR="001063BD" w:rsidRPr="00175A02">
        <w:rPr>
          <w:rFonts w:ascii="Arial" w:hAnsi="Arial" w:cs="Arial"/>
        </w:rPr>
        <w:t xml:space="preserve"> weekly hours pre COVID. </w:t>
      </w:r>
      <w:bookmarkStart w:id="3" w:name="_Hlk43726900"/>
      <w:r w:rsidR="005F483C" w:rsidRPr="00175A02">
        <w:rPr>
          <w:rFonts w:ascii="Arial" w:hAnsi="Arial" w:cs="Arial"/>
          <w:shd w:val="clear" w:color="auto" w:fill="FFFFFF"/>
        </w:rPr>
        <w:t xml:space="preserve">When running the multiple regression analysis for carers with current carers only, results were comparable to the model with both former and current carers merged, but variation in hours of social support service usage failed to achieve statistical significance (p&gt;.05). </w:t>
      </w:r>
      <w:bookmarkEnd w:id="3"/>
      <w:r w:rsidR="002A01CD" w:rsidRPr="00175A02">
        <w:rPr>
          <w:rFonts w:ascii="Arial" w:hAnsi="Arial" w:cs="Arial"/>
        </w:rPr>
        <w:t>H</w:t>
      </w:r>
      <w:r w:rsidR="002D37F4" w:rsidRPr="00175A02">
        <w:rPr>
          <w:rFonts w:ascii="Arial" w:hAnsi="Arial" w:cs="Arial"/>
        </w:rPr>
        <w:t>igher levels of variation in hours of support were related to higher levels of anxiety and</w:t>
      </w:r>
      <w:r w:rsidR="008938C6" w:rsidRPr="00175A02">
        <w:rPr>
          <w:rFonts w:ascii="Arial" w:hAnsi="Arial" w:cs="Arial"/>
        </w:rPr>
        <w:t xml:space="preserve"> lower</w:t>
      </w:r>
      <w:r w:rsidR="002D37F4" w:rsidRPr="00175A02">
        <w:rPr>
          <w:rFonts w:ascii="Arial" w:hAnsi="Arial" w:cs="Arial"/>
        </w:rPr>
        <w:t xml:space="preserve"> levels of well-being. </w:t>
      </w:r>
      <w:r w:rsidR="001063BD" w:rsidRPr="00175A02">
        <w:rPr>
          <w:rFonts w:ascii="Arial" w:hAnsi="Arial" w:cs="Arial"/>
        </w:rPr>
        <w:t>Other factors such as age, gender, years of education, living situation (alone/</w:t>
      </w:r>
      <w:r w:rsidR="00D575A1" w:rsidRPr="00175A02">
        <w:rPr>
          <w:rFonts w:ascii="Arial" w:hAnsi="Arial" w:cs="Arial"/>
        </w:rPr>
        <w:t xml:space="preserve">with others), and IMD </w:t>
      </w:r>
      <w:r w:rsidR="005F483C" w:rsidRPr="00175A02">
        <w:rPr>
          <w:rFonts w:ascii="Arial" w:hAnsi="Arial" w:cs="Arial"/>
        </w:rPr>
        <w:t>q</w:t>
      </w:r>
      <w:r w:rsidR="00D575A1" w:rsidRPr="00175A02">
        <w:rPr>
          <w:rFonts w:ascii="Arial" w:hAnsi="Arial" w:cs="Arial"/>
        </w:rPr>
        <w:t>uintile</w:t>
      </w:r>
      <w:r w:rsidR="005F483C" w:rsidRPr="00175A02">
        <w:rPr>
          <w:rFonts w:ascii="Arial" w:hAnsi="Arial" w:cs="Arial"/>
        </w:rPr>
        <w:t>s</w:t>
      </w:r>
      <w:r w:rsidR="00D575A1" w:rsidRPr="00175A02">
        <w:rPr>
          <w:rFonts w:ascii="Arial" w:hAnsi="Arial" w:cs="Arial"/>
        </w:rPr>
        <w:t xml:space="preserve"> were not found to be significant</w:t>
      </w:r>
      <w:r w:rsidR="008938C6" w:rsidRPr="00175A02">
        <w:rPr>
          <w:rFonts w:ascii="Arial" w:hAnsi="Arial" w:cs="Arial"/>
        </w:rPr>
        <w:t>ly associated</w:t>
      </w:r>
      <w:r w:rsidR="00D575A1" w:rsidRPr="00175A02">
        <w:rPr>
          <w:rFonts w:ascii="Arial" w:hAnsi="Arial" w:cs="Arial"/>
        </w:rPr>
        <w:t xml:space="preserve">. </w:t>
      </w:r>
    </w:p>
    <w:bookmarkEnd w:id="2"/>
    <w:p w14:paraId="12149EE1" w14:textId="77777777" w:rsidR="00481F35" w:rsidRPr="00175A02" w:rsidRDefault="00481F35" w:rsidP="00634946">
      <w:pPr>
        <w:ind w:firstLine="720"/>
        <w:jc w:val="both"/>
        <w:rPr>
          <w:rFonts w:ascii="Arial" w:hAnsi="Arial" w:cs="Arial"/>
        </w:rPr>
      </w:pPr>
    </w:p>
    <w:p w14:paraId="36C2170D" w14:textId="1F554F6D" w:rsidR="00FC6310" w:rsidRPr="00175A02" w:rsidRDefault="000E3294" w:rsidP="00144391">
      <w:pPr>
        <w:jc w:val="both"/>
        <w:rPr>
          <w:rFonts w:ascii="Arial" w:hAnsi="Arial" w:cs="Arial"/>
          <w:b/>
          <w:sz w:val="24"/>
        </w:rPr>
      </w:pPr>
      <w:r w:rsidRPr="00175A02">
        <w:rPr>
          <w:rFonts w:ascii="Arial" w:hAnsi="Arial" w:cs="Arial"/>
          <w:b/>
          <w:sz w:val="24"/>
        </w:rPr>
        <w:t>Discussion</w:t>
      </w:r>
    </w:p>
    <w:p w14:paraId="6A2632DC" w14:textId="16AD4AEF" w:rsidR="00D203BC" w:rsidRPr="00175A02" w:rsidRDefault="00714D71" w:rsidP="00697276">
      <w:pPr>
        <w:spacing w:after="0"/>
        <w:jc w:val="both"/>
        <w:rPr>
          <w:rFonts w:ascii="Arial" w:hAnsi="Arial" w:cs="Arial"/>
        </w:rPr>
      </w:pPr>
      <w:r w:rsidRPr="00175A02">
        <w:rPr>
          <w:rFonts w:ascii="Arial" w:hAnsi="Arial" w:cs="Arial"/>
        </w:rPr>
        <w:t xml:space="preserve">Our study is </w:t>
      </w:r>
      <w:r w:rsidR="00D203BC" w:rsidRPr="00175A02">
        <w:rPr>
          <w:rFonts w:ascii="Arial" w:hAnsi="Arial" w:cs="Arial"/>
        </w:rPr>
        <w:t xml:space="preserve">the first </w:t>
      </w:r>
      <w:r w:rsidRPr="00175A02">
        <w:rPr>
          <w:rFonts w:ascii="Arial" w:hAnsi="Arial" w:cs="Arial"/>
        </w:rPr>
        <w:t xml:space="preserve">to </w:t>
      </w:r>
      <w:r w:rsidR="00DF390D" w:rsidRPr="00175A02">
        <w:rPr>
          <w:rFonts w:ascii="Arial" w:hAnsi="Arial" w:cs="Arial"/>
        </w:rPr>
        <w:t>quantify how the pandemic has impacted</w:t>
      </w:r>
      <w:r w:rsidR="00D203BC" w:rsidRPr="00175A02">
        <w:rPr>
          <w:rFonts w:ascii="Arial" w:hAnsi="Arial" w:cs="Arial"/>
        </w:rPr>
        <w:t xml:space="preserve"> social support service </w:t>
      </w:r>
      <w:r w:rsidR="00DF390D" w:rsidRPr="00175A02">
        <w:rPr>
          <w:rFonts w:ascii="Arial" w:hAnsi="Arial" w:cs="Arial"/>
        </w:rPr>
        <w:t xml:space="preserve">availability, and to explore the impact of this </w:t>
      </w:r>
      <w:r w:rsidR="00D203BC" w:rsidRPr="00175A02">
        <w:rPr>
          <w:rFonts w:ascii="Arial" w:hAnsi="Arial" w:cs="Arial"/>
        </w:rPr>
        <w:t xml:space="preserve">on the lives of people affected by dementia as well as older adults across the UK. </w:t>
      </w:r>
      <w:r w:rsidR="00D83D1E" w:rsidRPr="00175A02">
        <w:rPr>
          <w:rFonts w:ascii="Arial" w:hAnsi="Arial" w:cs="Arial"/>
        </w:rPr>
        <w:t xml:space="preserve">For those who had received social support services pre COVID, </w:t>
      </w:r>
      <w:r w:rsidRPr="00175A02">
        <w:rPr>
          <w:rFonts w:ascii="Arial" w:hAnsi="Arial" w:cs="Arial"/>
        </w:rPr>
        <w:t>reductions</w:t>
      </w:r>
      <w:r w:rsidR="00D83D1E" w:rsidRPr="00175A02">
        <w:rPr>
          <w:rFonts w:ascii="Arial" w:hAnsi="Arial" w:cs="Arial"/>
        </w:rPr>
        <w:t xml:space="preserve"> in weekly social support service hours were </w:t>
      </w:r>
      <w:r w:rsidRPr="00175A02">
        <w:rPr>
          <w:rFonts w:ascii="Arial" w:hAnsi="Arial" w:cs="Arial"/>
        </w:rPr>
        <w:t>significantly associated with reduced</w:t>
      </w:r>
      <w:r w:rsidR="00D83D1E" w:rsidRPr="00175A02">
        <w:rPr>
          <w:rFonts w:ascii="Arial" w:hAnsi="Arial" w:cs="Arial"/>
        </w:rPr>
        <w:t xml:space="preserve"> levels of well-being</w:t>
      </w:r>
      <w:r w:rsidR="004D208D" w:rsidRPr="00175A02">
        <w:rPr>
          <w:rFonts w:ascii="Arial" w:hAnsi="Arial" w:cs="Arial"/>
        </w:rPr>
        <w:t xml:space="preserve"> </w:t>
      </w:r>
      <w:r w:rsidR="007855DB" w:rsidRPr="00175A02">
        <w:rPr>
          <w:rFonts w:ascii="Arial" w:hAnsi="Arial" w:cs="Arial"/>
        </w:rPr>
        <w:t xml:space="preserve">in carers and older adults </w:t>
      </w:r>
      <w:r w:rsidR="004D208D" w:rsidRPr="00175A02">
        <w:rPr>
          <w:rFonts w:ascii="Arial" w:hAnsi="Arial" w:cs="Arial"/>
        </w:rPr>
        <w:t xml:space="preserve">and </w:t>
      </w:r>
      <w:r w:rsidR="00D83D1E" w:rsidRPr="00175A02">
        <w:rPr>
          <w:rFonts w:ascii="Arial" w:hAnsi="Arial" w:cs="Arial"/>
        </w:rPr>
        <w:t>anxiety</w:t>
      </w:r>
      <w:r w:rsidR="007855DB" w:rsidRPr="00175A02">
        <w:rPr>
          <w:rFonts w:ascii="Arial" w:hAnsi="Arial" w:cs="Arial"/>
        </w:rPr>
        <w:t xml:space="preserve"> in PLWD and older adults</w:t>
      </w:r>
      <w:r w:rsidR="004D208D" w:rsidRPr="00175A02">
        <w:rPr>
          <w:rFonts w:ascii="Arial" w:hAnsi="Arial" w:cs="Arial"/>
        </w:rPr>
        <w:t>. At this stage, we did not demonstrate a relationship with depression.</w:t>
      </w:r>
    </w:p>
    <w:p w14:paraId="1A951A40" w14:textId="69EE2255" w:rsidR="00441F91" w:rsidRPr="00175A02" w:rsidRDefault="00D83D1E" w:rsidP="002F2512">
      <w:pPr>
        <w:spacing w:after="0"/>
        <w:jc w:val="both"/>
        <w:rPr>
          <w:rFonts w:ascii="Arial" w:hAnsi="Arial" w:cs="Arial"/>
        </w:rPr>
      </w:pPr>
      <w:r w:rsidRPr="00175A02">
        <w:rPr>
          <w:rFonts w:ascii="Arial" w:hAnsi="Arial" w:cs="Arial"/>
        </w:rPr>
        <w:tab/>
      </w:r>
      <w:r w:rsidR="00D53A3B" w:rsidRPr="00175A02">
        <w:rPr>
          <w:rFonts w:ascii="Arial" w:hAnsi="Arial" w:cs="Arial"/>
        </w:rPr>
        <w:t xml:space="preserve">As a result of COVID-related public health restrictions, nearly all forms of social support services, including day care centres, </w:t>
      </w:r>
      <w:r w:rsidR="00A7219D" w:rsidRPr="00175A02">
        <w:rPr>
          <w:rFonts w:ascii="Arial" w:hAnsi="Arial" w:cs="Arial"/>
        </w:rPr>
        <w:t>peer support groups, and social activities in the community</w:t>
      </w:r>
      <w:r w:rsidR="00D53A3B" w:rsidRPr="00175A02">
        <w:rPr>
          <w:rFonts w:ascii="Arial" w:hAnsi="Arial" w:cs="Arial"/>
        </w:rPr>
        <w:t xml:space="preserve">, have </w:t>
      </w:r>
      <w:r w:rsidR="00712AFC" w:rsidRPr="00175A02">
        <w:rPr>
          <w:rFonts w:ascii="Arial" w:hAnsi="Arial" w:cs="Arial"/>
        </w:rPr>
        <w:t xml:space="preserve">had </w:t>
      </w:r>
      <w:r w:rsidR="00D53A3B" w:rsidRPr="00175A02">
        <w:rPr>
          <w:rFonts w:ascii="Arial" w:hAnsi="Arial" w:cs="Arial"/>
        </w:rPr>
        <w:t xml:space="preserve">to </w:t>
      </w:r>
      <w:r w:rsidR="007855DB" w:rsidRPr="00175A02">
        <w:rPr>
          <w:rFonts w:ascii="Arial" w:hAnsi="Arial" w:cs="Arial"/>
        </w:rPr>
        <w:t>stop</w:t>
      </w:r>
      <w:r w:rsidR="00D53A3B" w:rsidRPr="00175A02">
        <w:rPr>
          <w:rFonts w:ascii="Arial" w:hAnsi="Arial" w:cs="Arial"/>
        </w:rPr>
        <w:t xml:space="preserve"> </w:t>
      </w:r>
      <w:r w:rsidR="00712AFC" w:rsidRPr="00175A02">
        <w:rPr>
          <w:rFonts w:ascii="Arial" w:hAnsi="Arial" w:cs="Arial"/>
        </w:rPr>
        <w:t xml:space="preserve">face-to-face service provision at least </w:t>
      </w:r>
      <w:r w:rsidR="00D53A3B" w:rsidRPr="00175A02">
        <w:rPr>
          <w:rFonts w:ascii="Arial" w:hAnsi="Arial" w:cs="Arial"/>
        </w:rPr>
        <w:t>temporarily</w:t>
      </w:r>
      <w:r w:rsidR="003C5FAB" w:rsidRPr="00175A02">
        <w:rPr>
          <w:rFonts w:ascii="Arial" w:hAnsi="Arial" w:cs="Arial"/>
        </w:rPr>
        <w:t xml:space="preserve">. </w:t>
      </w:r>
      <w:r w:rsidR="00712AFC" w:rsidRPr="00175A02">
        <w:rPr>
          <w:rFonts w:ascii="Arial" w:hAnsi="Arial" w:cs="Arial"/>
        </w:rPr>
        <w:t xml:space="preserve">Among our sample, </w:t>
      </w:r>
      <w:r w:rsidR="007855DB" w:rsidRPr="00175A02">
        <w:rPr>
          <w:rFonts w:ascii="Arial" w:hAnsi="Arial" w:cs="Arial"/>
        </w:rPr>
        <w:t xml:space="preserve">over a third </w:t>
      </w:r>
      <w:r w:rsidR="00712AFC" w:rsidRPr="00175A02">
        <w:rPr>
          <w:rFonts w:ascii="Arial" w:hAnsi="Arial" w:cs="Arial"/>
        </w:rPr>
        <w:t>received no support at all pre COVID, w</w:t>
      </w:r>
      <w:r w:rsidR="00BE7854" w:rsidRPr="00175A02">
        <w:rPr>
          <w:rFonts w:ascii="Arial" w:hAnsi="Arial" w:cs="Arial"/>
        </w:rPr>
        <w:t xml:space="preserve">hile the majority of people were found to not receive any form of social support </w:t>
      </w:r>
      <w:r w:rsidR="007855DB" w:rsidRPr="00175A02">
        <w:rPr>
          <w:rFonts w:ascii="Arial" w:hAnsi="Arial" w:cs="Arial"/>
        </w:rPr>
        <w:t>since</w:t>
      </w:r>
      <w:r w:rsidR="00BE7854" w:rsidRPr="00175A02">
        <w:rPr>
          <w:rFonts w:ascii="Arial" w:hAnsi="Arial" w:cs="Arial"/>
        </w:rPr>
        <w:t xml:space="preserve"> COVID. Social support services form a crucial part of post-diagnostic dementia care and </w:t>
      </w:r>
      <w:r w:rsidR="00712AFC" w:rsidRPr="00175A02">
        <w:rPr>
          <w:rFonts w:ascii="Arial" w:hAnsi="Arial" w:cs="Arial"/>
        </w:rPr>
        <w:t>meeting the needs of</w:t>
      </w:r>
      <w:r w:rsidR="00BE7854" w:rsidRPr="00175A02">
        <w:rPr>
          <w:rFonts w:ascii="Arial" w:hAnsi="Arial" w:cs="Arial"/>
        </w:rPr>
        <w:t xml:space="preserve"> older adults, many of whom experience high levels of loneliness </w:t>
      </w:r>
      <w:r w:rsidR="008B34E6" w:rsidRPr="00175A02">
        <w:rPr>
          <w:rFonts w:ascii="Arial" w:hAnsi="Arial" w:cs="Arial"/>
        </w:rPr>
        <w:t>[1</w:t>
      </w:r>
      <w:r w:rsidR="004A028D" w:rsidRPr="00175A02">
        <w:rPr>
          <w:rFonts w:ascii="Arial" w:hAnsi="Arial" w:cs="Arial"/>
        </w:rPr>
        <w:t>9</w:t>
      </w:r>
      <w:r w:rsidR="008B34E6" w:rsidRPr="00175A02">
        <w:rPr>
          <w:rFonts w:ascii="Arial" w:hAnsi="Arial" w:cs="Arial"/>
        </w:rPr>
        <w:t>]</w:t>
      </w:r>
      <w:r w:rsidR="00BE7854" w:rsidRPr="00175A02">
        <w:rPr>
          <w:rFonts w:ascii="Arial" w:hAnsi="Arial" w:cs="Arial"/>
        </w:rPr>
        <w:t xml:space="preserve">. </w:t>
      </w:r>
    </w:p>
    <w:p w14:paraId="707DF89C" w14:textId="777A927A" w:rsidR="00BE7854" w:rsidRPr="00175A02" w:rsidRDefault="00BE7854" w:rsidP="00B73292">
      <w:pPr>
        <w:spacing w:after="0"/>
        <w:jc w:val="both"/>
        <w:rPr>
          <w:rFonts w:ascii="Arial" w:hAnsi="Arial" w:cs="Arial"/>
        </w:rPr>
      </w:pPr>
      <w:r w:rsidRPr="00175A02">
        <w:rPr>
          <w:rFonts w:ascii="Arial" w:hAnsi="Arial" w:cs="Arial"/>
        </w:rPr>
        <w:tab/>
      </w:r>
      <w:r w:rsidR="00BF4056" w:rsidRPr="00175A02">
        <w:rPr>
          <w:rFonts w:ascii="Arial" w:hAnsi="Arial" w:cs="Arial"/>
        </w:rPr>
        <w:t>Among people affected by dementia and older adults,</w:t>
      </w:r>
      <w:r w:rsidR="00C23E84" w:rsidRPr="00175A02">
        <w:rPr>
          <w:rFonts w:ascii="Arial" w:hAnsi="Arial" w:cs="Arial"/>
        </w:rPr>
        <w:t xml:space="preserve"> b</w:t>
      </w:r>
      <w:r w:rsidR="00863353" w:rsidRPr="00175A02">
        <w:rPr>
          <w:rFonts w:ascii="Arial" w:hAnsi="Arial" w:cs="Arial"/>
        </w:rPr>
        <w:t xml:space="preserve">eing unable to access support services </w:t>
      </w:r>
      <w:r w:rsidR="007855DB" w:rsidRPr="00175A02">
        <w:rPr>
          <w:rFonts w:ascii="Arial" w:hAnsi="Arial" w:cs="Arial"/>
        </w:rPr>
        <w:t xml:space="preserve">since </w:t>
      </w:r>
      <w:r w:rsidR="00863353" w:rsidRPr="00175A02">
        <w:rPr>
          <w:rFonts w:ascii="Arial" w:hAnsi="Arial" w:cs="Arial"/>
        </w:rPr>
        <w:t xml:space="preserve">COVID </w:t>
      </w:r>
      <w:r w:rsidR="00C23E84" w:rsidRPr="00175A02">
        <w:rPr>
          <w:rFonts w:ascii="Arial" w:hAnsi="Arial" w:cs="Arial"/>
        </w:rPr>
        <w:t xml:space="preserve">was </w:t>
      </w:r>
      <w:r w:rsidR="00863353" w:rsidRPr="00175A02">
        <w:rPr>
          <w:rFonts w:ascii="Arial" w:hAnsi="Arial" w:cs="Arial"/>
        </w:rPr>
        <w:t xml:space="preserve">significantly </w:t>
      </w:r>
      <w:r w:rsidR="00C23E84" w:rsidRPr="00175A02">
        <w:rPr>
          <w:rFonts w:ascii="Arial" w:hAnsi="Arial" w:cs="Arial"/>
        </w:rPr>
        <w:t>related to reductions in</w:t>
      </w:r>
      <w:r w:rsidR="00863353" w:rsidRPr="00175A02">
        <w:rPr>
          <w:rFonts w:ascii="Arial" w:hAnsi="Arial" w:cs="Arial"/>
        </w:rPr>
        <w:t xml:space="preserve"> well-being an</w:t>
      </w:r>
      <w:r w:rsidR="00C23E84" w:rsidRPr="00175A02">
        <w:rPr>
          <w:rFonts w:ascii="Arial" w:hAnsi="Arial" w:cs="Arial"/>
        </w:rPr>
        <w:t>d increases in</w:t>
      </w:r>
      <w:r w:rsidR="00863353" w:rsidRPr="00175A02">
        <w:rPr>
          <w:rFonts w:ascii="Arial" w:hAnsi="Arial" w:cs="Arial"/>
        </w:rPr>
        <w:t xml:space="preserve"> </w:t>
      </w:r>
      <w:r w:rsidR="00863353" w:rsidRPr="00175A02">
        <w:rPr>
          <w:rFonts w:ascii="Arial" w:hAnsi="Arial" w:cs="Arial"/>
        </w:rPr>
        <w:lastRenderedPageBreak/>
        <w:t>anxiety. For</w:t>
      </w:r>
      <w:r w:rsidR="000E3D1D" w:rsidRPr="00175A02">
        <w:rPr>
          <w:rFonts w:ascii="Arial" w:hAnsi="Arial" w:cs="Arial"/>
        </w:rPr>
        <w:t xml:space="preserve"> PLWD, </w:t>
      </w:r>
      <w:r w:rsidR="008264E3" w:rsidRPr="00175A02">
        <w:rPr>
          <w:rFonts w:ascii="Arial" w:hAnsi="Arial" w:cs="Arial"/>
        </w:rPr>
        <w:t xml:space="preserve">being unable to visit their usual support services predicted higher levels of anxiety. </w:t>
      </w:r>
      <w:r w:rsidR="00C23E84" w:rsidRPr="00175A02">
        <w:rPr>
          <w:rFonts w:ascii="Arial" w:hAnsi="Arial" w:cs="Arial"/>
        </w:rPr>
        <w:t>Our complementary qualitative research has found that</w:t>
      </w:r>
      <w:r w:rsidR="008264E3" w:rsidRPr="00175A02">
        <w:rPr>
          <w:rFonts w:ascii="Arial" w:hAnsi="Arial" w:cs="Arial"/>
        </w:rPr>
        <w:t xml:space="preserve"> both PLWD and unpaid carers experience</w:t>
      </w:r>
      <w:r w:rsidR="00C23E84" w:rsidRPr="00175A02">
        <w:rPr>
          <w:rFonts w:ascii="Arial" w:hAnsi="Arial" w:cs="Arial"/>
        </w:rPr>
        <w:t>d</w:t>
      </w:r>
      <w:r w:rsidR="008264E3" w:rsidRPr="00175A02">
        <w:rPr>
          <w:rFonts w:ascii="Arial" w:hAnsi="Arial" w:cs="Arial"/>
        </w:rPr>
        <w:t xml:space="preserve"> </w:t>
      </w:r>
      <w:r w:rsidR="00CB10CF" w:rsidRPr="00175A02">
        <w:rPr>
          <w:rFonts w:ascii="Arial" w:hAnsi="Arial" w:cs="Arial"/>
        </w:rPr>
        <w:t>high</w:t>
      </w:r>
      <w:r w:rsidR="008264E3" w:rsidRPr="00175A02">
        <w:rPr>
          <w:rFonts w:ascii="Arial" w:hAnsi="Arial" w:cs="Arial"/>
        </w:rPr>
        <w:t xml:space="preserve"> levels of uncertainty about when and how services will resume </w:t>
      </w:r>
      <w:r w:rsidR="008B34E6" w:rsidRPr="00175A02">
        <w:rPr>
          <w:rFonts w:ascii="Arial" w:hAnsi="Arial" w:cs="Arial"/>
        </w:rPr>
        <w:t>[12]</w:t>
      </w:r>
      <w:r w:rsidR="00C07F4D" w:rsidRPr="00175A02">
        <w:rPr>
          <w:rFonts w:ascii="Arial" w:hAnsi="Arial" w:cs="Arial"/>
        </w:rPr>
        <w:t>. In the study, many PLWD were reported to not comprehend the public health restrictions of social distancing and lockdown, and whilst PLWD in th</w:t>
      </w:r>
      <w:r w:rsidR="00B73292" w:rsidRPr="00175A02">
        <w:rPr>
          <w:rFonts w:ascii="Arial" w:hAnsi="Arial" w:cs="Arial"/>
        </w:rPr>
        <w:t>e present</w:t>
      </w:r>
      <w:r w:rsidR="00C07F4D" w:rsidRPr="00175A02">
        <w:rPr>
          <w:rFonts w:ascii="Arial" w:hAnsi="Arial" w:cs="Arial"/>
        </w:rPr>
        <w:t xml:space="preserve"> study had mental capacity and completed the survey themselves, there may possibly also be an underlying issue </w:t>
      </w:r>
      <w:r w:rsidR="00B73292" w:rsidRPr="00175A02">
        <w:rPr>
          <w:rFonts w:ascii="Arial" w:hAnsi="Arial" w:cs="Arial"/>
        </w:rPr>
        <w:t xml:space="preserve">of not comprehending the restrictions fully. </w:t>
      </w:r>
    </w:p>
    <w:p w14:paraId="6E2E16BE" w14:textId="323CBADC" w:rsidR="00B73292" w:rsidRPr="00175A02" w:rsidRDefault="00B73292" w:rsidP="00C608E5">
      <w:pPr>
        <w:spacing w:after="0"/>
        <w:jc w:val="both"/>
        <w:rPr>
          <w:rFonts w:ascii="Arial" w:hAnsi="Arial" w:cs="Arial"/>
        </w:rPr>
      </w:pPr>
      <w:r w:rsidRPr="00175A02">
        <w:rPr>
          <w:rFonts w:ascii="Arial" w:hAnsi="Arial" w:cs="Arial"/>
        </w:rPr>
        <w:tab/>
        <w:t xml:space="preserve">For carers, being unable to access previously utilised activities significantly predicted their well-being. </w:t>
      </w:r>
      <w:r w:rsidR="008B2647" w:rsidRPr="00175A02">
        <w:rPr>
          <w:rFonts w:ascii="Arial" w:hAnsi="Arial" w:cs="Arial"/>
        </w:rPr>
        <w:t xml:space="preserve">Unpaid carers provide a large proportion of dementia care, worth over £13 billion each year in the UK </w:t>
      </w:r>
      <w:r w:rsidR="008B34E6" w:rsidRPr="00175A02">
        <w:rPr>
          <w:rFonts w:ascii="Arial" w:hAnsi="Arial" w:cs="Arial"/>
        </w:rPr>
        <w:t>[</w:t>
      </w:r>
      <w:r w:rsidR="004A028D" w:rsidRPr="00175A02">
        <w:rPr>
          <w:rFonts w:ascii="Arial" w:hAnsi="Arial" w:cs="Arial"/>
        </w:rPr>
        <w:t>20</w:t>
      </w:r>
      <w:r w:rsidR="008B34E6" w:rsidRPr="00175A02">
        <w:rPr>
          <w:rFonts w:ascii="Arial" w:hAnsi="Arial" w:cs="Arial"/>
        </w:rPr>
        <w:t>]</w:t>
      </w:r>
      <w:r w:rsidR="008B2647" w:rsidRPr="00175A02">
        <w:rPr>
          <w:rFonts w:ascii="Arial" w:hAnsi="Arial" w:cs="Arial"/>
        </w:rPr>
        <w:t xml:space="preserve">. </w:t>
      </w:r>
      <w:r w:rsidR="00DB2912" w:rsidRPr="00175A02">
        <w:rPr>
          <w:rFonts w:ascii="Arial" w:hAnsi="Arial" w:cs="Arial"/>
        </w:rPr>
        <w:t xml:space="preserve">While carers might not always acknowledge themselves how much care they provide, ranging from preparing a hot meal to dressing the PLWD or supporting them to use the toilet, carers can become increasingly burdened as the dementia progresses and symptoms advance with PLWD requiring more support </w:t>
      </w:r>
      <w:r w:rsidR="008B34E6" w:rsidRPr="00175A02">
        <w:rPr>
          <w:rFonts w:ascii="Arial" w:hAnsi="Arial" w:cs="Arial"/>
        </w:rPr>
        <w:t>[2</w:t>
      </w:r>
      <w:r w:rsidR="004A028D" w:rsidRPr="00175A02">
        <w:rPr>
          <w:rFonts w:ascii="Arial" w:hAnsi="Arial" w:cs="Arial"/>
        </w:rPr>
        <w:t>1</w:t>
      </w:r>
      <w:r w:rsidR="008B34E6" w:rsidRPr="00175A02">
        <w:rPr>
          <w:rFonts w:ascii="Arial" w:hAnsi="Arial" w:cs="Arial"/>
        </w:rPr>
        <w:t>]</w:t>
      </w:r>
      <w:r w:rsidR="00DB2912" w:rsidRPr="00175A02">
        <w:rPr>
          <w:rFonts w:ascii="Arial" w:hAnsi="Arial" w:cs="Arial"/>
        </w:rPr>
        <w:t>. Accessing respite care and having some time to themselves whilst the PLWD is attending a day care centre is therefore crucial to support the carer</w:t>
      </w:r>
      <w:r w:rsidR="002D7B9D" w:rsidRPr="00175A02">
        <w:rPr>
          <w:rFonts w:ascii="Arial" w:hAnsi="Arial" w:cs="Arial"/>
        </w:rPr>
        <w:t xml:space="preserve">. With COVID and restrictions </w:t>
      </w:r>
      <w:r w:rsidR="00230B7D" w:rsidRPr="00175A02">
        <w:rPr>
          <w:rFonts w:ascii="Arial" w:hAnsi="Arial" w:cs="Arial"/>
        </w:rPr>
        <w:t xml:space="preserve">in place, these opportunities have suddenly been taken away from carers, </w:t>
      </w:r>
      <w:r w:rsidR="00FA5CC8" w:rsidRPr="00175A02">
        <w:rPr>
          <w:rFonts w:ascii="Arial" w:hAnsi="Arial" w:cs="Arial"/>
        </w:rPr>
        <w:t>leaving them likely at a loss of how to adapt the care required for the PLWD. Carers are thus likely to have to pick up increased care hours</w:t>
      </w:r>
      <w:r w:rsidR="0095731E" w:rsidRPr="00175A02">
        <w:rPr>
          <w:rFonts w:ascii="Arial" w:hAnsi="Arial" w:cs="Arial"/>
        </w:rPr>
        <w:t>, or merely get no respite from caring for someone 24/7</w:t>
      </w:r>
      <w:r w:rsidR="00FA5CC8" w:rsidRPr="00175A02">
        <w:rPr>
          <w:rFonts w:ascii="Arial" w:hAnsi="Arial" w:cs="Arial"/>
        </w:rPr>
        <w:t xml:space="preserve">, which might explain the significant </w:t>
      </w:r>
      <w:r w:rsidR="004C7046" w:rsidRPr="00175A02">
        <w:rPr>
          <w:rFonts w:ascii="Arial" w:hAnsi="Arial" w:cs="Arial"/>
        </w:rPr>
        <w:t>association with</w:t>
      </w:r>
      <w:r w:rsidR="00FA5CC8" w:rsidRPr="00175A02">
        <w:rPr>
          <w:rFonts w:ascii="Arial" w:hAnsi="Arial" w:cs="Arial"/>
        </w:rPr>
        <w:t xml:space="preserve"> their well-being as evidenced in this study. However, former carers have also been affected, as the desire and need to access peer support after their relative has passed away stays in place for many carers. Therefore, findings clearly highlight the need for both current and former carers to</w:t>
      </w:r>
      <w:r w:rsidR="00FD2345" w:rsidRPr="00175A02">
        <w:rPr>
          <w:rFonts w:ascii="Arial" w:hAnsi="Arial" w:cs="Arial"/>
        </w:rPr>
        <w:t xml:space="preserve"> continue accessing social support.</w:t>
      </w:r>
    </w:p>
    <w:p w14:paraId="2DFDC1C5" w14:textId="1D57F75B" w:rsidR="00D47752" w:rsidRPr="00175A02" w:rsidRDefault="00FA5CC8" w:rsidP="00BF4C21">
      <w:pPr>
        <w:spacing w:after="0"/>
        <w:jc w:val="both"/>
        <w:rPr>
          <w:rFonts w:ascii="Arial" w:hAnsi="Arial" w:cs="Arial"/>
          <w:b/>
        </w:rPr>
      </w:pPr>
      <w:r w:rsidRPr="00175A02">
        <w:rPr>
          <w:rFonts w:ascii="Arial" w:hAnsi="Arial" w:cs="Arial"/>
        </w:rPr>
        <w:tab/>
      </w:r>
      <w:r w:rsidR="00C608E5" w:rsidRPr="00175A02">
        <w:rPr>
          <w:rFonts w:ascii="Arial" w:hAnsi="Arial" w:cs="Arial"/>
        </w:rPr>
        <w:t>COVID-related closures</w:t>
      </w:r>
      <w:r w:rsidR="00FD2345" w:rsidRPr="00175A02">
        <w:rPr>
          <w:rFonts w:ascii="Arial" w:hAnsi="Arial" w:cs="Arial"/>
        </w:rPr>
        <w:t xml:space="preserve"> </w:t>
      </w:r>
      <w:r w:rsidR="008938C6" w:rsidRPr="00175A02">
        <w:rPr>
          <w:rFonts w:ascii="Arial" w:hAnsi="Arial" w:cs="Arial"/>
        </w:rPr>
        <w:t xml:space="preserve">were also significantly related to </w:t>
      </w:r>
      <w:r w:rsidR="004C5552" w:rsidRPr="00175A02">
        <w:rPr>
          <w:rFonts w:ascii="Arial" w:hAnsi="Arial" w:cs="Arial"/>
        </w:rPr>
        <w:t xml:space="preserve">lower </w:t>
      </w:r>
      <w:r w:rsidR="00104712" w:rsidRPr="00175A02">
        <w:rPr>
          <w:rFonts w:ascii="Arial" w:hAnsi="Arial" w:cs="Arial"/>
        </w:rPr>
        <w:t xml:space="preserve">mental </w:t>
      </w:r>
      <w:r w:rsidR="00C608E5" w:rsidRPr="00175A02">
        <w:rPr>
          <w:rFonts w:ascii="Arial" w:hAnsi="Arial" w:cs="Arial"/>
        </w:rPr>
        <w:t xml:space="preserve">well-being and </w:t>
      </w:r>
      <w:r w:rsidR="004C5552" w:rsidRPr="00175A02">
        <w:rPr>
          <w:rFonts w:ascii="Arial" w:hAnsi="Arial" w:cs="Arial"/>
        </w:rPr>
        <w:t xml:space="preserve">higher </w:t>
      </w:r>
      <w:r w:rsidR="00C608E5" w:rsidRPr="00175A02">
        <w:rPr>
          <w:rFonts w:ascii="Arial" w:hAnsi="Arial" w:cs="Arial"/>
        </w:rPr>
        <w:t>levels of anxiety</w:t>
      </w:r>
      <w:r w:rsidR="008938C6" w:rsidRPr="00175A02">
        <w:rPr>
          <w:rFonts w:ascii="Arial" w:hAnsi="Arial" w:cs="Arial"/>
        </w:rPr>
        <w:t xml:space="preserve"> in older adults</w:t>
      </w:r>
      <w:r w:rsidR="00C608E5" w:rsidRPr="00175A02">
        <w:rPr>
          <w:rFonts w:ascii="Arial" w:hAnsi="Arial" w:cs="Arial"/>
        </w:rPr>
        <w:t xml:space="preserve">. </w:t>
      </w:r>
      <w:r w:rsidR="00706F49" w:rsidRPr="00175A02">
        <w:rPr>
          <w:rFonts w:ascii="Arial" w:hAnsi="Arial" w:cs="Arial"/>
        </w:rPr>
        <w:t>In our sample, older adults had the highest proportion of those living alone (3</w:t>
      </w:r>
      <w:r w:rsidR="00F07265" w:rsidRPr="00175A02">
        <w:rPr>
          <w:rFonts w:ascii="Arial" w:hAnsi="Arial" w:cs="Arial"/>
        </w:rPr>
        <w:t>4</w:t>
      </w:r>
      <w:r w:rsidR="00706F49" w:rsidRPr="00175A02">
        <w:rPr>
          <w:rFonts w:ascii="Arial" w:hAnsi="Arial" w:cs="Arial"/>
        </w:rPr>
        <w:t>%). They</w:t>
      </w:r>
      <w:r w:rsidR="00C608E5" w:rsidRPr="00175A02">
        <w:rPr>
          <w:rFonts w:ascii="Arial" w:hAnsi="Arial" w:cs="Arial"/>
        </w:rPr>
        <w:t xml:space="preserve"> mostly accessed social activities in the community</w:t>
      </w:r>
      <w:r w:rsidR="009266FA" w:rsidRPr="00175A02">
        <w:rPr>
          <w:rFonts w:ascii="Arial" w:hAnsi="Arial" w:cs="Arial"/>
        </w:rPr>
        <w:t xml:space="preserve"> pre COVID</w:t>
      </w:r>
      <w:r w:rsidR="00C608E5" w:rsidRPr="00175A02">
        <w:rPr>
          <w:rFonts w:ascii="Arial" w:hAnsi="Arial" w:cs="Arial"/>
        </w:rPr>
        <w:t xml:space="preserve">, which </w:t>
      </w:r>
      <w:r w:rsidR="00C23E84" w:rsidRPr="00175A02">
        <w:rPr>
          <w:rFonts w:ascii="Arial" w:hAnsi="Arial" w:cs="Arial"/>
        </w:rPr>
        <w:t>include</w:t>
      </w:r>
      <w:r w:rsidR="00C608E5" w:rsidRPr="00175A02">
        <w:rPr>
          <w:rFonts w:ascii="Arial" w:hAnsi="Arial" w:cs="Arial"/>
        </w:rPr>
        <w:t xml:space="preserve"> </w:t>
      </w:r>
      <w:r w:rsidR="00C23E84" w:rsidRPr="00175A02">
        <w:rPr>
          <w:rFonts w:ascii="Arial" w:hAnsi="Arial" w:cs="Arial"/>
        </w:rPr>
        <w:t xml:space="preserve">for example </w:t>
      </w:r>
      <w:r w:rsidR="00C608E5" w:rsidRPr="00175A02">
        <w:rPr>
          <w:rFonts w:ascii="Arial" w:hAnsi="Arial" w:cs="Arial"/>
        </w:rPr>
        <w:t>arts groups or other hobbies</w:t>
      </w:r>
      <w:r w:rsidR="00C23E84" w:rsidRPr="00175A02">
        <w:rPr>
          <w:rFonts w:ascii="Arial" w:hAnsi="Arial" w:cs="Arial"/>
        </w:rPr>
        <w:t xml:space="preserve">. These </w:t>
      </w:r>
      <w:r w:rsidR="00C608E5" w:rsidRPr="00175A02">
        <w:rPr>
          <w:rFonts w:ascii="Arial" w:hAnsi="Arial" w:cs="Arial"/>
        </w:rPr>
        <w:t xml:space="preserve">are important for enabling social </w:t>
      </w:r>
      <w:r w:rsidR="009266FA" w:rsidRPr="00175A02">
        <w:rPr>
          <w:rFonts w:ascii="Arial" w:hAnsi="Arial" w:cs="Arial"/>
        </w:rPr>
        <w:t>inclusion and social interactions</w:t>
      </w:r>
      <w:r w:rsidR="00706F49" w:rsidRPr="00175A02">
        <w:rPr>
          <w:rFonts w:ascii="Arial" w:hAnsi="Arial" w:cs="Arial"/>
        </w:rPr>
        <w:t>, and th</w:t>
      </w:r>
      <w:r w:rsidR="009266FA" w:rsidRPr="00175A02">
        <w:rPr>
          <w:rFonts w:ascii="Arial" w:hAnsi="Arial" w:cs="Arial"/>
        </w:rPr>
        <w:t xml:space="preserve">e link between social engagement and well-being is well established in the literature </w:t>
      </w:r>
      <w:r w:rsidR="008B34E6" w:rsidRPr="00175A02">
        <w:rPr>
          <w:rFonts w:ascii="Arial" w:hAnsi="Arial" w:cs="Arial"/>
        </w:rPr>
        <w:t>[2</w:t>
      </w:r>
      <w:r w:rsidR="004A028D" w:rsidRPr="00175A02">
        <w:rPr>
          <w:rFonts w:ascii="Arial" w:hAnsi="Arial" w:cs="Arial"/>
        </w:rPr>
        <w:t>2</w:t>
      </w:r>
      <w:r w:rsidR="008B34E6" w:rsidRPr="00175A02">
        <w:rPr>
          <w:rFonts w:ascii="Arial" w:hAnsi="Arial" w:cs="Arial"/>
        </w:rPr>
        <w:t>]</w:t>
      </w:r>
      <w:r w:rsidR="009266FA" w:rsidRPr="00175A02">
        <w:rPr>
          <w:rFonts w:ascii="Arial" w:hAnsi="Arial" w:cs="Arial"/>
        </w:rPr>
        <w:t xml:space="preserve">. </w:t>
      </w:r>
      <w:r w:rsidR="00C23E84" w:rsidRPr="00175A02">
        <w:rPr>
          <w:rFonts w:ascii="Arial" w:hAnsi="Arial" w:cs="Arial"/>
        </w:rPr>
        <w:t>Previous research has shown a linear relationship between anxiety and social isolation</w:t>
      </w:r>
      <w:r w:rsidR="00706F49" w:rsidRPr="00175A02">
        <w:rPr>
          <w:rFonts w:ascii="Arial" w:hAnsi="Arial" w:cs="Arial"/>
        </w:rPr>
        <w:t xml:space="preserve"> </w:t>
      </w:r>
      <w:r w:rsidR="008B34E6" w:rsidRPr="00175A02">
        <w:rPr>
          <w:rFonts w:ascii="Arial" w:hAnsi="Arial" w:cs="Arial"/>
        </w:rPr>
        <w:t>[2</w:t>
      </w:r>
      <w:r w:rsidR="004A028D" w:rsidRPr="00175A02">
        <w:rPr>
          <w:rFonts w:ascii="Arial" w:hAnsi="Arial" w:cs="Arial"/>
        </w:rPr>
        <w:t>3</w:t>
      </w:r>
      <w:r w:rsidR="008B34E6" w:rsidRPr="00175A02">
        <w:rPr>
          <w:rFonts w:ascii="Arial" w:hAnsi="Arial" w:cs="Arial"/>
        </w:rPr>
        <w:t>]</w:t>
      </w:r>
      <w:r w:rsidR="00706F49" w:rsidRPr="00175A02">
        <w:rPr>
          <w:rFonts w:ascii="Arial" w:hAnsi="Arial" w:cs="Arial"/>
        </w:rPr>
        <w:t>, which</w:t>
      </w:r>
      <w:r w:rsidR="00C23E84" w:rsidRPr="00175A02">
        <w:rPr>
          <w:rFonts w:ascii="Arial" w:hAnsi="Arial" w:cs="Arial"/>
        </w:rPr>
        <w:t xml:space="preserve"> is likely to explain our findings. </w:t>
      </w:r>
      <w:r w:rsidR="004C5552" w:rsidRPr="00175A02">
        <w:rPr>
          <w:rFonts w:ascii="Arial" w:hAnsi="Arial" w:cs="Arial"/>
        </w:rPr>
        <w:t>However, the global pandemic in itself and the stress associated with this is likely to be related to high levels of anxiety also.</w:t>
      </w:r>
    </w:p>
    <w:p w14:paraId="0664CB37" w14:textId="61E1707B" w:rsidR="00B16F78" w:rsidRPr="00175A02" w:rsidRDefault="00C23E84" w:rsidP="00BF4C21">
      <w:pPr>
        <w:ind w:firstLine="360"/>
        <w:jc w:val="both"/>
        <w:rPr>
          <w:rFonts w:ascii="Arial" w:hAnsi="Arial" w:cs="Arial"/>
        </w:rPr>
      </w:pPr>
      <w:r w:rsidRPr="00175A02">
        <w:rPr>
          <w:rFonts w:ascii="Arial" w:hAnsi="Arial" w:cs="Arial"/>
        </w:rPr>
        <w:t xml:space="preserve">There are numerous strengths to this study, with a relatively large sample, with responses across the UK, and relatively high proportions </w:t>
      </w:r>
      <w:r w:rsidR="00B16F78" w:rsidRPr="00175A02">
        <w:rPr>
          <w:rFonts w:ascii="Arial" w:hAnsi="Arial" w:cs="Arial"/>
        </w:rPr>
        <w:t>of rare dementias. Some of the limitations relate to</w:t>
      </w:r>
      <w:r w:rsidR="0057678C" w:rsidRPr="00175A02">
        <w:rPr>
          <w:rFonts w:ascii="Arial" w:hAnsi="Arial" w:cs="Arial"/>
        </w:rPr>
        <w:t xml:space="preserve"> the sample demographics, </w:t>
      </w:r>
      <w:r w:rsidR="00B16F78" w:rsidRPr="00175A02">
        <w:rPr>
          <w:rFonts w:ascii="Arial" w:hAnsi="Arial" w:cs="Arial"/>
        </w:rPr>
        <w:t>as people were</w:t>
      </w:r>
      <w:r w:rsidR="00BF4C21" w:rsidRPr="00175A02">
        <w:rPr>
          <w:rFonts w:ascii="Arial" w:hAnsi="Arial" w:cs="Arial"/>
        </w:rPr>
        <w:t xml:space="preserve"> highly educated, predominantly from a White ethnic background and living in more affluent areas. This </w:t>
      </w:r>
      <w:r w:rsidR="000B4525" w:rsidRPr="00175A02">
        <w:rPr>
          <w:rFonts w:ascii="Arial" w:hAnsi="Arial" w:cs="Arial"/>
        </w:rPr>
        <w:t>might</w:t>
      </w:r>
      <w:r w:rsidR="00BF4C21" w:rsidRPr="00175A02">
        <w:rPr>
          <w:rFonts w:ascii="Arial" w:hAnsi="Arial" w:cs="Arial"/>
        </w:rPr>
        <w:t xml:space="preserve"> also </w:t>
      </w:r>
      <w:r w:rsidR="000B4525" w:rsidRPr="00175A02">
        <w:rPr>
          <w:rFonts w:ascii="Arial" w:hAnsi="Arial" w:cs="Arial"/>
        </w:rPr>
        <w:t xml:space="preserve">be </w:t>
      </w:r>
      <w:r w:rsidR="00BF4C21" w:rsidRPr="00175A02">
        <w:rPr>
          <w:rFonts w:ascii="Arial" w:hAnsi="Arial" w:cs="Arial"/>
        </w:rPr>
        <w:t>linked to the fact that the majority of participants participated in the survey online and not over the phone</w:t>
      </w:r>
      <w:r w:rsidR="00B16F78" w:rsidRPr="00175A02">
        <w:rPr>
          <w:rFonts w:ascii="Arial" w:hAnsi="Arial" w:cs="Arial"/>
        </w:rPr>
        <w:t xml:space="preserve">, </w:t>
      </w:r>
      <w:r w:rsidR="000B4525" w:rsidRPr="00175A02">
        <w:rPr>
          <w:rFonts w:ascii="Arial" w:hAnsi="Arial" w:cs="Arial"/>
        </w:rPr>
        <w:t>and thus not capturing people from more disadvantaged backgrounds who might not have internet access</w:t>
      </w:r>
      <w:r w:rsidR="00B16F78" w:rsidRPr="00175A02">
        <w:rPr>
          <w:rFonts w:ascii="Arial" w:hAnsi="Arial" w:cs="Arial"/>
        </w:rPr>
        <w:t>.</w:t>
      </w:r>
      <w:r w:rsidR="0087770D" w:rsidRPr="00175A02">
        <w:rPr>
          <w:rFonts w:ascii="Arial" w:hAnsi="Arial" w:cs="Arial"/>
        </w:rPr>
        <w:t xml:space="preserve"> </w:t>
      </w:r>
      <w:r w:rsidR="00870587" w:rsidRPr="00175A02">
        <w:rPr>
          <w:rFonts w:ascii="Arial" w:hAnsi="Arial" w:cs="Arial"/>
        </w:rPr>
        <w:t xml:space="preserve">Whilst we approached black and minority ethnic dementia support groups to share the survey link and study information, the majority of participants were from a White ethnic background. This somewhat limits the representativeness of our findings, </w:t>
      </w:r>
      <w:r w:rsidR="00515EA1" w:rsidRPr="00175A02">
        <w:rPr>
          <w:rFonts w:ascii="Arial" w:hAnsi="Arial" w:cs="Arial"/>
        </w:rPr>
        <w:t xml:space="preserve">as a recent report estimated that around 7% of people living with Dementia in </w:t>
      </w:r>
      <w:r w:rsidR="00857B39" w:rsidRPr="00175A02">
        <w:rPr>
          <w:rFonts w:ascii="Arial" w:hAnsi="Arial" w:cs="Arial"/>
        </w:rPr>
        <w:t>England and Wales</w:t>
      </w:r>
      <w:r w:rsidR="00515EA1" w:rsidRPr="00175A02">
        <w:rPr>
          <w:rFonts w:ascii="Arial" w:hAnsi="Arial" w:cs="Arial"/>
        </w:rPr>
        <w:t xml:space="preserve"> are from a BAME [24]. F</w:t>
      </w:r>
      <w:r w:rsidR="00870587" w:rsidRPr="00175A02">
        <w:rPr>
          <w:rFonts w:ascii="Arial" w:hAnsi="Arial" w:cs="Arial"/>
        </w:rPr>
        <w:t xml:space="preserve">uture surveys need to investigate these experiences particularly in people from lower socio-economic backgrounds and those from minority ethnic groups, some of the worst affected groups from COVID-19 </w:t>
      </w:r>
      <w:r w:rsidR="004A028D" w:rsidRPr="00175A02">
        <w:rPr>
          <w:rFonts w:ascii="Arial" w:hAnsi="Arial" w:cs="Arial"/>
        </w:rPr>
        <w:t>[2</w:t>
      </w:r>
      <w:r w:rsidR="00515EA1" w:rsidRPr="00175A02">
        <w:rPr>
          <w:rFonts w:ascii="Arial" w:hAnsi="Arial" w:cs="Arial"/>
        </w:rPr>
        <w:t>5</w:t>
      </w:r>
      <w:r w:rsidR="004A028D" w:rsidRPr="00175A02">
        <w:rPr>
          <w:rFonts w:ascii="Arial" w:hAnsi="Arial" w:cs="Arial"/>
        </w:rPr>
        <w:t>]</w:t>
      </w:r>
      <w:r w:rsidR="00870587" w:rsidRPr="00175A02">
        <w:rPr>
          <w:rFonts w:ascii="Arial" w:hAnsi="Arial" w:cs="Arial"/>
        </w:rPr>
        <w:t>.</w:t>
      </w:r>
      <w:r w:rsidR="00B16F78" w:rsidRPr="00175A02">
        <w:rPr>
          <w:rFonts w:ascii="Arial" w:hAnsi="Arial" w:cs="Arial"/>
        </w:rPr>
        <w:t xml:space="preserve"> </w:t>
      </w:r>
      <w:r w:rsidR="004A33F9" w:rsidRPr="00175A02">
        <w:rPr>
          <w:rFonts w:ascii="Arial" w:hAnsi="Arial" w:cs="Arial"/>
        </w:rPr>
        <w:t>Considering th</w:t>
      </w:r>
      <w:r w:rsidR="00857B39" w:rsidRPr="00175A02">
        <w:rPr>
          <w:rFonts w:ascii="Arial" w:hAnsi="Arial" w:cs="Arial"/>
        </w:rPr>
        <w:t>e</w:t>
      </w:r>
      <w:r w:rsidR="004A33F9" w:rsidRPr="00175A02">
        <w:rPr>
          <w:rFonts w:ascii="Arial" w:hAnsi="Arial" w:cs="Arial"/>
        </w:rPr>
        <w:t xml:space="preserve"> multi-pronged recruitment and sampling strategy, it was not possible to obtain a response rate. However, other recently published COVID-19 surveys using similar sampling strategies</w:t>
      </w:r>
      <w:r w:rsidR="004A028D" w:rsidRPr="00175A02">
        <w:rPr>
          <w:rFonts w:ascii="Arial" w:hAnsi="Arial" w:cs="Arial"/>
        </w:rPr>
        <w:t xml:space="preserve"> [14]</w:t>
      </w:r>
      <w:r w:rsidR="004A33F9" w:rsidRPr="00175A02">
        <w:rPr>
          <w:rFonts w:ascii="Arial" w:hAnsi="Arial" w:cs="Arial"/>
        </w:rPr>
        <w:t xml:space="preserve"> were equally not able to obtain a response rate, and thus our study adheres to other ongoing COVID-19 survey methodologies. </w:t>
      </w:r>
      <w:r w:rsidR="00C417B5" w:rsidRPr="00175A02">
        <w:rPr>
          <w:rFonts w:ascii="Arial" w:hAnsi="Arial" w:cs="Arial"/>
        </w:rPr>
        <w:t xml:space="preserve">As part of this, </w:t>
      </w:r>
      <w:r w:rsidR="00ED0AD0" w:rsidRPr="00175A02">
        <w:rPr>
          <w:rFonts w:ascii="Arial" w:hAnsi="Arial" w:cs="Arial"/>
        </w:rPr>
        <w:t xml:space="preserve">while </w:t>
      </w:r>
      <w:r w:rsidR="00C417B5" w:rsidRPr="00175A02">
        <w:rPr>
          <w:rFonts w:ascii="Arial" w:hAnsi="Arial" w:cs="Arial"/>
        </w:rPr>
        <w:t xml:space="preserve">convenience sampling </w:t>
      </w:r>
      <w:r w:rsidR="006F0C1C" w:rsidRPr="00175A02">
        <w:rPr>
          <w:rFonts w:ascii="Arial" w:hAnsi="Arial" w:cs="Arial"/>
        </w:rPr>
        <w:t xml:space="preserve">helped to recruit as large a sample as possible, </w:t>
      </w:r>
      <w:r w:rsidR="00A54AC8" w:rsidRPr="00175A02">
        <w:rPr>
          <w:rFonts w:ascii="Arial" w:hAnsi="Arial" w:cs="Arial"/>
        </w:rPr>
        <w:t xml:space="preserve">it </w:t>
      </w:r>
      <w:r w:rsidR="006F0C1C" w:rsidRPr="00175A02">
        <w:rPr>
          <w:rFonts w:ascii="Arial" w:hAnsi="Arial" w:cs="Arial"/>
        </w:rPr>
        <w:t xml:space="preserve">can be limiting as </w:t>
      </w:r>
      <w:r w:rsidR="00A54AC8" w:rsidRPr="00175A02">
        <w:rPr>
          <w:rFonts w:ascii="Arial" w:hAnsi="Arial" w:cs="Arial"/>
        </w:rPr>
        <w:t>we</w:t>
      </w:r>
      <w:r w:rsidR="006F0C1C" w:rsidRPr="00175A02">
        <w:rPr>
          <w:rFonts w:ascii="Arial" w:hAnsi="Arial" w:cs="Arial"/>
        </w:rPr>
        <w:t xml:space="preserve"> did not purposefully recruit for people from minority groups</w:t>
      </w:r>
      <w:r w:rsidR="00A54AC8" w:rsidRPr="00175A02">
        <w:rPr>
          <w:rFonts w:ascii="Arial" w:hAnsi="Arial" w:cs="Arial"/>
        </w:rPr>
        <w:t xml:space="preserve"> for example</w:t>
      </w:r>
      <w:r w:rsidR="006F0C1C" w:rsidRPr="00175A02">
        <w:rPr>
          <w:rFonts w:ascii="Arial" w:hAnsi="Arial" w:cs="Arial"/>
        </w:rPr>
        <w:t>, such as people from BAME.</w:t>
      </w:r>
      <w:r w:rsidR="00C417B5" w:rsidRPr="00175A02">
        <w:rPr>
          <w:rFonts w:ascii="Arial" w:hAnsi="Arial" w:cs="Arial"/>
        </w:rPr>
        <w:t xml:space="preserve"> </w:t>
      </w:r>
      <w:r w:rsidR="00B16F78" w:rsidRPr="00175A02">
        <w:rPr>
          <w:rFonts w:ascii="Arial" w:hAnsi="Arial" w:cs="Arial"/>
        </w:rPr>
        <w:t>There may be problems with recall bias, particularly amongst those living with dementia. S</w:t>
      </w:r>
      <w:r w:rsidR="003F7B26" w:rsidRPr="00175A02">
        <w:rPr>
          <w:rFonts w:ascii="Arial" w:hAnsi="Arial" w:cs="Arial"/>
        </w:rPr>
        <w:t xml:space="preserve">ome telephone interviewers noted that participants sometimes had to be asked in more depth about accessed support </w:t>
      </w:r>
      <w:r w:rsidR="003F7B26" w:rsidRPr="00175A02">
        <w:rPr>
          <w:rFonts w:ascii="Arial" w:hAnsi="Arial" w:cs="Arial"/>
        </w:rPr>
        <w:lastRenderedPageBreak/>
        <w:t xml:space="preserve">services, as they would otherwise not have reported certain types of support. </w:t>
      </w:r>
      <w:r w:rsidR="00F74C7A" w:rsidRPr="00175A02">
        <w:rPr>
          <w:rFonts w:ascii="Arial" w:hAnsi="Arial" w:cs="Arial"/>
        </w:rPr>
        <w:t xml:space="preserve">This could have led to a general under-reporting of some social support service usage in our study. </w:t>
      </w:r>
      <w:r w:rsidR="00286EEA" w:rsidRPr="00175A02">
        <w:rPr>
          <w:rFonts w:ascii="Arial" w:hAnsi="Arial" w:cs="Arial"/>
        </w:rPr>
        <w:t xml:space="preserve">However, </w:t>
      </w:r>
      <w:r w:rsidR="00B16F78" w:rsidRPr="00175A02">
        <w:rPr>
          <w:rFonts w:ascii="Arial" w:hAnsi="Arial" w:cs="Arial"/>
        </w:rPr>
        <w:t xml:space="preserve">we are not aware of any currently routinely collected data on social service and social care provision. </w:t>
      </w:r>
      <w:r w:rsidR="004A4F28" w:rsidRPr="00175A02">
        <w:rPr>
          <w:rFonts w:ascii="Arial" w:hAnsi="Arial" w:cs="Arial"/>
        </w:rPr>
        <w:t xml:space="preserve">In addition, as part of this survey it was not possible to collect data on PLWD’s dementia severity, such as via established measures </w:t>
      </w:r>
      <w:r w:rsidR="00EC70A6" w:rsidRPr="00175A02">
        <w:rPr>
          <w:rFonts w:ascii="Arial" w:hAnsi="Arial" w:cs="Arial"/>
        </w:rPr>
        <w:t xml:space="preserve">(i.e. </w:t>
      </w:r>
      <w:r w:rsidR="004A4F28" w:rsidRPr="00175A02">
        <w:rPr>
          <w:rFonts w:ascii="Arial" w:hAnsi="Arial" w:cs="Arial"/>
        </w:rPr>
        <w:t>Clinical Dementia Rating Scale</w:t>
      </w:r>
      <w:r w:rsidR="00EC70A6" w:rsidRPr="00175A02">
        <w:rPr>
          <w:rFonts w:ascii="Arial" w:hAnsi="Arial" w:cs="Arial"/>
        </w:rPr>
        <w:t>)</w:t>
      </w:r>
      <w:r w:rsidR="004A4F28" w:rsidRPr="00175A02">
        <w:rPr>
          <w:rFonts w:ascii="Arial" w:hAnsi="Arial" w:cs="Arial"/>
        </w:rPr>
        <w:t xml:space="preserve"> or purely cognitive performance on measures </w:t>
      </w:r>
      <w:r w:rsidR="00544A74" w:rsidRPr="00175A02">
        <w:rPr>
          <w:rFonts w:ascii="Arial" w:hAnsi="Arial" w:cs="Arial"/>
        </w:rPr>
        <w:t xml:space="preserve">(i.e. </w:t>
      </w:r>
      <w:r w:rsidR="004A4F28" w:rsidRPr="00175A02">
        <w:rPr>
          <w:rFonts w:ascii="Arial" w:hAnsi="Arial" w:cs="Arial"/>
        </w:rPr>
        <w:t>Mini Mental State Examination</w:t>
      </w:r>
      <w:r w:rsidR="00544A74" w:rsidRPr="00175A02">
        <w:rPr>
          <w:rFonts w:ascii="Arial" w:hAnsi="Arial" w:cs="Arial"/>
        </w:rPr>
        <w:t>)</w:t>
      </w:r>
      <w:r w:rsidR="004A4F28" w:rsidRPr="00175A02">
        <w:rPr>
          <w:rFonts w:ascii="Arial" w:hAnsi="Arial" w:cs="Arial"/>
        </w:rPr>
        <w:t>.</w:t>
      </w:r>
      <w:r w:rsidR="00355607" w:rsidRPr="00175A02">
        <w:rPr>
          <w:rFonts w:ascii="Arial" w:hAnsi="Arial" w:cs="Arial"/>
        </w:rPr>
        <w:t xml:space="preserve"> Therefore, we are unable to state precisely how far advanced the condition was for PLWD. However, all PLWD are very likely to be in the very early to mild stages of the condition, as otherwise they would have been unable to complete the survey.</w:t>
      </w:r>
      <w:r w:rsidR="005E7911" w:rsidRPr="00175A02">
        <w:rPr>
          <w:rFonts w:ascii="Arial" w:hAnsi="Arial" w:cs="Arial"/>
        </w:rPr>
        <w:t xml:space="preserve"> </w:t>
      </w:r>
    </w:p>
    <w:p w14:paraId="03246FCD" w14:textId="27E1B8F5" w:rsidR="00FC6310" w:rsidRPr="00175A02" w:rsidRDefault="00FC6310" w:rsidP="00144391">
      <w:pPr>
        <w:jc w:val="both"/>
        <w:rPr>
          <w:rFonts w:ascii="Arial" w:hAnsi="Arial" w:cs="Arial"/>
          <w:b/>
        </w:rPr>
      </w:pPr>
    </w:p>
    <w:p w14:paraId="19814C4D" w14:textId="4D5F3ABF" w:rsidR="00FC6310" w:rsidRPr="00175A02" w:rsidRDefault="00634946" w:rsidP="00144391">
      <w:pPr>
        <w:jc w:val="both"/>
        <w:rPr>
          <w:rFonts w:ascii="Arial" w:hAnsi="Arial" w:cs="Arial"/>
          <w:b/>
        </w:rPr>
      </w:pPr>
      <w:r w:rsidRPr="00175A02">
        <w:rPr>
          <w:rFonts w:ascii="Arial" w:hAnsi="Arial" w:cs="Arial"/>
          <w:b/>
        </w:rPr>
        <w:t>Conclusions</w:t>
      </w:r>
    </w:p>
    <w:p w14:paraId="27EABD15" w14:textId="6F6DC947" w:rsidR="006552EB" w:rsidRPr="00175A02" w:rsidRDefault="006552EB" w:rsidP="00144391">
      <w:pPr>
        <w:jc w:val="both"/>
        <w:rPr>
          <w:rFonts w:ascii="Arial" w:hAnsi="Arial" w:cs="Arial"/>
        </w:rPr>
      </w:pPr>
      <w:r w:rsidRPr="00175A02">
        <w:rPr>
          <w:rFonts w:ascii="Arial" w:hAnsi="Arial" w:cs="Arial"/>
        </w:rPr>
        <w:t xml:space="preserve">Social support services are vital to support the mental well-being of </w:t>
      </w:r>
      <w:r w:rsidR="00B16F78" w:rsidRPr="00175A02">
        <w:rPr>
          <w:rFonts w:ascii="Arial" w:hAnsi="Arial" w:cs="Arial"/>
        </w:rPr>
        <w:t xml:space="preserve">older adults and </w:t>
      </w:r>
      <w:r w:rsidRPr="00175A02">
        <w:rPr>
          <w:rFonts w:ascii="Arial" w:hAnsi="Arial" w:cs="Arial"/>
        </w:rPr>
        <w:t>people affected by dementia</w:t>
      </w:r>
      <w:r w:rsidR="00B16F78" w:rsidRPr="00175A02">
        <w:rPr>
          <w:rFonts w:ascii="Arial" w:hAnsi="Arial" w:cs="Arial"/>
        </w:rPr>
        <w:t xml:space="preserve">. Our research demonstrated a link between </w:t>
      </w:r>
      <w:r w:rsidRPr="00175A02">
        <w:rPr>
          <w:rFonts w:ascii="Arial" w:hAnsi="Arial" w:cs="Arial"/>
        </w:rPr>
        <w:t xml:space="preserve">COVID-related </w:t>
      </w:r>
      <w:r w:rsidR="00B16F78" w:rsidRPr="00175A02">
        <w:rPr>
          <w:rFonts w:ascii="Arial" w:hAnsi="Arial" w:cs="Arial"/>
        </w:rPr>
        <w:t xml:space="preserve">service loss and </w:t>
      </w:r>
      <w:r w:rsidRPr="00175A02">
        <w:rPr>
          <w:rFonts w:ascii="Arial" w:hAnsi="Arial" w:cs="Arial"/>
        </w:rPr>
        <w:t>detrimental impact</w:t>
      </w:r>
      <w:r w:rsidR="00B16F78" w:rsidRPr="00175A02">
        <w:rPr>
          <w:rFonts w:ascii="Arial" w:hAnsi="Arial" w:cs="Arial"/>
        </w:rPr>
        <w:t>s</w:t>
      </w:r>
      <w:r w:rsidRPr="00175A02">
        <w:rPr>
          <w:rFonts w:ascii="Arial" w:hAnsi="Arial" w:cs="Arial"/>
        </w:rPr>
        <w:t xml:space="preserve"> on th</w:t>
      </w:r>
      <w:r w:rsidR="00B16F78" w:rsidRPr="00175A02">
        <w:rPr>
          <w:rFonts w:ascii="Arial" w:hAnsi="Arial" w:cs="Arial"/>
        </w:rPr>
        <w:t>ese</w:t>
      </w:r>
      <w:r w:rsidRPr="00175A02">
        <w:rPr>
          <w:rFonts w:ascii="Arial" w:hAnsi="Arial" w:cs="Arial"/>
        </w:rPr>
        <w:t xml:space="preserve"> vulnerable groups. With public health restrictions </w:t>
      </w:r>
      <w:r w:rsidR="00B16F78" w:rsidRPr="00175A02">
        <w:rPr>
          <w:rFonts w:ascii="Arial" w:hAnsi="Arial" w:cs="Arial"/>
        </w:rPr>
        <w:t>such as social distancing likely</w:t>
      </w:r>
      <w:r w:rsidRPr="00175A02">
        <w:rPr>
          <w:rFonts w:ascii="Arial" w:hAnsi="Arial" w:cs="Arial"/>
        </w:rPr>
        <w:t xml:space="preserve"> to stay in place for some time to come, </w:t>
      </w:r>
      <w:r w:rsidR="00487941" w:rsidRPr="00175A02">
        <w:rPr>
          <w:rFonts w:ascii="Arial" w:hAnsi="Arial" w:cs="Arial"/>
        </w:rPr>
        <w:t xml:space="preserve">it is important to find ways to adapt these services to </w:t>
      </w:r>
      <w:r w:rsidR="00B16F78" w:rsidRPr="00175A02">
        <w:rPr>
          <w:rFonts w:ascii="Arial" w:hAnsi="Arial" w:cs="Arial"/>
        </w:rPr>
        <w:t>seeking alternative ways to re-</w:t>
      </w:r>
      <w:r w:rsidR="00487941" w:rsidRPr="00175A02">
        <w:rPr>
          <w:rFonts w:ascii="Arial" w:hAnsi="Arial" w:cs="Arial"/>
        </w:rPr>
        <w:t>provid</w:t>
      </w:r>
      <w:r w:rsidR="00B16F78" w:rsidRPr="00175A02">
        <w:rPr>
          <w:rFonts w:ascii="Arial" w:hAnsi="Arial" w:cs="Arial"/>
        </w:rPr>
        <w:t>e</w:t>
      </w:r>
      <w:r w:rsidR="00487941" w:rsidRPr="00175A02">
        <w:rPr>
          <w:rFonts w:ascii="Arial" w:hAnsi="Arial" w:cs="Arial"/>
        </w:rPr>
        <w:t xml:space="preserve"> support </w:t>
      </w:r>
      <w:r w:rsidR="00B16F78" w:rsidRPr="00175A02">
        <w:rPr>
          <w:rFonts w:ascii="Arial" w:hAnsi="Arial" w:cs="Arial"/>
        </w:rPr>
        <w:t xml:space="preserve">to meet the needs of those requiring social support. </w:t>
      </w:r>
      <w:r w:rsidR="00A6592A" w:rsidRPr="00175A02">
        <w:rPr>
          <w:rFonts w:ascii="Arial" w:hAnsi="Arial" w:cs="Arial"/>
        </w:rPr>
        <w:t xml:space="preserve">This can in some way achieved by providing remote support services, which is very slowly being trialled with very little evidence to date though (Cheung &amp; Peri, 2020; Goodman-Casanova et al., 2020). However, remote service support does not substitute face-to-face support, so that a right mix of different formats needs to be provided, in a safe environment, to enable older adults and people affected by dementia access support services throughout the pandemic. </w:t>
      </w:r>
      <w:r w:rsidR="00B16F78" w:rsidRPr="00175A02">
        <w:rPr>
          <w:rFonts w:ascii="Arial" w:hAnsi="Arial" w:cs="Arial"/>
        </w:rPr>
        <w:t xml:space="preserve">There is evidence that social support reduces the risk of </w:t>
      </w:r>
      <w:r w:rsidR="00487941" w:rsidRPr="00175A02">
        <w:rPr>
          <w:rFonts w:ascii="Arial" w:hAnsi="Arial" w:cs="Arial"/>
        </w:rPr>
        <w:t xml:space="preserve">care home admissions and </w:t>
      </w:r>
      <w:r w:rsidR="00B16F78" w:rsidRPr="00175A02">
        <w:rPr>
          <w:rFonts w:ascii="Arial" w:hAnsi="Arial" w:cs="Arial"/>
        </w:rPr>
        <w:t>unplanned hospital admissions</w:t>
      </w:r>
      <w:r w:rsidR="00006ECF" w:rsidRPr="00175A02">
        <w:rPr>
          <w:rFonts w:ascii="Arial" w:hAnsi="Arial" w:cs="Arial"/>
        </w:rPr>
        <w:t xml:space="preserve">. Therefore, </w:t>
      </w:r>
      <w:r w:rsidR="00C907A8" w:rsidRPr="00175A02">
        <w:rPr>
          <w:rFonts w:ascii="Arial" w:hAnsi="Arial" w:cs="Arial"/>
        </w:rPr>
        <w:t xml:space="preserve">it is important to act now and enable pre-pandemic levels of social support, if not better, as otherwise health care and social care services will be overburdened with increased rates of cost-intensive care home admissions and </w:t>
      </w:r>
      <w:r w:rsidR="00006ECF" w:rsidRPr="00175A02">
        <w:rPr>
          <w:rFonts w:ascii="Arial" w:hAnsi="Arial" w:cs="Arial"/>
        </w:rPr>
        <w:t>healthcare visits</w:t>
      </w:r>
      <w:r w:rsidR="00B16F78" w:rsidRPr="00175A02">
        <w:rPr>
          <w:rFonts w:ascii="Arial" w:hAnsi="Arial" w:cs="Arial"/>
        </w:rPr>
        <w:t xml:space="preserve">. </w:t>
      </w:r>
      <w:r w:rsidR="00487941" w:rsidRPr="00175A02">
        <w:rPr>
          <w:rFonts w:ascii="Arial" w:hAnsi="Arial" w:cs="Arial"/>
        </w:rPr>
        <w:t xml:space="preserve"> </w:t>
      </w:r>
    </w:p>
    <w:p w14:paraId="4617D6E5" w14:textId="77777777" w:rsidR="00A6592A" w:rsidRPr="00175A02" w:rsidRDefault="00A6592A" w:rsidP="00144391">
      <w:pPr>
        <w:jc w:val="both"/>
        <w:rPr>
          <w:rFonts w:ascii="Arial" w:hAnsi="Arial" w:cs="Arial"/>
        </w:rPr>
      </w:pPr>
    </w:p>
    <w:p w14:paraId="73BE24DB" w14:textId="031F123C" w:rsidR="00E156FD" w:rsidRPr="00175A02" w:rsidRDefault="00E156FD" w:rsidP="00E156FD">
      <w:pPr>
        <w:spacing w:after="0"/>
        <w:jc w:val="both"/>
        <w:rPr>
          <w:rFonts w:ascii="Arial" w:hAnsi="Arial" w:cs="Arial"/>
          <w:b/>
        </w:rPr>
      </w:pPr>
      <w:r w:rsidRPr="00175A02">
        <w:rPr>
          <w:rFonts w:ascii="Arial" w:hAnsi="Arial" w:cs="Arial"/>
          <w:b/>
        </w:rPr>
        <w:t>Declaration of interests</w:t>
      </w:r>
    </w:p>
    <w:p w14:paraId="5A0B4743" w14:textId="1AAFC789" w:rsidR="00E156FD" w:rsidRPr="00175A02" w:rsidRDefault="00E156FD" w:rsidP="00144391">
      <w:pPr>
        <w:jc w:val="both"/>
        <w:rPr>
          <w:rFonts w:ascii="Arial" w:hAnsi="Arial" w:cs="Arial"/>
        </w:rPr>
      </w:pPr>
      <w:r w:rsidRPr="00175A02">
        <w:rPr>
          <w:rFonts w:ascii="Arial" w:hAnsi="Arial" w:cs="Arial"/>
        </w:rPr>
        <w:t>We declare no competing interests.</w:t>
      </w:r>
    </w:p>
    <w:p w14:paraId="058652B1" w14:textId="45CA0F6A" w:rsidR="00FC6310" w:rsidRPr="00175A02" w:rsidRDefault="000B4525" w:rsidP="00E156FD">
      <w:pPr>
        <w:spacing w:after="0"/>
        <w:jc w:val="both"/>
        <w:rPr>
          <w:rFonts w:ascii="Arial" w:hAnsi="Arial" w:cs="Arial"/>
          <w:b/>
        </w:rPr>
      </w:pPr>
      <w:r w:rsidRPr="00175A02">
        <w:rPr>
          <w:rFonts w:ascii="Arial" w:hAnsi="Arial" w:cs="Arial"/>
          <w:b/>
        </w:rPr>
        <w:t>F</w:t>
      </w:r>
      <w:r w:rsidR="00A141B1" w:rsidRPr="00175A02">
        <w:rPr>
          <w:rFonts w:ascii="Arial" w:hAnsi="Arial" w:cs="Arial"/>
          <w:b/>
        </w:rPr>
        <w:t>unding</w:t>
      </w:r>
    </w:p>
    <w:p w14:paraId="04EFD5FA" w14:textId="4B84A095" w:rsidR="00A141B1" w:rsidRPr="00175A02" w:rsidRDefault="00A141B1" w:rsidP="00A141B1">
      <w:pPr>
        <w:spacing w:after="0"/>
        <w:jc w:val="both"/>
        <w:outlineLvl w:val="0"/>
        <w:rPr>
          <w:rFonts w:ascii="Arial" w:hAnsi="Arial" w:cs="Arial"/>
          <w:iCs/>
          <w:shd w:val="clear" w:color="auto" w:fill="FFFFFF"/>
        </w:rPr>
      </w:pPr>
      <w:r w:rsidRPr="00175A02">
        <w:rPr>
          <w:rFonts w:ascii="Arial" w:hAnsi="Arial" w:cs="Arial"/>
          <w:iCs/>
          <w:shd w:val="clear" w:color="auto" w:fill="FFFFFF"/>
        </w:rPr>
        <w:t xml:space="preserve">This research is supported by a grant awarded to the authors by the University of Liverpool COVID-19 Strategic Research Fund in 2020. This is also independent research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 </w:t>
      </w:r>
      <w:r w:rsidR="0092486F" w:rsidRPr="00175A02">
        <w:rPr>
          <w:rFonts w:ascii="Arial" w:hAnsi="Arial" w:cs="Arial"/>
          <w:iCs/>
          <w:shd w:val="clear" w:color="auto" w:fill="FFFFFF"/>
        </w:rPr>
        <w:t>The University of Bradford QR Research Fund also supported part of this study.</w:t>
      </w:r>
    </w:p>
    <w:p w14:paraId="1A657334" w14:textId="41015C85" w:rsidR="00E156FD" w:rsidRPr="00175A02" w:rsidRDefault="00E156FD" w:rsidP="00A141B1">
      <w:pPr>
        <w:spacing w:after="0"/>
        <w:jc w:val="both"/>
        <w:outlineLvl w:val="0"/>
        <w:rPr>
          <w:rFonts w:ascii="Arial" w:hAnsi="Arial" w:cs="Arial"/>
          <w:iCs/>
          <w:shd w:val="clear" w:color="auto" w:fill="FFFFFF"/>
        </w:rPr>
      </w:pPr>
    </w:p>
    <w:p w14:paraId="6C4730DB" w14:textId="64E6FE60" w:rsidR="00E156FD" w:rsidRPr="00175A02" w:rsidRDefault="00E156FD" w:rsidP="00A141B1">
      <w:pPr>
        <w:spacing w:after="0"/>
        <w:jc w:val="both"/>
        <w:outlineLvl w:val="0"/>
        <w:rPr>
          <w:rFonts w:ascii="Arial" w:hAnsi="Arial" w:cs="Arial"/>
          <w:b/>
          <w:iCs/>
          <w:shd w:val="clear" w:color="auto" w:fill="FFFFFF"/>
        </w:rPr>
      </w:pPr>
      <w:r w:rsidRPr="00175A02">
        <w:rPr>
          <w:rFonts w:ascii="Arial" w:hAnsi="Arial" w:cs="Arial"/>
          <w:b/>
          <w:iCs/>
          <w:shd w:val="clear" w:color="auto" w:fill="FFFFFF"/>
        </w:rPr>
        <w:t>Acknowledgements</w:t>
      </w:r>
    </w:p>
    <w:p w14:paraId="0CB99500" w14:textId="7E658952" w:rsidR="00E156FD" w:rsidRPr="00175A02" w:rsidRDefault="00E156FD" w:rsidP="00A141B1">
      <w:pPr>
        <w:spacing w:after="0"/>
        <w:jc w:val="both"/>
        <w:outlineLvl w:val="0"/>
        <w:rPr>
          <w:rFonts w:ascii="Arial" w:hAnsi="Arial" w:cs="Arial"/>
          <w:iCs/>
          <w:shd w:val="clear" w:color="auto" w:fill="FFFFFF"/>
        </w:rPr>
      </w:pPr>
      <w:r w:rsidRPr="00175A02">
        <w:rPr>
          <w:rFonts w:ascii="Arial" w:hAnsi="Arial" w:cs="Arial"/>
          <w:iCs/>
          <w:shd w:val="clear" w:color="auto" w:fill="FFFFFF"/>
        </w:rPr>
        <w:t xml:space="preserve">This study would not have been possible without all the people living with dementia, unpaid carers, and older adults taking part. </w:t>
      </w:r>
    </w:p>
    <w:p w14:paraId="39E92C97" w14:textId="650EF422" w:rsidR="00634946" w:rsidRPr="00175A02" w:rsidRDefault="00634946" w:rsidP="00A141B1">
      <w:pPr>
        <w:spacing w:after="0"/>
        <w:jc w:val="both"/>
        <w:outlineLvl w:val="0"/>
        <w:rPr>
          <w:rFonts w:ascii="Arial" w:hAnsi="Arial" w:cs="Arial"/>
          <w:iCs/>
          <w:shd w:val="clear" w:color="auto" w:fill="FFFFFF"/>
        </w:rPr>
      </w:pPr>
    </w:p>
    <w:p w14:paraId="09B8A64E" w14:textId="78A565D5" w:rsidR="00D47752" w:rsidRPr="00175A02" w:rsidRDefault="00E30CCC" w:rsidP="00A141B1">
      <w:pPr>
        <w:spacing w:after="0"/>
        <w:jc w:val="both"/>
        <w:outlineLvl w:val="0"/>
        <w:rPr>
          <w:rFonts w:ascii="Arial" w:hAnsi="Arial" w:cs="Arial"/>
          <w:b/>
          <w:iCs/>
          <w:shd w:val="clear" w:color="auto" w:fill="FFFFFF"/>
        </w:rPr>
      </w:pPr>
      <w:r w:rsidRPr="00175A02">
        <w:rPr>
          <w:rFonts w:ascii="Arial" w:hAnsi="Arial" w:cs="Arial"/>
          <w:b/>
          <w:iCs/>
          <w:shd w:val="clear" w:color="auto" w:fill="FFFFFF"/>
        </w:rPr>
        <w:t>Description of author roles</w:t>
      </w:r>
    </w:p>
    <w:p w14:paraId="7C408593" w14:textId="2E091D3A" w:rsidR="00E30CCC" w:rsidRDefault="00622649" w:rsidP="00A141B1">
      <w:pPr>
        <w:spacing w:after="0"/>
        <w:jc w:val="both"/>
        <w:outlineLvl w:val="0"/>
        <w:rPr>
          <w:rFonts w:ascii="Arial" w:hAnsi="Arial" w:cs="Arial"/>
          <w:iCs/>
          <w:shd w:val="clear" w:color="auto" w:fill="FFFFFF"/>
        </w:rPr>
      </w:pPr>
      <w:r w:rsidRPr="00175A02">
        <w:rPr>
          <w:rFonts w:ascii="Arial" w:hAnsi="Arial" w:cs="Arial"/>
          <w:iCs/>
          <w:shd w:val="clear" w:color="auto" w:fill="FFFFFF"/>
        </w:rPr>
        <w:t>CG conceptualised the study. CG, CC, and MG developed the study analysis in consultation with the team. DP managed recruitment. CG performed data analysis and drafted the manuscript. All co-authors interpreted the findings jointly, provided feedback on drafts of the manuscript, and approved the final draft.</w:t>
      </w:r>
    </w:p>
    <w:p w14:paraId="2EB2F45E" w14:textId="0FC5C1CA" w:rsidR="00175A02" w:rsidRDefault="00175A02" w:rsidP="00A141B1">
      <w:pPr>
        <w:spacing w:after="0"/>
        <w:jc w:val="both"/>
        <w:outlineLvl w:val="0"/>
        <w:rPr>
          <w:rFonts w:ascii="Arial" w:hAnsi="Arial" w:cs="Arial"/>
          <w:iCs/>
          <w:shd w:val="clear" w:color="auto" w:fill="FFFFFF"/>
        </w:rPr>
      </w:pPr>
    </w:p>
    <w:p w14:paraId="30A82093" w14:textId="77777777" w:rsidR="00175A02" w:rsidRPr="00175A02" w:rsidRDefault="00175A02" w:rsidP="00A141B1">
      <w:pPr>
        <w:spacing w:after="0"/>
        <w:jc w:val="both"/>
        <w:outlineLvl w:val="0"/>
        <w:rPr>
          <w:rFonts w:ascii="Arial" w:hAnsi="Arial" w:cs="Arial"/>
          <w:iCs/>
          <w:shd w:val="clear" w:color="auto" w:fill="FFFFFF"/>
        </w:rPr>
      </w:pPr>
    </w:p>
    <w:p w14:paraId="5F5694D6" w14:textId="1798CE28" w:rsidR="00D47752" w:rsidRPr="00175A02" w:rsidRDefault="00D47752" w:rsidP="00A141B1">
      <w:pPr>
        <w:spacing w:after="0"/>
        <w:jc w:val="both"/>
        <w:outlineLvl w:val="0"/>
        <w:rPr>
          <w:rFonts w:ascii="Arial" w:hAnsi="Arial" w:cs="Arial"/>
          <w:iCs/>
          <w:shd w:val="clear" w:color="auto" w:fill="FFFFFF"/>
        </w:rPr>
      </w:pPr>
    </w:p>
    <w:p w14:paraId="5C298409" w14:textId="0E42C94B" w:rsidR="00D47752" w:rsidRPr="00175A02" w:rsidRDefault="00C46822" w:rsidP="00A141B1">
      <w:pPr>
        <w:spacing w:after="0"/>
        <w:jc w:val="both"/>
        <w:outlineLvl w:val="0"/>
        <w:rPr>
          <w:rFonts w:ascii="Arial" w:hAnsi="Arial" w:cs="Arial"/>
          <w:b/>
          <w:iCs/>
          <w:shd w:val="clear" w:color="auto" w:fill="FFFFFF"/>
        </w:rPr>
      </w:pPr>
      <w:r w:rsidRPr="00175A02">
        <w:rPr>
          <w:rFonts w:ascii="Arial" w:hAnsi="Arial" w:cs="Arial"/>
          <w:b/>
          <w:iCs/>
          <w:shd w:val="clear" w:color="auto" w:fill="FFFFFF"/>
        </w:rPr>
        <w:lastRenderedPageBreak/>
        <w:t>Data Availability Statement</w:t>
      </w:r>
    </w:p>
    <w:p w14:paraId="04D70D0F" w14:textId="3EFA0727" w:rsidR="001822FA" w:rsidRPr="00175A02" w:rsidRDefault="00C46822" w:rsidP="00C46822">
      <w:pPr>
        <w:spacing w:after="0" w:line="276" w:lineRule="auto"/>
        <w:jc w:val="both"/>
        <w:outlineLvl w:val="0"/>
        <w:rPr>
          <w:rFonts w:ascii="Arial" w:hAnsi="Arial" w:cs="Arial"/>
          <w:iCs/>
          <w:sz w:val="24"/>
          <w:shd w:val="clear" w:color="auto" w:fill="FFFFFF"/>
        </w:rPr>
      </w:pPr>
      <w:r w:rsidRPr="00175A02">
        <w:rPr>
          <w:rFonts w:ascii="Arial" w:hAnsi="Arial" w:cs="Arial"/>
          <w:szCs w:val="21"/>
          <w:shd w:val="clear" w:color="auto" w:fill="FFFFFF"/>
        </w:rPr>
        <w:t>The data that support the findings of this study are available from the corresponding author upon reasonable request.</w:t>
      </w:r>
    </w:p>
    <w:p w14:paraId="6CD12B32" w14:textId="2F731EDE" w:rsidR="001822FA" w:rsidRPr="00175A02" w:rsidRDefault="001822FA" w:rsidP="00A141B1">
      <w:pPr>
        <w:spacing w:after="0"/>
        <w:jc w:val="both"/>
        <w:outlineLvl w:val="0"/>
        <w:rPr>
          <w:rFonts w:ascii="Arial" w:hAnsi="Arial" w:cs="Arial"/>
          <w:iCs/>
          <w:shd w:val="clear" w:color="auto" w:fill="FFFFFF"/>
        </w:rPr>
      </w:pPr>
    </w:p>
    <w:p w14:paraId="6E73EE4E" w14:textId="708A275C" w:rsidR="001822FA" w:rsidRPr="00175A02" w:rsidRDefault="001822FA" w:rsidP="00A141B1">
      <w:pPr>
        <w:spacing w:after="0"/>
        <w:jc w:val="both"/>
        <w:outlineLvl w:val="0"/>
        <w:rPr>
          <w:rFonts w:ascii="Arial" w:hAnsi="Arial" w:cs="Arial"/>
          <w:iCs/>
          <w:shd w:val="clear" w:color="auto" w:fill="FFFFFF"/>
        </w:rPr>
      </w:pPr>
    </w:p>
    <w:p w14:paraId="7F14EC87" w14:textId="60C2FDD6" w:rsidR="001822FA" w:rsidRPr="00175A02" w:rsidRDefault="001822FA" w:rsidP="00A141B1">
      <w:pPr>
        <w:spacing w:after="0"/>
        <w:jc w:val="both"/>
        <w:outlineLvl w:val="0"/>
        <w:rPr>
          <w:rFonts w:ascii="Arial" w:hAnsi="Arial" w:cs="Arial"/>
          <w:iCs/>
          <w:shd w:val="clear" w:color="auto" w:fill="FFFFFF"/>
        </w:rPr>
      </w:pPr>
    </w:p>
    <w:p w14:paraId="3390F241" w14:textId="5AAA7696" w:rsidR="001822FA" w:rsidRPr="00175A02" w:rsidRDefault="001822FA" w:rsidP="00A141B1">
      <w:pPr>
        <w:spacing w:after="0"/>
        <w:jc w:val="both"/>
        <w:outlineLvl w:val="0"/>
        <w:rPr>
          <w:rFonts w:ascii="Arial" w:hAnsi="Arial" w:cs="Arial"/>
          <w:iCs/>
          <w:shd w:val="clear" w:color="auto" w:fill="FFFFFF"/>
        </w:rPr>
      </w:pPr>
    </w:p>
    <w:p w14:paraId="58944390" w14:textId="374AC662" w:rsidR="001822FA" w:rsidRPr="00175A02" w:rsidRDefault="001822FA" w:rsidP="00A141B1">
      <w:pPr>
        <w:spacing w:after="0"/>
        <w:jc w:val="both"/>
        <w:outlineLvl w:val="0"/>
        <w:rPr>
          <w:rFonts w:ascii="Arial" w:hAnsi="Arial" w:cs="Arial"/>
          <w:iCs/>
          <w:shd w:val="clear" w:color="auto" w:fill="FFFFFF"/>
        </w:rPr>
      </w:pPr>
    </w:p>
    <w:p w14:paraId="4AA981C8" w14:textId="63E4A9E0" w:rsidR="006B6134" w:rsidRPr="00175A02" w:rsidRDefault="006B6134" w:rsidP="00A141B1">
      <w:pPr>
        <w:spacing w:after="0"/>
        <w:jc w:val="both"/>
        <w:outlineLvl w:val="0"/>
        <w:rPr>
          <w:rFonts w:ascii="Arial" w:hAnsi="Arial" w:cs="Arial"/>
          <w:iCs/>
          <w:shd w:val="clear" w:color="auto" w:fill="FFFFFF"/>
        </w:rPr>
      </w:pPr>
    </w:p>
    <w:p w14:paraId="5655D682" w14:textId="361314CA" w:rsidR="006B6134" w:rsidRPr="00175A02" w:rsidRDefault="006B6134" w:rsidP="00A141B1">
      <w:pPr>
        <w:spacing w:after="0"/>
        <w:jc w:val="both"/>
        <w:outlineLvl w:val="0"/>
        <w:rPr>
          <w:rFonts w:ascii="Arial" w:hAnsi="Arial" w:cs="Arial"/>
          <w:iCs/>
          <w:shd w:val="clear" w:color="auto" w:fill="FFFFFF"/>
        </w:rPr>
      </w:pPr>
    </w:p>
    <w:p w14:paraId="151161E0" w14:textId="56E495B5" w:rsidR="006B6134" w:rsidRPr="00175A02" w:rsidRDefault="006B6134" w:rsidP="00A141B1">
      <w:pPr>
        <w:spacing w:after="0"/>
        <w:jc w:val="both"/>
        <w:outlineLvl w:val="0"/>
        <w:rPr>
          <w:rFonts w:ascii="Arial" w:hAnsi="Arial" w:cs="Arial"/>
          <w:iCs/>
          <w:shd w:val="clear" w:color="auto" w:fill="FFFFFF"/>
        </w:rPr>
      </w:pPr>
    </w:p>
    <w:p w14:paraId="1A501799" w14:textId="0DA61011" w:rsidR="006B6134" w:rsidRPr="00175A02" w:rsidRDefault="006B6134" w:rsidP="00A141B1">
      <w:pPr>
        <w:spacing w:after="0"/>
        <w:jc w:val="both"/>
        <w:outlineLvl w:val="0"/>
        <w:rPr>
          <w:rFonts w:ascii="Arial" w:hAnsi="Arial" w:cs="Arial"/>
          <w:iCs/>
          <w:shd w:val="clear" w:color="auto" w:fill="FFFFFF"/>
        </w:rPr>
      </w:pPr>
    </w:p>
    <w:p w14:paraId="36C31A98" w14:textId="75DFF875" w:rsidR="006B6134" w:rsidRPr="00175A02" w:rsidRDefault="006B6134" w:rsidP="00A141B1">
      <w:pPr>
        <w:spacing w:after="0"/>
        <w:jc w:val="both"/>
        <w:outlineLvl w:val="0"/>
        <w:rPr>
          <w:rFonts w:ascii="Arial" w:hAnsi="Arial" w:cs="Arial"/>
          <w:iCs/>
          <w:shd w:val="clear" w:color="auto" w:fill="FFFFFF"/>
        </w:rPr>
      </w:pPr>
    </w:p>
    <w:p w14:paraId="2C4B8609" w14:textId="6861BF8A" w:rsidR="006B6134" w:rsidRPr="00175A02" w:rsidRDefault="006B6134" w:rsidP="00A141B1">
      <w:pPr>
        <w:spacing w:after="0"/>
        <w:jc w:val="both"/>
        <w:outlineLvl w:val="0"/>
        <w:rPr>
          <w:rFonts w:ascii="Arial" w:hAnsi="Arial" w:cs="Arial"/>
          <w:iCs/>
          <w:shd w:val="clear" w:color="auto" w:fill="FFFFFF"/>
        </w:rPr>
      </w:pPr>
    </w:p>
    <w:p w14:paraId="08FDFAC9" w14:textId="128AA8D8" w:rsidR="006B6134" w:rsidRPr="00175A02" w:rsidRDefault="006B6134" w:rsidP="00A141B1">
      <w:pPr>
        <w:spacing w:after="0"/>
        <w:jc w:val="both"/>
        <w:outlineLvl w:val="0"/>
        <w:rPr>
          <w:rFonts w:ascii="Arial" w:hAnsi="Arial" w:cs="Arial"/>
          <w:iCs/>
          <w:shd w:val="clear" w:color="auto" w:fill="FFFFFF"/>
        </w:rPr>
      </w:pPr>
    </w:p>
    <w:p w14:paraId="6C7C264E" w14:textId="71D6753F" w:rsidR="006B6134" w:rsidRPr="00175A02" w:rsidRDefault="006B6134" w:rsidP="00A141B1">
      <w:pPr>
        <w:spacing w:after="0"/>
        <w:jc w:val="both"/>
        <w:outlineLvl w:val="0"/>
        <w:rPr>
          <w:rFonts w:ascii="Arial" w:hAnsi="Arial" w:cs="Arial"/>
          <w:iCs/>
          <w:shd w:val="clear" w:color="auto" w:fill="FFFFFF"/>
        </w:rPr>
      </w:pPr>
    </w:p>
    <w:p w14:paraId="4B5CD5EA" w14:textId="43875EBB" w:rsidR="006B6134" w:rsidRPr="00175A02" w:rsidRDefault="006B6134" w:rsidP="00A141B1">
      <w:pPr>
        <w:spacing w:after="0"/>
        <w:jc w:val="both"/>
        <w:outlineLvl w:val="0"/>
        <w:rPr>
          <w:rFonts w:ascii="Arial" w:hAnsi="Arial" w:cs="Arial"/>
          <w:iCs/>
          <w:shd w:val="clear" w:color="auto" w:fill="FFFFFF"/>
        </w:rPr>
      </w:pPr>
    </w:p>
    <w:p w14:paraId="3B49F4EA" w14:textId="1F458BB4" w:rsidR="006B6134" w:rsidRPr="00175A02" w:rsidRDefault="006B6134" w:rsidP="00A141B1">
      <w:pPr>
        <w:spacing w:after="0"/>
        <w:jc w:val="both"/>
        <w:outlineLvl w:val="0"/>
        <w:rPr>
          <w:rFonts w:ascii="Arial" w:hAnsi="Arial" w:cs="Arial"/>
          <w:iCs/>
          <w:shd w:val="clear" w:color="auto" w:fill="FFFFFF"/>
        </w:rPr>
      </w:pPr>
    </w:p>
    <w:p w14:paraId="4A0D31EF" w14:textId="77418AD8" w:rsidR="006B6134" w:rsidRPr="00175A02" w:rsidRDefault="006B6134" w:rsidP="00A141B1">
      <w:pPr>
        <w:spacing w:after="0"/>
        <w:jc w:val="both"/>
        <w:outlineLvl w:val="0"/>
        <w:rPr>
          <w:rFonts w:ascii="Arial" w:hAnsi="Arial" w:cs="Arial"/>
          <w:iCs/>
          <w:shd w:val="clear" w:color="auto" w:fill="FFFFFF"/>
        </w:rPr>
      </w:pPr>
    </w:p>
    <w:p w14:paraId="28786553" w14:textId="2DD3E783" w:rsidR="006B6134" w:rsidRPr="00175A02" w:rsidRDefault="006B6134" w:rsidP="00A141B1">
      <w:pPr>
        <w:spacing w:after="0"/>
        <w:jc w:val="both"/>
        <w:outlineLvl w:val="0"/>
        <w:rPr>
          <w:rFonts w:ascii="Arial" w:hAnsi="Arial" w:cs="Arial"/>
          <w:iCs/>
          <w:shd w:val="clear" w:color="auto" w:fill="FFFFFF"/>
        </w:rPr>
      </w:pPr>
    </w:p>
    <w:p w14:paraId="35655592" w14:textId="0B9098BC" w:rsidR="006B6134" w:rsidRPr="00175A02" w:rsidRDefault="006B6134" w:rsidP="00A141B1">
      <w:pPr>
        <w:spacing w:after="0"/>
        <w:jc w:val="both"/>
        <w:outlineLvl w:val="0"/>
        <w:rPr>
          <w:rFonts w:ascii="Arial" w:hAnsi="Arial" w:cs="Arial"/>
          <w:iCs/>
          <w:shd w:val="clear" w:color="auto" w:fill="FFFFFF"/>
        </w:rPr>
      </w:pPr>
    </w:p>
    <w:p w14:paraId="45401DD8" w14:textId="47C5AE20" w:rsidR="006B6134" w:rsidRPr="00175A02" w:rsidRDefault="006B6134" w:rsidP="00A141B1">
      <w:pPr>
        <w:spacing w:after="0"/>
        <w:jc w:val="both"/>
        <w:outlineLvl w:val="0"/>
        <w:rPr>
          <w:rFonts w:ascii="Arial" w:hAnsi="Arial" w:cs="Arial"/>
          <w:iCs/>
          <w:shd w:val="clear" w:color="auto" w:fill="FFFFFF"/>
        </w:rPr>
      </w:pPr>
    </w:p>
    <w:p w14:paraId="05B5E67B" w14:textId="2E57C2E5" w:rsidR="006B6134" w:rsidRPr="00175A02" w:rsidRDefault="006B6134" w:rsidP="00A141B1">
      <w:pPr>
        <w:spacing w:after="0"/>
        <w:jc w:val="both"/>
        <w:outlineLvl w:val="0"/>
        <w:rPr>
          <w:rFonts w:ascii="Arial" w:hAnsi="Arial" w:cs="Arial"/>
          <w:iCs/>
          <w:shd w:val="clear" w:color="auto" w:fill="FFFFFF"/>
        </w:rPr>
      </w:pPr>
    </w:p>
    <w:p w14:paraId="77DC863B" w14:textId="62168ABB" w:rsidR="006B6134" w:rsidRPr="00175A02" w:rsidRDefault="006B6134" w:rsidP="00A141B1">
      <w:pPr>
        <w:spacing w:after="0"/>
        <w:jc w:val="both"/>
        <w:outlineLvl w:val="0"/>
        <w:rPr>
          <w:rFonts w:ascii="Arial" w:hAnsi="Arial" w:cs="Arial"/>
          <w:iCs/>
          <w:shd w:val="clear" w:color="auto" w:fill="FFFFFF"/>
        </w:rPr>
      </w:pPr>
    </w:p>
    <w:p w14:paraId="15D5072C" w14:textId="2880D14B" w:rsidR="006B6134" w:rsidRPr="00175A02" w:rsidRDefault="006B6134" w:rsidP="00A141B1">
      <w:pPr>
        <w:spacing w:after="0"/>
        <w:jc w:val="both"/>
        <w:outlineLvl w:val="0"/>
        <w:rPr>
          <w:rFonts w:ascii="Arial" w:hAnsi="Arial" w:cs="Arial"/>
          <w:iCs/>
          <w:shd w:val="clear" w:color="auto" w:fill="FFFFFF"/>
        </w:rPr>
      </w:pPr>
    </w:p>
    <w:p w14:paraId="70E9E776" w14:textId="58618311" w:rsidR="006B6134" w:rsidRPr="00175A02" w:rsidRDefault="006B6134" w:rsidP="00A141B1">
      <w:pPr>
        <w:spacing w:after="0"/>
        <w:jc w:val="both"/>
        <w:outlineLvl w:val="0"/>
        <w:rPr>
          <w:rFonts w:ascii="Arial" w:hAnsi="Arial" w:cs="Arial"/>
          <w:iCs/>
          <w:shd w:val="clear" w:color="auto" w:fill="FFFFFF"/>
        </w:rPr>
      </w:pPr>
    </w:p>
    <w:p w14:paraId="2FEDFDEA" w14:textId="5832D292" w:rsidR="006B6134" w:rsidRPr="00175A02" w:rsidRDefault="006B6134" w:rsidP="00A141B1">
      <w:pPr>
        <w:spacing w:after="0"/>
        <w:jc w:val="both"/>
        <w:outlineLvl w:val="0"/>
        <w:rPr>
          <w:rFonts w:ascii="Arial" w:hAnsi="Arial" w:cs="Arial"/>
          <w:iCs/>
          <w:shd w:val="clear" w:color="auto" w:fill="FFFFFF"/>
        </w:rPr>
      </w:pPr>
    </w:p>
    <w:p w14:paraId="30C51FB4" w14:textId="155E0F1D" w:rsidR="006B6134" w:rsidRPr="00175A02" w:rsidRDefault="006B6134" w:rsidP="00A141B1">
      <w:pPr>
        <w:spacing w:after="0"/>
        <w:jc w:val="both"/>
        <w:outlineLvl w:val="0"/>
        <w:rPr>
          <w:rFonts w:ascii="Arial" w:hAnsi="Arial" w:cs="Arial"/>
          <w:iCs/>
          <w:shd w:val="clear" w:color="auto" w:fill="FFFFFF"/>
        </w:rPr>
      </w:pPr>
    </w:p>
    <w:p w14:paraId="54769364" w14:textId="64014495" w:rsidR="006B6134" w:rsidRPr="00175A02" w:rsidRDefault="006B6134" w:rsidP="00A141B1">
      <w:pPr>
        <w:spacing w:after="0"/>
        <w:jc w:val="both"/>
        <w:outlineLvl w:val="0"/>
        <w:rPr>
          <w:rFonts w:ascii="Arial" w:hAnsi="Arial" w:cs="Arial"/>
          <w:iCs/>
          <w:shd w:val="clear" w:color="auto" w:fill="FFFFFF"/>
        </w:rPr>
      </w:pPr>
    </w:p>
    <w:p w14:paraId="1FB0FF7E" w14:textId="644645CF" w:rsidR="006B6134" w:rsidRPr="00175A02" w:rsidRDefault="006B6134" w:rsidP="00A141B1">
      <w:pPr>
        <w:spacing w:after="0"/>
        <w:jc w:val="both"/>
        <w:outlineLvl w:val="0"/>
        <w:rPr>
          <w:rFonts w:ascii="Arial" w:hAnsi="Arial" w:cs="Arial"/>
          <w:iCs/>
          <w:shd w:val="clear" w:color="auto" w:fill="FFFFFF"/>
        </w:rPr>
      </w:pPr>
    </w:p>
    <w:p w14:paraId="76F10983" w14:textId="1806D556" w:rsidR="006B6134" w:rsidRPr="00175A02" w:rsidRDefault="006B6134" w:rsidP="00A141B1">
      <w:pPr>
        <w:spacing w:after="0"/>
        <w:jc w:val="both"/>
        <w:outlineLvl w:val="0"/>
        <w:rPr>
          <w:rFonts w:ascii="Arial" w:hAnsi="Arial" w:cs="Arial"/>
          <w:iCs/>
          <w:shd w:val="clear" w:color="auto" w:fill="FFFFFF"/>
        </w:rPr>
      </w:pPr>
    </w:p>
    <w:p w14:paraId="593309B3" w14:textId="1608007B" w:rsidR="006B6134" w:rsidRPr="00175A02" w:rsidRDefault="006B6134" w:rsidP="00A141B1">
      <w:pPr>
        <w:spacing w:after="0"/>
        <w:jc w:val="both"/>
        <w:outlineLvl w:val="0"/>
        <w:rPr>
          <w:rFonts w:ascii="Arial" w:hAnsi="Arial" w:cs="Arial"/>
          <w:iCs/>
          <w:shd w:val="clear" w:color="auto" w:fill="FFFFFF"/>
        </w:rPr>
      </w:pPr>
    </w:p>
    <w:p w14:paraId="4C072A1A" w14:textId="49E702DC" w:rsidR="006B6134" w:rsidRPr="00175A02" w:rsidRDefault="006B6134" w:rsidP="00A141B1">
      <w:pPr>
        <w:spacing w:after="0"/>
        <w:jc w:val="both"/>
        <w:outlineLvl w:val="0"/>
        <w:rPr>
          <w:rFonts w:ascii="Arial" w:hAnsi="Arial" w:cs="Arial"/>
          <w:iCs/>
          <w:shd w:val="clear" w:color="auto" w:fill="FFFFFF"/>
        </w:rPr>
      </w:pPr>
    </w:p>
    <w:p w14:paraId="3E657C7A" w14:textId="566523E5" w:rsidR="006B6134" w:rsidRPr="00175A02" w:rsidRDefault="006B6134" w:rsidP="00A141B1">
      <w:pPr>
        <w:spacing w:after="0"/>
        <w:jc w:val="both"/>
        <w:outlineLvl w:val="0"/>
        <w:rPr>
          <w:rFonts w:ascii="Arial" w:hAnsi="Arial" w:cs="Arial"/>
          <w:iCs/>
          <w:shd w:val="clear" w:color="auto" w:fill="FFFFFF"/>
        </w:rPr>
      </w:pPr>
    </w:p>
    <w:p w14:paraId="011EDE4A" w14:textId="1842650C" w:rsidR="006B6134" w:rsidRPr="00175A02" w:rsidRDefault="006B6134" w:rsidP="00A141B1">
      <w:pPr>
        <w:spacing w:after="0"/>
        <w:jc w:val="both"/>
        <w:outlineLvl w:val="0"/>
        <w:rPr>
          <w:rFonts w:ascii="Arial" w:hAnsi="Arial" w:cs="Arial"/>
          <w:iCs/>
          <w:shd w:val="clear" w:color="auto" w:fill="FFFFFF"/>
        </w:rPr>
      </w:pPr>
    </w:p>
    <w:p w14:paraId="462B3E9F" w14:textId="040E4720" w:rsidR="006B6134" w:rsidRPr="00175A02" w:rsidRDefault="006B6134" w:rsidP="00A141B1">
      <w:pPr>
        <w:spacing w:after="0"/>
        <w:jc w:val="both"/>
        <w:outlineLvl w:val="0"/>
        <w:rPr>
          <w:rFonts w:ascii="Arial" w:hAnsi="Arial" w:cs="Arial"/>
          <w:iCs/>
          <w:shd w:val="clear" w:color="auto" w:fill="FFFFFF"/>
        </w:rPr>
      </w:pPr>
    </w:p>
    <w:p w14:paraId="32CB3AE4" w14:textId="5B961B6F" w:rsidR="006B6134" w:rsidRPr="00175A02" w:rsidRDefault="006B6134" w:rsidP="00A141B1">
      <w:pPr>
        <w:spacing w:after="0"/>
        <w:jc w:val="both"/>
        <w:outlineLvl w:val="0"/>
        <w:rPr>
          <w:rFonts w:ascii="Arial" w:hAnsi="Arial" w:cs="Arial"/>
          <w:iCs/>
          <w:shd w:val="clear" w:color="auto" w:fill="FFFFFF"/>
        </w:rPr>
      </w:pPr>
    </w:p>
    <w:p w14:paraId="28A76923" w14:textId="77777777" w:rsidR="00911B2A" w:rsidRPr="00175A02" w:rsidRDefault="00911B2A" w:rsidP="00A141B1">
      <w:pPr>
        <w:spacing w:after="0"/>
        <w:jc w:val="both"/>
        <w:outlineLvl w:val="0"/>
        <w:rPr>
          <w:rFonts w:ascii="Arial" w:hAnsi="Arial" w:cs="Arial"/>
          <w:iCs/>
          <w:shd w:val="clear" w:color="auto" w:fill="FFFFFF"/>
        </w:rPr>
      </w:pPr>
    </w:p>
    <w:p w14:paraId="26B6F57C" w14:textId="53F464F2" w:rsidR="006B6134" w:rsidRPr="00175A02" w:rsidRDefault="006B6134" w:rsidP="00A141B1">
      <w:pPr>
        <w:spacing w:after="0"/>
        <w:jc w:val="both"/>
        <w:outlineLvl w:val="0"/>
        <w:rPr>
          <w:rFonts w:ascii="Arial" w:hAnsi="Arial" w:cs="Arial"/>
          <w:iCs/>
          <w:shd w:val="clear" w:color="auto" w:fill="FFFFFF"/>
        </w:rPr>
      </w:pPr>
    </w:p>
    <w:p w14:paraId="61D17C04" w14:textId="3C8F9911" w:rsidR="006B6134" w:rsidRPr="00175A02" w:rsidRDefault="006B6134" w:rsidP="00A141B1">
      <w:pPr>
        <w:spacing w:after="0"/>
        <w:jc w:val="both"/>
        <w:outlineLvl w:val="0"/>
        <w:rPr>
          <w:rFonts w:ascii="Arial" w:hAnsi="Arial" w:cs="Arial"/>
          <w:iCs/>
          <w:shd w:val="clear" w:color="auto" w:fill="FFFFFF"/>
        </w:rPr>
      </w:pPr>
    </w:p>
    <w:p w14:paraId="6BF0056D" w14:textId="720D2825" w:rsidR="006B6134" w:rsidRPr="00175A02" w:rsidRDefault="006B6134" w:rsidP="00A141B1">
      <w:pPr>
        <w:spacing w:after="0"/>
        <w:jc w:val="both"/>
        <w:outlineLvl w:val="0"/>
        <w:rPr>
          <w:rFonts w:ascii="Arial" w:hAnsi="Arial" w:cs="Arial"/>
          <w:iCs/>
          <w:shd w:val="clear" w:color="auto" w:fill="FFFFFF"/>
        </w:rPr>
      </w:pPr>
    </w:p>
    <w:p w14:paraId="7DCA15E3" w14:textId="4CB6AECF" w:rsidR="006B6134" w:rsidRPr="00175A02" w:rsidRDefault="006B6134" w:rsidP="00A141B1">
      <w:pPr>
        <w:spacing w:after="0"/>
        <w:jc w:val="both"/>
        <w:outlineLvl w:val="0"/>
        <w:rPr>
          <w:rFonts w:ascii="Arial" w:hAnsi="Arial" w:cs="Arial"/>
          <w:iCs/>
          <w:shd w:val="clear" w:color="auto" w:fill="FFFFFF"/>
        </w:rPr>
      </w:pPr>
    </w:p>
    <w:p w14:paraId="175D1318" w14:textId="68B235AA" w:rsidR="006B6134" w:rsidRPr="00175A02" w:rsidRDefault="006B6134" w:rsidP="00A141B1">
      <w:pPr>
        <w:spacing w:after="0"/>
        <w:jc w:val="both"/>
        <w:outlineLvl w:val="0"/>
        <w:rPr>
          <w:rFonts w:ascii="Arial" w:hAnsi="Arial" w:cs="Arial"/>
          <w:iCs/>
          <w:shd w:val="clear" w:color="auto" w:fill="FFFFFF"/>
        </w:rPr>
      </w:pPr>
    </w:p>
    <w:p w14:paraId="17C1B292" w14:textId="7CEC4F85" w:rsidR="006B6134" w:rsidRPr="00175A02" w:rsidRDefault="006B6134" w:rsidP="00A141B1">
      <w:pPr>
        <w:spacing w:after="0"/>
        <w:jc w:val="both"/>
        <w:outlineLvl w:val="0"/>
        <w:rPr>
          <w:rFonts w:ascii="Arial" w:hAnsi="Arial" w:cs="Arial"/>
          <w:iCs/>
          <w:shd w:val="clear" w:color="auto" w:fill="FFFFFF"/>
        </w:rPr>
      </w:pPr>
    </w:p>
    <w:p w14:paraId="10B3A245" w14:textId="5664FBC5" w:rsidR="006B6134" w:rsidRPr="00175A02" w:rsidRDefault="006B6134" w:rsidP="00A141B1">
      <w:pPr>
        <w:spacing w:after="0"/>
        <w:jc w:val="both"/>
        <w:outlineLvl w:val="0"/>
        <w:rPr>
          <w:rFonts w:ascii="Arial" w:hAnsi="Arial" w:cs="Arial"/>
          <w:iCs/>
          <w:shd w:val="clear" w:color="auto" w:fill="FFFFFF"/>
        </w:rPr>
      </w:pPr>
    </w:p>
    <w:p w14:paraId="7B1B9213" w14:textId="6BBFD71D" w:rsidR="006B6134" w:rsidRPr="00175A02" w:rsidRDefault="006B6134" w:rsidP="00A141B1">
      <w:pPr>
        <w:spacing w:after="0"/>
        <w:jc w:val="both"/>
        <w:outlineLvl w:val="0"/>
        <w:rPr>
          <w:rFonts w:ascii="Arial" w:hAnsi="Arial" w:cs="Arial"/>
          <w:iCs/>
          <w:shd w:val="clear" w:color="auto" w:fill="FFFFFF"/>
        </w:rPr>
      </w:pPr>
    </w:p>
    <w:p w14:paraId="39AC6940" w14:textId="264E7D84" w:rsidR="006B6134" w:rsidRPr="00175A02" w:rsidRDefault="006B6134" w:rsidP="00A141B1">
      <w:pPr>
        <w:spacing w:after="0"/>
        <w:jc w:val="both"/>
        <w:outlineLvl w:val="0"/>
        <w:rPr>
          <w:rFonts w:ascii="Arial" w:hAnsi="Arial" w:cs="Arial"/>
          <w:iCs/>
          <w:shd w:val="clear" w:color="auto" w:fill="FFFFFF"/>
        </w:rPr>
      </w:pPr>
    </w:p>
    <w:p w14:paraId="2C31EC73" w14:textId="1248B3CC" w:rsidR="006B6134" w:rsidRPr="00175A02" w:rsidRDefault="006B6134" w:rsidP="00A141B1">
      <w:pPr>
        <w:spacing w:after="0"/>
        <w:jc w:val="both"/>
        <w:outlineLvl w:val="0"/>
        <w:rPr>
          <w:rFonts w:ascii="Arial" w:hAnsi="Arial" w:cs="Arial"/>
          <w:iCs/>
          <w:shd w:val="clear" w:color="auto" w:fill="FFFFFF"/>
        </w:rPr>
      </w:pPr>
    </w:p>
    <w:p w14:paraId="0A265F8C" w14:textId="77777777" w:rsidR="006B6134" w:rsidRPr="00175A02" w:rsidRDefault="006B6134" w:rsidP="00A141B1">
      <w:pPr>
        <w:spacing w:after="0"/>
        <w:jc w:val="both"/>
        <w:outlineLvl w:val="0"/>
        <w:rPr>
          <w:rFonts w:ascii="Arial" w:hAnsi="Arial" w:cs="Arial"/>
          <w:iCs/>
          <w:shd w:val="clear" w:color="auto" w:fill="FFFFFF"/>
        </w:rPr>
      </w:pPr>
    </w:p>
    <w:p w14:paraId="1506F578" w14:textId="4703ADE5" w:rsidR="001822FA" w:rsidRPr="00175A02" w:rsidRDefault="001822FA" w:rsidP="00A141B1">
      <w:pPr>
        <w:spacing w:after="0"/>
        <w:jc w:val="both"/>
        <w:outlineLvl w:val="0"/>
        <w:rPr>
          <w:rFonts w:ascii="Arial" w:hAnsi="Arial" w:cs="Arial"/>
          <w:iCs/>
          <w:shd w:val="clear" w:color="auto" w:fill="FFFFFF"/>
        </w:rPr>
      </w:pPr>
    </w:p>
    <w:p w14:paraId="733317F5" w14:textId="0A2B162E" w:rsidR="001822FA" w:rsidRPr="00175A02" w:rsidRDefault="001822FA" w:rsidP="00A141B1">
      <w:pPr>
        <w:spacing w:after="0"/>
        <w:jc w:val="both"/>
        <w:outlineLvl w:val="0"/>
        <w:rPr>
          <w:rFonts w:ascii="Arial" w:hAnsi="Arial" w:cs="Arial"/>
          <w:iCs/>
          <w:shd w:val="clear" w:color="auto" w:fill="FFFFFF"/>
        </w:rPr>
      </w:pPr>
    </w:p>
    <w:p w14:paraId="55646AA1" w14:textId="32D8903A" w:rsidR="00FC6310" w:rsidRPr="00CD427B" w:rsidRDefault="00427C06" w:rsidP="00144391">
      <w:pPr>
        <w:jc w:val="both"/>
        <w:rPr>
          <w:rFonts w:ascii="Arial" w:hAnsi="Arial" w:cs="Arial"/>
          <w:b/>
          <w:sz w:val="24"/>
        </w:rPr>
      </w:pPr>
      <w:bookmarkStart w:id="4" w:name="_Hlk41994085"/>
      <w:r w:rsidRPr="00CD427B">
        <w:rPr>
          <w:rFonts w:ascii="Arial" w:hAnsi="Arial" w:cs="Arial"/>
          <w:b/>
          <w:sz w:val="24"/>
        </w:rPr>
        <w:lastRenderedPageBreak/>
        <w:t>References</w:t>
      </w:r>
    </w:p>
    <w:p w14:paraId="228F97F8" w14:textId="1EBAE069" w:rsidR="002F1174" w:rsidRPr="00CD427B" w:rsidRDefault="002F1174" w:rsidP="00E156FD">
      <w:pPr>
        <w:ind w:left="720" w:hanging="720"/>
        <w:jc w:val="both"/>
        <w:rPr>
          <w:rFonts w:ascii="Arial" w:hAnsi="Arial" w:cs="Arial"/>
        </w:rPr>
      </w:pPr>
      <w:r w:rsidRPr="00CD427B">
        <w:rPr>
          <w:rFonts w:ascii="Arial" w:hAnsi="Arial" w:cs="Arial"/>
        </w:rPr>
        <w:t xml:space="preserve">[1] </w:t>
      </w:r>
      <w:r w:rsidRPr="00CD427B">
        <w:rPr>
          <w:rFonts w:ascii="Arial" w:hAnsi="Arial" w:cs="Arial"/>
        </w:rPr>
        <w:tab/>
        <w:t xml:space="preserve">Alzheimer’s Disease International. </w:t>
      </w:r>
      <w:r w:rsidR="00E156FD" w:rsidRPr="00CD427B">
        <w:rPr>
          <w:rFonts w:ascii="Arial" w:hAnsi="Arial" w:cs="Arial"/>
        </w:rPr>
        <w:t>Improving healthcare for people living with dementia: Coverage, quality and costs now and in the future.</w:t>
      </w:r>
      <w:r w:rsidRPr="00CD427B">
        <w:rPr>
          <w:rFonts w:ascii="Arial" w:hAnsi="Arial" w:cs="Arial"/>
        </w:rPr>
        <w:t xml:space="preserve"> </w:t>
      </w:r>
      <w:r w:rsidR="00E156FD" w:rsidRPr="00CD427B">
        <w:rPr>
          <w:rFonts w:ascii="Arial" w:hAnsi="Arial" w:cs="Arial"/>
        </w:rPr>
        <w:t xml:space="preserve">London, England: </w:t>
      </w:r>
      <w:r w:rsidRPr="00CD427B">
        <w:rPr>
          <w:rFonts w:ascii="Arial" w:hAnsi="Arial" w:cs="Arial"/>
        </w:rPr>
        <w:t>2016</w:t>
      </w:r>
    </w:p>
    <w:p w14:paraId="79C5CCCC" w14:textId="77777777" w:rsidR="002F1174" w:rsidRPr="00CD427B" w:rsidRDefault="002F1174" w:rsidP="002F1174">
      <w:pPr>
        <w:ind w:left="720" w:hanging="720"/>
        <w:jc w:val="both"/>
        <w:rPr>
          <w:rFonts w:ascii="Arial" w:hAnsi="Arial" w:cs="Arial"/>
        </w:rPr>
      </w:pPr>
      <w:r w:rsidRPr="00CD427B">
        <w:rPr>
          <w:rFonts w:ascii="Arial" w:hAnsi="Arial" w:cs="Arial"/>
        </w:rPr>
        <w:t>[2]</w:t>
      </w:r>
      <w:r w:rsidRPr="00CD427B">
        <w:rPr>
          <w:rFonts w:ascii="Arial" w:hAnsi="Arial" w:cs="Arial"/>
        </w:rPr>
        <w:tab/>
        <w:t xml:space="preserve">Dam AEH, de </w:t>
      </w:r>
      <w:proofErr w:type="spellStart"/>
      <w:r w:rsidRPr="00CD427B">
        <w:rPr>
          <w:rFonts w:ascii="Arial" w:hAnsi="Arial" w:cs="Arial"/>
        </w:rPr>
        <w:t>Vugt</w:t>
      </w:r>
      <w:proofErr w:type="spellEnd"/>
      <w:r w:rsidRPr="00CD427B">
        <w:rPr>
          <w:rFonts w:ascii="Arial" w:hAnsi="Arial" w:cs="Arial"/>
        </w:rPr>
        <w:t xml:space="preserve"> ME, </w:t>
      </w:r>
      <w:proofErr w:type="spellStart"/>
      <w:r w:rsidRPr="00CD427B">
        <w:rPr>
          <w:rFonts w:ascii="Arial" w:hAnsi="Arial" w:cs="Arial"/>
        </w:rPr>
        <w:t>Klinkenberg</w:t>
      </w:r>
      <w:proofErr w:type="spellEnd"/>
      <w:r w:rsidRPr="00CD427B">
        <w:rPr>
          <w:rFonts w:ascii="Arial" w:hAnsi="Arial" w:cs="Arial"/>
        </w:rPr>
        <w:t xml:space="preserve"> IPM, et al. A systematic review of social support interventions for caregivers of people with dementia: Are they doing what they promise? </w:t>
      </w:r>
      <w:proofErr w:type="spellStart"/>
      <w:r w:rsidRPr="00CD427B">
        <w:rPr>
          <w:rFonts w:ascii="Arial" w:hAnsi="Arial" w:cs="Arial"/>
        </w:rPr>
        <w:t>Maturitas</w:t>
      </w:r>
      <w:proofErr w:type="spellEnd"/>
      <w:r w:rsidRPr="00CD427B">
        <w:rPr>
          <w:rFonts w:ascii="Arial" w:hAnsi="Arial" w:cs="Arial"/>
        </w:rPr>
        <w:t xml:space="preserve"> </w:t>
      </w:r>
      <w:proofErr w:type="gramStart"/>
      <w:r w:rsidRPr="00CD427B">
        <w:rPr>
          <w:rFonts w:ascii="Arial" w:hAnsi="Arial" w:cs="Arial"/>
        </w:rPr>
        <w:t>2016;85:117</w:t>
      </w:r>
      <w:proofErr w:type="gramEnd"/>
      <w:r w:rsidRPr="00CD427B">
        <w:rPr>
          <w:rFonts w:ascii="Arial" w:hAnsi="Arial" w:cs="Arial"/>
        </w:rPr>
        <w:t>-130.</w:t>
      </w:r>
    </w:p>
    <w:p w14:paraId="21DDE431" w14:textId="77777777" w:rsidR="00BF457C" w:rsidRPr="00CD427B" w:rsidRDefault="00BF457C" w:rsidP="00BF457C">
      <w:pPr>
        <w:ind w:left="720" w:hanging="720"/>
        <w:jc w:val="both"/>
        <w:rPr>
          <w:rFonts w:ascii="Arial" w:hAnsi="Arial" w:cs="Arial"/>
        </w:rPr>
      </w:pPr>
      <w:r w:rsidRPr="00CD427B">
        <w:rPr>
          <w:rFonts w:ascii="Arial" w:hAnsi="Arial" w:cs="Arial"/>
        </w:rPr>
        <w:t xml:space="preserve">[3] </w:t>
      </w:r>
      <w:r w:rsidRPr="00CD427B">
        <w:rPr>
          <w:rFonts w:ascii="Arial" w:hAnsi="Arial" w:cs="Arial"/>
        </w:rPr>
        <w:tab/>
        <w:t xml:space="preserve">Willis E, Semple AC, de Waal H. Quantifying the benefits of peer support for people with dementia: A Social Return on Investment (SROI) study. Dementia 2016; </w:t>
      </w:r>
      <w:proofErr w:type="spellStart"/>
      <w:r w:rsidRPr="00CD427B">
        <w:rPr>
          <w:rFonts w:ascii="Arial" w:hAnsi="Arial" w:cs="Arial"/>
        </w:rPr>
        <w:t>doi</w:t>
      </w:r>
      <w:proofErr w:type="spellEnd"/>
      <w:r w:rsidRPr="00CD427B">
        <w:rPr>
          <w:rFonts w:ascii="Arial" w:hAnsi="Arial" w:cs="Arial"/>
        </w:rPr>
        <w:t>: 10.1177/2F1471301216640184</w:t>
      </w:r>
    </w:p>
    <w:p w14:paraId="3D3667D4" w14:textId="71D21E57" w:rsidR="00BF457C" w:rsidRPr="00CD427B" w:rsidRDefault="00BF457C" w:rsidP="00BF457C">
      <w:pPr>
        <w:ind w:left="720" w:hanging="720"/>
        <w:jc w:val="both"/>
        <w:rPr>
          <w:rFonts w:ascii="Arial" w:hAnsi="Arial" w:cs="Arial"/>
        </w:rPr>
      </w:pPr>
      <w:r w:rsidRPr="00CD427B">
        <w:rPr>
          <w:rFonts w:ascii="Arial" w:hAnsi="Arial" w:cs="Arial"/>
        </w:rPr>
        <w:t>[4]</w:t>
      </w:r>
      <w:r w:rsidRPr="00CD427B">
        <w:rPr>
          <w:rFonts w:ascii="Arial" w:hAnsi="Arial" w:cs="Arial"/>
        </w:rPr>
        <w:tab/>
        <w:t xml:space="preserve">Giebel CM, Challis DJ, </w:t>
      </w:r>
      <w:proofErr w:type="spellStart"/>
      <w:r w:rsidRPr="00CD427B">
        <w:rPr>
          <w:rFonts w:ascii="Arial" w:hAnsi="Arial" w:cs="Arial"/>
        </w:rPr>
        <w:t>Montaldi</w:t>
      </w:r>
      <w:proofErr w:type="spellEnd"/>
      <w:r w:rsidRPr="00CD427B">
        <w:rPr>
          <w:rFonts w:ascii="Arial" w:hAnsi="Arial" w:cs="Arial"/>
        </w:rPr>
        <w:t xml:space="preserve"> D. A revised interview for deterioration in daily living activities in dementia reveals the relationship between social activities and well-being. Dementia 2016;15(5):1068-1081.</w:t>
      </w:r>
    </w:p>
    <w:p w14:paraId="12979937" w14:textId="77777777" w:rsidR="00BF457C" w:rsidRPr="00CD427B" w:rsidRDefault="00BF457C" w:rsidP="00BF457C">
      <w:pPr>
        <w:spacing w:after="0"/>
        <w:ind w:left="720" w:hanging="720"/>
        <w:jc w:val="both"/>
        <w:rPr>
          <w:rStyle w:val="HTMLCite"/>
          <w:rFonts w:ascii="Arial" w:hAnsi="Arial" w:cs="Arial"/>
          <w:shd w:val="clear" w:color="auto" w:fill="FFFFFF"/>
        </w:rPr>
      </w:pPr>
      <w:r w:rsidRPr="00CD427B">
        <w:rPr>
          <w:rStyle w:val="cit-name-surname"/>
          <w:rFonts w:ascii="Arial" w:hAnsi="Arial" w:cs="Arial"/>
        </w:rPr>
        <w:t>[5]</w:t>
      </w:r>
      <w:r w:rsidRPr="00CD427B">
        <w:rPr>
          <w:rStyle w:val="cit-name-surname"/>
          <w:rFonts w:ascii="Arial" w:hAnsi="Arial" w:cs="Arial"/>
        </w:rPr>
        <w:tab/>
        <w:t>Grenade</w:t>
      </w:r>
      <w:r w:rsidRPr="00CD427B">
        <w:rPr>
          <w:rStyle w:val="cit-auth"/>
          <w:rFonts w:ascii="Arial" w:hAnsi="Arial" w:cs="Arial"/>
        </w:rPr>
        <w:t> </w:t>
      </w:r>
      <w:r w:rsidRPr="00CD427B">
        <w:rPr>
          <w:rStyle w:val="cit-name-given-names"/>
          <w:rFonts w:ascii="Arial" w:hAnsi="Arial" w:cs="Arial"/>
        </w:rPr>
        <w:t>L</w:t>
      </w:r>
      <w:r w:rsidRPr="00CD427B">
        <w:rPr>
          <w:rStyle w:val="cit-auth"/>
          <w:rFonts w:ascii="Arial" w:hAnsi="Arial" w:cs="Arial"/>
        </w:rPr>
        <w:t xml:space="preserve">, </w:t>
      </w:r>
      <w:proofErr w:type="spellStart"/>
      <w:r w:rsidRPr="00CD427B">
        <w:rPr>
          <w:rStyle w:val="cit-auth"/>
          <w:rFonts w:ascii="Arial" w:hAnsi="Arial" w:cs="Arial"/>
        </w:rPr>
        <w:t>B</w:t>
      </w:r>
      <w:r w:rsidRPr="00CD427B">
        <w:rPr>
          <w:rStyle w:val="cit-name-surname"/>
          <w:rFonts w:ascii="Arial" w:hAnsi="Arial" w:cs="Arial"/>
        </w:rPr>
        <w:t>oldy</w:t>
      </w:r>
      <w:proofErr w:type="spellEnd"/>
      <w:r w:rsidRPr="00CD427B">
        <w:rPr>
          <w:rStyle w:val="cit-auth"/>
          <w:rFonts w:ascii="Arial" w:hAnsi="Arial" w:cs="Arial"/>
        </w:rPr>
        <w:t> </w:t>
      </w:r>
      <w:r w:rsidRPr="00CD427B">
        <w:rPr>
          <w:rStyle w:val="cit-name-given-names"/>
          <w:rFonts w:ascii="Arial" w:hAnsi="Arial" w:cs="Arial"/>
        </w:rPr>
        <w:t xml:space="preserve">D. </w:t>
      </w:r>
      <w:r w:rsidRPr="00CD427B">
        <w:rPr>
          <w:rStyle w:val="cit-article-title"/>
          <w:rFonts w:ascii="Arial" w:hAnsi="Arial" w:cs="Arial"/>
          <w:shd w:val="clear" w:color="auto" w:fill="FFFFFF"/>
        </w:rPr>
        <w:t>Social isolation and loneliness among older people: issues and future challenges in community and residential settings</w:t>
      </w:r>
      <w:r w:rsidRPr="00CD427B">
        <w:rPr>
          <w:rStyle w:val="HTMLCite"/>
          <w:rFonts w:ascii="Arial" w:hAnsi="Arial" w:cs="Arial"/>
          <w:shd w:val="clear" w:color="auto" w:fill="FFFFFF"/>
        </w:rPr>
        <w:t>. </w:t>
      </w:r>
      <w:proofErr w:type="spellStart"/>
      <w:r w:rsidRPr="00CD427B">
        <w:rPr>
          <w:rStyle w:val="HTMLCite"/>
          <w:rFonts w:ascii="Arial" w:hAnsi="Arial" w:cs="Arial"/>
          <w:shd w:val="clear" w:color="auto" w:fill="FFFFFF"/>
        </w:rPr>
        <w:t>Aust</w:t>
      </w:r>
      <w:proofErr w:type="spellEnd"/>
      <w:r w:rsidRPr="00CD427B">
        <w:rPr>
          <w:rStyle w:val="HTMLCite"/>
          <w:rFonts w:ascii="Arial" w:hAnsi="Arial" w:cs="Arial"/>
          <w:shd w:val="clear" w:color="auto" w:fill="FFFFFF"/>
        </w:rPr>
        <w:t xml:space="preserve"> Health Rev </w:t>
      </w:r>
      <w:proofErr w:type="gramStart"/>
      <w:r w:rsidRPr="00CD427B">
        <w:rPr>
          <w:rStyle w:val="cit-pub-date"/>
          <w:rFonts w:ascii="Arial" w:hAnsi="Arial" w:cs="Arial"/>
          <w:shd w:val="clear" w:color="auto" w:fill="FFFFFF"/>
        </w:rPr>
        <w:t>2008</w:t>
      </w:r>
      <w:r w:rsidRPr="00CD427B">
        <w:rPr>
          <w:rStyle w:val="HTMLCite"/>
          <w:rFonts w:ascii="Arial" w:hAnsi="Arial" w:cs="Arial"/>
          <w:shd w:val="clear" w:color="auto" w:fill="FFFFFF"/>
        </w:rPr>
        <w:t>;</w:t>
      </w:r>
      <w:r w:rsidRPr="00CD427B">
        <w:rPr>
          <w:rStyle w:val="cit-vol"/>
          <w:rFonts w:ascii="Arial" w:hAnsi="Arial" w:cs="Arial"/>
          <w:bCs/>
          <w:shd w:val="clear" w:color="auto" w:fill="FFFFFF"/>
        </w:rPr>
        <w:t>32</w:t>
      </w:r>
      <w:r w:rsidRPr="00CD427B">
        <w:rPr>
          <w:rStyle w:val="HTMLCite"/>
          <w:rFonts w:ascii="Arial" w:hAnsi="Arial" w:cs="Arial"/>
          <w:shd w:val="clear" w:color="auto" w:fill="FFFFFF"/>
        </w:rPr>
        <w:t>:</w:t>
      </w:r>
      <w:r w:rsidRPr="00CD427B">
        <w:rPr>
          <w:rStyle w:val="cit-fpage"/>
          <w:rFonts w:ascii="Arial" w:hAnsi="Arial" w:cs="Arial"/>
          <w:shd w:val="clear" w:color="auto" w:fill="FFFFFF"/>
        </w:rPr>
        <w:t>468</w:t>
      </w:r>
      <w:proofErr w:type="gramEnd"/>
      <w:r w:rsidRPr="00CD427B">
        <w:rPr>
          <w:rStyle w:val="HTMLCite"/>
          <w:rFonts w:ascii="Arial" w:hAnsi="Arial" w:cs="Arial"/>
          <w:shd w:val="clear" w:color="auto" w:fill="FFFFFF"/>
        </w:rPr>
        <w:t>–</w:t>
      </w:r>
      <w:r w:rsidRPr="00CD427B">
        <w:rPr>
          <w:rStyle w:val="cit-lpage"/>
          <w:rFonts w:ascii="Arial" w:hAnsi="Arial" w:cs="Arial"/>
          <w:shd w:val="clear" w:color="auto" w:fill="FFFFFF"/>
        </w:rPr>
        <w:t>78</w:t>
      </w:r>
      <w:r w:rsidRPr="00CD427B">
        <w:rPr>
          <w:rStyle w:val="HTMLCite"/>
          <w:rFonts w:ascii="Arial" w:hAnsi="Arial" w:cs="Arial"/>
          <w:shd w:val="clear" w:color="auto" w:fill="FFFFFF"/>
        </w:rPr>
        <w:t>.</w:t>
      </w:r>
    </w:p>
    <w:p w14:paraId="5CDD9358" w14:textId="77777777" w:rsidR="00BF457C" w:rsidRPr="00CD427B" w:rsidRDefault="00BF457C" w:rsidP="00BF457C">
      <w:pPr>
        <w:spacing w:after="0" w:line="100" w:lineRule="atLeast"/>
        <w:jc w:val="both"/>
        <w:rPr>
          <w:rFonts w:ascii="Arial" w:hAnsi="Arial" w:cs="Arial"/>
          <w:lang w:val="fr-FR"/>
        </w:rPr>
      </w:pPr>
    </w:p>
    <w:p w14:paraId="22BD657E" w14:textId="77777777" w:rsidR="00BF457C" w:rsidRPr="00CD427B" w:rsidRDefault="00BF457C" w:rsidP="00BF457C">
      <w:pPr>
        <w:ind w:left="720" w:hanging="720"/>
        <w:jc w:val="both"/>
        <w:rPr>
          <w:rFonts w:ascii="Arial" w:hAnsi="Arial" w:cs="Arial"/>
        </w:rPr>
      </w:pPr>
      <w:r w:rsidRPr="00CD427B">
        <w:rPr>
          <w:rFonts w:ascii="Arial" w:hAnsi="Arial" w:cs="Arial"/>
        </w:rPr>
        <w:t>[6]</w:t>
      </w:r>
      <w:r w:rsidRPr="00CD427B">
        <w:rPr>
          <w:rFonts w:ascii="Arial" w:hAnsi="Arial" w:cs="Arial"/>
        </w:rPr>
        <w:tab/>
        <w:t xml:space="preserve">Office for National Statistics. </w:t>
      </w:r>
      <w:r w:rsidRPr="00CD427B">
        <w:rPr>
          <w:rFonts w:ascii="Arial" w:hAnsi="Arial" w:cs="Arial"/>
          <w:i/>
        </w:rPr>
        <w:t>Overview of the UK population: November 2018</w:t>
      </w:r>
      <w:r w:rsidRPr="00CD427B">
        <w:rPr>
          <w:rFonts w:ascii="Arial" w:hAnsi="Arial" w:cs="Arial"/>
        </w:rPr>
        <w:t>. London, England 2018: Office for National Statistics.</w:t>
      </w:r>
    </w:p>
    <w:p w14:paraId="4AAE0591" w14:textId="1DFDD3E0" w:rsidR="00BF457C" w:rsidRDefault="00BF457C" w:rsidP="00BF457C">
      <w:pPr>
        <w:spacing w:after="0" w:line="100" w:lineRule="atLeast"/>
        <w:ind w:left="720" w:hanging="720"/>
        <w:jc w:val="both"/>
        <w:rPr>
          <w:rFonts w:ascii="Arial" w:hAnsi="Arial" w:cs="Arial"/>
          <w:lang w:val="fr-FR"/>
        </w:rPr>
      </w:pPr>
      <w:r w:rsidRPr="00CD427B">
        <w:rPr>
          <w:rFonts w:ascii="Arial" w:hAnsi="Arial" w:cs="Arial"/>
        </w:rPr>
        <w:t>[7]</w:t>
      </w:r>
      <w:r w:rsidRPr="00CD427B">
        <w:rPr>
          <w:rFonts w:ascii="Arial" w:hAnsi="Arial" w:cs="Arial"/>
        </w:rPr>
        <w:tab/>
        <w:t>Holt-</w:t>
      </w:r>
      <w:proofErr w:type="spellStart"/>
      <w:r w:rsidRPr="00CD427B">
        <w:rPr>
          <w:rFonts w:ascii="Arial" w:hAnsi="Arial" w:cs="Arial"/>
        </w:rPr>
        <w:t>Lunstad</w:t>
      </w:r>
      <w:proofErr w:type="spellEnd"/>
      <w:r w:rsidRPr="00CD427B">
        <w:rPr>
          <w:rFonts w:ascii="Arial" w:hAnsi="Arial" w:cs="Arial"/>
        </w:rPr>
        <w:t xml:space="preserve"> J, Smith TB, Baker M, et al. Loneliness and social isolation as risk factors for mortality: A meta-analytic review. </w:t>
      </w:r>
      <w:r w:rsidRPr="00CD427B">
        <w:rPr>
          <w:rFonts w:ascii="Arial" w:hAnsi="Arial" w:cs="Arial"/>
          <w:lang w:val="fr-FR"/>
        </w:rPr>
        <w:t xml:space="preserve">Perspectives </w:t>
      </w:r>
      <w:proofErr w:type="spellStart"/>
      <w:r w:rsidRPr="00CD427B">
        <w:rPr>
          <w:rFonts w:ascii="Arial" w:hAnsi="Arial" w:cs="Arial"/>
          <w:lang w:val="fr-FR"/>
        </w:rPr>
        <w:t>Psychol</w:t>
      </w:r>
      <w:proofErr w:type="spellEnd"/>
      <w:r w:rsidRPr="00CD427B">
        <w:rPr>
          <w:rFonts w:ascii="Arial" w:hAnsi="Arial" w:cs="Arial"/>
          <w:lang w:val="fr-FR"/>
        </w:rPr>
        <w:t xml:space="preserve"> </w:t>
      </w:r>
      <w:proofErr w:type="spellStart"/>
      <w:r>
        <w:rPr>
          <w:rFonts w:ascii="Arial" w:hAnsi="Arial" w:cs="Arial"/>
          <w:lang w:val="fr-FR"/>
        </w:rPr>
        <w:t>Sci</w:t>
      </w:r>
      <w:proofErr w:type="spellEnd"/>
      <w:r>
        <w:rPr>
          <w:rFonts w:ascii="Arial" w:hAnsi="Arial" w:cs="Arial"/>
          <w:lang w:val="fr-FR"/>
        </w:rPr>
        <w:t xml:space="preserve">. </w:t>
      </w:r>
      <w:proofErr w:type="gramStart"/>
      <w:r>
        <w:rPr>
          <w:rFonts w:ascii="Arial" w:hAnsi="Arial" w:cs="Arial"/>
          <w:lang w:val="fr-FR"/>
        </w:rPr>
        <w:t>2015;</w:t>
      </w:r>
      <w:proofErr w:type="gramEnd"/>
      <w:r w:rsidRPr="006E36B2">
        <w:rPr>
          <w:rFonts w:ascii="Arial" w:hAnsi="Arial" w:cs="Arial"/>
          <w:lang w:val="fr-FR"/>
        </w:rPr>
        <w:t>1</w:t>
      </w:r>
      <w:r>
        <w:rPr>
          <w:rFonts w:ascii="Arial" w:hAnsi="Arial" w:cs="Arial"/>
          <w:lang w:val="fr-FR"/>
        </w:rPr>
        <w:t>0(2) :</w:t>
      </w:r>
      <w:r w:rsidRPr="006E36B2">
        <w:rPr>
          <w:rFonts w:ascii="Arial" w:hAnsi="Arial" w:cs="Arial"/>
          <w:lang w:val="fr-FR"/>
        </w:rPr>
        <w:t>227-237.</w:t>
      </w:r>
    </w:p>
    <w:p w14:paraId="11186CC9" w14:textId="77777777" w:rsidR="00BF457C" w:rsidRDefault="00BF457C" w:rsidP="00BF457C">
      <w:pPr>
        <w:spacing w:after="0" w:line="100" w:lineRule="atLeast"/>
        <w:jc w:val="both"/>
        <w:rPr>
          <w:rFonts w:ascii="Arial" w:hAnsi="Arial" w:cs="Arial"/>
          <w:lang w:val="fr-FR"/>
        </w:rPr>
      </w:pPr>
    </w:p>
    <w:p w14:paraId="1989277B" w14:textId="77777777" w:rsidR="00BF457C" w:rsidRDefault="00BF457C" w:rsidP="00BF457C">
      <w:pPr>
        <w:ind w:left="720" w:hanging="720"/>
        <w:jc w:val="both"/>
        <w:rPr>
          <w:rFonts w:ascii="Arial" w:hAnsi="Arial" w:cs="Arial"/>
        </w:rPr>
      </w:pPr>
      <w:r>
        <w:rPr>
          <w:rFonts w:ascii="Arial" w:hAnsi="Arial" w:cs="Arial"/>
        </w:rPr>
        <w:t>[8]</w:t>
      </w:r>
      <w:r>
        <w:rPr>
          <w:rFonts w:ascii="Arial" w:hAnsi="Arial" w:cs="Arial"/>
        </w:rPr>
        <w:tab/>
      </w:r>
      <w:proofErr w:type="spellStart"/>
      <w:r>
        <w:rPr>
          <w:rFonts w:ascii="Arial" w:hAnsi="Arial" w:cs="Arial"/>
        </w:rPr>
        <w:t>Wedgeworth</w:t>
      </w:r>
      <w:proofErr w:type="spellEnd"/>
      <w:r>
        <w:rPr>
          <w:rFonts w:ascii="Arial" w:hAnsi="Arial" w:cs="Arial"/>
        </w:rPr>
        <w:t xml:space="preserve"> M, LaRocca MA, Chaplin WF, </w:t>
      </w:r>
      <w:proofErr w:type="spellStart"/>
      <w:r>
        <w:rPr>
          <w:rFonts w:ascii="Arial" w:hAnsi="Arial" w:cs="Arial"/>
        </w:rPr>
        <w:t>Scogin</w:t>
      </w:r>
      <w:proofErr w:type="spellEnd"/>
      <w:r>
        <w:rPr>
          <w:rFonts w:ascii="Arial" w:hAnsi="Arial" w:cs="Arial"/>
        </w:rPr>
        <w:t xml:space="preserve"> F. The role of interpersonal sensitivity, social support, and quality of life in rural older adults. Geriatric Nursing 2017;38(1):22-26.</w:t>
      </w:r>
    </w:p>
    <w:p w14:paraId="71121E14" w14:textId="7BFD0EA8" w:rsidR="00BF457C" w:rsidRDefault="00BF457C" w:rsidP="00BF457C">
      <w:pPr>
        <w:pStyle w:val="EndNoteBibliography"/>
        <w:spacing w:after="0"/>
        <w:ind w:left="720" w:hanging="720"/>
        <w:rPr>
          <w:rFonts w:ascii="Arial" w:hAnsi="Arial" w:cs="Arial"/>
        </w:rPr>
      </w:pPr>
      <w:r>
        <w:rPr>
          <w:rFonts w:ascii="Arial" w:hAnsi="Arial" w:cs="Arial"/>
        </w:rPr>
        <w:t>[9]</w:t>
      </w:r>
      <w:r>
        <w:rPr>
          <w:rFonts w:ascii="Arial" w:hAnsi="Arial" w:cs="Arial"/>
        </w:rPr>
        <w:tab/>
      </w:r>
      <w:r w:rsidRPr="00AD5C50">
        <w:rPr>
          <w:rFonts w:ascii="Arial" w:hAnsi="Arial" w:cs="Arial"/>
        </w:rPr>
        <w:t>Jones ME, Petersen I, Walters K, Bhanu C, Manthorpe J, Raine R, et al. Differences in Psychotropic Drug Prescribing Between Ethnic Groups of People with Dementia in the United Kingdom. Clin Epidemiol. 2020;12:61-71.</w:t>
      </w:r>
    </w:p>
    <w:p w14:paraId="5F18D4E8" w14:textId="77777777" w:rsidR="00BF457C" w:rsidRDefault="00BF457C" w:rsidP="00BF457C">
      <w:pPr>
        <w:pStyle w:val="EndNoteBibliography"/>
        <w:spacing w:after="0"/>
        <w:ind w:left="720" w:hanging="720"/>
        <w:rPr>
          <w:rFonts w:ascii="Arial" w:hAnsi="Arial" w:cs="Arial"/>
        </w:rPr>
      </w:pPr>
    </w:p>
    <w:p w14:paraId="7000772E" w14:textId="77777777" w:rsidR="00BF457C" w:rsidRDefault="00BF457C" w:rsidP="00BF457C">
      <w:pPr>
        <w:ind w:left="720" w:hanging="720"/>
        <w:jc w:val="both"/>
        <w:rPr>
          <w:rFonts w:ascii="Arial" w:hAnsi="Arial" w:cs="Arial"/>
        </w:rPr>
      </w:pPr>
      <w:r>
        <w:rPr>
          <w:rFonts w:ascii="Arial" w:hAnsi="Arial" w:cs="Arial"/>
        </w:rPr>
        <w:t>[10]</w:t>
      </w:r>
      <w:r>
        <w:rPr>
          <w:rFonts w:ascii="Arial" w:hAnsi="Arial" w:cs="Arial"/>
        </w:rPr>
        <w:tab/>
      </w:r>
      <w:r w:rsidRPr="00AD5C50">
        <w:rPr>
          <w:rFonts w:ascii="Arial" w:hAnsi="Arial" w:cs="Arial"/>
        </w:rPr>
        <w:t xml:space="preserve">Pham TM, Petersen I, Walters K, Raine R, </w:t>
      </w:r>
      <w:proofErr w:type="spellStart"/>
      <w:r w:rsidRPr="00AD5C50">
        <w:rPr>
          <w:rFonts w:ascii="Arial" w:hAnsi="Arial" w:cs="Arial"/>
        </w:rPr>
        <w:t>Manthorpe</w:t>
      </w:r>
      <w:proofErr w:type="spellEnd"/>
      <w:r w:rsidRPr="00AD5C50">
        <w:rPr>
          <w:rFonts w:ascii="Arial" w:hAnsi="Arial" w:cs="Arial"/>
        </w:rPr>
        <w:t xml:space="preserve"> J, </w:t>
      </w:r>
      <w:proofErr w:type="spellStart"/>
      <w:r w:rsidRPr="00AD5C50">
        <w:rPr>
          <w:rFonts w:ascii="Arial" w:hAnsi="Arial" w:cs="Arial"/>
        </w:rPr>
        <w:t>Mukadam</w:t>
      </w:r>
      <w:proofErr w:type="spellEnd"/>
      <w:r w:rsidRPr="00AD5C50">
        <w:rPr>
          <w:rFonts w:ascii="Arial" w:hAnsi="Arial" w:cs="Arial"/>
        </w:rPr>
        <w:t xml:space="preserve"> N, et al. Trends in dementia diagnosis rates in UK ethnic groups: analysis of UK primary care data. Clin </w:t>
      </w:r>
      <w:proofErr w:type="spellStart"/>
      <w:r w:rsidRPr="00AD5C50">
        <w:rPr>
          <w:rFonts w:ascii="Arial" w:hAnsi="Arial" w:cs="Arial"/>
        </w:rPr>
        <w:t>Epidemiol</w:t>
      </w:r>
      <w:proofErr w:type="spellEnd"/>
      <w:r w:rsidRPr="00AD5C50">
        <w:rPr>
          <w:rFonts w:ascii="Arial" w:hAnsi="Arial" w:cs="Arial"/>
        </w:rPr>
        <w:t xml:space="preserve">. </w:t>
      </w:r>
      <w:proofErr w:type="gramStart"/>
      <w:r w:rsidRPr="00AD5C50">
        <w:rPr>
          <w:rFonts w:ascii="Arial" w:hAnsi="Arial" w:cs="Arial"/>
        </w:rPr>
        <w:t>2018;10:949</w:t>
      </w:r>
      <w:proofErr w:type="gramEnd"/>
      <w:r w:rsidRPr="00AD5C50">
        <w:rPr>
          <w:rFonts w:ascii="Arial" w:hAnsi="Arial" w:cs="Arial"/>
        </w:rPr>
        <w:t>-60.</w:t>
      </w:r>
    </w:p>
    <w:p w14:paraId="628FC774" w14:textId="75B0EECE" w:rsidR="00BF457C" w:rsidRDefault="00BF457C" w:rsidP="00BF457C">
      <w:pPr>
        <w:ind w:left="720" w:hanging="720"/>
        <w:jc w:val="both"/>
        <w:rPr>
          <w:rFonts w:ascii="Arial" w:hAnsi="Arial" w:cs="Arial"/>
        </w:rPr>
      </w:pPr>
      <w:r>
        <w:rPr>
          <w:rFonts w:ascii="Arial" w:hAnsi="Arial" w:cs="Arial"/>
        </w:rPr>
        <w:t>[11]</w:t>
      </w:r>
      <w:r>
        <w:rPr>
          <w:rFonts w:ascii="Arial" w:hAnsi="Arial" w:cs="Arial"/>
        </w:rPr>
        <w:tab/>
        <w:t xml:space="preserve">Mazurek J, </w:t>
      </w:r>
      <w:proofErr w:type="spellStart"/>
      <w:r>
        <w:rPr>
          <w:rFonts w:ascii="Arial" w:hAnsi="Arial" w:cs="Arial"/>
        </w:rPr>
        <w:t>Szczesniak</w:t>
      </w:r>
      <w:proofErr w:type="spellEnd"/>
      <w:r>
        <w:rPr>
          <w:rFonts w:ascii="Arial" w:hAnsi="Arial" w:cs="Arial"/>
        </w:rPr>
        <w:t xml:space="preserve"> D, </w:t>
      </w:r>
      <w:proofErr w:type="spellStart"/>
      <w:r>
        <w:rPr>
          <w:rFonts w:ascii="Arial" w:hAnsi="Arial" w:cs="Arial"/>
        </w:rPr>
        <w:t>Urbanska</w:t>
      </w:r>
      <w:proofErr w:type="spellEnd"/>
      <w:r>
        <w:rPr>
          <w:rFonts w:ascii="Arial" w:hAnsi="Arial" w:cs="Arial"/>
        </w:rPr>
        <w:t xml:space="preserve"> K, et al. Met and unmet care needs of older people with dementia living at home: Personal and informal carers’ perspectives. Dementia 2019;18(6):1963-1975.</w:t>
      </w:r>
    </w:p>
    <w:p w14:paraId="602B1C3E" w14:textId="2C829F87" w:rsidR="00BF457C" w:rsidRDefault="00BF457C" w:rsidP="00BF457C">
      <w:pPr>
        <w:ind w:left="720" w:hanging="720"/>
        <w:jc w:val="both"/>
        <w:rPr>
          <w:rFonts w:ascii="Arial" w:hAnsi="Arial" w:cs="Arial"/>
        </w:rPr>
      </w:pPr>
      <w:r>
        <w:rPr>
          <w:rFonts w:ascii="Arial" w:hAnsi="Arial" w:cs="Arial"/>
        </w:rPr>
        <w:t>[12]</w:t>
      </w:r>
      <w:r>
        <w:rPr>
          <w:rFonts w:ascii="Arial" w:hAnsi="Arial" w:cs="Arial"/>
        </w:rPr>
        <w:tab/>
        <w:t>Giebel C, Cannon J, Hanna K, et al. Impact of COVID-19 related social support service closures on the lives of people with dementia and unpaid carers: A qualitative study. Age &amp; Ageing</w:t>
      </w:r>
      <w:r w:rsidR="00904622">
        <w:rPr>
          <w:rFonts w:ascii="Arial" w:hAnsi="Arial" w:cs="Arial"/>
        </w:rPr>
        <w:t xml:space="preserve"> 2020</w:t>
      </w:r>
      <w:r>
        <w:rPr>
          <w:rFonts w:ascii="Arial" w:hAnsi="Arial" w:cs="Arial"/>
        </w:rPr>
        <w:t xml:space="preserve">, </w:t>
      </w:r>
      <w:r w:rsidR="00904622">
        <w:rPr>
          <w:rFonts w:ascii="Arial" w:hAnsi="Arial" w:cs="Arial"/>
        </w:rPr>
        <w:t>in press</w:t>
      </w:r>
    </w:p>
    <w:p w14:paraId="3E3F78F1" w14:textId="60C06E8E" w:rsidR="00BF457C" w:rsidRDefault="00BF457C" w:rsidP="00BF457C">
      <w:pPr>
        <w:ind w:left="720" w:hanging="720"/>
        <w:jc w:val="both"/>
        <w:rPr>
          <w:rFonts w:ascii="Arial" w:hAnsi="Arial" w:cs="Arial"/>
          <w:color w:val="333333"/>
          <w:shd w:val="clear" w:color="auto" w:fill="FFFFFF"/>
        </w:rPr>
      </w:pPr>
      <w:r>
        <w:rPr>
          <w:rFonts w:ascii="Arial" w:hAnsi="Arial" w:cs="Arial"/>
        </w:rPr>
        <w:t>[13]</w:t>
      </w:r>
      <w:r>
        <w:rPr>
          <w:rFonts w:ascii="Arial" w:hAnsi="Arial" w:cs="Arial"/>
        </w:rPr>
        <w:tab/>
      </w:r>
      <w:r w:rsidRPr="004C6A92">
        <w:rPr>
          <w:rFonts w:ascii="Arial" w:hAnsi="Arial" w:cs="Arial"/>
        </w:rPr>
        <w:t xml:space="preserve">White RG, van der Boor C. The impact of the COVID19 pandemic and initial period of lockdown on the mental health and wellbeing of UK adults. </w:t>
      </w:r>
      <w:proofErr w:type="spellStart"/>
      <w:r w:rsidR="000B5C76">
        <w:rPr>
          <w:rFonts w:ascii="Arial" w:hAnsi="Arial" w:cs="Arial"/>
        </w:rPr>
        <w:t>medRxiv</w:t>
      </w:r>
      <w:proofErr w:type="spellEnd"/>
      <w:r w:rsidR="000B5C76">
        <w:rPr>
          <w:rFonts w:ascii="Arial" w:hAnsi="Arial" w:cs="Arial"/>
        </w:rPr>
        <w:t xml:space="preserve"> preprint 2020; </w:t>
      </w:r>
      <w:r w:rsidRPr="004C6A92">
        <w:rPr>
          <w:rFonts w:ascii="Arial" w:hAnsi="Arial" w:cs="Arial"/>
        </w:rPr>
        <w:t xml:space="preserve">Doi: </w:t>
      </w:r>
      <w:r w:rsidRPr="004C6A92">
        <w:rPr>
          <w:rFonts w:ascii="Arial" w:hAnsi="Arial" w:cs="Arial"/>
          <w:color w:val="333333"/>
          <w:shd w:val="clear" w:color="auto" w:fill="FFFFFF"/>
        </w:rPr>
        <w:t>10.1101/2020.04.24.20078550</w:t>
      </w:r>
    </w:p>
    <w:p w14:paraId="194DAA25" w14:textId="26B6F3CE" w:rsidR="004A028D" w:rsidRDefault="004A028D" w:rsidP="00BF457C">
      <w:pPr>
        <w:ind w:left="720" w:hanging="720"/>
        <w:jc w:val="both"/>
        <w:rPr>
          <w:rFonts w:ascii="Arial" w:hAnsi="Arial" w:cs="Arial"/>
        </w:rPr>
      </w:pPr>
      <w:r>
        <w:rPr>
          <w:rFonts w:ascii="Arial" w:hAnsi="Arial" w:cs="Arial"/>
        </w:rPr>
        <w:t>[14]</w:t>
      </w:r>
      <w:r>
        <w:rPr>
          <w:rFonts w:ascii="Arial" w:hAnsi="Arial" w:cs="Arial"/>
        </w:rPr>
        <w:tab/>
        <w:t xml:space="preserve">Wright L, Steptoe A, </w:t>
      </w:r>
      <w:proofErr w:type="spellStart"/>
      <w:r>
        <w:rPr>
          <w:rFonts w:ascii="Arial" w:hAnsi="Arial" w:cs="Arial"/>
        </w:rPr>
        <w:t>Fancourt</w:t>
      </w:r>
      <w:proofErr w:type="spellEnd"/>
      <w:r>
        <w:rPr>
          <w:rFonts w:ascii="Arial" w:hAnsi="Arial" w:cs="Arial"/>
        </w:rPr>
        <w:t xml:space="preserve"> D. Are we all in this together? Longitudinal assessment of cumulative adversities by socioeconomic position in the first 3 weeks of lockdown in the UK. Journal of Epidemiology and Community Health </w:t>
      </w:r>
      <w:r w:rsidR="006064BC">
        <w:rPr>
          <w:rFonts w:ascii="Arial" w:hAnsi="Arial" w:cs="Arial"/>
        </w:rPr>
        <w:t xml:space="preserve">2020; </w:t>
      </w:r>
      <w:proofErr w:type="spellStart"/>
      <w:r w:rsidR="006064BC">
        <w:rPr>
          <w:rFonts w:ascii="Arial" w:hAnsi="Arial" w:cs="Arial"/>
        </w:rPr>
        <w:t>doi</w:t>
      </w:r>
      <w:proofErr w:type="spellEnd"/>
      <w:r w:rsidR="006064BC">
        <w:rPr>
          <w:rFonts w:ascii="Arial" w:hAnsi="Arial" w:cs="Arial"/>
        </w:rPr>
        <w:t>: 10.1136/jech-2020-214475</w:t>
      </w:r>
    </w:p>
    <w:p w14:paraId="33C0CBB7" w14:textId="63AB7558" w:rsidR="00BF457C" w:rsidRDefault="00BF457C" w:rsidP="00BF457C">
      <w:pPr>
        <w:ind w:left="720" w:hanging="720"/>
        <w:jc w:val="both"/>
        <w:rPr>
          <w:rFonts w:ascii="Arial" w:hAnsi="Arial" w:cs="Arial"/>
        </w:rPr>
      </w:pPr>
      <w:r>
        <w:rPr>
          <w:rFonts w:ascii="Arial" w:hAnsi="Arial" w:cs="Arial"/>
        </w:rPr>
        <w:lastRenderedPageBreak/>
        <w:t>[1</w:t>
      </w:r>
      <w:r w:rsidR="004A028D">
        <w:rPr>
          <w:rFonts w:ascii="Arial" w:hAnsi="Arial" w:cs="Arial"/>
        </w:rPr>
        <w:t>5</w:t>
      </w:r>
      <w:r>
        <w:rPr>
          <w:rFonts w:ascii="Arial" w:hAnsi="Arial" w:cs="Arial"/>
        </w:rPr>
        <w:t>]</w:t>
      </w:r>
      <w:r>
        <w:rPr>
          <w:rFonts w:ascii="Arial" w:hAnsi="Arial" w:cs="Arial"/>
        </w:rPr>
        <w:tab/>
        <w:t xml:space="preserve">Haver A, </w:t>
      </w:r>
      <w:proofErr w:type="spellStart"/>
      <w:r>
        <w:rPr>
          <w:rFonts w:ascii="Arial" w:hAnsi="Arial" w:cs="Arial"/>
        </w:rPr>
        <w:t>Akerjordet</w:t>
      </w:r>
      <w:proofErr w:type="spellEnd"/>
      <w:r>
        <w:rPr>
          <w:rFonts w:ascii="Arial" w:hAnsi="Arial" w:cs="Arial"/>
        </w:rPr>
        <w:t xml:space="preserve"> K, </w:t>
      </w:r>
      <w:proofErr w:type="spellStart"/>
      <w:r>
        <w:rPr>
          <w:rFonts w:ascii="Arial" w:hAnsi="Arial" w:cs="Arial"/>
        </w:rPr>
        <w:t>Caputi</w:t>
      </w:r>
      <w:proofErr w:type="spellEnd"/>
      <w:r>
        <w:rPr>
          <w:rFonts w:ascii="Arial" w:hAnsi="Arial" w:cs="Arial"/>
        </w:rPr>
        <w:t xml:space="preserve"> P, et al. Measuring mental well-being: A validation of the Short Warwick-Edinburgh Mental Well-Being Scale in Norwegian and Swedish. Scandinavian Journal of Public Health 2015;43(7):721-727.</w:t>
      </w:r>
    </w:p>
    <w:p w14:paraId="03FB060E" w14:textId="75CB63BE" w:rsidR="00BF457C" w:rsidRPr="004C6A92" w:rsidRDefault="00BF457C" w:rsidP="00BF457C">
      <w:pPr>
        <w:ind w:left="720" w:hanging="720"/>
        <w:jc w:val="both"/>
        <w:rPr>
          <w:rFonts w:ascii="Arial" w:hAnsi="Arial" w:cs="Arial"/>
        </w:rPr>
      </w:pPr>
      <w:r>
        <w:rPr>
          <w:rFonts w:ascii="Arial" w:hAnsi="Arial" w:cs="Arial"/>
        </w:rPr>
        <w:t>[1</w:t>
      </w:r>
      <w:r w:rsidR="004A028D">
        <w:rPr>
          <w:rFonts w:ascii="Arial" w:hAnsi="Arial" w:cs="Arial"/>
        </w:rPr>
        <w:t>6</w:t>
      </w:r>
      <w:r>
        <w:rPr>
          <w:rFonts w:ascii="Arial" w:hAnsi="Arial" w:cs="Arial"/>
        </w:rPr>
        <w:t>]</w:t>
      </w:r>
      <w:r>
        <w:rPr>
          <w:rFonts w:ascii="Arial" w:hAnsi="Arial" w:cs="Arial"/>
        </w:rPr>
        <w:tab/>
        <w:t>Spitzer RL, Kroenke K, Williams JB, Loewe B. A brief measure for assessing generalized anxiety disorder: the GAD-7. Archives of Internal Medicine 2006;166(10):1092-1097.</w:t>
      </w:r>
    </w:p>
    <w:p w14:paraId="36351C8B" w14:textId="2137E62A" w:rsidR="00BF457C" w:rsidRPr="004C6A92" w:rsidRDefault="00BF457C" w:rsidP="00BF457C">
      <w:pPr>
        <w:ind w:left="720" w:hanging="720"/>
        <w:jc w:val="both"/>
        <w:rPr>
          <w:rFonts w:ascii="Arial" w:hAnsi="Arial" w:cs="Arial"/>
        </w:rPr>
      </w:pPr>
      <w:r>
        <w:rPr>
          <w:rFonts w:ascii="Arial" w:hAnsi="Arial" w:cs="Arial"/>
        </w:rPr>
        <w:t>[1</w:t>
      </w:r>
      <w:r w:rsidR="004A028D">
        <w:rPr>
          <w:rFonts w:ascii="Arial" w:hAnsi="Arial" w:cs="Arial"/>
        </w:rPr>
        <w:t>7</w:t>
      </w:r>
      <w:r>
        <w:rPr>
          <w:rFonts w:ascii="Arial" w:hAnsi="Arial" w:cs="Arial"/>
        </w:rPr>
        <w:t>]</w:t>
      </w:r>
      <w:r>
        <w:rPr>
          <w:rFonts w:ascii="Arial" w:hAnsi="Arial" w:cs="Arial"/>
        </w:rPr>
        <w:tab/>
        <w:t>Kroenke K, Spitzer RL, Williams JB. The PHQ-9: validity of a brief depression severity measure. Journal of General Internal Medicine 2001;16(9):606-613.</w:t>
      </w:r>
    </w:p>
    <w:p w14:paraId="5DE31C65" w14:textId="3882E24E" w:rsidR="00BF457C" w:rsidRDefault="00BF457C" w:rsidP="00BF457C">
      <w:pPr>
        <w:pStyle w:val="NormalWeb"/>
        <w:shd w:val="clear" w:color="auto" w:fill="FFFFFF"/>
        <w:spacing w:before="0" w:beforeAutospacing="0" w:after="150" w:afterAutospacing="0"/>
        <w:ind w:left="720" w:hanging="720"/>
        <w:jc w:val="both"/>
        <w:rPr>
          <w:rFonts w:ascii="Arial" w:hAnsi="Arial" w:cs="Arial"/>
          <w:spacing w:val="-2"/>
          <w:sz w:val="22"/>
        </w:rPr>
      </w:pPr>
      <w:r>
        <w:rPr>
          <w:rFonts w:ascii="Arial" w:hAnsi="Arial" w:cs="Arial"/>
          <w:spacing w:val="-2"/>
          <w:sz w:val="22"/>
        </w:rPr>
        <w:t>[1</w:t>
      </w:r>
      <w:r w:rsidR="004A028D">
        <w:rPr>
          <w:rFonts w:ascii="Arial" w:hAnsi="Arial" w:cs="Arial"/>
          <w:spacing w:val="-2"/>
          <w:sz w:val="22"/>
        </w:rPr>
        <w:t>8</w:t>
      </w:r>
      <w:r>
        <w:rPr>
          <w:rFonts w:ascii="Arial" w:hAnsi="Arial" w:cs="Arial"/>
          <w:spacing w:val="-2"/>
          <w:sz w:val="22"/>
        </w:rPr>
        <w:t>]</w:t>
      </w:r>
      <w:r>
        <w:rPr>
          <w:rFonts w:ascii="Arial" w:hAnsi="Arial" w:cs="Arial"/>
          <w:spacing w:val="-2"/>
          <w:sz w:val="22"/>
        </w:rPr>
        <w:tab/>
      </w:r>
      <w:r w:rsidRPr="002408E4">
        <w:rPr>
          <w:rFonts w:ascii="Arial" w:hAnsi="Arial" w:cs="Arial"/>
          <w:spacing w:val="-2"/>
          <w:sz w:val="22"/>
        </w:rPr>
        <w:t xml:space="preserve">Smith, B.W., Epstein, E.E., </w:t>
      </w:r>
      <w:proofErr w:type="spellStart"/>
      <w:r w:rsidRPr="002408E4">
        <w:rPr>
          <w:rFonts w:ascii="Arial" w:hAnsi="Arial" w:cs="Arial"/>
          <w:spacing w:val="-2"/>
          <w:sz w:val="22"/>
        </w:rPr>
        <w:t>Oritz</w:t>
      </w:r>
      <w:proofErr w:type="spellEnd"/>
      <w:r w:rsidRPr="002408E4">
        <w:rPr>
          <w:rFonts w:ascii="Arial" w:hAnsi="Arial" w:cs="Arial"/>
          <w:spacing w:val="-2"/>
          <w:sz w:val="22"/>
        </w:rPr>
        <w:t>, J.A., Christopher, P.K., &amp; Tooley, E.M. (2013). The Foundations of Resilience: What are the critical resources for bouncing back from stress? In Prince-</w:t>
      </w:r>
      <w:proofErr w:type="spellStart"/>
      <w:r w:rsidRPr="002408E4">
        <w:rPr>
          <w:rFonts w:ascii="Arial" w:hAnsi="Arial" w:cs="Arial"/>
          <w:spacing w:val="-2"/>
          <w:sz w:val="22"/>
        </w:rPr>
        <w:t>Embury</w:t>
      </w:r>
      <w:proofErr w:type="spellEnd"/>
      <w:r w:rsidRPr="002408E4">
        <w:rPr>
          <w:rFonts w:ascii="Arial" w:hAnsi="Arial" w:cs="Arial"/>
          <w:spacing w:val="-2"/>
          <w:sz w:val="22"/>
        </w:rPr>
        <w:t xml:space="preserve">, S. &amp; </w:t>
      </w:r>
      <w:proofErr w:type="spellStart"/>
      <w:r w:rsidRPr="002408E4">
        <w:rPr>
          <w:rFonts w:ascii="Arial" w:hAnsi="Arial" w:cs="Arial"/>
          <w:spacing w:val="-2"/>
          <w:sz w:val="22"/>
        </w:rPr>
        <w:t>Saklofske</w:t>
      </w:r>
      <w:proofErr w:type="spellEnd"/>
      <w:r w:rsidRPr="002408E4">
        <w:rPr>
          <w:rFonts w:ascii="Arial" w:hAnsi="Arial" w:cs="Arial"/>
          <w:spacing w:val="-2"/>
          <w:sz w:val="22"/>
        </w:rPr>
        <w:t>, D.H. (Eds.), </w:t>
      </w:r>
      <w:r w:rsidRPr="002408E4">
        <w:rPr>
          <w:rStyle w:val="Emphasis"/>
          <w:rFonts w:ascii="Arial" w:hAnsi="Arial" w:cs="Arial"/>
          <w:spacing w:val="-2"/>
          <w:sz w:val="22"/>
        </w:rPr>
        <w:t>Resilience in children, adolescents, and adults: Translating research into practice</w:t>
      </w:r>
      <w:r w:rsidRPr="002408E4">
        <w:rPr>
          <w:rFonts w:ascii="Arial" w:hAnsi="Arial" w:cs="Arial"/>
          <w:spacing w:val="-2"/>
          <w:sz w:val="22"/>
        </w:rPr>
        <w:t>, The Springer series on human exceptionality (pp. 167-187). New York, NY: Springer.</w:t>
      </w:r>
    </w:p>
    <w:p w14:paraId="220E7D33" w14:textId="31401040" w:rsidR="002F1174" w:rsidRDefault="002F1174" w:rsidP="00BF457C">
      <w:pPr>
        <w:ind w:left="720" w:hanging="720"/>
        <w:jc w:val="both"/>
        <w:rPr>
          <w:rFonts w:ascii="Arial" w:hAnsi="Arial" w:cs="Arial"/>
        </w:rPr>
      </w:pPr>
      <w:r>
        <w:rPr>
          <w:rFonts w:ascii="Arial" w:hAnsi="Arial" w:cs="Arial"/>
        </w:rPr>
        <w:t>[1</w:t>
      </w:r>
      <w:r w:rsidR="004A028D">
        <w:rPr>
          <w:rFonts w:ascii="Arial" w:hAnsi="Arial" w:cs="Arial"/>
        </w:rPr>
        <w:t>9</w:t>
      </w:r>
      <w:r>
        <w:rPr>
          <w:rFonts w:ascii="Arial" w:hAnsi="Arial" w:cs="Arial"/>
        </w:rPr>
        <w:t>]</w:t>
      </w:r>
      <w:r>
        <w:rPr>
          <w:rFonts w:ascii="Arial" w:hAnsi="Arial" w:cs="Arial"/>
        </w:rPr>
        <w:tab/>
      </w:r>
      <w:proofErr w:type="spellStart"/>
      <w:r>
        <w:rPr>
          <w:rFonts w:ascii="Arial" w:hAnsi="Arial" w:cs="Arial"/>
        </w:rPr>
        <w:t>Gerst</w:t>
      </w:r>
      <w:proofErr w:type="spellEnd"/>
      <w:r>
        <w:rPr>
          <w:rFonts w:ascii="Arial" w:hAnsi="Arial" w:cs="Arial"/>
        </w:rPr>
        <w:t xml:space="preserve">-Emerson K, </w:t>
      </w:r>
      <w:proofErr w:type="spellStart"/>
      <w:r>
        <w:rPr>
          <w:rFonts w:ascii="Arial" w:hAnsi="Arial" w:cs="Arial"/>
        </w:rPr>
        <w:t>Jayawardhana</w:t>
      </w:r>
      <w:proofErr w:type="spellEnd"/>
      <w:r>
        <w:rPr>
          <w:rFonts w:ascii="Arial" w:hAnsi="Arial" w:cs="Arial"/>
        </w:rPr>
        <w:t xml:space="preserve"> J. Loneliness as a public health issue: the impact of loneliness on health care utilization among older adults. American Journal of Public health </w:t>
      </w:r>
      <w:proofErr w:type="gramStart"/>
      <w:r>
        <w:rPr>
          <w:rFonts w:ascii="Arial" w:hAnsi="Arial" w:cs="Arial"/>
        </w:rPr>
        <w:t>2015;105:1013</w:t>
      </w:r>
      <w:proofErr w:type="gramEnd"/>
      <w:r>
        <w:rPr>
          <w:rFonts w:ascii="Arial" w:hAnsi="Arial" w:cs="Arial"/>
        </w:rPr>
        <w:t>-1019.</w:t>
      </w:r>
    </w:p>
    <w:p w14:paraId="6762519F" w14:textId="5DEDB3AA" w:rsidR="00BF457C" w:rsidRPr="002914EC" w:rsidRDefault="00BF457C" w:rsidP="00BF457C">
      <w:pPr>
        <w:pStyle w:val="NormalWeb"/>
        <w:shd w:val="clear" w:color="auto" w:fill="FFFFFF"/>
        <w:spacing w:before="0" w:beforeAutospacing="0" w:after="150" w:afterAutospacing="0"/>
        <w:ind w:left="720" w:hanging="720"/>
        <w:jc w:val="both"/>
        <w:rPr>
          <w:rFonts w:ascii="Arial" w:hAnsi="Arial" w:cs="Arial"/>
          <w:spacing w:val="-2"/>
          <w:sz w:val="22"/>
        </w:rPr>
      </w:pPr>
      <w:r>
        <w:rPr>
          <w:rFonts w:ascii="Arial" w:hAnsi="Arial" w:cs="Arial"/>
          <w:spacing w:val="-2"/>
          <w:sz w:val="22"/>
        </w:rPr>
        <w:t>[</w:t>
      </w:r>
      <w:r w:rsidR="004A028D">
        <w:rPr>
          <w:rFonts w:ascii="Arial" w:hAnsi="Arial" w:cs="Arial"/>
          <w:spacing w:val="-2"/>
          <w:sz w:val="22"/>
        </w:rPr>
        <w:t>20</w:t>
      </w:r>
      <w:r>
        <w:rPr>
          <w:rFonts w:ascii="Arial" w:hAnsi="Arial" w:cs="Arial"/>
          <w:spacing w:val="-2"/>
          <w:sz w:val="22"/>
        </w:rPr>
        <w:t>]</w:t>
      </w:r>
      <w:r>
        <w:rPr>
          <w:rFonts w:ascii="Arial" w:hAnsi="Arial" w:cs="Arial"/>
          <w:spacing w:val="-2"/>
          <w:sz w:val="22"/>
        </w:rPr>
        <w:tab/>
        <w:t xml:space="preserve">Alzheimer’s Society. </w:t>
      </w:r>
      <w:r w:rsidR="002914EC">
        <w:rPr>
          <w:rFonts w:ascii="Arial" w:hAnsi="Arial" w:cs="Arial"/>
          <w:i/>
          <w:spacing w:val="-2"/>
          <w:sz w:val="22"/>
        </w:rPr>
        <w:t>Dementia UK: An Update</w:t>
      </w:r>
      <w:r w:rsidR="002914EC">
        <w:rPr>
          <w:rFonts w:ascii="Arial" w:hAnsi="Arial" w:cs="Arial"/>
          <w:spacing w:val="-2"/>
          <w:sz w:val="22"/>
        </w:rPr>
        <w:t>. London, England: 2014.</w:t>
      </w:r>
    </w:p>
    <w:p w14:paraId="2080DF92" w14:textId="739780D4" w:rsidR="00BF457C" w:rsidRDefault="00BF457C" w:rsidP="00BF457C">
      <w:pPr>
        <w:ind w:left="720" w:hanging="720"/>
        <w:jc w:val="both"/>
        <w:rPr>
          <w:rFonts w:ascii="Arial" w:hAnsi="Arial" w:cs="Arial"/>
        </w:rPr>
      </w:pPr>
      <w:r>
        <w:rPr>
          <w:rFonts w:ascii="Arial" w:hAnsi="Arial" w:cs="Arial"/>
        </w:rPr>
        <w:t>[2</w:t>
      </w:r>
      <w:r w:rsidR="004A028D">
        <w:rPr>
          <w:rFonts w:ascii="Arial" w:hAnsi="Arial" w:cs="Arial"/>
        </w:rPr>
        <w:t>1</w:t>
      </w:r>
      <w:r>
        <w:rPr>
          <w:rFonts w:ascii="Arial" w:hAnsi="Arial" w:cs="Arial"/>
        </w:rPr>
        <w:t>]</w:t>
      </w:r>
      <w:r>
        <w:rPr>
          <w:rFonts w:ascii="Arial" w:hAnsi="Arial" w:cs="Arial"/>
        </w:rPr>
        <w:tab/>
        <w:t xml:space="preserve">Sutcliffe C, Giebel C, </w:t>
      </w:r>
      <w:proofErr w:type="spellStart"/>
      <w:r>
        <w:rPr>
          <w:rFonts w:ascii="Arial" w:hAnsi="Arial" w:cs="Arial"/>
        </w:rPr>
        <w:t>Bleijlevens</w:t>
      </w:r>
      <w:proofErr w:type="spellEnd"/>
      <w:r>
        <w:rPr>
          <w:rFonts w:ascii="Arial" w:hAnsi="Arial" w:cs="Arial"/>
        </w:rPr>
        <w:t xml:space="preserve"> M, et al. Caring for a person with dementia on the margins of long-term care: A perspective on burden from 8 European countries. JAMDA 2017; 18(11):967-973.</w:t>
      </w:r>
    </w:p>
    <w:p w14:paraId="75E4EC63" w14:textId="3747696B" w:rsidR="00BF457C" w:rsidRDefault="00BF457C" w:rsidP="00BF457C">
      <w:pPr>
        <w:ind w:left="720" w:hanging="720"/>
        <w:jc w:val="both"/>
        <w:rPr>
          <w:rFonts w:ascii="Arial" w:hAnsi="Arial" w:cs="Arial"/>
        </w:rPr>
      </w:pPr>
      <w:r>
        <w:rPr>
          <w:rFonts w:ascii="Arial" w:hAnsi="Arial" w:cs="Arial"/>
        </w:rPr>
        <w:t>[2</w:t>
      </w:r>
      <w:r w:rsidR="004A028D">
        <w:rPr>
          <w:rFonts w:ascii="Arial" w:hAnsi="Arial" w:cs="Arial"/>
        </w:rPr>
        <w:t>2</w:t>
      </w:r>
      <w:r>
        <w:rPr>
          <w:rFonts w:ascii="Arial" w:hAnsi="Arial" w:cs="Arial"/>
        </w:rPr>
        <w:t>]</w:t>
      </w:r>
      <w:r>
        <w:rPr>
          <w:rFonts w:ascii="Arial" w:hAnsi="Arial" w:cs="Arial"/>
        </w:rPr>
        <w:tab/>
      </w:r>
      <w:proofErr w:type="spellStart"/>
      <w:r>
        <w:rPr>
          <w:rFonts w:ascii="Arial" w:hAnsi="Arial" w:cs="Arial"/>
        </w:rPr>
        <w:t>Brustio</w:t>
      </w:r>
      <w:proofErr w:type="spellEnd"/>
      <w:r>
        <w:rPr>
          <w:rFonts w:ascii="Arial" w:hAnsi="Arial" w:cs="Arial"/>
        </w:rPr>
        <w:t xml:space="preserve"> PR, </w:t>
      </w:r>
      <w:proofErr w:type="spellStart"/>
      <w:r>
        <w:rPr>
          <w:rFonts w:ascii="Arial" w:hAnsi="Arial" w:cs="Arial"/>
        </w:rPr>
        <w:t>Liubicich</w:t>
      </w:r>
      <w:proofErr w:type="spellEnd"/>
      <w:r>
        <w:rPr>
          <w:rFonts w:ascii="Arial" w:hAnsi="Arial" w:cs="Arial"/>
        </w:rPr>
        <w:t xml:space="preserve"> ME, </w:t>
      </w:r>
      <w:proofErr w:type="spellStart"/>
      <w:r>
        <w:rPr>
          <w:rFonts w:ascii="Arial" w:hAnsi="Arial" w:cs="Arial"/>
        </w:rPr>
        <w:t>Chiabrero</w:t>
      </w:r>
      <w:proofErr w:type="spellEnd"/>
      <w:r>
        <w:rPr>
          <w:rFonts w:ascii="Arial" w:hAnsi="Arial" w:cs="Arial"/>
        </w:rPr>
        <w:t xml:space="preserve"> M, </w:t>
      </w:r>
      <w:proofErr w:type="spellStart"/>
      <w:r>
        <w:rPr>
          <w:rFonts w:ascii="Arial" w:hAnsi="Arial" w:cs="Arial"/>
        </w:rPr>
        <w:t>Rabaglietti</w:t>
      </w:r>
      <w:proofErr w:type="spellEnd"/>
      <w:r>
        <w:rPr>
          <w:rFonts w:ascii="Arial" w:hAnsi="Arial" w:cs="Arial"/>
        </w:rPr>
        <w:t xml:space="preserve"> E. Dancing in the golden age: a study on physical function, quality of life, and social engagement. Geriatric Nursing 2018;39(6):635-639.</w:t>
      </w:r>
    </w:p>
    <w:p w14:paraId="19719E8E" w14:textId="3452C818" w:rsidR="002F1174" w:rsidRDefault="002F1174" w:rsidP="002F1174">
      <w:pPr>
        <w:ind w:left="720" w:hanging="720"/>
        <w:jc w:val="both"/>
        <w:rPr>
          <w:rFonts w:ascii="Arial" w:hAnsi="Arial" w:cs="Arial"/>
        </w:rPr>
      </w:pPr>
      <w:r>
        <w:rPr>
          <w:rFonts w:ascii="Arial" w:hAnsi="Arial" w:cs="Arial"/>
        </w:rPr>
        <w:t>[2</w:t>
      </w:r>
      <w:r w:rsidR="004A028D">
        <w:rPr>
          <w:rFonts w:ascii="Arial" w:hAnsi="Arial" w:cs="Arial"/>
        </w:rPr>
        <w:t>3</w:t>
      </w:r>
      <w:r>
        <w:rPr>
          <w:rFonts w:ascii="Arial" w:hAnsi="Arial" w:cs="Arial"/>
        </w:rPr>
        <w:t>]</w:t>
      </w:r>
      <w:r>
        <w:rPr>
          <w:rFonts w:ascii="Arial" w:hAnsi="Arial" w:cs="Arial"/>
        </w:rPr>
        <w:tab/>
        <w:t>Santini Z, Jose P, Cornwell P, et al. Social disconnectedness, perceived isolation, and symptoms of depression and anxiety among older Americans (NSHAP): a longitudinal mediation analysis. Lancet Public Health 2020;</w:t>
      </w:r>
      <w:proofErr w:type="gramStart"/>
      <w:r>
        <w:rPr>
          <w:rFonts w:ascii="Arial" w:hAnsi="Arial" w:cs="Arial"/>
        </w:rPr>
        <w:t>5:e</w:t>
      </w:r>
      <w:proofErr w:type="gramEnd"/>
      <w:r>
        <w:rPr>
          <w:rFonts w:ascii="Arial" w:hAnsi="Arial" w:cs="Arial"/>
        </w:rPr>
        <w:t xml:space="preserve">62-e70. </w:t>
      </w:r>
    </w:p>
    <w:p w14:paraId="16D47470" w14:textId="268DEA51" w:rsidR="00515EA1" w:rsidRDefault="00515EA1" w:rsidP="002F1174">
      <w:pPr>
        <w:ind w:left="720" w:hanging="720"/>
        <w:jc w:val="both"/>
        <w:rPr>
          <w:rFonts w:ascii="Arial" w:hAnsi="Arial" w:cs="Arial"/>
        </w:rPr>
      </w:pPr>
      <w:r>
        <w:rPr>
          <w:rFonts w:ascii="Arial" w:hAnsi="Arial" w:cs="Arial"/>
        </w:rPr>
        <w:t>[24]</w:t>
      </w:r>
      <w:r>
        <w:rPr>
          <w:rFonts w:ascii="Arial" w:hAnsi="Arial" w:cs="Arial"/>
        </w:rPr>
        <w:tab/>
        <w:t xml:space="preserve">Centre for Policy on Aging. The ageing of the ethnic minority populations of England and Wales: findings from the 2011 census. London, England 2013: </w:t>
      </w:r>
      <w:hyperlink r:id="rId9" w:history="1">
        <w:r>
          <w:rPr>
            <w:rStyle w:val="Hyperlink"/>
          </w:rPr>
          <w:t>http://www.cpa.org.uk/information/reviews/theageingoftheethnicminoritypopulationsofenglandandwales-findingsfromthe2011census.pdf</w:t>
        </w:r>
      </w:hyperlink>
      <w:r>
        <w:t xml:space="preserve"> </w:t>
      </w:r>
      <w:r w:rsidRPr="00515EA1">
        <w:rPr>
          <w:rFonts w:ascii="Arial" w:hAnsi="Arial" w:cs="Arial"/>
        </w:rPr>
        <w:t>(last accesses 22</w:t>
      </w:r>
      <w:r w:rsidRPr="00515EA1">
        <w:rPr>
          <w:rFonts w:ascii="Arial" w:hAnsi="Arial" w:cs="Arial"/>
          <w:vertAlign w:val="superscript"/>
        </w:rPr>
        <w:t>nd</w:t>
      </w:r>
      <w:r w:rsidRPr="00515EA1">
        <w:rPr>
          <w:rFonts w:ascii="Arial" w:hAnsi="Arial" w:cs="Arial"/>
        </w:rPr>
        <w:t xml:space="preserve"> June 2020)</w:t>
      </w:r>
    </w:p>
    <w:p w14:paraId="51BF1BBD" w14:textId="63C13B01" w:rsidR="004A028D" w:rsidRDefault="004A028D" w:rsidP="002F1174">
      <w:pPr>
        <w:ind w:left="720" w:hanging="720"/>
        <w:jc w:val="both"/>
        <w:rPr>
          <w:rFonts w:ascii="Arial" w:hAnsi="Arial" w:cs="Arial"/>
          <w:color w:val="333333"/>
          <w:shd w:val="clear" w:color="auto" w:fill="FFFFFF"/>
        </w:rPr>
      </w:pPr>
      <w:r>
        <w:rPr>
          <w:rFonts w:ascii="Arial" w:hAnsi="Arial" w:cs="Arial"/>
        </w:rPr>
        <w:t>[2</w:t>
      </w:r>
      <w:r w:rsidR="00515EA1">
        <w:rPr>
          <w:rFonts w:ascii="Arial" w:hAnsi="Arial" w:cs="Arial"/>
        </w:rPr>
        <w:t>5</w:t>
      </w:r>
      <w:r>
        <w:rPr>
          <w:rFonts w:ascii="Arial" w:hAnsi="Arial" w:cs="Arial"/>
        </w:rPr>
        <w:t>]</w:t>
      </w:r>
      <w:r>
        <w:rPr>
          <w:rFonts w:ascii="Arial" w:hAnsi="Arial" w:cs="Arial"/>
        </w:rPr>
        <w:tab/>
        <w:t xml:space="preserve">Rose T, </w:t>
      </w:r>
      <w:r w:rsidR="006064BC">
        <w:rPr>
          <w:rFonts w:ascii="Arial" w:hAnsi="Arial" w:cs="Arial"/>
        </w:rPr>
        <w:t xml:space="preserve">Mason K, Pennington A, et al. Inequalities in COVID19 mortality related to ethnicity and socioeconomic deprivation. </w:t>
      </w:r>
      <w:proofErr w:type="spellStart"/>
      <w:r w:rsidR="006064BC">
        <w:rPr>
          <w:rFonts w:ascii="Arial" w:hAnsi="Arial" w:cs="Arial"/>
        </w:rPr>
        <w:t>medRxiV</w:t>
      </w:r>
      <w:proofErr w:type="spellEnd"/>
      <w:r w:rsidR="006064BC">
        <w:rPr>
          <w:rFonts w:ascii="Arial" w:hAnsi="Arial" w:cs="Arial"/>
        </w:rPr>
        <w:t xml:space="preserve"> Preprint 2020; </w:t>
      </w:r>
      <w:proofErr w:type="spellStart"/>
      <w:r w:rsidR="006064BC">
        <w:rPr>
          <w:rFonts w:ascii="Arial" w:hAnsi="Arial" w:cs="Arial"/>
        </w:rPr>
        <w:t>doi</w:t>
      </w:r>
      <w:proofErr w:type="spellEnd"/>
      <w:r w:rsidR="006064BC">
        <w:rPr>
          <w:rFonts w:ascii="Arial" w:hAnsi="Arial" w:cs="Arial"/>
        </w:rPr>
        <w:t xml:space="preserve">: </w:t>
      </w:r>
      <w:r w:rsidR="006064BC" w:rsidRPr="006064BC">
        <w:rPr>
          <w:rFonts w:ascii="Arial" w:hAnsi="Arial" w:cs="Arial"/>
          <w:color w:val="333333"/>
          <w:shd w:val="clear" w:color="auto" w:fill="FFFFFF"/>
        </w:rPr>
        <w:t>10.1101/2020.04.25.20079491</w:t>
      </w:r>
    </w:p>
    <w:p w14:paraId="07017786" w14:textId="43ABD551" w:rsidR="00DC024E" w:rsidRPr="00C058BA" w:rsidRDefault="00DC024E" w:rsidP="002F1174">
      <w:pPr>
        <w:ind w:left="720" w:hanging="720"/>
        <w:jc w:val="both"/>
        <w:rPr>
          <w:rFonts w:ascii="Arial" w:hAnsi="Arial" w:cs="Arial"/>
          <w:color w:val="FF0000"/>
        </w:rPr>
      </w:pPr>
      <w:r w:rsidRPr="00C058BA">
        <w:rPr>
          <w:rFonts w:ascii="Arial" w:hAnsi="Arial" w:cs="Arial"/>
          <w:color w:val="FF0000"/>
        </w:rPr>
        <w:t xml:space="preserve">Mental Capacity Act (2005). Last accessed 04/09.2020: </w:t>
      </w:r>
      <w:hyperlink r:id="rId10" w:history="1">
        <w:r w:rsidRPr="00C058BA">
          <w:rPr>
            <w:rStyle w:val="Hyperlink"/>
            <w:color w:val="FF0000"/>
          </w:rPr>
          <w:t>https://www.legislation.gov.uk/ukpga/2005/9/contents</w:t>
        </w:r>
      </w:hyperlink>
    </w:p>
    <w:p w14:paraId="7D877EDC" w14:textId="7A73D418" w:rsidR="00E2724C" w:rsidRPr="00C058BA" w:rsidRDefault="00603B79" w:rsidP="00144391">
      <w:pPr>
        <w:jc w:val="both"/>
        <w:rPr>
          <w:rFonts w:ascii="Arial" w:hAnsi="Arial" w:cs="Arial"/>
          <w:color w:val="FF0000"/>
        </w:rPr>
      </w:pPr>
      <w:r w:rsidRPr="00C058BA">
        <w:rPr>
          <w:rFonts w:ascii="Arial" w:hAnsi="Arial" w:cs="Arial"/>
          <w:color w:val="FF0000"/>
        </w:rPr>
        <w:t xml:space="preserve">Cheung G, Peri K. Challenges to dementia care during COVID-19: Innovations in remote delivery of group Cognitive Stimulation Therapy. Aging &amp; Mental Health 2020; </w:t>
      </w:r>
      <w:proofErr w:type="spellStart"/>
      <w:r w:rsidRPr="00C058BA">
        <w:rPr>
          <w:rFonts w:ascii="Arial" w:hAnsi="Arial" w:cs="Arial"/>
          <w:color w:val="FF0000"/>
        </w:rPr>
        <w:t>doi</w:t>
      </w:r>
      <w:proofErr w:type="spellEnd"/>
      <w:r w:rsidRPr="00C058BA">
        <w:rPr>
          <w:rFonts w:ascii="Arial" w:hAnsi="Arial" w:cs="Arial"/>
          <w:color w:val="FF0000"/>
        </w:rPr>
        <w:t>: 10.1080/13607863.2020.1789945</w:t>
      </w:r>
    </w:p>
    <w:p w14:paraId="489C835F" w14:textId="1E713E9F" w:rsidR="00603B79" w:rsidRPr="00C058BA" w:rsidRDefault="00603B79" w:rsidP="00144391">
      <w:pPr>
        <w:jc w:val="both"/>
        <w:rPr>
          <w:rFonts w:ascii="Arial" w:hAnsi="Arial" w:cs="Arial"/>
          <w:color w:val="FF0000"/>
        </w:rPr>
      </w:pPr>
      <w:r w:rsidRPr="00C058BA">
        <w:rPr>
          <w:rFonts w:ascii="Arial" w:hAnsi="Arial" w:cs="Arial"/>
          <w:color w:val="FF0000"/>
        </w:rPr>
        <w:t>Goodman-Casanova JM, Dura-Perez E, Guzman-Parra J, et al. Telehealth home support during COVID-19 confinement for community-dwelling older adults with mild cognitive impairment or mild dementia: survey study. Journal of Medical Internet Research 2020;22(5</w:t>
      </w:r>
      <w:proofErr w:type="gramStart"/>
      <w:r w:rsidRPr="00C058BA">
        <w:rPr>
          <w:rFonts w:ascii="Arial" w:hAnsi="Arial" w:cs="Arial"/>
          <w:color w:val="FF0000"/>
        </w:rPr>
        <w:t>):e</w:t>
      </w:r>
      <w:proofErr w:type="gramEnd"/>
      <w:r w:rsidRPr="00C058BA">
        <w:rPr>
          <w:rFonts w:ascii="Arial" w:hAnsi="Arial" w:cs="Arial"/>
          <w:color w:val="FF0000"/>
        </w:rPr>
        <w:t>19434.</w:t>
      </w:r>
    </w:p>
    <w:bookmarkEnd w:id="4"/>
    <w:p w14:paraId="63A1410B" w14:textId="3C491EDC" w:rsidR="00E2724C" w:rsidRPr="00C058BA" w:rsidRDefault="00E2724C" w:rsidP="00144391">
      <w:pPr>
        <w:jc w:val="both"/>
        <w:rPr>
          <w:rFonts w:ascii="Arial" w:hAnsi="Arial" w:cs="Arial"/>
          <w:color w:val="FF0000"/>
        </w:rPr>
      </w:pPr>
    </w:p>
    <w:p w14:paraId="7ABB00EE" w14:textId="77777777" w:rsidR="00504699" w:rsidRDefault="00504699" w:rsidP="00F70062">
      <w:pPr>
        <w:jc w:val="both"/>
        <w:rPr>
          <w:rFonts w:ascii="Arial" w:hAnsi="Arial" w:cs="Arial"/>
          <w:b/>
        </w:rPr>
      </w:pPr>
      <w:bookmarkStart w:id="5" w:name="_Hlk50476082"/>
    </w:p>
    <w:p w14:paraId="43688294" w14:textId="2D99A77C" w:rsidR="00F70062" w:rsidRDefault="00F70062" w:rsidP="00F70062">
      <w:pPr>
        <w:jc w:val="both"/>
        <w:rPr>
          <w:rFonts w:ascii="Arial" w:hAnsi="Arial" w:cs="Arial"/>
          <w:b/>
        </w:rPr>
      </w:pPr>
      <w:r>
        <w:rPr>
          <w:rFonts w:ascii="Arial" w:hAnsi="Arial" w:cs="Arial"/>
          <w:b/>
        </w:rPr>
        <w:lastRenderedPageBreak/>
        <w:t xml:space="preserve">Table 1. Demographic characteristics </w:t>
      </w:r>
    </w:p>
    <w:tbl>
      <w:tblPr>
        <w:tblStyle w:val="TableGrid"/>
        <w:tblW w:w="927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1"/>
        <w:gridCol w:w="1701"/>
        <w:gridCol w:w="1599"/>
        <w:gridCol w:w="1378"/>
        <w:gridCol w:w="1417"/>
        <w:gridCol w:w="1417"/>
        <w:gridCol w:w="61"/>
      </w:tblGrid>
      <w:tr w:rsidR="00F70062" w:rsidRPr="00B00EF3" w14:paraId="5F29C4DB" w14:textId="77777777" w:rsidTr="00A037D3">
        <w:trPr>
          <w:gridAfter w:val="1"/>
          <w:wAfter w:w="61" w:type="dxa"/>
        </w:trPr>
        <w:tc>
          <w:tcPr>
            <w:tcW w:w="1701" w:type="dxa"/>
          </w:tcPr>
          <w:p w14:paraId="1B664760" w14:textId="77777777" w:rsidR="00F70062" w:rsidRPr="00B00EF3" w:rsidRDefault="00F70062" w:rsidP="00A037D3">
            <w:pPr>
              <w:rPr>
                <w:rFonts w:ascii="Arial" w:hAnsi="Arial" w:cs="Arial"/>
                <w:b/>
                <w:sz w:val="18"/>
              </w:rPr>
            </w:pPr>
          </w:p>
        </w:tc>
        <w:tc>
          <w:tcPr>
            <w:tcW w:w="1701" w:type="dxa"/>
          </w:tcPr>
          <w:p w14:paraId="3DCCFF06" w14:textId="6B9765AC" w:rsidR="00F70062" w:rsidRPr="00B00EF3" w:rsidRDefault="00F70062" w:rsidP="00A037D3">
            <w:pPr>
              <w:jc w:val="center"/>
              <w:rPr>
                <w:rFonts w:ascii="Arial" w:hAnsi="Arial" w:cs="Arial"/>
                <w:b/>
                <w:sz w:val="18"/>
              </w:rPr>
            </w:pPr>
            <w:r w:rsidRPr="00B00EF3">
              <w:rPr>
                <w:rFonts w:ascii="Arial" w:hAnsi="Arial" w:cs="Arial"/>
                <w:b/>
                <w:sz w:val="18"/>
              </w:rPr>
              <w:t>People with dementia (n=6</w:t>
            </w:r>
            <w:r w:rsidR="00C45043">
              <w:rPr>
                <w:rFonts w:ascii="Arial" w:hAnsi="Arial" w:cs="Arial"/>
                <w:b/>
                <w:sz w:val="18"/>
              </w:rPr>
              <w:t>1</w:t>
            </w:r>
            <w:r w:rsidRPr="00B00EF3">
              <w:rPr>
                <w:rFonts w:ascii="Arial" w:hAnsi="Arial" w:cs="Arial"/>
                <w:b/>
                <w:sz w:val="18"/>
              </w:rPr>
              <w:t>)</w:t>
            </w:r>
          </w:p>
        </w:tc>
        <w:tc>
          <w:tcPr>
            <w:tcW w:w="1599" w:type="dxa"/>
          </w:tcPr>
          <w:p w14:paraId="7C605827" w14:textId="77777777" w:rsidR="00F70062" w:rsidRPr="00B00EF3" w:rsidRDefault="00F70062" w:rsidP="00A037D3">
            <w:pPr>
              <w:jc w:val="center"/>
              <w:rPr>
                <w:rFonts w:ascii="Arial" w:hAnsi="Arial" w:cs="Arial"/>
                <w:b/>
                <w:sz w:val="18"/>
              </w:rPr>
            </w:pPr>
            <w:r w:rsidRPr="00B00EF3">
              <w:rPr>
                <w:rFonts w:ascii="Arial" w:hAnsi="Arial" w:cs="Arial"/>
                <w:b/>
                <w:sz w:val="18"/>
              </w:rPr>
              <w:t>Current carers</w:t>
            </w:r>
          </w:p>
          <w:p w14:paraId="1722BB3E" w14:textId="09B34145" w:rsidR="00F70062" w:rsidRPr="00B00EF3" w:rsidRDefault="00F70062" w:rsidP="00A037D3">
            <w:pPr>
              <w:jc w:val="center"/>
              <w:rPr>
                <w:rFonts w:ascii="Arial" w:hAnsi="Arial" w:cs="Arial"/>
                <w:b/>
                <w:sz w:val="18"/>
              </w:rPr>
            </w:pPr>
            <w:r w:rsidRPr="00B00EF3">
              <w:rPr>
                <w:rFonts w:ascii="Arial" w:hAnsi="Arial" w:cs="Arial"/>
                <w:b/>
                <w:sz w:val="18"/>
              </w:rPr>
              <w:t>(n= 2</w:t>
            </w:r>
            <w:r w:rsidR="00C45043">
              <w:rPr>
                <w:rFonts w:ascii="Arial" w:hAnsi="Arial" w:cs="Arial"/>
                <w:b/>
                <w:sz w:val="18"/>
              </w:rPr>
              <w:t>19</w:t>
            </w:r>
            <w:r w:rsidRPr="00B00EF3">
              <w:rPr>
                <w:rFonts w:ascii="Arial" w:hAnsi="Arial" w:cs="Arial"/>
                <w:b/>
                <w:sz w:val="18"/>
              </w:rPr>
              <w:t>)</w:t>
            </w:r>
          </w:p>
        </w:tc>
        <w:tc>
          <w:tcPr>
            <w:tcW w:w="1378" w:type="dxa"/>
          </w:tcPr>
          <w:p w14:paraId="2A7602BB" w14:textId="2E9A9D38" w:rsidR="00F70062" w:rsidRPr="00B00EF3" w:rsidRDefault="00F70062" w:rsidP="00A037D3">
            <w:pPr>
              <w:jc w:val="center"/>
              <w:rPr>
                <w:rFonts w:ascii="Arial" w:hAnsi="Arial" w:cs="Arial"/>
                <w:b/>
                <w:sz w:val="18"/>
              </w:rPr>
            </w:pPr>
            <w:r w:rsidRPr="00B00EF3">
              <w:rPr>
                <w:rFonts w:ascii="Arial" w:hAnsi="Arial" w:cs="Arial"/>
                <w:b/>
                <w:sz w:val="18"/>
              </w:rPr>
              <w:t>Former carers (n=</w:t>
            </w:r>
            <w:r w:rsidR="00C45043">
              <w:rPr>
                <w:rFonts w:ascii="Arial" w:hAnsi="Arial" w:cs="Arial"/>
                <w:b/>
                <w:sz w:val="18"/>
              </w:rPr>
              <w:t>66</w:t>
            </w:r>
            <w:r w:rsidRPr="00B00EF3">
              <w:rPr>
                <w:rFonts w:ascii="Arial" w:hAnsi="Arial" w:cs="Arial"/>
                <w:b/>
                <w:sz w:val="18"/>
              </w:rPr>
              <w:t>)</w:t>
            </w:r>
          </w:p>
        </w:tc>
        <w:tc>
          <w:tcPr>
            <w:tcW w:w="1417" w:type="dxa"/>
          </w:tcPr>
          <w:p w14:paraId="0C53852C" w14:textId="736FFAA6" w:rsidR="00F70062" w:rsidRPr="00B00EF3" w:rsidRDefault="00F70062" w:rsidP="00A037D3">
            <w:pPr>
              <w:jc w:val="center"/>
              <w:rPr>
                <w:rFonts w:ascii="Arial" w:hAnsi="Arial" w:cs="Arial"/>
                <w:b/>
                <w:sz w:val="18"/>
              </w:rPr>
            </w:pPr>
            <w:r w:rsidRPr="00B00EF3">
              <w:rPr>
                <w:rFonts w:ascii="Arial" w:hAnsi="Arial" w:cs="Arial"/>
                <w:b/>
                <w:sz w:val="18"/>
              </w:rPr>
              <w:t>Older adults (n=2</w:t>
            </w:r>
            <w:r w:rsidR="00C45043">
              <w:rPr>
                <w:rFonts w:ascii="Arial" w:hAnsi="Arial" w:cs="Arial"/>
                <w:b/>
                <w:sz w:val="18"/>
              </w:rPr>
              <w:t>23</w:t>
            </w:r>
            <w:r w:rsidRPr="00B00EF3">
              <w:rPr>
                <w:rFonts w:ascii="Arial" w:hAnsi="Arial" w:cs="Arial"/>
                <w:b/>
                <w:sz w:val="18"/>
              </w:rPr>
              <w:t>)</w:t>
            </w:r>
          </w:p>
        </w:tc>
        <w:tc>
          <w:tcPr>
            <w:tcW w:w="1417" w:type="dxa"/>
          </w:tcPr>
          <w:p w14:paraId="7B28962A" w14:textId="77777777" w:rsidR="00F70062" w:rsidRPr="00B00EF3" w:rsidRDefault="00F70062" w:rsidP="00A037D3">
            <w:pPr>
              <w:jc w:val="center"/>
              <w:rPr>
                <w:rFonts w:ascii="Arial" w:hAnsi="Arial" w:cs="Arial"/>
                <w:b/>
                <w:sz w:val="18"/>
              </w:rPr>
            </w:pPr>
            <w:r w:rsidRPr="00B00EF3">
              <w:rPr>
                <w:rFonts w:ascii="Arial" w:hAnsi="Arial" w:cs="Arial"/>
                <w:b/>
                <w:sz w:val="18"/>
              </w:rPr>
              <w:t>Total sample</w:t>
            </w:r>
          </w:p>
          <w:p w14:paraId="5F15B767" w14:textId="28C9E0C0" w:rsidR="00F70062" w:rsidRPr="00B00EF3" w:rsidRDefault="00F70062" w:rsidP="00A037D3">
            <w:pPr>
              <w:jc w:val="center"/>
              <w:rPr>
                <w:rFonts w:ascii="Arial" w:hAnsi="Arial" w:cs="Arial"/>
                <w:b/>
                <w:sz w:val="18"/>
              </w:rPr>
            </w:pPr>
            <w:r w:rsidRPr="00B00EF3">
              <w:rPr>
                <w:rFonts w:ascii="Arial" w:hAnsi="Arial" w:cs="Arial"/>
                <w:b/>
                <w:sz w:val="18"/>
              </w:rPr>
              <w:t>(n=</w:t>
            </w:r>
            <w:r w:rsidR="00C45043">
              <w:rPr>
                <w:rFonts w:ascii="Arial" w:hAnsi="Arial" w:cs="Arial"/>
                <w:b/>
                <w:sz w:val="18"/>
              </w:rPr>
              <w:t>569</w:t>
            </w:r>
            <w:r w:rsidRPr="00B00EF3">
              <w:rPr>
                <w:rFonts w:ascii="Arial" w:hAnsi="Arial" w:cs="Arial"/>
                <w:b/>
                <w:sz w:val="18"/>
              </w:rPr>
              <w:t>)</w:t>
            </w:r>
          </w:p>
        </w:tc>
      </w:tr>
      <w:tr w:rsidR="00F70062" w:rsidRPr="00B00EF3" w14:paraId="0CF5ADD3" w14:textId="77777777" w:rsidTr="00A037D3">
        <w:tc>
          <w:tcPr>
            <w:tcW w:w="9274" w:type="dxa"/>
            <w:gridSpan w:val="7"/>
            <w:shd w:val="clear" w:color="auto" w:fill="F2F2F2" w:themeFill="background1" w:themeFillShade="F2"/>
          </w:tcPr>
          <w:p w14:paraId="6071E89D" w14:textId="77777777" w:rsidR="00F70062" w:rsidRPr="00B00EF3" w:rsidRDefault="00F70062" w:rsidP="00A037D3">
            <w:pPr>
              <w:rPr>
                <w:rFonts w:ascii="Arial" w:hAnsi="Arial" w:cs="Arial"/>
                <w:b/>
                <w:sz w:val="18"/>
              </w:rPr>
            </w:pPr>
            <w:proofErr w:type="gramStart"/>
            <w:r w:rsidRPr="00B00EF3">
              <w:rPr>
                <w:rFonts w:ascii="Arial" w:hAnsi="Arial" w:cs="Arial"/>
                <w:b/>
                <w:sz w:val="18"/>
              </w:rPr>
              <w:t>N(</w:t>
            </w:r>
            <w:proofErr w:type="gramEnd"/>
            <w:r w:rsidRPr="00B00EF3">
              <w:rPr>
                <w:rFonts w:ascii="Arial" w:hAnsi="Arial" w:cs="Arial"/>
                <w:b/>
                <w:sz w:val="18"/>
              </w:rPr>
              <w:t>%)</w:t>
            </w:r>
          </w:p>
        </w:tc>
      </w:tr>
      <w:tr w:rsidR="008B118E" w:rsidRPr="00B00EF3" w14:paraId="0C2F305D" w14:textId="77777777" w:rsidTr="00A037D3">
        <w:trPr>
          <w:gridAfter w:val="1"/>
          <w:wAfter w:w="61" w:type="dxa"/>
        </w:trPr>
        <w:tc>
          <w:tcPr>
            <w:tcW w:w="1701" w:type="dxa"/>
          </w:tcPr>
          <w:p w14:paraId="481A2283" w14:textId="77777777" w:rsidR="008B118E" w:rsidRPr="00B00EF3" w:rsidRDefault="008B118E" w:rsidP="008B118E">
            <w:pPr>
              <w:rPr>
                <w:rFonts w:ascii="Arial" w:hAnsi="Arial" w:cs="Arial"/>
                <w:sz w:val="18"/>
              </w:rPr>
            </w:pPr>
            <w:r w:rsidRPr="00B00EF3">
              <w:rPr>
                <w:rFonts w:ascii="Arial" w:hAnsi="Arial" w:cs="Arial"/>
                <w:sz w:val="18"/>
              </w:rPr>
              <w:t>Gender</w:t>
            </w:r>
          </w:p>
          <w:p w14:paraId="2DAAD189" w14:textId="77777777" w:rsidR="008B118E" w:rsidRPr="00B00EF3" w:rsidRDefault="008B118E" w:rsidP="008B118E">
            <w:pPr>
              <w:rPr>
                <w:rFonts w:ascii="Arial" w:hAnsi="Arial" w:cs="Arial"/>
                <w:sz w:val="18"/>
              </w:rPr>
            </w:pPr>
            <w:r w:rsidRPr="00B00EF3">
              <w:rPr>
                <w:rFonts w:ascii="Arial" w:hAnsi="Arial" w:cs="Arial"/>
                <w:sz w:val="18"/>
              </w:rPr>
              <w:t xml:space="preserve">  Female</w:t>
            </w:r>
          </w:p>
          <w:p w14:paraId="0D35355C" w14:textId="77777777" w:rsidR="008B118E" w:rsidRPr="00B00EF3" w:rsidRDefault="008B118E" w:rsidP="008B118E">
            <w:pPr>
              <w:rPr>
                <w:rFonts w:ascii="Arial" w:hAnsi="Arial" w:cs="Arial"/>
                <w:sz w:val="18"/>
              </w:rPr>
            </w:pPr>
            <w:r w:rsidRPr="00B00EF3">
              <w:rPr>
                <w:rFonts w:ascii="Arial" w:hAnsi="Arial" w:cs="Arial"/>
                <w:sz w:val="18"/>
              </w:rPr>
              <w:t xml:space="preserve">  Male</w:t>
            </w:r>
          </w:p>
        </w:tc>
        <w:tc>
          <w:tcPr>
            <w:tcW w:w="1701" w:type="dxa"/>
          </w:tcPr>
          <w:p w14:paraId="63CDB745" w14:textId="77777777" w:rsidR="008B118E" w:rsidRPr="00B52F88" w:rsidRDefault="008B118E" w:rsidP="008B118E">
            <w:pPr>
              <w:jc w:val="center"/>
              <w:rPr>
                <w:rFonts w:ascii="Arial" w:hAnsi="Arial" w:cs="Arial"/>
                <w:sz w:val="18"/>
                <w:szCs w:val="18"/>
              </w:rPr>
            </w:pPr>
          </w:p>
          <w:p w14:paraId="65FCBB1D" w14:textId="77777777" w:rsidR="008B118E" w:rsidRPr="00B52F88" w:rsidRDefault="008B118E" w:rsidP="008B118E">
            <w:pPr>
              <w:jc w:val="center"/>
              <w:rPr>
                <w:rFonts w:ascii="Arial" w:hAnsi="Arial" w:cs="Arial"/>
                <w:sz w:val="18"/>
                <w:szCs w:val="18"/>
              </w:rPr>
            </w:pPr>
            <w:r w:rsidRPr="00B52F88">
              <w:rPr>
                <w:rFonts w:ascii="Arial" w:hAnsi="Arial" w:cs="Arial"/>
                <w:sz w:val="18"/>
                <w:szCs w:val="18"/>
              </w:rPr>
              <w:t>27 (44.3)</w:t>
            </w:r>
          </w:p>
          <w:p w14:paraId="00C01052" w14:textId="2BA33AB4" w:rsidR="008B118E" w:rsidRPr="00B52F88" w:rsidRDefault="008B118E" w:rsidP="008B118E">
            <w:pPr>
              <w:jc w:val="center"/>
              <w:rPr>
                <w:rFonts w:ascii="Arial" w:hAnsi="Arial" w:cs="Arial"/>
                <w:sz w:val="18"/>
                <w:szCs w:val="18"/>
              </w:rPr>
            </w:pPr>
            <w:r w:rsidRPr="00B52F88">
              <w:rPr>
                <w:rFonts w:ascii="Arial" w:hAnsi="Arial" w:cs="Arial"/>
                <w:sz w:val="18"/>
                <w:szCs w:val="18"/>
              </w:rPr>
              <w:t>34 (55.7)</w:t>
            </w:r>
          </w:p>
        </w:tc>
        <w:tc>
          <w:tcPr>
            <w:tcW w:w="1599" w:type="dxa"/>
          </w:tcPr>
          <w:p w14:paraId="6825704A" w14:textId="77777777" w:rsidR="008B118E" w:rsidRPr="00B52F88" w:rsidRDefault="008B118E" w:rsidP="008B118E">
            <w:pPr>
              <w:jc w:val="center"/>
              <w:rPr>
                <w:rFonts w:ascii="Arial" w:hAnsi="Arial" w:cs="Arial"/>
                <w:sz w:val="18"/>
                <w:szCs w:val="18"/>
              </w:rPr>
            </w:pPr>
          </w:p>
          <w:p w14:paraId="7F51C702" w14:textId="77777777" w:rsidR="008B118E" w:rsidRPr="00B52F88" w:rsidRDefault="008B118E" w:rsidP="008B118E">
            <w:pPr>
              <w:jc w:val="center"/>
              <w:rPr>
                <w:rFonts w:ascii="Arial" w:hAnsi="Arial" w:cs="Arial"/>
                <w:sz w:val="18"/>
                <w:szCs w:val="18"/>
              </w:rPr>
            </w:pPr>
            <w:r w:rsidRPr="00B52F88">
              <w:rPr>
                <w:rFonts w:ascii="Arial" w:hAnsi="Arial" w:cs="Arial"/>
                <w:sz w:val="18"/>
                <w:szCs w:val="18"/>
              </w:rPr>
              <w:t>168 (77.1)</w:t>
            </w:r>
          </w:p>
          <w:p w14:paraId="66A18CE4" w14:textId="7F4C88CA" w:rsidR="008B118E" w:rsidRPr="00B52F88" w:rsidRDefault="008B118E" w:rsidP="008B118E">
            <w:pPr>
              <w:jc w:val="center"/>
              <w:rPr>
                <w:rFonts w:ascii="Arial" w:hAnsi="Arial" w:cs="Arial"/>
                <w:sz w:val="18"/>
                <w:szCs w:val="18"/>
              </w:rPr>
            </w:pPr>
            <w:r w:rsidRPr="00B52F88">
              <w:rPr>
                <w:rFonts w:ascii="Arial" w:hAnsi="Arial" w:cs="Arial"/>
                <w:sz w:val="18"/>
                <w:szCs w:val="18"/>
              </w:rPr>
              <w:t>50 (22.9)</w:t>
            </w:r>
          </w:p>
        </w:tc>
        <w:tc>
          <w:tcPr>
            <w:tcW w:w="1378" w:type="dxa"/>
          </w:tcPr>
          <w:p w14:paraId="5227DEC6" w14:textId="77777777" w:rsidR="008B118E" w:rsidRPr="00B52F88" w:rsidRDefault="008B118E" w:rsidP="008B118E">
            <w:pPr>
              <w:jc w:val="center"/>
              <w:rPr>
                <w:rFonts w:ascii="Arial" w:hAnsi="Arial" w:cs="Arial"/>
                <w:sz w:val="18"/>
                <w:szCs w:val="18"/>
              </w:rPr>
            </w:pPr>
          </w:p>
          <w:p w14:paraId="5E9A240D" w14:textId="77777777" w:rsidR="008B118E" w:rsidRPr="00B52F88" w:rsidRDefault="008B118E" w:rsidP="008B118E">
            <w:pPr>
              <w:jc w:val="center"/>
              <w:rPr>
                <w:rFonts w:ascii="Arial" w:hAnsi="Arial" w:cs="Arial"/>
                <w:sz w:val="18"/>
                <w:szCs w:val="18"/>
              </w:rPr>
            </w:pPr>
            <w:r w:rsidRPr="00B52F88">
              <w:rPr>
                <w:rFonts w:ascii="Arial" w:hAnsi="Arial" w:cs="Arial"/>
                <w:sz w:val="18"/>
                <w:szCs w:val="18"/>
              </w:rPr>
              <w:t>55 (83.3)</w:t>
            </w:r>
          </w:p>
          <w:p w14:paraId="0C10838D" w14:textId="5A65E38F" w:rsidR="008B118E" w:rsidRPr="00B52F88" w:rsidRDefault="008B118E" w:rsidP="008B118E">
            <w:pPr>
              <w:jc w:val="center"/>
              <w:rPr>
                <w:rFonts w:ascii="Arial" w:hAnsi="Arial" w:cs="Arial"/>
                <w:sz w:val="18"/>
                <w:szCs w:val="18"/>
              </w:rPr>
            </w:pPr>
            <w:r w:rsidRPr="00B52F88">
              <w:rPr>
                <w:rFonts w:ascii="Arial" w:hAnsi="Arial" w:cs="Arial"/>
                <w:sz w:val="18"/>
                <w:szCs w:val="18"/>
              </w:rPr>
              <w:t>11 (16.7)</w:t>
            </w:r>
          </w:p>
        </w:tc>
        <w:tc>
          <w:tcPr>
            <w:tcW w:w="1417" w:type="dxa"/>
          </w:tcPr>
          <w:p w14:paraId="1D0CB991" w14:textId="77777777" w:rsidR="008B118E" w:rsidRPr="00B52F88" w:rsidRDefault="008B118E" w:rsidP="008B118E">
            <w:pPr>
              <w:jc w:val="center"/>
              <w:rPr>
                <w:rFonts w:ascii="Arial" w:hAnsi="Arial" w:cs="Arial"/>
                <w:sz w:val="18"/>
                <w:szCs w:val="18"/>
              </w:rPr>
            </w:pPr>
          </w:p>
          <w:p w14:paraId="0C37A687" w14:textId="77777777" w:rsidR="008B118E" w:rsidRPr="00B52F88" w:rsidRDefault="008B118E" w:rsidP="008B118E">
            <w:pPr>
              <w:jc w:val="center"/>
              <w:rPr>
                <w:rFonts w:ascii="Arial" w:hAnsi="Arial" w:cs="Arial"/>
                <w:sz w:val="18"/>
                <w:szCs w:val="18"/>
              </w:rPr>
            </w:pPr>
            <w:r w:rsidRPr="00B52F88">
              <w:rPr>
                <w:rFonts w:ascii="Arial" w:hAnsi="Arial" w:cs="Arial"/>
                <w:sz w:val="18"/>
                <w:szCs w:val="18"/>
              </w:rPr>
              <w:t>137 (61.7)</w:t>
            </w:r>
          </w:p>
          <w:p w14:paraId="3DF9F57C" w14:textId="4DFC3B05" w:rsidR="008B118E" w:rsidRPr="00B52F88" w:rsidRDefault="008B118E" w:rsidP="008B118E">
            <w:pPr>
              <w:jc w:val="center"/>
              <w:rPr>
                <w:rFonts w:ascii="Arial" w:hAnsi="Arial" w:cs="Arial"/>
                <w:sz w:val="18"/>
                <w:szCs w:val="18"/>
              </w:rPr>
            </w:pPr>
            <w:r w:rsidRPr="00B52F88">
              <w:rPr>
                <w:rFonts w:ascii="Arial" w:hAnsi="Arial" w:cs="Arial"/>
                <w:sz w:val="18"/>
                <w:szCs w:val="18"/>
              </w:rPr>
              <w:t>85 (38.3)</w:t>
            </w:r>
          </w:p>
        </w:tc>
        <w:tc>
          <w:tcPr>
            <w:tcW w:w="1417" w:type="dxa"/>
          </w:tcPr>
          <w:p w14:paraId="394B6313" w14:textId="77777777" w:rsidR="008B118E" w:rsidRPr="00B00EF3" w:rsidRDefault="008B118E" w:rsidP="008B118E">
            <w:pPr>
              <w:jc w:val="center"/>
              <w:rPr>
                <w:rFonts w:ascii="Arial" w:hAnsi="Arial" w:cs="Arial"/>
                <w:sz w:val="18"/>
              </w:rPr>
            </w:pPr>
          </w:p>
          <w:p w14:paraId="51508BA3" w14:textId="77777777" w:rsidR="008B118E" w:rsidRDefault="008B118E" w:rsidP="008B118E">
            <w:pPr>
              <w:jc w:val="center"/>
              <w:rPr>
                <w:rFonts w:ascii="Arial" w:hAnsi="Arial" w:cs="Arial"/>
                <w:sz w:val="18"/>
              </w:rPr>
            </w:pPr>
            <w:r>
              <w:rPr>
                <w:rFonts w:ascii="Arial" w:hAnsi="Arial" w:cs="Arial"/>
                <w:sz w:val="18"/>
              </w:rPr>
              <w:t>387 (68.3)</w:t>
            </w:r>
          </w:p>
          <w:p w14:paraId="43FE41CD" w14:textId="7CEBB532" w:rsidR="008B118E" w:rsidRPr="00B00EF3" w:rsidRDefault="008B118E" w:rsidP="008B118E">
            <w:pPr>
              <w:jc w:val="center"/>
              <w:rPr>
                <w:rFonts w:ascii="Arial" w:hAnsi="Arial" w:cs="Arial"/>
                <w:sz w:val="18"/>
              </w:rPr>
            </w:pPr>
            <w:r>
              <w:rPr>
                <w:rFonts w:ascii="Arial" w:hAnsi="Arial" w:cs="Arial"/>
                <w:sz w:val="18"/>
              </w:rPr>
              <w:t>180 (31.7)</w:t>
            </w:r>
          </w:p>
        </w:tc>
      </w:tr>
      <w:tr w:rsidR="00B52F88" w:rsidRPr="00B00EF3" w14:paraId="07C639ED" w14:textId="77777777" w:rsidTr="00A037D3">
        <w:trPr>
          <w:gridAfter w:val="1"/>
          <w:wAfter w:w="61" w:type="dxa"/>
        </w:trPr>
        <w:tc>
          <w:tcPr>
            <w:tcW w:w="1701" w:type="dxa"/>
          </w:tcPr>
          <w:p w14:paraId="095F1FED" w14:textId="77777777" w:rsidR="00B52F88" w:rsidRPr="00B00EF3" w:rsidRDefault="00B52F88" w:rsidP="00B52F88">
            <w:pPr>
              <w:rPr>
                <w:rFonts w:ascii="Arial" w:hAnsi="Arial" w:cs="Arial"/>
                <w:sz w:val="18"/>
              </w:rPr>
            </w:pPr>
            <w:r w:rsidRPr="00B00EF3">
              <w:rPr>
                <w:rFonts w:ascii="Arial" w:hAnsi="Arial" w:cs="Arial"/>
                <w:sz w:val="18"/>
              </w:rPr>
              <w:t>Ethnicity</w:t>
            </w:r>
          </w:p>
          <w:p w14:paraId="21588D28" w14:textId="77777777" w:rsidR="00B52F88" w:rsidRPr="00B00EF3" w:rsidRDefault="00B52F88" w:rsidP="00B52F88">
            <w:pPr>
              <w:rPr>
                <w:rFonts w:ascii="Arial" w:hAnsi="Arial" w:cs="Arial"/>
                <w:sz w:val="18"/>
              </w:rPr>
            </w:pPr>
            <w:r w:rsidRPr="00B00EF3">
              <w:rPr>
                <w:rFonts w:ascii="Arial" w:hAnsi="Arial" w:cs="Arial"/>
                <w:sz w:val="18"/>
              </w:rPr>
              <w:t xml:space="preserve">  White</w:t>
            </w:r>
          </w:p>
          <w:p w14:paraId="3B3B3003" w14:textId="77777777" w:rsidR="00B52F88" w:rsidRDefault="00B52F88" w:rsidP="00B52F88">
            <w:pPr>
              <w:rPr>
                <w:rFonts w:ascii="Arial" w:hAnsi="Arial" w:cs="Arial"/>
                <w:sz w:val="18"/>
              </w:rPr>
            </w:pPr>
            <w:r w:rsidRPr="00B00EF3">
              <w:rPr>
                <w:rFonts w:ascii="Arial" w:hAnsi="Arial" w:cs="Arial"/>
                <w:sz w:val="18"/>
              </w:rPr>
              <w:t xml:space="preserve">  BAME</w:t>
            </w:r>
          </w:p>
          <w:p w14:paraId="7DAEE62C" w14:textId="36F86553" w:rsidR="00B52F88" w:rsidRPr="00B00EF3" w:rsidRDefault="00B52F88" w:rsidP="00B52F88">
            <w:pPr>
              <w:rPr>
                <w:rFonts w:ascii="Arial" w:hAnsi="Arial" w:cs="Arial"/>
                <w:sz w:val="18"/>
              </w:rPr>
            </w:pPr>
            <w:r>
              <w:rPr>
                <w:rFonts w:ascii="Arial" w:hAnsi="Arial" w:cs="Arial"/>
                <w:sz w:val="18"/>
              </w:rPr>
              <w:t xml:space="preserve">  Not wish to say</w:t>
            </w:r>
          </w:p>
        </w:tc>
        <w:tc>
          <w:tcPr>
            <w:tcW w:w="1701" w:type="dxa"/>
          </w:tcPr>
          <w:p w14:paraId="0F2B3412" w14:textId="77777777" w:rsidR="00B52F88" w:rsidRPr="00B52F88" w:rsidRDefault="00B52F88" w:rsidP="00B52F88">
            <w:pPr>
              <w:jc w:val="center"/>
              <w:rPr>
                <w:rFonts w:ascii="Arial" w:hAnsi="Arial" w:cs="Arial"/>
                <w:sz w:val="18"/>
                <w:szCs w:val="18"/>
              </w:rPr>
            </w:pPr>
          </w:p>
          <w:p w14:paraId="0779491F" w14:textId="014EADB1" w:rsidR="00B52F88" w:rsidRPr="00B52F88" w:rsidRDefault="00B52F88" w:rsidP="00B52F88">
            <w:pPr>
              <w:jc w:val="center"/>
              <w:rPr>
                <w:rFonts w:ascii="Arial" w:hAnsi="Arial" w:cs="Arial"/>
                <w:sz w:val="18"/>
                <w:szCs w:val="18"/>
              </w:rPr>
            </w:pPr>
            <w:r w:rsidRPr="00B52F88">
              <w:rPr>
                <w:rFonts w:ascii="Arial" w:hAnsi="Arial" w:cs="Arial"/>
                <w:sz w:val="18"/>
                <w:szCs w:val="18"/>
              </w:rPr>
              <w:t>58 (9</w:t>
            </w:r>
            <w:r w:rsidR="00DA56BB">
              <w:rPr>
                <w:rFonts w:ascii="Arial" w:hAnsi="Arial" w:cs="Arial"/>
                <w:sz w:val="18"/>
                <w:szCs w:val="18"/>
              </w:rPr>
              <w:t>5.1</w:t>
            </w:r>
            <w:r w:rsidRPr="00B52F88">
              <w:rPr>
                <w:rFonts w:ascii="Arial" w:hAnsi="Arial" w:cs="Arial"/>
                <w:sz w:val="18"/>
                <w:szCs w:val="18"/>
              </w:rPr>
              <w:t>)</w:t>
            </w:r>
          </w:p>
          <w:p w14:paraId="6DCE1B48" w14:textId="7A0EB195" w:rsidR="00B52F88" w:rsidRDefault="00B52F88" w:rsidP="00B52F88">
            <w:pPr>
              <w:jc w:val="center"/>
              <w:rPr>
                <w:rFonts w:ascii="Arial" w:hAnsi="Arial" w:cs="Arial"/>
                <w:sz w:val="18"/>
                <w:szCs w:val="18"/>
              </w:rPr>
            </w:pPr>
            <w:r w:rsidRPr="00B52F88">
              <w:rPr>
                <w:rFonts w:ascii="Arial" w:hAnsi="Arial" w:cs="Arial"/>
                <w:sz w:val="18"/>
                <w:szCs w:val="18"/>
              </w:rPr>
              <w:t>2 (3.</w:t>
            </w:r>
            <w:r w:rsidR="00DA56BB">
              <w:rPr>
                <w:rFonts w:ascii="Arial" w:hAnsi="Arial" w:cs="Arial"/>
                <w:sz w:val="18"/>
                <w:szCs w:val="18"/>
              </w:rPr>
              <w:t>3</w:t>
            </w:r>
            <w:r w:rsidRPr="00B52F88">
              <w:rPr>
                <w:rFonts w:ascii="Arial" w:hAnsi="Arial" w:cs="Arial"/>
                <w:sz w:val="18"/>
                <w:szCs w:val="18"/>
              </w:rPr>
              <w:t>)</w:t>
            </w:r>
          </w:p>
          <w:p w14:paraId="5F8796E8" w14:textId="7394ECCE" w:rsidR="00DA56BB" w:rsidRPr="00B52F88" w:rsidRDefault="00DA56BB" w:rsidP="00B52F88">
            <w:pPr>
              <w:jc w:val="center"/>
              <w:rPr>
                <w:rFonts w:ascii="Arial" w:hAnsi="Arial" w:cs="Arial"/>
                <w:sz w:val="18"/>
                <w:szCs w:val="18"/>
              </w:rPr>
            </w:pPr>
            <w:r>
              <w:rPr>
                <w:rFonts w:ascii="Arial" w:hAnsi="Arial" w:cs="Arial"/>
                <w:sz w:val="18"/>
                <w:szCs w:val="18"/>
              </w:rPr>
              <w:t>1 (1.6)</w:t>
            </w:r>
          </w:p>
        </w:tc>
        <w:tc>
          <w:tcPr>
            <w:tcW w:w="1599" w:type="dxa"/>
          </w:tcPr>
          <w:p w14:paraId="47170B3F" w14:textId="77777777" w:rsidR="00B52F88" w:rsidRPr="00B52F88" w:rsidRDefault="00B52F88" w:rsidP="00B52F88">
            <w:pPr>
              <w:jc w:val="center"/>
              <w:rPr>
                <w:rFonts w:ascii="Arial" w:hAnsi="Arial" w:cs="Arial"/>
                <w:sz w:val="18"/>
                <w:szCs w:val="18"/>
              </w:rPr>
            </w:pPr>
          </w:p>
          <w:p w14:paraId="5A173F89"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211 (96.3)</w:t>
            </w:r>
          </w:p>
          <w:p w14:paraId="78E9CF8B" w14:textId="77777777" w:rsidR="00B52F88" w:rsidRDefault="00445A9F" w:rsidP="00B52F88">
            <w:pPr>
              <w:jc w:val="center"/>
              <w:rPr>
                <w:rFonts w:ascii="Arial" w:hAnsi="Arial" w:cs="Arial"/>
                <w:sz w:val="18"/>
                <w:szCs w:val="18"/>
              </w:rPr>
            </w:pPr>
            <w:r>
              <w:rPr>
                <w:rFonts w:ascii="Arial" w:hAnsi="Arial" w:cs="Arial"/>
                <w:sz w:val="18"/>
                <w:szCs w:val="18"/>
              </w:rPr>
              <w:t>7 (3.3)</w:t>
            </w:r>
          </w:p>
          <w:p w14:paraId="5F99A3DB" w14:textId="17827B09" w:rsidR="00445A9F" w:rsidRPr="00B52F88" w:rsidRDefault="00445A9F" w:rsidP="00B52F88">
            <w:pPr>
              <w:jc w:val="center"/>
              <w:rPr>
                <w:rFonts w:ascii="Arial" w:hAnsi="Arial" w:cs="Arial"/>
                <w:sz w:val="18"/>
                <w:szCs w:val="18"/>
              </w:rPr>
            </w:pPr>
            <w:r>
              <w:rPr>
                <w:rFonts w:ascii="Arial" w:hAnsi="Arial" w:cs="Arial"/>
                <w:sz w:val="18"/>
                <w:szCs w:val="18"/>
              </w:rPr>
              <w:t>1 (0.5)</w:t>
            </w:r>
          </w:p>
        </w:tc>
        <w:tc>
          <w:tcPr>
            <w:tcW w:w="1378" w:type="dxa"/>
          </w:tcPr>
          <w:p w14:paraId="05FE60A9" w14:textId="77777777" w:rsidR="00B52F88" w:rsidRPr="00B52F88" w:rsidRDefault="00B52F88" w:rsidP="00B52F88">
            <w:pPr>
              <w:jc w:val="center"/>
              <w:rPr>
                <w:rFonts w:ascii="Arial" w:hAnsi="Arial" w:cs="Arial"/>
                <w:sz w:val="18"/>
                <w:szCs w:val="18"/>
              </w:rPr>
            </w:pPr>
          </w:p>
          <w:p w14:paraId="0ACEEB5F"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65 (98.5)</w:t>
            </w:r>
          </w:p>
          <w:p w14:paraId="0C1DD1CB" w14:textId="6F062326" w:rsidR="00446494" w:rsidRDefault="00446494" w:rsidP="00B52F88">
            <w:pPr>
              <w:jc w:val="center"/>
              <w:rPr>
                <w:rFonts w:ascii="Arial" w:hAnsi="Arial" w:cs="Arial"/>
                <w:sz w:val="18"/>
                <w:szCs w:val="18"/>
              </w:rPr>
            </w:pPr>
            <w:r>
              <w:rPr>
                <w:rFonts w:ascii="Arial" w:hAnsi="Arial" w:cs="Arial"/>
                <w:sz w:val="18"/>
                <w:szCs w:val="18"/>
              </w:rPr>
              <w:t>0</w:t>
            </w:r>
          </w:p>
          <w:p w14:paraId="35133591" w14:textId="11DAA5F8" w:rsidR="00B52F88" w:rsidRPr="00B52F88" w:rsidRDefault="00B52F88" w:rsidP="00B52F88">
            <w:pPr>
              <w:jc w:val="center"/>
              <w:rPr>
                <w:rFonts w:ascii="Arial" w:hAnsi="Arial" w:cs="Arial"/>
                <w:sz w:val="18"/>
                <w:szCs w:val="18"/>
              </w:rPr>
            </w:pPr>
            <w:r w:rsidRPr="00B52F88">
              <w:rPr>
                <w:rFonts w:ascii="Arial" w:hAnsi="Arial" w:cs="Arial"/>
                <w:sz w:val="18"/>
                <w:szCs w:val="18"/>
              </w:rPr>
              <w:t>1 (1.5)</w:t>
            </w:r>
          </w:p>
        </w:tc>
        <w:tc>
          <w:tcPr>
            <w:tcW w:w="1417" w:type="dxa"/>
          </w:tcPr>
          <w:p w14:paraId="3445C21F" w14:textId="77777777" w:rsidR="00B52F88" w:rsidRPr="00B52F88" w:rsidRDefault="00B52F88" w:rsidP="00B52F88">
            <w:pPr>
              <w:jc w:val="center"/>
              <w:rPr>
                <w:rFonts w:ascii="Arial" w:hAnsi="Arial" w:cs="Arial"/>
                <w:sz w:val="18"/>
                <w:szCs w:val="18"/>
              </w:rPr>
            </w:pPr>
          </w:p>
          <w:p w14:paraId="7334FDE5"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216 (98.2)</w:t>
            </w:r>
          </w:p>
          <w:p w14:paraId="3904BF4A" w14:textId="77777777" w:rsidR="00B52F88" w:rsidRDefault="00B32BBB" w:rsidP="00B52F88">
            <w:pPr>
              <w:jc w:val="center"/>
              <w:rPr>
                <w:rFonts w:ascii="Arial" w:hAnsi="Arial" w:cs="Arial"/>
                <w:sz w:val="18"/>
                <w:szCs w:val="18"/>
              </w:rPr>
            </w:pPr>
            <w:r>
              <w:rPr>
                <w:rFonts w:ascii="Arial" w:hAnsi="Arial" w:cs="Arial"/>
                <w:sz w:val="18"/>
                <w:szCs w:val="18"/>
              </w:rPr>
              <w:t>3</w:t>
            </w:r>
            <w:r w:rsidR="00B52F88" w:rsidRPr="00B52F88">
              <w:rPr>
                <w:rFonts w:ascii="Arial" w:hAnsi="Arial" w:cs="Arial"/>
                <w:sz w:val="18"/>
                <w:szCs w:val="18"/>
              </w:rPr>
              <w:t xml:space="preserve"> (1.</w:t>
            </w:r>
            <w:r>
              <w:rPr>
                <w:rFonts w:ascii="Arial" w:hAnsi="Arial" w:cs="Arial"/>
                <w:sz w:val="18"/>
                <w:szCs w:val="18"/>
              </w:rPr>
              <w:t>4</w:t>
            </w:r>
            <w:r w:rsidR="00B52F88" w:rsidRPr="00B52F88">
              <w:rPr>
                <w:rFonts w:ascii="Arial" w:hAnsi="Arial" w:cs="Arial"/>
                <w:sz w:val="18"/>
                <w:szCs w:val="18"/>
              </w:rPr>
              <w:t>)</w:t>
            </w:r>
          </w:p>
          <w:p w14:paraId="331E789E" w14:textId="1E0CD630" w:rsidR="00B32BBB" w:rsidRPr="00B52F88" w:rsidRDefault="00B32BBB" w:rsidP="00B52F88">
            <w:pPr>
              <w:jc w:val="center"/>
              <w:rPr>
                <w:rFonts w:ascii="Arial" w:hAnsi="Arial" w:cs="Arial"/>
                <w:sz w:val="18"/>
                <w:szCs w:val="18"/>
              </w:rPr>
            </w:pPr>
            <w:r>
              <w:rPr>
                <w:rFonts w:ascii="Arial" w:hAnsi="Arial" w:cs="Arial"/>
                <w:sz w:val="18"/>
                <w:szCs w:val="18"/>
              </w:rPr>
              <w:t>1 (0.5)</w:t>
            </w:r>
          </w:p>
        </w:tc>
        <w:tc>
          <w:tcPr>
            <w:tcW w:w="1417" w:type="dxa"/>
          </w:tcPr>
          <w:p w14:paraId="33061C77" w14:textId="77777777" w:rsidR="00B52F88" w:rsidRPr="00B00EF3" w:rsidRDefault="00B52F88" w:rsidP="00B52F88">
            <w:pPr>
              <w:jc w:val="center"/>
              <w:rPr>
                <w:rFonts w:ascii="Arial" w:hAnsi="Arial" w:cs="Arial"/>
                <w:sz w:val="18"/>
              </w:rPr>
            </w:pPr>
          </w:p>
          <w:p w14:paraId="0C7EDD9F" w14:textId="03B6B7EE" w:rsidR="00B52F88" w:rsidRPr="00B00EF3" w:rsidRDefault="00B52F88" w:rsidP="00B52F88">
            <w:pPr>
              <w:jc w:val="center"/>
              <w:rPr>
                <w:rFonts w:ascii="Arial" w:hAnsi="Arial" w:cs="Arial"/>
                <w:sz w:val="18"/>
              </w:rPr>
            </w:pPr>
            <w:r>
              <w:rPr>
                <w:rFonts w:ascii="Arial" w:hAnsi="Arial" w:cs="Arial"/>
                <w:sz w:val="18"/>
              </w:rPr>
              <w:t>550</w:t>
            </w:r>
            <w:r w:rsidRPr="00B00EF3">
              <w:rPr>
                <w:rFonts w:ascii="Arial" w:hAnsi="Arial" w:cs="Arial"/>
                <w:sz w:val="18"/>
              </w:rPr>
              <w:t xml:space="preserve"> (9</w:t>
            </w:r>
            <w:r>
              <w:rPr>
                <w:rFonts w:ascii="Arial" w:hAnsi="Arial" w:cs="Arial"/>
                <w:sz w:val="18"/>
              </w:rPr>
              <w:t>7.2</w:t>
            </w:r>
            <w:r w:rsidRPr="00B00EF3">
              <w:rPr>
                <w:rFonts w:ascii="Arial" w:hAnsi="Arial" w:cs="Arial"/>
                <w:sz w:val="18"/>
              </w:rPr>
              <w:t>)</w:t>
            </w:r>
          </w:p>
          <w:p w14:paraId="7A08CED0" w14:textId="13BAC6A8" w:rsidR="00B52F88" w:rsidRDefault="00B52F88" w:rsidP="00B52F88">
            <w:pPr>
              <w:jc w:val="center"/>
              <w:rPr>
                <w:rFonts w:ascii="Arial" w:hAnsi="Arial" w:cs="Arial"/>
                <w:sz w:val="18"/>
              </w:rPr>
            </w:pPr>
            <w:r>
              <w:rPr>
                <w:rFonts w:ascii="Arial" w:hAnsi="Arial" w:cs="Arial"/>
                <w:sz w:val="18"/>
              </w:rPr>
              <w:t>12</w:t>
            </w:r>
            <w:r w:rsidRPr="00B00EF3">
              <w:rPr>
                <w:rFonts w:ascii="Arial" w:hAnsi="Arial" w:cs="Arial"/>
                <w:sz w:val="18"/>
              </w:rPr>
              <w:t xml:space="preserve"> (</w:t>
            </w:r>
            <w:r>
              <w:rPr>
                <w:rFonts w:ascii="Arial" w:hAnsi="Arial" w:cs="Arial"/>
                <w:sz w:val="18"/>
              </w:rPr>
              <w:t>2.1</w:t>
            </w:r>
            <w:r w:rsidRPr="00B00EF3">
              <w:rPr>
                <w:rFonts w:ascii="Arial" w:hAnsi="Arial" w:cs="Arial"/>
                <w:sz w:val="18"/>
              </w:rPr>
              <w:t>)</w:t>
            </w:r>
          </w:p>
          <w:p w14:paraId="3EF2E84A" w14:textId="7F63E069" w:rsidR="00B52F88" w:rsidRPr="00B00EF3" w:rsidRDefault="00B52F88" w:rsidP="00B52F88">
            <w:pPr>
              <w:jc w:val="center"/>
              <w:rPr>
                <w:rFonts w:ascii="Arial" w:hAnsi="Arial" w:cs="Arial"/>
                <w:sz w:val="18"/>
              </w:rPr>
            </w:pPr>
            <w:r>
              <w:rPr>
                <w:rFonts w:ascii="Arial" w:hAnsi="Arial" w:cs="Arial"/>
                <w:sz w:val="18"/>
              </w:rPr>
              <w:t>4 (0.7)</w:t>
            </w:r>
          </w:p>
        </w:tc>
      </w:tr>
      <w:tr w:rsidR="00B52F88" w:rsidRPr="00B00EF3" w14:paraId="4639372F" w14:textId="77777777" w:rsidTr="00A037D3">
        <w:trPr>
          <w:gridAfter w:val="1"/>
          <w:wAfter w:w="61" w:type="dxa"/>
        </w:trPr>
        <w:tc>
          <w:tcPr>
            <w:tcW w:w="1701" w:type="dxa"/>
          </w:tcPr>
          <w:p w14:paraId="5AA8E0CF" w14:textId="77777777" w:rsidR="00B52F88" w:rsidRPr="00B00EF3" w:rsidRDefault="00B52F88" w:rsidP="00B52F88">
            <w:pPr>
              <w:rPr>
                <w:rFonts w:ascii="Arial" w:hAnsi="Arial" w:cs="Arial"/>
                <w:sz w:val="18"/>
              </w:rPr>
            </w:pPr>
            <w:r w:rsidRPr="00B00EF3">
              <w:rPr>
                <w:rFonts w:ascii="Arial" w:hAnsi="Arial" w:cs="Arial"/>
                <w:sz w:val="18"/>
              </w:rPr>
              <w:t>IMD Quintile</w:t>
            </w:r>
          </w:p>
          <w:p w14:paraId="1BC54962" w14:textId="73D67756" w:rsidR="00B52F88" w:rsidRPr="00B00EF3" w:rsidRDefault="00B52F88" w:rsidP="00B52F88">
            <w:pPr>
              <w:rPr>
                <w:rFonts w:ascii="Arial" w:hAnsi="Arial" w:cs="Arial"/>
                <w:sz w:val="18"/>
              </w:rPr>
            </w:pPr>
            <w:r w:rsidRPr="00B00EF3">
              <w:rPr>
                <w:rFonts w:ascii="Arial" w:hAnsi="Arial" w:cs="Arial"/>
                <w:sz w:val="18"/>
              </w:rPr>
              <w:t xml:space="preserve">  1 </w:t>
            </w:r>
          </w:p>
          <w:p w14:paraId="7A9CE274" w14:textId="77777777" w:rsidR="00B52F88" w:rsidRPr="00B00EF3" w:rsidRDefault="00B52F88" w:rsidP="00B52F88">
            <w:pPr>
              <w:rPr>
                <w:rFonts w:ascii="Arial" w:hAnsi="Arial" w:cs="Arial"/>
                <w:sz w:val="18"/>
              </w:rPr>
            </w:pPr>
            <w:r w:rsidRPr="00B00EF3">
              <w:rPr>
                <w:rFonts w:ascii="Arial" w:hAnsi="Arial" w:cs="Arial"/>
                <w:sz w:val="18"/>
              </w:rPr>
              <w:t xml:space="preserve">  2</w:t>
            </w:r>
          </w:p>
          <w:p w14:paraId="6FA882A2" w14:textId="77777777" w:rsidR="00B52F88" w:rsidRPr="00B00EF3" w:rsidRDefault="00B52F88" w:rsidP="00B52F88">
            <w:pPr>
              <w:rPr>
                <w:rFonts w:ascii="Arial" w:hAnsi="Arial" w:cs="Arial"/>
                <w:sz w:val="18"/>
              </w:rPr>
            </w:pPr>
            <w:r w:rsidRPr="00B00EF3">
              <w:rPr>
                <w:rFonts w:ascii="Arial" w:hAnsi="Arial" w:cs="Arial"/>
                <w:sz w:val="18"/>
              </w:rPr>
              <w:t xml:space="preserve">  3</w:t>
            </w:r>
          </w:p>
          <w:p w14:paraId="2EA882DB" w14:textId="77777777" w:rsidR="00B52F88" w:rsidRPr="00B00EF3" w:rsidRDefault="00B52F88" w:rsidP="00B52F88">
            <w:pPr>
              <w:rPr>
                <w:rFonts w:ascii="Arial" w:hAnsi="Arial" w:cs="Arial"/>
                <w:sz w:val="18"/>
              </w:rPr>
            </w:pPr>
            <w:r w:rsidRPr="00B00EF3">
              <w:rPr>
                <w:rFonts w:ascii="Arial" w:hAnsi="Arial" w:cs="Arial"/>
                <w:sz w:val="18"/>
              </w:rPr>
              <w:t xml:space="preserve">  4</w:t>
            </w:r>
          </w:p>
          <w:p w14:paraId="11B0C4BB" w14:textId="4ECEEFE8" w:rsidR="00B52F88" w:rsidRPr="00B00EF3" w:rsidRDefault="00B52F88" w:rsidP="00B52F88">
            <w:pPr>
              <w:rPr>
                <w:rFonts w:ascii="Arial" w:hAnsi="Arial" w:cs="Arial"/>
                <w:sz w:val="18"/>
              </w:rPr>
            </w:pPr>
            <w:r w:rsidRPr="00B00EF3">
              <w:rPr>
                <w:rFonts w:ascii="Arial" w:hAnsi="Arial" w:cs="Arial"/>
                <w:sz w:val="18"/>
              </w:rPr>
              <w:t xml:space="preserve">  5 </w:t>
            </w:r>
          </w:p>
        </w:tc>
        <w:tc>
          <w:tcPr>
            <w:tcW w:w="1701" w:type="dxa"/>
          </w:tcPr>
          <w:p w14:paraId="0F99F422" w14:textId="77777777" w:rsidR="00B52F88" w:rsidRPr="00B52F88" w:rsidRDefault="00B52F88" w:rsidP="00B52F88">
            <w:pPr>
              <w:jc w:val="center"/>
              <w:rPr>
                <w:rFonts w:ascii="Arial" w:hAnsi="Arial" w:cs="Arial"/>
                <w:sz w:val="18"/>
                <w:szCs w:val="18"/>
              </w:rPr>
            </w:pPr>
          </w:p>
          <w:p w14:paraId="20377AFE"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12 (23.1)</w:t>
            </w:r>
          </w:p>
          <w:p w14:paraId="0B76366C"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16 (30.8)</w:t>
            </w:r>
          </w:p>
          <w:p w14:paraId="51128009"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10 (19.2)</w:t>
            </w:r>
          </w:p>
          <w:p w14:paraId="4DC6B8F4"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10 (19.2)</w:t>
            </w:r>
          </w:p>
          <w:p w14:paraId="77230BDC" w14:textId="5BB240C1" w:rsidR="00B52F88" w:rsidRPr="00B52F88" w:rsidRDefault="00B52F88" w:rsidP="00B52F88">
            <w:pPr>
              <w:jc w:val="center"/>
              <w:rPr>
                <w:rFonts w:ascii="Arial" w:hAnsi="Arial" w:cs="Arial"/>
                <w:sz w:val="18"/>
                <w:szCs w:val="18"/>
              </w:rPr>
            </w:pPr>
            <w:r w:rsidRPr="00B52F88">
              <w:rPr>
                <w:rFonts w:ascii="Arial" w:hAnsi="Arial" w:cs="Arial"/>
                <w:sz w:val="18"/>
                <w:szCs w:val="18"/>
              </w:rPr>
              <w:t>4 (7.7)</w:t>
            </w:r>
          </w:p>
        </w:tc>
        <w:tc>
          <w:tcPr>
            <w:tcW w:w="1599" w:type="dxa"/>
          </w:tcPr>
          <w:p w14:paraId="08510AF7" w14:textId="77777777" w:rsidR="00B52F88" w:rsidRPr="00B52F88" w:rsidRDefault="00B52F88" w:rsidP="00B52F88">
            <w:pPr>
              <w:jc w:val="center"/>
              <w:rPr>
                <w:rFonts w:ascii="Arial" w:hAnsi="Arial" w:cs="Arial"/>
                <w:sz w:val="18"/>
                <w:szCs w:val="18"/>
              </w:rPr>
            </w:pPr>
          </w:p>
          <w:p w14:paraId="281E6B57"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54 (32.1)</w:t>
            </w:r>
          </w:p>
          <w:p w14:paraId="3208B8A1"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50 (29.8)</w:t>
            </w:r>
          </w:p>
          <w:p w14:paraId="139FD208"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32 (19.0)</w:t>
            </w:r>
          </w:p>
          <w:p w14:paraId="754932B4"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14 (8.3)</w:t>
            </w:r>
          </w:p>
          <w:p w14:paraId="21663171" w14:textId="142B0D44" w:rsidR="00B52F88" w:rsidRPr="00B52F88" w:rsidRDefault="00B52F88" w:rsidP="00B52F88">
            <w:pPr>
              <w:jc w:val="center"/>
              <w:rPr>
                <w:rFonts w:ascii="Arial" w:hAnsi="Arial" w:cs="Arial"/>
                <w:sz w:val="18"/>
                <w:szCs w:val="18"/>
              </w:rPr>
            </w:pPr>
            <w:r w:rsidRPr="00B52F88">
              <w:rPr>
                <w:rFonts w:ascii="Arial" w:hAnsi="Arial" w:cs="Arial"/>
                <w:sz w:val="18"/>
                <w:szCs w:val="18"/>
              </w:rPr>
              <w:t>18 (10.7)</w:t>
            </w:r>
          </w:p>
        </w:tc>
        <w:tc>
          <w:tcPr>
            <w:tcW w:w="1378" w:type="dxa"/>
          </w:tcPr>
          <w:p w14:paraId="2D6E53AC" w14:textId="77777777" w:rsidR="00B52F88" w:rsidRPr="00B52F88" w:rsidRDefault="00B52F88" w:rsidP="00B52F88">
            <w:pPr>
              <w:jc w:val="center"/>
              <w:rPr>
                <w:rFonts w:ascii="Arial" w:hAnsi="Arial" w:cs="Arial"/>
                <w:sz w:val="18"/>
                <w:szCs w:val="18"/>
              </w:rPr>
            </w:pPr>
          </w:p>
          <w:p w14:paraId="7C8CBB08"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10 (19.2)</w:t>
            </w:r>
          </w:p>
          <w:p w14:paraId="3DF02209"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20 (38.5)</w:t>
            </w:r>
          </w:p>
          <w:p w14:paraId="40567E20"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14 (26.9)</w:t>
            </w:r>
          </w:p>
          <w:p w14:paraId="513156B5"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5 (9.6)</w:t>
            </w:r>
          </w:p>
          <w:p w14:paraId="29EA7815" w14:textId="6CD849B9" w:rsidR="00B52F88" w:rsidRPr="00B52F88" w:rsidRDefault="00B52F88" w:rsidP="00B52F88">
            <w:pPr>
              <w:jc w:val="center"/>
              <w:rPr>
                <w:rFonts w:ascii="Arial" w:hAnsi="Arial" w:cs="Arial"/>
                <w:sz w:val="18"/>
                <w:szCs w:val="18"/>
              </w:rPr>
            </w:pPr>
            <w:r w:rsidRPr="00B52F88">
              <w:rPr>
                <w:rFonts w:ascii="Arial" w:hAnsi="Arial" w:cs="Arial"/>
                <w:sz w:val="18"/>
                <w:szCs w:val="18"/>
              </w:rPr>
              <w:t>3 (5.8)</w:t>
            </w:r>
          </w:p>
        </w:tc>
        <w:tc>
          <w:tcPr>
            <w:tcW w:w="1417" w:type="dxa"/>
          </w:tcPr>
          <w:p w14:paraId="1D9B84C3" w14:textId="77777777" w:rsidR="00B52F88" w:rsidRPr="00B52F88" w:rsidRDefault="00B52F88" w:rsidP="00B52F88">
            <w:pPr>
              <w:jc w:val="center"/>
              <w:rPr>
                <w:rFonts w:ascii="Arial" w:hAnsi="Arial" w:cs="Arial"/>
                <w:sz w:val="18"/>
                <w:szCs w:val="18"/>
              </w:rPr>
            </w:pPr>
          </w:p>
          <w:p w14:paraId="7240E2A3"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61 (33.5)</w:t>
            </w:r>
          </w:p>
          <w:p w14:paraId="3E437117"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44 (24.2)</w:t>
            </w:r>
          </w:p>
          <w:p w14:paraId="3C564C28"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37 (20.3)</w:t>
            </w:r>
          </w:p>
          <w:p w14:paraId="55B47B56"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26 (14.3)</w:t>
            </w:r>
          </w:p>
          <w:p w14:paraId="2DC9180D" w14:textId="07EC8629" w:rsidR="00B52F88" w:rsidRPr="00B52F88" w:rsidRDefault="00B52F88" w:rsidP="00B52F88">
            <w:pPr>
              <w:jc w:val="center"/>
              <w:rPr>
                <w:rFonts w:ascii="Arial" w:hAnsi="Arial" w:cs="Arial"/>
                <w:sz w:val="18"/>
                <w:szCs w:val="18"/>
              </w:rPr>
            </w:pPr>
            <w:r w:rsidRPr="00B52F88">
              <w:rPr>
                <w:rFonts w:ascii="Arial" w:hAnsi="Arial" w:cs="Arial"/>
                <w:sz w:val="18"/>
                <w:szCs w:val="18"/>
              </w:rPr>
              <w:t>14 (7.7)</w:t>
            </w:r>
          </w:p>
        </w:tc>
        <w:tc>
          <w:tcPr>
            <w:tcW w:w="1417" w:type="dxa"/>
          </w:tcPr>
          <w:p w14:paraId="16AC85EA" w14:textId="77777777" w:rsidR="00B52F88" w:rsidRPr="00B00EF3" w:rsidRDefault="00B52F88" w:rsidP="00B52F88">
            <w:pPr>
              <w:jc w:val="center"/>
              <w:rPr>
                <w:rFonts w:ascii="Arial" w:hAnsi="Arial" w:cs="Arial"/>
                <w:sz w:val="18"/>
              </w:rPr>
            </w:pPr>
          </w:p>
          <w:p w14:paraId="739A17A7" w14:textId="35A523FE" w:rsidR="00B52F88" w:rsidRPr="00B00EF3" w:rsidRDefault="00B52F88" w:rsidP="00B52F88">
            <w:pPr>
              <w:jc w:val="center"/>
              <w:rPr>
                <w:rFonts w:ascii="Arial" w:hAnsi="Arial" w:cs="Arial"/>
                <w:sz w:val="18"/>
              </w:rPr>
            </w:pPr>
            <w:r w:rsidRPr="00B00EF3">
              <w:rPr>
                <w:rFonts w:ascii="Arial" w:hAnsi="Arial" w:cs="Arial"/>
                <w:sz w:val="18"/>
              </w:rPr>
              <w:t>1</w:t>
            </w:r>
            <w:r>
              <w:rPr>
                <w:rFonts w:ascii="Arial" w:hAnsi="Arial" w:cs="Arial"/>
                <w:sz w:val="18"/>
              </w:rPr>
              <w:t>37</w:t>
            </w:r>
            <w:r w:rsidRPr="00B00EF3">
              <w:rPr>
                <w:rFonts w:ascii="Arial" w:hAnsi="Arial" w:cs="Arial"/>
                <w:sz w:val="18"/>
              </w:rPr>
              <w:t xml:space="preserve"> (3</w:t>
            </w:r>
            <w:r>
              <w:rPr>
                <w:rFonts w:ascii="Arial" w:hAnsi="Arial" w:cs="Arial"/>
                <w:sz w:val="18"/>
              </w:rPr>
              <w:t>0.2</w:t>
            </w:r>
            <w:r w:rsidRPr="00B00EF3">
              <w:rPr>
                <w:rFonts w:ascii="Arial" w:hAnsi="Arial" w:cs="Arial"/>
                <w:sz w:val="18"/>
              </w:rPr>
              <w:t>)</w:t>
            </w:r>
          </w:p>
          <w:p w14:paraId="798A63F7" w14:textId="1B6286E4" w:rsidR="00B52F88" w:rsidRPr="00B00EF3" w:rsidRDefault="00B52F88" w:rsidP="00B52F88">
            <w:pPr>
              <w:jc w:val="center"/>
              <w:rPr>
                <w:rFonts w:ascii="Arial" w:hAnsi="Arial" w:cs="Arial"/>
                <w:sz w:val="18"/>
              </w:rPr>
            </w:pPr>
            <w:r w:rsidRPr="00B00EF3">
              <w:rPr>
                <w:rFonts w:ascii="Arial" w:hAnsi="Arial" w:cs="Arial"/>
                <w:sz w:val="18"/>
              </w:rPr>
              <w:t>1</w:t>
            </w:r>
            <w:r>
              <w:rPr>
                <w:rFonts w:ascii="Arial" w:hAnsi="Arial" w:cs="Arial"/>
                <w:sz w:val="18"/>
              </w:rPr>
              <w:t>30</w:t>
            </w:r>
            <w:r w:rsidRPr="00B00EF3">
              <w:rPr>
                <w:rFonts w:ascii="Arial" w:hAnsi="Arial" w:cs="Arial"/>
                <w:sz w:val="18"/>
              </w:rPr>
              <w:t xml:space="preserve"> (2</w:t>
            </w:r>
            <w:r>
              <w:rPr>
                <w:rFonts w:ascii="Arial" w:hAnsi="Arial" w:cs="Arial"/>
                <w:sz w:val="18"/>
              </w:rPr>
              <w:t>8.6</w:t>
            </w:r>
            <w:r w:rsidRPr="00B00EF3">
              <w:rPr>
                <w:rFonts w:ascii="Arial" w:hAnsi="Arial" w:cs="Arial"/>
                <w:sz w:val="18"/>
              </w:rPr>
              <w:t>)</w:t>
            </w:r>
          </w:p>
          <w:p w14:paraId="4D29F623" w14:textId="2DDD9479" w:rsidR="00B52F88" w:rsidRPr="00B00EF3" w:rsidRDefault="00B52F88" w:rsidP="00B52F88">
            <w:pPr>
              <w:jc w:val="center"/>
              <w:rPr>
                <w:rFonts w:ascii="Arial" w:hAnsi="Arial" w:cs="Arial"/>
                <w:sz w:val="18"/>
              </w:rPr>
            </w:pPr>
            <w:r>
              <w:rPr>
                <w:rFonts w:ascii="Arial" w:hAnsi="Arial" w:cs="Arial"/>
                <w:sz w:val="18"/>
              </w:rPr>
              <w:t>93</w:t>
            </w:r>
            <w:r w:rsidRPr="00B00EF3">
              <w:rPr>
                <w:rFonts w:ascii="Arial" w:hAnsi="Arial" w:cs="Arial"/>
                <w:sz w:val="18"/>
              </w:rPr>
              <w:t xml:space="preserve"> (2</w:t>
            </w:r>
            <w:r>
              <w:rPr>
                <w:rFonts w:ascii="Arial" w:hAnsi="Arial" w:cs="Arial"/>
                <w:sz w:val="18"/>
              </w:rPr>
              <w:t>0.5</w:t>
            </w:r>
            <w:r w:rsidRPr="00B00EF3">
              <w:rPr>
                <w:rFonts w:ascii="Arial" w:hAnsi="Arial" w:cs="Arial"/>
                <w:sz w:val="18"/>
              </w:rPr>
              <w:t>)</w:t>
            </w:r>
          </w:p>
          <w:p w14:paraId="5DD47CD9" w14:textId="2895AFEA" w:rsidR="00B52F88" w:rsidRPr="00B00EF3" w:rsidRDefault="00B52F88" w:rsidP="00B52F88">
            <w:pPr>
              <w:jc w:val="center"/>
              <w:rPr>
                <w:rFonts w:ascii="Arial" w:hAnsi="Arial" w:cs="Arial"/>
                <w:sz w:val="18"/>
              </w:rPr>
            </w:pPr>
            <w:r>
              <w:rPr>
                <w:rFonts w:ascii="Arial" w:hAnsi="Arial" w:cs="Arial"/>
                <w:sz w:val="18"/>
              </w:rPr>
              <w:t>55</w:t>
            </w:r>
            <w:r w:rsidRPr="00B00EF3">
              <w:rPr>
                <w:rFonts w:ascii="Arial" w:hAnsi="Arial" w:cs="Arial"/>
                <w:sz w:val="18"/>
              </w:rPr>
              <w:t xml:space="preserve"> (12.</w:t>
            </w:r>
            <w:r>
              <w:rPr>
                <w:rFonts w:ascii="Arial" w:hAnsi="Arial" w:cs="Arial"/>
                <w:sz w:val="18"/>
              </w:rPr>
              <w:t>1</w:t>
            </w:r>
            <w:r w:rsidRPr="00B00EF3">
              <w:rPr>
                <w:rFonts w:ascii="Arial" w:hAnsi="Arial" w:cs="Arial"/>
                <w:sz w:val="18"/>
              </w:rPr>
              <w:t>)</w:t>
            </w:r>
          </w:p>
          <w:p w14:paraId="3BC66C65" w14:textId="118A6234" w:rsidR="00B52F88" w:rsidRPr="00B00EF3" w:rsidRDefault="00B52F88" w:rsidP="00B52F88">
            <w:pPr>
              <w:jc w:val="center"/>
              <w:rPr>
                <w:rFonts w:ascii="Arial" w:hAnsi="Arial" w:cs="Arial"/>
                <w:sz w:val="18"/>
              </w:rPr>
            </w:pPr>
            <w:r>
              <w:rPr>
                <w:rFonts w:ascii="Arial" w:hAnsi="Arial" w:cs="Arial"/>
                <w:sz w:val="18"/>
              </w:rPr>
              <w:t>39</w:t>
            </w:r>
            <w:r w:rsidRPr="00B00EF3">
              <w:rPr>
                <w:rFonts w:ascii="Arial" w:hAnsi="Arial" w:cs="Arial"/>
                <w:sz w:val="18"/>
              </w:rPr>
              <w:t xml:space="preserve"> (8.</w:t>
            </w:r>
            <w:r>
              <w:rPr>
                <w:rFonts w:ascii="Arial" w:hAnsi="Arial" w:cs="Arial"/>
                <w:sz w:val="18"/>
              </w:rPr>
              <w:t>6</w:t>
            </w:r>
            <w:r w:rsidRPr="00B00EF3">
              <w:rPr>
                <w:rFonts w:ascii="Arial" w:hAnsi="Arial" w:cs="Arial"/>
                <w:sz w:val="18"/>
              </w:rPr>
              <w:t>)</w:t>
            </w:r>
          </w:p>
        </w:tc>
      </w:tr>
      <w:tr w:rsidR="00B52F88" w:rsidRPr="00B00EF3" w14:paraId="43564002" w14:textId="77777777" w:rsidTr="00A037D3">
        <w:trPr>
          <w:gridAfter w:val="1"/>
          <w:wAfter w:w="61" w:type="dxa"/>
        </w:trPr>
        <w:tc>
          <w:tcPr>
            <w:tcW w:w="1701" w:type="dxa"/>
          </w:tcPr>
          <w:p w14:paraId="1C06CD69" w14:textId="77777777" w:rsidR="00B52F88" w:rsidRPr="00B00EF3" w:rsidRDefault="00B52F88" w:rsidP="00B52F88">
            <w:pPr>
              <w:rPr>
                <w:rFonts w:ascii="Arial" w:hAnsi="Arial" w:cs="Arial"/>
                <w:sz w:val="18"/>
              </w:rPr>
            </w:pPr>
            <w:r w:rsidRPr="00B00EF3">
              <w:rPr>
                <w:rFonts w:ascii="Arial" w:hAnsi="Arial" w:cs="Arial"/>
                <w:sz w:val="18"/>
              </w:rPr>
              <w:t>Living situation</w:t>
            </w:r>
          </w:p>
          <w:p w14:paraId="4C02E59F" w14:textId="77777777" w:rsidR="00B52F88" w:rsidRPr="00B00EF3" w:rsidRDefault="00B52F88" w:rsidP="00B52F88">
            <w:pPr>
              <w:rPr>
                <w:rFonts w:ascii="Arial" w:hAnsi="Arial" w:cs="Arial"/>
                <w:sz w:val="18"/>
              </w:rPr>
            </w:pPr>
            <w:r w:rsidRPr="00B00EF3">
              <w:rPr>
                <w:rFonts w:ascii="Arial" w:hAnsi="Arial" w:cs="Arial"/>
                <w:sz w:val="18"/>
              </w:rPr>
              <w:t xml:space="preserve">  Living alone</w:t>
            </w:r>
          </w:p>
          <w:p w14:paraId="262FF29C" w14:textId="77777777" w:rsidR="00B52F88" w:rsidRPr="00B00EF3" w:rsidRDefault="00B52F88" w:rsidP="00B52F88">
            <w:pPr>
              <w:rPr>
                <w:rFonts w:ascii="Arial" w:hAnsi="Arial" w:cs="Arial"/>
                <w:sz w:val="18"/>
              </w:rPr>
            </w:pPr>
            <w:r w:rsidRPr="00B00EF3">
              <w:rPr>
                <w:rFonts w:ascii="Arial" w:hAnsi="Arial" w:cs="Arial"/>
                <w:sz w:val="18"/>
              </w:rPr>
              <w:t xml:space="preserve">  Living with someone</w:t>
            </w:r>
          </w:p>
        </w:tc>
        <w:tc>
          <w:tcPr>
            <w:tcW w:w="1701" w:type="dxa"/>
          </w:tcPr>
          <w:p w14:paraId="4E0D7668" w14:textId="77777777" w:rsidR="00B52F88" w:rsidRPr="00B52F88" w:rsidRDefault="00B52F88" w:rsidP="00B52F88">
            <w:pPr>
              <w:jc w:val="center"/>
              <w:rPr>
                <w:rFonts w:ascii="Arial" w:hAnsi="Arial" w:cs="Arial"/>
                <w:sz w:val="18"/>
                <w:szCs w:val="18"/>
              </w:rPr>
            </w:pPr>
          </w:p>
          <w:p w14:paraId="75845F73"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13 (21.3)</w:t>
            </w:r>
          </w:p>
          <w:p w14:paraId="1C8A8AC0" w14:textId="724EBFA7" w:rsidR="00B52F88" w:rsidRPr="00B52F88" w:rsidRDefault="00B52F88" w:rsidP="00B52F88">
            <w:pPr>
              <w:jc w:val="center"/>
              <w:rPr>
                <w:rFonts w:ascii="Arial" w:hAnsi="Arial" w:cs="Arial"/>
                <w:sz w:val="18"/>
                <w:szCs w:val="18"/>
              </w:rPr>
            </w:pPr>
            <w:r w:rsidRPr="00B52F88">
              <w:rPr>
                <w:rFonts w:ascii="Arial" w:hAnsi="Arial" w:cs="Arial"/>
                <w:sz w:val="18"/>
                <w:szCs w:val="18"/>
              </w:rPr>
              <w:t>48 (78.7)</w:t>
            </w:r>
          </w:p>
        </w:tc>
        <w:tc>
          <w:tcPr>
            <w:tcW w:w="1599" w:type="dxa"/>
          </w:tcPr>
          <w:p w14:paraId="7D668809" w14:textId="77777777" w:rsidR="00B52F88" w:rsidRPr="00B32BBB" w:rsidRDefault="00B52F88" w:rsidP="00B52F88">
            <w:pPr>
              <w:jc w:val="center"/>
              <w:rPr>
                <w:rFonts w:ascii="Arial" w:hAnsi="Arial" w:cs="Arial"/>
                <w:sz w:val="18"/>
                <w:szCs w:val="18"/>
              </w:rPr>
            </w:pPr>
          </w:p>
          <w:p w14:paraId="617DC032" w14:textId="77777777" w:rsidR="00B52F88" w:rsidRPr="00B32BBB" w:rsidRDefault="00B52F88" w:rsidP="00B52F88">
            <w:pPr>
              <w:jc w:val="center"/>
              <w:rPr>
                <w:rFonts w:ascii="Arial" w:hAnsi="Arial" w:cs="Arial"/>
                <w:sz w:val="18"/>
                <w:szCs w:val="18"/>
              </w:rPr>
            </w:pPr>
            <w:r w:rsidRPr="00B32BBB">
              <w:rPr>
                <w:rFonts w:ascii="Arial" w:hAnsi="Arial" w:cs="Arial"/>
                <w:sz w:val="18"/>
                <w:szCs w:val="18"/>
              </w:rPr>
              <w:t>33 (15.1)</w:t>
            </w:r>
          </w:p>
          <w:p w14:paraId="08034E87" w14:textId="304332FB" w:rsidR="00B52F88" w:rsidRPr="00B32BBB" w:rsidRDefault="00B52F88" w:rsidP="00B52F88">
            <w:pPr>
              <w:jc w:val="center"/>
              <w:rPr>
                <w:rFonts w:ascii="Arial" w:hAnsi="Arial" w:cs="Arial"/>
                <w:sz w:val="18"/>
                <w:szCs w:val="18"/>
              </w:rPr>
            </w:pPr>
            <w:r w:rsidRPr="00B32BBB">
              <w:rPr>
                <w:rFonts w:ascii="Arial" w:hAnsi="Arial" w:cs="Arial"/>
                <w:sz w:val="18"/>
                <w:szCs w:val="18"/>
              </w:rPr>
              <w:t>185 (84.9)</w:t>
            </w:r>
          </w:p>
        </w:tc>
        <w:tc>
          <w:tcPr>
            <w:tcW w:w="1378" w:type="dxa"/>
          </w:tcPr>
          <w:p w14:paraId="43FF0B4C" w14:textId="77777777" w:rsidR="00B52F88" w:rsidRPr="00B32BBB" w:rsidRDefault="00B52F88" w:rsidP="00B52F88">
            <w:pPr>
              <w:jc w:val="center"/>
              <w:rPr>
                <w:rFonts w:ascii="Arial" w:hAnsi="Arial" w:cs="Arial"/>
                <w:sz w:val="18"/>
                <w:szCs w:val="18"/>
              </w:rPr>
            </w:pPr>
          </w:p>
          <w:p w14:paraId="2A61449E" w14:textId="77777777" w:rsidR="00B52F88" w:rsidRPr="00B32BBB" w:rsidRDefault="00B52F88" w:rsidP="00B52F88">
            <w:pPr>
              <w:jc w:val="center"/>
              <w:rPr>
                <w:rFonts w:ascii="Arial" w:hAnsi="Arial" w:cs="Arial"/>
                <w:sz w:val="18"/>
                <w:szCs w:val="18"/>
              </w:rPr>
            </w:pPr>
            <w:r w:rsidRPr="00B32BBB">
              <w:rPr>
                <w:rFonts w:ascii="Arial" w:hAnsi="Arial" w:cs="Arial"/>
                <w:sz w:val="18"/>
                <w:szCs w:val="18"/>
              </w:rPr>
              <w:t>17 (26.2)</w:t>
            </w:r>
          </w:p>
          <w:p w14:paraId="7405B8CE" w14:textId="70922B5A" w:rsidR="00B52F88" w:rsidRPr="00B32BBB" w:rsidRDefault="00B52F88" w:rsidP="00B52F88">
            <w:pPr>
              <w:jc w:val="center"/>
              <w:rPr>
                <w:rFonts w:ascii="Arial" w:hAnsi="Arial" w:cs="Arial"/>
                <w:sz w:val="18"/>
                <w:szCs w:val="18"/>
              </w:rPr>
            </w:pPr>
            <w:r w:rsidRPr="00B32BBB">
              <w:rPr>
                <w:rFonts w:ascii="Arial" w:hAnsi="Arial" w:cs="Arial"/>
                <w:sz w:val="18"/>
                <w:szCs w:val="18"/>
              </w:rPr>
              <w:t>48 (73.8)</w:t>
            </w:r>
          </w:p>
        </w:tc>
        <w:tc>
          <w:tcPr>
            <w:tcW w:w="1417" w:type="dxa"/>
          </w:tcPr>
          <w:p w14:paraId="3F946819" w14:textId="77777777" w:rsidR="00B52F88" w:rsidRPr="00B52F88" w:rsidRDefault="00B52F88" w:rsidP="00B52F88">
            <w:pPr>
              <w:jc w:val="center"/>
              <w:rPr>
                <w:rFonts w:ascii="Arial" w:hAnsi="Arial" w:cs="Arial"/>
                <w:sz w:val="18"/>
                <w:szCs w:val="18"/>
              </w:rPr>
            </w:pPr>
          </w:p>
          <w:p w14:paraId="3B6A608C"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79 (35.6)</w:t>
            </w:r>
          </w:p>
          <w:p w14:paraId="0978BD79" w14:textId="7B06B00D" w:rsidR="00B52F88" w:rsidRPr="00B52F88" w:rsidRDefault="00B52F88" w:rsidP="00B52F88">
            <w:pPr>
              <w:jc w:val="center"/>
              <w:rPr>
                <w:rFonts w:ascii="Arial" w:hAnsi="Arial" w:cs="Arial"/>
                <w:sz w:val="18"/>
                <w:szCs w:val="18"/>
              </w:rPr>
            </w:pPr>
            <w:r w:rsidRPr="00B52F88">
              <w:rPr>
                <w:rFonts w:ascii="Arial" w:hAnsi="Arial" w:cs="Arial"/>
                <w:sz w:val="18"/>
                <w:szCs w:val="18"/>
              </w:rPr>
              <w:t>143 (64.4)</w:t>
            </w:r>
          </w:p>
        </w:tc>
        <w:tc>
          <w:tcPr>
            <w:tcW w:w="1417" w:type="dxa"/>
          </w:tcPr>
          <w:p w14:paraId="78097A15" w14:textId="77777777" w:rsidR="00B52F88" w:rsidRPr="00B00EF3" w:rsidRDefault="00B52F88" w:rsidP="00B52F88">
            <w:pPr>
              <w:jc w:val="center"/>
              <w:rPr>
                <w:rFonts w:ascii="Arial" w:hAnsi="Arial" w:cs="Arial"/>
                <w:sz w:val="18"/>
              </w:rPr>
            </w:pPr>
          </w:p>
          <w:p w14:paraId="1E9D8180" w14:textId="04E60F3B" w:rsidR="00B52F88" w:rsidRPr="00B00EF3" w:rsidRDefault="00B52F88" w:rsidP="00B52F88">
            <w:pPr>
              <w:jc w:val="center"/>
              <w:rPr>
                <w:rFonts w:ascii="Arial" w:hAnsi="Arial" w:cs="Arial"/>
                <w:sz w:val="18"/>
              </w:rPr>
            </w:pPr>
            <w:r w:rsidRPr="00B00EF3">
              <w:rPr>
                <w:rFonts w:ascii="Arial" w:hAnsi="Arial" w:cs="Arial"/>
                <w:sz w:val="18"/>
              </w:rPr>
              <w:t>1</w:t>
            </w:r>
            <w:r>
              <w:rPr>
                <w:rFonts w:ascii="Arial" w:hAnsi="Arial" w:cs="Arial"/>
                <w:sz w:val="18"/>
              </w:rPr>
              <w:t>42</w:t>
            </w:r>
            <w:r w:rsidRPr="00B00EF3">
              <w:rPr>
                <w:rFonts w:ascii="Arial" w:hAnsi="Arial" w:cs="Arial"/>
                <w:sz w:val="18"/>
              </w:rPr>
              <w:t xml:space="preserve"> (25.</w:t>
            </w:r>
            <w:r>
              <w:rPr>
                <w:rFonts w:ascii="Arial" w:hAnsi="Arial" w:cs="Arial"/>
                <w:sz w:val="18"/>
              </w:rPr>
              <w:t>1</w:t>
            </w:r>
            <w:r w:rsidRPr="00B00EF3">
              <w:rPr>
                <w:rFonts w:ascii="Arial" w:hAnsi="Arial" w:cs="Arial"/>
                <w:sz w:val="18"/>
              </w:rPr>
              <w:t>)</w:t>
            </w:r>
          </w:p>
          <w:p w14:paraId="1B7DC75F" w14:textId="08E2EF9A" w:rsidR="00B52F88" w:rsidRPr="00B00EF3" w:rsidRDefault="00B52F88" w:rsidP="00B52F88">
            <w:pPr>
              <w:jc w:val="center"/>
              <w:rPr>
                <w:rFonts w:ascii="Arial" w:hAnsi="Arial" w:cs="Arial"/>
                <w:sz w:val="18"/>
              </w:rPr>
            </w:pPr>
            <w:r w:rsidRPr="00B00EF3">
              <w:rPr>
                <w:rFonts w:ascii="Arial" w:hAnsi="Arial" w:cs="Arial"/>
                <w:sz w:val="18"/>
              </w:rPr>
              <w:t>4</w:t>
            </w:r>
            <w:r>
              <w:rPr>
                <w:rFonts w:ascii="Arial" w:hAnsi="Arial" w:cs="Arial"/>
                <w:sz w:val="18"/>
              </w:rPr>
              <w:t>24</w:t>
            </w:r>
            <w:r w:rsidRPr="00B00EF3">
              <w:rPr>
                <w:rFonts w:ascii="Arial" w:hAnsi="Arial" w:cs="Arial"/>
                <w:sz w:val="18"/>
              </w:rPr>
              <w:t xml:space="preserve"> (74.</w:t>
            </w:r>
            <w:r>
              <w:rPr>
                <w:rFonts w:ascii="Arial" w:hAnsi="Arial" w:cs="Arial"/>
                <w:sz w:val="18"/>
              </w:rPr>
              <w:t>9</w:t>
            </w:r>
            <w:r w:rsidRPr="00B00EF3">
              <w:rPr>
                <w:rFonts w:ascii="Arial" w:hAnsi="Arial" w:cs="Arial"/>
                <w:sz w:val="18"/>
              </w:rPr>
              <w:t>)</w:t>
            </w:r>
          </w:p>
        </w:tc>
      </w:tr>
      <w:tr w:rsidR="00F70062" w:rsidRPr="00B00EF3" w14:paraId="0BB6270D" w14:textId="77777777" w:rsidTr="00A037D3">
        <w:trPr>
          <w:gridAfter w:val="1"/>
          <w:wAfter w:w="61" w:type="dxa"/>
        </w:trPr>
        <w:tc>
          <w:tcPr>
            <w:tcW w:w="1701" w:type="dxa"/>
          </w:tcPr>
          <w:p w14:paraId="5EE264EA" w14:textId="77777777" w:rsidR="00F70062" w:rsidRPr="00B00EF3" w:rsidRDefault="00F70062" w:rsidP="00A037D3">
            <w:pPr>
              <w:rPr>
                <w:rFonts w:ascii="Arial" w:hAnsi="Arial" w:cs="Arial"/>
                <w:sz w:val="18"/>
              </w:rPr>
            </w:pPr>
            <w:r w:rsidRPr="00B00EF3">
              <w:rPr>
                <w:rFonts w:ascii="Arial" w:hAnsi="Arial" w:cs="Arial"/>
                <w:sz w:val="18"/>
              </w:rPr>
              <w:t>Employment status</w:t>
            </w:r>
          </w:p>
          <w:p w14:paraId="2E465D32" w14:textId="77777777" w:rsidR="00F70062" w:rsidRPr="00B00EF3" w:rsidRDefault="00F70062" w:rsidP="00A037D3">
            <w:pPr>
              <w:rPr>
                <w:rFonts w:ascii="Arial" w:hAnsi="Arial" w:cs="Arial"/>
                <w:sz w:val="18"/>
              </w:rPr>
            </w:pPr>
            <w:r w:rsidRPr="00B00EF3">
              <w:rPr>
                <w:rFonts w:ascii="Arial" w:hAnsi="Arial" w:cs="Arial"/>
                <w:sz w:val="18"/>
              </w:rPr>
              <w:t xml:space="preserve">  Full-time</w:t>
            </w:r>
          </w:p>
          <w:p w14:paraId="5C720820" w14:textId="77777777" w:rsidR="00F70062" w:rsidRPr="00B00EF3" w:rsidRDefault="00F70062" w:rsidP="00A037D3">
            <w:pPr>
              <w:rPr>
                <w:rFonts w:ascii="Arial" w:hAnsi="Arial" w:cs="Arial"/>
                <w:sz w:val="18"/>
              </w:rPr>
            </w:pPr>
            <w:r w:rsidRPr="00B00EF3">
              <w:rPr>
                <w:rFonts w:ascii="Arial" w:hAnsi="Arial" w:cs="Arial"/>
                <w:sz w:val="18"/>
              </w:rPr>
              <w:t xml:space="preserve">  Part-time</w:t>
            </w:r>
          </w:p>
          <w:p w14:paraId="1DAE9FF9" w14:textId="77777777" w:rsidR="00F70062" w:rsidRPr="00B00EF3" w:rsidRDefault="00F70062" w:rsidP="00A037D3">
            <w:pPr>
              <w:rPr>
                <w:rFonts w:ascii="Arial" w:hAnsi="Arial" w:cs="Arial"/>
                <w:sz w:val="18"/>
              </w:rPr>
            </w:pPr>
            <w:r w:rsidRPr="00B00EF3">
              <w:rPr>
                <w:rFonts w:ascii="Arial" w:hAnsi="Arial" w:cs="Arial"/>
                <w:sz w:val="18"/>
              </w:rPr>
              <w:t xml:space="preserve">  Unemployed</w:t>
            </w:r>
          </w:p>
          <w:p w14:paraId="4F3BDFF5" w14:textId="77777777" w:rsidR="00F70062" w:rsidRPr="00B00EF3" w:rsidRDefault="00F70062" w:rsidP="00A037D3">
            <w:pPr>
              <w:rPr>
                <w:rFonts w:ascii="Arial" w:hAnsi="Arial" w:cs="Arial"/>
                <w:sz w:val="18"/>
              </w:rPr>
            </w:pPr>
            <w:r w:rsidRPr="00B00EF3">
              <w:rPr>
                <w:rFonts w:ascii="Arial" w:hAnsi="Arial" w:cs="Arial"/>
                <w:sz w:val="18"/>
              </w:rPr>
              <w:t xml:space="preserve">  Retired</w:t>
            </w:r>
          </w:p>
          <w:p w14:paraId="470BA54D" w14:textId="77777777" w:rsidR="00F70062" w:rsidRPr="00B00EF3" w:rsidRDefault="00F70062" w:rsidP="00A037D3">
            <w:pPr>
              <w:rPr>
                <w:rFonts w:ascii="Arial" w:hAnsi="Arial" w:cs="Arial"/>
                <w:sz w:val="18"/>
              </w:rPr>
            </w:pPr>
            <w:r w:rsidRPr="00B00EF3">
              <w:rPr>
                <w:rFonts w:ascii="Arial" w:hAnsi="Arial" w:cs="Arial"/>
                <w:sz w:val="18"/>
              </w:rPr>
              <w:t xml:space="preserve">  Not wish to say</w:t>
            </w:r>
          </w:p>
        </w:tc>
        <w:tc>
          <w:tcPr>
            <w:tcW w:w="1701" w:type="dxa"/>
          </w:tcPr>
          <w:p w14:paraId="24D15902" w14:textId="77777777" w:rsidR="00F70062" w:rsidRPr="00445A9F" w:rsidRDefault="00F70062" w:rsidP="00A037D3">
            <w:pPr>
              <w:jc w:val="center"/>
              <w:rPr>
                <w:rFonts w:ascii="Arial" w:hAnsi="Arial" w:cs="Arial"/>
                <w:sz w:val="18"/>
              </w:rPr>
            </w:pPr>
          </w:p>
          <w:p w14:paraId="3A635195" w14:textId="77777777" w:rsidR="00127148" w:rsidRPr="00445A9F" w:rsidRDefault="00127148" w:rsidP="00A037D3">
            <w:pPr>
              <w:jc w:val="center"/>
              <w:rPr>
                <w:rFonts w:ascii="Arial" w:hAnsi="Arial" w:cs="Arial"/>
                <w:sz w:val="18"/>
              </w:rPr>
            </w:pPr>
          </w:p>
          <w:p w14:paraId="0E5079FF" w14:textId="1CD0ECB3" w:rsidR="00F70062" w:rsidRPr="00445A9F" w:rsidRDefault="00F70062" w:rsidP="00A037D3">
            <w:pPr>
              <w:jc w:val="center"/>
              <w:rPr>
                <w:rFonts w:ascii="Arial" w:hAnsi="Arial" w:cs="Arial"/>
                <w:sz w:val="18"/>
              </w:rPr>
            </w:pPr>
            <w:r w:rsidRPr="00445A9F">
              <w:rPr>
                <w:rFonts w:ascii="Arial" w:hAnsi="Arial" w:cs="Arial"/>
                <w:sz w:val="18"/>
              </w:rPr>
              <w:t>2 (3.</w:t>
            </w:r>
            <w:r w:rsidR="00F97B5E" w:rsidRPr="00445A9F">
              <w:rPr>
                <w:rFonts w:ascii="Arial" w:hAnsi="Arial" w:cs="Arial"/>
                <w:sz w:val="18"/>
              </w:rPr>
              <w:t>3</w:t>
            </w:r>
            <w:r w:rsidRPr="00445A9F">
              <w:rPr>
                <w:rFonts w:ascii="Arial" w:hAnsi="Arial" w:cs="Arial"/>
                <w:sz w:val="18"/>
              </w:rPr>
              <w:t>)</w:t>
            </w:r>
          </w:p>
          <w:p w14:paraId="4064DE10" w14:textId="1615626D" w:rsidR="00F70062" w:rsidRPr="00445A9F" w:rsidRDefault="00F70062" w:rsidP="00A037D3">
            <w:pPr>
              <w:jc w:val="center"/>
              <w:rPr>
                <w:rFonts w:ascii="Arial" w:hAnsi="Arial" w:cs="Arial"/>
                <w:sz w:val="18"/>
              </w:rPr>
            </w:pPr>
            <w:r w:rsidRPr="00445A9F">
              <w:rPr>
                <w:rFonts w:ascii="Arial" w:hAnsi="Arial" w:cs="Arial"/>
                <w:sz w:val="18"/>
              </w:rPr>
              <w:t>2 (3.</w:t>
            </w:r>
            <w:r w:rsidR="00F97B5E" w:rsidRPr="00445A9F">
              <w:rPr>
                <w:rFonts w:ascii="Arial" w:hAnsi="Arial" w:cs="Arial"/>
                <w:sz w:val="18"/>
              </w:rPr>
              <w:t>3</w:t>
            </w:r>
            <w:r w:rsidRPr="00445A9F">
              <w:rPr>
                <w:rFonts w:ascii="Arial" w:hAnsi="Arial" w:cs="Arial"/>
                <w:sz w:val="18"/>
              </w:rPr>
              <w:t>)</w:t>
            </w:r>
          </w:p>
          <w:p w14:paraId="78A7EF04" w14:textId="4D6DA971" w:rsidR="00F70062" w:rsidRPr="00445A9F" w:rsidRDefault="00F70062" w:rsidP="00A037D3">
            <w:pPr>
              <w:jc w:val="center"/>
              <w:rPr>
                <w:rFonts w:ascii="Arial" w:hAnsi="Arial" w:cs="Arial"/>
                <w:sz w:val="18"/>
              </w:rPr>
            </w:pPr>
            <w:r w:rsidRPr="00445A9F">
              <w:rPr>
                <w:rFonts w:ascii="Arial" w:hAnsi="Arial" w:cs="Arial"/>
                <w:sz w:val="18"/>
              </w:rPr>
              <w:t>1 (1.</w:t>
            </w:r>
            <w:r w:rsidR="00F97B5E" w:rsidRPr="00445A9F">
              <w:rPr>
                <w:rFonts w:ascii="Arial" w:hAnsi="Arial" w:cs="Arial"/>
                <w:sz w:val="18"/>
              </w:rPr>
              <w:t>7</w:t>
            </w:r>
            <w:r w:rsidRPr="00445A9F">
              <w:rPr>
                <w:rFonts w:ascii="Arial" w:hAnsi="Arial" w:cs="Arial"/>
                <w:sz w:val="18"/>
              </w:rPr>
              <w:t>)</w:t>
            </w:r>
          </w:p>
          <w:p w14:paraId="5D89592C" w14:textId="030A3696" w:rsidR="00F70062" w:rsidRPr="00445A9F" w:rsidRDefault="00F70062" w:rsidP="00A037D3">
            <w:pPr>
              <w:jc w:val="center"/>
              <w:rPr>
                <w:rFonts w:ascii="Arial" w:hAnsi="Arial" w:cs="Arial"/>
                <w:sz w:val="18"/>
              </w:rPr>
            </w:pPr>
            <w:r w:rsidRPr="00445A9F">
              <w:rPr>
                <w:rFonts w:ascii="Arial" w:hAnsi="Arial" w:cs="Arial"/>
                <w:sz w:val="18"/>
              </w:rPr>
              <w:t>5</w:t>
            </w:r>
            <w:r w:rsidR="00F97B5E" w:rsidRPr="00445A9F">
              <w:rPr>
                <w:rFonts w:ascii="Arial" w:hAnsi="Arial" w:cs="Arial"/>
                <w:sz w:val="18"/>
              </w:rPr>
              <w:t>3</w:t>
            </w:r>
            <w:r w:rsidRPr="00445A9F">
              <w:rPr>
                <w:rFonts w:ascii="Arial" w:hAnsi="Arial" w:cs="Arial"/>
                <w:sz w:val="18"/>
              </w:rPr>
              <w:t xml:space="preserve"> (88.</w:t>
            </w:r>
            <w:r w:rsidR="00F97B5E" w:rsidRPr="00445A9F">
              <w:rPr>
                <w:rFonts w:ascii="Arial" w:hAnsi="Arial" w:cs="Arial"/>
                <w:sz w:val="18"/>
              </w:rPr>
              <w:t>3</w:t>
            </w:r>
            <w:r w:rsidRPr="00445A9F">
              <w:rPr>
                <w:rFonts w:ascii="Arial" w:hAnsi="Arial" w:cs="Arial"/>
                <w:sz w:val="18"/>
              </w:rPr>
              <w:t>)</w:t>
            </w:r>
          </w:p>
          <w:p w14:paraId="792EDC66" w14:textId="39DCC680" w:rsidR="00F70062" w:rsidRPr="00445A9F" w:rsidRDefault="00F70062" w:rsidP="00A037D3">
            <w:pPr>
              <w:jc w:val="center"/>
              <w:rPr>
                <w:rFonts w:ascii="Arial" w:hAnsi="Arial" w:cs="Arial"/>
                <w:sz w:val="18"/>
              </w:rPr>
            </w:pPr>
            <w:r w:rsidRPr="00445A9F">
              <w:rPr>
                <w:rFonts w:ascii="Arial" w:hAnsi="Arial" w:cs="Arial"/>
                <w:sz w:val="18"/>
              </w:rPr>
              <w:t>2 (3.</w:t>
            </w:r>
            <w:r w:rsidR="00F97B5E" w:rsidRPr="00445A9F">
              <w:rPr>
                <w:rFonts w:ascii="Arial" w:hAnsi="Arial" w:cs="Arial"/>
                <w:sz w:val="18"/>
              </w:rPr>
              <w:t>3</w:t>
            </w:r>
            <w:r w:rsidRPr="00445A9F">
              <w:rPr>
                <w:rFonts w:ascii="Arial" w:hAnsi="Arial" w:cs="Arial"/>
                <w:sz w:val="18"/>
              </w:rPr>
              <w:t>)</w:t>
            </w:r>
          </w:p>
        </w:tc>
        <w:tc>
          <w:tcPr>
            <w:tcW w:w="1599" w:type="dxa"/>
          </w:tcPr>
          <w:p w14:paraId="15CA3915" w14:textId="77777777" w:rsidR="00F70062" w:rsidRPr="00B32BBB" w:rsidRDefault="00F70062" w:rsidP="00A037D3">
            <w:pPr>
              <w:jc w:val="center"/>
              <w:rPr>
                <w:rFonts w:ascii="Arial" w:hAnsi="Arial" w:cs="Arial"/>
                <w:sz w:val="18"/>
              </w:rPr>
            </w:pPr>
          </w:p>
          <w:p w14:paraId="4940EFD6" w14:textId="77777777" w:rsidR="00127148" w:rsidRPr="00B32BBB" w:rsidRDefault="00127148" w:rsidP="00A037D3">
            <w:pPr>
              <w:jc w:val="center"/>
              <w:rPr>
                <w:rFonts w:ascii="Arial" w:hAnsi="Arial" w:cs="Arial"/>
                <w:sz w:val="18"/>
              </w:rPr>
            </w:pPr>
          </w:p>
          <w:p w14:paraId="09FC9035" w14:textId="551BE88A" w:rsidR="00F70062" w:rsidRPr="00B32BBB" w:rsidRDefault="00F70062" w:rsidP="00A037D3">
            <w:pPr>
              <w:jc w:val="center"/>
              <w:rPr>
                <w:rFonts w:ascii="Arial" w:hAnsi="Arial" w:cs="Arial"/>
                <w:sz w:val="18"/>
              </w:rPr>
            </w:pPr>
            <w:r w:rsidRPr="00B32BBB">
              <w:rPr>
                <w:rFonts w:ascii="Arial" w:hAnsi="Arial" w:cs="Arial"/>
                <w:sz w:val="18"/>
              </w:rPr>
              <w:t>4</w:t>
            </w:r>
            <w:r w:rsidR="00446494" w:rsidRPr="00B32BBB">
              <w:rPr>
                <w:rFonts w:ascii="Arial" w:hAnsi="Arial" w:cs="Arial"/>
                <w:sz w:val="18"/>
              </w:rPr>
              <w:t>2</w:t>
            </w:r>
            <w:r w:rsidRPr="00B32BBB">
              <w:rPr>
                <w:rFonts w:ascii="Arial" w:hAnsi="Arial" w:cs="Arial"/>
                <w:sz w:val="18"/>
              </w:rPr>
              <w:t xml:space="preserve"> (19.</w:t>
            </w:r>
            <w:r w:rsidR="00446494" w:rsidRPr="00B32BBB">
              <w:rPr>
                <w:rFonts w:ascii="Arial" w:hAnsi="Arial" w:cs="Arial"/>
                <w:sz w:val="18"/>
              </w:rPr>
              <w:t>3</w:t>
            </w:r>
            <w:r w:rsidRPr="00B32BBB">
              <w:rPr>
                <w:rFonts w:ascii="Arial" w:hAnsi="Arial" w:cs="Arial"/>
                <w:sz w:val="18"/>
              </w:rPr>
              <w:t>)</w:t>
            </w:r>
          </w:p>
          <w:p w14:paraId="3934EFDC" w14:textId="76930C39" w:rsidR="00F70062" w:rsidRPr="00B32BBB" w:rsidRDefault="00F70062" w:rsidP="00A037D3">
            <w:pPr>
              <w:jc w:val="center"/>
              <w:rPr>
                <w:rFonts w:ascii="Arial" w:hAnsi="Arial" w:cs="Arial"/>
                <w:sz w:val="18"/>
              </w:rPr>
            </w:pPr>
            <w:r w:rsidRPr="00B32BBB">
              <w:rPr>
                <w:rFonts w:ascii="Arial" w:hAnsi="Arial" w:cs="Arial"/>
                <w:sz w:val="18"/>
              </w:rPr>
              <w:t>43 (1</w:t>
            </w:r>
            <w:r w:rsidR="00446494" w:rsidRPr="00B32BBB">
              <w:rPr>
                <w:rFonts w:ascii="Arial" w:hAnsi="Arial" w:cs="Arial"/>
                <w:sz w:val="18"/>
              </w:rPr>
              <w:t>9.3</w:t>
            </w:r>
            <w:r w:rsidRPr="00B32BBB">
              <w:rPr>
                <w:rFonts w:ascii="Arial" w:hAnsi="Arial" w:cs="Arial"/>
                <w:sz w:val="18"/>
              </w:rPr>
              <w:t>)</w:t>
            </w:r>
          </w:p>
          <w:p w14:paraId="3EE2A403" w14:textId="387D880C" w:rsidR="00F70062" w:rsidRPr="00B32BBB" w:rsidRDefault="00F70062" w:rsidP="00A037D3">
            <w:pPr>
              <w:jc w:val="center"/>
              <w:rPr>
                <w:rFonts w:ascii="Arial" w:hAnsi="Arial" w:cs="Arial"/>
                <w:sz w:val="18"/>
              </w:rPr>
            </w:pPr>
            <w:r w:rsidRPr="00B32BBB">
              <w:rPr>
                <w:rFonts w:ascii="Arial" w:hAnsi="Arial" w:cs="Arial"/>
                <w:sz w:val="18"/>
              </w:rPr>
              <w:t>2</w:t>
            </w:r>
            <w:r w:rsidR="00446494" w:rsidRPr="00B32BBB">
              <w:rPr>
                <w:rFonts w:ascii="Arial" w:hAnsi="Arial" w:cs="Arial"/>
                <w:sz w:val="18"/>
              </w:rPr>
              <w:t>4</w:t>
            </w:r>
            <w:r w:rsidRPr="00B32BBB">
              <w:rPr>
                <w:rFonts w:ascii="Arial" w:hAnsi="Arial" w:cs="Arial"/>
                <w:sz w:val="18"/>
              </w:rPr>
              <w:t xml:space="preserve"> (11.</w:t>
            </w:r>
            <w:r w:rsidR="00446494" w:rsidRPr="00B32BBB">
              <w:rPr>
                <w:rFonts w:ascii="Arial" w:hAnsi="Arial" w:cs="Arial"/>
                <w:sz w:val="18"/>
              </w:rPr>
              <w:t>0</w:t>
            </w:r>
            <w:r w:rsidRPr="00B32BBB">
              <w:rPr>
                <w:rFonts w:ascii="Arial" w:hAnsi="Arial" w:cs="Arial"/>
                <w:sz w:val="18"/>
              </w:rPr>
              <w:t>)</w:t>
            </w:r>
          </w:p>
          <w:p w14:paraId="17BADFCF" w14:textId="2C073D73" w:rsidR="00F70062" w:rsidRPr="00B32BBB" w:rsidRDefault="00F70062" w:rsidP="00A037D3">
            <w:pPr>
              <w:jc w:val="center"/>
              <w:rPr>
                <w:rFonts w:ascii="Arial" w:hAnsi="Arial" w:cs="Arial"/>
                <w:sz w:val="18"/>
              </w:rPr>
            </w:pPr>
            <w:r w:rsidRPr="00B32BBB">
              <w:rPr>
                <w:rFonts w:ascii="Arial" w:hAnsi="Arial" w:cs="Arial"/>
                <w:sz w:val="18"/>
              </w:rPr>
              <w:t>1</w:t>
            </w:r>
            <w:r w:rsidR="00446494" w:rsidRPr="00B32BBB">
              <w:rPr>
                <w:rFonts w:ascii="Arial" w:hAnsi="Arial" w:cs="Arial"/>
                <w:sz w:val="18"/>
              </w:rPr>
              <w:t>08</w:t>
            </w:r>
            <w:r w:rsidRPr="00B32BBB">
              <w:rPr>
                <w:rFonts w:ascii="Arial" w:hAnsi="Arial" w:cs="Arial"/>
                <w:sz w:val="18"/>
              </w:rPr>
              <w:t xml:space="preserve"> (</w:t>
            </w:r>
            <w:r w:rsidR="00446494" w:rsidRPr="00B32BBB">
              <w:rPr>
                <w:rFonts w:ascii="Arial" w:hAnsi="Arial" w:cs="Arial"/>
                <w:sz w:val="18"/>
              </w:rPr>
              <w:t>49.5</w:t>
            </w:r>
            <w:r w:rsidRPr="00B32BBB">
              <w:rPr>
                <w:rFonts w:ascii="Arial" w:hAnsi="Arial" w:cs="Arial"/>
                <w:sz w:val="18"/>
              </w:rPr>
              <w:t>)</w:t>
            </w:r>
          </w:p>
          <w:p w14:paraId="7728BE12" w14:textId="05330886" w:rsidR="00F70062" w:rsidRPr="00B32BBB" w:rsidRDefault="00446494" w:rsidP="00A037D3">
            <w:pPr>
              <w:jc w:val="center"/>
              <w:rPr>
                <w:rFonts w:ascii="Arial" w:hAnsi="Arial" w:cs="Arial"/>
                <w:sz w:val="18"/>
              </w:rPr>
            </w:pPr>
            <w:r w:rsidRPr="00B32BBB">
              <w:rPr>
                <w:rFonts w:ascii="Arial" w:hAnsi="Arial" w:cs="Arial"/>
                <w:sz w:val="18"/>
              </w:rPr>
              <w:t>2</w:t>
            </w:r>
            <w:r w:rsidR="00F70062" w:rsidRPr="00B32BBB">
              <w:rPr>
                <w:rFonts w:ascii="Arial" w:hAnsi="Arial" w:cs="Arial"/>
                <w:sz w:val="18"/>
              </w:rPr>
              <w:t xml:space="preserve"> (</w:t>
            </w:r>
            <w:r w:rsidRPr="00B32BBB">
              <w:rPr>
                <w:rFonts w:ascii="Arial" w:hAnsi="Arial" w:cs="Arial"/>
                <w:sz w:val="18"/>
              </w:rPr>
              <w:t>0.9</w:t>
            </w:r>
            <w:r w:rsidR="00F70062" w:rsidRPr="00B32BBB">
              <w:rPr>
                <w:rFonts w:ascii="Arial" w:hAnsi="Arial" w:cs="Arial"/>
                <w:sz w:val="18"/>
              </w:rPr>
              <w:t>)</w:t>
            </w:r>
          </w:p>
        </w:tc>
        <w:tc>
          <w:tcPr>
            <w:tcW w:w="1378" w:type="dxa"/>
          </w:tcPr>
          <w:p w14:paraId="7110A961" w14:textId="77777777" w:rsidR="00F70062" w:rsidRPr="00B32BBB" w:rsidRDefault="00F70062" w:rsidP="00A037D3">
            <w:pPr>
              <w:jc w:val="center"/>
              <w:rPr>
                <w:rFonts w:ascii="Arial" w:hAnsi="Arial" w:cs="Arial"/>
                <w:sz w:val="18"/>
              </w:rPr>
            </w:pPr>
          </w:p>
          <w:p w14:paraId="6915FF33" w14:textId="77777777" w:rsidR="00127148" w:rsidRPr="00B32BBB" w:rsidRDefault="00127148" w:rsidP="00A037D3">
            <w:pPr>
              <w:jc w:val="center"/>
              <w:rPr>
                <w:rFonts w:ascii="Arial" w:hAnsi="Arial" w:cs="Arial"/>
                <w:sz w:val="18"/>
              </w:rPr>
            </w:pPr>
          </w:p>
          <w:p w14:paraId="273EDD5C" w14:textId="40FD3E2E" w:rsidR="00F70062" w:rsidRPr="00B32BBB" w:rsidRDefault="00F70062" w:rsidP="00A037D3">
            <w:pPr>
              <w:jc w:val="center"/>
              <w:rPr>
                <w:rFonts w:ascii="Arial" w:hAnsi="Arial" w:cs="Arial"/>
                <w:sz w:val="18"/>
              </w:rPr>
            </w:pPr>
            <w:r w:rsidRPr="00B32BBB">
              <w:rPr>
                <w:rFonts w:ascii="Arial" w:hAnsi="Arial" w:cs="Arial"/>
                <w:sz w:val="18"/>
              </w:rPr>
              <w:t>1</w:t>
            </w:r>
            <w:r w:rsidR="00B75CC7" w:rsidRPr="00B32BBB">
              <w:rPr>
                <w:rFonts w:ascii="Arial" w:hAnsi="Arial" w:cs="Arial"/>
                <w:sz w:val="18"/>
              </w:rPr>
              <w:t>1</w:t>
            </w:r>
            <w:r w:rsidRPr="00B32BBB">
              <w:rPr>
                <w:rFonts w:ascii="Arial" w:hAnsi="Arial" w:cs="Arial"/>
                <w:sz w:val="18"/>
              </w:rPr>
              <w:t xml:space="preserve"> (1</w:t>
            </w:r>
            <w:r w:rsidR="00B75CC7" w:rsidRPr="00B32BBB">
              <w:rPr>
                <w:rFonts w:ascii="Arial" w:hAnsi="Arial" w:cs="Arial"/>
                <w:sz w:val="18"/>
              </w:rPr>
              <w:t>6.9</w:t>
            </w:r>
            <w:r w:rsidRPr="00B32BBB">
              <w:rPr>
                <w:rFonts w:ascii="Arial" w:hAnsi="Arial" w:cs="Arial"/>
                <w:sz w:val="18"/>
              </w:rPr>
              <w:t>)</w:t>
            </w:r>
          </w:p>
          <w:p w14:paraId="31BED449" w14:textId="2B434277" w:rsidR="00F70062" w:rsidRPr="00B32BBB" w:rsidRDefault="00B75CC7" w:rsidP="00A037D3">
            <w:pPr>
              <w:jc w:val="center"/>
              <w:rPr>
                <w:rFonts w:ascii="Arial" w:hAnsi="Arial" w:cs="Arial"/>
                <w:sz w:val="18"/>
              </w:rPr>
            </w:pPr>
            <w:r w:rsidRPr="00B32BBB">
              <w:rPr>
                <w:rFonts w:ascii="Arial" w:hAnsi="Arial" w:cs="Arial"/>
                <w:sz w:val="18"/>
              </w:rPr>
              <w:t>4</w:t>
            </w:r>
            <w:r w:rsidR="00F70062" w:rsidRPr="00B32BBB">
              <w:rPr>
                <w:rFonts w:ascii="Arial" w:hAnsi="Arial" w:cs="Arial"/>
                <w:sz w:val="18"/>
              </w:rPr>
              <w:t xml:space="preserve"> (</w:t>
            </w:r>
            <w:r w:rsidRPr="00B32BBB">
              <w:rPr>
                <w:rFonts w:ascii="Arial" w:hAnsi="Arial" w:cs="Arial"/>
                <w:sz w:val="18"/>
              </w:rPr>
              <w:t>6</w:t>
            </w:r>
            <w:r w:rsidR="00F70062" w:rsidRPr="00B32BBB">
              <w:rPr>
                <w:rFonts w:ascii="Arial" w:hAnsi="Arial" w:cs="Arial"/>
                <w:sz w:val="18"/>
              </w:rPr>
              <w:t>.2)</w:t>
            </w:r>
          </w:p>
          <w:p w14:paraId="00E2C166" w14:textId="12C5788B" w:rsidR="00F70062" w:rsidRPr="00B32BBB" w:rsidRDefault="00F70062" w:rsidP="00A037D3">
            <w:pPr>
              <w:jc w:val="center"/>
              <w:rPr>
                <w:rFonts w:ascii="Arial" w:hAnsi="Arial" w:cs="Arial"/>
                <w:sz w:val="18"/>
              </w:rPr>
            </w:pPr>
            <w:r w:rsidRPr="00B32BBB">
              <w:rPr>
                <w:rFonts w:ascii="Arial" w:hAnsi="Arial" w:cs="Arial"/>
                <w:sz w:val="18"/>
              </w:rPr>
              <w:t>2 (</w:t>
            </w:r>
            <w:r w:rsidR="00B75CC7" w:rsidRPr="00B32BBB">
              <w:rPr>
                <w:rFonts w:ascii="Arial" w:hAnsi="Arial" w:cs="Arial"/>
                <w:sz w:val="18"/>
              </w:rPr>
              <w:t>3.1</w:t>
            </w:r>
            <w:r w:rsidRPr="00B32BBB">
              <w:rPr>
                <w:rFonts w:ascii="Arial" w:hAnsi="Arial" w:cs="Arial"/>
                <w:sz w:val="18"/>
              </w:rPr>
              <w:t>)</w:t>
            </w:r>
          </w:p>
          <w:p w14:paraId="16222778" w14:textId="64773488" w:rsidR="00F70062" w:rsidRPr="00B32BBB" w:rsidRDefault="00080F8C" w:rsidP="00A037D3">
            <w:pPr>
              <w:jc w:val="center"/>
              <w:rPr>
                <w:rFonts w:ascii="Arial" w:hAnsi="Arial" w:cs="Arial"/>
                <w:sz w:val="18"/>
              </w:rPr>
            </w:pPr>
            <w:r w:rsidRPr="00B32BBB">
              <w:rPr>
                <w:rFonts w:ascii="Arial" w:hAnsi="Arial" w:cs="Arial"/>
                <w:sz w:val="18"/>
              </w:rPr>
              <w:t>46</w:t>
            </w:r>
            <w:r w:rsidR="00F70062" w:rsidRPr="00B32BBB">
              <w:rPr>
                <w:rFonts w:ascii="Arial" w:hAnsi="Arial" w:cs="Arial"/>
                <w:sz w:val="18"/>
              </w:rPr>
              <w:t xml:space="preserve"> (</w:t>
            </w:r>
            <w:r w:rsidRPr="00B32BBB">
              <w:rPr>
                <w:rFonts w:ascii="Arial" w:hAnsi="Arial" w:cs="Arial"/>
                <w:sz w:val="18"/>
              </w:rPr>
              <w:t>70.8</w:t>
            </w:r>
            <w:r w:rsidR="00F70062" w:rsidRPr="00B32BBB">
              <w:rPr>
                <w:rFonts w:ascii="Arial" w:hAnsi="Arial" w:cs="Arial"/>
                <w:sz w:val="18"/>
              </w:rPr>
              <w:t>)</w:t>
            </w:r>
          </w:p>
          <w:p w14:paraId="3750F007" w14:textId="23B21C64" w:rsidR="00F70062" w:rsidRPr="00B32BBB" w:rsidRDefault="00F70062" w:rsidP="00A037D3">
            <w:pPr>
              <w:jc w:val="center"/>
              <w:rPr>
                <w:rFonts w:ascii="Arial" w:hAnsi="Arial" w:cs="Arial"/>
                <w:sz w:val="18"/>
              </w:rPr>
            </w:pPr>
            <w:r w:rsidRPr="00B32BBB">
              <w:rPr>
                <w:rFonts w:ascii="Arial" w:hAnsi="Arial" w:cs="Arial"/>
                <w:sz w:val="18"/>
              </w:rPr>
              <w:t>2 (</w:t>
            </w:r>
            <w:r w:rsidR="00080F8C" w:rsidRPr="00B32BBB">
              <w:rPr>
                <w:rFonts w:ascii="Arial" w:hAnsi="Arial" w:cs="Arial"/>
                <w:sz w:val="18"/>
              </w:rPr>
              <w:t>3.1</w:t>
            </w:r>
            <w:r w:rsidRPr="00B32BBB">
              <w:rPr>
                <w:rFonts w:ascii="Arial" w:hAnsi="Arial" w:cs="Arial"/>
                <w:sz w:val="18"/>
              </w:rPr>
              <w:t>)</w:t>
            </w:r>
          </w:p>
        </w:tc>
        <w:tc>
          <w:tcPr>
            <w:tcW w:w="1417" w:type="dxa"/>
          </w:tcPr>
          <w:p w14:paraId="3714FBD2" w14:textId="77777777" w:rsidR="00F70062" w:rsidRPr="00B52F88" w:rsidRDefault="00F70062" w:rsidP="00A037D3">
            <w:pPr>
              <w:jc w:val="center"/>
              <w:rPr>
                <w:rFonts w:ascii="Arial" w:hAnsi="Arial" w:cs="Arial"/>
                <w:sz w:val="18"/>
                <w:highlight w:val="yellow"/>
              </w:rPr>
            </w:pPr>
          </w:p>
          <w:p w14:paraId="7D5E5E18" w14:textId="77777777" w:rsidR="00127148" w:rsidRPr="00B52F88" w:rsidRDefault="00127148" w:rsidP="00A037D3">
            <w:pPr>
              <w:jc w:val="center"/>
              <w:rPr>
                <w:rFonts w:ascii="Arial" w:hAnsi="Arial" w:cs="Arial"/>
                <w:sz w:val="18"/>
                <w:highlight w:val="yellow"/>
              </w:rPr>
            </w:pPr>
          </w:p>
          <w:p w14:paraId="3B0D7D28" w14:textId="0544240D" w:rsidR="00F70062" w:rsidRPr="00B32BBB" w:rsidRDefault="00F70062" w:rsidP="00A037D3">
            <w:pPr>
              <w:jc w:val="center"/>
              <w:rPr>
                <w:rFonts w:ascii="Arial" w:hAnsi="Arial" w:cs="Arial"/>
                <w:sz w:val="18"/>
              </w:rPr>
            </w:pPr>
            <w:r w:rsidRPr="00B32BBB">
              <w:rPr>
                <w:rFonts w:ascii="Arial" w:hAnsi="Arial" w:cs="Arial"/>
                <w:sz w:val="18"/>
              </w:rPr>
              <w:t>7 (</w:t>
            </w:r>
            <w:r w:rsidR="00B32BBB" w:rsidRPr="00B32BBB">
              <w:rPr>
                <w:rFonts w:ascii="Arial" w:hAnsi="Arial" w:cs="Arial"/>
                <w:sz w:val="18"/>
              </w:rPr>
              <w:t>3.2</w:t>
            </w:r>
            <w:r w:rsidRPr="00B32BBB">
              <w:rPr>
                <w:rFonts w:ascii="Arial" w:hAnsi="Arial" w:cs="Arial"/>
                <w:sz w:val="18"/>
              </w:rPr>
              <w:t>)</w:t>
            </w:r>
          </w:p>
          <w:p w14:paraId="0F874785" w14:textId="16924A96" w:rsidR="00F70062" w:rsidRPr="00B32BBB" w:rsidRDefault="00B32BBB" w:rsidP="00A037D3">
            <w:pPr>
              <w:jc w:val="center"/>
              <w:rPr>
                <w:rFonts w:ascii="Arial" w:hAnsi="Arial" w:cs="Arial"/>
                <w:sz w:val="18"/>
              </w:rPr>
            </w:pPr>
            <w:r w:rsidRPr="00B32BBB">
              <w:rPr>
                <w:rFonts w:ascii="Arial" w:hAnsi="Arial" w:cs="Arial"/>
                <w:sz w:val="18"/>
              </w:rPr>
              <w:t>19</w:t>
            </w:r>
            <w:r w:rsidR="00F70062" w:rsidRPr="00B32BBB">
              <w:rPr>
                <w:rFonts w:ascii="Arial" w:hAnsi="Arial" w:cs="Arial"/>
                <w:sz w:val="18"/>
              </w:rPr>
              <w:t xml:space="preserve"> (8.</w:t>
            </w:r>
            <w:r w:rsidRPr="00B32BBB">
              <w:rPr>
                <w:rFonts w:ascii="Arial" w:hAnsi="Arial" w:cs="Arial"/>
                <w:sz w:val="18"/>
              </w:rPr>
              <w:t>6</w:t>
            </w:r>
            <w:r w:rsidR="00F70062" w:rsidRPr="00B32BBB">
              <w:rPr>
                <w:rFonts w:ascii="Arial" w:hAnsi="Arial" w:cs="Arial"/>
                <w:sz w:val="18"/>
              </w:rPr>
              <w:t>)</w:t>
            </w:r>
          </w:p>
          <w:p w14:paraId="53CF6094" w14:textId="62CABBC4" w:rsidR="00F70062" w:rsidRPr="00B32BBB" w:rsidRDefault="00F70062" w:rsidP="00A037D3">
            <w:pPr>
              <w:jc w:val="center"/>
              <w:rPr>
                <w:rFonts w:ascii="Arial" w:hAnsi="Arial" w:cs="Arial"/>
                <w:sz w:val="18"/>
              </w:rPr>
            </w:pPr>
            <w:r w:rsidRPr="00B32BBB">
              <w:rPr>
                <w:rFonts w:ascii="Arial" w:hAnsi="Arial" w:cs="Arial"/>
                <w:sz w:val="18"/>
              </w:rPr>
              <w:t>2 (0.</w:t>
            </w:r>
            <w:r w:rsidR="00B32BBB" w:rsidRPr="00B32BBB">
              <w:rPr>
                <w:rFonts w:ascii="Arial" w:hAnsi="Arial" w:cs="Arial"/>
                <w:sz w:val="18"/>
              </w:rPr>
              <w:t>9</w:t>
            </w:r>
            <w:r w:rsidRPr="00B32BBB">
              <w:rPr>
                <w:rFonts w:ascii="Arial" w:hAnsi="Arial" w:cs="Arial"/>
                <w:sz w:val="18"/>
              </w:rPr>
              <w:t>)</w:t>
            </w:r>
          </w:p>
          <w:p w14:paraId="55B8EE7F" w14:textId="1C301096" w:rsidR="00F70062" w:rsidRPr="00B52F88" w:rsidRDefault="00B32BBB" w:rsidP="00A037D3">
            <w:pPr>
              <w:jc w:val="center"/>
              <w:rPr>
                <w:rFonts w:ascii="Arial" w:hAnsi="Arial" w:cs="Arial"/>
                <w:sz w:val="18"/>
                <w:highlight w:val="yellow"/>
              </w:rPr>
            </w:pPr>
            <w:r w:rsidRPr="00B32BBB">
              <w:rPr>
                <w:rFonts w:ascii="Arial" w:hAnsi="Arial" w:cs="Arial"/>
                <w:sz w:val="18"/>
              </w:rPr>
              <w:t>193</w:t>
            </w:r>
            <w:r w:rsidR="00F70062" w:rsidRPr="00B32BBB">
              <w:rPr>
                <w:rFonts w:ascii="Arial" w:hAnsi="Arial" w:cs="Arial"/>
                <w:sz w:val="18"/>
              </w:rPr>
              <w:t xml:space="preserve"> (87.</w:t>
            </w:r>
            <w:r w:rsidRPr="00B32BBB">
              <w:rPr>
                <w:rFonts w:ascii="Arial" w:hAnsi="Arial" w:cs="Arial"/>
                <w:sz w:val="18"/>
              </w:rPr>
              <w:t>3</w:t>
            </w:r>
            <w:r w:rsidR="00F70062" w:rsidRPr="00B32BBB">
              <w:rPr>
                <w:rFonts w:ascii="Arial" w:hAnsi="Arial" w:cs="Arial"/>
                <w:sz w:val="18"/>
              </w:rPr>
              <w:t>)</w:t>
            </w:r>
          </w:p>
        </w:tc>
        <w:tc>
          <w:tcPr>
            <w:tcW w:w="1417" w:type="dxa"/>
          </w:tcPr>
          <w:p w14:paraId="32A26B15" w14:textId="77777777" w:rsidR="00F70062" w:rsidRPr="00B00EF3" w:rsidRDefault="00F70062" w:rsidP="00A037D3">
            <w:pPr>
              <w:jc w:val="center"/>
              <w:rPr>
                <w:rFonts w:ascii="Arial" w:hAnsi="Arial" w:cs="Arial"/>
                <w:sz w:val="18"/>
              </w:rPr>
            </w:pPr>
          </w:p>
          <w:p w14:paraId="1FD59D0F" w14:textId="77777777" w:rsidR="00127148" w:rsidRDefault="00127148" w:rsidP="00A037D3">
            <w:pPr>
              <w:jc w:val="center"/>
              <w:rPr>
                <w:rFonts w:ascii="Arial" w:hAnsi="Arial" w:cs="Arial"/>
                <w:sz w:val="18"/>
              </w:rPr>
            </w:pPr>
          </w:p>
          <w:p w14:paraId="1BF2E284" w14:textId="050E9E06" w:rsidR="00F70062" w:rsidRPr="00B00EF3" w:rsidRDefault="00F70062" w:rsidP="00A037D3">
            <w:pPr>
              <w:jc w:val="center"/>
              <w:rPr>
                <w:rFonts w:ascii="Arial" w:hAnsi="Arial" w:cs="Arial"/>
                <w:sz w:val="18"/>
              </w:rPr>
            </w:pPr>
            <w:r w:rsidRPr="00B00EF3">
              <w:rPr>
                <w:rFonts w:ascii="Arial" w:hAnsi="Arial" w:cs="Arial"/>
                <w:sz w:val="18"/>
              </w:rPr>
              <w:t>6</w:t>
            </w:r>
            <w:r w:rsidR="00127148">
              <w:rPr>
                <w:rFonts w:ascii="Arial" w:hAnsi="Arial" w:cs="Arial"/>
                <w:sz w:val="18"/>
              </w:rPr>
              <w:t>2</w:t>
            </w:r>
            <w:r w:rsidRPr="00B00EF3">
              <w:rPr>
                <w:rFonts w:ascii="Arial" w:hAnsi="Arial" w:cs="Arial"/>
                <w:sz w:val="18"/>
              </w:rPr>
              <w:t xml:space="preserve"> (1</w:t>
            </w:r>
            <w:r w:rsidR="00127148">
              <w:rPr>
                <w:rFonts w:ascii="Arial" w:hAnsi="Arial" w:cs="Arial"/>
                <w:sz w:val="18"/>
              </w:rPr>
              <w:t>1.0</w:t>
            </w:r>
            <w:r w:rsidRPr="00B00EF3">
              <w:rPr>
                <w:rFonts w:ascii="Arial" w:hAnsi="Arial" w:cs="Arial"/>
                <w:sz w:val="18"/>
              </w:rPr>
              <w:t>)</w:t>
            </w:r>
          </w:p>
          <w:p w14:paraId="4FE8AC48" w14:textId="2140D35B" w:rsidR="00F70062" w:rsidRPr="00B00EF3" w:rsidRDefault="00127148" w:rsidP="00A037D3">
            <w:pPr>
              <w:jc w:val="center"/>
              <w:rPr>
                <w:rFonts w:ascii="Arial" w:hAnsi="Arial" w:cs="Arial"/>
                <w:sz w:val="18"/>
              </w:rPr>
            </w:pPr>
            <w:r>
              <w:rPr>
                <w:rFonts w:ascii="Arial" w:hAnsi="Arial" w:cs="Arial"/>
                <w:sz w:val="18"/>
              </w:rPr>
              <w:t>67</w:t>
            </w:r>
            <w:r w:rsidR="00F70062" w:rsidRPr="00B00EF3">
              <w:rPr>
                <w:rFonts w:ascii="Arial" w:hAnsi="Arial" w:cs="Arial"/>
                <w:sz w:val="18"/>
              </w:rPr>
              <w:t xml:space="preserve"> (11.</w:t>
            </w:r>
            <w:r>
              <w:rPr>
                <w:rFonts w:ascii="Arial" w:hAnsi="Arial" w:cs="Arial"/>
                <w:sz w:val="18"/>
              </w:rPr>
              <w:t>9</w:t>
            </w:r>
            <w:r w:rsidR="00F70062" w:rsidRPr="00B00EF3">
              <w:rPr>
                <w:rFonts w:ascii="Arial" w:hAnsi="Arial" w:cs="Arial"/>
                <w:sz w:val="18"/>
              </w:rPr>
              <w:t>)</w:t>
            </w:r>
          </w:p>
          <w:p w14:paraId="2C262731" w14:textId="4EF913F0" w:rsidR="00F70062" w:rsidRPr="00B00EF3" w:rsidRDefault="00127148" w:rsidP="00A037D3">
            <w:pPr>
              <w:jc w:val="center"/>
              <w:rPr>
                <w:rFonts w:ascii="Arial" w:hAnsi="Arial" w:cs="Arial"/>
                <w:sz w:val="18"/>
              </w:rPr>
            </w:pPr>
            <w:r>
              <w:rPr>
                <w:rFonts w:ascii="Arial" w:hAnsi="Arial" w:cs="Arial"/>
                <w:sz w:val="18"/>
              </w:rPr>
              <w:t>29</w:t>
            </w:r>
            <w:r w:rsidR="00F70062" w:rsidRPr="00B00EF3">
              <w:rPr>
                <w:rFonts w:ascii="Arial" w:hAnsi="Arial" w:cs="Arial"/>
                <w:sz w:val="18"/>
              </w:rPr>
              <w:t xml:space="preserve"> (5.1)</w:t>
            </w:r>
          </w:p>
          <w:p w14:paraId="4EBA3EE5" w14:textId="447EBBC6" w:rsidR="00F70062" w:rsidRPr="00B00EF3" w:rsidRDefault="00F70062" w:rsidP="00A037D3">
            <w:pPr>
              <w:jc w:val="center"/>
              <w:rPr>
                <w:rFonts w:ascii="Arial" w:hAnsi="Arial" w:cs="Arial"/>
                <w:sz w:val="18"/>
              </w:rPr>
            </w:pPr>
            <w:r w:rsidRPr="00B00EF3">
              <w:rPr>
                <w:rFonts w:ascii="Arial" w:hAnsi="Arial" w:cs="Arial"/>
                <w:sz w:val="18"/>
              </w:rPr>
              <w:t>4</w:t>
            </w:r>
            <w:r w:rsidR="00127148">
              <w:rPr>
                <w:rFonts w:ascii="Arial" w:hAnsi="Arial" w:cs="Arial"/>
                <w:sz w:val="18"/>
              </w:rPr>
              <w:t>00</w:t>
            </w:r>
            <w:r w:rsidRPr="00B00EF3">
              <w:rPr>
                <w:rFonts w:ascii="Arial" w:hAnsi="Arial" w:cs="Arial"/>
                <w:sz w:val="18"/>
              </w:rPr>
              <w:t xml:space="preserve"> (7</w:t>
            </w:r>
            <w:r w:rsidR="00127148">
              <w:rPr>
                <w:rFonts w:ascii="Arial" w:hAnsi="Arial" w:cs="Arial"/>
                <w:sz w:val="18"/>
              </w:rPr>
              <w:t>0.9</w:t>
            </w:r>
            <w:r w:rsidRPr="00B00EF3">
              <w:rPr>
                <w:rFonts w:ascii="Arial" w:hAnsi="Arial" w:cs="Arial"/>
                <w:sz w:val="18"/>
              </w:rPr>
              <w:t>)</w:t>
            </w:r>
          </w:p>
          <w:p w14:paraId="5A0BA497" w14:textId="4CF66FC0" w:rsidR="00F70062" w:rsidRPr="00B00EF3" w:rsidRDefault="00127148" w:rsidP="00A037D3">
            <w:pPr>
              <w:jc w:val="center"/>
              <w:rPr>
                <w:rFonts w:ascii="Arial" w:hAnsi="Arial" w:cs="Arial"/>
                <w:sz w:val="18"/>
              </w:rPr>
            </w:pPr>
            <w:r>
              <w:rPr>
                <w:rFonts w:ascii="Arial" w:hAnsi="Arial" w:cs="Arial"/>
                <w:sz w:val="18"/>
              </w:rPr>
              <w:t>6</w:t>
            </w:r>
            <w:r w:rsidR="00F70062" w:rsidRPr="00B00EF3">
              <w:rPr>
                <w:rFonts w:ascii="Arial" w:hAnsi="Arial" w:cs="Arial"/>
                <w:sz w:val="18"/>
              </w:rPr>
              <w:t xml:space="preserve"> (1.1)</w:t>
            </w:r>
          </w:p>
        </w:tc>
      </w:tr>
      <w:tr w:rsidR="00B52F88" w:rsidRPr="00B00EF3" w14:paraId="2BFC53D0" w14:textId="77777777" w:rsidTr="00A037D3">
        <w:trPr>
          <w:gridAfter w:val="1"/>
          <w:wAfter w:w="61" w:type="dxa"/>
        </w:trPr>
        <w:tc>
          <w:tcPr>
            <w:tcW w:w="1701" w:type="dxa"/>
          </w:tcPr>
          <w:p w14:paraId="6604CA4E" w14:textId="77777777" w:rsidR="00B52F88" w:rsidRPr="00B00EF3" w:rsidRDefault="00B52F88" w:rsidP="00B52F88">
            <w:pPr>
              <w:rPr>
                <w:rFonts w:ascii="Arial" w:hAnsi="Arial" w:cs="Arial"/>
                <w:sz w:val="18"/>
              </w:rPr>
            </w:pPr>
            <w:r w:rsidRPr="00B00EF3">
              <w:rPr>
                <w:rFonts w:ascii="Arial" w:hAnsi="Arial" w:cs="Arial"/>
                <w:sz w:val="18"/>
              </w:rPr>
              <w:t>Type of dementia</w:t>
            </w:r>
          </w:p>
          <w:p w14:paraId="60D1EF18" w14:textId="77777777" w:rsidR="00B52F88" w:rsidRPr="00B00EF3" w:rsidRDefault="00B52F88" w:rsidP="00B52F88">
            <w:pPr>
              <w:rPr>
                <w:rFonts w:ascii="Arial" w:hAnsi="Arial" w:cs="Arial"/>
                <w:sz w:val="18"/>
              </w:rPr>
            </w:pPr>
            <w:r w:rsidRPr="00B00EF3">
              <w:rPr>
                <w:rFonts w:ascii="Arial" w:hAnsi="Arial" w:cs="Arial"/>
                <w:sz w:val="18"/>
              </w:rPr>
              <w:t xml:space="preserve">  Alzheimer’s</w:t>
            </w:r>
          </w:p>
          <w:p w14:paraId="70CE66F9" w14:textId="77777777" w:rsidR="00B52F88" w:rsidRPr="00B00EF3" w:rsidRDefault="00B52F88" w:rsidP="00B52F88">
            <w:pPr>
              <w:rPr>
                <w:rFonts w:ascii="Arial" w:hAnsi="Arial" w:cs="Arial"/>
                <w:sz w:val="18"/>
              </w:rPr>
            </w:pPr>
            <w:r w:rsidRPr="00B00EF3">
              <w:rPr>
                <w:rFonts w:ascii="Arial" w:hAnsi="Arial" w:cs="Arial"/>
                <w:sz w:val="18"/>
              </w:rPr>
              <w:t xml:space="preserve">  Mixed </w:t>
            </w:r>
          </w:p>
          <w:p w14:paraId="395156F1" w14:textId="77777777" w:rsidR="00B52F88" w:rsidRPr="00B00EF3" w:rsidRDefault="00B52F88" w:rsidP="00B52F88">
            <w:pPr>
              <w:rPr>
                <w:rFonts w:ascii="Arial" w:hAnsi="Arial" w:cs="Arial"/>
                <w:sz w:val="18"/>
              </w:rPr>
            </w:pPr>
            <w:r w:rsidRPr="00B00EF3">
              <w:rPr>
                <w:rFonts w:ascii="Arial" w:hAnsi="Arial" w:cs="Arial"/>
                <w:sz w:val="18"/>
              </w:rPr>
              <w:t xml:space="preserve">  Vascular</w:t>
            </w:r>
          </w:p>
          <w:p w14:paraId="244ED805" w14:textId="2F68FE07" w:rsidR="00B52F88" w:rsidRPr="00B00EF3" w:rsidRDefault="00B52F88" w:rsidP="00B52F88">
            <w:pPr>
              <w:rPr>
                <w:rFonts w:ascii="Arial" w:hAnsi="Arial" w:cs="Arial"/>
                <w:sz w:val="18"/>
              </w:rPr>
            </w:pPr>
            <w:r w:rsidRPr="00B00EF3">
              <w:rPr>
                <w:rFonts w:ascii="Arial" w:hAnsi="Arial" w:cs="Arial"/>
                <w:sz w:val="18"/>
              </w:rPr>
              <w:t xml:space="preserve">  </w:t>
            </w:r>
            <w:r>
              <w:rPr>
                <w:rFonts w:ascii="Arial" w:hAnsi="Arial" w:cs="Arial"/>
                <w:sz w:val="18"/>
              </w:rPr>
              <w:t>Other</w:t>
            </w:r>
          </w:p>
        </w:tc>
        <w:tc>
          <w:tcPr>
            <w:tcW w:w="1701" w:type="dxa"/>
          </w:tcPr>
          <w:p w14:paraId="5095AD93" w14:textId="77777777" w:rsidR="00B52F88" w:rsidRPr="00445A9F" w:rsidRDefault="00B52F88" w:rsidP="00B52F88">
            <w:pPr>
              <w:jc w:val="center"/>
              <w:rPr>
                <w:rFonts w:ascii="Arial" w:hAnsi="Arial" w:cs="Arial"/>
                <w:sz w:val="18"/>
                <w:szCs w:val="18"/>
              </w:rPr>
            </w:pPr>
          </w:p>
          <w:p w14:paraId="7D20B14C" w14:textId="77777777" w:rsidR="00B52F88" w:rsidRPr="00445A9F" w:rsidRDefault="00B52F88" w:rsidP="00B52F88">
            <w:pPr>
              <w:jc w:val="center"/>
              <w:rPr>
                <w:rFonts w:ascii="Arial" w:hAnsi="Arial" w:cs="Arial"/>
                <w:sz w:val="18"/>
                <w:szCs w:val="18"/>
              </w:rPr>
            </w:pPr>
            <w:r w:rsidRPr="00445A9F">
              <w:rPr>
                <w:rFonts w:ascii="Arial" w:hAnsi="Arial" w:cs="Arial"/>
                <w:sz w:val="18"/>
                <w:szCs w:val="18"/>
              </w:rPr>
              <w:t>20 (32.8)</w:t>
            </w:r>
          </w:p>
          <w:p w14:paraId="6A3EA02D" w14:textId="77777777" w:rsidR="00B52F88" w:rsidRPr="00445A9F" w:rsidRDefault="00B52F88" w:rsidP="00B52F88">
            <w:pPr>
              <w:jc w:val="center"/>
              <w:rPr>
                <w:rFonts w:ascii="Arial" w:hAnsi="Arial" w:cs="Arial"/>
                <w:sz w:val="18"/>
                <w:szCs w:val="18"/>
              </w:rPr>
            </w:pPr>
            <w:r w:rsidRPr="00445A9F">
              <w:rPr>
                <w:rFonts w:ascii="Arial" w:hAnsi="Arial" w:cs="Arial"/>
                <w:sz w:val="18"/>
                <w:szCs w:val="18"/>
              </w:rPr>
              <w:t>13 (21.3)</w:t>
            </w:r>
          </w:p>
          <w:p w14:paraId="7F93CA04" w14:textId="77777777" w:rsidR="00B52F88" w:rsidRPr="00445A9F" w:rsidRDefault="00B52F88" w:rsidP="00B52F88">
            <w:pPr>
              <w:jc w:val="center"/>
              <w:rPr>
                <w:rFonts w:ascii="Arial" w:hAnsi="Arial" w:cs="Arial"/>
                <w:sz w:val="18"/>
                <w:szCs w:val="18"/>
              </w:rPr>
            </w:pPr>
            <w:r w:rsidRPr="00445A9F">
              <w:rPr>
                <w:rFonts w:ascii="Arial" w:hAnsi="Arial" w:cs="Arial"/>
                <w:sz w:val="18"/>
                <w:szCs w:val="18"/>
              </w:rPr>
              <w:t>11 (18.0)</w:t>
            </w:r>
          </w:p>
          <w:p w14:paraId="48EB93FB" w14:textId="63B9FC54" w:rsidR="00B52F88" w:rsidRPr="00445A9F" w:rsidRDefault="00B52F88" w:rsidP="00B52F88">
            <w:pPr>
              <w:jc w:val="center"/>
              <w:rPr>
                <w:rFonts w:ascii="Arial" w:hAnsi="Arial" w:cs="Arial"/>
                <w:sz w:val="18"/>
                <w:szCs w:val="18"/>
              </w:rPr>
            </w:pPr>
            <w:r w:rsidRPr="00445A9F">
              <w:rPr>
                <w:rFonts w:ascii="Arial" w:hAnsi="Arial" w:cs="Arial"/>
                <w:sz w:val="18"/>
                <w:szCs w:val="18"/>
              </w:rPr>
              <w:t>17 (27.9)</w:t>
            </w:r>
          </w:p>
        </w:tc>
        <w:tc>
          <w:tcPr>
            <w:tcW w:w="1599" w:type="dxa"/>
          </w:tcPr>
          <w:p w14:paraId="5C77E4CB" w14:textId="77777777" w:rsidR="00B52F88" w:rsidRPr="00B52F88" w:rsidRDefault="00B52F88" w:rsidP="00B52F88">
            <w:pPr>
              <w:jc w:val="center"/>
              <w:rPr>
                <w:rFonts w:ascii="Arial" w:hAnsi="Arial" w:cs="Arial"/>
                <w:sz w:val="18"/>
                <w:szCs w:val="18"/>
              </w:rPr>
            </w:pPr>
          </w:p>
          <w:p w14:paraId="2418ACEB"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100 (46.5)</w:t>
            </w:r>
          </w:p>
          <w:p w14:paraId="61AE7DA0"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49 (22.8)</w:t>
            </w:r>
          </w:p>
          <w:p w14:paraId="7E163D2F"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27 (12.6)</w:t>
            </w:r>
          </w:p>
          <w:p w14:paraId="07AB579C" w14:textId="36364104" w:rsidR="00B52F88" w:rsidRPr="00B52F88" w:rsidRDefault="00B52F88" w:rsidP="00B52F88">
            <w:pPr>
              <w:jc w:val="center"/>
              <w:rPr>
                <w:rFonts w:ascii="Arial" w:hAnsi="Arial" w:cs="Arial"/>
                <w:sz w:val="18"/>
                <w:szCs w:val="18"/>
              </w:rPr>
            </w:pPr>
            <w:r w:rsidRPr="00B52F88">
              <w:rPr>
                <w:rFonts w:ascii="Arial" w:hAnsi="Arial" w:cs="Arial"/>
                <w:sz w:val="18"/>
                <w:szCs w:val="18"/>
              </w:rPr>
              <w:t>39 (18.1)</w:t>
            </w:r>
          </w:p>
        </w:tc>
        <w:tc>
          <w:tcPr>
            <w:tcW w:w="1378" w:type="dxa"/>
            <w:shd w:val="clear" w:color="auto" w:fill="auto"/>
          </w:tcPr>
          <w:p w14:paraId="09BA34E8" w14:textId="77777777" w:rsidR="00B52F88" w:rsidRPr="00B52F88" w:rsidRDefault="00B52F88" w:rsidP="00B52F88">
            <w:pPr>
              <w:jc w:val="center"/>
              <w:rPr>
                <w:rFonts w:ascii="Arial" w:hAnsi="Arial" w:cs="Arial"/>
                <w:sz w:val="18"/>
                <w:szCs w:val="18"/>
              </w:rPr>
            </w:pPr>
          </w:p>
          <w:p w14:paraId="7018E298"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6 (23.1)</w:t>
            </w:r>
          </w:p>
          <w:p w14:paraId="05B9C434"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7 (26.9)</w:t>
            </w:r>
          </w:p>
          <w:p w14:paraId="42A8B06B" w14:textId="77777777" w:rsidR="00B52F88" w:rsidRPr="00B52F88" w:rsidRDefault="00B52F88" w:rsidP="00B52F88">
            <w:pPr>
              <w:jc w:val="center"/>
              <w:rPr>
                <w:rFonts w:ascii="Arial" w:hAnsi="Arial" w:cs="Arial"/>
                <w:sz w:val="18"/>
                <w:szCs w:val="18"/>
              </w:rPr>
            </w:pPr>
            <w:r w:rsidRPr="00B52F88">
              <w:rPr>
                <w:rFonts w:ascii="Arial" w:hAnsi="Arial" w:cs="Arial"/>
                <w:sz w:val="18"/>
                <w:szCs w:val="18"/>
              </w:rPr>
              <w:t>4 (15.4)</w:t>
            </w:r>
          </w:p>
          <w:p w14:paraId="275E60AB" w14:textId="5C84D52E" w:rsidR="00B52F88" w:rsidRPr="00B52F88" w:rsidRDefault="00B52F88" w:rsidP="00B52F88">
            <w:pPr>
              <w:jc w:val="center"/>
              <w:rPr>
                <w:rFonts w:ascii="Arial" w:hAnsi="Arial" w:cs="Arial"/>
                <w:sz w:val="18"/>
                <w:szCs w:val="18"/>
              </w:rPr>
            </w:pPr>
            <w:r w:rsidRPr="00B52F88">
              <w:rPr>
                <w:rFonts w:ascii="Arial" w:hAnsi="Arial" w:cs="Arial"/>
                <w:sz w:val="18"/>
                <w:szCs w:val="18"/>
              </w:rPr>
              <w:t>9 (34.5)</w:t>
            </w:r>
          </w:p>
        </w:tc>
        <w:tc>
          <w:tcPr>
            <w:tcW w:w="1417" w:type="dxa"/>
            <w:shd w:val="clear" w:color="auto" w:fill="D9D9D9" w:themeFill="background1" w:themeFillShade="D9"/>
          </w:tcPr>
          <w:p w14:paraId="6AAF5098" w14:textId="77777777" w:rsidR="00B52F88" w:rsidRPr="00B00EF3" w:rsidRDefault="00B52F88" w:rsidP="00B52F88">
            <w:pPr>
              <w:jc w:val="center"/>
              <w:rPr>
                <w:rFonts w:ascii="Arial" w:hAnsi="Arial" w:cs="Arial"/>
                <w:sz w:val="18"/>
              </w:rPr>
            </w:pPr>
          </w:p>
        </w:tc>
        <w:tc>
          <w:tcPr>
            <w:tcW w:w="1417" w:type="dxa"/>
          </w:tcPr>
          <w:p w14:paraId="62B3B434" w14:textId="77777777" w:rsidR="00B52F88" w:rsidRPr="00B00EF3" w:rsidRDefault="00B52F88" w:rsidP="00B52F88">
            <w:pPr>
              <w:jc w:val="center"/>
              <w:rPr>
                <w:rFonts w:ascii="Arial" w:hAnsi="Arial" w:cs="Arial"/>
                <w:sz w:val="18"/>
              </w:rPr>
            </w:pPr>
          </w:p>
          <w:p w14:paraId="231518B1" w14:textId="2529E3E8" w:rsidR="00B52F88" w:rsidRPr="00B00EF3" w:rsidRDefault="00B52F88" w:rsidP="00B52F88">
            <w:pPr>
              <w:jc w:val="center"/>
              <w:rPr>
                <w:rFonts w:ascii="Arial" w:hAnsi="Arial" w:cs="Arial"/>
                <w:sz w:val="18"/>
              </w:rPr>
            </w:pPr>
            <w:r w:rsidRPr="00B00EF3">
              <w:rPr>
                <w:rFonts w:ascii="Arial" w:hAnsi="Arial" w:cs="Arial"/>
                <w:sz w:val="18"/>
              </w:rPr>
              <w:t>1</w:t>
            </w:r>
            <w:r>
              <w:rPr>
                <w:rFonts w:ascii="Arial" w:hAnsi="Arial" w:cs="Arial"/>
                <w:sz w:val="18"/>
              </w:rPr>
              <w:t>27</w:t>
            </w:r>
            <w:r w:rsidRPr="00B00EF3">
              <w:rPr>
                <w:rFonts w:ascii="Arial" w:hAnsi="Arial" w:cs="Arial"/>
                <w:sz w:val="18"/>
              </w:rPr>
              <w:t xml:space="preserve"> (4</w:t>
            </w:r>
            <w:r>
              <w:rPr>
                <w:rFonts w:ascii="Arial" w:hAnsi="Arial" w:cs="Arial"/>
                <w:sz w:val="18"/>
              </w:rPr>
              <w:t>1.4</w:t>
            </w:r>
            <w:r w:rsidRPr="00B00EF3">
              <w:rPr>
                <w:rFonts w:ascii="Arial" w:hAnsi="Arial" w:cs="Arial"/>
                <w:sz w:val="18"/>
              </w:rPr>
              <w:t>)</w:t>
            </w:r>
          </w:p>
          <w:p w14:paraId="7B61040E" w14:textId="5318F5E0" w:rsidR="00B52F88" w:rsidRPr="00B00EF3" w:rsidRDefault="00B52F88" w:rsidP="00B52F88">
            <w:pPr>
              <w:jc w:val="center"/>
              <w:rPr>
                <w:rFonts w:ascii="Arial" w:hAnsi="Arial" w:cs="Arial"/>
                <w:sz w:val="18"/>
              </w:rPr>
            </w:pPr>
            <w:r>
              <w:rPr>
                <w:rFonts w:ascii="Arial" w:hAnsi="Arial" w:cs="Arial"/>
                <w:sz w:val="18"/>
              </w:rPr>
              <w:t>69</w:t>
            </w:r>
            <w:r w:rsidRPr="00B00EF3">
              <w:rPr>
                <w:rFonts w:ascii="Arial" w:hAnsi="Arial" w:cs="Arial"/>
                <w:sz w:val="18"/>
              </w:rPr>
              <w:t xml:space="preserve"> (22.</w:t>
            </w:r>
            <w:r>
              <w:rPr>
                <w:rFonts w:ascii="Arial" w:hAnsi="Arial" w:cs="Arial"/>
                <w:sz w:val="18"/>
              </w:rPr>
              <w:t>5</w:t>
            </w:r>
            <w:r w:rsidRPr="00B00EF3">
              <w:rPr>
                <w:rFonts w:ascii="Arial" w:hAnsi="Arial" w:cs="Arial"/>
                <w:sz w:val="18"/>
              </w:rPr>
              <w:t>)</w:t>
            </w:r>
          </w:p>
          <w:p w14:paraId="53E59169" w14:textId="7F9D6DDC" w:rsidR="00B52F88" w:rsidRPr="00B00EF3" w:rsidRDefault="00B52F88" w:rsidP="00B52F88">
            <w:pPr>
              <w:jc w:val="center"/>
              <w:rPr>
                <w:rFonts w:ascii="Arial" w:hAnsi="Arial" w:cs="Arial"/>
                <w:sz w:val="18"/>
              </w:rPr>
            </w:pPr>
            <w:r w:rsidRPr="00B00EF3">
              <w:rPr>
                <w:rFonts w:ascii="Arial" w:hAnsi="Arial" w:cs="Arial"/>
                <w:sz w:val="18"/>
              </w:rPr>
              <w:t>4</w:t>
            </w:r>
            <w:r>
              <w:rPr>
                <w:rFonts w:ascii="Arial" w:hAnsi="Arial" w:cs="Arial"/>
                <w:sz w:val="18"/>
              </w:rPr>
              <w:t>3</w:t>
            </w:r>
            <w:r w:rsidRPr="00B00EF3">
              <w:rPr>
                <w:rFonts w:ascii="Arial" w:hAnsi="Arial" w:cs="Arial"/>
                <w:sz w:val="18"/>
              </w:rPr>
              <w:t xml:space="preserve"> (1</w:t>
            </w:r>
            <w:r>
              <w:rPr>
                <w:rFonts w:ascii="Arial" w:hAnsi="Arial" w:cs="Arial"/>
                <w:sz w:val="18"/>
              </w:rPr>
              <w:t>4.0</w:t>
            </w:r>
            <w:r w:rsidRPr="00B00EF3">
              <w:rPr>
                <w:rFonts w:ascii="Arial" w:hAnsi="Arial" w:cs="Arial"/>
                <w:sz w:val="18"/>
              </w:rPr>
              <w:t>)</w:t>
            </w:r>
          </w:p>
          <w:p w14:paraId="4DFADCFA" w14:textId="558C88CE" w:rsidR="00B52F88" w:rsidRPr="00B00EF3" w:rsidRDefault="00FE57E1" w:rsidP="00FE57E1">
            <w:pPr>
              <w:jc w:val="center"/>
              <w:rPr>
                <w:rFonts w:ascii="Arial" w:hAnsi="Arial" w:cs="Arial"/>
                <w:sz w:val="18"/>
              </w:rPr>
            </w:pPr>
            <w:r>
              <w:rPr>
                <w:rFonts w:ascii="Arial" w:hAnsi="Arial" w:cs="Arial"/>
                <w:sz w:val="18"/>
              </w:rPr>
              <w:t>68 (22.2)</w:t>
            </w:r>
          </w:p>
        </w:tc>
      </w:tr>
      <w:tr w:rsidR="00F70062" w:rsidRPr="00B00EF3" w14:paraId="41BDC2C8" w14:textId="77777777" w:rsidTr="00A037D3">
        <w:tc>
          <w:tcPr>
            <w:tcW w:w="9274" w:type="dxa"/>
            <w:gridSpan w:val="7"/>
            <w:shd w:val="clear" w:color="auto" w:fill="F2F2F2" w:themeFill="background1" w:themeFillShade="F2"/>
          </w:tcPr>
          <w:p w14:paraId="0A28291C" w14:textId="77777777" w:rsidR="00F70062" w:rsidRPr="00445A9F" w:rsidRDefault="00F70062" w:rsidP="00A037D3">
            <w:pPr>
              <w:rPr>
                <w:rFonts w:ascii="Arial" w:hAnsi="Arial" w:cs="Arial"/>
                <w:b/>
                <w:sz w:val="18"/>
              </w:rPr>
            </w:pPr>
            <w:r w:rsidRPr="00445A9F">
              <w:rPr>
                <w:rFonts w:ascii="Arial" w:hAnsi="Arial" w:cs="Arial"/>
                <w:b/>
                <w:sz w:val="18"/>
              </w:rPr>
              <w:t>Mean (SD), [Range]</w:t>
            </w:r>
          </w:p>
        </w:tc>
      </w:tr>
      <w:tr w:rsidR="007344BE" w:rsidRPr="00B00EF3" w14:paraId="6F9D1A18" w14:textId="77777777" w:rsidTr="00A037D3">
        <w:trPr>
          <w:gridAfter w:val="1"/>
          <w:wAfter w:w="61" w:type="dxa"/>
        </w:trPr>
        <w:tc>
          <w:tcPr>
            <w:tcW w:w="1701" w:type="dxa"/>
          </w:tcPr>
          <w:p w14:paraId="27E6418F" w14:textId="77777777" w:rsidR="007344BE" w:rsidRPr="00B00EF3" w:rsidRDefault="007344BE" w:rsidP="007344BE">
            <w:pPr>
              <w:rPr>
                <w:rFonts w:ascii="Arial" w:hAnsi="Arial" w:cs="Arial"/>
                <w:sz w:val="18"/>
              </w:rPr>
            </w:pPr>
            <w:r w:rsidRPr="00B00EF3">
              <w:rPr>
                <w:rFonts w:ascii="Arial" w:hAnsi="Arial" w:cs="Arial"/>
                <w:sz w:val="18"/>
              </w:rPr>
              <w:t>Age</w:t>
            </w:r>
          </w:p>
        </w:tc>
        <w:tc>
          <w:tcPr>
            <w:tcW w:w="1701" w:type="dxa"/>
          </w:tcPr>
          <w:p w14:paraId="0D4AC31E" w14:textId="462097F3" w:rsidR="007344BE" w:rsidRPr="007344BE" w:rsidRDefault="007344BE" w:rsidP="007344BE">
            <w:pPr>
              <w:jc w:val="center"/>
              <w:rPr>
                <w:rFonts w:ascii="Arial" w:hAnsi="Arial" w:cs="Arial"/>
                <w:sz w:val="18"/>
                <w:szCs w:val="18"/>
              </w:rPr>
            </w:pPr>
            <w:r w:rsidRPr="007344BE">
              <w:rPr>
                <w:rFonts w:ascii="Arial" w:hAnsi="Arial" w:cs="Arial"/>
                <w:sz w:val="18"/>
                <w:szCs w:val="18"/>
              </w:rPr>
              <w:t>70 (+/-10),</w:t>
            </w:r>
          </w:p>
          <w:p w14:paraId="476DC8B1" w14:textId="082BFB84" w:rsidR="007344BE" w:rsidRPr="007344BE" w:rsidRDefault="007344BE" w:rsidP="007344BE">
            <w:pPr>
              <w:jc w:val="center"/>
              <w:rPr>
                <w:rFonts w:ascii="Arial" w:hAnsi="Arial" w:cs="Arial"/>
                <w:sz w:val="18"/>
                <w:szCs w:val="18"/>
              </w:rPr>
            </w:pPr>
            <w:r w:rsidRPr="007344BE">
              <w:rPr>
                <w:rFonts w:ascii="Arial" w:hAnsi="Arial" w:cs="Arial"/>
                <w:sz w:val="18"/>
                <w:szCs w:val="18"/>
              </w:rPr>
              <w:t>[45-88]</w:t>
            </w:r>
          </w:p>
        </w:tc>
        <w:tc>
          <w:tcPr>
            <w:tcW w:w="1599" w:type="dxa"/>
          </w:tcPr>
          <w:p w14:paraId="71114379" w14:textId="6B722555" w:rsidR="007344BE" w:rsidRPr="007344BE" w:rsidRDefault="007344BE" w:rsidP="007344BE">
            <w:pPr>
              <w:jc w:val="center"/>
              <w:rPr>
                <w:rFonts w:ascii="Arial" w:hAnsi="Arial" w:cs="Arial"/>
                <w:sz w:val="18"/>
                <w:szCs w:val="18"/>
              </w:rPr>
            </w:pPr>
            <w:r w:rsidRPr="007344BE">
              <w:rPr>
                <w:rFonts w:ascii="Arial" w:hAnsi="Arial" w:cs="Arial"/>
                <w:sz w:val="18"/>
                <w:szCs w:val="18"/>
              </w:rPr>
              <w:t>61 (+/-13),</w:t>
            </w:r>
          </w:p>
          <w:p w14:paraId="59B8FB8D" w14:textId="3E5674F7" w:rsidR="007344BE" w:rsidRPr="007344BE" w:rsidRDefault="007344BE" w:rsidP="007344BE">
            <w:pPr>
              <w:jc w:val="center"/>
              <w:rPr>
                <w:rFonts w:ascii="Arial" w:hAnsi="Arial" w:cs="Arial"/>
                <w:sz w:val="18"/>
                <w:szCs w:val="18"/>
              </w:rPr>
            </w:pPr>
            <w:r w:rsidRPr="007344BE">
              <w:rPr>
                <w:rFonts w:ascii="Arial" w:hAnsi="Arial" w:cs="Arial"/>
                <w:sz w:val="18"/>
                <w:szCs w:val="18"/>
              </w:rPr>
              <w:t>[23-89]</w:t>
            </w:r>
          </w:p>
        </w:tc>
        <w:tc>
          <w:tcPr>
            <w:tcW w:w="1378" w:type="dxa"/>
          </w:tcPr>
          <w:p w14:paraId="325FA90F" w14:textId="77777777" w:rsidR="007344BE" w:rsidRPr="007344BE" w:rsidRDefault="007344BE" w:rsidP="007344BE">
            <w:pPr>
              <w:jc w:val="center"/>
              <w:rPr>
                <w:rFonts w:ascii="Arial" w:hAnsi="Arial" w:cs="Arial"/>
                <w:sz w:val="18"/>
                <w:szCs w:val="18"/>
              </w:rPr>
            </w:pPr>
            <w:r w:rsidRPr="007344BE">
              <w:rPr>
                <w:rFonts w:ascii="Arial" w:hAnsi="Arial" w:cs="Arial"/>
                <w:sz w:val="18"/>
                <w:szCs w:val="18"/>
              </w:rPr>
              <w:t>64 (+/-14),</w:t>
            </w:r>
          </w:p>
          <w:p w14:paraId="2897347A" w14:textId="1AE57FF0" w:rsidR="007344BE" w:rsidRPr="007344BE" w:rsidRDefault="007344BE" w:rsidP="007344BE">
            <w:pPr>
              <w:jc w:val="center"/>
              <w:rPr>
                <w:rFonts w:ascii="Arial" w:hAnsi="Arial" w:cs="Arial"/>
                <w:sz w:val="18"/>
                <w:szCs w:val="18"/>
              </w:rPr>
            </w:pPr>
            <w:r w:rsidRPr="007344BE">
              <w:rPr>
                <w:rFonts w:ascii="Arial" w:hAnsi="Arial" w:cs="Arial"/>
                <w:sz w:val="18"/>
                <w:szCs w:val="18"/>
              </w:rPr>
              <w:t>[22-95]</w:t>
            </w:r>
          </w:p>
        </w:tc>
        <w:tc>
          <w:tcPr>
            <w:tcW w:w="1417" w:type="dxa"/>
          </w:tcPr>
          <w:p w14:paraId="07847093" w14:textId="150F28D7" w:rsidR="007344BE" w:rsidRPr="007344BE" w:rsidRDefault="007344BE" w:rsidP="007344BE">
            <w:pPr>
              <w:jc w:val="center"/>
              <w:rPr>
                <w:rFonts w:ascii="Arial" w:hAnsi="Arial" w:cs="Arial"/>
                <w:sz w:val="18"/>
                <w:szCs w:val="18"/>
              </w:rPr>
            </w:pPr>
            <w:r w:rsidRPr="007344BE">
              <w:rPr>
                <w:rFonts w:ascii="Arial" w:hAnsi="Arial" w:cs="Arial"/>
                <w:sz w:val="18"/>
                <w:szCs w:val="18"/>
              </w:rPr>
              <w:t>72 (+/-6),</w:t>
            </w:r>
          </w:p>
          <w:p w14:paraId="4BC50782" w14:textId="7EDF6794" w:rsidR="007344BE" w:rsidRPr="007344BE" w:rsidRDefault="007344BE" w:rsidP="007344BE">
            <w:pPr>
              <w:jc w:val="center"/>
              <w:rPr>
                <w:rFonts w:ascii="Arial" w:hAnsi="Arial" w:cs="Arial"/>
                <w:sz w:val="18"/>
                <w:szCs w:val="18"/>
              </w:rPr>
            </w:pPr>
            <w:r w:rsidRPr="007344BE">
              <w:rPr>
                <w:rFonts w:ascii="Arial" w:hAnsi="Arial" w:cs="Arial"/>
                <w:sz w:val="18"/>
                <w:szCs w:val="18"/>
              </w:rPr>
              <w:t>[65-90]</w:t>
            </w:r>
          </w:p>
        </w:tc>
        <w:tc>
          <w:tcPr>
            <w:tcW w:w="1417" w:type="dxa"/>
          </w:tcPr>
          <w:p w14:paraId="60BDE23D" w14:textId="77777777" w:rsidR="007344BE" w:rsidRPr="00B00EF3" w:rsidRDefault="007344BE" w:rsidP="007344BE">
            <w:pPr>
              <w:jc w:val="center"/>
              <w:rPr>
                <w:rFonts w:ascii="Arial" w:hAnsi="Arial" w:cs="Arial"/>
                <w:sz w:val="18"/>
              </w:rPr>
            </w:pPr>
            <w:r w:rsidRPr="00B00EF3">
              <w:rPr>
                <w:rFonts w:ascii="Arial" w:hAnsi="Arial" w:cs="Arial"/>
                <w:sz w:val="18"/>
              </w:rPr>
              <w:t>67 (+/-12) [22-95]</w:t>
            </w:r>
          </w:p>
        </w:tc>
      </w:tr>
      <w:tr w:rsidR="007344BE" w:rsidRPr="00B00EF3" w14:paraId="495F6C6F" w14:textId="77777777" w:rsidTr="00A037D3">
        <w:trPr>
          <w:gridAfter w:val="1"/>
          <w:wAfter w:w="61" w:type="dxa"/>
        </w:trPr>
        <w:tc>
          <w:tcPr>
            <w:tcW w:w="1701" w:type="dxa"/>
          </w:tcPr>
          <w:p w14:paraId="78FF060C" w14:textId="77777777" w:rsidR="007344BE" w:rsidRPr="00B00EF3" w:rsidRDefault="007344BE" w:rsidP="007344BE">
            <w:pPr>
              <w:rPr>
                <w:rFonts w:ascii="Arial" w:hAnsi="Arial" w:cs="Arial"/>
                <w:sz w:val="18"/>
              </w:rPr>
            </w:pPr>
            <w:r w:rsidRPr="00B00EF3">
              <w:rPr>
                <w:rFonts w:ascii="Arial" w:hAnsi="Arial" w:cs="Arial"/>
                <w:sz w:val="18"/>
              </w:rPr>
              <w:t>Years of education</w:t>
            </w:r>
          </w:p>
        </w:tc>
        <w:tc>
          <w:tcPr>
            <w:tcW w:w="1701" w:type="dxa"/>
          </w:tcPr>
          <w:p w14:paraId="6EDFD9C2" w14:textId="71241C9D" w:rsidR="007344BE" w:rsidRPr="007344BE" w:rsidRDefault="007344BE" w:rsidP="007344BE">
            <w:pPr>
              <w:jc w:val="center"/>
              <w:rPr>
                <w:rFonts w:ascii="Arial" w:hAnsi="Arial" w:cs="Arial"/>
                <w:sz w:val="18"/>
                <w:szCs w:val="18"/>
              </w:rPr>
            </w:pPr>
            <w:r w:rsidRPr="007344BE">
              <w:rPr>
                <w:rFonts w:ascii="Arial" w:hAnsi="Arial" w:cs="Arial"/>
                <w:sz w:val="18"/>
                <w:szCs w:val="18"/>
              </w:rPr>
              <w:t>15 (+/-4),</w:t>
            </w:r>
          </w:p>
          <w:p w14:paraId="6A97F9F6" w14:textId="1CB1D433" w:rsidR="007344BE" w:rsidRPr="007344BE" w:rsidRDefault="007344BE" w:rsidP="007344BE">
            <w:pPr>
              <w:jc w:val="center"/>
              <w:rPr>
                <w:rFonts w:ascii="Arial" w:hAnsi="Arial" w:cs="Arial"/>
                <w:sz w:val="18"/>
                <w:szCs w:val="18"/>
              </w:rPr>
            </w:pPr>
            <w:r w:rsidRPr="007344BE">
              <w:rPr>
                <w:rFonts w:ascii="Arial" w:hAnsi="Arial" w:cs="Arial"/>
                <w:sz w:val="18"/>
                <w:szCs w:val="18"/>
              </w:rPr>
              <w:t>[4-25]</w:t>
            </w:r>
          </w:p>
        </w:tc>
        <w:tc>
          <w:tcPr>
            <w:tcW w:w="1599" w:type="dxa"/>
          </w:tcPr>
          <w:p w14:paraId="76E03EC9" w14:textId="77777777" w:rsidR="007344BE" w:rsidRPr="007344BE" w:rsidRDefault="007344BE" w:rsidP="007344BE">
            <w:pPr>
              <w:jc w:val="center"/>
              <w:rPr>
                <w:rFonts w:ascii="Arial" w:hAnsi="Arial" w:cs="Arial"/>
                <w:sz w:val="18"/>
                <w:szCs w:val="18"/>
              </w:rPr>
            </w:pPr>
            <w:r w:rsidRPr="007344BE">
              <w:rPr>
                <w:rFonts w:ascii="Arial" w:hAnsi="Arial" w:cs="Arial"/>
                <w:sz w:val="18"/>
                <w:szCs w:val="18"/>
              </w:rPr>
              <w:t>16 (+/-4),</w:t>
            </w:r>
          </w:p>
          <w:p w14:paraId="635D3918" w14:textId="13D5A753" w:rsidR="007344BE" w:rsidRPr="007344BE" w:rsidRDefault="007344BE" w:rsidP="007344BE">
            <w:pPr>
              <w:jc w:val="center"/>
              <w:rPr>
                <w:rFonts w:ascii="Arial" w:hAnsi="Arial" w:cs="Arial"/>
                <w:sz w:val="18"/>
                <w:szCs w:val="18"/>
              </w:rPr>
            </w:pPr>
            <w:r w:rsidRPr="007344BE">
              <w:rPr>
                <w:rFonts w:ascii="Arial" w:hAnsi="Arial" w:cs="Arial"/>
                <w:sz w:val="18"/>
                <w:szCs w:val="18"/>
              </w:rPr>
              <w:t>[6-28]</w:t>
            </w:r>
          </w:p>
        </w:tc>
        <w:tc>
          <w:tcPr>
            <w:tcW w:w="1378" w:type="dxa"/>
          </w:tcPr>
          <w:p w14:paraId="15CBD071" w14:textId="77777777" w:rsidR="007344BE" w:rsidRPr="007344BE" w:rsidRDefault="007344BE" w:rsidP="007344BE">
            <w:pPr>
              <w:jc w:val="center"/>
              <w:rPr>
                <w:rFonts w:ascii="Arial" w:hAnsi="Arial" w:cs="Arial"/>
                <w:sz w:val="18"/>
                <w:szCs w:val="18"/>
              </w:rPr>
            </w:pPr>
            <w:r w:rsidRPr="007344BE">
              <w:rPr>
                <w:rFonts w:ascii="Arial" w:hAnsi="Arial" w:cs="Arial"/>
                <w:sz w:val="18"/>
                <w:szCs w:val="18"/>
              </w:rPr>
              <w:t>17 (+/-4),</w:t>
            </w:r>
          </w:p>
          <w:p w14:paraId="0A6428AF" w14:textId="47082D48" w:rsidR="007344BE" w:rsidRPr="007344BE" w:rsidRDefault="007344BE" w:rsidP="007344BE">
            <w:pPr>
              <w:jc w:val="center"/>
              <w:rPr>
                <w:rFonts w:ascii="Arial" w:hAnsi="Arial" w:cs="Arial"/>
                <w:sz w:val="18"/>
                <w:szCs w:val="18"/>
              </w:rPr>
            </w:pPr>
            <w:r w:rsidRPr="007344BE">
              <w:rPr>
                <w:rFonts w:ascii="Arial" w:hAnsi="Arial" w:cs="Arial"/>
                <w:sz w:val="18"/>
                <w:szCs w:val="18"/>
              </w:rPr>
              <w:t>[10-29]</w:t>
            </w:r>
          </w:p>
        </w:tc>
        <w:tc>
          <w:tcPr>
            <w:tcW w:w="1417" w:type="dxa"/>
          </w:tcPr>
          <w:p w14:paraId="5709EF86" w14:textId="116AB2F1" w:rsidR="007344BE" w:rsidRPr="007344BE" w:rsidRDefault="007344BE" w:rsidP="007344BE">
            <w:pPr>
              <w:jc w:val="center"/>
              <w:rPr>
                <w:rFonts w:ascii="Arial" w:hAnsi="Arial" w:cs="Arial"/>
                <w:sz w:val="18"/>
                <w:szCs w:val="18"/>
              </w:rPr>
            </w:pPr>
            <w:r w:rsidRPr="007344BE">
              <w:rPr>
                <w:rFonts w:ascii="Arial" w:hAnsi="Arial" w:cs="Arial"/>
                <w:sz w:val="18"/>
                <w:szCs w:val="18"/>
              </w:rPr>
              <w:t>17 (+/-4),</w:t>
            </w:r>
          </w:p>
          <w:p w14:paraId="3F7988AE" w14:textId="3336C20B" w:rsidR="007344BE" w:rsidRPr="007344BE" w:rsidRDefault="007344BE" w:rsidP="007344BE">
            <w:pPr>
              <w:jc w:val="center"/>
              <w:rPr>
                <w:rFonts w:ascii="Arial" w:hAnsi="Arial" w:cs="Arial"/>
                <w:sz w:val="18"/>
                <w:szCs w:val="18"/>
              </w:rPr>
            </w:pPr>
            <w:r w:rsidRPr="007344BE">
              <w:rPr>
                <w:rFonts w:ascii="Arial" w:hAnsi="Arial" w:cs="Arial"/>
                <w:sz w:val="18"/>
                <w:szCs w:val="18"/>
              </w:rPr>
              <w:t>[7-25]</w:t>
            </w:r>
          </w:p>
        </w:tc>
        <w:tc>
          <w:tcPr>
            <w:tcW w:w="1417" w:type="dxa"/>
          </w:tcPr>
          <w:p w14:paraId="347D6383" w14:textId="77777777" w:rsidR="007344BE" w:rsidRPr="00B00EF3" w:rsidRDefault="007344BE" w:rsidP="007344BE">
            <w:pPr>
              <w:jc w:val="center"/>
              <w:rPr>
                <w:rFonts w:ascii="Arial" w:hAnsi="Arial" w:cs="Arial"/>
                <w:sz w:val="18"/>
              </w:rPr>
            </w:pPr>
            <w:r w:rsidRPr="00B00EF3">
              <w:rPr>
                <w:rFonts w:ascii="Arial" w:hAnsi="Arial" w:cs="Arial"/>
                <w:sz w:val="18"/>
              </w:rPr>
              <w:t>16 (+/-4) [4-29]</w:t>
            </w:r>
          </w:p>
        </w:tc>
      </w:tr>
      <w:tr w:rsidR="00F70062" w:rsidRPr="00B00EF3" w14:paraId="795183FC" w14:textId="77777777" w:rsidTr="00A037D3">
        <w:tc>
          <w:tcPr>
            <w:tcW w:w="9274" w:type="dxa"/>
            <w:gridSpan w:val="7"/>
            <w:shd w:val="clear" w:color="auto" w:fill="F2F2F2" w:themeFill="background1" w:themeFillShade="F2"/>
          </w:tcPr>
          <w:p w14:paraId="6CCFC1FA" w14:textId="77777777" w:rsidR="00F70062" w:rsidRPr="00B32BBB" w:rsidRDefault="00F70062" w:rsidP="00A037D3">
            <w:pPr>
              <w:rPr>
                <w:rFonts w:ascii="Arial" w:hAnsi="Arial" w:cs="Arial"/>
                <w:b/>
                <w:sz w:val="18"/>
              </w:rPr>
            </w:pPr>
            <w:r w:rsidRPr="00B32BBB">
              <w:rPr>
                <w:rFonts w:ascii="Arial" w:hAnsi="Arial" w:cs="Arial"/>
                <w:b/>
                <w:sz w:val="18"/>
              </w:rPr>
              <w:t>Median [Range]</w:t>
            </w:r>
          </w:p>
        </w:tc>
      </w:tr>
      <w:tr w:rsidR="00F70062" w:rsidRPr="00B00EF3" w14:paraId="045D1453" w14:textId="77777777" w:rsidTr="00A037D3">
        <w:trPr>
          <w:gridAfter w:val="1"/>
          <w:wAfter w:w="61" w:type="dxa"/>
        </w:trPr>
        <w:tc>
          <w:tcPr>
            <w:tcW w:w="1701" w:type="dxa"/>
          </w:tcPr>
          <w:p w14:paraId="4741579A" w14:textId="77777777" w:rsidR="00F70062" w:rsidRDefault="00F70062" w:rsidP="00A037D3">
            <w:pPr>
              <w:rPr>
                <w:rFonts w:ascii="Arial" w:hAnsi="Arial" w:cs="Arial"/>
                <w:sz w:val="18"/>
              </w:rPr>
            </w:pPr>
            <w:r w:rsidRPr="00B00EF3">
              <w:rPr>
                <w:rFonts w:ascii="Arial" w:hAnsi="Arial" w:cs="Arial"/>
                <w:sz w:val="18"/>
              </w:rPr>
              <w:t>GAD-7 Total</w:t>
            </w:r>
            <w:r>
              <w:rPr>
                <w:rFonts w:ascii="Arial" w:hAnsi="Arial" w:cs="Arial"/>
                <w:sz w:val="18"/>
              </w:rPr>
              <w:t xml:space="preserve"> </w:t>
            </w:r>
          </w:p>
          <w:p w14:paraId="30CA8EEE" w14:textId="77777777" w:rsidR="00F70062" w:rsidRPr="00B00EF3" w:rsidRDefault="00F70062" w:rsidP="00A037D3">
            <w:pPr>
              <w:rPr>
                <w:rFonts w:ascii="Arial" w:hAnsi="Arial" w:cs="Arial"/>
                <w:sz w:val="18"/>
              </w:rPr>
            </w:pPr>
            <w:r>
              <w:rPr>
                <w:rFonts w:ascii="Arial" w:hAnsi="Arial" w:cs="Arial"/>
                <w:sz w:val="18"/>
              </w:rPr>
              <w:t>[Possible range 0-21]</w:t>
            </w:r>
          </w:p>
        </w:tc>
        <w:tc>
          <w:tcPr>
            <w:tcW w:w="1701" w:type="dxa"/>
          </w:tcPr>
          <w:p w14:paraId="65DA0E16" w14:textId="77777777" w:rsidR="00F70062" w:rsidRPr="00445A9F" w:rsidRDefault="00F70062" w:rsidP="00A037D3">
            <w:pPr>
              <w:jc w:val="center"/>
              <w:rPr>
                <w:rFonts w:ascii="Arial" w:hAnsi="Arial" w:cs="Arial"/>
                <w:sz w:val="18"/>
              </w:rPr>
            </w:pPr>
            <w:r w:rsidRPr="00445A9F">
              <w:rPr>
                <w:rFonts w:ascii="Arial" w:hAnsi="Arial" w:cs="Arial"/>
                <w:sz w:val="18"/>
              </w:rPr>
              <w:t>7 [0-20]</w:t>
            </w:r>
          </w:p>
        </w:tc>
        <w:tc>
          <w:tcPr>
            <w:tcW w:w="1599" w:type="dxa"/>
          </w:tcPr>
          <w:p w14:paraId="795B42B9" w14:textId="77777777" w:rsidR="00F70062" w:rsidRPr="00445A9F" w:rsidRDefault="00F70062" w:rsidP="00A037D3">
            <w:pPr>
              <w:jc w:val="center"/>
              <w:rPr>
                <w:rFonts w:ascii="Arial" w:hAnsi="Arial" w:cs="Arial"/>
                <w:sz w:val="18"/>
              </w:rPr>
            </w:pPr>
            <w:r w:rsidRPr="00445A9F">
              <w:rPr>
                <w:rFonts w:ascii="Arial" w:hAnsi="Arial" w:cs="Arial"/>
                <w:sz w:val="18"/>
              </w:rPr>
              <w:t>6 [0-21]</w:t>
            </w:r>
          </w:p>
        </w:tc>
        <w:tc>
          <w:tcPr>
            <w:tcW w:w="1378" w:type="dxa"/>
          </w:tcPr>
          <w:p w14:paraId="3D1BA027" w14:textId="77777777" w:rsidR="00F70062" w:rsidRPr="00446494" w:rsidRDefault="00F70062" w:rsidP="00A037D3">
            <w:pPr>
              <w:jc w:val="center"/>
              <w:rPr>
                <w:rFonts w:ascii="Arial" w:hAnsi="Arial" w:cs="Arial"/>
                <w:sz w:val="18"/>
              </w:rPr>
            </w:pPr>
            <w:r w:rsidRPr="00446494">
              <w:rPr>
                <w:rFonts w:ascii="Arial" w:hAnsi="Arial" w:cs="Arial"/>
                <w:sz w:val="18"/>
              </w:rPr>
              <w:t>4 [0-18]</w:t>
            </w:r>
          </w:p>
        </w:tc>
        <w:tc>
          <w:tcPr>
            <w:tcW w:w="1417" w:type="dxa"/>
          </w:tcPr>
          <w:p w14:paraId="67DBD633" w14:textId="77777777" w:rsidR="00F70062" w:rsidRPr="00B32BBB" w:rsidRDefault="00F70062" w:rsidP="00A037D3">
            <w:pPr>
              <w:jc w:val="center"/>
              <w:rPr>
                <w:rFonts w:ascii="Arial" w:hAnsi="Arial" w:cs="Arial"/>
                <w:sz w:val="18"/>
              </w:rPr>
            </w:pPr>
            <w:r w:rsidRPr="00B32BBB">
              <w:rPr>
                <w:rFonts w:ascii="Arial" w:hAnsi="Arial" w:cs="Arial"/>
                <w:sz w:val="18"/>
              </w:rPr>
              <w:t>1 [0-18]</w:t>
            </w:r>
          </w:p>
        </w:tc>
        <w:tc>
          <w:tcPr>
            <w:tcW w:w="1417" w:type="dxa"/>
          </w:tcPr>
          <w:p w14:paraId="77B56127" w14:textId="77777777" w:rsidR="00F70062" w:rsidRPr="00B00EF3" w:rsidRDefault="00F70062" w:rsidP="00A037D3">
            <w:pPr>
              <w:jc w:val="center"/>
              <w:rPr>
                <w:rFonts w:ascii="Arial" w:hAnsi="Arial" w:cs="Arial"/>
                <w:sz w:val="18"/>
              </w:rPr>
            </w:pPr>
            <w:r w:rsidRPr="00B00EF3">
              <w:rPr>
                <w:rFonts w:ascii="Arial" w:hAnsi="Arial" w:cs="Arial"/>
                <w:sz w:val="18"/>
              </w:rPr>
              <w:t>4 [0-21]</w:t>
            </w:r>
          </w:p>
        </w:tc>
      </w:tr>
      <w:tr w:rsidR="00F70062" w:rsidRPr="00B00EF3" w14:paraId="11CE0F69" w14:textId="77777777" w:rsidTr="00A037D3">
        <w:trPr>
          <w:gridAfter w:val="1"/>
          <w:wAfter w:w="61" w:type="dxa"/>
        </w:trPr>
        <w:tc>
          <w:tcPr>
            <w:tcW w:w="1701" w:type="dxa"/>
          </w:tcPr>
          <w:p w14:paraId="01E17113" w14:textId="77777777" w:rsidR="00F70062" w:rsidRDefault="00F70062" w:rsidP="00A037D3">
            <w:pPr>
              <w:rPr>
                <w:rFonts w:ascii="Arial" w:hAnsi="Arial" w:cs="Arial"/>
                <w:sz w:val="18"/>
              </w:rPr>
            </w:pPr>
            <w:r w:rsidRPr="00B00EF3">
              <w:rPr>
                <w:rFonts w:ascii="Arial" w:hAnsi="Arial" w:cs="Arial"/>
                <w:sz w:val="18"/>
              </w:rPr>
              <w:t>PHQ-9 Total</w:t>
            </w:r>
          </w:p>
          <w:p w14:paraId="40BB8CDE" w14:textId="77777777" w:rsidR="00F70062" w:rsidRPr="00B00EF3" w:rsidRDefault="00F70062" w:rsidP="00A037D3">
            <w:pPr>
              <w:rPr>
                <w:rFonts w:ascii="Arial" w:hAnsi="Arial" w:cs="Arial"/>
                <w:sz w:val="18"/>
              </w:rPr>
            </w:pPr>
            <w:r>
              <w:rPr>
                <w:rFonts w:ascii="Arial" w:hAnsi="Arial" w:cs="Arial"/>
                <w:sz w:val="18"/>
              </w:rPr>
              <w:t>[Possible range 0-27]</w:t>
            </w:r>
          </w:p>
        </w:tc>
        <w:tc>
          <w:tcPr>
            <w:tcW w:w="1701" w:type="dxa"/>
          </w:tcPr>
          <w:p w14:paraId="7617E582" w14:textId="77777777" w:rsidR="00F70062" w:rsidRPr="00445A9F" w:rsidRDefault="00F70062" w:rsidP="00A037D3">
            <w:pPr>
              <w:jc w:val="center"/>
              <w:rPr>
                <w:rFonts w:ascii="Arial" w:hAnsi="Arial" w:cs="Arial"/>
                <w:sz w:val="18"/>
              </w:rPr>
            </w:pPr>
            <w:r w:rsidRPr="00445A9F">
              <w:rPr>
                <w:rFonts w:ascii="Arial" w:hAnsi="Arial" w:cs="Arial"/>
                <w:sz w:val="18"/>
              </w:rPr>
              <w:t>9 [0-24]</w:t>
            </w:r>
          </w:p>
        </w:tc>
        <w:tc>
          <w:tcPr>
            <w:tcW w:w="1599" w:type="dxa"/>
          </w:tcPr>
          <w:p w14:paraId="0DCC9A4D" w14:textId="77777777" w:rsidR="00F70062" w:rsidRPr="00445A9F" w:rsidRDefault="00F70062" w:rsidP="00A037D3">
            <w:pPr>
              <w:jc w:val="center"/>
              <w:rPr>
                <w:rFonts w:ascii="Arial" w:hAnsi="Arial" w:cs="Arial"/>
                <w:sz w:val="18"/>
              </w:rPr>
            </w:pPr>
            <w:r w:rsidRPr="00445A9F">
              <w:rPr>
                <w:rFonts w:ascii="Arial" w:hAnsi="Arial" w:cs="Arial"/>
                <w:sz w:val="18"/>
              </w:rPr>
              <w:t xml:space="preserve">5 [0-21] </w:t>
            </w:r>
          </w:p>
        </w:tc>
        <w:tc>
          <w:tcPr>
            <w:tcW w:w="1378" w:type="dxa"/>
          </w:tcPr>
          <w:p w14:paraId="7D482900" w14:textId="77777777" w:rsidR="00F70062" w:rsidRPr="00446494" w:rsidRDefault="00F70062" w:rsidP="00A037D3">
            <w:pPr>
              <w:jc w:val="center"/>
              <w:rPr>
                <w:rFonts w:ascii="Arial" w:hAnsi="Arial" w:cs="Arial"/>
                <w:sz w:val="18"/>
              </w:rPr>
            </w:pPr>
            <w:r w:rsidRPr="00446494">
              <w:rPr>
                <w:rFonts w:ascii="Arial" w:hAnsi="Arial" w:cs="Arial"/>
                <w:sz w:val="18"/>
              </w:rPr>
              <w:t>4 [0-18]</w:t>
            </w:r>
          </w:p>
        </w:tc>
        <w:tc>
          <w:tcPr>
            <w:tcW w:w="1417" w:type="dxa"/>
          </w:tcPr>
          <w:p w14:paraId="5459EB92" w14:textId="77777777" w:rsidR="00F70062" w:rsidRPr="00B32BBB" w:rsidRDefault="00F70062" w:rsidP="00A037D3">
            <w:pPr>
              <w:jc w:val="center"/>
              <w:rPr>
                <w:rFonts w:ascii="Arial" w:hAnsi="Arial" w:cs="Arial"/>
                <w:sz w:val="18"/>
              </w:rPr>
            </w:pPr>
            <w:r w:rsidRPr="00B32BBB">
              <w:rPr>
                <w:rFonts w:ascii="Arial" w:hAnsi="Arial" w:cs="Arial"/>
                <w:sz w:val="18"/>
              </w:rPr>
              <w:t>2 [0-19]</w:t>
            </w:r>
          </w:p>
        </w:tc>
        <w:tc>
          <w:tcPr>
            <w:tcW w:w="1417" w:type="dxa"/>
          </w:tcPr>
          <w:p w14:paraId="18AF2293" w14:textId="77777777" w:rsidR="00F70062" w:rsidRPr="00B00EF3" w:rsidRDefault="00F70062" w:rsidP="00A037D3">
            <w:pPr>
              <w:jc w:val="center"/>
              <w:rPr>
                <w:rFonts w:ascii="Arial" w:hAnsi="Arial" w:cs="Arial"/>
                <w:sz w:val="18"/>
              </w:rPr>
            </w:pPr>
            <w:r w:rsidRPr="00B00EF3">
              <w:rPr>
                <w:rFonts w:ascii="Arial" w:hAnsi="Arial" w:cs="Arial"/>
                <w:sz w:val="18"/>
              </w:rPr>
              <w:t>4 [0-24]</w:t>
            </w:r>
          </w:p>
        </w:tc>
      </w:tr>
      <w:tr w:rsidR="00F70062" w:rsidRPr="00B00EF3" w14:paraId="4C6F7910" w14:textId="77777777" w:rsidTr="00A037D3">
        <w:trPr>
          <w:gridAfter w:val="1"/>
          <w:wAfter w:w="61" w:type="dxa"/>
        </w:trPr>
        <w:tc>
          <w:tcPr>
            <w:tcW w:w="1701" w:type="dxa"/>
          </w:tcPr>
          <w:p w14:paraId="2931F6DA" w14:textId="77777777" w:rsidR="00F70062" w:rsidRDefault="00F70062" w:rsidP="00A037D3">
            <w:pPr>
              <w:rPr>
                <w:rFonts w:ascii="Arial" w:hAnsi="Arial" w:cs="Arial"/>
                <w:sz w:val="18"/>
              </w:rPr>
            </w:pPr>
            <w:r w:rsidRPr="00B00EF3">
              <w:rPr>
                <w:rFonts w:ascii="Arial" w:hAnsi="Arial" w:cs="Arial"/>
                <w:sz w:val="18"/>
              </w:rPr>
              <w:t>SWEMWBS Total</w:t>
            </w:r>
          </w:p>
          <w:p w14:paraId="7CD7DC83" w14:textId="77777777" w:rsidR="00F70062" w:rsidRPr="00B00EF3" w:rsidRDefault="00F70062" w:rsidP="00A037D3">
            <w:pPr>
              <w:rPr>
                <w:rFonts w:ascii="Arial" w:hAnsi="Arial" w:cs="Arial"/>
                <w:sz w:val="18"/>
              </w:rPr>
            </w:pPr>
            <w:r>
              <w:rPr>
                <w:rFonts w:ascii="Arial" w:hAnsi="Arial" w:cs="Arial"/>
                <w:sz w:val="18"/>
              </w:rPr>
              <w:t>[Possible range 0-35]</w:t>
            </w:r>
          </w:p>
        </w:tc>
        <w:tc>
          <w:tcPr>
            <w:tcW w:w="1701" w:type="dxa"/>
          </w:tcPr>
          <w:p w14:paraId="00338D32" w14:textId="77777777" w:rsidR="00F70062" w:rsidRPr="00445A9F" w:rsidRDefault="00F70062" w:rsidP="00A037D3">
            <w:pPr>
              <w:jc w:val="center"/>
              <w:rPr>
                <w:rFonts w:ascii="Arial" w:hAnsi="Arial" w:cs="Arial"/>
                <w:sz w:val="18"/>
              </w:rPr>
            </w:pPr>
            <w:r w:rsidRPr="00445A9F">
              <w:rPr>
                <w:rFonts w:ascii="Arial" w:hAnsi="Arial" w:cs="Arial"/>
                <w:sz w:val="18"/>
              </w:rPr>
              <w:t>22 [7-35]</w:t>
            </w:r>
          </w:p>
        </w:tc>
        <w:tc>
          <w:tcPr>
            <w:tcW w:w="1599" w:type="dxa"/>
          </w:tcPr>
          <w:p w14:paraId="54BC7787" w14:textId="77777777" w:rsidR="00F70062" w:rsidRPr="00445A9F" w:rsidRDefault="00F70062" w:rsidP="00A037D3">
            <w:pPr>
              <w:jc w:val="center"/>
              <w:rPr>
                <w:rFonts w:ascii="Arial" w:hAnsi="Arial" w:cs="Arial"/>
                <w:sz w:val="18"/>
              </w:rPr>
            </w:pPr>
            <w:r w:rsidRPr="00445A9F">
              <w:rPr>
                <w:rFonts w:ascii="Arial" w:hAnsi="Arial" w:cs="Arial"/>
                <w:sz w:val="18"/>
              </w:rPr>
              <w:t>24 [11-35]</w:t>
            </w:r>
          </w:p>
        </w:tc>
        <w:tc>
          <w:tcPr>
            <w:tcW w:w="1378" w:type="dxa"/>
          </w:tcPr>
          <w:p w14:paraId="5D425102" w14:textId="77777777" w:rsidR="00F70062" w:rsidRPr="00446494" w:rsidRDefault="00F70062" w:rsidP="00A037D3">
            <w:pPr>
              <w:jc w:val="center"/>
              <w:rPr>
                <w:rFonts w:ascii="Arial" w:hAnsi="Arial" w:cs="Arial"/>
                <w:sz w:val="18"/>
              </w:rPr>
            </w:pPr>
            <w:r w:rsidRPr="00446494">
              <w:rPr>
                <w:rFonts w:ascii="Arial" w:hAnsi="Arial" w:cs="Arial"/>
                <w:sz w:val="18"/>
              </w:rPr>
              <w:t xml:space="preserve">25 [12-35] </w:t>
            </w:r>
          </w:p>
        </w:tc>
        <w:tc>
          <w:tcPr>
            <w:tcW w:w="1417" w:type="dxa"/>
          </w:tcPr>
          <w:p w14:paraId="542A8F38" w14:textId="77777777" w:rsidR="00F70062" w:rsidRPr="00B32BBB" w:rsidRDefault="00F70062" w:rsidP="00A037D3">
            <w:pPr>
              <w:jc w:val="center"/>
              <w:rPr>
                <w:rFonts w:ascii="Arial" w:hAnsi="Arial" w:cs="Arial"/>
                <w:sz w:val="18"/>
              </w:rPr>
            </w:pPr>
            <w:r w:rsidRPr="00B32BBB">
              <w:rPr>
                <w:rFonts w:ascii="Arial" w:hAnsi="Arial" w:cs="Arial"/>
                <w:sz w:val="18"/>
              </w:rPr>
              <w:t>28 [11-35]</w:t>
            </w:r>
          </w:p>
        </w:tc>
        <w:tc>
          <w:tcPr>
            <w:tcW w:w="1417" w:type="dxa"/>
          </w:tcPr>
          <w:p w14:paraId="7FC53AD8" w14:textId="77777777" w:rsidR="00F70062" w:rsidRPr="00B00EF3" w:rsidRDefault="00F70062" w:rsidP="00A037D3">
            <w:pPr>
              <w:jc w:val="center"/>
              <w:rPr>
                <w:rFonts w:ascii="Arial" w:hAnsi="Arial" w:cs="Arial"/>
                <w:sz w:val="18"/>
              </w:rPr>
            </w:pPr>
            <w:r w:rsidRPr="00B00EF3">
              <w:rPr>
                <w:rFonts w:ascii="Arial" w:hAnsi="Arial" w:cs="Arial"/>
                <w:sz w:val="18"/>
              </w:rPr>
              <w:t>26 [7-35]</w:t>
            </w:r>
          </w:p>
        </w:tc>
      </w:tr>
    </w:tbl>
    <w:p w14:paraId="6B8439BF" w14:textId="77777777" w:rsidR="00F70062" w:rsidRDefault="00F70062" w:rsidP="00F70062">
      <w:pPr>
        <w:spacing w:after="0"/>
        <w:jc w:val="both"/>
        <w:rPr>
          <w:rFonts w:ascii="Arial" w:hAnsi="Arial" w:cs="Arial"/>
          <w:sz w:val="18"/>
        </w:rPr>
      </w:pPr>
      <w:r w:rsidRPr="001337FE">
        <w:rPr>
          <w:rFonts w:ascii="Arial" w:hAnsi="Arial" w:cs="Arial"/>
          <w:b/>
          <w:sz w:val="18"/>
        </w:rPr>
        <w:t xml:space="preserve">Legend. </w:t>
      </w:r>
      <w:r>
        <w:rPr>
          <w:rFonts w:ascii="Arial" w:hAnsi="Arial" w:cs="Arial"/>
          <w:sz w:val="18"/>
        </w:rPr>
        <w:t>GAD-7 = General Anxiety Disorder; PHQ-9 – Personal Health Questionnaire; SWEMWBS – Short Warwick and Edinburgh Mental Well-Being Scale.</w:t>
      </w:r>
    </w:p>
    <w:p w14:paraId="4AA8338C" w14:textId="7501B2B3" w:rsidR="00F70062" w:rsidRPr="001337FE" w:rsidRDefault="00F70062" w:rsidP="00F70062">
      <w:pPr>
        <w:jc w:val="both"/>
        <w:rPr>
          <w:rFonts w:ascii="Arial" w:hAnsi="Arial" w:cs="Arial"/>
          <w:sz w:val="18"/>
        </w:rPr>
      </w:pPr>
      <w:r>
        <w:rPr>
          <w:rFonts w:ascii="Arial" w:hAnsi="Arial" w:cs="Arial"/>
          <w:sz w:val="18"/>
        </w:rPr>
        <w:t>Higher scores on the GAD-7, PHQ-9, and the SWEMWBS indicate higher levels of anxiety, depression and well-being, respectively.</w:t>
      </w:r>
      <w:r w:rsidR="0087019B">
        <w:rPr>
          <w:rFonts w:ascii="Arial" w:hAnsi="Arial" w:cs="Arial"/>
          <w:sz w:val="18"/>
        </w:rPr>
        <w:t xml:space="preserve"> IMD Quintile 1 indicates the least disadvantaged neighbourhoods and Quintile 5 the most disadvantaged neighbourhoods.</w:t>
      </w:r>
    </w:p>
    <w:p w14:paraId="31CE4FB6" w14:textId="77777777" w:rsidR="00F70062" w:rsidRDefault="00F70062" w:rsidP="00F70062">
      <w:pPr>
        <w:jc w:val="both"/>
        <w:rPr>
          <w:rFonts w:ascii="Arial" w:hAnsi="Arial" w:cs="Arial"/>
          <w:b/>
        </w:rPr>
      </w:pPr>
    </w:p>
    <w:p w14:paraId="52D4C864" w14:textId="77777777" w:rsidR="00F70062" w:rsidRDefault="00F70062" w:rsidP="00F70062"/>
    <w:p w14:paraId="7ABAA6AB" w14:textId="69D7CDE1" w:rsidR="00F70062" w:rsidRDefault="00F70062" w:rsidP="00F70062">
      <w:pPr>
        <w:jc w:val="both"/>
        <w:rPr>
          <w:rFonts w:ascii="Arial" w:hAnsi="Arial" w:cs="Arial"/>
          <w:b/>
        </w:rPr>
      </w:pPr>
      <w:bookmarkStart w:id="6" w:name="_Hlk41157042"/>
    </w:p>
    <w:p w14:paraId="6598D765" w14:textId="3F292D32" w:rsidR="00F70062" w:rsidRDefault="00B33238" w:rsidP="00F70062">
      <w:pPr>
        <w:jc w:val="both"/>
        <w:rPr>
          <w:rFonts w:ascii="Arial" w:hAnsi="Arial" w:cs="Arial"/>
          <w:b/>
        </w:rPr>
      </w:pPr>
      <w:r>
        <w:rPr>
          <w:noProof/>
        </w:rPr>
        <w:lastRenderedPageBreak/>
        <w:drawing>
          <wp:inline distT="0" distB="0" distL="0" distR="0" wp14:anchorId="29B79ECC" wp14:editId="460D9157">
            <wp:extent cx="3784349" cy="2353901"/>
            <wp:effectExtent l="0" t="0" r="6985" b="8890"/>
            <wp:docPr id="1" name="Chart 1">
              <a:extLst xmlns:a="http://schemas.openxmlformats.org/drawingml/2006/main">
                <a:ext uri="{FF2B5EF4-FFF2-40B4-BE49-F238E27FC236}">
                  <a16:creationId xmlns:a16="http://schemas.microsoft.com/office/drawing/2014/main" id="{4C2D6234-7288-40E2-A642-4C4A15BE8F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8C1F79" w14:textId="11C9C656" w:rsidR="00F70062" w:rsidRDefault="00B33238" w:rsidP="00F70062">
      <w:pPr>
        <w:jc w:val="both"/>
        <w:rPr>
          <w:rFonts w:ascii="Arial" w:hAnsi="Arial" w:cs="Arial"/>
          <w:b/>
        </w:rPr>
      </w:pPr>
      <w:r>
        <w:rPr>
          <w:noProof/>
        </w:rPr>
        <w:drawing>
          <wp:inline distT="0" distB="0" distL="0" distR="0" wp14:anchorId="643892FA" wp14:editId="0CFE45D5">
            <wp:extent cx="3783965" cy="2553077"/>
            <wp:effectExtent l="0" t="0" r="6985" b="0"/>
            <wp:docPr id="2" name="Chart 2">
              <a:extLst xmlns:a="http://schemas.openxmlformats.org/drawingml/2006/main">
                <a:ext uri="{FF2B5EF4-FFF2-40B4-BE49-F238E27FC236}">
                  <a16:creationId xmlns:a16="http://schemas.microsoft.com/office/drawing/2014/main" id="{DBFC02D9-1ACB-4AD5-B2EC-AF994A9F2D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CA8F70" w14:textId="4E95BB5C" w:rsidR="00B33238" w:rsidRDefault="00B33238" w:rsidP="00F70062">
      <w:pPr>
        <w:jc w:val="both"/>
        <w:rPr>
          <w:rFonts w:ascii="Arial" w:hAnsi="Arial" w:cs="Arial"/>
          <w:b/>
        </w:rPr>
      </w:pPr>
      <w:r>
        <w:rPr>
          <w:noProof/>
        </w:rPr>
        <w:drawing>
          <wp:inline distT="0" distB="0" distL="0" distR="0" wp14:anchorId="5FA614F6" wp14:editId="124DD29E">
            <wp:extent cx="3783965" cy="2408222"/>
            <wp:effectExtent l="0" t="0" r="6985" b="11430"/>
            <wp:docPr id="4" name="Chart 4">
              <a:extLst xmlns:a="http://schemas.openxmlformats.org/drawingml/2006/main">
                <a:ext uri="{FF2B5EF4-FFF2-40B4-BE49-F238E27FC236}">
                  <a16:creationId xmlns:a16="http://schemas.microsoft.com/office/drawing/2014/main" id="{49008DE8-374A-4EC9-B240-59C6A5954F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418898" w14:textId="3F01A1EC" w:rsidR="00B33238" w:rsidRDefault="00B33238" w:rsidP="00F70062">
      <w:pPr>
        <w:jc w:val="both"/>
        <w:rPr>
          <w:rFonts w:ascii="Arial" w:hAnsi="Arial" w:cs="Arial"/>
          <w:b/>
        </w:rPr>
      </w:pPr>
      <w:r>
        <w:rPr>
          <w:noProof/>
        </w:rPr>
        <w:lastRenderedPageBreak/>
        <w:drawing>
          <wp:inline distT="0" distB="0" distL="0" distR="0" wp14:anchorId="3CADB7CC" wp14:editId="5878C388">
            <wp:extent cx="3784349" cy="2181885"/>
            <wp:effectExtent l="0" t="0" r="6985" b="8890"/>
            <wp:docPr id="5" name="Chart 5">
              <a:extLst xmlns:a="http://schemas.openxmlformats.org/drawingml/2006/main">
                <a:ext uri="{FF2B5EF4-FFF2-40B4-BE49-F238E27FC236}">
                  <a16:creationId xmlns:a16="http://schemas.microsoft.com/office/drawing/2014/main" id="{94BDCDF1-C370-45E3-9B7C-98A73BEB82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D24711" w14:textId="77777777" w:rsidR="00F70062" w:rsidRDefault="00F70062" w:rsidP="00F70062">
      <w:pPr>
        <w:spacing w:after="0"/>
        <w:jc w:val="both"/>
        <w:rPr>
          <w:rFonts w:ascii="Arial" w:hAnsi="Arial" w:cs="Arial"/>
          <w:b/>
        </w:rPr>
      </w:pPr>
      <w:r>
        <w:rPr>
          <w:rFonts w:ascii="Arial" w:hAnsi="Arial" w:cs="Arial"/>
          <w:b/>
        </w:rPr>
        <w:t>Figure 1. Social support service usage before and since COVID-19 lockdown by group</w:t>
      </w:r>
    </w:p>
    <w:bookmarkEnd w:id="6"/>
    <w:p w14:paraId="6CFD26BF" w14:textId="5D96E05B" w:rsidR="00F70062" w:rsidRPr="00C81142" w:rsidRDefault="00F70062" w:rsidP="00F70062">
      <w:pPr>
        <w:jc w:val="both"/>
        <w:rPr>
          <w:rFonts w:ascii="Arial" w:hAnsi="Arial" w:cs="Arial"/>
          <w:sz w:val="18"/>
        </w:rPr>
      </w:pPr>
      <w:r>
        <w:rPr>
          <w:rFonts w:ascii="Arial" w:hAnsi="Arial" w:cs="Arial"/>
          <w:b/>
          <w:sz w:val="18"/>
        </w:rPr>
        <w:t xml:space="preserve">Legend. </w:t>
      </w:r>
      <w:r w:rsidRPr="006A0ACD">
        <w:rPr>
          <w:rFonts w:ascii="Arial" w:hAnsi="Arial" w:cs="Arial"/>
          <w:sz w:val="18"/>
        </w:rPr>
        <w:t>T1= Before COVID-19 lockdown; T2 = Since COVID-19 lockdown. Bar</w:t>
      </w:r>
      <w:r>
        <w:rPr>
          <w:rFonts w:ascii="Arial" w:hAnsi="Arial" w:cs="Arial"/>
          <w:sz w:val="18"/>
        </w:rPr>
        <w:t xml:space="preserve"> charts represent the proportion of participants within each group who reported having accessed individual social support services pre and since COVID.</w:t>
      </w:r>
    </w:p>
    <w:p w14:paraId="46C469D8" w14:textId="77777777" w:rsidR="00F70062" w:rsidRDefault="00F70062" w:rsidP="00F70062">
      <w:pPr>
        <w:jc w:val="both"/>
        <w:rPr>
          <w:rFonts w:ascii="Arial" w:hAnsi="Arial" w:cs="Arial"/>
          <w:b/>
        </w:rPr>
      </w:pPr>
    </w:p>
    <w:p w14:paraId="781D5211" w14:textId="77777777" w:rsidR="00F70062" w:rsidRDefault="00F70062" w:rsidP="00F70062">
      <w:pPr>
        <w:jc w:val="both"/>
        <w:rPr>
          <w:rFonts w:ascii="Arial" w:hAnsi="Arial" w:cs="Arial"/>
          <w:b/>
        </w:rPr>
      </w:pPr>
    </w:p>
    <w:p w14:paraId="61F9B383" w14:textId="0C447A31" w:rsidR="00F70062" w:rsidRDefault="00F70062" w:rsidP="00144391">
      <w:pPr>
        <w:jc w:val="both"/>
        <w:rPr>
          <w:rFonts w:ascii="Arial" w:hAnsi="Arial" w:cs="Arial"/>
        </w:rPr>
      </w:pPr>
    </w:p>
    <w:p w14:paraId="3A10508A" w14:textId="1EEE9474" w:rsidR="00F70062" w:rsidRDefault="00F70062" w:rsidP="00144391">
      <w:pPr>
        <w:jc w:val="both"/>
        <w:rPr>
          <w:rFonts w:ascii="Arial" w:hAnsi="Arial" w:cs="Arial"/>
        </w:rPr>
      </w:pPr>
    </w:p>
    <w:p w14:paraId="41C1E335" w14:textId="46364384" w:rsidR="00F70062" w:rsidRDefault="00F70062" w:rsidP="00144391">
      <w:pPr>
        <w:jc w:val="both"/>
        <w:rPr>
          <w:rFonts w:ascii="Arial" w:hAnsi="Arial" w:cs="Arial"/>
        </w:rPr>
      </w:pPr>
    </w:p>
    <w:p w14:paraId="2AC901EF" w14:textId="7C5C05A3" w:rsidR="00F70062" w:rsidRDefault="00F70062" w:rsidP="00144391">
      <w:pPr>
        <w:jc w:val="both"/>
        <w:rPr>
          <w:rFonts w:ascii="Arial" w:hAnsi="Arial" w:cs="Arial"/>
        </w:rPr>
      </w:pPr>
    </w:p>
    <w:p w14:paraId="715139EB" w14:textId="5427E860" w:rsidR="00F70062" w:rsidRDefault="00F70062" w:rsidP="00144391">
      <w:pPr>
        <w:jc w:val="both"/>
        <w:rPr>
          <w:rFonts w:ascii="Arial" w:hAnsi="Arial" w:cs="Arial"/>
        </w:rPr>
      </w:pPr>
    </w:p>
    <w:p w14:paraId="1A0A9C65" w14:textId="241E894A" w:rsidR="00F70062" w:rsidRDefault="00F70062" w:rsidP="00144391">
      <w:pPr>
        <w:jc w:val="both"/>
        <w:rPr>
          <w:rFonts w:ascii="Arial" w:hAnsi="Arial" w:cs="Arial"/>
        </w:rPr>
      </w:pPr>
    </w:p>
    <w:p w14:paraId="42859102" w14:textId="1918CB40" w:rsidR="00F70062" w:rsidRDefault="00F70062" w:rsidP="00144391">
      <w:pPr>
        <w:jc w:val="both"/>
        <w:rPr>
          <w:rFonts w:ascii="Arial" w:hAnsi="Arial" w:cs="Arial"/>
        </w:rPr>
      </w:pPr>
    </w:p>
    <w:p w14:paraId="673A21B3" w14:textId="3C2BCCDC" w:rsidR="00F70062" w:rsidRDefault="00F70062" w:rsidP="00144391">
      <w:pPr>
        <w:jc w:val="both"/>
        <w:rPr>
          <w:rFonts w:ascii="Arial" w:hAnsi="Arial" w:cs="Arial"/>
        </w:rPr>
      </w:pPr>
    </w:p>
    <w:p w14:paraId="775EDEEC" w14:textId="0D9AFD1F" w:rsidR="00F70062" w:rsidRDefault="00F70062" w:rsidP="00144391">
      <w:pPr>
        <w:jc w:val="both"/>
        <w:rPr>
          <w:rFonts w:ascii="Arial" w:hAnsi="Arial" w:cs="Arial"/>
        </w:rPr>
      </w:pPr>
    </w:p>
    <w:p w14:paraId="0DED4BA2" w14:textId="637B3042" w:rsidR="00F70062" w:rsidRDefault="00F70062" w:rsidP="00144391">
      <w:pPr>
        <w:jc w:val="both"/>
        <w:rPr>
          <w:rFonts w:ascii="Arial" w:hAnsi="Arial" w:cs="Arial"/>
        </w:rPr>
      </w:pPr>
    </w:p>
    <w:p w14:paraId="07F74CD7" w14:textId="354B870F" w:rsidR="00F70062" w:rsidRDefault="00F70062" w:rsidP="00144391">
      <w:pPr>
        <w:jc w:val="both"/>
        <w:rPr>
          <w:rFonts w:ascii="Arial" w:hAnsi="Arial" w:cs="Arial"/>
        </w:rPr>
      </w:pPr>
    </w:p>
    <w:p w14:paraId="2D8911B5" w14:textId="7E791CA0" w:rsidR="00F70062" w:rsidRDefault="00F70062" w:rsidP="00144391">
      <w:pPr>
        <w:jc w:val="both"/>
        <w:rPr>
          <w:rFonts w:ascii="Arial" w:hAnsi="Arial" w:cs="Arial"/>
        </w:rPr>
      </w:pPr>
    </w:p>
    <w:p w14:paraId="074C1818" w14:textId="0D450ED6" w:rsidR="00F70062" w:rsidRDefault="00F70062" w:rsidP="00144391">
      <w:pPr>
        <w:jc w:val="both"/>
        <w:rPr>
          <w:rFonts w:ascii="Arial" w:hAnsi="Arial" w:cs="Arial"/>
        </w:rPr>
      </w:pPr>
    </w:p>
    <w:p w14:paraId="2D56F179" w14:textId="7B7A7E9A" w:rsidR="00F70062" w:rsidRDefault="00F70062" w:rsidP="00144391">
      <w:pPr>
        <w:jc w:val="both"/>
        <w:rPr>
          <w:rFonts w:ascii="Arial" w:hAnsi="Arial" w:cs="Arial"/>
        </w:rPr>
      </w:pPr>
    </w:p>
    <w:p w14:paraId="2557DD5F" w14:textId="548AA1D6" w:rsidR="00F70062" w:rsidRDefault="00F70062" w:rsidP="00144391">
      <w:pPr>
        <w:jc w:val="both"/>
        <w:rPr>
          <w:rFonts w:ascii="Arial" w:hAnsi="Arial" w:cs="Arial"/>
        </w:rPr>
      </w:pPr>
    </w:p>
    <w:p w14:paraId="656F6D99" w14:textId="77777777" w:rsidR="00B23BFB" w:rsidRDefault="00B23BFB" w:rsidP="00144391">
      <w:pPr>
        <w:jc w:val="both"/>
        <w:rPr>
          <w:rFonts w:ascii="Arial" w:hAnsi="Arial" w:cs="Arial"/>
        </w:rPr>
      </w:pPr>
    </w:p>
    <w:p w14:paraId="0A106BC1" w14:textId="33027AD8" w:rsidR="00F70062" w:rsidRDefault="00F70062" w:rsidP="00144391">
      <w:pPr>
        <w:jc w:val="both"/>
        <w:rPr>
          <w:rFonts w:ascii="Arial" w:hAnsi="Arial" w:cs="Arial"/>
        </w:rPr>
      </w:pPr>
    </w:p>
    <w:p w14:paraId="012F7EFF" w14:textId="1627BDE7" w:rsidR="00F70062" w:rsidRDefault="00F70062" w:rsidP="00144391">
      <w:pPr>
        <w:jc w:val="both"/>
        <w:rPr>
          <w:rFonts w:ascii="Arial" w:hAnsi="Arial" w:cs="Arial"/>
        </w:rPr>
      </w:pPr>
    </w:p>
    <w:p w14:paraId="0DAD026A" w14:textId="41426407" w:rsidR="00F70062" w:rsidRDefault="00F70062" w:rsidP="00144391">
      <w:pPr>
        <w:jc w:val="both"/>
        <w:rPr>
          <w:rFonts w:ascii="Arial" w:hAnsi="Arial" w:cs="Arial"/>
        </w:rPr>
      </w:pPr>
    </w:p>
    <w:p w14:paraId="2B0435A0" w14:textId="5B8A0B72" w:rsidR="00F70062" w:rsidRDefault="00F70062" w:rsidP="00144391">
      <w:pPr>
        <w:jc w:val="both"/>
        <w:rPr>
          <w:rFonts w:ascii="Arial" w:hAnsi="Arial" w:cs="Arial"/>
        </w:rPr>
      </w:pPr>
    </w:p>
    <w:p w14:paraId="20C25B59" w14:textId="77777777" w:rsidR="00F70062" w:rsidRDefault="00F70062" w:rsidP="00F70062">
      <w:pPr>
        <w:jc w:val="both"/>
        <w:rPr>
          <w:rFonts w:ascii="Arial" w:hAnsi="Arial" w:cs="Arial"/>
          <w:b/>
        </w:rPr>
      </w:pPr>
      <w:r w:rsidRPr="00731AF0">
        <w:rPr>
          <w:rFonts w:ascii="Arial" w:hAnsi="Arial" w:cs="Arial"/>
          <w:b/>
        </w:rPr>
        <w:lastRenderedPageBreak/>
        <w:t>Table 2. Social support</w:t>
      </w:r>
      <w:r>
        <w:rPr>
          <w:rFonts w:ascii="Arial" w:hAnsi="Arial" w:cs="Arial"/>
          <w:b/>
        </w:rPr>
        <w:t xml:space="preserve"> service usage before and since COVID-19 lockdown  </w:t>
      </w:r>
    </w:p>
    <w:tbl>
      <w:tblPr>
        <w:tblStyle w:val="TableGrid"/>
        <w:tblW w:w="6799" w:type="dxa"/>
        <w:tblBorders>
          <w:insideV w:val="none" w:sz="0" w:space="0" w:color="auto"/>
        </w:tblBorders>
        <w:tblLook w:val="04A0" w:firstRow="1" w:lastRow="0" w:firstColumn="1" w:lastColumn="0" w:noHBand="0" w:noVBand="1"/>
      </w:tblPr>
      <w:tblGrid>
        <w:gridCol w:w="2830"/>
        <w:gridCol w:w="2254"/>
        <w:gridCol w:w="1715"/>
      </w:tblGrid>
      <w:tr w:rsidR="00F70062" w:rsidRPr="00144193" w14:paraId="0C3D4B5B" w14:textId="77777777" w:rsidTr="00B23BFB">
        <w:tc>
          <w:tcPr>
            <w:tcW w:w="2830" w:type="dxa"/>
          </w:tcPr>
          <w:p w14:paraId="5B371D14" w14:textId="77777777" w:rsidR="00F70062" w:rsidRPr="00144193" w:rsidRDefault="00F70062" w:rsidP="00A037D3">
            <w:pPr>
              <w:jc w:val="both"/>
              <w:rPr>
                <w:rFonts w:ascii="Arial" w:hAnsi="Arial" w:cs="Arial"/>
                <w:b/>
                <w:sz w:val="20"/>
              </w:rPr>
            </w:pPr>
            <w:r w:rsidRPr="00144193">
              <w:rPr>
                <w:rFonts w:ascii="Arial" w:hAnsi="Arial" w:cs="Arial"/>
                <w:b/>
                <w:sz w:val="20"/>
              </w:rPr>
              <w:t>Type of social support</w:t>
            </w:r>
          </w:p>
        </w:tc>
        <w:tc>
          <w:tcPr>
            <w:tcW w:w="2254" w:type="dxa"/>
          </w:tcPr>
          <w:p w14:paraId="6C63677F" w14:textId="77777777" w:rsidR="00F70062" w:rsidRPr="00144193" w:rsidRDefault="00F70062" w:rsidP="00A037D3">
            <w:pPr>
              <w:jc w:val="center"/>
              <w:rPr>
                <w:rFonts w:ascii="Arial" w:hAnsi="Arial" w:cs="Arial"/>
                <w:b/>
                <w:sz w:val="20"/>
              </w:rPr>
            </w:pPr>
            <w:r>
              <w:rPr>
                <w:rFonts w:ascii="Arial" w:hAnsi="Arial" w:cs="Arial"/>
                <w:b/>
                <w:sz w:val="20"/>
              </w:rPr>
              <w:t>T1</w:t>
            </w:r>
          </w:p>
        </w:tc>
        <w:tc>
          <w:tcPr>
            <w:tcW w:w="1715" w:type="dxa"/>
          </w:tcPr>
          <w:p w14:paraId="3C866E2B" w14:textId="77777777" w:rsidR="00F70062" w:rsidRPr="00144193" w:rsidRDefault="00F70062" w:rsidP="00A037D3">
            <w:pPr>
              <w:jc w:val="center"/>
              <w:rPr>
                <w:rFonts w:ascii="Arial" w:hAnsi="Arial" w:cs="Arial"/>
                <w:b/>
                <w:sz w:val="20"/>
              </w:rPr>
            </w:pPr>
            <w:r>
              <w:rPr>
                <w:rFonts w:ascii="Arial" w:hAnsi="Arial" w:cs="Arial"/>
                <w:b/>
                <w:sz w:val="20"/>
              </w:rPr>
              <w:t>T2</w:t>
            </w:r>
          </w:p>
        </w:tc>
      </w:tr>
      <w:tr w:rsidR="00F70062" w14:paraId="285C46BE" w14:textId="77777777" w:rsidTr="00B23BFB">
        <w:tc>
          <w:tcPr>
            <w:tcW w:w="2830" w:type="dxa"/>
          </w:tcPr>
          <w:p w14:paraId="26808C78" w14:textId="77777777" w:rsidR="00F70062" w:rsidRDefault="00F70062" w:rsidP="00A037D3">
            <w:pPr>
              <w:jc w:val="both"/>
              <w:rPr>
                <w:rFonts w:ascii="Arial" w:hAnsi="Arial" w:cs="Arial"/>
                <w:sz w:val="20"/>
              </w:rPr>
            </w:pPr>
            <w:r>
              <w:rPr>
                <w:rFonts w:ascii="Arial" w:hAnsi="Arial" w:cs="Arial"/>
                <w:sz w:val="20"/>
              </w:rPr>
              <w:t>Paid carers</w:t>
            </w:r>
          </w:p>
        </w:tc>
        <w:tc>
          <w:tcPr>
            <w:tcW w:w="2254" w:type="dxa"/>
          </w:tcPr>
          <w:p w14:paraId="2C99AA17" w14:textId="49C1298F" w:rsidR="00F70062" w:rsidRDefault="00B23BFB" w:rsidP="00A037D3">
            <w:pPr>
              <w:jc w:val="center"/>
              <w:rPr>
                <w:rFonts w:ascii="Arial" w:hAnsi="Arial" w:cs="Arial"/>
                <w:sz w:val="20"/>
              </w:rPr>
            </w:pPr>
            <w:r>
              <w:rPr>
                <w:rFonts w:ascii="Arial" w:hAnsi="Arial" w:cs="Arial"/>
                <w:sz w:val="20"/>
              </w:rPr>
              <w:t>99</w:t>
            </w:r>
            <w:r w:rsidR="00F70062">
              <w:rPr>
                <w:rFonts w:ascii="Arial" w:hAnsi="Arial" w:cs="Arial"/>
                <w:sz w:val="20"/>
              </w:rPr>
              <w:t xml:space="preserve"> (1</w:t>
            </w:r>
            <w:r>
              <w:rPr>
                <w:rFonts w:ascii="Arial" w:hAnsi="Arial" w:cs="Arial"/>
                <w:sz w:val="20"/>
              </w:rPr>
              <w:t>7.4</w:t>
            </w:r>
            <w:r w:rsidR="00F70062">
              <w:rPr>
                <w:rFonts w:ascii="Arial" w:hAnsi="Arial" w:cs="Arial"/>
                <w:sz w:val="20"/>
              </w:rPr>
              <w:t>%)</w:t>
            </w:r>
          </w:p>
        </w:tc>
        <w:tc>
          <w:tcPr>
            <w:tcW w:w="1715" w:type="dxa"/>
          </w:tcPr>
          <w:p w14:paraId="1E1F0DAC" w14:textId="2D4F7933" w:rsidR="00F70062" w:rsidRDefault="00B23BFB" w:rsidP="00A037D3">
            <w:pPr>
              <w:jc w:val="center"/>
              <w:rPr>
                <w:rFonts w:ascii="Arial" w:hAnsi="Arial" w:cs="Arial"/>
                <w:sz w:val="20"/>
              </w:rPr>
            </w:pPr>
            <w:r>
              <w:rPr>
                <w:rFonts w:ascii="Arial" w:hAnsi="Arial" w:cs="Arial"/>
                <w:sz w:val="20"/>
              </w:rPr>
              <w:t>77</w:t>
            </w:r>
            <w:r w:rsidR="00F70062">
              <w:rPr>
                <w:rFonts w:ascii="Arial" w:hAnsi="Arial" w:cs="Arial"/>
                <w:sz w:val="20"/>
              </w:rPr>
              <w:t xml:space="preserve"> (1</w:t>
            </w:r>
            <w:r>
              <w:rPr>
                <w:rFonts w:ascii="Arial" w:hAnsi="Arial" w:cs="Arial"/>
                <w:sz w:val="20"/>
              </w:rPr>
              <w:t>3.5</w:t>
            </w:r>
            <w:r w:rsidR="00F70062">
              <w:rPr>
                <w:rFonts w:ascii="Arial" w:hAnsi="Arial" w:cs="Arial"/>
                <w:sz w:val="20"/>
              </w:rPr>
              <w:t>%)</w:t>
            </w:r>
          </w:p>
        </w:tc>
      </w:tr>
      <w:tr w:rsidR="00F70062" w14:paraId="6BBBDCD1" w14:textId="77777777" w:rsidTr="00B23BFB">
        <w:tc>
          <w:tcPr>
            <w:tcW w:w="2830" w:type="dxa"/>
          </w:tcPr>
          <w:p w14:paraId="7712B6E5" w14:textId="77777777" w:rsidR="00F70062" w:rsidRDefault="00F70062" w:rsidP="00A037D3">
            <w:pPr>
              <w:jc w:val="both"/>
              <w:rPr>
                <w:rFonts w:ascii="Arial" w:hAnsi="Arial" w:cs="Arial"/>
                <w:sz w:val="20"/>
              </w:rPr>
            </w:pPr>
            <w:r>
              <w:rPr>
                <w:rFonts w:ascii="Arial" w:hAnsi="Arial" w:cs="Arial"/>
                <w:sz w:val="20"/>
              </w:rPr>
              <w:t>Support groups</w:t>
            </w:r>
          </w:p>
        </w:tc>
        <w:tc>
          <w:tcPr>
            <w:tcW w:w="2254" w:type="dxa"/>
          </w:tcPr>
          <w:p w14:paraId="23FF6129" w14:textId="46BE95BE" w:rsidR="00F70062" w:rsidRDefault="00F70062" w:rsidP="00A037D3">
            <w:pPr>
              <w:jc w:val="center"/>
              <w:rPr>
                <w:rFonts w:ascii="Arial" w:hAnsi="Arial" w:cs="Arial"/>
                <w:sz w:val="20"/>
              </w:rPr>
            </w:pPr>
            <w:r>
              <w:rPr>
                <w:rFonts w:ascii="Arial" w:hAnsi="Arial" w:cs="Arial"/>
                <w:sz w:val="20"/>
              </w:rPr>
              <w:t>92 (1</w:t>
            </w:r>
            <w:r w:rsidR="00B23BFB">
              <w:rPr>
                <w:rFonts w:ascii="Arial" w:hAnsi="Arial" w:cs="Arial"/>
                <w:sz w:val="20"/>
              </w:rPr>
              <w:t>6.2</w:t>
            </w:r>
            <w:r>
              <w:rPr>
                <w:rFonts w:ascii="Arial" w:hAnsi="Arial" w:cs="Arial"/>
                <w:sz w:val="20"/>
              </w:rPr>
              <w:t>%)</w:t>
            </w:r>
          </w:p>
        </w:tc>
        <w:tc>
          <w:tcPr>
            <w:tcW w:w="1715" w:type="dxa"/>
          </w:tcPr>
          <w:p w14:paraId="173F2003" w14:textId="015241F7" w:rsidR="00F70062" w:rsidRDefault="00F70062" w:rsidP="00A037D3">
            <w:pPr>
              <w:jc w:val="center"/>
              <w:rPr>
                <w:rFonts w:ascii="Arial" w:hAnsi="Arial" w:cs="Arial"/>
                <w:sz w:val="20"/>
              </w:rPr>
            </w:pPr>
            <w:r>
              <w:rPr>
                <w:rFonts w:ascii="Arial" w:hAnsi="Arial" w:cs="Arial"/>
                <w:sz w:val="20"/>
              </w:rPr>
              <w:t>31 (5.</w:t>
            </w:r>
            <w:r w:rsidR="00B23BFB">
              <w:rPr>
                <w:rFonts w:ascii="Arial" w:hAnsi="Arial" w:cs="Arial"/>
                <w:sz w:val="20"/>
              </w:rPr>
              <w:t>4</w:t>
            </w:r>
            <w:r>
              <w:rPr>
                <w:rFonts w:ascii="Arial" w:hAnsi="Arial" w:cs="Arial"/>
                <w:sz w:val="20"/>
              </w:rPr>
              <w:t>%)</w:t>
            </w:r>
          </w:p>
        </w:tc>
      </w:tr>
      <w:tr w:rsidR="00F70062" w14:paraId="730608B5" w14:textId="77777777" w:rsidTr="00B23BFB">
        <w:tc>
          <w:tcPr>
            <w:tcW w:w="2830" w:type="dxa"/>
          </w:tcPr>
          <w:p w14:paraId="211333F1" w14:textId="77777777" w:rsidR="00F70062" w:rsidRDefault="00F70062" w:rsidP="00A037D3">
            <w:pPr>
              <w:jc w:val="both"/>
              <w:rPr>
                <w:rFonts w:ascii="Arial" w:hAnsi="Arial" w:cs="Arial"/>
                <w:sz w:val="20"/>
              </w:rPr>
            </w:pPr>
            <w:r>
              <w:rPr>
                <w:rFonts w:ascii="Arial" w:hAnsi="Arial" w:cs="Arial"/>
                <w:sz w:val="20"/>
              </w:rPr>
              <w:t>Respite care</w:t>
            </w:r>
          </w:p>
        </w:tc>
        <w:tc>
          <w:tcPr>
            <w:tcW w:w="2254" w:type="dxa"/>
          </w:tcPr>
          <w:p w14:paraId="78BC5B52" w14:textId="08552C2A" w:rsidR="00F70062" w:rsidRDefault="00F70062" w:rsidP="00A037D3">
            <w:pPr>
              <w:jc w:val="center"/>
              <w:rPr>
                <w:rFonts w:ascii="Arial" w:hAnsi="Arial" w:cs="Arial"/>
                <w:sz w:val="20"/>
              </w:rPr>
            </w:pPr>
            <w:r>
              <w:rPr>
                <w:rFonts w:ascii="Arial" w:hAnsi="Arial" w:cs="Arial"/>
                <w:sz w:val="20"/>
              </w:rPr>
              <w:t>14 (2.</w:t>
            </w:r>
            <w:r w:rsidR="00B23BFB">
              <w:rPr>
                <w:rFonts w:ascii="Arial" w:hAnsi="Arial" w:cs="Arial"/>
                <w:sz w:val="20"/>
              </w:rPr>
              <w:t>5</w:t>
            </w:r>
            <w:r>
              <w:rPr>
                <w:rFonts w:ascii="Arial" w:hAnsi="Arial" w:cs="Arial"/>
                <w:sz w:val="20"/>
              </w:rPr>
              <w:t>%)</w:t>
            </w:r>
          </w:p>
        </w:tc>
        <w:tc>
          <w:tcPr>
            <w:tcW w:w="1715" w:type="dxa"/>
          </w:tcPr>
          <w:p w14:paraId="6D085086" w14:textId="77777777" w:rsidR="00F70062" w:rsidRDefault="00F70062" w:rsidP="00A037D3">
            <w:pPr>
              <w:jc w:val="center"/>
              <w:rPr>
                <w:rFonts w:ascii="Arial" w:hAnsi="Arial" w:cs="Arial"/>
                <w:sz w:val="20"/>
              </w:rPr>
            </w:pPr>
            <w:r>
              <w:rPr>
                <w:rFonts w:ascii="Arial" w:hAnsi="Arial" w:cs="Arial"/>
                <w:sz w:val="20"/>
              </w:rPr>
              <w:t>3 (0.5%)</w:t>
            </w:r>
          </w:p>
        </w:tc>
      </w:tr>
      <w:tr w:rsidR="00F70062" w14:paraId="73C5C08E" w14:textId="77777777" w:rsidTr="00B23BFB">
        <w:tc>
          <w:tcPr>
            <w:tcW w:w="2830" w:type="dxa"/>
          </w:tcPr>
          <w:p w14:paraId="4988F479" w14:textId="77777777" w:rsidR="00F70062" w:rsidRDefault="00F70062" w:rsidP="00A037D3">
            <w:pPr>
              <w:jc w:val="both"/>
              <w:rPr>
                <w:rFonts w:ascii="Arial" w:hAnsi="Arial" w:cs="Arial"/>
                <w:sz w:val="20"/>
              </w:rPr>
            </w:pPr>
            <w:r>
              <w:rPr>
                <w:rFonts w:ascii="Arial" w:hAnsi="Arial" w:cs="Arial"/>
                <w:sz w:val="20"/>
              </w:rPr>
              <w:t>Day care centre</w:t>
            </w:r>
          </w:p>
        </w:tc>
        <w:tc>
          <w:tcPr>
            <w:tcW w:w="2254" w:type="dxa"/>
          </w:tcPr>
          <w:p w14:paraId="2617B561" w14:textId="19B2FD62" w:rsidR="00F70062" w:rsidRDefault="00F70062" w:rsidP="00A037D3">
            <w:pPr>
              <w:jc w:val="center"/>
              <w:rPr>
                <w:rFonts w:ascii="Arial" w:hAnsi="Arial" w:cs="Arial"/>
                <w:sz w:val="20"/>
              </w:rPr>
            </w:pPr>
            <w:r>
              <w:rPr>
                <w:rFonts w:ascii="Arial" w:hAnsi="Arial" w:cs="Arial"/>
                <w:sz w:val="20"/>
              </w:rPr>
              <w:t>70 (1</w:t>
            </w:r>
            <w:r w:rsidR="00B23BFB">
              <w:rPr>
                <w:rFonts w:ascii="Arial" w:hAnsi="Arial" w:cs="Arial"/>
                <w:sz w:val="20"/>
              </w:rPr>
              <w:t>2.3</w:t>
            </w:r>
            <w:r>
              <w:rPr>
                <w:rFonts w:ascii="Arial" w:hAnsi="Arial" w:cs="Arial"/>
                <w:sz w:val="20"/>
              </w:rPr>
              <w:t>%)</w:t>
            </w:r>
          </w:p>
        </w:tc>
        <w:tc>
          <w:tcPr>
            <w:tcW w:w="1715" w:type="dxa"/>
          </w:tcPr>
          <w:p w14:paraId="76960188" w14:textId="543F7C64" w:rsidR="00F70062" w:rsidRDefault="00B23BFB" w:rsidP="00A037D3">
            <w:pPr>
              <w:jc w:val="center"/>
              <w:rPr>
                <w:rFonts w:ascii="Arial" w:hAnsi="Arial" w:cs="Arial"/>
                <w:sz w:val="20"/>
              </w:rPr>
            </w:pPr>
            <w:r>
              <w:rPr>
                <w:rFonts w:ascii="Arial" w:hAnsi="Arial" w:cs="Arial"/>
                <w:sz w:val="20"/>
              </w:rPr>
              <w:t>5</w:t>
            </w:r>
            <w:r w:rsidR="00F70062">
              <w:rPr>
                <w:rFonts w:ascii="Arial" w:hAnsi="Arial" w:cs="Arial"/>
                <w:sz w:val="20"/>
              </w:rPr>
              <w:t xml:space="preserve"> (</w:t>
            </w:r>
            <w:r>
              <w:rPr>
                <w:rFonts w:ascii="Arial" w:hAnsi="Arial" w:cs="Arial"/>
                <w:sz w:val="20"/>
              </w:rPr>
              <w:t>0.9</w:t>
            </w:r>
            <w:r w:rsidR="00F70062">
              <w:rPr>
                <w:rFonts w:ascii="Arial" w:hAnsi="Arial" w:cs="Arial"/>
                <w:sz w:val="20"/>
              </w:rPr>
              <w:t>%)</w:t>
            </w:r>
          </w:p>
        </w:tc>
      </w:tr>
      <w:tr w:rsidR="00F70062" w14:paraId="13DE49BF" w14:textId="77777777" w:rsidTr="00B23BFB">
        <w:tc>
          <w:tcPr>
            <w:tcW w:w="2830" w:type="dxa"/>
          </w:tcPr>
          <w:p w14:paraId="0478F50F" w14:textId="77777777" w:rsidR="00F70062" w:rsidRDefault="00F70062" w:rsidP="00A037D3">
            <w:pPr>
              <w:jc w:val="both"/>
              <w:rPr>
                <w:rFonts w:ascii="Arial" w:hAnsi="Arial" w:cs="Arial"/>
                <w:sz w:val="20"/>
              </w:rPr>
            </w:pPr>
            <w:r>
              <w:rPr>
                <w:rFonts w:ascii="Arial" w:hAnsi="Arial" w:cs="Arial"/>
                <w:sz w:val="20"/>
              </w:rPr>
              <w:t>Home-delivered meals</w:t>
            </w:r>
          </w:p>
        </w:tc>
        <w:tc>
          <w:tcPr>
            <w:tcW w:w="2254" w:type="dxa"/>
          </w:tcPr>
          <w:p w14:paraId="2F5E0276" w14:textId="6AB16CA7" w:rsidR="00F70062" w:rsidRDefault="00F70062" w:rsidP="00A037D3">
            <w:pPr>
              <w:jc w:val="center"/>
              <w:rPr>
                <w:rFonts w:ascii="Arial" w:hAnsi="Arial" w:cs="Arial"/>
                <w:sz w:val="20"/>
              </w:rPr>
            </w:pPr>
            <w:r>
              <w:rPr>
                <w:rFonts w:ascii="Arial" w:hAnsi="Arial" w:cs="Arial"/>
                <w:sz w:val="20"/>
              </w:rPr>
              <w:t>2</w:t>
            </w:r>
            <w:r w:rsidR="00B23BFB">
              <w:rPr>
                <w:rFonts w:ascii="Arial" w:hAnsi="Arial" w:cs="Arial"/>
                <w:sz w:val="20"/>
              </w:rPr>
              <w:t>2</w:t>
            </w:r>
            <w:r>
              <w:rPr>
                <w:rFonts w:ascii="Arial" w:hAnsi="Arial" w:cs="Arial"/>
                <w:sz w:val="20"/>
              </w:rPr>
              <w:t xml:space="preserve"> (3.</w:t>
            </w:r>
            <w:r w:rsidR="00B23BFB">
              <w:rPr>
                <w:rFonts w:ascii="Arial" w:hAnsi="Arial" w:cs="Arial"/>
                <w:sz w:val="20"/>
              </w:rPr>
              <w:t>9</w:t>
            </w:r>
            <w:r>
              <w:rPr>
                <w:rFonts w:ascii="Arial" w:hAnsi="Arial" w:cs="Arial"/>
                <w:sz w:val="20"/>
              </w:rPr>
              <w:t>%)</w:t>
            </w:r>
          </w:p>
        </w:tc>
        <w:tc>
          <w:tcPr>
            <w:tcW w:w="1715" w:type="dxa"/>
          </w:tcPr>
          <w:p w14:paraId="449143AE" w14:textId="499B331F" w:rsidR="00F70062" w:rsidRPr="00C044AF" w:rsidRDefault="00F70062" w:rsidP="00A037D3">
            <w:pPr>
              <w:jc w:val="center"/>
              <w:rPr>
                <w:rFonts w:ascii="Arial" w:hAnsi="Arial" w:cs="Arial"/>
                <w:sz w:val="20"/>
                <w:highlight w:val="cyan"/>
              </w:rPr>
            </w:pPr>
            <w:r w:rsidRPr="008D43BC">
              <w:rPr>
                <w:rFonts w:ascii="Arial" w:hAnsi="Arial" w:cs="Arial"/>
                <w:sz w:val="20"/>
              </w:rPr>
              <w:t>2</w:t>
            </w:r>
            <w:r w:rsidR="00B23BFB">
              <w:rPr>
                <w:rFonts w:ascii="Arial" w:hAnsi="Arial" w:cs="Arial"/>
                <w:sz w:val="20"/>
              </w:rPr>
              <w:t>2</w:t>
            </w:r>
            <w:r w:rsidRPr="008D43BC">
              <w:rPr>
                <w:rFonts w:ascii="Arial" w:hAnsi="Arial" w:cs="Arial"/>
                <w:sz w:val="20"/>
              </w:rPr>
              <w:t xml:space="preserve"> (3.</w:t>
            </w:r>
            <w:r w:rsidR="00B23BFB">
              <w:rPr>
                <w:rFonts w:ascii="Arial" w:hAnsi="Arial" w:cs="Arial"/>
                <w:sz w:val="20"/>
              </w:rPr>
              <w:t>9</w:t>
            </w:r>
            <w:r w:rsidRPr="008D43BC">
              <w:rPr>
                <w:rFonts w:ascii="Arial" w:hAnsi="Arial" w:cs="Arial"/>
                <w:sz w:val="20"/>
              </w:rPr>
              <w:t>%)</w:t>
            </w:r>
          </w:p>
        </w:tc>
      </w:tr>
      <w:tr w:rsidR="00F70062" w14:paraId="7E0B085A" w14:textId="77777777" w:rsidTr="00B23BFB">
        <w:tc>
          <w:tcPr>
            <w:tcW w:w="2830" w:type="dxa"/>
          </w:tcPr>
          <w:p w14:paraId="51BFEE91" w14:textId="77777777" w:rsidR="00F70062" w:rsidRDefault="00F70062" w:rsidP="00A037D3">
            <w:pPr>
              <w:jc w:val="both"/>
              <w:rPr>
                <w:rFonts w:ascii="Arial" w:hAnsi="Arial" w:cs="Arial"/>
                <w:sz w:val="20"/>
              </w:rPr>
            </w:pPr>
            <w:r>
              <w:rPr>
                <w:rFonts w:ascii="Arial" w:hAnsi="Arial" w:cs="Arial"/>
                <w:sz w:val="20"/>
              </w:rPr>
              <w:t>Transport</w:t>
            </w:r>
          </w:p>
        </w:tc>
        <w:tc>
          <w:tcPr>
            <w:tcW w:w="2254" w:type="dxa"/>
          </w:tcPr>
          <w:p w14:paraId="4B3003C5" w14:textId="198AA3A6" w:rsidR="00F70062" w:rsidRDefault="00B23BFB" w:rsidP="00A037D3">
            <w:pPr>
              <w:jc w:val="center"/>
              <w:rPr>
                <w:rFonts w:ascii="Arial" w:hAnsi="Arial" w:cs="Arial"/>
                <w:sz w:val="20"/>
              </w:rPr>
            </w:pPr>
            <w:r>
              <w:rPr>
                <w:rFonts w:ascii="Arial" w:hAnsi="Arial" w:cs="Arial"/>
                <w:sz w:val="20"/>
              </w:rPr>
              <w:t>38</w:t>
            </w:r>
            <w:r w:rsidR="00F70062">
              <w:rPr>
                <w:rFonts w:ascii="Arial" w:hAnsi="Arial" w:cs="Arial"/>
                <w:sz w:val="20"/>
              </w:rPr>
              <w:t xml:space="preserve"> (6.</w:t>
            </w:r>
            <w:r>
              <w:rPr>
                <w:rFonts w:ascii="Arial" w:hAnsi="Arial" w:cs="Arial"/>
                <w:sz w:val="20"/>
              </w:rPr>
              <w:t>7</w:t>
            </w:r>
            <w:r w:rsidR="00F70062">
              <w:rPr>
                <w:rFonts w:ascii="Arial" w:hAnsi="Arial" w:cs="Arial"/>
                <w:sz w:val="20"/>
              </w:rPr>
              <w:t>%)</w:t>
            </w:r>
          </w:p>
        </w:tc>
        <w:tc>
          <w:tcPr>
            <w:tcW w:w="1715" w:type="dxa"/>
          </w:tcPr>
          <w:p w14:paraId="0C0D8745" w14:textId="339BE62A" w:rsidR="00F70062" w:rsidRDefault="00B23BFB" w:rsidP="00A037D3">
            <w:pPr>
              <w:jc w:val="center"/>
              <w:rPr>
                <w:rFonts w:ascii="Arial" w:hAnsi="Arial" w:cs="Arial"/>
                <w:sz w:val="20"/>
              </w:rPr>
            </w:pPr>
            <w:r>
              <w:rPr>
                <w:rFonts w:ascii="Arial" w:hAnsi="Arial" w:cs="Arial"/>
                <w:sz w:val="20"/>
              </w:rPr>
              <w:t>3</w:t>
            </w:r>
            <w:r w:rsidR="00F70062">
              <w:rPr>
                <w:rFonts w:ascii="Arial" w:hAnsi="Arial" w:cs="Arial"/>
                <w:sz w:val="20"/>
              </w:rPr>
              <w:t xml:space="preserve"> (0.</w:t>
            </w:r>
            <w:r>
              <w:rPr>
                <w:rFonts w:ascii="Arial" w:hAnsi="Arial" w:cs="Arial"/>
                <w:sz w:val="20"/>
              </w:rPr>
              <w:t>5</w:t>
            </w:r>
            <w:r w:rsidR="00F70062">
              <w:rPr>
                <w:rFonts w:ascii="Arial" w:hAnsi="Arial" w:cs="Arial"/>
                <w:sz w:val="20"/>
              </w:rPr>
              <w:t>%)</w:t>
            </w:r>
          </w:p>
        </w:tc>
      </w:tr>
      <w:tr w:rsidR="00F70062" w14:paraId="49E4952A" w14:textId="77777777" w:rsidTr="00B23BFB">
        <w:tc>
          <w:tcPr>
            <w:tcW w:w="2830" w:type="dxa"/>
          </w:tcPr>
          <w:p w14:paraId="084C5DEF" w14:textId="77777777" w:rsidR="00F70062" w:rsidRDefault="00F70062" w:rsidP="00A037D3">
            <w:pPr>
              <w:jc w:val="both"/>
              <w:rPr>
                <w:rFonts w:ascii="Arial" w:hAnsi="Arial" w:cs="Arial"/>
                <w:sz w:val="20"/>
              </w:rPr>
            </w:pPr>
            <w:r>
              <w:rPr>
                <w:rFonts w:ascii="Arial" w:hAnsi="Arial" w:cs="Arial"/>
                <w:sz w:val="20"/>
              </w:rPr>
              <w:t>Accompanying/Befriending</w:t>
            </w:r>
          </w:p>
        </w:tc>
        <w:tc>
          <w:tcPr>
            <w:tcW w:w="2254" w:type="dxa"/>
          </w:tcPr>
          <w:p w14:paraId="74BC4967" w14:textId="0BD81B22" w:rsidR="00F70062" w:rsidRDefault="00F70062" w:rsidP="00A037D3">
            <w:pPr>
              <w:jc w:val="center"/>
              <w:rPr>
                <w:rFonts w:ascii="Arial" w:hAnsi="Arial" w:cs="Arial"/>
                <w:sz w:val="20"/>
              </w:rPr>
            </w:pPr>
            <w:r>
              <w:rPr>
                <w:rFonts w:ascii="Arial" w:hAnsi="Arial" w:cs="Arial"/>
                <w:sz w:val="20"/>
              </w:rPr>
              <w:t>4</w:t>
            </w:r>
            <w:r w:rsidR="00B23BFB">
              <w:rPr>
                <w:rFonts w:ascii="Arial" w:hAnsi="Arial" w:cs="Arial"/>
                <w:sz w:val="20"/>
              </w:rPr>
              <w:t>2</w:t>
            </w:r>
            <w:r>
              <w:rPr>
                <w:rFonts w:ascii="Arial" w:hAnsi="Arial" w:cs="Arial"/>
                <w:sz w:val="20"/>
              </w:rPr>
              <w:t xml:space="preserve"> (7.</w:t>
            </w:r>
            <w:r w:rsidR="00B23BFB">
              <w:rPr>
                <w:rFonts w:ascii="Arial" w:hAnsi="Arial" w:cs="Arial"/>
                <w:sz w:val="20"/>
              </w:rPr>
              <w:t>4</w:t>
            </w:r>
            <w:r>
              <w:rPr>
                <w:rFonts w:ascii="Arial" w:hAnsi="Arial" w:cs="Arial"/>
                <w:sz w:val="20"/>
              </w:rPr>
              <w:t>%)</w:t>
            </w:r>
          </w:p>
        </w:tc>
        <w:tc>
          <w:tcPr>
            <w:tcW w:w="1715" w:type="dxa"/>
          </w:tcPr>
          <w:p w14:paraId="7658DB5E" w14:textId="01904510" w:rsidR="00F70062" w:rsidRDefault="00F70062" w:rsidP="00A037D3">
            <w:pPr>
              <w:jc w:val="center"/>
              <w:rPr>
                <w:rFonts w:ascii="Arial" w:hAnsi="Arial" w:cs="Arial"/>
                <w:sz w:val="20"/>
              </w:rPr>
            </w:pPr>
            <w:r>
              <w:rPr>
                <w:rFonts w:ascii="Arial" w:hAnsi="Arial" w:cs="Arial"/>
                <w:sz w:val="20"/>
              </w:rPr>
              <w:t>15 (2.</w:t>
            </w:r>
            <w:r w:rsidR="00B23BFB">
              <w:rPr>
                <w:rFonts w:ascii="Arial" w:hAnsi="Arial" w:cs="Arial"/>
                <w:sz w:val="20"/>
              </w:rPr>
              <w:t>6</w:t>
            </w:r>
            <w:r>
              <w:rPr>
                <w:rFonts w:ascii="Arial" w:hAnsi="Arial" w:cs="Arial"/>
                <w:sz w:val="20"/>
              </w:rPr>
              <w:t>%)</w:t>
            </w:r>
          </w:p>
        </w:tc>
      </w:tr>
      <w:tr w:rsidR="00F70062" w14:paraId="265D1BAD" w14:textId="77777777" w:rsidTr="00B23BFB">
        <w:tc>
          <w:tcPr>
            <w:tcW w:w="2830" w:type="dxa"/>
          </w:tcPr>
          <w:p w14:paraId="613B5B60" w14:textId="77777777" w:rsidR="00F70062" w:rsidRDefault="00F70062" w:rsidP="00A037D3">
            <w:pPr>
              <w:jc w:val="both"/>
              <w:rPr>
                <w:rFonts w:ascii="Arial" w:hAnsi="Arial" w:cs="Arial"/>
                <w:sz w:val="20"/>
              </w:rPr>
            </w:pPr>
            <w:r>
              <w:rPr>
                <w:rFonts w:ascii="Arial" w:hAnsi="Arial" w:cs="Arial"/>
                <w:sz w:val="20"/>
              </w:rPr>
              <w:t>Clinical mental health support</w:t>
            </w:r>
          </w:p>
        </w:tc>
        <w:tc>
          <w:tcPr>
            <w:tcW w:w="2254" w:type="dxa"/>
          </w:tcPr>
          <w:p w14:paraId="3D2D5A07" w14:textId="42388452" w:rsidR="00F70062" w:rsidRDefault="00B23BFB" w:rsidP="00A037D3">
            <w:pPr>
              <w:jc w:val="center"/>
              <w:rPr>
                <w:rFonts w:ascii="Arial" w:hAnsi="Arial" w:cs="Arial"/>
                <w:sz w:val="20"/>
              </w:rPr>
            </w:pPr>
            <w:r>
              <w:rPr>
                <w:rFonts w:ascii="Arial" w:hAnsi="Arial" w:cs="Arial"/>
                <w:sz w:val="20"/>
              </w:rPr>
              <w:t>49</w:t>
            </w:r>
            <w:r w:rsidR="00F70062">
              <w:rPr>
                <w:rFonts w:ascii="Arial" w:hAnsi="Arial" w:cs="Arial"/>
                <w:sz w:val="20"/>
              </w:rPr>
              <w:t xml:space="preserve"> (8.</w:t>
            </w:r>
            <w:r>
              <w:rPr>
                <w:rFonts w:ascii="Arial" w:hAnsi="Arial" w:cs="Arial"/>
                <w:sz w:val="20"/>
              </w:rPr>
              <w:t>6</w:t>
            </w:r>
            <w:r w:rsidR="00F70062">
              <w:rPr>
                <w:rFonts w:ascii="Arial" w:hAnsi="Arial" w:cs="Arial"/>
                <w:sz w:val="20"/>
              </w:rPr>
              <w:t>%)</w:t>
            </w:r>
          </w:p>
        </w:tc>
        <w:tc>
          <w:tcPr>
            <w:tcW w:w="1715" w:type="dxa"/>
          </w:tcPr>
          <w:p w14:paraId="0FE38474" w14:textId="6AFC3B99" w:rsidR="00F70062" w:rsidRDefault="00F70062" w:rsidP="00A037D3">
            <w:pPr>
              <w:jc w:val="center"/>
              <w:rPr>
                <w:rFonts w:ascii="Arial" w:hAnsi="Arial" w:cs="Arial"/>
                <w:sz w:val="20"/>
              </w:rPr>
            </w:pPr>
            <w:r>
              <w:rPr>
                <w:rFonts w:ascii="Arial" w:hAnsi="Arial" w:cs="Arial"/>
                <w:sz w:val="20"/>
              </w:rPr>
              <w:t>2</w:t>
            </w:r>
            <w:r w:rsidR="00B23BFB">
              <w:rPr>
                <w:rFonts w:ascii="Arial" w:hAnsi="Arial" w:cs="Arial"/>
                <w:sz w:val="20"/>
              </w:rPr>
              <w:t>2</w:t>
            </w:r>
            <w:r>
              <w:rPr>
                <w:rFonts w:ascii="Arial" w:hAnsi="Arial" w:cs="Arial"/>
                <w:sz w:val="20"/>
              </w:rPr>
              <w:t xml:space="preserve"> (3.</w:t>
            </w:r>
            <w:r w:rsidR="00B23BFB">
              <w:rPr>
                <w:rFonts w:ascii="Arial" w:hAnsi="Arial" w:cs="Arial"/>
                <w:sz w:val="20"/>
              </w:rPr>
              <w:t>9</w:t>
            </w:r>
            <w:r>
              <w:rPr>
                <w:rFonts w:ascii="Arial" w:hAnsi="Arial" w:cs="Arial"/>
                <w:sz w:val="20"/>
              </w:rPr>
              <w:t>%)</w:t>
            </w:r>
          </w:p>
        </w:tc>
      </w:tr>
      <w:tr w:rsidR="00F70062" w14:paraId="71527A9E" w14:textId="77777777" w:rsidTr="00B23BFB">
        <w:tc>
          <w:tcPr>
            <w:tcW w:w="2830" w:type="dxa"/>
          </w:tcPr>
          <w:p w14:paraId="5CFB84E7" w14:textId="77777777" w:rsidR="00F70062" w:rsidRDefault="00F70062" w:rsidP="00A037D3">
            <w:pPr>
              <w:jc w:val="both"/>
              <w:rPr>
                <w:rFonts w:ascii="Arial" w:hAnsi="Arial" w:cs="Arial"/>
                <w:sz w:val="20"/>
              </w:rPr>
            </w:pPr>
            <w:r>
              <w:rPr>
                <w:rFonts w:ascii="Arial" w:hAnsi="Arial" w:cs="Arial"/>
                <w:sz w:val="20"/>
              </w:rPr>
              <w:t>Clinical physical health support</w:t>
            </w:r>
          </w:p>
        </w:tc>
        <w:tc>
          <w:tcPr>
            <w:tcW w:w="2254" w:type="dxa"/>
          </w:tcPr>
          <w:p w14:paraId="38266F94" w14:textId="1E3C30CA" w:rsidR="00F70062" w:rsidRDefault="00F70062" w:rsidP="00A037D3">
            <w:pPr>
              <w:jc w:val="center"/>
              <w:rPr>
                <w:rFonts w:ascii="Arial" w:hAnsi="Arial" w:cs="Arial"/>
                <w:sz w:val="20"/>
              </w:rPr>
            </w:pPr>
            <w:r>
              <w:rPr>
                <w:rFonts w:ascii="Arial" w:hAnsi="Arial" w:cs="Arial"/>
                <w:sz w:val="20"/>
              </w:rPr>
              <w:t>7</w:t>
            </w:r>
            <w:r w:rsidR="00B23BFB">
              <w:rPr>
                <w:rFonts w:ascii="Arial" w:hAnsi="Arial" w:cs="Arial"/>
                <w:sz w:val="20"/>
              </w:rPr>
              <w:t>2</w:t>
            </w:r>
            <w:r>
              <w:rPr>
                <w:rFonts w:ascii="Arial" w:hAnsi="Arial" w:cs="Arial"/>
                <w:sz w:val="20"/>
              </w:rPr>
              <w:t xml:space="preserve"> (12.</w:t>
            </w:r>
            <w:r w:rsidR="00B23BFB">
              <w:rPr>
                <w:rFonts w:ascii="Arial" w:hAnsi="Arial" w:cs="Arial"/>
                <w:sz w:val="20"/>
              </w:rPr>
              <w:t>7</w:t>
            </w:r>
            <w:r>
              <w:rPr>
                <w:rFonts w:ascii="Arial" w:hAnsi="Arial" w:cs="Arial"/>
                <w:sz w:val="20"/>
              </w:rPr>
              <w:t>%)</w:t>
            </w:r>
          </w:p>
        </w:tc>
        <w:tc>
          <w:tcPr>
            <w:tcW w:w="1715" w:type="dxa"/>
          </w:tcPr>
          <w:p w14:paraId="35935C8E" w14:textId="0A490F30" w:rsidR="00F70062" w:rsidRDefault="00F70062" w:rsidP="00A037D3">
            <w:pPr>
              <w:jc w:val="center"/>
              <w:rPr>
                <w:rFonts w:ascii="Arial" w:hAnsi="Arial" w:cs="Arial"/>
                <w:sz w:val="20"/>
              </w:rPr>
            </w:pPr>
            <w:r>
              <w:rPr>
                <w:rFonts w:ascii="Arial" w:hAnsi="Arial" w:cs="Arial"/>
                <w:sz w:val="20"/>
              </w:rPr>
              <w:t>3</w:t>
            </w:r>
            <w:r w:rsidR="00B23BFB">
              <w:rPr>
                <w:rFonts w:ascii="Arial" w:hAnsi="Arial" w:cs="Arial"/>
                <w:sz w:val="20"/>
              </w:rPr>
              <w:t>3</w:t>
            </w:r>
            <w:r>
              <w:rPr>
                <w:rFonts w:ascii="Arial" w:hAnsi="Arial" w:cs="Arial"/>
                <w:sz w:val="20"/>
              </w:rPr>
              <w:t xml:space="preserve"> (5.</w:t>
            </w:r>
            <w:r w:rsidR="00B23BFB">
              <w:rPr>
                <w:rFonts w:ascii="Arial" w:hAnsi="Arial" w:cs="Arial"/>
                <w:sz w:val="20"/>
              </w:rPr>
              <w:t>8</w:t>
            </w:r>
            <w:r>
              <w:rPr>
                <w:rFonts w:ascii="Arial" w:hAnsi="Arial" w:cs="Arial"/>
                <w:sz w:val="20"/>
              </w:rPr>
              <w:t>%)</w:t>
            </w:r>
          </w:p>
        </w:tc>
      </w:tr>
      <w:tr w:rsidR="00F70062" w14:paraId="6653DFF5" w14:textId="77777777" w:rsidTr="00B23BFB">
        <w:tc>
          <w:tcPr>
            <w:tcW w:w="2830" w:type="dxa"/>
          </w:tcPr>
          <w:p w14:paraId="0436E0BC" w14:textId="77777777" w:rsidR="00F70062" w:rsidRDefault="00F70062" w:rsidP="00A037D3">
            <w:pPr>
              <w:jc w:val="both"/>
              <w:rPr>
                <w:rFonts w:ascii="Arial" w:hAnsi="Arial" w:cs="Arial"/>
                <w:sz w:val="20"/>
              </w:rPr>
            </w:pPr>
            <w:r>
              <w:rPr>
                <w:rFonts w:ascii="Arial" w:hAnsi="Arial" w:cs="Arial"/>
                <w:sz w:val="20"/>
              </w:rPr>
              <w:t>Social activities</w:t>
            </w:r>
          </w:p>
        </w:tc>
        <w:tc>
          <w:tcPr>
            <w:tcW w:w="2254" w:type="dxa"/>
          </w:tcPr>
          <w:p w14:paraId="48583DF9" w14:textId="4F65E06C" w:rsidR="00F70062" w:rsidRDefault="00F70062" w:rsidP="00A037D3">
            <w:pPr>
              <w:jc w:val="center"/>
              <w:rPr>
                <w:rFonts w:ascii="Arial" w:hAnsi="Arial" w:cs="Arial"/>
                <w:sz w:val="20"/>
              </w:rPr>
            </w:pPr>
            <w:r>
              <w:rPr>
                <w:rFonts w:ascii="Arial" w:hAnsi="Arial" w:cs="Arial"/>
                <w:sz w:val="20"/>
              </w:rPr>
              <w:t>14</w:t>
            </w:r>
            <w:r w:rsidR="00B23BFB">
              <w:rPr>
                <w:rFonts w:ascii="Arial" w:hAnsi="Arial" w:cs="Arial"/>
                <w:sz w:val="20"/>
              </w:rPr>
              <w:t>3</w:t>
            </w:r>
            <w:r>
              <w:rPr>
                <w:rFonts w:ascii="Arial" w:hAnsi="Arial" w:cs="Arial"/>
                <w:sz w:val="20"/>
              </w:rPr>
              <w:t xml:space="preserve"> (2</w:t>
            </w:r>
            <w:r w:rsidR="00B23BFB">
              <w:rPr>
                <w:rFonts w:ascii="Arial" w:hAnsi="Arial" w:cs="Arial"/>
                <w:sz w:val="20"/>
              </w:rPr>
              <w:t>5.1</w:t>
            </w:r>
            <w:r>
              <w:rPr>
                <w:rFonts w:ascii="Arial" w:hAnsi="Arial" w:cs="Arial"/>
                <w:sz w:val="20"/>
              </w:rPr>
              <w:t>%)</w:t>
            </w:r>
          </w:p>
        </w:tc>
        <w:tc>
          <w:tcPr>
            <w:tcW w:w="1715" w:type="dxa"/>
          </w:tcPr>
          <w:p w14:paraId="7C4E63B4" w14:textId="114EA42C" w:rsidR="00F70062" w:rsidRDefault="00F70062" w:rsidP="00A037D3">
            <w:pPr>
              <w:jc w:val="center"/>
              <w:rPr>
                <w:rFonts w:ascii="Arial" w:hAnsi="Arial" w:cs="Arial"/>
                <w:sz w:val="20"/>
              </w:rPr>
            </w:pPr>
            <w:r>
              <w:rPr>
                <w:rFonts w:ascii="Arial" w:hAnsi="Arial" w:cs="Arial"/>
                <w:sz w:val="20"/>
              </w:rPr>
              <w:t>35 (</w:t>
            </w:r>
            <w:r w:rsidR="00B23BFB">
              <w:rPr>
                <w:rFonts w:ascii="Arial" w:hAnsi="Arial" w:cs="Arial"/>
                <w:sz w:val="20"/>
              </w:rPr>
              <w:t>6.2</w:t>
            </w:r>
            <w:r>
              <w:rPr>
                <w:rFonts w:ascii="Arial" w:hAnsi="Arial" w:cs="Arial"/>
                <w:sz w:val="20"/>
              </w:rPr>
              <w:t>%)</w:t>
            </w:r>
          </w:p>
        </w:tc>
      </w:tr>
      <w:tr w:rsidR="00F70062" w14:paraId="537A6F27" w14:textId="77777777" w:rsidTr="00B23BFB">
        <w:tc>
          <w:tcPr>
            <w:tcW w:w="2830" w:type="dxa"/>
          </w:tcPr>
          <w:p w14:paraId="3AC3A5AD" w14:textId="77777777" w:rsidR="00F70062" w:rsidRDefault="00F70062" w:rsidP="00A037D3">
            <w:pPr>
              <w:jc w:val="both"/>
              <w:rPr>
                <w:rFonts w:ascii="Arial" w:hAnsi="Arial" w:cs="Arial"/>
                <w:sz w:val="20"/>
              </w:rPr>
            </w:pPr>
            <w:r>
              <w:rPr>
                <w:rFonts w:ascii="Arial" w:hAnsi="Arial" w:cs="Arial"/>
                <w:sz w:val="20"/>
              </w:rPr>
              <w:t>Other</w:t>
            </w:r>
          </w:p>
        </w:tc>
        <w:tc>
          <w:tcPr>
            <w:tcW w:w="2254" w:type="dxa"/>
          </w:tcPr>
          <w:p w14:paraId="7EB7B85C" w14:textId="14FF3C0C" w:rsidR="00F70062" w:rsidRDefault="00F70062" w:rsidP="00A037D3">
            <w:pPr>
              <w:jc w:val="center"/>
              <w:rPr>
                <w:rFonts w:ascii="Arial" w:hAnsi="Arial" w:cs="Arial"/>
                <w:sz w:val="20"/>
              </w:rPr>
            </w:pPr>
            <w:r>
              <w:rPr>
                <w:rFonts w:ascii="Arial" w:hAnsi="Arial" w:cs="Arial"/>
                <w:sz w:val="20"/>
              </w:rPr>
              <w:t>7</w:t>
            </w:r>
            <w:r w:rsidR="00B23BFB">
              <w:rPr>
                <w:rFonts w:ascii="Arial" w:hAnsi="Arial" w:cs="Arial"/>
                <w:sz w:val="20"/>
              </w:rPr>
              <w:t>4</w:t>
            </w:r>
            <w:r>
              <w:rPr>
                <w:rFonts w:ascii="Arial" w:hAnsi="Arial" w:cs="Arial"/>
                <w:sz w:val="20"/>
              </w:rPr>
              <w:t xml:space="preserve"> (1</w:t>
            </w:r>
            <w:r w:rsidR="00B23BFB">
              <w:rPr>
                <w:rFonts w:ascii="Arial" w:hAnsi="Arial" w:cs="Arial"/>
                <w:sz w:val="20"/>
              </w:rPr>
              <w:t>3.0</w:t>
            </w:r>
            <w:r>
              <w:rPr>
                <w:rFonts w:ascii="Arial" w:hAnsi="Arial" w:cs="Arial"/>
                <w:sz w:val="20"/>
              </w:rPr>
              <w:t>%)</w:t>
            </w:r>
          </w:p>
        </w:tc>
        <w:tc>
          <w:tcPr>
            <w:tcW w:w="1715" w:type="dxa"/>
          </w:tcPr>
          <w:p w14:paraId="69288B71" w14:textId="255902BC" w:rsidR="00F70062" w:rsidRDefault="00F70062" w:rsidP="00A037D3">
            <w:pPr>
              <w:jc w:val="center"/>
              <w:rPr>
                <w:rFonts w:ascii="Arial" w:hAnsi="Arial" w:cs="Arial"/>
                <w:sz w:val="20"/>
              </w:rPr>
            </w:pPr>
            <w:r>
              <w:rPr>
                <w:rFonts w:ascii="Arial" w:hAnsi="Arial" w:cs="Arial"/>
                <w:sz w:val="20"/>
              </w:rPr>
              <w:t>7</w:t>
            </w:r>
            <w:r w:rsidR="00B23BFB">
              <w:rPr>
                <w:rFonts w:ascii="Arial" w:hAnsi="Arial" w:cs="Arial"/>
                <w:sz w:val="20"/>
              </w:rPr>
              <w:t>0</w:t>
            </w:r>
            <w:r>
              <w:rPr>
                <w:rFonts w:ascii="Arial" w:hAnsi="Arial" w:cs="Arial"/>
                <w:sz w:val="20"/>
              </w:rPr>
              <w:t xml:space="preserve"> (1</w:t>
            </w:r>
            <w:r w:rsidR="00B23BFB">
              <w:rPr>
                <w:rFonts w:ascii="Arial" w:hAnsi="Arial" w:cs="Arial"/>
                <w:sz w:val="20"/>
              </w:rPr>
              <w:t>2.3</w:t>
            </w:r>
            <w:r>
              <w:rPr>
                <w:rFonts w:ascii="Arial" w:hAnsi="Arial" w:cs="Arial"/>
                <w:sz w:val="20"/>
              </w:rPr>
              <w:t>%)</w:t>
            </w:r>
          </w:p>
        </w:tc>
      </w:tr>
      <w:tr w:rsidR="00F70062" w14:paraId="59CE9131" w14:textId="77777777" w:rsidTr="00B23BFB">
        <w:tc>
          <w:tcPr>
            <w:tcW w:w="2830" w:type="dxa"/>
          </w:tcPr>
          <w:p w14:paraId="1B0703BC" w14:textId="77777777" w:rsidR="00F70062" w:rsidRDefault="00F70062" w:rsidP="00A037D3">
            <w:pPr>
              <w:jc w:val="both"/>
              <w:rPr>
                <w:rFonts w:ascii="Arial" w:hAnsi="Arial" w:cs="Arial"/>
                <w:sz w:val="20"/>
              </w:rPr>
            </w:pPr>
            <w:r>
              <w:rPr>
                <w:rFonts w:ascii="Arial" w:hAnsi="Arial" w:cs="Arial"/>
                <w:sz w:val="20"/>
              </w:rPr>
              <w:t>None</w:t>
            </w:r>
          </w:p>
        </w:tc>
        <w:tc>
          <w:tcPr>
            <w:tcW w:w="2254" w:type="dxa"/>
          </w:tcPr>
          <w:p w14:paraId="77271198" w14:textId="0F36A428" w:rsidR="00F70062" w:rsidRDefault="00B23BFB" w:rsidP="00A037D3">
            <w:pPr>
              <w:jc w:val="center"/>
              <w:rPr>
                <w:rFonts w:ascii="Arial" w:hAnsi="Arial" w:cs="Arial"/>
                <w:sz w:val="20"/>
              </w:rPr>
            </w:pPr>
            <w:r>
              <w:rPr>
                <w:rFonts w:ascii="Arial" w:hAnsi="Arial" w:cs="Arial"/>
                <w:sz w:val="20"/>
              </w:rPr>
              <w:t>212</w:t>
            </w:r>
            <w:r w:rsidR="00F70062">
              <w:rPr>
                <w:rFonts w:ascii="Arial" w:hAnsi="Arial" w:cs="Arial"/>
                <w:sz w:val="20"/>
              </w:rPr>
              <w:t xml:space="preserve"> (3</w:t>
            </w:r>
            <w:r>
              <w:rPr>
                <w:rFonts w:ascii="Arial" w:hAnsi="Arial" w:cs="Arial"/>
                <w:sz w:val="20"/>
              </w:rPr>
              <w:t>7.3</w:t>
            </w:r>
            <w:r w:rsidR="00F70062">
              <w:rPr>
                <w:rFonts w:ascii="Arial" w:hAnsi="Arial" w:cs="Arial"/>
                <w:sz w:val="20"/>
              </w:rPr>
              <w:t>%)</w:t>
            </w:r>
          </w:p>
        </w:tc>
        <w:tc>
          <w:tcPr>
            <w:tcW w:w="1715" w:type="dxa"/>
          </w:tcPr>
          <w:p w14:paraId="30DAED4E" w14:textId="1B2FCA6A" w:rsidR="00F70062" w:rsidRDefault="00F70062" w:rsidP="00A037D3">
            <w:pPr>
              <w:jc w:val="center"/>
              <w:rPr>
                <w:rFonts w:ascii="Arial" w:hAnsi="Arial" w:cs="Arial"/>
                <w:sz w:val="20"/>
              </w:rPr>
            </w:pPr>
            <w:r>
              <w:rPr>
                <w:rFonts w:ascii="Arial" w:hAnsi="Arial" w:cs="Arial"/>
                <w:sz w:val="20"/>
              </w:rPr>
              <w:t>35</w:t>
            </w:r>
            <w:r w:rsidR="00B23BFB">
              <w:rPr>
                <w:rFonts w:ascii="Arial" w:hAnsi="Arial" w:cs="Arial"/>
                <w:sz w:val="20"/>
              </w:rPr>
              <w:t>2</w:t>
            </w:r>
            <w:r>
              <w:rPr>
                <w:rFonts w:ascii="Arial" w:hAnsi="Arial" w:cs="Arial"/>
                <w:sz w:val="20"/>
              </w:rPr>
              <w:t xml:space="preserve"> (</w:t>
            </w:r>
            <w:r w:rsidR="00B23BFB">
              <w:rPr>
                <w:rFonts w:ascii="Arial" w:hAnsi="Arial" w:cs="Arial"/>
                <w:sz w:val="20"/>
              </w:rPr>
              <w:t>61.9</w:t>
            </w:r>
            <w:r>
              <w:rPr>
                <w:rFonts w:ascii="Arial" w:hAnsi="Arial" w:cs="Arial"/>
                <w:sz w:val="20"/>
              </w:rPr>
              <w:t>%)</w:t>
            </w:r>
          </w:p>
        </w:tc>
      </w:tr>
    </w:tbl>
    <w:p w14:paraId="64A4E60E" w14:textId="77777777" w:rsidR="00F70062" w:rsidRPr="00144193" w:rsidRDefault="00F70062" w:rsidP="00F70062">
      <w:pPr>
        <w:jc w:val="both"/>
        <w:rPr>
          <w:rFonts w:ascii="Arial" w:hAnsi="Arial" w:cs="Arial"/>
          <w:sz w:val="18"/>
        </w:rPr>
      </w:pPr>
      <w:r w:rsidRPr="006064D7">
        <w:rPr>
          <w:rFonts w:ascii="Arial" w:hAnsi="Arial" w:cs="Arial"/>
          <w:b/>
          <w:sz w:val="18"/>
        </w:rPr>
        <w:t>Legend.</w:t>
      </w:r>
      <w:r>
        <w:rPr>
          <w:rFonts w:ascii="Arial" w:hAnsi="Arial" w:cs="Arial"/>
          <w:sz w:val="18"/>
        </w:rPr>
        <w:t xml:space="preserve"> Table shows number of participants (%) of the total sample (n=617) who accessed various types of social support services at T1 (pre COVID-19) and at T2 (since lockdown). </w:t>
      </w:r>
    </w:p>
    <w:p w14:paraId="59E609D3" w14:textId="251A9E73" w:rsidR="00F70062" w:rsidRDefault="00F70062" w:rsidP="00144391">
      <w:pPr>
        <w:jc w:val="both"/>
        <w:rPr>
          <w:rFonts w:ascii="Arial" w:hAnsi="Arial" w:cs="Arial"/>
        </w:rPr>
      </w:pPr>
    </w:p>
    <w:p w14:paraId="093D62D2" w14:textId="1304B8E1" w:rsidR="00F70062" w:rsidRDefault="00F70062" w:rsidP="00144391">
      <w:pPr>
        <w:jc w:val="both"/>
        <w:rPr>
          <w:rFonts w:ascii="Arial" w:hAnsi="Arial" w:cs="Arial"/>
        </w:rPr>
      </w:pPr>
    </w:p>
    <w:p w14:paraId="3735581F" w14:textId="14826293" w:rsidR="00F70062" w:rsidRDefault="00F70062" w:rsidP="00144391">
      <w:pPr>
        <w:jc w:val="both"/>
        <w:rPr>
          <w:rFonts w:ascii="Arial" w:hAnsi="Arial" w:cs="Arial"/>
        </w:rPr>
      </w:pPr>
    </w:p>
    <w:p w14:paraId="690C558D" w14:textId="193AEC40" w:rsidR="00F70062" w:rsidRDefault="00F70062" w:rsidP="00144391">
      <w:pPr>
        <w:jc w:val="both"/>
        <w:rPr>
          <w:rFonts w:ascii="Arial" w:hAnsi="Arial" w:cs="Arial"/>
        </w:rPr>
      </w:pPr>
    </w:p>
    <w:p w14:paraId="0486078E" w14:textId="24DC7DD2" w:rsidR="00F70062" w:rsidRDefault="00F70062" w:rsidP="00144391">
      <w:pPr>
        <w:jc w:val="both"/>
        <w:rPr>
          <w:rFonts w:ascii="Arial" w:hAnsi="Arial" w:cs="Arial"/>
        </w:rPr>
      </w:pPr>
    </w:p>
    <w:p w14:paraId="39D3B3B6" w14:textId="09A21F78" w:rsidR="00F70062" w:rsidRDefault="00F70062" w:rsidP="00144391">
      <w:pPr>
        <w:jc w:val="both"/>
        <w:rPr>
          <w:rFonts w:ascii="Arial" w:hAnsi="Arial" w:cs="Arial"/>
        </w:rPr>
      </w:pPr>
    </w:p>
    <w:p w14:paraId="2B9DE39C" w14:textId="6331A72B" w:rsidR="00F70062" w:rsidRDefault="00F70062" w:rsidP="00144391">
      <w:pPr>
        <w:jc w:val="both"/>
        <w:rPr>
          <w:rFonts w:ascii="Arial" w:hAnsi="Arial" w:cs="Arial"/>
        </w:rPr>
      </w:pPr>
    </w:p>
    <w:p w14:paraId="02E7121D" w14:textId="75AE8ED1" w:rsidR="00F70062" w:rsidRDefault="00F70062" w:rsidP="00144391">
      <w:pPr>
        <w:jc w:val="both"/>
        <w:rPr>
          <w:rFonts w:ascii="Arial" w:hAnsi="Arial" w:cs="Arial"/>
        </w:rPr>
      </w:pPr>
    </w:p>
    <w:p w14:paraId="44A9CF2E" w14:textId="417DEDCE" w:rsidR="00F70062" w:rsidRDefault="00F70062" w:rsidP="00144391">
      <w:pPr>
        <w:jc w:val="both"/>
        <w:rPr>
          <w:rFonts w:ascii="Arial" w:hAnsi="Arial" w:cs="Arial"/>
        </w:rPr>
      </w:pPr>
    </w:p>
    <w:p w14:paraId="1718C65D" w14:textId="2C7E9F0D" w:rsidR="00F70062" w:rsidRDefault="00F70062" w:rsidP="00144391">
      <w:pPr>
        <w:jc w:val="both"/>
        <w:rPr>
          <w:rFonts w:ascii="Arial" w:hAnsi="Arial" w:cs="Arial"/>
        </w:rPr>
      </w:pPr>
    </w:p>
    <w:p w14:paraId="10A87138" w14:textId="290C2D5D" w:rsidR="00F70062" w:rsidRDefault="00F70062" w:rsidP="00144391">
      <w:pPr>
        <w:jc w:val="both"/>
        <w:rPr>
          <w:rFonts w:ascii="Arial" w:hAnsi="Arial" w:cs="Arial"/>
        </w:rPr>
      </w:pPr>
    </w:p>
    <w:p w14:paraId="53350F38" w14:textId="3595A74B" w:rsidR="00F70062" w:rsidRDefault="00F70062" w:rsidP="00144391">
      <w:pPr>
        <w:jc w:val="both"/>
        <w:rPr>
          <w:rFonts w:ascii="Arial" w:hAnsi="Arial" w:cs="Arial"/>
        </w:rPr>
      </w:pPr>
    </w:p>
    <w:p w14:paraId="493FBAD1" w14:textId="2CEEC436" w:rsidR="00F70062" w:rsidRDefault="00F70062" w:rsidP="00144391">
      <w:pPr>
        <w:jc w:val="both"/>
        <w:rPr>
          <w:rFonts w:ascii="Arial" w:hAnsi="Arial" w:cs="Arial"/>
        </w:rPr>
      </w:pPr>
    </w:p>
    <w:p w14:paraId="5EEA0EC0" w14:textId="5444D25C" w:rsidR="00F70062" w:rsidRDefault="00F70062" w:rsidP="00144391">
      <w:pPr>
        <w:jc w:val="both"/>
        <w:rPr>
          <w:rFonts w:ascii="Arial" w:hAnsi="Arial" w:cs="Arial"/>
        </w:rPr>
      </w:pPr>
    </w:p>
    <w:p w14:paraId="6F4701DD" w14:textId="121F7173" w:rsidR="00F70062" w:rsidRDefault="00F70062" w:rsidP="00144391">
      <w:pPr>
        <w:jc w:val="both"/>
        <w:rPr>
          <w:rFonts w:ascii="Arial" w:hAnsi="Arial" w:cs="Arial"/>
        </w:rPr>
      </w:pPr>
    </w:p>
    <w:p w14:paraId="5B500D7C" w14:textId="29223D8B" w:rsidR="00F70062" w:rsidRDefault="00F70062" w:rsidP="00144391">
      <w:pPr>
        <w:jc w:val="both"/>
        <w:rPr>
          <w:rFonts w:ascii="Arial" w:hAnsi="Arial" w:cs="Arial"/>
        </w:rPr>
      </w:pPr>
    </w:p>
    <w:p w14:paraId="219FBBC4" w14:textId="07F2FF82" w:rsidR="00F70062" w:rsidRDefault="00F70062" w:rsidP="00144391">
      <w:pPr>
        <w:jc w:val="both"/>
        <w:rPr>
          <w:rFonts w:ascii="Arial" w:hAnsi="Arial" w:cs="Arial"/>
        </w:rPr>
      </w:pPr>
    </w:p>
    <w:p w14:paraId="1040E5A3" w14:textId="24B655AA" w:rsidR="00F70062" w:rsidRDefault="00F70062" w:rsidP="00144391">
      <w:pPr>
        <w:jc w:val="both"/>
        <w:rPr>
          <w:rFonts w:ascii="Arial" w:hAnsi="Arial" w:cs="Arial"/>
        </w:rPr>
      </w:pPr>
    </w:p>
    <w:p w14:paraId="02011E1F" w14:textId="7FED4A0C" w:rsidR="00F70062" w:rsidRDefault="00F70062" w:rsidP="00144391">
      <w:pPr>
        <w:jc w:val="both"/>
        <w:rPr>
          <w:rFonts w:ascii="Arial" w:hAnsi="Arial" w:cs="Arial"/>
        </w:rPr>
      </w:pPr>
    </w:p>
    <w:p w14:paraId="4D3EB6CE" w14:textId="79F7E4C2" w:rsidR="00F70062" w:rsidRDefault="00F70062" w:rsidP="00144391">
      <w:pPr>
        <w:jc w:val="both"/>
        <w:rPr>
          <w:rFonts w:ascii="Arial" w:hAnsi="Arial" w:cs="Arial"/>
        </w:rPr>
      </w:pPr>
    </w:p>
    <w:p w14:paraId="360FE435" w14:textId="1AB2974E" w:rsidR="00F70062" w:rsidRDefault="00F70062" w:rsidP="00144391">
      <w:pPr>
        <w:jc w:val="both"/>
        <w:rPr>
          <w:rFonts w:ascii="Arial" w:hAnsi="Arial" w:cs="Arial"/>
        </w:rPr>
      </w:pPr>
    </w:p>
    <w:p w14:paraId="50633AD7" w14:textId="09D52A18" w:rsidR="00F70062" w:rsidRDefault="00F70062" w:rsidP="00144391">
      <w:pPr>
        <w:jc w:val="both"/>
        <w:rPr>
          <w:rFonts w:ascii="Arial" w:hAnsi="Arial" w:cs="Arial"/>
        </w:rPr>
      </w:pPr>
    </w:p>
    <w:p w14:paraId="5FE3280B" w14:textId="0AA32705" w:rsidR="00F70062" w:rsidRDefault="003470CB" w:rsidP="00F70062">
      <w:pPr>
        <w:jc w:val="both"/>
        <w:rPr>
          <w:rFonts w:ascii="Arial" w:hAnsi="Arial" w:cs="Arial"/>
          <w:b/>
        </w:rPr>
      </w:pPr>
      <w:r>
        <w:rPr>
          <w:noProof/>
        </w:rPr>
        <w:lastRenderedPageBreak/>
        <w:drawing>
          <wp:inline distT="0" distB="0" distL="0" distR="0" wp14:anchorId="301CB1A0" wp14:editId="504E4E95">
            <wp:extent cx="4327556" cy="2453489"/>
            <wp:effectExtent l="0" t="0" r="15875" b="4445"/>
            <wp:docPr id="6" name="Chart 6">
              <a:extLst xmlns:a="http://schemas.openxmlformats.org/drawingml/2006/main">
                <a:ext uri="{FF2B5EF4-FFF2-40B4-BE49-F238E27FC236}">
                  <a16:creationId xmlns:a16="http://schemas.microsoft.com/office/drawing/2014/main" id="{2CFB801E-6BC4-4C9E-8C21-5795DC602A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84195F" w14:textId="77777777" w:rsidR="00F70062" w:rsidRDefault="00F70062" w:rsidP="00F70062">
      <w:pPr>
        <w:spacing w:after="0"/>
        <w:jc w:val="both"/>
        <w:rPr>
          <w:rFonts w:ascii="Arial" w:hAnsi="Arial" w:cs="Arial"/>
          <w:b/>
        </w:rPr>
      </w:pPr>
      <w:r>
        <w:rPr>
          <w:rFonts w:ascii="Arial" w:hAnsi="Arial" w:cs="Arial"/>
          <w:b/>
        </w:rPr>
        <w:t>Figure 2. Prevalence of anxiety and depression by group</w:t>
      </w:r>
    </w:p>
    <w:p w14:paraId="6ECE1026" w14:textId="77777777" w:rsidR="00F70062" w:rsidRDefault="00F70062" w:rsidP="00F70062">
      <w:pPr>
        <w:spacing w:after="0"/>
        <w:jc w:val="both"/>
        <w:rPr>
          <w:rFonts w:ascii="Arial" w:hAnsi="Arial" w:cs="Arial"/>
          <w:sz w:val="18"/>
        </w:rPr>
      </w:pPr>
      <w:r>
        <w:rPr>
          <w:rFonts w:ascii="Arial" w:hAnsi="Arial" w:cs="Arial"/>
          <w:b/>
          <w:sz w:val="18"/>
        </w:rPr>
        <w:t xml:space="preserve">Legend. </w:t>
      </w:r>
      <w:r>
        <w:rPr>
          <w:rFonts w:ascii="Arial" w:hAnsi="Arial" w:cs="Arial"/>
          <w:sz w:val="18"/>
        </w:rPr>
        <w:t>The diagram shows the proportion of PLWD, carers, and older adults who scored 10 or above on the GAD-7 or PHQ-9 for anxiety and depression, respectively.</w:t>
      </w:r>
    </w:p>
    <w:p w14:paraId="724E7C4F" w14:textId="77777777" w:rsidR="00F70062" w:rsidRDefault="00F70062" w:rsidP="00F70062">
      <w:pPr>
        <w:jc w:val="both"/>
        <w:rPr>
          <w:rFonts w:ascii="Arial" w:hAnsi="Arial" w:cs="Arial"/>
          <w:sz w:val="18"/>
        </w:rPr>
      </w:pPr>
      <w:r>
        <w:rPr>
          <w:rFonts w:ascii="Arial" w:hAnsi="Arial" w:cs="Arial"/>
          <w:sz w:val="18"/>
        </w:rPr>
        <w:t>OAs= Older adults; PLWD = People living with dementia.</w:t>
      </w:r>
    </w:p>
    <w:p w14:paraId="51BC81FB" w14:textId="1A8ECFFE" w:rsidR="00F70062" w:rsidRDefault="00F70062" w:rsidP="00144391">
      <w:pPr>
        <w:jc w:val="both"/>
        <w:rPr>
          <w:rFonts w:ascii="Arial" w:hAnsi="Arial" w:cs="Arial"/>
        </w:rPr>
      </w:pPr>
    </w:p>
    <w:p w14:paraId="73CE0A61" w14:textId="4271138A" w:rsidR="00F70062" w:rsidRDefault="00F70062" w:rsidP="00144391">
      <w:pPr>
        <w:jc w:val="both"/>
        <w:rPr>
          <w:rFonts w:ascii="Arial" w:hAnsi="Arial" w:cs="Arial"/>
        </w:rPr>
      </w:pPr>
    </w:p>
    <w:p w14:paraId="070768FB" w14:textId="4253227A" w:rsidR="00F70062" w:rsidRDefault="00F70062" w:rsidP="00144391">
      <w:pPr>
        <w:jc w:val="both"/>
        <w:rPr>
          <w:rFonts w:ascii="Arial" w:hAnsi="Arial" w:cs="Arial"/>
        </w:rPr>
      </w:pPr>
    </w:p>
    <w:p w14:paraId="0A5E6C21" w14:textId="6366DE3E" w:rsidR="00F70062" w:rsidRDefault="00F70062" w:rsidP="00144391">
      <w:pPr>
        <w:jc w:val="both"/>
        <w:rPr>
          <w:rFonts w:ascii="Arial" w:hAnsi="Arial" w:cs="Arial"/>
        </w:rPr>
      </w:pPr>
    </w:p>
    <w:p w14:paraId="7C68C976" w14:textId="5B05A502" w:rsidR="00F70062" w:rsidRDefault="00F70062" w:rsidP="00144391">
      <w:pPr>
        <w:jc w:val="both"/>
        <w:rPr>
          <w:rFonts w:ascii="Arial" w:hAnsi="Arial" w:cs="Arial"/>
        </w:rPr>
      </w:pPr>
    </w:p>
    <w:bookmarkEnd w:id="5"/>
    <w:p w14:paraId="0298225C" w14:textId="216AD4BA" w:rsidR="00F70062" w:rsidRDefault="00F70062" w:rsidP="00144391">
      <w:pPr>
        <w:jc w:val="both"/>
        <w:rPr>
          <w:rFonts w:ascii="Arial" w:hAnsi="Arial" w:cs="Arial"/>
        </w:rPr>
      </w:pPr>
    </w:p>
    <w:p w14:paraId="1A6FAAFB" w14:textId="48FF2DA2" w:rsidR="00F70062" w:rsidRDefault="00F70062" w:rsidP="00144391">
      <w:pPr>
        <w:jc w:val="both"/>
        <w:rPr>
          <w:rFonts w:ascii="Arial" w:hAnsi="Arial" w:cs="Arial"/>
        </w:rPr>
      </w:pPr>
    </w:p>
    <w:p w14:paraId="00868083" w14:textId="42FCE134" w:rsidR="00F70062" w:rsidRDefault="00F70062" w:rsidP="00144391">
      <w:pPr>
        <w:jc w:val="both"/>
        <w:rPr>
          <w:rFonts w:ascii="Arial" w:hAnsi="Arial" w:cs="Arial"/>
        </w:rPr>
      </w:pPr>
    </w:p>
    <w:p w14:paraId="7A5869E5" w14:textId="2CE371F9" w:rsidR="00F70062" w:rsidRDefault="00F70062" w:rsidP="00144391">
      <w:pPr>
        <w:jc w:val="both"/>
        <w:rPr>
          <w:rFonts w:ascii="Arial" w:hAnsi="Arial" w:cs="Arial"/>
        </w:rPr>
      </w:pPr>
    </w:p>
    <w:p w14:paraId="2C9839FF" w14:textId="66F5ABA0" w:rsidR="00F70062" w:rsidRDefault="00F70062" w:rsidP="00144391">
      <w:pPr>
        <w:jc w:val="both"/>
        <w:rPr>
          <w:rFonts w:ascii="Arial" w:hAnsi="Arial" w:cs="Arial"/>
        </w:rPr>
      </w:pPr>
    </w:p>
    <w:p w14:paraId="79C5F79B" w14:textId="3AB8F762" w:rsidR="00F70062" w:rsidRDefault="00F70062" w:rsidP="00144391">
      <w:pPr>
        <w:jc w:val="both"/>
        <w:rPr>
          <w:rFonts w:ascii="Arial" w:hAnsi="Arial" w:cs="Arial"/>
        </w:rPr>
      </w:pPr>
    </w:p>
    <w:p w14:paraId="64F75107" w14:textId="7EEC5EFE" w:rsidR="00F70062" w:rsidRDefault="00F70062" w:rsidP="00144391">
      <w:pPr>
        <w:jc w:val="both"/>
        <w:rPr>
          <w:rFonts w:ascii="Arial" w:hAnsi="Arial" w:cs="Arial"/>
        </w:rPr>
      </w:pPr>
    </w:p>
    <w:p w14:paraId="4D05343A" w14:textId="67298C48" w:rsidR="00F70062" w:rsidRDefault="00F70062" w:rsidP="00144391">
      <w:pPr>
        <w:jc w:val="both"/>
        <w:rPr>
          <w:rFonts w:ascii="Arial" w:hAnsi="Arial" w:cs="Arial"/>
        </w:rPr>
      </w:pPr>
    </w:p>
    <w:p w14:paraId="3FF7A469" w14:textId="77777777" w:rsidR="003470CB" w:rsidRDefault="003470CB" w:rsidP="00144391">
      <w:pPr>
        <w:jc w:val="both"/>
        <w:rPr>
          <w:rFonts w:ascii="Arial" w:hAnsi="Arial" w:cs="Arial"/>
        </w:rPr>
      </w:pPr>
    </w:p>
    <w:p w14:paraId="42ECDBD0" w14:textId="13B99FCB" w:rsidR="00F70062" w:rsidRDefault="00F70062" w:rsidP="00144391">
      <w:pPr>
        <w:jc w:val="both"/>
        <w:rPr>
          <w:rFonts w:ascii="Arial" w:hAnsi="Arial" w:cs="Arial"/>
        </w:rPr>
      </w:pPr>
    </w:p>
    <w:p w14:paraId="5333F16E" w14:textId="0AC1FC21" w:rsidR="00F70062" w:rsidRDefault="00F70062" w:rsidP="00144391">
      <w:pPr>
        <w:jc w:val="both"/>
        <w:rPr>
          <w:rFonts w:ascii="Arial" w:hAnsi="Arial" w:cs="Arial"/>
        </w:rPr>
      </w:pPr>
    </w:p>
    <w:p w14:paraId="4EF2386F" w14:textId="3D6BC7E0" w:rsidR="00F70062" w:rsidRDefault="00F70062" w:rsidP="00144391">
      <w:pPr>
        <w:jc w:val="both"/>
        <w:rPr>
          <w:rFonts w:ascii="Arial" w:hAnsi="Arial" w:cs="Arial"/>
        </w:rPr>
      </w:pPr>
    </w:p>
    <w:p w14:paraId="6ADFB623" w14:textId="235B4DC9" w:rsidR="00F70062" w:rsidRDefault="00F70062" w:rsidP="00144391">
      <w:pPr>
        <w:jc w:val="both"/>
        <w:rPr>
          <w:rFonts w:ascii="Arial" w:hAnsi="Arial" w:cs="Arial"/>
        </w:rPr>
      </w:pPr>
    </w:p>
    <w:p w14:paraId="00C3CF3F" w14:textId="72F25257" w:rsidR="00F70062" w:rsidRDefault="00F70062" w:rsidP="00144391">
      <w:pPr>
        <w:jc w:val="both"/>
        <w:rPr>
          <w:rFonts w:ascii="Arial" w:hAnsi="Arial" w:cs="Arial"/>
        </w:rPr>
      </w:pPr>
    </w:p>
    <w:p w14:paraId="554DC51F" w14:textId="239022D6" w:rsidR="00F70062" w:rsidRDefault="00F70062" w:rsidP="00144391">
      <w:pPr>
        <w:jc w:val="both"/>
        <w:rPr>
          <w:rFonts w:ascii="Arial" w:hAnsi="Arial" w:cs="Arial"/>
        </w:rPr>
      </w:pPr>
    </w:p>
    <w:p w14:paraId="03416D5F" w14:textId="77777777" w:rsidR="00F70062" w:rsidRPr="006447CD" w:rsidRDefault="00F70062" w:rsidP="00F70062">
      <w:pPr>
        <w:spacing w:after="0"/>
        <w:jc w:val="both"/>
        <w:rPr>
          <w:rFonts w:ascii="Arial" w:hAnsi="Arial" w:cs="Arial"/>
          <w:b/>
        </w:rPr>
      </w:pPr>
      <w:r w:rsidRPr="006447CD">
        <w:rPr>
          <w:rFonts w:ascii="Arial" w:hAnsi="Arial" w:cs="Arial"/>
          <w:b/>
        </w:rPr>
        <w:lastRenderedPageBreak/>
        <w:t xml:space="preserve">Table 3. </w:t>
      </w:r>
      <w:r>
        <w:rPr>
          <w:rFonts w:ascii="Arial" w:hAnsi="Arial" w:cs="Arial"/>
          <w:b/>
        </w:rPr>
        <w:t>Multiple linear</w:t>
      </w:r>
      <w:r w:rsidRPr="006447CD">
        <w:rPr>
          <w:rFonts w:ascii="Arial" w:hAnsi="Arial" w:cs="Arial"/>
          <w:b/>
        </w:rPr>
        <w:t xml:space="preserve"> regression analys</w:t>
      </w:r>
      <w:r>
        <w:rPr>
          <w:rFonts w:ascii="Arial" w:hAnsi="Arial" w:cs="Arial"/>
          <w:b/>
        </w:rPr>
        <w:t>e</w:t>
      </w:r>
      <w:r w:rsidRPr="006447CD">
        <w:rPr>
          <w:rFonts w:ascii="Arial" w:hAnsi="Arial" w:cs="Arial"/>
          <w:b/>
        </w:rPr>
        <w:t xml:space="preserve">s on </w:t>
      </w:r>
      <w:r>
        <w:rPr>
          <w:rFonts w:ascii="Arial" w:hAnsi="Arial" w:cs="Arial"/>
          <w:b/>
        </w:rPr>
        <w:t>predictors of</w:t>
      </w:r>
      <w:r w:rsidRPr="006447CD">
        <w:rPr>
          <w:rFonts w:ascii="Arial" w:hAnsi="Arial" w:cs="Arial"/>
          <w:b/>
        </w:rPr>
        <w:t xml:space="preserve"> mental well-being by group</w:t>
      </w:r>
    </w:p>
    <w:tbl>
      <w:tblPr>
        <w:tblStyle w:val="TableGrid"/>
        <w:tblW w:w="89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90"/>
        <w:gridCol w:w="1238"/>
        <w:gridCol w:w="1234"/>
        <w:gridCol w:w="1196"/>
        <w:gridCol w:w="1483"/>
        <w:gridCol w:w="1790"/>
      </w:tblGrid>
      <w:tr w:rsidR="00F70062" w:rsidRPr="00D10668" w14:paraId="64F44930" w14:textId="77777777" w:rsidTr="00A037D3">
        <w:tc>
          <w:tcPr>
            <w:tcW w:w="1990" w:type="dxa"/>
          </w:tcPr>
          <w:p w14:paraId="000D7D44" w14:textId="77777777" w:rsidR="00F70062" w:rsidRPr="00D10668" w:rsidRDefault="00F70062" w:rsidP="00A037D3">
            <w:pPr>
              <w:jc w:val="both"/>
              <w:rPr>
                <w:rFonts w:ascii="Arial" w:hAnsi="Arial" w:cs="Arial"/>
                <w:b/>
                <w:sz w:val="20"/>
                <w:szCs w:val="20"/>
              </w:rPr>
            </w:pPr>
          </w:p>
        </w:tc>
        <w:tc>
          <w:tcPr>
            <w:tcW w:w="1238" w:type="dxa"/>
          </w:tcPr>
          <w:p w14:paraId="208B47D3" w14:textId="77777777" w:rsidR="00F70062" w:rsidRPr="00D10668" w:rsidRDefault="00F70062" w:rsidP="00A037D3">
            <w:pPr>
              <w:jc w:val="both"/>
              <w:rPr>
                <w:rFonts w:ascii="Arial" w:hAnsi="Arial" w:cs="Arial"/>
                <w:b/>
                <w:sz w:val="20"/>
                <w:szCs w:val="20"/>
              </w:rPr>
            </w:pPr>
            <w:r w:rsidRPr="00D10668">
              <w:rPr>
                <w:rFonts w:ascii="Arial" w:hAnsi="Arial" w:cs="Arial"/>
                <w:b/>
                <w:sz w:val="20"/>
                <w:szCs w:val="20"/>
              </w:rPr>
              <w:t>B</w:t>
            </w:r>
            <w:r>
              <w:rPr>
                <w:rFonts w:ascii="Arial" w:hAnsi="Arial" w:cs="Arial"/>
                <w:b/>
                <w:sz w:val="20"/>
                <w:szCs w:val="20"/>
              </w:rPr>
              <w:t>eta</w:t>
            </w:r>
          </w:p>
        </w:tc>
        <w:tc>
          <w:tcPr>
            <w:tcW w:w="1234" w:type="dxa"/>
          </w:tcPr>
          <w:p w14:paraId="1A4F3FA1" w14:textId="77777777" w:rsidR="00F70062" w:rsidRPr="00D10668" w:rsidRDefault="00F70062" w:rsidP="00A037D3">
            <w:pPr>
              <w:jc w:val="both"/>
              <w:rPr>
                <w:rFonts w:ascii="Arial" w:hAnsi="Arial" w:cs="Arial"/>
                <w:b/>
                <w:sz w:val="20"/>
                <w:szCs w:val="20"/>
              </w:rPr>
            </w:pPr>
            <w:r>
              <w:rPr>
                <w:rFonts w:ascii="Arial" w:hAnsi="Arial" w:cs="Arial"/>
                <w:b/>
                <w:sz w:val="20"/>
                <w:szCs w:val="20"/>
              </w:rPr>
              <w:t>Standard error</w:t>
            </w:r>
          </w:p>
        </w:tc>
        <w:tc>
          <w:tcPr>
            <w:tcW w:w="1196" w:type="dxa"/>
          </w:tcPr>
          <w:p w14:paraId="6D48C9C5" w14:textId="77777777" w:rsidR="00F70062" w:rsidRDefault="00F70062" w:rsidP="00A037D3">
            <w:pPr>
              <w:jc w:val="both"/>
              <w:rPr>
                <w:rFonts w:ascii="Arial" w:hAnsi="Arial" w:cs="Arial"/>
                <w:b/>
                <w:sz w:val="20"/>
                <w:szCs w:val="20"/>
              </w:rPr>
            </w:pPr>
            <w:r>
              <w:rPr>
                <w:rFonts w:ascii="Arial" w:hAnsi="Arial" w:cs="Arial"/>
                <w:b/>
                <w:sz w:val="20"/>
                <w:szCs w:val="20"/>
              </w:rPr>
              <w:t>p-value</w:t>
            </w:r>
          </w:p>
        </w:tc>
        <w:tc>
          <w:tcPr>
            <w:tcW w:w="1483" w:type="dxa"/>
          </w:tcPr>
          <w:p w14:paraId="1C7172F2" w14:textId="77777777" w:rsidR="00F70062" w:rsidRDefault="00F70062" w:rsidP="00A037D3">
            <w:pPr>
              <w:jc w:val="both"/>
              <w:rPr>
                <w:rFonts w:ascii="Arial" w:hAnsi="Arial" w:cs="Arial"/>
                <w:b/>
                <w:sz w:val="20"/>
                <w:szCs w:val="20"/>
              </w:rPr>
            </w:pPr>
            <w:r>
              <w:rPr>
                <w:rFonts w:ascii="Arial" w:hAnsi="Arial" w:cs="Arial"/>
                <w:b/>
                <w:sz w:val="20"/>
                <w:szCs w:val="20"/>
              </w:rPr>
              <w:t>Standardised Beta</w:t>
            </w:r>
          </w:p>
        </w:tc>
        <w:tc>
          <w:tcPr>
            <w:tcW w:w="1790" w:type="dxa"/>
          </w:tcPr>
          <w:p w14:paraId="47536270" w14:textId="77777777" w:rsidR="00F70062" w:rsidRDefault="00F70062" w:rsidP="00A037D3">
            <w:pPr>
              <w:jc w:val="both"/>
              <w:rPr>
                <w:rFonts w:ascii="Arial" w:hAnsi="Arial" w:cs="Arial"/>
                <w:b/>
                <w:sz w:val="20"/>
                <w:szCs w:val="20"/>
              </w:rPr>
            </w:pPr>
            <w:r>
              <w:rPr>
                <w:rFonts w:ascii="Arial" w:hAnsi="Arial" w:cs="Arial"/>
                <w:b/>
                <w:sz w:val="20"/>
                <w:szCs w:val="20"/>
              </w:rPr>
              <w:t>95% Confidence interval</w:t>
            </w:r>
          </w:p>
        </w:tc>
      </w:tr>
      <w:tr w:rsidR="00F70062" w:rsidRPr="00D10668" w14:paraId="027CA565" w14:textId="77777777" w:rsidTr="00A037D3">
        <w:tc>
          <w:tcPr>
            <w:tcW w:w="8931" w:type="dxa"/>
            <w:gridSpan w:val="6"/>
          </w:tcPr>
          <w:p w14:paraId="0AA8A2DD" w14:textId="5BBB66F0" w:rsidR="00F70062" w:rsidRPr="00D10668" w:rsidRDefault="00F70062" w:rsidP="00A037D3">
            <w:pPr>
              <w:jc w:val="both"/>
              <w:rPr>
                <w:rFonts w:ascii="Arial" w:hAnsi="Arial" w:cs="Arial"/>
                <w:b/>
                <w:sz w:val="20"/>
                <w:szCs w:val="20"/>
              </w:rPr>
            </w:pPr>
            <w:r>
              <w:rPr>
                <w:rFonts w:ascii="Arial" w:hAnsi="Arial" w:cs="Arial"/>
                <w:b/>
                <w:sz w:val="20"/>
                <w:szCs w:val="20"/>
              </w:rPr>
              <w:t>GROUP 1: People living with dementia</w:t>
            </w:r>
            <w:r w:rsidR="00734287">
              <w:rPr>
                <w:rFonts w:ascii="Arial" w:hAnsi="Arial" w:cs="Arial"/>
                <w:b/>
                <w:sz w:val="20"/>
                <w:szCs w:val="20"/>
              </w:rPr>
              <w:t xml:space="preserve"> (N=3</w:t>
            </w:r>
            <w:r w:rsidR="00053EBF">
              <w:rPr>
                <w:rFonts w:ascii="Arial" w:hAnsi="Arial" w:cs="Arial"/>
                <w:b/>
                <w:sz w:val="20"/>
                <w:szCs w:val="20"/>
              </w:rPr>
              <w:t>0</w:t>
            </w:r>
            <w:r w:rsidR="00734287">
              <w:rPr>
                <w:rFonts w:ascii="Arial" w:hAnsi="Arial" w:cs="Arial"/>
                <w:b/>
                <w:sz w:val="20"/>
                <w:szCs w:val="20"/>
              </w:rPr>
              <w:t>)</w:t>
            </w:r>
          </w:p>
        </w:tc>
      </w:tr>
      <w:tr w:rsidR="00F70062" w:rsidRPr="00D10668" w14:paraId="2CA23747" w14:textId="77777777" w:rsidTr="00A037D3">
        <w:tc>
          <w:tcPr>
            <w:tcW w:w="8931" w:type="dxa"/>
            <w:gridSpan w:val="6"/>
          </w:tcPr>
          <w:p w14:paraId="02E1D482" w14:textId="77777777" w:rsidR="00F70062" w:rsidRPr="00D10668" w:rsidRDefault="00F70062" w:rsidP="00A037D3">
            <w:pPr>
              <w:jc w:val="center"/>
              <w:rPr>
                <w:rFonts w:ascii="Arial" w:hAnsi="Arial" w:cs="Arial"/>
                <w:b/>
                <w:sz w:val="20"/>
                <w:szCs w:val="20"/>
              </w:rPr>
            </w:pPr>
            <w:r>
              <w:rPr>
                <w:rFonts w:ascii="Arial" w:hAnsi="Arial" w:cs="Arial"/>
                <w:b/>
                <w:i/>
                <w:sz w:val="20"/>
                <w:szCs w:val="20"/>
              </w:rPr>
              <w:t>GAD-7</w:t>
            </w:r>
          </w:p>
        </w:tc>
      </w:tr>
      <w:tr w:rsidR="00F70062" w:rsidRPr="00D10668" w14:paraId="163E0D59" w14:textId="77777777" w:rsidTr="00A037D3">
        <w:tc>
          <w:tcPr>
            <w:tcW w:w="1990" w:type="dxa"/>
          </w:tcPr>
          <w:p w14:paraId="662F642B" w14:textId="77777777" w:rsidR="00F70062" w:rsidRPr="00D10668" w:rsidRDefault="00F70062" w:rsidP="00A037D3">
            <w:pPr>
              <w:rPr>
                <w:rFonts w:ascii="Arial" w:hAnsi="Arial" w:cs="Arial"/>
                <w:sz w:val="20"/>
                <w:szCs w:val="20"/>
              </w:rPr>
            </w:pPr>
            <w:r w:rsidRPr="00D10668">
              <w:rPr>
                <w:rFonts w:ascii="Arial" w:hAnsi="Arial" w:cs="Arial"/>
                <w:sz w:val="20"/>
                <w:szCs w:val="20"/>
              </w:rPr>
              <w:t>Age</w:t>
            </w:r>
          </w:p>
        </w:tc>
        <w:tc>
          <w:tcPr>
            <w:tcW w:w="1238" w:type="dxa"/>
          </w:tcPr>
          <w:p w14:paraId="4322C5D3" w14:textId="10662114" w:rsidR="00F70062" w:rsidRPr="0059441A" w:rsidRDefault="002F30B2" w:rsidP="00A037D3">
            <w:pPr>
              <w:jc w:val="both"/>
              <w:rPr>
                <w:rFonts w:ascii="Arial" w:hAnsi="Arial" w:cs="Arial"/>
                <w:sz w:val="20"/>
                <w:szCs w:val="20"/>
              </w:rPr>
            </w:pPr>
            <w:r>
              <w:rPr>
                <w:rFonts w:ascii="Arial" w:hAnsi="Arial" w:cs="Arial"/>
                <w:sz w:val="20"/>
                <w:szCs w:val="20"/>
              </w:rPr>
              <w:t>-.049</w:t>
            </w:r>
          </w:p>
        </w:tc>
        <w:tc>
          <w:tcPr>
            <w:tcW w:w="1234" w:type="dxa"/>
          </w:tcPr>
          <w:p w14:paraId="280C0153" w14:textId="77777777" w:rsidR="00F70062" w:rsidRPr="0059441A" w:rsidRDefault="00F70062" w:rsidP="00A037D3">
            <w:pPr>
              <w:jc w:val="both"/>
              <w:rPr>
                <w:rFonts w:ascii="Arial" w:hAnsi="Arial" w:cs="Arial"/>
                <w:sz w:val="20"/>
                <w:szCs w:val="20"/>
              </w:rPr>
            </w:pPr>
            <w:r>
              <w:rPr>
                <w:rFonts w:ascii="Arial" w:hAnsi="Arial" w:cs="Arial"/>
                <w:sz w:val="20"/>
                <w:szCs w:val="20"/>
              </w:rPr>
              <w:t>.110</w:t>
            </w:r>
          </w:p>
        </w:tc>
        <w:tc>
          <w:tcPr>
            <w:tcW w:w="1196" w:type="dxa"/>
          </w:tcPr>
          <w:p w14:paraId="6F9BA68A" w14:textId="77777777" w:rsidR="00F70062" w:rsidRPr="0059441A" w:rsidRDefault="00F70062" w:rsidP="00A037D3">
            <w:pPr>
              <w:jc w:val="both"/>
              <w:rPr>
                <w:rFonts w:ascii="Arial" w:hAnsi="Arial" w:cs="Arial"/>
                <w:sz w:val="20"/>
                <w:szCs w:val="20"/>
              </w:rPr>
            </w:pPr>
            <w:r>
              <w:rPr>
                <w:rFonts w:ascii="Arial" w:hAnsi="Arial" w:cs="Arial"/>
                <w:sz w:val="20"/>
                <w:szCs w:val="20"/>
              </w:rPr>
              <w:t>.659</w:t>
            </w:r>
          </w:p>
        </w:tc>
        <w:tc>
          <w:tcPr>
            <w:tcW w:w="1483" w:type="dxa"/>
          </w:tcPr>
          <w:p w14:paraId="4150F0B9" w14:textId="77777777" w:rsidR="00F70062" w:rsidRPr="0059441A" w:rsidRDefault="00F70062" w:rsidP="00A037D3">
            <w:pPr>
              <w:jc w:val="both"/>
              <w:rPr>
                <w:rFonts w:ascii="Arial" w:hAnsi="Arial" w:cs="Arial"/>
                <w:sz w:val="20"/>
                <w:szCs w:val="20"/>
              </w:rPr>
            </w:pPr>
            <w:r>
              <w:rPr>
                <w:rFonts w:ascii="Arial" w:hAnsi="Arial" w:cs="Arial"/>
                <w:sz w:val="20"/>
                <w:szCs w:val="20"/>
              </w:rPr>
              <w:t>-.096</w:t>
            </w:r>
          </w:p>
        </w:tc>
        <w:tc>
          <w:tcPr>
            <w:tcW w:w="1790" w:type="dxa"/>
          </w:tcPr>
          <w:p w14:paraId="592FB4F5" w14:textId="77777777" w:rsidR="00F70062" w:rsidRPr="0059441A" w:rsidRDefault="00F70062" w:rsidP="00A037D3">
            <w:pPr>
              <w:jc w:val="both"/>
              <w:rPr>
                <w:rFonts w:ascii="Arial" w:hAnsi="Arial" w:cs="Arial"/>
                <w:sz w:val="20"/>
                <w:szCs w:val="20"/>
              </w:rPr>
            </w:pPr>
            <w:r>
              <w:rPr>
                <w:rFonts w:ascii="Arial" w:hAnsi="Arial" w:cs="Arial"/>
                <w:sz w:val="20"/>
                <w:szCs w:val="20"/>
              </w:rPr>
              <w:t>-.275 - .177</w:t>
            </w:r>
          </w:p>
        </w:tc>
      </w:tr>
      <w:tr w:rsidR="00F70062" w:rsidRPr="00D10668" w14:paraId="309CACDA" w14:textId="77777777" w:rsidTr="00A037D3">
        <w:tc>
          <w:tcPr>
            <w:tcW w:w="1990" w:type="dxa"/>
          </w:tcPr>
          <w:p w14:paraId="6592C9D9" w14:textId="77777777" w:rsidR="00F70062" w:rsidRPr="00D10668" w:rsidRDefault="00F70062" w:rsidP="00A037D3">
            <w:pPr>
              <w:rPr>
                <w:rFonts w:ascii="Arial" w:hAnsi="Arial" w:cs="Arial"/>
                <w:sz w:val="20"/>
                <w:szCs w:val="20"/>
              </w:rPr>
            </w:pPr>
            <w:r>
              <w:rPr>
                <w:rFonts w:ascii="Arial" w:hAnsi="Arial" w:cs="Arial"/>
                <w:sz w:val="20"/>
                <w:szCs w:val="20"/>
              </w:rPr>
              <w:t>Gender</w:t>
            </w:r>
          </w:p>
        </w:tc>
        <w:tc>
          <w:tcPr>
            <w:tcW w:w="1238" w:type="dxa"/>
          </w:tcPr>
          <w:p w14:paraId="4B5684B7" w14:textId="77777777" w:rsidR="00F70062" w:rsidRPr="0059441A" w:rsidRDefault="00F70062" w:rsidP="00A037D3">
            <w:pPr>
              <w:jc w:val="both"/>
              <w:rPr>
                <w:rFonts w:ascii="Arial" w:hAnsi="Arial" w:cs="Arial"/>
                <w:sz w:val="20"/>
                <w:szCs w:val="20"/>
              </w:rPr>
            </w:pPr>
            <w:r>
              <w:rPr>
                <w:rFonts w:ascii="Arial" w:hAnsi="Arial" w:cs="Arial"/>
                <w:sz w:val="20"/>
                <w:szCs w:val="20"/>
              </w:rPr>
              <w:t>.518</w:t>
            </w:r>
          </w:p>
        </w:tc>
        <w:tc>
          <w:tcPr>
            <w:tcW w:w="1234" w:type="dxa"/>
          </w:tcPr>
          <w:p w14:paraId="512E361F" w14:textId="77777777" w:rsidR="00F70062" w:rsidRPr="0059441A" w:rsidRDefault="00F70062" w:rsidP="00A037D3">
            <w:pPr>
              <w:jc w:val="both"/>
              <w:rPr>
                <w:rFonts w:ascii="Arial" w:hAnsi="Arial" w:cs="Arial"/>
                <w:sz w:val="20"/>
                <w:szCs w:val="20"/>
              </w:rPr>
            </w:pPr>
            <w:r>
              <w:rPr>
                <w:rFonts w:ascii="Arial" w:hAnsi="Arial" w:cs="Arial"/>
                <w:sz w:val="20"/>
                <w:szCs w:val="20"/>
              </w:rPr>
              <w:t>2.329</w:t>
            </w:r>
          </w:p>
        </w:tc>
        <w:tc>
          <w:tcPr>
            <w:tcW w:w="1196" w:type="dxa"/>
          </w:tcPr>
          <w:p w14:paraId="74DF34B3" w14:textId="77777777" w:rsidR="00F70062" w:rsidRPr="0059441A" w:rsidRDefault="00F70062" w:rsidP="00A037D3">
            <w:pPr>
              <w:jc w:val="both"/>
              <w:rPr>
                <w:rFonts w:ascii="Arial" w:hAnsi="Arial" w:cs="Arial"/>
                <w:sz w:val="20"/>
                <w:szCs w:val="20"/>
              </w:rPr>
            </w:pPr>
            <w:r>
              <w:rPr>
                <w:rFonts w:ascii="Arial" w:hAnsi="Arial" w:cs="Arial"/>
                <w:sz w:val="20"/>
                <w:szCs w:val="20"/>
              </w:rPr>
              <w:t>.826</w:t>
            </w:r>
          </w:p>
        </w:tc>
        <w:tc>
          <w:tcPr>
            <w:tcW w:w="1483" w:type="dxa"/>
          </w:tcPr>
          <w:p w14:paraId="31F5B761" w14:textId="77777777" w:rsidR="00F70062" w:rsidRPr="0059441A" w:rsidRDefault="00F70062" w:rsidP="00A037D3">
            <w:pPr>
              <w:jc w:val="both"/>
              <w:rPr>
                <w:rFonts w:ascii="Arial" w:hAnsi="Arial" w:cs="Arial"/>
                <w:sz w:val="20"/>
                <w:szCs w:val="20"/>
              </w:rPr>
            </w:pPr>
            <w:r>
              <w:rPr>
                <w:rFonts w:ascii="Arial" w:hAnsi="Arial" w:cs="Arial"/>
                <w:sz w:val="20"/>
                <w:szCs w:val="20"/>
              </w:rPr>
              <w:t>.048</w:t>
            </w:r>
          </w:p>
        </w:tc>
        <w:tc>
          <w:tcPr>
            <w:tcW w:w="1790" w:type="dxa"/>
          </w:tcPr>
          <w:p w14:paraId="3A88E3EC" w14:textId="77777777" w:rsidR="00F70062" w:rsidRPr="0059441A" w:rsidRDefault="00F70062" w:rsidP="00A037D3">
            <w:pPr>
              <w:jc w:val="both"/>
              <w:rPr>
                <w:rFonts w:ascii="Arial" w:hAnsi="Arial" w:cs="Arial"/>
                <w:sz w:val="20"/>
                <w:szCs w:val="20"/>
              </w:rPr>
            </w:pPr>
            <w:r>
              <w:rPr>
                <w:rFonts w:ascii="Arial" w:hAnsi="Arial" w:cs="Arial"/>
                <w:sz w:val="20"/>
                <w:szCs w:val="20"/>
              </w:rPr>
              <w:t>-4.279 – 5.316</w:t>
            </w:r>
          </w:p>
        </w:tc>
      </w:tr>
      <w:tr w:rsidR="00F70062" w:rsidRPr="00D10668" w14:paraId="46C1533C" w14:textId="77777777" w:rsidTr="00A037D3">
        <w:tc>
          <w:tcPr>
            <w:tcW w:w="1990" w:type="dxa"/>
          </w:tcPr>
          <w:p w14:paraId="059FF20D" w14:textId="77777777" w:rsidR="00F70062" w:rsidRPr="00D10668" w:rsidRDefault="00F70062" w:rsidP="00A037D3">
            <w:pPr>
              <w:rPr>
                <w:rFonts w:ascii="Arial" w:hAnsi="Arial" w:cs="Arial"/>
                <w:sz w:val="20"/>
                <w:szCs w:val="20"/>
              </w:rPr>
            </w:pPr>
            <w:r>
              <w:rPr>
                <w:rFonts w:ascii="Arial" w:hAnsi="Arial" w:cs="Arial"/>
                <w:sz w:val="20"/>
                <w:szCs w:val="20"/>
              </w:rPr>
              <w:t>Years of education</w:t>
            </w:r>
          </w:p>
        </w:tc>
        <w:tc>
          <w:tcPr>
            <w:tcW w:w="1238" w:type="dxa"/>
          </w:tcPr>
          <w:p w14:paraId="6415A1CE" w14:textId="77777777" w:rsidR="00F70062" w:rsidRPr="0059441A" w:rsidRDefault="00F70062" w:rsidP="00A037D3">
            <w:pPr>
              <w:jc w:val="both"/>
              <w:rPr>
                <w:rFonts w:ascii="Arial" w:hAnsi="Arial" w:cs="Arial"/>
                <w:sz w:val="20"/>
                <w:szCs w:val="20"/>
              </w:rPr>
            </w:pPr>
            <w:r>
              <w:rPr>
                <w:rFonts w:ascii="Arial" w:hAnsi="Arial" w:cs="Arial"/>
                <w:sz w:val="20"/>
                <w:szCs w:val="20"/>
              </w:rPr>
              <w:t>.377</w:t>
            </w:r>
          </w:p>
        </w:tc>
        <w:tc>
          <w:tcPr>
            <w:tcW w:w="1234" w:type="dxa"/>
          </w:tcPr>
          <w:p w14:paraId="2CED47CF" w14:textId="77777777" w:rsidR="00F70062" w:rsidRPr="0059441A" w:rsidRDefault="00F70062" w:rsidP="00A037D3">
            <w:pPr>
              <w:jc w:val="both"/>
              <w:rPr>
                <w:rFonts w:ascii="Arial" w:hAnsi="Arial" w:cs="Arial"/>
                <w:sz w:val="20"/>
                <w:szCs w:val="20"/>
              </w:rPr>
            </w:pPr>
            <w:r>
              <w:rPr>
                <w:rFonts w:ascii="Arial" w:hAnsi="Arial" w:cs="Arial"/>
                <w:sz w:val="20"/>
                <w:szCs w:val="20"/>
              </w:rPr>
              <w:t>.229</w:t>
            </w:r>
          </w:p>
        </w:tc>
        <w:tc>
          <w:tcPr>
            <w:tcW w:w="1196" w:type="dxa"/>
          </w:tcPr>
          <w:p w14:paraId="25E8A039" w14:textId="77777777" w:rsidR="00F70062" w:rsidRPr="0059441A" w:rsidRDefault="00F70062" w:rsidP="00A037D3">
            <w:pPr>
              <w:jc w:val="both"/>
              <w:rPr>
                <w:rFonts w:ascii="Arial" w:hAnsi="Arial" w:cs="Arial"/>
                <w:sz w:val="20"/>
                <w:szCs w:val="20"/>
              </w:rPr>
            </w:pPr>
            <w:r>
              <w:rPr>
                <w:rFonts w:ascii="Arial" w:hAnsi="Arial" w:cs="Arial"/>
                <w:sz w:val="20"/>
                <w:szCs w:val="20"/>
              </w:rPr>
              <w:t>.113</w:t>
            </w:r>
          </w:p>
        </w:tc>
        <w:tc>
          <w:tcPr>
            <w:tcW w:w="1483" w:type="dxa"/>
          </w:tcPr>
          <w:p w14:paraId="6857843F" w14:textId="77777777" w:rsidR="00F70062" w:rsidRPr="0059441A" w:rsidRDefault="00F70062" w:rsidP="00A037D3">
            <w:pPr>
              <w:jc w:val="both"/>
              <w:rPr>
                <w:rFonts w:ascii="Arial" w:hAnsi="Arial" w:cs="Arial"/>
                <w:sz w:val="20"/>
                <w:szCs w:val="20"/>
              </w:rPr>
            </w:pPr>
            <w:r>
              <w:rPr>
                <w:rFonts w:ascii="Arial" w:hAnsi="Arial" w:cs="Arial"/>
                <w:sz w:val="20"/>
                <w:szCs w:val="20"/>
              </w:rPr>
              <w:t>.295</w:t>
            </w:r>
          </w:p>
        </w:tc>
        <w:tc>
          <w:tcPr>
            <w:tcW w:w="1790" w:type="dxa"/>
          </w:tcPr>
          <w:p w14:paraId="0079410D" w14:textId="77777777" w:rsidR="00F70062" w:rsidRPr="0059441A" w:rsidRDefault="00F70062" w:rsidP="00A037D3">
            <w:pPr>
              <w:jc w:val="both"/>
              <w:rPr>
                <w:rFonts w:ascii="Arial" w:hAnsi="Arial" w:cs="Arial"/>
                <w:sz w:val="20"/>
                <w:szCs w:val="20"/>
              </w:rPr>
            </w:pPr>
            <w:r>
              <w:rPr>
                <w:rFonts w:ascii="Arial" w:hAnsi="Arial" w:cs="Arial"/>
                <w:sz w:val="20"/>
                <w:szCs w:val="20"/>
              </w:rPr>
              <w:t>-.095 - .848</w:t>
            </w:r>
          </w:p>
        </w:tc>
      </w:tr>
      <w:tr w:rsidR="00F70062" w:rsidRPr="00D10668" w14:paraId="0CDBE6EC" w14:textId="77777777" w:rsidTr="00A037D3">
        <w:tc>
          <w:tcPr>
            <w:tcW w:w="1990" w:type="dxa"/>
          </w:tcPr>
          <w:p w14:paraId="01A2F187" w14:textId="77777777" w:rsidR="00F70062" w:rsidRDefault="00F70062" w:rsidP="00A037D3">
            <w:pPr>
              <w:rPr>
                <w:rFonts w:ascii="Arial" w:hAnsi="Arial" w:cs="Arial"/>
                <w:sz w:val="20"/>
                <w:szCs w:val="20"/>
              </w:rPr>
            </w:pPr>
            <w:r>
              <w:rPr>
                <w:rFonts w:ascii="Arial" w:hAnsi="Arial" w:cs="Arial"/>
                <w:sz w:val="20"/>
                <w:szCs w:val="20"/>
              </w:rPr>
              <w:t>Living situation</w:t>
            </w:r>
          </w:p>
        </w:tc>
        <w:tc>
          <w:tcPr>
            <w:tcW w:w="1238" w:type="dxa"/>
          </w:tcPr>
          <w:p w14:paraId="631886FB" w14:textId="77777777" w:rsidR="00F70062" w:rsidRPr="0059441A" w:rsidRDefault="00F70062" w:rsidP="00A037D3">
            <w:pPr>
              <w:jc w:val="both"/>
              <w:rPr>
                <w:rFonts w:ascii="Arial" w:hAnsi="Arial" w:cs="Arial"/>
                <w:sz w:val="20"/>
                <w:szCs w:val="20"/>
              </w:rPr>
            </w:pPr>
            <w:r>
              <w:rPr>
                <w:rFonts w:ascii="Arial" w:hAnsi="Arial" w:cs="Arial"/>
                <w:sz w:val="20"/>
                <w:szCs w:val="20"/>
              </w:rPr>
              <w:t>-2.684</w:t>
            </w:r>
          </w:p>
        </w:tc>
        <w:tc>
          <w:tcPr>
            <w:tcW w:w="1234" w:type="dxa"/>
          </w:tcPr>
          <w:p w14:paraId="3EFF3B34" w14:textId="77777777" w:rsidR="00F70062" w:rsidRPr="0059441A" w:rsidRDefault="00F70062" w:rsidP="00A037D3">
            <w:pPr>
              <w:jc w:val="both"/>
              <w:rPr>
                <w:rFonts w:ascii="Arial" w:hAnsi="Arial" w:cs="Arial"/>
                <w:sz w:val="20"/>
                <w:szCs w:val="20"/>
              </w:rPr>
            </w:pPr>
            <w:r>
              <w:rPr>
                <w:rFonts w:ascii="Arial" w:hAnsi="Arial" w:cs="Arial"/>
                <w:sz w:val="20"/>
                <w:szCs w:val="20"/>
              </w:rPr>
              <w:t>2.789</w:t>
            </w:r>
          </w:p>
        </w:tc>
        <w:tc>
          <w:tcPr>
            <w:tcW w:w="1196" w:type="dxa"/>
          </w:tcPr>
          <w:p w14:paraId="608F0E09" w14:textId="77777777" w:rsidR="00F70062" w:rsidRPr="0059441A" w:rsidRDefault="00F70062" w:rsidP="00A037D3">
            <w:pPr>
              <w:jc w:val="both"/>
              <w:rPr>
                <w:rFonts w:ascii="Arial" w:hAnsi="Arial" w:cs="Arial"/>
                <w:sz w:val="20"/>
                <w:szCs w:val="20"/>
              </w:rPr>
            </w:pPr>
            <w:r>
              <w:rPr>
                <w:rFonts w:ascii="Arial" w:hAnsi="Arial" w:cs="Arial"/>
                <w:sz w:val="20"/>
                <w:szCs w:val="20"/>
              </w:rPr>
              <w:t>.345</w:t>
            </w:r>
          </w:p>
        </w:tc>
        <w:tc>
          <w:tcPr>
            <w:tcW w:w="1483" w:type="dxa"/>
          </w:tcPr>
          <w:p w14:paraId="6B1A486F" w14:textId="77777777" w:rsidR="00F70062" w:rsidRPr="0059441A" w:rsidRDefault="00F70062" w:rsidP="00A037D3">
            <w:pPr>
              <w:jc w:val="both"/>
              <w:rPr>
                <w:rFonts w:ascii="Arial" w:hAnsi="Arial" w:cs="Arial"/>
                <w:sz w:val="20"/>
                <w:szCs w:val="20"/>
              </w:rPr>
            </w:pPr>
            <w:r>
              <w:rPr>
                <w:rFonts w:ascii="Arial" w:hAnsi="Arial" w:cs="Arial"/>
                <w:sz w:val="20"/>
                <w:szCs w:val="20"/>
              </w:rPr>
              <w:t>-.197</w:t>
            </w:r>
          </w:p>
        </w:tc>
        <w:tc>
          <w:tcPr>
            <w:tcW w:w="1790" w:type="dxa"/>
          </w:tcPr>
          <w:p w14:paraId="6A59AA01" w14:textId="77777777" w:rsidR="00F70062" w:rsidRPr="0059441A" w:rsidRDefault="00F70062" w:rsidP="00A037D3">
            <w:pPr>
              <w:jc w:val="both"/>
              <w:rPr>
                <w:rFonts w:ascii="Arial" w:hAnsi="Arial" w:cs="Arial"/>
                <w:sz w:val="20"/>
                <w:szCs w:val="20"/>
              </w:rPr>
            </w:pPr>
            <w:r>
              <w:rPr>
                <w:rFonts w:ascii="Arial" w:hAnsi="Arial" w:cs="Arial"/>
                <w:sz w:val="20"/>
                <w:szCs w:val="20"/>
              </w:rPr>
              <w:t>-8.428 – 3.060</w:t>
            </w:r>
          </w:p>
        </w:tc>
      </w:tr>
      <w:tr w:rsidR="00F70062" w:rsidRPr="00D10668" w14:paraId="5989DB3B" w14:textId="77777777" w:rsidTr="00A037D3">
        <w:tc>
          <w:tcPr>
            <w:tcW w:w="1990" w:type="dxa"/>
          </w:tcPr>
          <w:p w14:paraId="6B369731" w14:textId="77777777" w:rsidR="00F70062" w:rsidRPr="00D10668" w:rsidRDefault="00F70062" w:rsidP="00A037D3">
            <w:pPr>
              <w:rPr>
                <w:rFonts w:ascii="Arial" w:hAnsi="Arial" w:cs="Arial"/>
                <w:b/>
                <w:sz w:val="20"/>
                <w:szCs w:val="20"/>
              </w:rPr>
            </w:pPr>
            <w:r w:rsidRPr="00D10668">
              <w:rPr>
                <w:rFonts w:ascii="Arial" w:hAnsi="Arial" w:cs="Arial"/>
                <w:sz w:val="20"/>
                <w:szCs w:val="20"/>
              </w:rPr>
              <w:t>Variation in social support service hours</w:t>
            </w:r>
          </w:p>
        </w:tc>
        <w:tc>
          <w:tcPr>
            <w:tcW w:w="1238" w:type="dxa"/>
          </w:tcPr>
          <w:p w14:paraId="28531A21" w14:textId="77777777" w:rsidR="00F70062" w:rsidRPr="0059441A" w:rsidRDefault="00F70062" w:rsidP="00A037D3">
            <w:pPr>
              <w:jc w:val="both"/>
              <w:rPr>
                <w:rFonts w:ascii="Arial" w:hAnsi="Arial" w:cs="Arial"/>
                <w:sz w:val="20"/>
                <w:szCs w:val="20"/>
              </w:rPr>
            </w:pPr>
            <w:r>
              <w:rPr>
                <w:rFonts w:ascii="Arial" w:hAnsi="Arial" w:cs="Arial"/>
                <w:sz w:val="20"/>
                <w:szCs w:val="20"/>
              </w:rPr>
              <w:t>.107</w:t>
            </w:r>
          </w:p>
        </w:tc>
        <w:tc>
          <w:tcPr>
            <w:tcW w:w="1234" w:type="dxa"/>
          </w:tcPr>
          <w:p w14:paraId="171E2A0D" w14:textId="77777777" w:rsidR="00F70062" w:rsidRPr="0059441A" w:rsidRDefault="00F70062" w:rsidP="00A037D3">
            <w:pPr>
              <w:jc w:val="both"/>
              <w:rPr>
                <w:rFonts w:ascii="Arial" w:hAnsi="Arial" w:cs="Arial"/>
                <w:sz w:val="20"/>
                <w:szCs w:val="20"/>
              </w:rPr>
            </w:pPr>
            <w:r>
              <w:rPr>
                <w:rFonts w:ascii="Arial" w:hAnsi="Arial" w:cs="Arial"/>
                <w:sz w:val="20"/>
                <w:szCs w:val="20"/>
              </w:rPr>
              <w:t>.040</w:t>
            </w:r>
          </w:p>
        </w:tc>
        <w:tc>
          <w:tcPr>
            <w:tcW w:w="1196" w:type="dxa"/>
          </w:tcPr>
          <w:p w14:paraId="7B3FE1D4" w14:textId="77777777" w:rsidR="00F70062" w:rsidRPr="005D61CD" w:rsidRDefault="00F70062" w:rsidP="00A037D3">
            <w:pPr>
              <w:jc w:val="both"/>
              <w:rPr>
                <w:rFonts w:ascii="Arial" w:hAnsi="Arial" w:cs="Arial"/>
                <w:b/>
                <w:sz w:val="20"/>
                <w:szCs w:val="20"/>
              </w:rPr>
            </w:pPr>
            <w:r w:rsidRPr="005D61CD">
              <w:rPr>
                <w:rFonts w:ascii="Arial" w:hAnsi="Arial" w:cs="Arial"/>
                <w:b/>
                <w:sz w:val="20"/>
                <w:szCs w:val="20"/>
              </w:rPr>
              <w:t>.012</w:t>
            </w:r>
          </w:p>
        </w:tc>
        <w:tc>
          <w:tcPr>
            <w:tcW w:w="1483" w:type="dxa"/>
          </w:tcPr>
          <w:p w14:paraId="5CC76931" w14:textId="77777777" w:rsidR="00F70062" w:rsidRPr="0059441A" w:rsidRDefault="00F70062" w:rsidP="00A037D3">
            <w:pPr>
              <w:jc w:val="both"/>
              <w:rPr>
                <w:rFonts w:ascii="Arial" w:hAnsi="Arial" w:cs="Arial"/>
                <w:sz w:val="20"/>
                <w:szCs w:val="20"/>
              </w:rPr>
            </w:pPr>
            <w:r>
              <w:rPr>
                <w:rFonts w:ascii="Arial" w:hAnsi="Arial" w:cs="Arial"/>
                <w:sz w:val="20"/>
                <w:szCs w:val="20"/>
              </w:rPr>
              <w:t>.465</w:t>
            </w:r>
          </w:p>
        </w:tc>
        <w:tc>
          <w:tcPr>
            <w:tcW w:w="1790" w:type="dxa"/>
          </w:tcPr>
          <w:p w14:paraId="691B5B48" w14:textId="77777777" w:rsidR="00F70062" w:rsidRPr="0059441A" w:rsidRDefault="00F70062" w:rsidP="00A037D3">
            <w:pPr>
              <w:jc w:val="both"/>
              <w:rPr>
                <w:rFonts w:ascii="Arial" w:hAnsi="Arial" w:cs="Arial"/>
                <w:sz w:val="20"/>
                <w:szCs w:val="20"/>
              </w:rPr>
            </w:pPr>
            <w:r>
              <w:rPr>
                <w:rFonts w:ascii="Arial" w:hAnsi="Arial" w:cs="Arial"/>
                <w:sz w:val="20"/>
                <w:szCs w:val="20"/>
              </w:rPr>
              <w:t>.025 - .188</w:t>
            </w:r>
          </w:p>
        </w:tc>
      </w:tr>
      <w:tr w:rsidR="00053EBF" w:rsidRPr="00D10668" w14:paraId="7ADA4907" w14:textId="77777777" w:rsidTr="00CD0FE1">
        <w:tc>
          <w:tcPr>
            <w:tcW w:w="8931" w:type="dxa"/>
            <w:gridSpan w:val="6"/>
          </w:tcPr>
          <w:p w14:paraId="2CB6C618" w14:textId="40CDA8BD" w:rsidR="00053EBF" w:rsidRPr="00D10668" w:rsidRDefault="00053EBF" w:rsidP="00A037D3">
            <w:pPr>
              <w:jc w:val="both"/>
              <w:rPr>
                <w:rFonts w:ascii="Arial" w:hAnsi="Arial" w:cs="Arial"/>
                <w:sz w:val="20"/>
                <w:szCs w:val="20"/>
              </w:rPr>
            </w:pPr>
            <w:r w:rsidRPr="00901F65">
              <w:rPr>
                <w:rFonts w:ascii="Arial" w:hAnsi="Arial" w:cs="Arial"/>
                <w:b/>
                <w:i/>
                <w:sz w:val="20"/>
                <w:szCs w:val="20"/>
                <w:u w:val="single"/>
              </w:rPr>
              <w:t>R</w:t>
            </w:r>
            <w:r w:rsidRPr="00901F65">
              <w:rPr>
                <w:rFonts w:ascii="Arial" w:hAnsi="Arial" w:cs="Arial"/>
                <w:b/>
                <w:i/>
                <w:sz w:val="20"/>
                <w:szCs w:val="20"/>
                <w:u w:val="single"/>
                <w:vertAlign w:val="superscript"/>
              </w:rPr>
              <w:t>2</w:t>
            </w:r>
            <w:r w:rsidRPr="00901F65">
              <w:rPr>
                <w:rFonts w:ascii="Arial" w:hAnsi="Arial" w:cs="Arial"/>
                <w:b/>
                <w:i/>
                <w:sz w:val="20"/>
                <w:szCs w:val="20"/>
                <w:u w:val="single"/>
              </w:rPr>
              <w:t xml:space="preserve"> =</w:t>
            </w:r>
            <w:r>
              <w:rPr>
                <w:rFonts w:ascii="Arial" w:hAnsi="Arial" w:cs="Arial"/>
                <w:b/>
                <w:i/>
                <w:sz w:val="20"/>
                <w:szCs w:val="20"/>
                <w:u w:val="single"/>
              </w:rPr>
              <w:t>.</w:t>
            </w:r>
            <w:r w:rsidR="002F30B2">
              <w:rPr>
                <w:rFonts w:ascii="Arial" w:hAnsi="Arial" w:cs="Arial"/>
                <w:b/>
                <w:i/>
                <w:sz w:val="20"/>
                <w:szCs w:val="20"/>
                <w:u w:val="single"/>
              </w:rPr>
              <w:t>305</w:t>
            </w:r>
            <w:r>
              <w:rPr>
                <w:rFonts w:ascii="Arial" w:hAnsi="Arial" w:cs="Arial"/>
                <w:b/>
                <w:i/>
                <w:sz w:val="20"/>
                <w:szCs w:val="20"/>
              </w:rPr>
              <w:t xml:space="preserve">, </w:t>
            </w:r>
            <w:proofErr w:type="gramStart"/>
            <w:r>
              <w:rPr>
                <w:rFonts w:ascii="Arial" w:hAnsi="Arial" w:cs="Arial"/>
                <w:b/>
                <w:i/>
                <w:sz w:val="20"/>
                <w:szCs w:val="20"/>
              </w:rPr>
              <w:t>F(</w:t>
            </w:r>
            <w:proofErr w:type="gramEnd"/>
            <w:r>
              <w:rPr>
                <w:rFonts w:ascii="Arial" w:hAnsi="Arial" w:cs="Arial"/>
                <w:b/>
                <w:i/>
                <w:sz w:val="20"/>
                <w:szCs w:val="20"/>
              </w:rPr>
              <w:t xml:space="preserve">5,25)= </w:t>
            </w:r>
            <w:r w:rsidR="002F30B2">
              <w:rPr>
                <w:rFonts w:ascii="Arial" w:hAnsi="Arial" w:cs="Arial"/>
                <w:b/>
                <w:i/>
                <w:sz w:val="20"/>
                <w:szCs w:val="20"/>
              </w:rPr>
              <w:t>2.196</w:t>
            </w:r>
            <w:r>
              <w:rPr>
                <w:rFonts w:ascii="Arial" w:hAnsi="Arial" w:cs="Arial"/>
                <w:b/>
                <w:i/>
                <w:sz w:val="20"/>
                <w:szCs w:val="20"/>
              </w:rPr>
              <w:t>, p=.</w:t>
            </w:r>
            <w:r w:rsidR="002F30B2">
              <w:rPr>
                <w:rFonts w:ascii="Arial" w:hAnsi="Arial" w:cs="Arial"/>
                <w:b/>
                <w:i/>
                <w:sz w:val="20"/>
                <w:szCs w:val="20"/>
              </w:rPr>
              <w:t>087</w:t>
            </w:r>
          </w:p>
        </w:tc>
      </w:tr>
      <w:tr w:rsidR="00734287" w:rsidRPr="00D10668" w14:paraId="6EEC2048" w14:textId="77777777" w:rsidTr="001D56E6">
        <w:tc>
          <w:tcPr>
            <w:tcW w:w="8931" w:type="dxa"/>
            <w:gridSpan w:val="6"/>
            <w:shd w:val="clear" w:color="auto" w:fill="F2F2F2" w:themeFill="background1" w:themeFillShade="F2"/>
          </w:tcPr>
          <w:p w14:paraId="4071F5B6" w14:textId="41A202F0" w:rsidR="00734287" w:rsidRPr="00D10668" w:rsidRDefault="00734287" w:rsidP="00A037D3">
            <w:pPr>
              <w:jc w:val="both"/>
              <w:rPr>
                <w:rFonts w:ascii="Arial" w:hAnsi="Arial" w:cs="Arial"/>
                <w:sz w:val="20"/>
                <w:szCs w:val="20"/>
              </w:rPr>
            </w:pPr>
            <w:r>
              <w:rPr>
                <w:rFonts w:ascii="Arial" w:hAnsi="Arial" w:cs="Arial"/>
                <w:b/>
                <w:sz w:val="20"/>
                <w:szCs w:val="20"/>
              </w:rPr>
              <w:t>GROUP 2: Carers (</w:t>
            </w:r>
            <w:r w:rsidR="00053EBF">
              <w:rPr>
                <w:rFonts w:ascii="Arial" w:hAnsi="Arial" w:cs="Arial"/>
                <w:b/>
                <w:sz w:val="20"/>
                <w:szCs w:val="20"/>
              </w:rPr>
              <w:t>N</w:t>
            </w:r>
            <w:r>
              <w:rPr>
                <w:rFonts w:ascii="Arial" w:hAnsi="Arial" w:cs="Arial"/>
                <w:b/>
                <w:sz w:val="20"/>
                <w:szCs w:val="20"/>
              </w:rPr>
              <w:t>=</w:t>
            </w:r>
            <w:r w:rsidR="00091231">
              <w:rPr>
                <w:rFonts w:ascii="Arial" w:hAnsi="Arial" w:cs="Arial"/>
                <w:b/>
                <w:sz w:val="20"/>
                <w:szCs w:val="20"/>
              </w:rPr>
              <w:t>172)</w:t>
            </w:r>
          </w:p>
        </w:tc>
      </w:tr>
      <w:tr w:rsidR="00F70062" w:rsidRPr="00D10668" w14:paraId="40E0954C" w14:textId="77777777" w:rsidTr="00A037D3">
        <w:tc>
          <w:tcPr>
            <w:tcW w:w="8931" w:type="dxa"/>
            <w:gridSpan w:val="6"/>
            <w:shd w:val="clear" w:color="auto" w:fill="F2F2F2" w:themeFill="background1" w:themeFillShade="F2"/>
          </w:tcPr>
          <w:p w14:paraId="739F49D6" w14:textId="77777777" w:rsidR="00F70062" w:rsidRPr="00D10668" w:rsidRDefault="00F70062" w:rsidP="00A037D3">
            <w:pPr>
              <w:jc w:val="center"/>
              <w:rPr>
                <w:rFonts w:ascii="Arial" w:hAnsi="Arial" w:cs="Arial"/>
                <w:sz w:val="20"/>
                <w:szCs w:val="20"/>
              </w:rPr>
            </w:pPr>
            <w:r>
              <w:rPr>
                <w:rFonts w:ascii="Arial" w:hAnsi="Arial" w:cs="Arial"/>
                <w:b/>
                <w:i/>
                <w:sz w:val="20"/>
                <w:szCs w:val="20"/>
              </w:rPr>
              <w:t>SWEMWBS</w:t>
            </w:r>
          </w:p>
        </w:tc>
      </w:tr>
      <w:tr w:rsidR="00F70062" w:rsidRPr="00D10668" w14:paraId="207A991E" w14:textId="77777777" w:rsidTr="00A037D3">
        <w:tc>
          <w:tcPr>
            <w:tcW w:w="1990" w:type="dxa"/>
            <w:shd w:val="clear" w:color="auto" w:fill="F2F2F2" w:themeFill="background1" w:themeFillShade="F2"/>
          </w:tcPr>
          <w:p w14:paraId="02CC5683" w14:textId="77777777" w:rsidR="00F70062" w:rsidRPr="00397ACD" w:rsidRDefault="00F70062" w:rsidP="00A037D3">
            <w:pPr>
              <w:rPr>
                <w:rFonts w:ascii="Arial" w:hAnsi="Arial" w:cs="Arial"/>
                <w:sz w:val="20"/>
                <w:szCs w:val="20"/>
              </w:rPr>
            </w:pPr>
            <w:r w:rsidRPr="00397ACD">
              <w:rPr>
                <w:rFonts w:ascii="Arial" w:hAnsi="Arial" w:cs="Arial"/>
                <w:sz w:val="20"/>
                <w:szCs w:val="20"/>
              </w:rPr>
              <w:t>Age</w:t>
            </w:r>
          </w:p>
        </w:tc>
        <w:tc>
          <w:tcPr>
            <w:tcW w:w="1238" w:type="dxa"/>
            <w:shd w:val="clear" w:color="auto" w:fill="F2F2F2" w:themeFill="background1" w:themeFillShade="F2"/>
          </w:tcPr>
          <w:p w14:paraId="741F8128" w14:textId="22FF102F" w:rsidR="00F70062" w:rsidRPr="00D10668" w:rsidRDefault="00F70062" w:rsidP="00A037D3">
            <w:pPr>
              <w:jc w:val="both"/>
              <w:rPr>
                <w:rFonts w:ascii="Arial" w:hAnsi="Arial" w:cs="Arial"/>
                <w:sz w:val="20"/>
                <w:szCs w:val="20"/>
              </w:rPr>
            </w:pPr>
            <w:r>
              <w:rPr>
                <w:rFonts w:ascii="Arial" w:hAnsi="Arial" w:cs="Arial"/>
                <w:sz w:val="20"/>
                <w:szCs w:val="20"/>
              </w:rPr>
              <w:t>.08</w:t>
            </w:r>
            <w:r w:rsidR="003134AF">
              <w:rPr>
                <w:rFonts w:ascii="Arial" w:hAnsi="Arial" w:cs="Arial"/>
                <w:sz w:val="20"/>
                <w:szCs w:val="20"/>
              </w:rPr>
              <w:t>1</w:t>
            </w:r>
          </w:p>
        </w:tc>
        <w:tc>
          <w:tcPr>
            <w:tcW w:w="1234" w:type="dxa"/>
            <w:shd w:val="clear" w:color="auto" w:fill="F2F2F2" w:themeFill="background1" w:themeFillShade="F2"/>
          </w:tcPr>
          <w:p w14:paraId="77AAC3C1" w14:textId="77777777" w:rsidR="00F70062" w:rsidRPr="00D10668" w:rsidRDefault="00F70062" w:rsidP="00A037D3">
            <w:pPr>
              <w:jc w:val="both"/>
              <w:rPr>
                <w:rFonts w:ascii="Arial" w:hAnsi="Arial" w:cs="Arial"/>
                <w:sz w:val="20"/>
                <w:szCs w:val="20"/>
              </w:rPr>
            </w:pPr>
            <w:r>
              <w:rPr>
                <w:rFonts w:ascii="Arial" w:hAnsi="Arial" w:cs="Arial"/>
                <w:sz w:val="20"/>
                <w:szCs w:val="20"/>
              </w:rPr>
              <w:t>.032</w:t>
            </w:r>
          </w:p>
        </w:tc>
        <w:tc>
          <w:tcPr>
            <w:tcW w:w="1196" w:type="dxa"/>
            <w:shd w:val="clear" w:color="auto" w:fill="F2F2F2" w:themeFill="background1" w:themeFillShade="F2"/>
          </w:tcPr>
          <w:p w14:paraId="6D24CD5B" w14:textId="5D6D0C58" w:rsidR="00F70062" w:rsidRPr="00E06C97" w:rsidRDefault="00F70062" w:rsidP="00A037D3">
            <w:pPr>
              <w:jc w:val="both"/>
              <w:rPr>
                <w:rFonts w:ascii="Arial" w:hAnsi="Arial" w:cs="Arial"/>
                <w:b/>
                <w:sz w:val="20"/>
                <w:szCs w:val="20"/>
              </w:rPr>
            </w:pPr>
            <w:r w:rsidRPr="00E06C97">
              <w:rPr>
                <w:rFonts w:ascii="Arial" w:hAnsi="Arial" w:cs="Arial"/>
                <w:b/>
                <w:sz w:val="20"/>
                <w:szCs w:val="20"/>
              </w:rPr>
              <w:t>.0</w:t>
            </w:r>
            <w:r w:rsidR="003134AF">
              <w:rPr>
                <w:rFonts w:ascii="Arial" w:hAnsi="Arial" w:cs="Arial"/>
                <w:b/>
                <w:sz w:val="20"/>
                <w:szCs w:val="20"/>
              </w:rPr>
              <w:t>14</w:t>
            </w:r>
          </w:p>
        </w:tc>
        <w:tc>
          <w:tcPr>
            <w:tcW w:w="1483" w:type="dxa"/>
            <w:shd w:val="clear" w:color="auto" w:fill="F2F2F2" w:themeFill="background1" w:themeFillShade="F2"/>
          </w:tcPr>
          <w:p w14:paraId="37E6FAD8" w14:textId="3FEF42F9" w:rsidR="00F70062" w:rsidRPr="00D10668" w:rsidRDefault="00F70062" w:rsidP="00A037D3">
            <w:pPr>
              <w:jc w:val="both"/>
              <w:rPr>
                <w:rFonts w:ascii="Arial" w:hAnsi="Arial" w:cs="Arial"/>
                <w:sz w:val="20"/>
                <w:szCs w:val="20"/>
              </w:rPr>
            </w:pPr>
            <w:r>
              <w:rPr>
                <w:rFonts w:ascii="Arial" w:hAnsi="Arial" w:cs="Arial"/>
                <w:sz w:val="20"/>
                <w:szCs w:val="20"/>
              </w:rPr>
              <w:t>.</w:t>
            </w:r>
            <w:r w:rsidR="003134AF">
              <w:rPr>
                <w:rFonts w:ascii="Arial" w:hAnsi="Arial" w:cs="Arial"/>
                <w:sz w:val="20"/>
                <w:szCs w:val="20"/>
              </w:rPr>
              <w:t>199</w:t>
            </w:r>
          </w:p>
        </w:tc>
        <w:tc>
          <w:tcPr>
            <w:tcW w:w="1790" w:type="dxa"/>
            <w:shd w:val="clear" w:color="auto" w:fill="F2F2F2" w:themeFill="background1" w:themeFillShade="F2"/>
          </w:tcPr>
          <w:p w14:paraId="333201C4" w14:textId="24C1FE51" w:rsidR="00F70062" w:rsidRPr="00D10668" w:rsidRDefault="00F70062" w:rsidP="00A037D3">
            <w:pPr>
              <w:jc w:val="both"/>
              <w:rPr>
                <w:rFonts w:ascii="Arial" w:hAnsi="Arial" w:cs="Arial"/>
                <w:sz w:val="20"/>
                <w:szCs w:val="20"/>
              </w:rPr>
            </w:pPr>
            <w:r>
              <w:rPr>
                <w:rFonts w:ascii="Arial" w:hAnsi="Arial" w:cs="Arial"/>
                <w:sz w:val="20"/>
                <w:szCs w:val="20"/>
              </w:rPr>
              <w:t>.0</w:t>
            </w:r>
            <w:r w:rsidR="003134AF">
              <w:rPr>
                <w:rFonts w:ascii="Arial" w:hAnsi="Arial" w:cs="Arial"/>
                <w:sz w:val="20"/>
                <w:szCs w:val="20"/>
              </w:rPr>
              <w:t>17</w:t>
            </w:r>
            <w:r>
              <w:rPr>
                <w:rFonts w:ascii="Arial" w:hAnsi="Arial" w:cs="Arial"/>
                <w:sz w:val="20"/>
                <w:szCs w:val="20"/>
              </w:rPr>
              <w:t>-.14</w:t>
            </w:r>
            <w:r w:rsidR="003134AF">
              <w:rPr>
                <w:rFonts w:ascii="Arial" w:hAnsi="Arial" w:cs="Arial"/>
                <w:sz w:val="20"/>
                <w:szCs w:val="20"/>
              </w:rPr>
              <w:t>5</w:t>
            </w:r>
          </w:p>
        </w:tc>
      </w:tr>
      <w:tr w:rsidR="00F70062" w:rsidRPr="00D10668" w14:paraId="264E9328" w14:textId="77777777" w:rsidTr="00A037D3">
        <w:tc>
          <w:tcPr>
            <w:tcW w:w="1990" w:type="dxa"/>
            <w:shd w:val="clear" w:color="auto" w:fill="F2F2F2" w:themeFill="background1" w:themeFillShade="F2"/>
          </w:tcPr>
          <w:p w14:paraId="1A50D05E" w14:textId="77777777" w:rsidR="00F70062" w:rsidRPr="00397ACD" w:rsidRDefault="00F70062" w:rsidP="00A037D3">
            <w:pPr>
              <w:rPr>
                <w:rFonts w:ascii="Arial" w:hAnsi="Arial" w:cs="Arial"/>
                <w:sz w:val="20"/>
                <w:szCs w:val="20"/>
              </w:rPr>
            </w:pPr>
            <w:r>
              <w:rPr>
                <w:rFonts w:ascii="Arial" w:hAnsi="Arial" w:cs="Arial"/>
                <w:sz w:val="20"/>
                <w:szCs w:val="20"/>
              </w:rPr>
              <w:t>Gender</w:t>
            </w:r>
          </w:p>
        </w:tc>
        <w:tc>
          <w:tcPr>
            <w:tcW w:w="1238" w:type="dxa"/>
            <w:shd w:val="clear" w:color="auto" w:fill="F2F2F2" w:themeFill="background1" w:themeFillShade="F2"/>
          </w:tcPr>
          <w:p w14:paraId="29567008" w14:textId="4BF5CA38" w:rsidR="00F70062" w:rsidRPr="00D10668" w:rsidRDefault="00F70062" w:rsidP="00A037D3">
            <w:pPr>
              <w:jc w:val="both"/>
              <w:rPr>
                <w:rFonts w:ascii="Arial" w:hAnsi="Arial" w:cs="Arial"/>
                <w:sz w:val="20"/>
                <w:szCs w:val="20"/>
              </w:rPr>
            </w:pPr>
            <w:r>
              <w:rPr>
                <w:rFonts w:ascii="Arial" w:hAnsi="Arial" w:cs="Arial"/>
                <w:sz w:val="20"/>
                <w:szCs w:val="20"/>
              </w:rPr>
              <w:t>.</w:t>
            </w:r>
            <w:r w:rsidR="003134AF">
              <w:rPr>
                <w:rFonts w:ascii="Arial" w:hAnsi="Arial" w:cs="Arial"/>
                <w:sz w:val="20"/>
                <w:szCs w:val="20"/>
              </w:rPr>
              <w:t>424</w:t>
            </w:r>
          </w:p>
        </w:tc>
        <w:tc>
          <w:tcPr>
            <w:tcW w:w="1234" w:type="dxa"/>
            <w:shd w:val="clear" w:color="auto" w:fill="F2F2F2" w:themeFill="background1" w:themeFillShade="F2"/>
          </w:tcPr>
          <w:p w14:paraId="74149A20" w14:textId="7C37E26A" w:rsidR="00F70062" w:rsidRPr="00D10668" w:rsidRDefault="00F70062" w:rsidP="00A037D3">
            <w:pPr>
              <w:jc w:val="both"/>
              <w:rPr>
                <w:rFonts w:ascii="Arial" w:hAnsi="Arial" w:cs="Arial"/>
                <w:sz w:val="20"/>
                <w:szCs w:val="20"/>
              </w:rPr>
            </w:pPr>
            <w:r>
              <w:rPr>
                <w:rFonts w:ascii="Arial" w:hAnsi="Arial" w:cs="Arial"/>
                <w:sz w:val="20"/>
                <w:szCs w:val="20"/>
              </w:rPr>
              <w:t>1.0</w:t>
            </w:r>
            <w:r w:rsidR="003134AF">
              <w:rPr>
                <w:rFonts w:ascii="Arial" w:hAnsi="Arial" w:cs="Arial"/>
                <w:sz w:val="20"/>
                <w:szCs w:val="20"/>
              </w:rPr>
              <w:t>16</w:t>
            </w:r>
          </w:p>
        </w:tc>
        <w:tc>
          <w:tcPr>
            <w:tcW w:w="1196" w:type="dxa"/>
            <w:shd w:val="clear" w:color="auto" w:fill="F2F2F2" w:themeFill="background1" w:themeFillShade="F2"/>
          </w:tcPr>
          <w:p w14:paraId="5569B8CE" w14:textId="53E923F4" w:rsidR="00F70062" w:rsidRPr="00D10668" w:rsidRDefault="00F70062" w:rsidP="00A037D3">
            <w:pPr>
              <w:jc w:val="both"/>
              <w:rPr>
                <w:rFonts w:ascii="Arial" w:hAnsi="Arial" w:cs="Arial"/>
                <w:sz w:val="20"/>
                <w:szCs w:val="20"/>
              </w:rPr>
            </w:pPr>
            <w:r>
              <w:rPr>
                <w:rFonts w:ascii="Arial" w:hAnsi="Arial" w:cs="Arial"/>
                <w:sz w:val="20"/>
                <w:szCs w:val="20"/>
              </w:rPr>
              <w:t>.</w:t>
            </w:r>
            <w:r w:rsidR="003134AF">
              <w:rPr>
                <w:rFonts w:ascii="Arial" w:hAnsi="Arial" w:cs="Arial"/>
                <w:sz w:val="20"/>
                <w:szCs w:val="20"/>
              </w:rPr>
              <w:t>677</w:t>
            </w:r>
          </w:p>
        </w:tc>
        <w:tc>
          <w:tcPr>
            <w:tcW w:w="1483" w:type="dxa"/>
            <w:shd w:val="clear" w:color="auto" w:fill="F2F2F2" w:themeFill="background1" w:themeFillShade="F2"/>
          </w:tcPr>
          <w:p w14:paraId="53E3A85A" w14:textId="43A38A94" w:rsidR="00F70062" w:rsidRPr="00D10668" w:rsidRDefault="00F70062" w:rsidP="00A037D3">
            <w:pPr>
              <w:jc w:val="both"/>
              <w:rPr>
                <w:rFonts w:ascii="Arial" w:hAnsi="Arial" w:cs="Arial"/>
                <w:sz w:val="20"/>
                <w:szCs w:val="20"/>
              </w:rPr>
            </w:pPr>
            <w:r>
              <w:rPr>
                <w:rFonts w:ascii="Arial" w:hAnsi="Arial" w:cs="Arial"/>
                <w:sz w:val="20"/>
                <w:szCs w:val="20"/>
              </w:rPr>
              <w:t>.0</w:t>
            </w:r>
            <w:r w:rsidR="003134AF">
              <w:rPr>
                <w:rFonts w:ascii="Arial" w:hAnsi="Arial" w:cs="Arial"/>
                <w:sz w:val="20"/>
                <w:szCs w:val="20"/>
              </w:rPr>
              <w:t>33</w:t>
            </w:r>
          </w:p>
        </w:tc>
        <w:tc>
          <w:tcPr>
            <w:tcW w:w="1790" w:type="dxa"/>
            <w:shd w:val="clear" w:color="auto" w:fill="F2F2F2" w:themeFill="background1" w:themeFillShade="F2"/>
          </w:tcPr>
          <w:p w14:paraId="5FBE65A7" w14:textId="16B446EE" w:rsidR="00F70062" w:rsidRPr="00D10668" w:rsidRDefault="00F70062" w:rsidP="00A037D3">
            <w:pPr>
              <w:jc w:val="both"/>
              <w:rPr>
                <w:rFonts w:ascii="Arial" w:hAnsi="Arial" w:cs="Arial"/>
                <w:sz w:val="20"/>
                <w:szCs w:val="20"/>
              </w:rPr>
            </w:pPr>
            <w:r>
              <w:rPr>
                <w:rFonts w:ascii="Arial" w:hAnsi="Arial" w:cs="Arial"/>
                <w:sz w:val="20"/>
                <w:szCs w:val="20"/>
              </w:rPr>
              <w:t>-1.</w:t>
            </w:r>
            <w:r w:rsidR="003134AF">
              <w:rPr>
                <w:rFonts w:ascii="Arial" w:hAnsi="Arial" w:cs="Arial"/>
                <w:sz w:val="20"/>
                <w:szCs w:val="20"/>
              </w:rPr>
              <w:t>581</w:t>
            </w:r>
            <w:r>
              <w:rPr>
                <w:rFonts w:ascii="Arial" w:hAnsi="Arial" w:cs="Arial"/>
                <w:sz w:val="20"/>
                <w:szCs w:val="20"/>
              </w:rPr>
              <w:t xml:space="preserve"> – 2.</w:t>
            </w:r>
            <w:r w:rsidR="003134AF">
              <w:rPr>
                <w:rFonts w:ascii="Arial" w:hAnsi="Arial" w:cs="Arial"/>
                <w:sz w:val="20"/>
                <w:szCs w:val="20"/>
              </w:rPr>
              <w:t>428</w:t>
            </w:r>
          </w:p>
        </w:tc>
      </w:tr>
      <w:tr w:rsidR="00F70062" w:rsidRPr="00D10668" w14:paraId="4A3AB7C9" w14:textId="77777777" w:rsidTr="00A037D3">
        <w:tc>
          <w:tcPr>
            <w:tcW w:w="1990" w:type="dxa"/>
            <w:shd w:val="clear" w:color="auto" w:fill="F2F2F2" w:themeFill="background1" w:themeFillShade="F2"/>
          </w:tcPr>
          <w:p w14:paraId="2F70370E" w14:textId="77777777" w:rsidR="00F70062" w:rsidRPr="00D10668" w:rsidRDefault="00F70062" w:rsidP="00A037D3">
            <w:pPr>
              <w:rPr>
                <w:rFonts w:ascii="Arial" w:hAnsi="Arial" w:cs="Arial"/>
                <w:b/>
                <w:sz w:val="20"/>
                <w:szCs w:val="20"/>
              </w:rPr>
            </w:pPr>
            <w:r w:rsidRPr="00D10668">
              <w:rPr>
                <w:rFonts w:ascii="Arial" w:hAnsi="Arial" w:cs="Arial"/>
                <w:sz w:val="20"/>
                <w:szCs w:val="20"/>
              </w:rPr>
              <w:t>Variation in social support service hours</w:t>
            </w:r>
          </w:p>
        </w:tc>
        <w:tc>
          <w:tcPr>
            <w:tcW w:w="1238" w:type="dxa"/>
            <w:shd w:val="clear" w:color="auto" w:fill="F2F2F2" w:themeFill="background1" w:themeFillShade="F2"/>
          </w:tcPr>
          <w:p w14:paraId="7EFCDF89" w14:textId="77777777" w:rsidR="00F70062" w:rsidRPr="00D10668" w:rsidRDefault="00F70062" w:rsidP="00A037D3">
            <w:pPr>
              <w:jc w:val="both"/>
              <w:rPr>
                <w:rFonts w:ascii="Arial" w:hAnsi="Arial" w:cs="Arial"/>
                <w:sz w:val="20"/>
                <w:szCs w:val="20"/>
              </w:rPr>
            </w:pPr>
            <w:r>
              <w:rPr>
                <w:rFonts w:ascii="Arial" w:hAnsi="Arial" w:cs="Arial"/>
                <w:sz w:val="20"/>
                <w:szCs w:val="20"/>
              </w:rPr>
              <w:t>-.034</w:t>
            </w:r>
          </w:p>
        </w:tc>
        <w:tc>
          <w:tcPr>
            <w:tcW w:w="1234" w:type="dxa"/>
            <w:shd w:val="clear" w:color="auto" w:fill="F2F2F2" w:themeFill="background1" w:themeFillShade="F2"/>
          </w:tcPr>
          <w:p w14:paraId="4618879A" w14:textId="77777777" w:rsidR="00F70062" w:rsidRPr="00E06C97" w:rsidRDefault="00F70062" w:rsidP="00A037D3">
            <w:pPr>
              <w:jc w:val="both"/>
              <w:rPr>
                <w:rFonts w:ascii="Arial" w:hAnsi="Arial" w:cs="Arial"/>
                <w:sz w:val="20"/>
                <w:szCs w:val="20"/>
              </w:rPr>
            </w:pPr>
            <w:r w:rsidRPr="00E06C97">
              <w:rPr>
                <w:rFonts w:ascii="Arial" w:hAnsi="Arial" w:cs="Arial"/>
                <w:sz w:val="20"/>
                <w:szCs w:val="20"/>
              </w:rPr>
              <w:t>.01</w:t>
            </w:r>
            <w:r>
              <w:rPr>
                <w:rFonts w:ascii="Arial" w:hAnsi="Arial" w:cs="Arial"/>
                <w:sz w:val="20"/>
                <w:szCs w:val="20"/>
              </w:rPr>
              <w:t>5</w:t>
            </w:r>
          </w:p>
        </w:tc>
        <w:tc>
          <w:tcPr>
            <w:tcW w:w="1196" w:type="dxa"/>
            <w:shd w:val="clear" w:color="auto" w:fill="F2F2F2" w:themeFill="background1" w:themeFillShade="F2"/>
          </w:tcPr>
          <w:p w14:paraId="3616EA19" w14:textId="2362D180" w:rsidR="00F70062" w:rsidRPr="00E06C97" w:rsidRDefault="00F70062" w:rsidP="00A037D3">
            <w:pPr>
              <w:jc w:val="both"/>
              <w:rPr>
                <w:rFonts w:ascii="Arial" w:hAnsi="Arial" w:cs="Arial"/>
                <w:b/>
                <w:sz w:val="20"/>
                <w:szCs w:val="20"/>
              </w:rPr>
            </w:pPr>
            <w:r w:rsidRPr="00E06C97">
              <w:rPr>
                <w:rFonts w:ascii="Arial" w:hAnsi="Arial" w:cs="Arial"/>
                <w:b/>
                <w:sz w:val="20"/>
                <w:szCs w:val="20"/>
              </w:rPr>
              <w:t>.0</w:t>
            </w:r>
            <w:r>
              <w:rPr>
                <w:rFonts w:ascii="Arial" w:hAnsi="Arial" w:cs="Arial"/>
                <w:b/>
                <w:sz w:val="20"/>
                <w:szCs w:val="20"/>
              </w:rPr>
              <w:t>2</w:t>
            </w:r>
            <w:r w:rsidR="003134AF">
              <w:rPr>
                <w:rFonts w:ascii="Arial" w:hAnsi="Arial" w:cs="Arial"/>
                <w:b/>
                <w:sz w:val="20"/>
                <w:szCs w:val="20"/>
              </w:rPr>
              <w:t>2</w:t>
            </w:r>
          </w:p>
        </w:tc>
        <w:tc>
          <w:tcPr>
            <w:tcW w:w="1483" w:type="dxa"/>
            <w:shd w:val="clear" w:color="auto" w:fill="F2F2F2" w:themeFill="background1" w:themeFillShade="F2"/>
          </w:tcPr>
          <w:p w14:paraId="281FA20B" w14:textId="583D9D81" w:rsidR="00F70062" w:rsidRPr="00E06C97" w:rsidRDefault="00F70062" w:rsidP="00A037D3">
            <w:pPr>
              <w:jc w:val="both"/>
              <w:rPr>
                <w:rFonts w:ascii="Arial" w:hAnsi="Arial" w:cs="Arial"/>
                <w:sz w:val="20"/>
                <w:szCs w:val="20"/>
              </w:rPr>
            </w:pPr>
            <w:r w:rsidRPr="00E06C97">
              <w:rPr>
                <w:rFonts w:ascii="Arial" w:hAnsi="Arial" w:cs="Arial"/>
                <w:sz w:val="20"/>
                <w:szCs w:val="20"/>
              </w:rPr>
              <w:t>-.1</w:t>
            </w:r>
            <w:r w:rsidR="003134AF">
              <w:rPr>
                <w:rFonts w:ascii="Arial" w:hAnsi="Arial" w:cs="Arial"/>
                <w:sz w:val="20"/>
                <w:szCs w:val="20"/>
              </w:rPr>
              <w:t>71</w:t>
            </w:r>
          </w:p>
        </w:tc>
        <w:tc>
          <w:tcPr>
            <w:tcW w:w="1790" w:type="dxa"/>
            <w:shd w:val="clear" w:color="auto" w:fill="F2F2F2" w:themeFill="background1" w:themeFillShade="F2"/>
          </w:tcPr>
          <w:p w14:paraId="6098351E" w14:textId="4EFA65A9" w:rsidR="00F70062" w:rsidRPr="00E06C97" w:rsidRDefault="00F70062" w:rsidP="00A037D3">
            <w:pPr>
              <w:jc w:val="both"/>
              <w:rPr>
                <w:rFonts w:ascii="Arial" w:hAnsi="Arial" w:cs="Arial"/>
                <w:sz w:val="20"/>
                <w:szCs w:val="20"/>
              </w:rPr>
            </w:pPr>
            <w:r>
              <w:rPr>
                <w:rFonts w:ascii="Arial" w:hAnsi="Arial" w:cs="Arial"/>
                <w:sz w:val="20"/>
                <w:szCs w:val="20"/>
              </w:rPr>
              <w:t>-.06</w:t>
            </w:r>
            <w:r w:rsidR="003134AF">
              <w:rPr>
                <w:rFonts w:ascii="Arial" w:hAnsi="Arial" w:cs="Arial"/>
                <w:sz w:val="20"/>
                <w:szCs w:val="20"/>
              </w:rPr>
              <w:t>4</w:t>
            </w:r>
            <w:r>
              <w:rPr>
                <w:rFonts w:ascii="Arial" w:hAnsi="Arial" w:cs="Arial"/>
                <w:sz w:val="20"/>
                <w:szCs w:val="20"/>
              </w:rPr>
              <w:t xml:space="preserve"> - -.005</w:t>
            </w:r>
          </w:p>
        </w:tc>
      </w:tr>
      <w:tr w:rsidR="003134AF" w:rsidRPr="00D10668" w14:paraId="7BB4B740" w14:textId="77777777" w:rsidTr="00C876FD">
        <w:tc>
          <w:tcPr>
            <w:tcW w:w="8931" w:type="dxa"/>
            <w:gridSpan w:val="6"/>
            <w:shd w:val="clear" w:color="auto" w:fill="F2F2F2" w:themeFill="background1" w:themeFillShade="F2"/>
          </w:tcPr>
          <w:p w14:paraId="529A1216" w14:textId="071CDE66" w:rsidR="003134AF" w:rsidRPr="00D10668" w:rsidRDefault="003134AF" w:rsidP="00A037D3">
            <w:pPr>
              <w:jc w:val="both"/>
              <w:rPr>
                <w:rFonts w:ascii="Arial" w:hAnsi="Arial" w:cs="Arial"/>
                <w:b/>
                <w:i/>
                <w:sz w:val="20"/>
                <w:szCs w:val="20"/>
              </w:rPr>
            </w:pPr>
            <w:r w:rsidRPr="00901F65">
              <w:rPr>
                <w:rFonts w:ascii="Arial" w:hAnsi="Arial" w:cs="Arial"/>
                <w:b/>
                <w:i/>
                <w:sz w:val="20"/>
                <w:szCs w:val="20"/>
                <w:u w:val="single"/>
              </w:rPr>
              <w:t>R</w:t>
            </w:r>
            <w:r w:rsidRPr="00901F65">
              <w:rPr>
                <w:rFonts w:ascii="Arial" w:hAnsi="Arial" w:cs="Arial"/>
                <w:b/>
                <w:i/>
                <w:sz w:val="20"/>
                <w:szCs w:val="20"/>
                <w:u w:val="single"/>
                <w:vertAlign w:val="superscript"/>
              </w:rPr>
              <w:t>2</w:t>
            </w:r>
            <w:r w:rsidRPr="00901F65">
              <w:rPr>
                <w:rFonts w:ascii="Arial" w:hAnsi="Arial" w:cs="Arial"/>
                <w:b/>
                <w:i/>
                <w:sz w:val="20"/>
                <w:szCs w:val="20"/>
                <w:u w:val="single"/>
              </w:rPr>
              <w:t xml:space="preserve"> =</w:t>
            </w:r>
            <w:r>
              <w:rPr>
                <w:rFonts w:ascii="Arial" w:hAnsi="Arial" w:cs="Arial"/>
                <w:b/>
                <w:i/>
                <w:sz w:val="20"/>
                <w:szCs w:val="20"/>
                <w:u w:val="single"/>
              </w:rPr>
              <w:t>.084</w:t>
            </w:r>
            <w:r>
              <w:rPr>
                <w:rFonts w:ascii="Arial" w:hAnsi="Arial" w:cs="Arial"/>
                <w:b/>
                <w:i/>
                <w:sz w:val="20"/>
                <w:szCs w:val="20"/>
              </w:rPr>
              <w:t xml:space="preserve">, </w:t>
            </w:r>
            <w:proofErr w:type="gramStart"/>
            <w:r>
              <w:rPr>
                <w:rFonts w:ascii="Arial" w:hAnsi="Arial" w:cs="Arial"/>
                <w:b/>
                <w:i/>
                <w:sz w:val="20"/>
                <w:szCs w:val="20"/>
              </w:rPr>
              <w:t>F(</w:t>
            </w:r>
            <w:proofErr w:type="gramEnd"/>
            <w:r>
              <w:rPr>
                <w:rFonts w:ascii="Arial" w:hAnsi="Arial" w:cs="Arial"/>
                <w:b/>
                <w:i/>
                <w:sz w:val="20"/>
                <w:szCs w:val="20"/>
              </w:rPr>
              <w:t>3,169)=5.172, p&lt;.01</w:t>
            </w:r>
          </w:p>
        </w:tc>
      </w:tr>
      <w:tr w:rsidR="00F70062" w:rsidRPr="00D10668" w14:paraId="5E1B4795" w14:textId="77777777" w:rsidTr="00A037D3">
        <w:tc>
          <w:tcPr>
            <w:tcW w:w="8931" w:type="dxa"/>
            <w:gridSpan w:val="6"/>
          </w:tcPr>
          <w:p w14:paraId="5EE6FA40" w14:textId="4254BCA9" w:rsidR="00F70062" w:rsidRPr="00D10668" w:rsidRDefault="00F70062" w:rsidP="00A037D3">
            <w:pPr>
              <w:jc w:val="both"/>
              <w:rPr>
                <w:rFonts w:ascii="Arial" w:hAnsi="Arial" w:cs="Arial"/>
                <w:b/>
                <w:i/>
                <w:sz w:val="20"/>
                <w:szCs w:val="20"/>
              </w:rPr>
            </w:pPr>
            <w:r w:rsidRPr="00093081">
              <w:rPr>
                <w:rFonts w:ascii="Arial" w:hAnsi="Arial" w:cs="Arial"/>
                <w:b/>
                <w:sz w:val="20"/>
                <w:szCs w:val="20"/>
              </w:rPr>
              <w:t>GROUP 3: Older adults</w:t>
            </w:r>
            <w:r w:rsidR="00053EBF">
              <w:rPr>
                <w:rFonts w:ascii="Arial" w:hAnsi="Arial" w:cs="Arial"/>
                <w:b/>
                <w:sz w:val="20"/>
                <w:szCs w:val="20"/>
              </w:rPr>
              <w:t xml:space="preserve"> (N=32)</w:t>
            </w:r>
          </w:p>
        </w:tc>
      </w:tr>
      <w:tr w:rsidR="00F70062" w:rsidRPr="00D10668" w14:paraId="336E0660" w14:textId="77777777" w:rsidTr="00A037D3">
        <w:tc>
          <w:tcPr>
            <w:tcW w:w="8931" w:type="dxa"/>
            <w:gridSpan w:val="6"/>
          </w:tcPr>
          <w:p w14:paraId="57961344" w14:textId="77777777" w:rsidR="00F70062" w:rsidRPr="00D10668" w:rsidRDefault="00F70062" w:rsidP="00A037D3">
            <w:pPr>
              <w:jc w:val="center"/>
              <w:rPr>
                <w:rFonts w:ascii="Arial" w:hAnsi="Arial" w:cs="Arial"/>
                <w:b/>
                <w:i/>
                <w:sz w:val="20"/>
                <w:szCs w:val="20"/>
              </w:rPr>
            </w:pPr>
            <w:r>
              <w:rPr>
                <w:rFonts w:ascii="Arial" w:hAnsi="Arial" w:cs="Arial"/>
                <w:b/>
                <w:i/>
                <w:sz w:val="20"/>
                <w:szCs w:val="20"/>
              </w:rPr>
              <w:t>SWEMWBS</w:t>
            </w:r>
          </w:p>
        </w:tc>
      </w:tr>
      <w:tr w:rsidR="00F70062" w:rsidRPr="00D10668" w14:paraId="0B04AB6F" w14:textId="77777777" w:rsidTr="00A037D3">
        <w:tc>
          <w:tcPr>
            <w:tcW w:w="1990" w:type="dxa"/>
          </w:tcPr>
          <w:p w14:paraId="1EF74F38" w14:textId="77777777" w:rsidR="00F70062" w:rsidRPr="00E30DC0" w:rsidRDefault="00F70062" w:rsidP="00A037D3">
            <w:pPr>
              <w:rPr>
                <w:rFonts w:ascii="Arial" w:hAnsi="Arial" w:cs="Arial"/>
                <w:sz w:val="20"/>
                <w:szCs w:val="20"/>
              </w:rPr>
            </w:pPr>
            <w:r>
              <w:rPr>
                <w:rFonts w:ascii="Arial" w:hAnsi="Arial" w:cs="Arial"/>
                <w:sz w:val="20"/>
                <w:szCs w:val="20"/>
              </w:rPr>
              <w:t>Age</w:t>
            </w:r>
          </w:p>
        </w:tc>
        <w:tc>
          <w:tcPr>
            <w:tcW w:w="1238" w:type="dxa"/>
          </w:tcPr>
          <w:p w14:paraId="10A6CF9E" w14:textId="77777777" w:rsidR="00F70062" w:rsidRPr="00D10668" w:rsidRDefault="00F70062" w:rsidP="00A037D3">
            <w:pPr>
              <w:jc w:val="both"/>
              <w:rPr>
                <w:rFonts w:ascii="Arial" w:hAnsi="Arial" w:cs="Arial"/>
                <w:sz w:val="20"/>
                <w:szCs w:val="20"/>
              </w:rPr>
            </w:pPr>
            <w:r>
              <w:rPr>
                <w:rFonts w:ascii="Arial" w:hAnsi="Arial" w:cs="Arial"/>
                <w:sz w:val="20"/>
                <w:szCs w:val="20"/>
              </w:rPr>
              <w:t>-.265</w:t>
            </w:r>
          </w:p>
        </w:tc>
        <w:tc>
          <w:tcPr>
            <w:tcW w:w="1234" w:type="dxa"/>
          </w:tcPr>
          <w:p w14:paraId="6A77A3AF" w14:textId="77777777" w:rsidR="00F70062" w:rsidRPr="000F746C" w:rsidRDefault="00F70062" w:rsidP="00A037D3">
            <w:pPr>
              <w:jc w:val="both"/>
              <w:rPr>
                <w:rFonts w:ascii="Arial" w:hAnsi="Arial" w:cs="Arial"/>
                <w:sz w:val="20"/>
                <w:szCs w:val="20"/>
              </w:rPr>
            </w:pPr>
            <w:r w:rsidRPr="000F746C">
              <w:rPr>
                <w:rFonts w:ascii="Arial" w:hAnsi="Arial" w:cs="Arial"/>
                <w:sz w:val="20"/>
                <w:szCs w:val="20"/>
              </w:rPr>
              <w:t>.</w:t>
            </w:r>
            <w:r>
              <w:rPr>
                <w:rFonts w:ascii="Arial" w:hAnsi="Arial" w:cs="Arial"/>
                <w:sz w:val="20"/>
                <w:szCs w:val="20"/>
              </w:rPr>
              <w:t>198</w:t>
            </w:r>
          </w:p>
        </w:tc>
        <w:tc>
          <w:tcPr>
            <w:tcW w:w="1196" w:type="dxa"/>
          </w:tcPr>
          <w:p w14:paraId="0ACF4EC3" w14:textId="77777777" w:rsidR="00F70062" w:rsidRPr="000F746C" w:rsidRDefault="00F70062" w:rsidP="00A037D3">
            <w:pPr>
              <w:jc w:val="both"/>
              <w:rPr>
                <w:rFonts w:ascii="Arial" w:hAnsi="Arial" w:cs="Arial"/>
                <w:sz w:val="20"/>
                <w:szCs w:val="20"/>
              </w:rPr>
            </w:pPr>
            <w:r w:rsidRPr="000F746C">
              <w:rPr>
                <w:rFonts w:ascii="Arial" w:hAnsi="Arial" w:cs="Arial"/>
                <w:sz w:val="20"/>
                <w:szCs w:val="20"/>
              </w:rPr>
              <w:t>.</w:t>
            </w:r>
            <w:r>
              <w:rPr>
                <w:rFonts w:ascii="Arial" w:hAnsi="Arial" w:cs="Arial"/>
                <w:sz w:val="20"/>
                <w:szCs w:val="20"/>
              </w:rPr>
              <w:t>194</w:t>
            </w:r>
          </w:p>
        </w:tc>
        <w:tc>
          <w:tcPr>
            <w:tcW w:w="1483" w:type="dxa"/>
          </w:tcPr>
          <w:p w14:paraId="4E0D4EAE" w14:textId="77777777" w:rsidR="00F70062" w:rsidRPr="000F746C" w:rsidRDefault="00F70062" w:rsidP="00A037D3">
            <w:pPr>
              <w:jc w:val="both"/>
              <w:rPr>
                <w:rFonts w:ascii="Arial" w:hAnsi="Arial" w:cs="Arial"/>
                <w:sz w:val="20"/>
                <w:szCs w:val="20"/>
              </w:rPr>
            </w:pPr>
            <w:r w:rsidRPr="000F746C">
              <w:rPr>
                <w:rFonts w:ascii="Arial" w:hAnsi="Arial" w:cs="Arial"/>
                <w:sz w:val="20"/>
                <w:szCs w:val="20"/>
              </w:rPr>
              <w:t>-.</w:t>
            </w:r>
            <w:r>
              <w:rPr>
                <w:rFonts w:ascii="Arial" w:hAnsi="Arial" w:cs="Arial"/>
                <w:sz w:val="20"/>
                <w:szCs w:val="20"/>
              </w:rPr>
              <w:t>302</w:t>
            </w:r>
          </w:p>
        </w:tc>
        <w:tc>
          <w:tcPr>
            <w:tcW w:w="1790" w:type="dxa"/>
          </w:tcPr>
          <w:p w14:paraId="6F9039C2" w14:textId="77777777" w:rsidR="00F70062" w:rsidRPr="000F746C" w:rsidRDefault="00F70062" w:rsidP="00A037D3">
            <w:pPr>
              <w:jc w:val="both"/>
              <w:rPr>
                <w:rFonts w:ascii="Arial" w:hAnsi="Arial" w:cs="Arial"/>
                <w:sz w:val="20"/>
                <w:szCs w:val="20"/>
              </w:rPr>
            </w:pPr>
            <w:r>
              <w:rPr>
                <w:rFonts w:ascii="Arial" w:hAnsi="Arial" w:cs="Arial"/>
                <w:sz w:val="20"/>
                <w:szCs w:val="20"/>
              </w:rPr>
              <w:t>-.674 - .145</w:t>
            </w:r>
          </w:p>
        </w:tc>
      </w:tr>
      <w:tr w:rsidR="00F70062" w:rsidRPr="00D10668" w14:paraId="5F53692E" w14:textId="77777777" w:rsidTr="00A037D3">
        <w:tc>
          <w:tcPr>
            <w:tcW w:w="1990" w:type="dxa"/>
          </w:tcPr>
          <w:p w14:paraId="4D3180CA" w14:textId="77777777" w:rsidR="00F70062" w:rsidRPr="000F746C" w:rsidRDefault="00F70062" w:rsidP="00A037D3">
            <w:pPr>
              <w:rPr>
                <w:rFonts w:ascii="Arial" w:hAnsi="Arial" w:cs="Arial"/>
                <w:sz w:val="20"/>
                <w:szCs w:val="20"/>
              </w:rPr>
            </w:pPr>
            <w:r w:rsidRPr="000F746C">
              <w:rPr>
                <w:rFonts w:ascii="Arial" w:hAnsi="Arial" w:cs="Arial"/>
                <w:sz w:val="20"/>
                <w:szCs w:val="20"/>
              </w:rPr>
              <w:t>Years of education</w:t>
            </w:r>
          </w:p>
        </w:tc>
        <w:tc>
          <w:tcPr>
            <w:tcW w:w="1238" w:type="dxa"/>
          </w:tcPr>
          <w:p w14:paraId="7F269973" w14:textId="77777777" w:rsidR="00F70062" w:rsidRPr="00D10668" w:rsidRDefault="00F70062" w:rsidP="00A037D3">
            <w:pPr>
              <w:jc w:val="both"/>
              <w:rPr>
                <w:rFonts w:ascii="Arial" w:hAnsi="Arial" w:cs="Arial"/>
                <w:sz w:val="20"/>
                <w:szCs w:val="20"/>
              </w:rPr>
            </w:pPr>
            <w:r>
              <w:rPr>
                <w:rFonts w:ascii="Arial" w:hAnsi="Arial" w:cs="Arial"/>
                <w:sz w:val="20"/>
                <w:szCs w:val="20"/>
              </w:rPr>
              <w:t>.240</w:t>
            </w:r>
          </w:p>
        </w:tc>
        <w:tc>
          <w:tcPr>
            <w:tcW w:w="1234" w:type="dxa"/>
          </w:tcPr>
          <w:p w14:paraId="06D9C957" w14:textId="77777777" w:rsidR="00F70062" w:rsidRPr="000F746C" w:rsidRDefault="00F70062" w:rsidP="00A037D3">
            <w:pPr>
              <w:jc w:val="both"/>
              <w:rPr>
                <w:rFonts w:ascii="Arial" w:hAnsi="Arial" w:cs="Arial"/>
                <w:sz w:val="20"/>
                <w:szCs w:val="20"/>
              </w:rPr>
            </w:pPr>
            <w:r w:rsidRPr="000F746C">
              <w:rPr>
                <w:rFonts w:ascii="Arial" w:hAnsi="Arial" w:cs="Arial"/>
                <w:sz w:val="20"/>
                <w:szCs w:val="20"/>
              </w:rPr>
              <w:t>.3</w:t>
            </w:r>
            <w:r>
              <w:rPr>
                <w:rFonts w:ascii="Arial" w:hAnsi="Arial" w:cs="Arial"/>
                <w:sz w:val="20"/>
                <w:szCs w:val="20"/>
              </w:rPr>
              <w:t>81</w:t>
            </w:r>
          </w:p>
        </w:tc>
        <w:tc>
          <w:tcPr>
            <w:tcW w:w="1196" w:type="dxa"/>
          </w:tcPr>
          <w:p w14:paraId="6C0DCC1F" w14:textId="77777777" w:rsidR="00F70062" w:rsidRPr="000F746C" w:rsidRDefault="00F70062" w:rsidP="00A037D3">
            <w:pPr>
              <w:jc w:val="both"/>
              <w:rPr>
                <w:rFonts w:ascii="Arial" w:hAnsi="Arial" w:cs="Arial"/>
                <w:sz w:val="20"/>
                <w:szCs w:val="20"/>
              </w:rPr>
            </w:pPr>
            <w:r w:rsidRPr="000F746C">
              <w:rPr>
                <w:rFonts w:ascii="Arial" w:hAnsi="Arial" w:cs="Arial"/>
                <w:sz w:val="20"/>
                <w:szCs w:val="20"/>
              </w:rPr>
              <w:t>.</w:t>
            </w:r>
            <w:r>
              <w:rPr>
                <w:rFonts w:ascii="Arial" w:hAnsi="Arial" w:cs="Arial"/>
                <w:sz w:val="20"/>
                <w:szCs w:val="20"/>
              </w:rPr>
              <w:t>535</w:t>
            </w:r>
          </w:p>
        </w:tc>
        <w:tc>
          <w:tcPr>
            <w:tcW w:w="1483" w:type="dxa"/>
          </w:tcPr>
          <w:p w14:paraId="685C9FF8" w14:textId="77777777" w:rsidR="00F70062" w:rsidRPr="000F746C" w:rsidRDefault="00F70062" w:rsidP="00A037D3">
            <w:pPr>
              <w:jc w:val="both"/>
              <w:rPr>
                <w:rFonts w:ascii="Arial" w:hAnsi="Arial" w:cs="Arial"/>
                <w:sz w:val="20"/>
                <w:szCs w:val="20"/>
              </w:rPr>
            </w:pPr>
            <w:r>
              <w:rPr>
                <w:rFonts w:ascii="Arial" w:hAnsi="Arial" w:cs="Arial"/>
                <w:sz w:val="20"/>
                <w:szCs w:val="20"/>
              </w:rPr>
              <w:t>.129</w:t>
            </w:r>
          </w:p>
        </w:tc>
        <w:tc>
          <w:tcPr>
            <w:tcW w:w="1790" w:type="dxa"/>
          </w:tcPr>
          <w:p w14:paraId="4471DDB6" w14:textId="77777777" w:rsidR="00F70062" w:rsidRPr="000F746C" w:rsidRDefault="00F70062" w:rsidP="00A037D3">
            <w:pPr>
              <w:jc w:val="both"/>
              <w:rPr>
                <w:rFonts w:ascii="Arial" w:hAnsi="Arial" w:cs="Arial"/>
                <w:sz w:val="20"/>
                <w:szCs w:val="20"/>
              </w:rPr>
            </w:pPr>
            <w:r>
              <w:rPr>
                <w:rFonts w:ascii="Arial" w:hAnsi="Arial" w:cs="Arial"/>
                <w:sz w:val="20"/>
                <w:szCs w:val="20"/>
              </w:rPr>
              <w:t>-.547 – 1.026</w:t>
            </w:r>
          </w:p>
        </w:tc>
      </w:tr>
      <w:tr w:rsidR="00F70062" w:rsidRPr="00D10668" w14:paraId="01DA6B47" w14:textId="77777777" w:rsidTr="00A037D3">
        <w:tc>
          <w:tcPr>
            <w:tcW w:w="1990" w:type="dxa"/>
          </w:tcPr>
          <w:p w14:paraId="1DF6F04A" w14:textId="77777777" w:rsidR="00F70062" w:rsidRPr="000F746C" w:rsidRDefault="00F70062" w:rsidP="00A037D3">
            <w:pPr>
              <w:rPr>
                <w:rFonts w:ascii="Arial" w:hAnsi="Arial" w:cs="Arial"/>
                <w:sz w:val="20"/>
                <w:szCs w:val="20"/>
              </w:rPr>
            </w:pPr>
            <w:r w:rsidRPr="000F746C">
              <w:rPr>
                <w:rFonts w:ascii="Arial" w:hAnsi="Arial" w:cs="Arial"/>
                <w:sz w:val="20"/>
                <w:szCs w:val="20"/>
              </w:rPr>
              <w:t>Living situation</w:t>
            </w:r>
          </w:p>
        </w:tc>
        <w:tc>
          <w:tcPr>
            <w:tcW w:w="1238" w:type="dxa"/>
          </w:tcPr>
          <w:p w14:paraId="256D13E9" w14:textId="77777777" w:rsidR="00F70062" w:rsidRPr="00D10668" w:rsidRDefault="00F70062" w:rsidP="00A037D3">
            <w:pPr>
              <w:jc w:val="both"/>
              <w:rPr>
                <w:rFonts w:ascii="Arial" w:hAnsi="Arial" w:cs="Arial"/>
                <w:sz w:val="20"/>
                <w:szCs w:val="20"/>
              </w:rPr>
            </w:pPr>
            <w:r>
              <w:rPr>
                <w:rFonts w:ascii="Arial" w:hAnsi="Arial" w:cs="Arial"/>
                <w:sz w:val="20"/>
                <w:szCs w:val="20"/>
              </w:rPr>
              <w:t>2.101</w:t>
            </w:r>
          </w:p>
        </w:tc>
        <w:tc>
          <w:tcPr>
            <w:tcW w:w="1234" w:type="dxa"/>
          </w:tcPr>
          <w:p w14:paraId="64A1A0FE" w14:textId="77777777" w:rsidR="00F70062" w:rsidRPr="000F746C" w:rsidRDefault="00F70062" w:rsidP="00A037D3">
            <w:pPr>
              <w:jc w:val="both"/>
              <w:rPr>
                <w:rFonts w:ascii="Arial" w:hAnsi="Arial" w:cs="Arial"/>
                <w:sz w:val="20"/>
                <w:szCs w:val="20"/>
              </w:rPr>
            </w:pPr>
            <w:r w:rsidRPr="000F746C">
              <w:rPr>
                <w:rFonts w:ascii="Arial" w:hAnsi="Arial" w:cs="Arial"/>
                <w:sz w:val="20"/>
                <w:szCs w:val="20"/>
              </w:rPr>
              <w:t>2.</w:t>
            </w:r>
            <w:r>
              <w:rPr>
                <w:rFonts w:ascii="Arial" w:hAnsi="Arial" w:cs="Arial"/>
                <w:sz w:val="20"/>
                <w:szCs w:val="20"/>
              </w:rPr>
              <w:t>447</w:t>
            </w:r>
          </w:p>
        </w:tc>
        <w:tc>
          <w:tcPr>
            <w:tcW w:w="1196" w:type="dxa"/>
          </w:tcPr>
          <w:p w14:paraId="27AA17D3" w14:textId="77777777" w:rsidR="00F70062" w:rsidRPr="000F746C" w:rsidRDefault="00F70062" w:rsidP="00A037D3">
            <w:pPr>
              <w:jc w:val="both"/>
              <w:rPr>
                <w:rFonts w:ascii="Arial" w:hAnsi="Arial" w:cs="Arial"/>
                <w:sz w:val="20"/>
                <w:szCs w:val="20"/>
              </w:rPr>
            </w:pPr>
            <w:r w:rsidRPr="000F746C">
              <w:rPr>
                <w:rFonts w:ascii="Arial" w:hAnsi="Arial" w:cs="Arial"/>
                <w:sz w:val="20"/>
                <w:szCs w:val="20"/>
              </w:rPr>
              <w:t>.</w:t>
            </w:r>
            <w:r>
              <w:rPr>
                <w:rFonts w:ascii="Arial" w:hAnsi="Arial" w:cs="Arial"/>
                <w:sz w:val="20"/>
                <w:szCs w:val="20"/>
              </w:rPr>
              <w:t>399</w:t>
            </w:r>
          </w:p>
        </w:tc>
        <w:tc>
          <w:tcPr>
            <w:tcW w:w="1483" w:type="dxa"/>
          </w:tcPr>
          <w:p w14:paraId="4360D48A" w14:textId="77777777" w:rsidR="00F70062" w:rsidRPr="000F746C" w:rsidRDefault="00F70062" w:rsidP="00A037D3">
            <w:pPr>
              <w:jc w:val="both"/>
              <w:rPr>
                <w:rFonts w:ascii="Arial" w:hAnsi="Arial" w:cs="Arial"/>
                <w:sz w:val="20"/>
                <w:szCs w:val="20"/>
              </w:rPr>
            </w:pPr>
            <w:r>
              <w:rPr>
                <w:rFonts w:ascii="Arial" w:hAnsi="Arial" w:cs="Arial"/>
                <w:sz w:val="20"/>
                <w:szCs w:val="20"/>
              </w:rPr>
              <w:t>.163</w:t>
            </w:r>
          </w:p>
        </w:tc>
        <w:tc>
          <w:tcPr>
            <w:tcW w:w="1790" w:type="dxa"/>
          </w:tcPr>
          <w:p w14:paraId="74C698A2" w14:textId="77777777" w:rsidR="00F70062" w:rsidRPr="009C70B4" w:rsidRDefault="00F70062" w:rsidP="00A037D3">
            <w:pPr>
              <w:jc w:val="both"/>
              <w:rPr>
                <w:rFonts w:ascii="Arial" w:hAnsi="Arial" w:cs="Arial"/>
                <w:sz w:val="20"/>
                <w:szCs w:val="20"/>
              </w:rPr>
            </w:pPr>
            <w:r w:rsidRPr="009C70B4">
              <w:rPr>
                <w:rFonts w:ascii="Arial" w:hAnsi="Arial" w:cs="Arial"/>
                <w:sz w:val="20"/>
                <w:szCs w:val="20"/>
              </w:rPr>
              <w:t>-2.950 – 7.152</w:t>
            </w:r>
          </w:p>
        </w:tc>
      </w:tr>
      <w:tr w:rsidR="00F70062" w:rsidRPr="00D10668" w14:paraId="2727E80E" w14:textId="77777777" w:rsidTr="00A037D3">
        <w:tc>
          <w:tcPr>
            <w:tcW w:w="1990" w:type="dxa"/>
          </w:tcPr>
          <w:p w14:paraId="33522FFA" w14:textId="77777777" w:rsidR="00F70062" w:rsidRPr="001B7E69" w:rsidRDefault="00F70062" w:rsidP="00A037D3">
            <w:pPr>
              <w:rPr>
                <w:rFonts w:ascii="Arial" w:hAnsi="Arial" w:cs="Arial"/>
                <w:b/>
                <w:sz w:val="20"/>
                <w:szCs w:val="20"/>
              </w:rPr>
            </w:pPr>
            <w:r w:rsidRPr="00D10668">
              <w:rPr>
                <w:rFonts w:ascii="Arial" w:hAnsi="Arial" w:cs="Arial"/>
                <w:sz w:val="20"/>
                <w:szCs w:val="20"/>
              </w:rPr>
              <w:t>Variation in social support service hours</w:t>
            </w:r>
          </w:p>
        </w:tc>
        <w:tc>
          <w:tcPr>
            <w:tcW w:w="1238" w:type="dxa"/>
          </w:tcPr>
          <w:p w14:paraId="7307519A" w14:textId="77777777" w:rsidR="00F70062" w:rsidRPr="00D10668" w:rsidRDefault="00F70062" w:rsidP="00A037D3">
            <w:pPr>
              <w:jc w:val="both"/>
              <w:rPr>
                <w:rFonts w:ascii="Arial" w:hAnsi="Arial" w:cs="Arial"/>
                <w:sz w:val="20"/>
                <w:szCs w:val="20"/>
              </w:rPr>
            </w:pPr>
            <w:r>
              <w:rPr>
                <w:rFonts w:ascii="Arial" w:hAnsi="Arial" w:cs="Arial"/>
                <w:sz w:val="20"/>
                <w:szCs w:val="20"/>
              </w:rPr>
              <w:t>-.452</w:t>
            </w:r>
          </w:p>
        </w:tc>
        <w:tc>
          <w:tcPr>
            <w:tcW w:w="1234" w:type="dxa"/>
          </w:tcPr>
          <w:p w14:paraId="7AD2723C" w14:textId="77777777" w:rsidR="00F70062" w:rsidRPr="000F746C" w:rsidRDefault="00F70062" w:rsidP="00A037D3">
            <w:pPr>
              <w:jc w:val="both"/>
              <w:rPr>
                <w:rFonts w:ascii="Arial" w:hAnsi="Arial" w:cs="Arial"/>
                <w:sz w:val="20"/>
                <w:szCs w:val="20"/>
              </w:rPr>
            </w:pPr>
            <w:r w:rsidRPr="000F746C">
              <w:rPr>
                <w:rFonts w:ascii="Arial" w:hAnsi="Arial" w:cs="Arial"/>
                <w:sz w:val="20"/>
                <w:szCs w:val="20"/>
              </w:rPr>
              <w:t>.1</w:t>
            </w:r>
            <w:r>
              <w:rPr>
                <w:rFonts w:ascii="Arial" w:hAnsi="Arial" w:cs="Arial"/>
                <w:sz w:val="20"/>
                <w:szCs w:val="20"/>
              </w:rPr>
              <w:t>67</w:t>
            </w:r>
          </w:p>
        </w:tc>
        <w:tc>
          <w:tcPr>
            <w:tcW w:w="1196" w:type="dxa"/>
          </w:tcPr>
          <w:p w14:paraId="76755A36" w14:textId="77777777" w:rsidR="00F70062" w:rsidRPr="000F746C" w:rsidRDefault="00F70062" w:rsidP="00A037D3">
            <w:pPr>
              <w:jc w:val="both"/>
              <w:rPr>
                <w:rFonts w:ascii="Arial" w:hAnsi="Arial" w:cs="Arial"/>
                <w:b/>
                <w:sz w:val="20"/>
                <w:szCs w:val="20"/>
              </w:rPr>
            </w:pPr>
            <w:r w:rsidRPr="000F746C">
              <w:rPr>
                <w:rFonts w:ascii="Arial" w:hAnsi="Arial" w:cs="Arial"/>
                <w:b/>
                <w:sz w:val="20"/>
                <w:szCs w:val="20"/>
              </w:rPr>
              <w:t>.01</w:t>
            </w:r>
            <w:r>
              <w:rPr>
                <w:rFonts w:ascii="Arial" w:hAnsi="Arial" w:cs="Arial"/>
                <w:b/>
                <w:sz w:val="20"/>
                <w:szCs w:val="20"/>
              </w:rPr>
              <w:t>2</w:t>
            </w:r>
          </w:p>
        </w:tc>
        <w:tc>
          <w:tcPr>
            <w:tcW w:w="1483" w:type="dxa"/>
          </w:tcPr>
          <w:p w14:paraId="0F12B18C" w14:textId="77777777" w:rsidR="00F70062" w:rsidRPr="000F746C" w:rsidRDefault="00F70062" w:rsidP="00A037D3">
            <w:pPr>
              <w:jc w:val="both"/>
              <w:rPr>
                <w:rFonts w:ascii="Arial" w:hAnsi="Arial" w:cs="Arial"/>
                <w:sz w:val="20"/>
                <w:szCs w:val="20"/>
              </w:rPr>
            </w:pPr>
            <w:r>
              <w:rPr>
                <w:rFonts w:ascii="Arial" w:hAnsi="Arial" w:cs="Arial"/>
                <w:sz w:val="20"/>
                <w:szCs w:val="20"/>
              </w:rPr>
              <w:t>-.471</w:t>
            </w:r>
          </w:p>
        </w:tc>
        <w:tc>
          <w:tcPr>
            <w:tcW w:w="1790" w:type="dxa"/>
          </w:tcPr>
          <w:p w14:paraId="5B31F8F0" w14:textId="77777777" w:rsidR="00F70062" w:rsidRPr="000F746C" w:rsidRDefault="00F70062" w:rsidP="00A037D3">
            <w:pPr>
              <w:jc w:val="both"/>
              <w:rPr>
                <w:rFonts w:ascii="Arial" w:hAnsi="Arial" w:cs="Arial"/>
                <w:sz w:val="20"/>
                <w:szCs w:val="20"/>
              </w:rPr>
            </w:pPr>
            <w:r>
              <w:rPr>
                <w:rFonts w:ascii="Arial" w:hAnsi="Arial" w:cs="Arial"/>
                <w:sz w:val="20"/>
                <w:szCs w:val="20"/>
              </w:rPr>
              <w:t>-.798 - -.107</w:t>
            </w:r>
          </w:p>
        </w:tc>
      </w:tr>
      <w:tr w:rsidR="00F70062" w:rsidRPr="00D10668" w14:paraId="3A92747B" w14:textId="77777777" w:rsidTr="00A037D3">
        <w:tc>
          <w:tcPr>
            <w:tcW w:w="1990" w:type="dxa"/>
          </w:tcPr>
          <w:p w14:paraId="40FE24E5" w14:textId="63408460" w:rsidR="00F70062" w:rsidRPr="00247A90" w:rsidRDefault="00F70062" w:rsidP="00A037D3">
            <w:pPr>
              <w:rPr>
                <w:rFonts w:ascii="Arial" w:hAnsi="Arial" w:cs="Arial"/>
                <w:sz w:val="20"/>
                <w:szCs w:val="20"/>
                <w:vertAlign w:val="superscript"/>
              </w:rPr>
            </w:pPr>
            <w:r w:rsidRPr="006E62F0">
              <w:rPr>
                <w:rFonts w:ascii="Arial" w:hAnsi="Arial" w:cs="Arial"/>
                <w:sz w:val="20"/>
                <w:szCs w:val="20"/>
              </w:rPr>
              <w:t>IMD quintile 1</w:t>
            </w:r>
            <w:r w:rsidR="00247A90">
              <w:rPr>
                <w:rFonts w:ascii="Arial" w:hAnsi="Arial" w:cs="Arial"/>
                <w:sz w:val="20"/>
                <w:szCs w:val="20"/>
                <w:vertAlign w:val="superscript"/>
              </w:rPr>
              <w:t>2</w:t>
            </w:r>
          </w:p>
        </w:tc>
        <w:tc>
          <w:tcPr>
            <w:tcW w:w="1238" w:type="dxa"/>
          </w:tcPr>
          <w:p w14:paraId="70DA4DCA" w14:textId="77777777" w:rsidR="00F70062" w:rsidRPr="00D10668" w:rsidRDefault="00F70062" w:rsidP="00A037D3">
            <w:pPr>
              <w:jc w:val="both"/>
              <w:rPr>
                <w:rFonts w:ascii="Arial" w:hAnsi="Arial" w:cs="Arial"/>
                <w:sz w:val="20"/>
                <w:szCs w:val="20"/>
              </w:rPr>
            </w:pPr>
            <w:r>
              <w:rPr>
                <w:rFonts w:ascii="Arial" w:hAnsi="Arial" w:cs="Arial"/>
                <w:sz w:val="20"/>
                <w:szCs w:val="20"/>
              </w:rPr>
              <w:t>-3.069</w:t>
            </w:r>
          </w:p>
        </w:tc>
        <w:tc>
          <w:tcPr>
            <w:tcW w:w="1234" w:type="dxa"/>
          </w:tcPr>
          <w:p w14:paraId="01E72E1B" w14:textId="77777777" w:rsidR="00F70062" w:rsidRPr="000F746C" w:rsidRDefault="00F70062" w:rsidP="00A037D3">
            <w:pPr>
              <w:jc w:val="both"/>
              <w:rPr>
                <w:rFonts w:ascii="Arial" w:hAnsi="Arial" w:cs="Arial"/>
                <w:sz w:val="20"/>
                <w:szCs w:val="20"/>
              </w:rPr>
            </w:pPr>
            <w:r>
              <w:rPr>
                <w:rFonts w:ascii="Arial" w:hAnsi="Arial" w:cs="Arial"/>
                <w:sz w:val="20"/>
                <w:szCs w:val="20"/>
              </w:rPr>
              <w:t>6.328</w:t>
            </w:r>
          </w:p>
        </w:tc>
        <w:tc>
          <w:tcPr>
            <w:tcW w:w="1196" w:type="dxa"/>
          </w:tcPr>
          <w:p w14:paraId="1CE06EB1" w14:textId="77777777" w:rsidR="00F70062" w:rsidRPr="000F746C" w:rsidRDefault="00F70062" w:rsidP="00A037D3">
            <w:pPr>
              <w:jc w:val="both"/>
              <w:rPr>
                <w:rFonts w:ascii="Arial" w:hAnsi="Arial" w:cs="Arial"/>
                <w:sz w:val="20"/>
                <w:szCs w:val="20"/>
              </w:rPr>
            </w:pPr>
            <w:r w:rsidRPr="000F746C">
              <w:rPr>
                <w:rFonts w:ascii="Arial" w:hAnsi="Arial" w:cs="Arial"/>
                <w:sz w:val="20"/>
                <w:szCs w:val="20"/>
              </w:rPr>
              <w:t>.</w:t>
            </w:r>
            <w:r>
              <w:rPr>
                <w:rFonts w:ascii="Arial" w:hAnsi="Arial" w:cs="Arial"/>
                <w:sz w:val="20"/>
                <w:szCs w:val="20"/>
              </w:rPr>
              <w:t>632</w:t>
            </w:r>
          </w:p>
        </w:tc>
        <w:tc>
          <w:tcPr>
            <w:tcW w:w="1483" w:type="dxa"/>
          </w:tcPr>
          <w:p w14:paraId="69034E92" w14:textId="77777777" w:rsidR="00F70062" w:rsidRPr="000F746C" w:rsidRDefault="00F70062" w:rsidP="00A037D3">
            <w:pPr>
              <w:jc w:val="both"/>
              <w:rPr>
                <w:rFonts w:ascii="Arial" w:hAnsi="Arial" w:cs="Arial"/>
                <w:sz w:val="20"/>
                <w:szCs w:val="20"/>
              </w:rPr>
            </w:pPr>
            <w:r>
              <w:rPr>
                <w:rFonts w:ascii="Arial" w:hAnsi="Arial" w:cs="Arial"/>
                <w:sz w:val="20"/>
                <w:szCs w:val="20"/>
              </w:rPr>
              <w:t>-.213</w:t>
            </w:r>
          </w:p>
        </w:tc>
        <w:tc>
          <w:tcPr>
            <w:tcW w:w="1790" w:type="dxa"/>
          </w:tcPr>
          <w:p w14:paraId="3EEA38D1" w14:textId="77777777" w:rsidR="00F70062" w:rsidRPr="000F746C" w:rsidRDefault="00F70062" w:rsidP="00A037D3">
            <w:pPr>
              <w:jc w:val="both"/>
              <w:rPr>
                <w:rFonts w:ascii="Arial" w:hAnsi="Arial" w:cs="Arial"/>
                <w:sz w:val="20"/>
                <w:szCs w:val="20"/>
              </w:rPr>
            </w:pPr>
            <w:r>
              <w:rPr>
                <w:rFonts w:ascii="Arial" w:hAnsi="Arial" w:cs="Arial"/>
                <w:sz w:val="20"/>
                <w:szCs w:val="20"/>
              </w:rPr>
              <w:t>-16.130 – 9.992</w:t>
            </w:r>
          </w:p>
        </w:tc>
      </w:tr>
      <w:tr w:rsidR="00F70062" w:rsidRPr="00D10668" w14:paraId="5420AC2C" w14:textId="77777777" w:rsidTr="00A037D3">
        <w:tc>
          <w:tcPr>
            <w:tcW w:w="1990" w:type="dxa"/>
          </w:tcPr>
          <w:p w14:paraId="1F8B6242" w14:textId="3D23429F" w:rsidR="00F70062" w:rsidRPr="00247A90" w:rsidRDefault="00F70062" w:rsidP="00A037D3">
            <w:pPr>
              <w:rPr>
                <w:rFonts w:ascii="Arial" w:hAnsi="Arial" w:cs="Arial"/>
                <w:sz w:val="20"/>
                <w:szCs w:val="20"/>
                <w:vertAlign w:val="superscript"/>
              </w:rPr>
            </w:pPr>
            <w:r w:rsidRPr="006E62F0">
              <w:rPr>
                <w:rFonts w:ascii="Arial" w:hAnsi="Arial" w:cs="Arial"/>
                <w:sz w:val="20"/>
                <w:szCs w:val="20"/>
              </w:rPr>
              <w:t>IMD quintile 2</w:t>
            </w:r>
            <w:r w:rsidR="00247A90">
              <w:rPr>
                <w:rFonts w:ascii="Arial" w:hAnsi="Arial" w:cs="Arial"/>
                <w:sz w:val="20"/>
                <w:szCs w:val="20"/>
                <w:vertAlign w:val="superscript"/>
              </w:rPr>
              <w:t>2</w:t>
            </w:r>
          </w:p>
        </w:tc>
        <w:tc>
          <w:tcPr>
            <w:tcW w:w="1238" w:type="dxa"/>
          </w:tcPr>
          <w:p w14:paraId="41455412" w14:textId="77777777" w:rsidR="00F70062" w:rsidRDefault="00F70062" w:rsidP="00A037D3">
            <w:pPr>
              <w:jc w:val="both"/>
              <w:rPr>
                <w:rFonts w:ascii="Arial" w:hAnsi="Arial" w:cs="Arial"/>
                <w:sz w:val="20"/>
                <w:szCs w:val="20"/>
              </w:rPr>
            </w:pPr>
            <w:r>
              <w:rPr>
                <w:rFonts w:ascii="Arial" w:hAnsi="Arial" w:cs="Arial"/>
                <w:sz w:val="20"/>
                <w:szCs w:val="20"/>
              </w:rPr>
              <w:t>-1.200</w:t>
            </w:r>
          </w:p>
        </w:tc>
        <w:tc>
          <w:tcPr>
            <w:tcW w:w="1234" w:type="dxa"/>
          </w:tcPr>
          <w:p w14:paraId="1BB70511" w14:textId="77777777" w:rsidR="00F70062" w:rsidRPr="000F746C" w:rsidRDefault="00F70062" w:rsidP="00A037D3">
            <w:pPr>
              <w:jc w:val="both"/>
              <w:rPr>
                <w:rFonts w:ascii="Arial" w:hAnsi="Arial" w:cs="Arial"/>
                <w:sz w:val="20"/>
                <w:szCs w:val="20"/>
              </w:rPr>
            </w:pPr>
            <w:r>
              <w:rPr>
                <w:rFonts w:ascii="Arial" w:hAnsi="Arial" w:cs="Arial"/>
                <w:sz w:val="20"/>
                <w:szCs w:val="20"/>
              </w:rPr>
              <w:t>6.236</w:t>
            </w:r>
          </w:p>
        </w:tc>
        <w:tc>
          <w:tcPr>
            <w:tcW w:w="1196" w:type="dxa"/>
          </w:tcPr>
          <w:p w14:paraId="574A1E70" w14:textId="77777777" w:rsidR="00F70062" w:rsidRPr="000F746C" w:rsidRDefault="00F70062" w:rsidP="00A037D3">
            <w:pPr>
              <w:jc w:val="both"/>
              <w:rPr>
                <w:rFonts w:ascii="Arial" w:hAnsi="Arial" w:cs="Arial"/>
                <w:sz w:val="20"/>
                <w:szCs w:val="20"/>
              </w:rPr>
            </w:pPr>
            <w:r>
              <w:rPr>
                <w:rFonts w:ascii="Arial" w:hAnsi="Arial" w:cs="Arial"/>
                <w:sz w:val="20"/>
                <w:szCs w:val="20"/>
              </w:rPr>
              <w:t>.849</w:t>
            </w:r>
          </w:p>
        </w:tc>
        <w:tc>
          <w:tcPr>
            <w:tcW w:w="1483" w:type="dxa"/>
          </w:tcPr>
          <w:p w14:paraId="517E908B" w14:textId="77777777" w:rsidR="00F70062" w:rsidRDefault="00F70062" w:rsidP="00A037D3">
            <w:pPr>
              <w:jc w:val="both"/>
              <w:rPr>
                <w:rFonts w:ascii="Arial" w:hAnsi="Arial" w:cs="Arial"/>
                <w:sz w:val="20"/>
                <w:szCs w:val="20"/>
              </w:rPr>
            </w:pPr>
            <w:r>
              <w:rPr>
                <w:rFonts w:ascii="Arial" w:hAnsi="Arial" w:cs="Arial"/>
                <w:sz w:val="20"/>
                <w:szCs w:val="20"/>
              </w:rPr>
              <w:t>-.088</w:t>
            </w:r>
          </w:p>
        </w:tc>
        <w:tc>
          <w:tcPr>
            <w:tcW w:w="1790" w:type="dxa"/>
          </w:tcPr>
          <w:p w14:paraId="7F7C06E0" w14:textId="77777777" w:rsidR="00F70062" w:rsidRDefault="00F70062" w:rsidP="00A037D3">
            <w:pPr>
              <w:jc w:val="both"/>
              <w:rPr>
                <w:rFonts w:ascii="Arial" w:hAnsi="Arial" w:cs="Arial"/>
                <w:sz w:val="20"/>
                <w:szCs w:val="20"/>
              </w:rPr>
            </w:pPr>
            <w:r>
              <w:rPr>
                <w:rFonts w:ascii="Arial" w:hAnsi="Arial" w:cs="Arial"/>
                <w:sz w:val="20"/>
                <w:szCs w:val="20"/>
              </w:rPr>
              <w:t>-14.072 – 11.671</w:t>
            </w:r>
          </w:p>
        </w:tc>
      </w:tr>
      <w:tr w:rsidR="00F70062" w:rsidRPr="00D10668" w14:paraId="68E29D76" w14:textId="77777777" w:rsidTr="00A037D3">
        <w:tc>
          <w:tcPr>
            <w:tcW w:w="1990" w:type="dxa"/>
          </w:tcPr>
          <w:p w14:paraId="0479E3F0" w14:textId="0CBFAF3F" w:rsidR="00F70062" w:rsidRPr="00247A90" w:rsidRDefault="00F70062" w:rsidP="00A037D3">
            <w:pPr>
              <w:rPr>
                <w:rFonts w:ascii="Arial" w:hAnsi="Arial" w:cs="Arial"/>
                <w:sz w:val="20"/>
                <w:szCs w:val="20"/>
                <w:vertAlign w:val="superscript"/>
              </w:rPr>
            </w:pPr>
            <w:r w:rsidRPr="006E62F0">
              <w:rPr>
                <w:rFonts w:ascii="Arial" w:hAnsi="Arial" w:cs="Arial"/>
                <w:sz w:val="20"/>
                <w:szCs w:val="20"/>
              </w:rPr>
              <w:t>IMD quintile 3</w:t>
            </w:r>
            <w:r w:rsidR="00247A90">
              <w:rPr>
                <w:rFonts w:ascii="Arial" w:hAnsi="Arial" w:cs="Arial"/>
                <w:sz w:val="20"/>
                <w:szCs w:val="20"/>
                <w:vertAlign w:val="superscript"/>
              </w:rPr>
              <w:t>2</w:t>
            </w:r>
          </w:p>
        </w:tc>
        <w:tc>
          <w:tcPr>
            <w:tcW w:w="1238" w:type="dxa"/>
          </w:tcPr>
          <w:p w14:paraId="532A1A65" w14:textId="77777777" w:rsidR="00F70062" w:rsidRDefault="00F70062" w:rsidP="00A037D3">
            <w:pPr>
              <w:jc w:val="both"/>
              <w:rPr>
                <w:rFonts w:ascii="Arial" w:hAnsi="Arial" w:cs="Arial"/>
                <w:sz w:val="20"/>
                <w:szCs w:val="20"/>
              </w:rPr>
            </w:pPr>
            <w:r>
              <w:rPr>
                <w:rFonts w:ascii="Arial" w:hAnsi="Arial" w:cs="Arial"/>
                <w:sz w:val="20"/>
                <w:szCs w:val="20"/>
              </w:rPr>
              <w:t>-4.837</w:t>
            </w:r>
          </w:p>
        </w:tc>
        <w:tc>
          <w:tcPr>
            <w:tcW w:w="1234" w:type="dxa"/>
          </w:tcPr>
          <w:p w14:paraId="114374FA" w14:textId="77777777" w:rsidR="00F70062" w:rsidRPr="000F746C" w:rsidRDefault="00F70062" w:rsidP="00A037D3">
            <w:pPr>
              <w:jc w:val="both"/>
              <w:rPr>
                <w:rFonts w:ascii="Arial" w:hAnsi="Arial" w:cs="Arial"/>
                <w:sz w:val="20"/>
                <w:szCs w:val="20"/>
              </w:rPr>
            </w:pPr>
            <w:r>
              <w:rPr>
                <w:rFonts w:ascii="Arial" w:hAnsi="Arial" w:cs="Arial"/>
                <w:sz w:val="20"/>
                <w:szCs w:val="20"/>
              </w:rPr>
              <w:t>6.449</w:t>
            </w:r>
          </w:p>
        </w:tc>
        <w:tc>
          <w:tcPr>
            <w:tcW w:w="1196" w:type="dxa"/>
          </w:tcPr>
          <w:p w14:paraId="63EB5DF4" w14:textId="77777777" w:rsidR="00F70062" w:rsidRPr="000F746C" w:rsidRDefault="00F70062" w:rsidP="00A037D3">
            <w:pPr>
              <w:jc w:val="both"/>
              <w:rPr>
                <w:rFonts w:ascii="Arial" w:hAnsi="Arial" w:cs="Arial"/>
                <w:sz w:val="20"/>
                <w:szCs w:val="20"/>
              </w:rPr>
            </w:pPr>
            <w:r>
              <w:rPr>
                <w:rFonts w:ascii="Arial" w:hAnsi="Arial" w:cs="Arial"/>
                <w:sz w:val="20"/>
                <w:szCs w:val="20"/>
              </w:rPr>
              <w:t>.461</w:t>
            </w:r>
          </w:p>
        </w:tc>
        <w:tc>
          <w:tcPr>
            <w:tcW w:w="1483" w:type="dxa"/>
          </w:tcPr>
          <w:p w14:paraId="57805040" w14:textId="77777777" w:rsidR="00F70062" w:rsidRDefault="00F70062" w:rsidP="00A037D3">
            <w:pPr>
              <w:jc w:val="both"/>
              <w:rPr>
                <w:rFonts w:ascii="Arial" w:hAnsi="Arial" w:cs="Arial"/>
                <w:sz w:val="20"/>
                <w:szCs w:val="20"/>
              </w:rPr>
            </w:pPr>
            <w:r>
              <w:rPr>
                <w:rFonts w:ascii="Arial" w:hAnsi="Arial" w:cs="Arial"/>
                <w:sz w:val="20"/>
                <w:szCs w:val="20"/>
              </w:rPr>
              <w:t>-.308</w:t>
            </w:r>
          </w:p>
        </w:tc>
        <w:tc>
          <w:tcPr>
            <w:tcW w:w="1790" w:type="dxa"/>
          </w:tcPr>
          <w:p w14:paraId="709395B1" w14:textId="77777777" w:rsidR="00F70062" w:rsidRDefault="00F70062" w:rsidP="00A037D3">
            <w:pPr>
              <w:jc w:val="both"/>
              <w:rPr>
                <w:rFonts w:ascii="Arial" w:hAnsi="Arial" w:cs="Arial"/>
                <w:sz w:val="20"/>
                <w:szCs w:val="20"/>
              </w:rPr>
            </w:pPr>
            <w:r>
              <w:rPr>
                <w:rFonts w:ascii="Arial" w:hAnsi="Arial" w:cs="Arial"/>
                <w:sz w:val="20"/>
                <w:szCs w:val="20"/>
              </w:rPr>
              <w:t>-18.148 – 8.474</w:t>
            </w:r>
          </w:p>
        </w:tc>
      </w:tr>
      <w:tr w:rsidR="00F70062" w:rsidRPr="00D10668" w14:paraId="0098F673" w14:textId="77777777" w:rsidTr="00A037D3">
        <w:tc>
          <w:tcPr>
            <w:tcW w:w="1990" w:type="dxa"/>
          </w:tcPr>
          <w:p w14:paraId="58BFA2F0" w14:textId="30B2C36D" w:rsidR="00F70062" w:rsidRPr="00247A90" w:rsidRDefault="00F70062" w:rsidP="00A037D3">
            <w:pPr>
              <w:rPr>
                <w:rFonts w:ascii="Arial" w:hAnsi="Arial" w:cs="Arial"/>
                <w:sz w:val="20"/>
                <w:szCs w:val="20"/>
                <w:vertAlign w:val="superscript"/>
              </w:rPr>
            </w:pPr>
            <w:r w:rsidRPr="006E62F0">
              <w:rPr>
                <w:rFonts w:ascii="Arial" w:hAnsi="Arial" w:cs="Arial"/>
                <w:sz w:val="20"/>
                <w:szCs w:val="20"/>
              </w:rPr>
              <w:t>IMD quintile 4</w:t>
            </w:r>
            <w:r w:rsidR="00247A90">
              <w:rPr>
                <w:rFonts w:ascii="Arial" w:hAnsi="Arial" w:cs="Arial"/>
                <w:sz w:val="20"/>
                <w:szCs w:val="20"/>
                <w:vertAlign w:val="superscript"/>
              </w:rPr>
              <w:t>2</w:t>
            </w:r>
          </w:p>
        </w:tc>
        <w:tc>
          <w:tcPr>
            <w:tcW w:w="1238" w:type="dxa"/>
          </w:tcPr>
          <w:p w14:paraId="4ADAC0AE" w14:textId="77777777" w:rsidR="00F70062" w:rsidRDefault="00F70062" w:rsidP="00A037D3">
            <w:pPr>
              <w:jc w:val="both"/>
              <w:rPr>
                <w:rFonts w:ascii="Arial" w:hAnsi="Arial" w:cs="Arial"/>
                <w:sz w:val="20"/>
                <w:szCs w:val="20"/>
              </w:rPr>
            </w:pPr>
            <w:r>
              <w:rPr>
                <w:rFonts w:ascii="Arial" w:hAnsi="Arial" w:cs="Arial"/>
                <w:sz w:val="20"/>
                <w:szCs w:val="20"/>
              </w:rPr>
              <w:t>2.398</w:t>
            </w:r>
          </w:p>
        </w:tc>
        <w:tc>
          <w:tcPr>
            <w:tcW w:w="1234" w:type="dxa"/>
          </w:tcPr>
          <w:p w14:paraId="451EB7D7" w14:textId="77777777" w:rsidR="00F70062" w:rsidRPr="000F746C" w:rsidRDefault="00F70062" w:rsidP="00A037D3">
            <w:pPr>
              <w:jc w:val="both"/>
              <w:rPr>
                <w:rFonts w:ascii="Arial" w:hAnsi="Arial" w:cs="Arial"/>
                <w:sz w:val="20"/>
                <w:szCs w:val="20"/>
              </w:rPr>
            </w:pPr>
            <w:r>
              <w:rPr>
                <w:rFonts w:ascii="Arial" w:hAnsi="Arial" w:cs="Arial"/>
                <w:sz w:val="20"/>
                <w:szCs w:val="20"/>
              </w:rPr>
              <w:t>6.876</w:t>
            </w:r>
          </w:p>
        </w:tc>
        <w:tc>
          <w:tcPr>
            <w:tcW w:w="1196" w:type="dxa"/>
          </w:tcPr>
          <w:p w14:paraId="467F8AC6" w14:textId="77777777" w:rsidR="00F70062" w:rsidRPr="000F746C" w:rsidRDefault="00F70062" w:rsidP="00A037D3">
            <w:pPr>
              <w:jc w:val="both"/>
              <w:rPr>
                <w:rFonts w:ascii="Arial" w:hAnsi="Arial" w:cs="Arial"/>
                <w:sz w:val="20"/>
                <w:szCs w:val="20"/>
              </w:rPr>
            </w:pPr>
            <w:r>
              <w:rPr>
                <w:rFonts w:ascii="Arial" w:hAnsi="Arial" w:cs="Arial"/>
                <w:sz w:val="20"/>
                <w:szCs w:val="20"/>
              </w:rPr>
              <w:t>.730</w:t>
            </w:r>
          </w:p>
        </w:tc>
        <w:tc>
          <w:tcPr>
            <w:tcW w:w="1483" w:type="dxa"/>
          </w:tcPr>
          <w:p w14:paraId="25FB9557" w14:textId="77777777" w:rsidR="00F70062" w:rsidRDefault="00F70062" w:rsidP="00A037D3">
            <w:pPr>
              <w:jc w:val="both"/>
              <w:rPr>
                <w:rFonts w:ascii="Arial" w:hAnsi="Arial" w:cs="Arial"/>
                <w:sz w:val="20"/>
                <w:szCs w:val="20"/>
              </w:rPr>
            </w:pPr>
            <w:r>
              <w:rPr>
                <w:rFonts w:ascii="Arial" w:hAnsi="Arial" w:cs="Arial"/>
                <w:sz w:val="20"/>
                <w:szCs w:val="20"/>
              </w:rPr>
              <w:t>.134</w:t>
            </w:r>
          </w:p>
        </w:tc>
        <w:tc>
          <w:tcPr>
            <w:tcW w:w="1790" w:type="dxa"/>
          </w:tcPr>
          <w:p w14:paraId="3F9CE20E" w14:textId="77777777" w:rsidR="00F70062" w:rsidRDefault="00F70062" w:rsidP="00A037D3">
            <w:pPr>
              <w:jc w:val="both"/>
              <w:rPr>
                <w:rFonts w:ascii="Arial" w:hAnsi="Arial" w:cs="Arial"/>
                <w:sz w:val="20"/>
                <w:szCs w:val="20"/>
              </w:rPr>
            </w:pPr>
            <w:r>
              <w:rPr>
                <w:rFonts w:ascii="Arial" w:hAnsi="Arial" w:cs="Arial"/>
                <w:sz w:val="20"/>
                <w:szCs w:val="20"/>
              </w:rPr>
              <w:t>-11.793 – 16.590</w:t>
            </w:r>
          </w:p>
        </w:tc>
      </w:tr>
      <w:tr w:rsidR="007E2660" w:rsidRPr="00D10668" w14:paraId="4E67B5F5" w14:textId="77777777" w:rsidTr="000F544E">
        <w:tc>
          <w:tcPr>
            <w:tcW w:w="8931" w:type="dxa"/>
            <w:gridSpan w:val="6"/>
          </w:tcPr>
          <w:p w14:paraId="6F348F3B" w14:textId="00FE5C09" w:rsidR="007E2660" w:rsidRPr="00901F65" w:rsidRDefault="007E2660" w:rsidP="00A037D3">
            <w:pPr>
              <w:jc w:val="both"/>
              <w:rPr>
                <w:rFonts w:ascii="Arial" w:hAnsi="Arial" w:cs="Arial"/>
                <w:sz w:val="20"/>
                <w:szCs w:val="20"/>
                <w:u w:val="single"/>
              </w:rPr>
            </w:pPr>
            <w:r w:rsidRPr="00901F65">
              <w:rPr>
                <w:rFonts w:ascii="Arial" w:hAnsi="Arial" w:cs="Arial"/>
                <w:b/>
                <w:i/>
                <w:sz w:val="20"/>
                <w:szCs w:val="20"/>
                <w:u w:val="single"/>
              </w:rPr>
              <w:t>R</w:t>
            </w:r>
            <w:r w:rsidRPr="00901F65">
              <w:rPr>
                <w:rFonts w:ascii="Arial" w:hAnsi="Arial" w:cs="Arial"/>
                <w:b/>
                <w:i/>
                <w:sz w:val="20"/>
                <w:szCs w:val="20"/>
                <w:u w:val="single"/>
                <w:vertAlign w:val="superscript"/>
              </w:rPr>
              <w:t>2</w:t>
            </w:r>
            <w:r w:rsidRPr="00901F65">
              <w:rPr>
                <w:rFonts w:ascii="Arial" w:hAnsi="Arial" w:cs="Arial"/>
                <w:b/>
                <w:i/>
                <w:sz w:val="20"/>
                <w:szCs w:val="20"/>
                <w:u w:val="single"/>
              </w:rPr>
              <w:t xml:space="preserve"> = .</w:t>
            </w:r>
            <w:r>
              <w:rPr>
                <w:rFonts w:ascii="Arial" w:hAnsi="Arial" w:cs="Arial"/>
                <w:b/>
                <w:i/>
                <w:sz w:val="20"/>
                <w:szCs w:val="20"/>
                <w:u w:val="single"/>
              </w:rPr>
              <w:t>409</w:t>
            </w:r>
            <w:r>
              <w:rPr>
                <w:rFonts w:ascii="Arial" w:hAnsi="Arial" w:cs="Arial"/>
                <w:b/>
                <w:i/>
                <w:sz w:val="20"/>
                <w:szCs w:val="20"/>
              </w:rPr>
              <w:t xml:space="preserve">, </w:t>
            </w:r>
            <w:proofErr w:type="gramStart"/>
            <w:r>
              <w:rPr>
                <w:rFonts w:ascii="Arial" w:hAnsi="Arial" w:cs="Arial"/>
                <w:b/>
                <w:i/>
                <w:sz w:val="20"/>
                <w:szCs w:val="20"/>
              </w:rPr>
              <w:t>F(</w:t>
            </w:r>
            <w:proofErr w:type="gramEnd"/>
            <w:r w:rsidR="005F2726">
              <w:rPr>
                <w:rFonts w:ascii="Arial" w:hAnsi="Arial" w:cs="Arial"/>
                <w:b/>
                <w:i/>
                <w:sz w:val="20"/>
                <w:szCs w:val="20"/>
              </w:rPr>
              <w:t>8,</w:t>
            </w:r>
            <w:r w:rsidR="00D078E9">
              <w:rPr>
                <w:rFonts w:ascii="Arial" w:hAnsi="Arial" w:cs="Arial"/>
                <w:b/>
                <w:i/>
                <w:sz w:val="20"/>
                <w:szCs w:val="20"/>
              </w:rPr>
              <w:t>24</w:t>
            </w:r>
            <w:r>
              <w:rPr>
                <w:rFonts w:ascii="Arial" w:hAnsi="Arial" w:cs="Arial"/>
                <w:b/>
                <w:i/>
                <w:sz w:val="20"/>
                <w:szCs w:val="20"/>
              </w:rPr>
              <w:t>)=2.</w:t>
            </w:r>
            <w:r w:rsidR="005F2726">
              <w:rPr>
                <w:rFonts w:ascii="Arial" w:hAnsi="Arial" w:cs="Arial"/>
                <w:b/>
                <w:i/>
                <w:sz w:val="20"/>
                <w:szCs w:val="20"/>
              </w:rPr>
              <w:t>077</w:t>
            </w:r>
            <w:r>
              <w:rPr>
                <w:rFonts w:ascii="Arial" w:hAnsi="Arial" w:cs="Arial"/>
                <w:b/>
                <w:i/>
                <w:sz w:val="20"/>
                <w:szCs w:val="20"/>
              </w:rPr>
              <w:t>, p</w:t>
            </w:r>
            <w:r w:rsidR="005F2726">
              <w:rPr>
                <w:rFonts w:ascii="Arial" w:hAnsi="Arial" w:cs="Arial"/>
                <w:b/>
                <w:i/>
                <w:sz w:val="20"/>
                <w:szCs w:val="20"/>
              </w:rPr>
              <w:t>=.080</w:t>
            </w:r>
          </w:p>
        </w:tc>
      </w:tr>
      <w:tr w:rsidR="00F70062" w:rsidRPr="00D10668" w14:paraId="00A2B3E8" w14:textId="77777777" w:rsidTr="00A037D3">
        <w:tc>
          <w:tcPr>
            <w:tcW w:w="8931" w:type="dxa"/>
            <w:gridSpan w:val="6"/>
          </w:tcPr>
          <w:p w14:paraId="7BBC44A7" w14:textId="77777777" w:rsidR="00F70062" w:rsidRPr="00D10668" w:rsidRDefault="00F70062" w:rsidP="00A037D3">
            <w:pPr>
              <w:jc w:val="center"/>
              <w:rPr>
                <w:rFonts w:ascii="Arial" w:hAnsi="Arial" w:cs="Arial"/>
                <w:sz w:val="20"/>
                <w:szCs w:val="20"/>
              </w:rPr>
            </w:pPr>
            <w:r>
              <w:rPr>
                <w:rFonts w:ascii="Arial" w:hAnsi="Arial" w:cs="Arial"/>
                <w:b/>
                <w:i/>
                <w:sz w:val="20"/>
                <w:szCs w:val="20"/>
              </w:rPr>
              <w:t>GAD-7</w:t>
            </w:r>
          </w:p>
        </w:tc>
      </w:tr>
      <w:tr w:rsidR="00F70062" w:rsidRPr="00D10668" w14:paraId="73B06FDA" w14:textId="77777777" w:rsidTr="00A037D3">
        <w:tc>
          <w:tcPr>
            <w:tcW w:w="1990" w:type="dxa"/>
          </w:tcPr>
          <w:p w14:paraId="7CDC7ADB" w14:textId="77777777" w:rsidR="00F70062" w:rsidRPr="00901F65" w:rsidRDefault="00F70062" w:rsidP="00A037D3">
            <w:pPr>
              <w:rPr>
                <w:rFonts w:ascii="Arial" w:hAnsi="Arial" w:cs="Arial"/>
                <w:sz w:val="20"/>
                <w:szCs w:val="20"/>
              </w:rPr>
            </w:pPr>
            <w:r>
              <w:rPr>
                <w:rFonts w:ascii="Arial" w:hAnsi="Arial" w:cs="Arial"/>
                <w:sz w:val="20"/>
                <w:szCs w:val="20"/>
              </w:rPr>
              <w:t>Age</w:t>
            </w:r>
          </w:p>
        </w:tc>
        <w:tc>
          <w:tcPr>
            <w:tcW w:w="1238" w:type="dxa"/>
          </w:tcPr>
          <w:p w14:paraId="316230E0" w14:textId="37645B99" w:rsidR="00F70062" w:rsidRPr="00901F65" w:rsidRDefault="00F70062" w:rsidP="00A037D3">
            <w:pPr>
              <w:jc w:val="both"/>
              <w:rPr>
                <w:rFonts w:ascii="Arial" w:hAnsi="Arial" w:cs="Arial"/>
                <w:sz w:val="20"/>
                <w:szCs w:val="20"/>
              </w:rPr>
            </w:pPr>
            <w:r>
              <w:rPr>
                <w:rFonts w:ascii="Arial" w:hAnsi="Arial" w:cs="Arial"/>
                <w:sz w:val="20"/>
                <w:szCs w:val="20"/>
              </w:rPr>
              <w:t>-.03</w:t>
            </w:r>
            <w:r w:rsidR="000E27E3">
              <w:rPr>
                <w:rFonts w:ascii="Arial" w:hAnsi="Arial" w:cs="Arial"/>
                <w:sz w:val="20"/>
                <w:szCs w:val="20"/>
              </w:rPr>
              <w:t>9</w:t>
            </w:r>
          </w:p>
        </w:tc>
        <w:tc>
          <w:tcPr>
            <w:tcW w:w="1234" w:type="dxa"/>
          </w:tcPr>
          <w:p w14:paraId="1EF9D66C" w14:textId="33EBF89D" w:rsidR="00F70062" w:rsidRPr="00901F65" w:rsidRDefault="00F70062" w:rsidP="00A037D3">
            <w:pPr>
              <w:jc w:val="both"/>
              <w:rPr>
                <w:rFonts w:ascii="Arial" w:hAnsi="Arial" w:cs="Arial"/>
                <w:sz w:val="20"/>
                <w:szCs w:val="20"/>
              </w:rPr>
            </w:pPr>
            <w:r>
              <w:rPr>
                <w:rFonts w:ascii="Arial" w:hAnsi="Arial" w:cs="Arial"/>
                <w:sz w:val="20"/>
                <w:szCs w:val="20"/>
              </w:rPr>
              <w:t>.13</w:t>
            </w:r>
            <w:r w:rsidR="000E27E3">
              <w:rPr>
                <w:rFonts w:ascii="Arial" w:hAnsi="Arial" w:cs="Arial"/>
                <w:sz w:val="20"/>
                <w:szCs w:val="20"/>
              </w:rPr>
              <w:t>9</w:t>
            </w:r>
          </w:p>
        </w:tc>
        <w:tc>
          <w:tcPr>
            <w:tcW w:w="1196" w:type="dxa"/>
          </w:tcPr>
          <w:p w14:paraId="71A3A6ED" w14:textId="5E9649D1" w:rsidR="00F70062" w:rsidRPr="00901F65" w:rsidRDefault="00F70062" w:rsidP="00A037D3">
            <w:pPr>
              <w:jc w:val="both"/>
              <w:rPr>
                <w:rFonts w:ascii="Arial" w:hAnsi="Arial" w:cs="Arial"/>
                <w:sz w:val="20"/>
                <w:szCs w:val="20"/>
              </w:rPr>
            </w:pPr>
            <w:r>
              <w:rPr>
                <w:rFonts w:ascii="Arial" w:hAnsi="Arial" w:cs="Arial"/>
                <w:sz w:val="20"/>
                <w:szCs w:val="20"/>
              </w:rPr>
              <w:t>.</w:t>
            </w:r>
            <w:r w:rsidR="000E27E3">
              <w:rPr>
                <w:rFonts w:ascii="Arial" w:hAnsi="Arial" w:cs="Arial"/>
                <w:sz w:val="20"/>
                <w:szCs w:val="20"/>
              </w:rPr>
              <w:t>778</w:t>
            </w:r>
          </w:p>
        </w:tc>
        <w:tc>
          <w:tcPr>
            <w:tcW w:w="1483" w:type="dxa"/>
          </w:tcPr>
          <w:p w14:paraId="2E47CD0E" w14:textId="6C13F65B" w:rsidR="00F70062" w:rsidRPr="00901F65" w:rsidRDefault="00F70062" w:rsidP="00A037D3">
            <w:pPr>
              <w:jc w:val="both"/>
              <w:rPr>
                <w:rFonts w:ascii="Arial" w:hAnsi="Arial" w:cs="Arial"/>
                <w:sz w:val="20"/>
                <w:szCs w:val="20"/>
              </w:rPr>
            </w:pPr>
            <w:r>
              <w:rPr>
                <w:rFonts w:ascii="Arial" w:hAnsi="Arial" w:cs="Arial"/>
                <w:sz w:val="20"/>
                <w:szCs w:val="20"/>
              </w:rPr>
              <w:t>-.0</w:t>
            </w:r>
            <w:r w:rsidR="000E27E3">
              <w:rPr>
                <w:rFonts w:ascii="Arial" w:hAnsi="Arial" w:cs="Arial"/>
                <w:sz w:val="20"/>
                <w:szCs w:val="20"/>
              </w:rPr>
              <w:t>62</w:t>
            </w:r>
          </w:p>
        </w:tc>
        <w:tc>
          <w:tcPr>
            <w:tcW w:w="1790" w:type="dxa"/>
          </w:tcPr>
          <w:p w14:paraId="13926EC6" w14:textId="022A0CA1" w:rsidR="00F70062" w:rsidRPr="00901F65" w:rsidRDefault="00F70062" w:rsidP="00A037D3">
            <w:pPr>
              <w:jc w:val="both"/>
              <w:rPr>
                <w:rFonts w:ascii="Arial" w:hAnsi="Arial" w:cs="Arial"/>
                <w:sz w:val="20"/>
                <w:szCs w:val="20"/>
              </w:rPr>
            </w:pPr>
            <w:r>
              <w:rPr>
                <w:rFonts w:ascii="Arial" w:hAnsi="Arial" w:cs="Arial"/>
                <w:sz w:val="20"/>
                <w:szCs w:val="20"/>
              </w:rPr>
              <w:t>-.3</w:t>
            </w:r>
            <w:r w:rsidR="000E27E3">
              <w:rPr>
                <w:rFonts w:ascii="Arial" w:hAnsi="Arial" w:cs="Arial"/>
                <w:sz w:val="20"/>
                <w:szCs w:val="20"/>
              </w:rPr>
              <w:t>22</w:t>
            </w:r>
            <w:r>
              <w:rPr>
                <w:rFonts w:ascii="Arial" w:hAnsi="Arial" w:cs="Arial"/>
                <w:sz w:val="20"/>
                <w:szCs w:val="20"/>
              </w:rPr>
              <w:t xml:space="preserve"> - .24</w:t>
            </w:r>
            <w:r w:rsidR="000E27E3">
              <w:rPr>
                <w:rFonts w:ascii="Arial" w:hAnsi="Arial" w:cs="Arial"/>
                <w:sz w:val="20"/>
                <w:szCs w:val="20"/>
              </w:rPr>
              <w:t>3</w:t>
            </w:r>
          </w:p>
        </w:tc>
      </w:tr>
      <w:tr w:rsidR="00F70062" w:rsidRPr="00D10668" w14:paraId="66C5FBB2" w14:textId="77777777" w:rsidTr="00A037D3">
        <w:tc>
          <w:tcPr>
            <w:tcW w:w="1990" w:type="dxa"/>
          </w:tcPr>
          <w:p w14:paraId="52BFFACD" w14:textId="77777777" w:rsidR="00F70062" w:rsidRPr="00901F65" w:rsidRDefault="00F70062" w:rsidP="00A037D3">
            <w:pPr>
              <w:rPr>
                <w:rFonts w:ascii="Arial" w:hAnsi="Arial" w:cs="Arial"/>
                <w:sz w:val="20"/>
                <w:szCs w:val="20"/>
              </w:rPr>
            </w:pPr>
            <w:r>
              <w:rPr>
                <w:rFonts w:ascii="Arial" w:hAnsi="Arial" w:cs="Arial"/>
                <w:sz w:val="20"/>
                <w:szCs w:val="20"/>
              </w:rPr>
              <w:t>Gender</w:t>
            </w:r>
          </w:p>
        </w:tc>
        <w:tc>
          <w:tcPr>
            <w:tcW w:w="1238" w:type="dxa"/>
          </w:tcPr>
          <w:p w14:paraId="2A056703" w14:textId="29919BCD" w:rsidR="00F70062" w:rsidRPr="00901F65" w:rsidRDefault="00F70062" w:rsidP="00A037D3">
            <w:pPr>
              <w:jc w:val="both"/>
              <w:rPr>
                <w:rFonts w:ascii="Arial" w:hAnsi="Arial" w:cs="Arial"/>
                <w:sz w:val="20"/>
                <w:szCs w:val="20"/>
              </w:rPr>
            </w:pPr>
            <w:r>
              <w:rPr>
                <w:rFonts w:ascii="Arial" w:hAnsi="Arial" w:cs="Arial"/>
                <w:sz w:val="20"/>
                <w:szCs w:val="20"/>
              </w:rPr>
              <w:t>-.</w:t>
            </w:r>
            <w:r w:rsidR="000E27E3">
              <w:rPr>
                <w:rFonts w:ascii="Arial" w:hAnsi="Arial" w:cs="Arial"/>
                <w:sz w:val="20"/>
                <w:szCs w:val="20"/>
              </w:rPr>
              <w:t>574</w:t>
            </w:r>
          </w:p>
        </w:tc>
        <w:tc>
          <w:tcPr>
            <w:tcW w:w="1234" w:type="dxa"/>
          </w:tcPr>
          <w:p w14:paraId="2C4D9E15" w14:textId="7F72314C" w:rsidR="00F70062" w:rsidRPr="00901F65" w:rsidRDefault="00F70062" w:rsidP="00A037D3">
            <w:pPr>
              <w:jc w:val="both"/>
              <w:rPr>
                <w:rFonts w:ascii="Arial" w:hAnsi="Arial" w:cs="Arial"/>
                <w:sz w:val="20"/>
                <w:szCs w:val="20"/>
              </w:rPr>
            </w:pPr>
            <w:r>
              <w:rPr>
                <w:rFonts w:ascii="Arial" w:hAnsi="Arial" w:cs="Arial"/>
                <w:sz w:val="20"/>
                <w:szCs w:val="20"/>
              </w:rPr>
              <w:t>1.5</w:t>
            </w:r>
            <w:r w:rsidR="000E27E3">
              <w:rPr>
                <w:rFonts w:ascii="Arial" w:hAnsi="Arial" w:cs="Arial"/>
                <w:sz w:val="20"/>
                <w:szCs w:val="20"/>
              </w:rPr>
              <w:t>91</w:t>
            </w:r>
          </w:p>
        </w:tc>
        <w:tc>
          <w:tcPr>
            <w:tcW w:w="1196" w:type="dxa"/>
          </w:tcPr>
          <w:p w14:paraId="38B643C0" w14:textId="62893555" w:rsidR="00F70062" w:rsidRPr="00901F65" w:rsidRDefault="00F70062" w:rsidP="00A037D3">
            <w:pPr>
              <w:jc w:val="both"/>
              <w:rPr>
                <w:rFonts w:ascii="Arial" w:hAnsi="Arial" w:cs="Arial"/>
                <w:sz w:val="20"/>
                <w:szCs w:val="20"/>
              </w:rPr>
            </w:pPr>
            <w:r>
              <w:rPr>
                <w:rFonts w:ascii="Arial" w:hAnsi="Arial" w:cs="Arial"/>
                <w:sz w:val="20"/>
                <w:szCs w:val="20"/>
              </w:rPr>
              <w:t>.</w:t>
            </w:r>
            <w:r w:rsidR="000E27E3">
              <w:rPr>
                <w:rFonts w:ascii="Arial" w:hAnsi="Arial" w:cs="Arial"/>
                <w:sz w:val="20"/>
                <w:szCs w:val="20"/>
              </w:rPr>
              <w:t>721</w:t>
            </w:r>
          </w:p>
        </w:tc>
        <w:tc>
          <w:tcPr>
            <w:tcW w:w="1483" w:type="dxa"/>
          </w:tcPr>
          <w:p w14:paraId="4351F876" w14:textId="6135449C" w:rsidR="00F70062" w:rsidRPr="00901F65" w:rsidRDefault="00F70062" w:rsidP="00A037D3">
            <w:pPr>
              <w:jc w:val="both"/>
              <w:rPr>
                <w:rFonts w:ascii="Arial" w:hAnsi="Arial" w:cs="Arial"/>
                <w:sz w:val="20"/>
                <w:szCs w:val="20"/>
              </w:rPr>
            </w:pPr>
            <w:r>
              <w:rPr>
                <w:rFonts w:ascii="Arial" w:hAnsi="Arial" w:cs="Arial"/>
                <w:sz w:val="20"/>
                <w:szCs w:val="20"/>
              </w:rPr>
              <w:t>-.0</w:t>
            </w:r>
            <w:r w:rsidR="000E27E3">
              <w:rPr>
                <w:rFonts w:ascii="Arial" w:hAnsi="Arial" w:cs="Arial"/>
                <w:sz w:val="20"/>
                <w:szCs w:val="20"/>
              </w:rPr>
              <w:t>59</w:t>
            </w:r>
          </w:p>
        </w:tc>
        <w:tc>
          <w:tcPr>
            <w:tcW w:w="1790" w:type="dxa"/>
          </w:tcPr>
          <w:p w14:paraId="3AB5AD4B" w14:textId="0B650E45" w:rsidR="00F70062" w:rsidRPr="00901F65" w:rsidRDefault="00F70062" w:rsidP="00A037D3">
            <w:pPr>
              <w:jc w:val="both"/>
              <w:rPr>
                <w:rFonts w:ascii="Arial" w:hAnsi="Arial" w:cs="Arial"/>
                <w:sz w:val="20"/>
                <w:szCs w:val="20"/>
              </w:rPr>
            </w:pPr>
            <w:r>
              <w:rPr>
                <w:rFonts w:ascii="Arial" w:hAnsi="Arial" w:cs="Arial"/>
                <w:sz w:val="20"/>
                <w:szCs w:val="20"/>
              </w:rPr>
              <w:t>-3.8</w:t>
            </w:r>
            <w:r w:rsidR="000E27E3">
              <w:rPr>
                <w:rFonts w:ascii="Arial" w:hAnsi="Arial" w:cs="Arial"/>
                <w:sz w:val="20"/>
                <w:szCs w:val="20"/>
              </w:rPr>
              <w:t>16</w:t>
            </w:r>
            <w:r>
              <w:rPr>
                <w:rFonts w:ascii="Arial" w:hAnsi="Arial" w:cs="Arial"/>
                <w:sz w:val="20"/>
                <w:szCs w:val="20"/>
              </w:rPr>
              <w:t xml:space="preserve"> – 2.</w:t>
            </w:r>
            <w:r w:rsidR="000E27E3">
              <w:rPr>
                <w:rFonts w:ascii="Arial" w:hAnsi="Arial" w:cs="Arial"/>
                <w:sz w:val="20"/>
                <w:szCs w:val="20"/>
              </w:rPr>
              <w:t>667</w:t>
            </w:r>
          </w:p>
        </w:tc>
      </w:tr>
      <w:tr w:rsidR="00F70062" w:rsidRPr="00D10668" w14:paraId="640DAC91" w14:textId="77777777" w:rsidTr="00A037D3">
        <w:tc>
          <w:tcPr>
            <w:tcW w:w="1990" w:type="dxa"/>
          </w:tcPr>
          <w:p w14:paraId="5455D99E" w14:textId="77777777" w:rsidR="00F70062" w:rsidRPr="00901F65" w:rsidRDefault="00F70062" w:rsidP="00A037D3">
            <w:pPr>
              <w:rPr>
                <w:rFonts w:ascii="Arial" w:hAnsi="Arial" w:cs="Arial"/>
                <w:sz w:val="20"/>
                <w:szCs w:val="20"/>
              </w:rPr>
            </w:pPr>
            <w:r>
              <w:rPr>
                <w:rFonts w:ascii="Arial" w:hAnsi="Arial" w:cs="Arial"/>
                <w:sz w:val="20"/>
                <w:szCs w:val="20"/>
              </w:rPr>
              <w:t>Years of education</w:t>
            </w:r>
          </w:p>
        </w:tc>
        <w:tc>
          <w:tcPr>
            <w:tcW w:w="1238" w:type="dxa"/>
          </w:tcPr>
          <w:p w14:paraId="7C8A6932" w14:textId="32132B11" w:rsidR="00F70062" w:rsidRPr="00901F65" w:rsidRDefault="00F70062" w:rsidP="00A037D3">
            <w:pPr>
              <w:jc w:val="both"/>
              <w:rPr>
                <w:rFonts w:ascii="Arial" w:hAnsi="Arial" w:cs="Arial"/>
                <w:sz w:val="20"/>
                <w:szCs w:val="20"/>
              </w:rPr>
            </w:pPr>
            <w:r>
              <w:rPr>
                <w:rFonts w:ascii="Arial" w:hAnsi="Arial" w:cs="Arial"/>
                <w:sz w:val="20"/>
                <w:szCs w:val="20"/>
              </w:rPr>
              <w:t>.0</w:t>
            </w:r>
            <w:r w:rsidR="000E27E3">
              <w:rPr>
                <w:rFonts w:ascii="Arial" w:hAnsi="Arial" w:cs="Arial"/>
                <w:sz w:val="20"/>
                <w:szCs w:val="20"/>
              </w:rPr>
              <w:t>44</w:t>
            </w:r>
          </w:p>
        </w:tc>
        <w:tc>
          <w:tcPr>
            <w:tcW w:w="1234" w:type="dxa"/>
          </w:tcPr>
          <w:p w14:paraId="64F2AB75" w14:textId="00D15ED4" w:rsidR="00F70062" w:rsidRPr="00901F65" w:rsidRDefault="00F70062" w:rsidP="00A037D3">
            <w:pPr>
              <w:jc w:val="both"/>
              <w:rPr>
                <w:rFonts w:ascii="Arial" w:hAnsi="Arial" w:cs="Arial"/>
                <w:sz w:val="20"/>
                <w:szCs w:val="20"/>
              </w:rPr>
            </w:pPr>
            <w:r>
              <w:rPr>
                <w:rFonts w:ascii="Arial" w:hAnsi="Arial" w:cs="Arial"/>
                <w:sz w:val="20"/>
                <w:szCs w:val="20"/>
              </w:rPr>
              <w:t>.26</w:t>
            </w:r>
            <w:r w:rsidR="000E27E3">
              <w:rPr>
                <w:rFonts w:ascii="Arial" w:hAnsi="Arial" w:cs="Arial"/>
                <w:sz w:val="20"/>
                <w:szCs w:val="20"/>
              </w:rPr>
              <w:t>7</w:t>
            </w:r>
          </w:p>
        </w:tc>
        <w:tc>
          <w:tcPr>
            <w:tcW w:w="1196" w:type="dxa"/>
          </w:tcPr>
          <w:p w14:paraId="4CA890ED" w14:textId="3B8C7617" w:rsidR="00F70062" w:rsidRPr="00901F65" w:rsidRDefault="00F70062" w:rsidP="00A037D3">
            <w:pPr>
              <w:jc w:val="both"/>
              <w:rPr>
                <w:rFonts w:ascii="Arial" w:hAnsi="Arial" w:cs="Arial"/>
                <w:sz w:val="20"/>
                <w:szCs w:val="20"/>
              </w:rPr>
            </w:pPr>
            <w:r>
              <w:rPr>
                <w:rFonts w:ascii="Arial" w:hAnsi="Arial" w:cs="Arial"/>
                <w:sz w:val="20"/>
                <w:szCs w:val="20"/>
              </w:rPr>
              <w:t>.8</w:t>
            </w:r>
            <w:r w:rsidR="000E27E3">
              <w:rPr>
                <w:rFonts w:ascii="Arial" w:hAnsi="Arial" w:cs="Arial"/>
                <w:sz w:val="20"/>
                <w:szCs w:val="20"/>
              </w:rPr>
              <w:t>70</w:t>
            </w:r>
          </w:p>
        </w:tc>
        <w:tc>
          <w:tcPr>
            <w:tcW w:w="1483" w:type="dxa"/>
          </w:tcPr>
          <w:p w14:paraId="79CCC3BD" w14:textId="257268C0" w:rsidR="00F70062" w:rsidRPr="00901F65" w:rsidRDefault="00F70062" w:rsidP="00A037D3">
            <w:pPr>
              <w:jc w:val="both"/>
              <w:rPr>
                <w:rFonts w:ascii="Arial" w:hAnsi="Arial" w:cs="Arial"/>
                <w:sz w:val="20"/>
                <w:szCs w:val="20"/>
              </w:rPr>
            </w:pPr>
            <w:r>
              <w:rPr>
                <w:rFonts w:ascii="Arial" w:hAnsi="Arial" w:cs="Arial"/>
                <w:sz w:val="20"/>
                <w:szCs w:val="20"/>
              </w:rPr>
              <w:t>.0</w:t>
            </w:r>
            <w:r w:rsidR="000E27E3">
              <w:rPr>
                <w:rFonts w:ascii="Arial" w:hAnsi="Arial" w:cs="Arial"/>
                <w:sz w:val="20"/>
                <w:szCs w:val="20"/>
              </w:rPr>
              <w:t>34</w:t>
            </w:r>
          </w:p>
        </w:tc>
        <w:tc>
          <w:tcPr>
            <w:tcW w:w="1790" w:type="dxa"/>
          </w:tcPr>
          <w:p w14:paraId="3F7E1C3A" w14:textId="7F40CFFE" w:rsidR="00F70062" w:rsidRPr="00901F65" w:rsidRDefault="00F70062" w:rsidP="00A037D3">
            <w:pPr>
              <w:jc w:val="both"/>
              <w:rPr>
                <w:rFonts w:ascii="Arial" w:hAnsi="Arial" w:cs="Arial"/>
                <w:sz w:val="20"/>
                <w:szCs w:val="20"/>
              </w:rPr>
            </w:pPr>
            <w:r>
              <w:rPr>
                <w:rFonts w:ascii="Arial" w:hAnsi="Arial" w:cs="Arial"/>
                <w:sz w:val="20"/>
                <w:szCs w:val="20"/>
              </w:rPr>
              <w:t>-.</w:t>
            </w:r>
            <w:r w:rsidR="000E27E3">
              <w:rPr>
                <w:rFonts w:ascii="Arial" w:hAnsi="Arial" w:cs="Arial"/>
                <w:sz w:val="20"/>
                <w:szCs w:val="20"/>
              </w:rPr>
              <w:t>500</w:t>
            </w:r>
            <w:r>
              <w:rPr>
                <w:rFonts w:ascii="Arial" w:hAnsi="Arial" w:cs="Arial"/>
                <w:sz w:val="20"/>
                <w:szCs w:val="20"/>
              </w:rPr>
              <w:t xml:space="preserve"> - .587</w:t>
            </w:r>
          </w:p>
        </w:tc>
      </w:tr>
      <w:tr w:rsidR="00F70062" w:rsidRPr="00D10668" w14:paraId="20329573" w14:textId="77777777" w:rsidTr="00A037D3">
        <w:tc>
          <w:tcPr>
            <w:tcW w:w="1990" w:type="dxa"/>
          </w:tcPr>
          <w:p w14:paraId="7BA22C29" w14:textId="77777777" w:rsidR="00F70062" w:rsidRPr="00901F65" w:rsidRDefault="00F70062" w:rsidP="00A037D3">
            <w:pPr>
              <w:rPr>
                <w:rFonts w:ascii="Arial" w:hAnsi="Arial" w:cs="Arial"/>
                <w:sz w:val="20"/>
                <w:szCs w:val="20"/>
              </w:rPr>
            </w:pPr>
            <w:r>
              <w:rPr>
                <w:rFonts w:ascii="Arial" w:hAnsi="Arial" w:cs="Arial"/>
                <w:sz w:val="20"/>
                <w:szCs w:val="20"/>
              </w:rPr>
              <w:t>Living situation</w:t>
            </w:r>
          </w:p>
        </w:tc>
        <w:tc>
          <w:tcPr>
            <w:tcW w:w="1238" w:type="dxa"/>
          </w:tcPr>
          <w:p w14:paraId="178519E8" w14:textId="1DDFB4AA" w:rsidR="00F70062" w:rsidRPr="00901F65" w:rsidRDefault="00F70062" w:rsidP="00A037D3">
            <w:pPr>
              <w:jc w:val="both"/>
              <w:rPr>
                <w:rFonts w:ascii="Arial" w:hAnsi="Arial" w:cs="Arial"/>
                <w:sz w:val="20"/>
                <w:szCs w:val="20"/>
              </w:rPr>
            </w:pPr>
            <w:r>
              <w:rPr>
                <w:rFonts w:ascii="Arial" w:hAnsi="Arial" w:cs="Arial"/>
                <w:sz w:val="20"/>
                <w:szCs w:val="20"/>
              </w:rPr>
              <w:t>-.4</w:t>
            </w:r>
            <w:r w:rsidR="000E27E3">
              <w:rPr>
                <w:rFonts w:ascii="Arial" w:hAnsi="Arial" w:cs="Arial"/>
                <w:sz w:val="20"/>
                <w:szCs w:val="20"/>
              </w:rPr>
              <w:t>02</w:t>
            </w:r>
          </w:p>
        </w:tc>
        <w:tc>
          <w:tcPr>
            <w:tcW w:w="1234" w:type="dxa"/>
          </w:tcPr>
          <w:p w14:paraId="683F9A3E" w14:textId="67AF8E7C" w:rsidR="00F70062" w:rsidRPr="00901F65" w:rsidRDefault="00F70062" w:rsidP="00A037D3">
            <w:pPr>
              <w:jc w:val="both"/>
              <w:rPr>
                <w:rFonts w:ascii="Arial" w:hAnsi="Arial" w:cs="Arial"/>
                <w:sz w:val="20"/>
                <w:szCs w:val="20"/>
              </w:rPr>
            </w:pPr>
            <w:r>
              <w:rPr>
                <w:rFonts w:ascii="Arial" w:hAnsi="Arial" w:cs="Arial"/>
                <w:sz w:val="20"/>
                <w:szCs w:val="20"/>
              </w:rPr>
              <w:t>1.6</w:t>
            </w:r>
            <w:r w:rsidR="000E27E3">
              <w:rPr>
                <w:rFonts w:ascii="Arial" w:hAnsi="Arial" w:cs="Arial"/>
                <w:sz w:val="20"/>
                <w:szCs w:val="20"/>
              </w:rPr>
              <w:t>62</w:t>
            </w:r>
          </w:p>
        </w:tc>
        <w:tc>
          <w:tcPr>
            <w:tcW w:w="1196" w:type="dxa"/>
          </w:tcPr>
          <w:p w14:paraId="6B0D28DE" w14:textId="402D81A6" w:rsidR="00F70062" w:rsidRPr="00901F65" w:rsidRDefault="00F70062" w:rsidP="00A037D3">
            <w:pPr>
              <w:jc w:val="both"/>
              <w:rPr>
                <w:rFonts w:ascii="Arial" w:hAnsi="Arial" w:cs="Arial"/>
                <w:sz w:val="20"/>
                <w:szCs w:val="20"/>
              </w:rPr>
            </w:pPr>
            <w:r>
              <w:rPr>
                <w:rFonts w:ascii="Arial" w:hAnsi="Arial" w:cs="Arial"/>
                <w:sz w:val="20"/>
                <w:szCs w:val="20"/>
              </w:rPr>
              <w:t>.</w:t>
            </w:r>
            <w:r w:rsidR="000E27E3">
              <w:rPr>
                <w:rFonts w:ascii="Arial" w:hAnsi="Arial" w:cs="Arial"/>
                <w:sz w:val="20"/>
                <w:szCs w:val="20"/>
              </w:rPr>
              <w:t>810</w:t>
            </w:r>
          </w:p>
        </w:tc>
        <w:tc>
          <w:tcPr>
            <w:tcW w:w="1483" w:type="dxa"/>
          </w:tcPr>
          <w:p w14:paraId="72E5BF83" w14:textId="0DF96950" w:rsidR="00F70062" w:rsidRPr="00901F65" w:rsidRDefault="00F70062" w:rsidP="00A037D3">
            <w:pPr>
              <w:jc w:val="both"/>
              <w:rPr>
                <w:rFonts w:ascii="Arial" w:hAnsi="Arial" w:cs="Arial"/>
                <w:sz w:val="20"/>
                <w:szCs w:val="20"/>
              </w:rPr>
            </w:pPr>
            <w:r>
              <w:rPr>
                <w:rFonts w:ascii="Arial" w:hAnsi="Arial" w:cs="Arial"/>
                <w:sz w:val="20"/>
                <w:szCs w:val="20"/>
              </w:rPr>
              <w:t>-.0</w:t>
            </w:r>
            <w:r w:rsidR="000E27E3">
              <w:rPr>
                <w:rFonts w:ascii="Arial" w:hAnsi="Arial" w:cs="Arial"/>
                <w:sz w:val="20"/>
                <w:szCs w:val="20"/>
              </w:rPr>
              <w:t>45</w:t>
            </w:r>
          </w:p>
        </w:tc>
        <w:tc>
          <w:tcPr>
            <w:tcW w:w="1790" w:type="dxa"/>
          </w:tcPr>
          <w:p w14:paraId="72F0EFF6" w14:textId="2E5642CE" w:rsidR="00F70062" w:rsidRPr="00901F65" w:rsidRDefault="00F70062" w:rsidP="00A037D3">
            <w:pPr>
              <w:jc w:val="both"/>
              <w:rPr>
                <w:rFonts w:ascii="Arial" w:hAnsi="Arial" w:cs="Arial"/>
                <w:sz w:val="20"/>
                <w:szCs w:val="20"/>
              </w:rPr>
            </w:pPr>
            <w:r>
              <w:rPr>
                <w:rFonts w:ascii="Arial" w:hAnsi="Arial" w:cs="Arial"/>
                <w:sz w:val="20"/>
                <w:szCs w:val="20"/>
              </w:rPr>
              <w:t>-3.78</w:t>
            </w:r>
            <w:r w:rsidR="000E27E3">
              <w:rPr>
                <w:rFonts w:ascii="Arial" w:hAnsi="Arial" w:cs="Arial"/>
                <w:sz w:val="20"/>
                <w:szCs w:val="20"/>
              </w:rPr>
              <w:t>7</w:t>
            </w:r>
            <w:r>
              <w:rPr>
                <w:rFonts w:ascii="Arial" w:hAnsi="Arial" w:cs="Arial"/>
                <w:sz w:val="20"/>
                <w:szCs w:val="20"/>
              </w:rPr>
              <w:t xml:space="preserve"> – 2.</w:t>
            </w:r>
            <w:r w:rsidR="000E27E3">
              <w:rPr>
                <w:rFonts w:ascii="Arial" w:hAnsi="Arial" w:cs="Arial"/>
                <w:sz w:val="20"/>
                <w:szCs w:val="20"/>
              </w:rPr>
              <w:t>982</w:t>
            </w:r>
          </w:p>
        </w:tc>
      </w:tr>
      <w:tr w:rsidR="00F70062" w:rsidRPr="00D10668" w14:paraId="2482D13F" w14:textId="77777777" w:rsidTr="00A037D3">
        <w:tc>
          <w:tcPr>
            <w:tcW w:w="1990" w:type="dxa"/>
          </w:tcPr>
          <w:p w14:paraId="4F9C119A" w14:textId="77777777" w:rsidR="00F70062" w:rsidRPr="00901F65" w:rsidRDefault="00F70062" w:rsidP="00A037D3">
            <w:pPr>
              <w:rPr>
                <w:rFonts w:ascii="Arial" w:hAnsi="Arial" w:cs="Arial"/>
                <w:sz w:val="20"/>
                <w:szCs w:val="20"/>
              </w:rPr>
            </w:pPr>
            <w:r w:rsidRPr="00D10668">
              <w:rPr>
                <w:rFonts w:ascii="Arial" w:hAnsi="Arial" w:cs="Arial"/>
                <w:sz w:val="20"/>
                <w:szCs w:val="20"/>
              </w:rPr>
              <w:t>Variation in social support service hours</w:t>
            </w:r>
          </w:p>
        </w:tc>
        <w:tc>
          <w:tcPr>
            <w:tcW w:w="1238" w:type="dxa"/>
          </w:tcPr>
          <w:p w14:paraId="315C1CF5" w14:textId="7EAC3135" w:rsidR="00F70062" w:rsidRPr="00901F65" w:rsidRDefault="00F70062" w:rsidP="00A037D3">
            <w:pPr>
              <w:jc w:val="both"/>
              <w:rPr>
                <w:rFonts w:ascii="Arial" w:hAnsi="Arial" w:cs="Arial"/>
                <w:sz w:val="20"/>
                <w:szCs w:val="20"/>
              </w:rPr>
            </w:pPr>
            <w:r>
              <w:rPr>
                <w:rFonts w:ascii="Arial" w:hAnsi="Arial" w:cs="Arial"/>
                <w:sz w:val="20"/>
                <w:szCs w:val="20"/>
              </w:rPr>
              <w:t>.</w:t>
            </w:r>
            <w:r w:rsidR="000E27E3">
              <w:rPr>
                <w:rFonts w:ascii="Arial" w:hAnsi="Arial" w:cs="Arial"/>
                <w:sz w:val="20"/>
                <w:szCs w:val="20"/>
              </w:rPr>
              <w:t>297</w:t>
            </w:r>
          </w:p>
        </w:tc>
        <w:tc>
          <w:tcPr>
            <w:tcW w:w="1234" w:type="dxa"/>
          </w:tcPr>
          <w:p w14:paraId="35CFBEF1" w14:textId="00165B96" w:rsidR="00F70062" w:rsidRPr="00901F65" w:rsidRDefault="00F70062" w:rsidP="00A037D3">
            <w:pPr>
              <w:jc w:val="both"/>
              <w:rPr>
                <w:rFonts w:ascii="Arial" w:hAnsi="Arial" w:cs="Arial"/>
                <w:sz w:val="20"/>
                <w:szCs w:val="20"/>
              </w:rPr>
            </w:pPr>
            <w:r>
              <w:rPr>
                <w:rFonts w:ascii="Arial" w:hAnsi="Arial" w:cs="Arial"/>
                <w:sz w:val="20"/>
                <w:szCs w:val="20"/>
              </w:rPr>
              <w:t>.1</w:t>
            </w:r>
            <w:r w:rsidR="000E27E3">
              <w:rPr>
                <w:rFonts w:ascii="Arial" w:hAnsi="Arial" w:cs="Arial"/>
                <w:sz w:val="20"/>
                <w:szCs w:val="20"/>
              </w:rPr>
              <w:t>20</w:t>
            </w:r>
          </w:p>
        </w:tc>
        <w:tc>
          <w:tcPr>
            <w:tcW w:w="1196" w:type="dxa"/>
          </w:tcPr>
          <w:p w14:paraId="7DDCF884" w14:textId="28CDF779" w:rsidR="00F70062" w:rsidRPr="003E59EA" w:rsidRDefault="00F70062" w:rsidP="00A037D3">
            <w:pPr>
              <w:jc w:val="both"/>
              <w:rPr>
                <w:rFonts w:ascii="Arial" w:hAnsi="Arial" w:cs="Arial"/>
                <w:b/>
                <w:sz w:val="20"/>
                <w:szCs w:val="20"/>
              </w:rPr>
            </w:pPr>
            <w:r w:rsidRPr="003E59EA">
              <w:rPr>
                <w:rFonts w:ascii="Arial" w:hAnsi="Arial" w:cs="Arial"/>
                <w:b/>
                <w:sz w:val="20"/>
                <w:szCs w:val="20"/>
              </w:rPr>
              <w:t>.01</w:t>
            </w:r>
            <w:r w:rsidR="000E27E3">
              <w:rPr>
                <w:rFonts w:ascii="Arial" w:hAnsi="Arial" w:cs="Arial"/>
                <w:b/>
                <w:sz w:val="20"/>
                <w:szCs w:val="20"/>
              </w:rPr>
              <w:t>9</w:t>
            </w:r>
          </w:p>
        </w:tc>
        <w:tc>
          <w:tcPr>
            <w:tcW w:w="1483" w:type="dxa"/>
          </w:tcPr>
          <w:p w14:paraId="2136DF69" w14:textId="0510DF06" w:rsidR="00F70062" w:rsidRPr="00901F65" w:rsidRDefault="00F70062" w:rsidP="00A037D3">
            <w:pPr>
              <w:jc w:val="both"/>
              <w:rPr>
                <w:rFonts w:ascii="Arial" w:hAnsi="Arial" w:cs="Arial"/>
                <w:sz w:val="20"/>
                <w:szCs w:val="20"/>
              </w:rPr>
            </w:pPr>
            <w:r>
              <w:rPr>
                <w:rFonts w:ascii="Arial" w:hAnsi="Arial" w:cs="Arial"/>
                <w:sz w:val="20"/>
                <w:szCs w:val="20"/>
              </w:rPr>
              <w:t>.4</w:t>
            </w:r>
            <w:r w:rsidR="000E27E3">
              <w:rPr>
                <w:rFonts w:ascii="Arial" w:hAnsi="Arial" w:cs="Arial"/>
                <w:sz w:val="20"/>
                <w:szCs w:val="20"/>
              </w:rPr>
              <w:t>15</w:t>
            </w:r>
          </w:p>
        </w:tc>
        <w:tc>
          <w:tcPr>
            <w:tcW w:w="1790" w:type="dxa"/>
          </w:tcPr>
          <w:p w14:paraId="51257192" w14:textId="393ED3DE" w:rsidR="00F70062" w:rsidRPr="00901F65" w:rsidRDefault="00F70062" w:rsidP="00A037D3">
            <w:pPr>
              <w:jc w:val="both"/>
              <w:rPr>
                <w:rFonts w:ascii="Arial" w:hAnsi="Arial" w:cs="Arial"/>
                <w:sz w:val="20"/>
                <w:szCs w:val="20"/>
              </w:rPr>
            </w:pPr>
            <w:r>
              <w:rPr>
                <w:rFonts w:ascii="Arial" w:hAnsi="Arial" w:cs="Arial"/>
                <w:sz w:val="20"/>
                <w:szCs w:val="20"/>
              </w:rPr>
              <w:t>.0</w:t>
            </w:r>
            <w:r w:rsidR="000E27E3">
              <w:rPr>
                <w:rFonts w:ascii="Arial" w:hAnsi="Arial" w:cs="Arial"/>
                <w:sz w:val="20"/>
                <w:szCs w:val="20"/>
              </w:rPr>
              <w:t>52</w:t>
            </w:r>
            <w:r>
              <w:rPr>
                <w:rFonts w:ascii="Arial" w:hAnsi="Arial" w:cs="Arial"/>
                <w:sz w:val="20"/>
                <w:szCs w:val="20"/>
              </w:rPr>
              <w:t xml:space="preserve"> - .5</w:t>
            </w:r>
            <w:r w:rsidR="000E27E3">
              <w:rPr>
                <w:rFonts w:ascii="Arial" w:hAnsi="Arial" w:cs="Arial"/>
                <w:sz w:val="20"/>
                <w:szCs w:val="20"/>
              </w:rPr>
              <w:t>42</w:t>
            </w:r>
          </w:p>
        </w:tc>
      </w:tr>
      <w:tr w:rsidR="00AB3995" w:rsidRPr="00D10668" w14:paraId="57CCC174" w14:textId="77777777" w:rsidTr="00DB2B76">
        <w:tc>
          <w:tcPr>
            <w:tcW w:w="8931" w:type="dxa"/>
            <w:gridSpan w:val="6"/>
          </w:tcPr>
          <w:p w14:paraId="2A4C9A6B" w14:textId="3081DC9C" w:rsidR="00AB3995" w:rsidRPr="00AB3995" w:rsidRDefault="00AB3995" w:rsidP="00A037D3">
            <w:pPr>
              <w:jc w:val="both"/>
              <w:rPr>
                <w:rFonts w:ascii="Arial" w:hAnsi="Arial" w:cs="Arial"/>
                <w:sz w:val="20"/>
                <w:szCs w:val="20"/>
              </w:rPr>
            </w:pPr>
            <w:r w:rsidRPr="00901F65">
              <w:rPr>
                <w:rFonts w:ascii="Arial" w:hAnsi="Arial" w:cs="Arial"/>
                <w:b/>
                <w:i/>
                <w:sz w:val="20"/>
                <w:szCs w:val="20"/>
                <w:u w:val="single"/>
              </w:rPr>
              <w:t>R</w:t>
            </w:r>
            <w:r w:rsidRPr="00901F65">
              <w:rPr>
                <w:rFonts w:ascii="Arial" w:hAnsi="Arial" w:cs="Arial"/>
                <w:b/>
                <w:i/>
                <w:sz w:val="20"/>
                <w:szCs w:val="20"/>
                <w:u w:val="single"/>
                <w:vertAlign w:val="superscript"/>
              </w:rPr>
              <w:t>2</w:t>
            </w:r>
            <w:r w:rsidRPr="00901F65">
              <w:rPr>
                <w:rFonts w:ascii="Arial" w:hAnsi="Arial" w:cs="Arial"/>
                <w:b/>
                <w:i/>
                <w:sz w:val="20"/>
                <w:szCs w:val="20"/>
                <w:u w:val="single"/>
              </w:rPr>
              <w:t xml:space="preserve"> = .1</w:t>
            </w:r>
            <w:r>
              <w:rPr>
                <w:rFonts w:ascii="Arial" w:hAnsi="Arial" w:cs="Arial"/>
                <w:b/>
                <w:i/>
                <w:sz w:val="20"/>
                <w:szCs w:val="20"/>
                <w:u w:val="single"/>
              </w:rPr>
              <w:t>63</w:t>
            </w:r>
            <w:r>
              <w:rPr>
                <w:rFonts w:ascii="Arial" w:hAnsi="Arial" w:cs="Arial"/>
                <w:b/>
                <w:i/>
                <w:sz w:val="20"/>
                <w:szCs w:val="20"/>
              </w:rPr>
              <w:t xml:space="preserve">, </w:t>
            </w:r>
            <w:proofErr w:type="gramStart"/>
            <w:r>
              <w:rPr>
                <w:rFonts w:ascii="Arial" w:hAnsi="Arial" w:cs="Arial"/>
                <w:b/>
                <w:i/>
                <w:sz w:val="20"/>
                <w:szCs w:val="20"/>
              </w:rPr>
              <w:t>F(</w:t>
            </w:r>
            <w:proofErr w:type="gramEnd"/>
            <w:r>
              <w:rPr>
                <w:rFonts w:ascii="Arial" w:hAnsi="Arial" w:cs="Arial"/>
                <w:b/>
                <w:i/>
                <w:sz w:val="20"/>
                <w:szCs w:val="20"/>
              </w:rPr>
              <w:t>5,32)=1.249, p=.310</w:t>
            </w:r>
          </w:p>
        </w:tc>
      </w:tr>
    </w:tbl>
    <w:p w14:paraId="626A5263" w14:textId="1910A374" w:rsidR="00F70062" w:rsidRPr="00175A02" w:rsidRDefault="00F70062" w:rsidP="00F70062">
      <w:pPr>
        <w:spacing w:after="0"/>
        <w:jc w:val="both"/>
        <w:rPr>
          <w:rFonts w:ascii="Arial" w:hAnsi="Arial" w:cs="Arial"/>
          <w:sz w:val="18"/>
          <w:szCs w:val="20"/>
        </w:rPr>
      </w:pPr>
      <w:r w:rsidRPr="002E5265">
        <w:rPr>
          <w:rFonts w:ascii="Arial" w:hAnsi="Arial" w:cs="Arial"/>
          <w:b/>
          <w:sz w:val="18"/>
          <w:szCs w:val="20"/>
        </w:rPr>
        <w:t xml:space="preserve">Legend. </w:t>
      </w:r>
      <w:r w:rsidRPr="002E5265">
        <w:rPr>
          <w:rFonts w:ascii="Arial" w:hAnsi="Arial" w:cs="Arial"/>
          <w:sz w:val="18"/>
          <w:szCs w:val="20"/>
        </w:rPr>
        <w:t xml:space="preserve">GAD-7 = Generalised Anxiety Disorder 7; </w:t>
      </w:r>
      <w:r>
        <w:rPr>
          <w:rFonts w:ascii="Arial" w:hAnsi="Arial" w:cs="Arial"/>
          <w:sz w:val="18"/>
          <w:szCs w:val="20"/>
        </w:rPr>
        <w:t>IMD = Index of Multiple Deprivation</w:t>
      </w:r>
      <w:r w:rsidRPr="002E5265">
        <w:rPr>
          <w:rFonts w:ascii="Arial" w:hAnsi="Arial" w:cs="Arial"/>
          <w:sz w:val="18"/>
          <w:szCs w:val="20"/>
        </w:rPr>
        <w:t xml:space="preserve">; SWEMWBS = Short Warwick and Edinburgh Mental Well-Being </w:t>
      </w:r>
      <w:r w:rsidRPr="00175A02">
        <w:rPr>
          <w:rFonts w:ascii="Arial" w:hAnsi="Arial" w:cs="Arial"/>
          <w:sz w:val="18"/>
          <w:szCs w:val="20"/>
        </w:rPr>
        <w:t>Scale</w:t>
      </w:r>
      <w:r w:rsidR="00C058BA" w:rsidRPr="00175A02">
        <w:rPr>
          <w:rFonts w:ascii="Arial" w:hAnsi="Arial" w:cs="Arial"/>
          <w:sz w:val="18"/>
          <w:szCs w:val="20"/>
        </w:rPr>
        <w:t>. Levels of anxiety and mental well-being are measured at one point in time.</w:t>
      </w:r>
    </w:p>
    <w:p w14:paraId="23E7827F" w14:textId="38D55EE5" w:rsidR="00F70062" w:rsidRPr="00175A02" w:rsidRDefault="00247A90" w:rsidP="00F70062">
      <w:pPr>
        <w:spacing w:after="0"/>
        <w:jc w:val="both"/>
        <w:rPr>
          <w:rFonts w:ascii="Arial" w:hAnsi="Arial" w:cs="Arial"/>
          <w:sz w:val="18"/>
          <w:szCs w:val="20"/>
        </w:rPr>
      </w:pPr>
      <w:r w:rsidRPr="00175A02">
        <w:rPr>
          <w:rFonts w:ascii="Arial" w:hAnsi="Arial" w:cs="Arial"/>
          <w:sz w:val="18"/>
          <w:szCs w:val="20"/>
          <w:vertAlign w:val="superscript"/>
        </w:rPr>
        <w:t xml:space="preserve">1 </w:t>
      </w:r>
      <w:r w:rsidRPr="00175A02">
        <w:rPr>
          <w:rFonts w:ascii="Arial" w:hAnsi="Arial" w:cs="Arial"/>
          <w:sz w:val="18"/>
          <w:szCs w:val="20"/>
        </w:rPr>
        <w:t xml:space="preserve">Variations in social support service hours = </w:t>
      </w:r>
      <w:r w:rsidR="00A530E1" w:rsidRPr="00175A02">
        <w:rPr>
          <w:rFonts w:ascii="Arial" w:hAnsi="Arial" w:cs="Arial"/>
          <w:sz w:val="18"/>
          <w:szCs w:val="20"/>
        </w:rPr>
        <w:t>Weekly total h</w:t>
      </w:r>
      <w:r w:rsidRPr="00175A02">
        <w:rPr>
          <w:rFonts w:ascii="Arial" w:hAnsi="Arial" w:cs="Arial"/>
          <w:sz w:val="18"/>
          <w:szCs w:val="20"/>
        </w:rPr>
        <w:t>ours at T2 – T1;</w:t>
      </w:r>
      <w:r w:rsidRPr="00175A02">
        <w:rPr>
          <w:rFonts w:ascii="Arial" w:hAnsi="Arial" w:cs="Arial"/>
          <w:sz w:val="18"/>
          <w:szCs w:val="20"/>
          <w:vertAlign w:val="superscript"/>
        </w:rPr>
        <w:t xml:space="preserve"> 2</w:t>
      </w:r>
      <w:r w:rsidR="00F70062" w:rsidRPr="00175A02">
        <w:rPr>
          <w:rFonts w:ascii="Arial" w:hAnsi="Arial" w:cs="Arial"/>
          <w:sz w:val="18"/>
          <w:szCs w:val="20"/>
        </w:rPr>
        <w:t>IMD quintile 5 (most disadvantaged) is the reference category.</w:t>
      </w:r>
    </w:p>
    <w:p w14:paraId="0FBD908F" w14:textId="765F70BF" w:rsidR="00F70062" w:rsidRPr="00175A02" w:rsidRDefault="00F70062" w:rsidP="00144391">
      <w:pPr>
        <w:jc w:val="both"/>
        <w:rPr>
          <w:rFonts w:ascii="Arial" w:hAnsi="Arial" w:cs="Arial"/>
        </w:rPr>
      </w:pPr>
      <w:bookmarkStart w:id="7" w:name="_GoBack"/>
      <w:bookmarkEnd w:id="7"/>
    </w:p>
    <w:p w14:paraId="4675556F" w14:textId="1E5B5B84" w:rsidR="00F70062" w:rsidRPr="00175A02" w:rsidRDefault="00F70062" w:rsidP="00144391">
      <w:pPr>
        <w:jc w:val="both"/>
        <w:rPr>
          <w:rFonts w:ascii="Arial" w:hAnsi="Arial" w:cs="Arial"/>
        </w:rPr>
      </w:pPr>
    </w:p>
    <w:p w14:paraId="31D2A8C7" w14:textId="79A19B41" w:rsidR="00F70062" w:rsidRDefault="00F70062" w:rsidP="00144391">
      <w:pPr>
        <w:jc w:val="both"/>
        <w:rPr>
          <w:rFonts w:ascii="Arial" w:hAnsi="Arial" w:cs="Arial"/>
        </w:rPr>
      </w:pPr>
    </w:p>
    <w:p w14:paraId="47CDF8F6" w14:textId="77777777" w:rsidR="00F70062" w:rsidRDefault="00F70062" w:rsidP="00144391">
      <w:pPr>
        <w:jc w:val="both"/>
        <w:rPr>
          <w:rFonts w:ascii="Arial" w:hAnsi="Arial" w:cs="Arial"/>
        </w:rPr>
      </w:pPr>
    </w:p>
    <w:sectPr w:rsidR="00F70062" w:rsidSect="00E9790E">
      <w:footerReference w:type="default" r:id="rId16"/>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E2DAB" w14:textId="77777777" w:rsidR="00AD69E2" w:rsidRDefault="00AD69E2" w:rsidP="00421FC3">
      <w:pPr>
        <w:spacing w:after="0" w:line="240" w:lineRule="auto"/>
      </w:pPr>
      <w:r>
        <w:separator/>
      </w:r>
    </w:p>
  </w:endnote>
  <w:endnote w:type="continuationSeparator" w:id="0">
    <w:p w14:paraId="5703C9A7" w14:textId="77777777" w:rsidR="00AD69E2" w:rsidRDefault="00AD69E2" w:rsidP="0042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075777"/>
      <w:docPartObj>
        <w:docPartGallery w:val="Page Numbers (Bottom of Page)"/>
        <w:docPartUnique/>
      </w:docPartObj>
    </w:sdtPr>
    <w:sdtEndPr>
      <w:rPr>
        <w:noProof/>
      </w:rPr>
    </w:sdtEndPr>
    <w:sdtContent>
      <w:p w14:paraId="22BD912A" w14:textId="5CD47DCA" w:rsidR="00130530" w:rsidRDefault="00130530">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11776B9A" w14:textId="77777777" w:rsidR="00130530" w:rsidRDefault="00130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D5454" w14:textId="77777777" w:rsidR="00AD69E2" w:rsidRDefault="00AD69E2" w:rsidP="00421FC3">
      <w:pPr>
        <w:spacing w:after="0" w:line="240" w:lineRule="auto"/>
      </w:pPr>
      <w:r>
        <w:separator/>
      </w:r>
    </w:p>
  </w:footnote>
  <w:footnote w:type="continuationSeparator" w:id="0">
    <w:p w14:paraId="1D25A195" w14:textId="77777777" w:rsidR="00AD69E2" w:rsidRDefault="00AD69E2" w:rsidP="00421FC3">
      <w:pPr>
        <w:spacing w:after="0" w:line="240" w:lineRule="auto"/>
      </w:pPr>
      <w:r>
        <w:continuationSeparator/>
      </w:r>
    </w:p>
  </w:footnote>
  <w:footnote w:id="1">
    <w:p w14:paraId="14B9D90C" w14:textId="40ED6448" w:rsidR="00130530" w:rsidRDefault="00130530">
      <w:pPr>
        <w:pStyle w:val="FootnoteText"/>
      </w:pPr>
      <w:r>
        <w:rPr>
          <w:rStyle w:val="FootnoteReference"/>
        </w:rPr>
        <w:footnoteRef/>
      </w:r>
      <w:r>
        <w:t xml:space="preserve"> </w:t>
      </w:r>
      <w:r w:rsidR="005707C5">
        <w:t>1</w:t>
      </w:r>
      <w:r>
        <w:t xml:space="preserve"> case reported 168 weekly hours of variations in social support services.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EBC"/>
    <w:multiLevelType w:val="multilevel"/>
    <w:tmpl w:val="FF3C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CB212D"/>
    <w:multiLevelType w:val="hybridMultilevel"/>
    <w:tmpl w:val="FFD0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844099"/>
    <w:multiLevelType w:val="hybridMultilevel"/>
    <w:tmpl w:val="6DF4B3B6"/>
    <w:lvl w:ilvl="0" w:tplc="16A4CF1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we9rvppve5eaerd06vepacpe9exs59dtes&quot;&gt;extra references12&lt;record-ids&gt;&lt;item&gt;1199&lt;/item&gt;&lt;item&gt;1222&lt;/item&gt;&lt;item&gt;1645&lt;/item&gt;&lt;/record-ids&gt;&lt;/item&gt;&lt;/Libraries&gt;"/>
  </w:docVars>
  <w:rsids>
    <w:rsidRoot w:val="002B42A6"/>
    <w:rsid w:val="000011D1"/>
    <w:rsid w:val="00001425"/>
    <w:rsid w:val="00005949"/>
    <w:rsid w:val="00006ECF"/>
    <w:rsid w:val="0001237A"/>
    <w:rsid w:val="00012E5D"/>
    <w:rsid w:val="000211C9"/>
    <w:rsid w:val="00030AE9"/>
    <w:rsid w:val="0003480C"/>
    <w:rsid w:val="00037834"/>
    <w:rsid w:val="00046408"/>
    <w:rsid w:val="00047DAB"/>
    <w:rsid w:val="00050C80"/>
    <w:rsid w:val="00053EBF"/>
    <w:rsid w:val="000574E6"/>
    <w:rsid w:val="00060415"/>
    <w:rsid w:val="00061D48"/>
    <w:rsid w:val="00065857"/>
    <w:rsid w:val="000701CF"/>
    <w:rsid w:val="00074454"/>
    <w:rsid w:val="00080F8C"/>
    <w:rsid w:val="00083FD3"/>
    <w:rsid w:val="00090854"/>
    <w:rsid w:val="00091231"/>
    <w:rsid w:val="000974BA"/>
    <w:rsid w:val="000A3647"/>
    <w:rsid w:val="000A36B8"/>
    <w:rsid w:val="000A51D5"/>
    <w:rsid w:val="000A62D0"/>
    <w:rsid w:val="000A6A4E"/>
    <w:rsid w:val="000B34B6"/>
    <w:rsid w:val="000B4525"/>
    <w:rsid w:val="000B4AA1"/>
    <w:rsid w:val="000B5C76"/>
    <w:rsid w:val="000B76B8"/>
    <w:rsid w:val="000C5500"/>
    <w:rsid w:val="000C6B97"/>
    <w:rsid w:val="000C7449"/>
    <w:rsid w:val="000D456D"/>
    <w:rsid w:val="000E1212"/>
    <w:rsid w:val="000E27E3"/>
    <w:rsid w:val="000E3294"/>
    <w:rsid w:val="000E3D1D"/>
    <w:rsid w:val="000E47A7"/>
    <w:rsid w:val="000E47F3"/>
    <w:rsid w:val="000F2A5E"/>
    <w:rsid w:val="000F746C"/>
    <w:rsid w:val="00100B70"/>
    <w:rsid w:val="00104712"/>
    <w:rsid w:val="001063BD"/>
    <w:rsid w:val="00107EB7"/>
    <w:rsid w:val="00114724"/>
    <w:rsid w:val="00115637"/>
    <w:rsid w:val="0011612E"/>
    <w:rsid w:val="00124099"/>
    <w:rsid w:val="0012572C"/>
    <w:rsid w:val="00126161"/>
    <w:rsid w:val="00127148"/>
    <w:rsid w:val="00130530"/>
    <w:rsid w:val="0013091D"/>
    <w:rsid w:val="001337FE"/>
    <w:rsid w:val="00134A2D"/>
    <w:rsid w:val="00144193"/>
    <w:rsid w:val="00144391"/>
    <w:rsid w:val="001447B7"/>
    <w:rsid w:val="00144849"/>
    <w:rsid w:val="001457F1"/>
    <w:rsid w:val="001465FF"/>
    <w:rsid w:val="00147749"/>
    <w:rsid w:val="00147A37"/>
    <w:rsid w:val="001509F0"/>
    <w:rsid w:val="00150B6D"/>
    <w:rsid w:val="00152FDD"/>
    <w:rsid w:val="00153404"/>
    <w:rsid w:val="00156033"/>
    <w:rsid w:val="001620C9"/>
    <w:rsid w:val="00174657"/>
    <w:rsid w:val="00175A02"/>
    <w:rsid w:val="001822FA"/>
    <w:rsid w:val="00186299"/>
    <w:rsid w:val="00187473"/>
    <w:rsid w:val="0018755F"/>
    <w:rsid w:val="001964AB"/>
    <w:rsid w:val="00197B7B"/>
    <w:rsid w:val="001B33A5"/>
    <w:rsid w:val="001B5E96"/>
    <w:rsid w:val="001B7E69"/>
    <w:rsid w:val="001C48E4"/>
    <w:rsid w:val="001C506F"/>
    <w:rsid w:val="001D1514"/>
    <w:rsid w:val="001D2AE0"/>
    <w:rsid w:val="001D4A29"/>
    <w:rsid w:val="001D6C57"/>
    <w:rsid w:val="001E7916"/>
    <w:rsid w:val="001F2C7C"/>
    <w:rsid w:val="001F2F0E"/>
    <w:rsid w:val="001F4E9F"/>
    <w:rsid w:val="00202602"/>
    <w:rsid w:val="0021108F"/>
    <w:rsid w:val="0022082D"/>
    <w:rsid w:val="0023075B"/>
    <w:rsid w:val="00230B7D"/>
    <w:rsid w:val="00235C11"/>
    <w:rsid w:val="0023679E"/>
    <w:rsid w:val="00237CA2"/>
    <w:rsid w:val="002408E4"/>
    <w:rsid w:val="00244C80"/>
    <w:rsid w:val="00247A90"/>
    <w:rsid w:val="002507C6"/>
    <w:rsid w:val="0026017A"/>
    <w:rsid w:val="0026257F"/>
    <w:rsid w:val="00271233"/>
    <w:rsid w:val="002715B6"/>
    <w:rsid w:val="002728F9"/>
    <w:rsid w:val="002752A0"/>
    <w:rsid w:val="002778ED"/>
    <w:rsid w:val="0028524A"/>
    <w:rsid w:val="00286EEA"/>
    <w:rsid w:val="00287A3D"/>
    <w:rsid w:val="00287CBF"/>
    <w:rsid w:val="00290BCA"/>
    <w:rsid w:val="002914EC"/>
    <w:rsid w:val="00297091"/>
    <w:rsid w:val="002A01CD"/>
    <w:rsid w:val="002A4B03"/>
    <w:rsid w:val="002A6A3B"/>
    <w:rsid w:val="002A7A50"/>
    <w:rsid w:val="002B2E71"/>
    <w:rsid w:val="002B42A6"/>
    <w:rsid w:val="002B5EEF"/>
    <w:rsid w:val="002B754A"/>
    <w:rsid w:val="002D37F4"/>
    <w:rsid w:val="002D7B9D"/>
    <w:rsid w:val="002E257A"/>
    <w:rsid w:val="002E3454"/>
    <w:rsid w:val="002E3574"/>
    <w:rsid w:val="002E5265"/>
    <w:rsid w:val="002F03F6"/>
    <w:rsid w:val="002F1174"/>
    <w:rsid w:val="002F2512"/>
    <w:rsid w:val="002F2A47"/>
    <w:rsid w:val="002F30B2"/>
    <w:rsid w:val="002F4845"/>
    <w:rsid w:val="00306EC8"/>
    <w:rsid w:val="003071A0"/>
    <w:rsid w:val="00307C9E"/>
    <w:rsid w:val="003132CC"/>
    <w:rsid w:val="003134AF"/>
    <w:rsid w:val="00314DE3"/>
    <w:rsid w:val="003207EA"/>
    <w:rsid w:val="003215AD"/>
    <w:rsid w:val="003226D5"/>
    <w:rsid w:val="00322ADA"/>
    <w:rsid w:val="00324C14"/>
    <w:rsid w:val="003255B1"/>
    <w:rsid w:val="00325CEB"/>
    <w:rsid w:val="00326BCF"/>
    <w:rsid w:val="00332CC5"/>
    <w:rsid w:val="003372AA"/>
    <w:rsid w:val="00337757"/>
    <w:rsid w:val="00346644"/>
    <w:rsid w:val="003470CB"/>
    <w:rsid w:val="00355607"/>
    <w:rsid w:val="00355874"/>
    <w:rsid w:val="00356AF6"/>
    <w:rsid w:val="003573E7"/>
    <w:rsid w:val="00357A21"/>
    <w:rsid w:val="00370CDD"/>
    <w:rsid w:val="00371918"/>
    <w:rsid w:val="00374010"/>
    <w:rsid w:val="0038634B"/>
    <w:rsid w:val="0038673D"/>
    <w:rsid w:val="003916BC"/>
    <w:rsid w:val="00391CC1"/>
    <w:rsid w:val="0039372F"/>
    <w:rsid w:val="00394E77"/>
    <w:rsid w:val="00397ACD"/>
    <w:rsid w:val="003A3613"/>
    <w:rsid w:val="003A3C69"/>
    <w:rsid w:val="003A4E11"/>
    <w:rsid w:val="003B114B"/>
    <w:rsid w:val="003B1E1D"/>
    <w:rsid w:val="003B49E0"/>
    <w:rsid w:val="003B55BD"/>
    <w:rsid w:val="003B7692"/>
    <w:rsid w:val="003C5FAB"/>
    <w:rsid w:val="003D3F42"/>
    <w:rsid w:val="003D3F69"/>
    <w:rsid w:val="003D7433"/>
    <w:rsid w:val="003E0135"/>
    <w:rsid w:val="003E1FC9"/>
    <w:rsid w:val="003E59EA"/>
    <w:rsid w:val="003F5D7E"/>
    <w:rsid w:val="003F7B26"/>
    <w:rsid w:val="00404451"/>
    <w:rsid w:val="0040799D"/>
    <w:rsid w:val="00411365"/>
    <w:rsid w:val="004143D4"/>
    <w:rsid w:val="00414DC9"/>
    <w:rsid w:val="00421A3D"/>
    <w:rsid w:val="00421FC3"/>
    <w:rsid w:val="004249D6"/>
    <w:rsid w:val="00427C06"/>
    <w:rsid w:val="00430B2C"/>
    <w:rsid w:val="004324C5"/>
    <w:rsid w:val="0043423A"/>
    <w:rsid w:val="00434FBB"/>
    <w:rsid w:val="00435B75"/>
    <w:rsid w:val="00437AC6"/>
    <w:rsid w:val="00440DB7"/>
    <w:rsid w:val="004411B4"/>
    <w:rsid w:val="00441F91"/>
    <w:rsid w:val="00444347"/>
    <w:rsid w:val="00444D43"/>
    <w:rsid w:val="00445A9F"/>
    <w:rsid w:val="00446494"/>
    <w:rsid w:val="0045466B"/>
    <w:rsid w:val="004706C6"/>
    <w:rsid w:val="004713D3"/>
    <w:rsid w:val="00473D88"/>
    <w:rsid w:val="004813E8"/>
    <w:rsid w:val="00481997"/>
    <w:rsid w:val="00481F35"/>
    <w:rsid w:val="00483538"/>
    <w:rsid w:val="004854D9"/>
    <w:rsid w:val="00485B2A"/>
    <w:rsid w:val="00487941"/>
    <w:rsid w:val="00487F0C"/>
    <w:rsid w:val="00491558"/>
    <w:rsid w:val="0049482C"/>
    <w:rsid w:val="004A028D"/>
    <w:rsid w:val="004A278F"/>
    <w:rsid w:val="004A33F9"/>
    <w:rsid w:val="004A4F28"/>
    <w:rsid w:val="004B02B9"/>
    <w:rsid w:val="004C3258"/>
    <w:rsid w:val="004C5552"/>
    <w:rsid w:val="004C6A92"/>
    <w:rsid w:val="004C7046"/>
    <w:rsid w:val="004C7BD2"/>
    <w:rsid w:val="004D208D"/>
    <w:rsid w:val="004E3523"/>
    <w:rsid w:val="004F62E0"/>
    <w:rsid w:val="00504620"/>
    <w:rsid w:val="00504699"/>
    <w:rsid w:val="00511C13"/>
    <w:rsid w:val="005136A4"/>
    <w:rsid w:val="00515EA1"/>
    <w:rsid w:val="00517AF4"/>
    <w:rsid w:val="00521E13"/>
    <w:rsid w:val="00532836"/>
    <w:rsid w:val="00544A74"/>
    <w:rsid w:val="00553EFC"/>
    <w:rsid w:val="00561148"/>
    <w:rsid w:val="00566F2E"/>
    <w:rsid w:val="005675DD"/>
    <w:rsid w:val="00567C7A"/>
    <w:rsid w:val="005707C5"/>
    <w:rsid w:val="0057312A"/>
    <w:rsid w:val="0057678C"/>
    <w:rsid w:val="005773C1"/>
    <w:rsid w:val="00581895"/>
    <w:rsid w:val="00585372"/>
    <w:rsid w:val="00586266"/>
    <w:rsid w:val="00586492"/>
    <w:rsid w:val="005872CE"/>
    <w:rsid w:val="0059327F"/>
    <w:rsid w:val="0059441A"/>
    <w:rsid w:val="005B3AD8"/>
    <w:rsid w:val="005B60B5"/>
    <w:rsid w:val="005C66CF"/>
    <w:rsid w:val="005D52D8"/>
    <w:rsid w:val="005D61CD"/>
    <w:rsid w:val="005E0D6A"/>
    <w:rsid w:val="005E584B"/>
    <w:rsid w:val="005E7911"/>
    <w:rsid w:val="005F15E4"/>
    <w:rsid w:val="005F2507"/>
    <w:rsid w:val="005F2726"/>
    <w:rsid w:val="005F483C"/>
    <w:rsid w:val="00601148"/>
    <w:rsid w:val="00603B79"/>
    <w:rsid w:val="00605F2A"/>
    <w:rsid w:val="006064BC"/>
    <w:rsid w:val="006064D7"/>
    <w:rsid w:val="00607189"/>
    <w:rsid w:val="00612877"/>
    <w:rsid w:val="00613D8E"/>
    <w:rsid w:val="00616288"/>
    <w:rsid w:val="00616C19"/>
    <w:rsid w:val="00622649"/>
    <w:rsid w:val="00630DA4"/>
    <w:rsid w:val="00634946"/>
    <w:rsid w:val="0063563D"/>
    <w:rsid w:val="00643C65"/>
    <w:rsid w:val="006447CD"/>
    <w:rsid w:val="0064587A"/>
    <w:rsid w:val="00651516"/>
    <w:rsid w:val="006552EB"/>
    <w:rsid w:val="00660844"/>
    <w:rsid w:val="00662275"/>
    <w:rsid w:val="00666696"/>
    <w:rsid w:val="0066714B"/>
    <w:rsid w:val="0067340D"/>
    <w:rsid w:val="006767FA"/>
    <w:rsid w:val="00677225"/>
    <w:rsid w:val="0067725C"/>
    <w:rsid w:val="00680F95"/>
    <w:rsid w:val="00681DEA"/>
    <w:rsid w:val="00682ED5"/>
    <w:rsid w:val="00684E0A"/>
    <w:rsid w:val="00685BC3"/>
    <w:rsid w:val="00686B40"/>
    <w:rsid w:val="00687058"/>
    <w:rsid w:val="00687276"/>
    <w:rsid w:val="0069228C"/>
    <w:rsid w:val="00692B46"/>
    <w:rsid w:val="00697276"/>
    <w:rsid w:val="006A0ACD"/>
    <w:rsid w:val="006A7A32"/>
    <w:rsid w:val="006B373D"/>
    <w:rsid w:val="006B6134"/>
    <w:rsid w:val="006C1150"/>
    <w:rsid w:val="006C414A"/>
    <w:rsid w:val="006D0413"/>
    <w:rsid w:val="006D207E"/>
    <w:rsid w:val="006D5C05"/>
    <w:rsid w:val="006D5CD8"/>
    <w:rsid w:val="006E2430"/>
    <w:rsid w:val="006F0C1C"/>
    <w:rsid w:val="00704A55"/>
    <w:rsid w:val="00705DD0"/>
    <w:rsid w:val="00706F49"/>
    <w:rsid w:val="00710AD3"/>
    <w:rsid w:val="00712AFC"/>
    <w:rsid w:val="007135E4"/>
    <w:rsid w:val="00714D71"/>
    <w:rsid w:val="00716906"/>
    <w:rsid w:val="00722C2E"/>
    <w:rsid w:val="0072413C"/>
    <w:rsid w:val="00725BA6"/>
    <w:rsid w:val="0072685A"/>
    <w:rsid w:val="00726A3F"/>
    <w:rsid w:val="00731AF0"/>
    <w:rsid w:val="00734287"/>
    <w:rsid w:val="007343C2"/>
    <w:rsid w:val="007344BE"/>
    <w:rsid w:val="007379B4"/>
    <w:rsid w:val="00744A86"/>
    <w:rsid w:val="00746E32"/>
    <w:rsid w:val="007504DC"/>
    <w:rsid w:val="0075252F"/>
    <w:rsid w:val="00766FE0"/>
    <w:rsid w:val="007708CD"/>
    <w:rsid w:val="00771373"/>
    <w:rsid w:val="00772A54"/>
    <w:rsid w:val="0078291A"/>
    <w:rsid w:val="00784EBA"/>
    <w:rsid w:val="007855DB"/>
    <w:rsid w:val="007939C7"/>
    <w:rsid w:val="00796C89"/>
    <w:rsid w:val="007A0FFA"/>
    <w:rsid w:val="007A178A"/>
    <w:rsid w:val="007A6137"/>
    <w:rsid w:val="007B4E45"/>
    <w:rsid w:val="007B5E06"/>
    <w:rsid w:val="007C50B2"/>
    <w:rsid w:val="007C680D"/>
    <w:rsid w:val="007C6911"/>
    <w:rsid w:val="007D0DCD"/>
    <w:rsid w:val="007D3C98"/>
    <w:rsid w:val="007E2660"/>
    <w:rsid w:val="007E2AA4"/>
    <w:rsid w:val="007E2E3C"/>
    <w:rsid w:val="007E3479"/>
    <w:rsid w:val="007E580A"/>
    <w:rsid w:val="007E5931"/>
    <w:rsid w:val="007E69B0"/>
    <w:rsid w:val="007E75D9"/>
    <w:rsid w:val="008008B4"/>
    <w:rsid w:val="00802CB2"/>
    <w:rsid w:val="008031BC"/>
    <w:rsid w:val="00804043"/>
    <w:rsid w:val="00811EA6"/>
    <w:rsid w:val="008132C5"/>
    <w:rsid w:val="008134F9"/>
    <w:rsid w:val="00813C85"/>
    <w:rsid w:val="00813E73"/>
    <w:rsid w:val="008205B6"/>
    <w:rsid w:val="00826306"/>
    <w:rsid w:val="008264E3"/>
    <w:rsid w:val="00832CA8"/>
    <w:rsid w:val="0083404D"/>
    <w:rsid w:val="00842D8D"/>
    <w:rsid w:val="008511AF"/>
    <w:rsid w:val="00856CF7"/>
    <w:rsid w:val="00857B39"/>
    <w:rsid w:val="008615A1"/>
    <w:rsid w:val="00863353"/>
    <w:rsid w:val="008642AF"/>
    <w:rsid w:val="0087019B"/>
    <w:rsid w:val="00870587"/>
    <w:rsid w:val="0087129A"/>
    <w:rsid w:val="00874F56"/>
    <w:rsid w:val="0087770D"/>
    <w:rsid w:val="008800FE"/>
    <w:rsid w:val="00880EAD"/>
    <w:rsid w:val="00881818"/>
    <w:rsid w:val="00886448"/>
    <w:rsid w:val="00886978"/>
    <w:rsid w:val="00891262"/>
    <w:rsid w:val="0089255B"/>
    <w:rsid w:val="008938C6"/>
    <w:rsid w:val="00893FB7"/>
    <w:rsid w:val="00897BFD"/>
    <w:rsid w:val="008A2485"/>
    <w:rsid w:val="008A2704"/>
    <w:rsid w:val="008A7F15"/>
    <w:rsid w:val="008B10C4"/>
    <w:rsid w:val="008B118E"/>
    <w:rsid w:val="008B2647"/>
    <w:rsid w:val="008B34E6"/>
    <w:rsid w:val="008B79C4"/>
    <w:rsid w:val="008C03DB"/>
    <w:rsid w:val="008C4995"/>
    <w:rsid w:val="008C50AA"/>
    <w:rsid w:val="008C7112"/>
    <w:rsid w:val="008D1199"/>
    <w:rsid w:val="008D246B"/>
    <w:rsid w:val="008D2BE9"/>
    <w:rsid w:val="008D43BC"/>
    <w:rsid w:val="008D6D48"/>
    <w:rsid w:val="008F2019"/>
    <w:rsid w:val="008F7198"/>
    <w:rsid w:val="00901F65"/>
    <w:rsid w:val="00903C8A"/>
    <w:rsid w:val="00904622"/>
    <w:rsid w:val="009072F4"/>
    <w:rsid w:val="00911B2A"/>
    <w:rsid w:val="0092376A"/>
    <w:rsid w:val="0092486F"/>
    <w:rsid w:val="009266FA"/>
    <w:rsid w:val="0092708F"/>
    <w:rsid w:val="009310F0"/>
    <w:rsid w:val="009328B1"/>
    <w:rsid w:val="00932945"/>
    <w:rsid w:val="00936676"/>
    <w:rsid w:val="009414B2"/>
    <w:rsid w:val="00941706"/>
    <w:rsid w:val="009429D9"/>
    <w:rsid w:val="009462AB"/>
    <w:rsid w:val="00953D51"/>
    <w:rsid w:val="00956703"/>
    <w:rsid w:val="0095731E"/>
    <w:rsid w:val="00977D14"/>
    <w:rsid w:val="009856A5"/>
    <w:rsid w:val="00986B77"/>
    <w:rsid w:val="0099593E"/>
    <w:rsid w:val="009A3F38"/>
    <w:rsid w:val="009A7AF6"/>
    <w:rsid w:val="009B3670"/>
    <w:rsid w:val="009B3FF7"/>
    <w:rsid w:val="009C04B8"/>
    <w:rsid w:val="009C51F5"/>
    <w:rsid w:val="009D4022"/>
    <w:rsid w:val="009D6AD5"/>
    <w:rsid w:val="009E2697"/>
    <w:rsid w:val="009E514E"/>
    <w:rsid w:val="009F046B"/>
    <w:rsid w:val="009F29A7"/>
    <w:rsid w:val="009F637E"/>
    <w:rsid w:val="009F6664"/>
    <w:rsid w:val="009F6DBA"/>
    <w:rsid w:val="00A037D3"/>
    <w:rsid w:val="00A0554C"/>
    <w:rsid w:val="00A062D6"/>
    <w:rsid w:val="00A06BAA"/>
    <w:rsid w:val="00A13BED"/>
    <w:rsid w:val="00A141B1"/>
    <w:rsid w:val="00A202DF"/>
    <w:rsid w:val="00A243FD"/>
    <w:rsid w:val="00A264A5"/>
    <w:rsid w:val="00A26A36"/>
    <w:rsid w:val="00A32D94"/>
    <w:rsid w:val="00A34CFE"/>
    <w:rsid w:val="00A41982"/>
    <w:rsid w:val="00A445F4"/>
    <w:rsid w:val="00A521DF"/>
    <w:rsid w:val="00A530E1"/>
    <w:rsid w:val="00A54AC8"/>
    <w:rsid w:val="00A5544C"/>
    <w:rsid w:val="00A562CB"/>
    <w:rsid w:val="00A5779D"/>
    <w:rsid w:val="00A6358A"/>
    <w:rsid w:val="00A6592A"/>
    <w:rsid w:val="00A67503"/>
    <w:rsid w:val="00A71ADC"/>
    <w:rsid w:val="00A7219D"/>
    <w:rsid w:val="00A73039"/>
    <w:rsid w:val="00A75884"/>
    <w:rsid w:val="00A818B6"/>
    <w:rsid w:val="00A81FAB"/>
    <w:rsid w:val="00A84279"/>
    <w:rsid w:val="00A8661E"/>
    <w:rsid w:val="00AA10CF"/>
    <w:rsid w:val="00AA3DBA"/>
    <w:rsid w:val="00AA695A"/>
    <w:rsid w:val="00AB0EE4"/>
    <w:rsid w:val="00AB3995"/>
    <w:rsid w:val="00AC359F"/>
    <w:rsid w:val="00AC6B4C"/>
    <w:rsid w:val="00AD4845"/>
    <w:rsid w:val="00AD5C50"/>
    <w:rsid w:val="00AD6329"/>
    <w:rsid w:val="00AD6716"/>
    <w:rsid w:val="00AD69E2"/>
    <w:rsid w:val="00AD7D70"/>
    <w:rsid w:val="00AE2D5D"/>
    <w:rsid w:val="00AE3EE3"/>
    <w:rsid w:val="00AE74F8"/>
    <w:rsid w:val="00B00935"/>
    <w:rsid w:val="00B00EF3"/>
    <w:rsid w:val="00B10B45"/>
    <w:rsid w:val="00B14438"/>
    <w:rsid w:val="00B1670F"/>
    <w:rsid w:val="00B16F78"/>
    <w:rsid w:val="00B172D7"/>
    <w:rsid w:val="00B22DB9"/>
    <w:rsid w:val="00B23BFB"/>
    <w:rsid w:val="00B32BBB"/>
    <w:rsid w:val="00B33238"/>
    <w:rsid w:val="00B35F6F"/>
    <w:rsid w:val="00B417DC"/>
    <w:rsid w:val="00B45046"/>
    <w:rsid w:val="00B45278"/>
    <w:rsid w:val="00B47179"/>
    <w:rsid w:val="00B47B41"/>
    <w:rsid w:val="00B47EE0"/>
    <w:rsid w:val="00B52F88"/>
    <w:rsid w:val="00B534ED"/>
    <w:rsid w:val="00B545F0"/>
    <w:rsid w:val="00B60975"/>
    <w:rsid w:val="00B63B15"/>
    <w:rsid w:val="00B640B2"/>
    <w:rsid w:val="00B64392"/>
    <w:rsid w:val="00B65F6B"/>
    <w:rsid w:val="00B7080A"/>
    <w:rsid w:val="00B73292"/>
    <w:rsid w:val="00B744BB"/>
    <w:rsid w:val="00B75CC7"/>
    <w:rsid w:val="00B81B57"/>
    <w:rsid w:val="00B8278B"/>
    <w:rsid w:val="00B82BC4"/>
    <w:rsid w:val="00B83850"/>
    <w:rsid w:val="00B856DD"/>
    <w:rsid w:val="00BA1264"/>
    <w:rsid w:val="00BA33C4"/>
    <w:rsid w:val="00BA401B"/>
    <w:rsid w:val="00BA5DF6"/>
    <w:rsid w:val="00BB676B"/>
    <w:rsid w:val="00BC0518"/>
    <w:rsid w:val="00BC4252"/>
    <w:rsid w:val="00BC72A9"/>
    <w:rsid w:val="00BE3985"/>
    <w:rsid w:val="00BE7854"/>
    <w:rsid w:val="00BF00BB"/>
    <w:rsid w:val="00BF0607"/>
    <w:rsid w:val="00BF134F"/>
    <w:rsid w:val="00BF13AB"/>
    <w:rsid w:val="00BF4056"/>
    <w:rsid w:val="00BF457C"/>
    <w:rsid w:val="00BF4C21"/>
    <w:rsid w:val="00BF5BA5"/>
    <w:rsid w:val="00C03D4A"/>
    <w:rsid w:val="00C044AF"/>
    <w:rsid w:val="00C04F7A"/>
    <w:rsid w:val="00C058BA"/>
    <w:rsid w:val="00C074B6"/>
    <w:rsid w:val="00C07F4D"/>
    <w:rsid w:val="00C12F92"/>
    <w:rsid w:val="00C14156"/>
    <w:rsid w:val="00C16EBD"/>
    <w:rsid w:val="00C17C0D"/>
    <w:rsid w:val="00C20690"/>
    <w:rsid w:val="00C20839"/>
    <w:rsid w:val="00C23E84"/>
    <w:rsid w:val="00C26F13"/>
    <w:rsid w:val="00C277A1"/>
    <w:rsid w:val="00C34DB6"/>
    <w:rsid w:val="00C417B5"/>
    <w:rsid w:val="00C43257"/>
    <w:rsid w:val="00C45043"/>
    <w:rsid w:val="00C46822"/>
    <w:rsid w:val="00C46ED6"/>
    <w:rsid w:val="00C50949"/>
    <w:rsid w:val="00C51486"/>
    <w:rsid w:val="00C51DE5"/>
    <w:rsid w:val="00C60771"/>
    <w:rsid w:val="00C608E5"/>
    <w:rsid w:val="00C62384"/>
    <w:rsid w:val="00C734B0"/>
    <w:rsid w:val="00C734D6"/>
    <w:rsid w:val="00C75C64"/>
    <w:rsid w:val="00C81142"/>
    <w:rsid w:val="00C83BAA"/>
    <w:rsid w:val="00C907A8"/>
    <w:rsid w:val="00C947A4"/>
    <w:rsid w:val="00CA06BD"/>
    <w:rsid w:val="00CB10CF"/>
    <w:rsid w:val="00CB178D"/>
    <w:rsid w:val="00CB25D6"/>
    <w:rsid w:val="00CB299E"/>
    <w:rsid w:val="00CB5BE0"/>
    <w:rsid w:val="00CD3931"/>
    <w:rsid w:val="00CD427B"/>
    <w:rsid w:val="00CD685A"/>
    <w:rsid w:val="00CD705D"/>
    <w:rsid w:val="00CE567A"/>
    <w:rsid w:val="00CF4BFE"/>
    <w:rsid w:val="00CF64BC"/>
    <w:rsid w:val="00CF6E87"/>
    <w:rsid w:val="00D028A9"/>
    <w:rsid w:val="00D04BF2"/>
    <w:rsid w:val="00D07522"/>
    <w:rsid w:val="00D078E9"/>
    <w:rsid w:val="00D10668"/>
    <w:rsid w:val="00D203BC"/>
    <w:rsid w:val="00D24556"/>
    <w:rsid w:val="00D24DE1"/>
    <w:rsid w:val="00D25B3E"/>
    <w:rsid w:val="00D27EEC"/>
    <w:rsid w:val="00D329CE"/>
    <w:rsid w:val="00D42FE3"/>
    <w:rsid w:val="00D45AA8"/>
    <w:rsid w:val="00D45CE5"/>
    <w:rsid w:val="00D47752"/>
    <w:rsid w:val="00D53A3B"/>
    <w:rsid w:val="00D54F38"/>
    <w:rsid w:val="00D574C9"/>
    <w:rsid w:val="00D575A1"/>
    <w:rsid w:val="00D64DBA"/>
    <w:rsid w:val="00D64F7F"/>
    <w:rsid w:val="00D70D59"/>
    <w:rsid w:val="00D8101C"/>
    <w:rsid w:val="00D83D1E"/>
    <w:rsid w:val="00D87199"/>
    <w:rsid w:val="00D90671"/>
    <w:rsid w:val="00D92DCA"/>
    <w:rsid w:val="00DA0C05"/>
    <w:rsid w:val="00DA208D"/>
    <w:rsid w:val="00DA2924"/>
    <w:rsid w:val="00DA56BB"/>
    <w:rsid w:val="00DA695A"/>
    <w:rsid w:val="00DB2912"/>
    <w:rsid w:val="00DC024E"/>
    <w:rsid w:val="00DC4841"/>
    <w:rsid w:val="00DC5C0F"/>
    <w:rsid w:val="00DE2A96"/>
    <w:rsid w:val="00DE39AB"/>
    <w:rsid w:val="00DE44D7"/>
    <w:rsid w:val="00DE5CEF"/>
    <w:rsid w:val="00DE609F"/>
    <w:rsid w:val="00DF0E82"/>
    <w:rsid w:val="00DF23D1"/>
    <w:rsid w:val="00DF390D"/>
    <w:rsid w:val="00DF402B"/>
    <w:rsid w:val="00E036D7"/>
    <w:rsid w:val="00E06C97"/>
    <w:rsid w:val="00E12BE4"/>
    <w:rsid w:val="00E156FD"/>
    <w:rsid w:val="00E21441"/>
    <w:rsid w:val="00E22134"/>
    <w:rsid w:val="00E259DA"/>
    <w:rsid w:val="00E2724C"/>
    <w:rsid w:val="00E30CCC"/>
    <w:rsid w:val="00E30DC0"/>
    <w:rsid w:val="00E30F04"/>
    <w:rsid w:val="00E41390"/>
    <w:rsid w:val="00E43F8D"/>
    <w:rsid w:val="00E507AB"/>
    <w:rsid w:val="00E514FF"/>
    <w:rsid w:val="00E65B53"/>
    <w:rsid w:val="00E72D01"/>
    <w:rsid w:val="00E764FB"/>
    <w:rsid w:val="00E85547"/>
    <w:rsid w:val="00E856E0"/>
    <w:rsid w:val="00E9450E"/>
    <w:rsid w:val="00E9790E"/>
    <w:rsid w:val="00EB2FDA"/>
    <w:rsid w:val="00EB6FC3"/>
    <w:rsid w:val="00EC4A52"/>
    <w:rsid w:val="00EC70A6"/>
    <w:rsid w:val="00ED0AD0"/>
    <w:rsid w:val="00ED4BD1"/>
    <w:rsid w:val="00EE2354"/>
    <w:rsid w:val="00EE546B"/>
    <w:rsid w:val="00EE65DF"/>
    <w:rsid w:val="00EF3DF2"/>
    <w:rsid w:val="00F05D10"/>
    <w:rsid w:val="00F07265"/>
    <w:rsid w:val="00F113BC"/>
    <w:rsid w:val="00F140A1"/>
    <w:rsid w:val="00F17460"/>
    <w:rsid w:val="00F1757C"/>
    <w:rsid w:val="00F27771"/>
    <w:rsid w:val="00F3240C"/>
    <w:rsid w:val="00F33A0D"/>
    <w:rsid w:val="00F402A8"/>
    <w:rsid w:val="00F40875"/>
    <w:rsid w:val="00F44976"/>
    <w:rsid w:val="00F47FBD"/>
    <w:rsid w:val="00F51BC5"/>
    <w:rsid w:val="00F53848"/>
    <w:rsid w:val="00F53A6E"/>
    <w:rsid w:val="00F53CCD"/>
    <w:rsid w:val="00F55D58"/>
    <w:rsid w:val="00F57BFA"/>
    <w:rsid w:val="00F57C6A"/>
    <w:rsid w:val="00F63A2C"/>
    <w:rsid w:val="00F64883"/>
    <w:rsid w:val="00F66481"/>
    <w:rsid w:val="00F70062"/>
    <w:rsid w:val="00F71AF8"/>
    <w:rsid w:val="00F74C7A"/>
    <w:rsid w:val="00F7785F"/>
    <w:rsid w:val="00F80F95"/>
    <w:rsid w:val="00F8441B"/>
    <w:rsid w:val="00F84D31"/>
    <w:rsid w:val="00F9335D"/>
    <w:rsid w:val="00F936C7"/>
    <w:rsid w:val="00F94469"/>
    <w:rsid w:val="00F973F3"/>
    <w:rsid w:val="00F97B5E"/>
    <w:rsid w:val="00FA05D6"/>
    <w:rsid w:val="00FA10AC"/>
    <w:rsid w:val="00FA5CC8"/>
    <w:rsid w:val="00FA60A0"/>
    <w:rsid w:val="00FA6E1F"/>
    <w:rsid w:val="00FC00CA"/>
    <w:rsid w:val="00FC18E7"/>
    <w:rsid w:val="00FC35AE"/>
    <w:rsid w:val="00FC35E0"/>
    <w:rsid w:val="00FC4D68"/>
    <w:rsid w:val="00FC6310"/>
    <w:rsid w:val="00FD22FC"/>
    <w:rsid w:val="00FD2345"/>
    <w:rsid w:val="00FD24A2"/>
    <w:rsid w:val="00FD6DDA"/>
    <w:rsid w:val="00FD7492"/>
    <w:rsid w:val="00FE1CD2"/>
    <w:rsid w:val="00FE2C4D"/>
    <w:rsid w:val="00FE566C"/>
    <w:rsid w:val="00FE57E1"/>
    <w:rsid w:val="00FE5F3C"/>
    <w:rsid w:val="00FE628E"/>
    <w:rsid w:val="00FF310C"/>
    <w:rsid w:val="00FF3945"/>
    <w:rsid w:val="00FF7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CB81C"/>
  <w15:chartTrackingRefBased/>
  <w15:docId w15:val="{09A4BDC3-18B7-434E-A086-5FA49677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B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C0D"/>
    <w:rPr>
      <w:color w:val="0000FF"/>
      <w:u w:val="single"/>
    </w:rPr>
  </w:style>
  <w:style w:type="character" w:customStyle="1" w:styleId="UnresolvedMention1">
    <w:name w:val="Unresolved Mention1"/>
    <w:basedOn w:val="DefaultParagraphFont"/>
    <w:uiPriority w:val="99"/>
    <w:semiHidden/>
    <w:unhideWhenUsed/>
    <w:rsid w:val="00C17C0D"/>
    <w:rPr>
      <w:color w:val="605E5C"/>
      <w:shd w:val="clear" w:color="auto" w:fill="E1DFDD"/>
    </w:rPr>
  </w:style>
  <w:style w:type="paragraph" w:styleId="Header">
    <w:name w:val="header"/>
    <w:basedOn w:val="Normal"/>
    <w:link w:val="HeaderChar"/>
    <w:uiPriority w:val="99"/>
    <w:unhideWhenUsed/>
    <w:rsid w:val="00421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FC3"/>
  </w:style>
  <w:style w:type="paragraph" w:styleId="Footer">
    <w:name w:val="footer"/>
    <w:basedOn w:val="Normal"/>
    <w:link w:val="FooterChar"/>
    <w:uiPriority w:val="99"/>
    <w:unhideWhenUsed/>
    <w:rsid w:val="00421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FC3"/>
  </w:style>
  <w:style w:type="table" w:styleId="TableGrid">
    <w:name w:val="Table Grid"/>
    <w:basedOn w:val="TableNormal"/>
    <w:uiPriority w:val="39"/>
    <w:rsid w:val="00FC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4A2D"/>
    <w:rPr>
      <w:sz w:val="16"/>
      <w:szCs w:val="16"/>
    </w:rPr>
  </w:style>
  <w:style w:type="paragraph" w:styleId="CommentText">
    <w:name w:val="annotation text"/>
    <w:basedOn w:val="Normal"/>
    <w:link w:val="CommentTextChar"/>
    <w:uiPriority w:val="99"/>
    <w:semiHidden/>
    <w:unhideWhenUsed/>
    <w:rsid w:val="00134A2D"/>
    <w:pPr>
      <w:spacing w:line="240" w:lineRule="auto"/>
    </w:pPr>
    <w:rPr>
      <w:sz w:val="20"/>
      <w:szCs w:val="20"/>
    </w:rPr>
  </w:style>
  <w:style w:type="character" w:customStyle="1" w:styleId="CommentTextChar">
    <w:name w:val="Comment Text Char"/>
    <w:basedOn w:val="DefaultParagraphFont"/>
    <w:link w:val="CommentText"/>
    <w:uiPriority w:val="99"/>
    <w:semiHidden/>
    <w:rsid w:val="00134A2D"/>
    <w:rPr>
      <w:sz w:val="20"/>
      <w:szCs w:val="20"/>
    </w:rPr>
  </w:style>
  <w:style w:type="paragraph" w:styleId="CommentSubject">
    <w:name w:val="annotation subject"/>
    <w:basedOn w:val="CommentText"/>
    <w:next w:val="CommentText"/>
    <w:link w:val="CommentSubjectChar"/>
    <w:uiPriority w:val="99"/>
    <w:semiHidden/>
    <w:unhideWhenUsed/>
    <w:rsid w:val="00134A2D"/>
    <w:rPr>
      <w:b/>
      <w:bCs/>
    </w:rPr>
  </w:style>
  <w:style w:type="character" w:customStyle="1" w:styleId="CommentSubjectChar">
    <w:name w:val="Comment Subject Char"/>
    <w:basedOn w:val="CommentTextChar"/>
    <w:link w:val="CommentSubject"/>
    <w:uiPriority w:val="99"/>
    <w:semiHidden/>
    <w:rsid w:val="00134A2D"/>
    <w:rPr>
      <w:b/>
      <w:bCs/>
      <w:sz w:val="20"/>
      <w:szCs w:val="20"/>
    </w:rPr>
  </w:style>
  <w:style w:type="paragraph" w:styleId="BalloonText">
    <w:name w:val="Balloon Text"/>
    <w:basedOn w:val="Normal"/>
    <w:link w:val="BalloonTextChar"/>
    <w:uiPriority w:val="99"/>
    <w:semiHidden/>
    <w:unhideWhenUsed/>
    <w:rsid w:val="00134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A2D"/>
    <w:rPr>
      <w:rFonts w:ascii="Segoe UI" w:hAnsi="Segoe UI" w:cs="Segoe UI"/>
      <w:sz w:val="18"/>
      <w:szCs w:val="18"/>
    </w:rPr>
  </w:style>
  <w:style w:type="character" w:styleId="FollowedHyperlink">
    <w:name w:val="FollowedHyperlink"/>
    <w:basedOn w:val="DefaultParagraphFont"/>
    <w:uiPriority w:val="99"/>
    <w:semiHidden/>
    <w:unhideWhenUsed/>
    <w:rsid w:val="00C074B6"/>
    <w:rPr>
      <w:color w:val="954F72" w:themeColor="followedHyperlink"/>
      <w:u w:val="single"/>
    </w:rPr>
  </w:style>
  <w:style w:type="character" w:styleId="Emphasis">
    <w:name w:val="Emphasis"/>
    <w:basedOn w:val="DefaultParagraphFont"/>
    <w:uiPriority w:val="20"/>
    <w:qFormat/>
    <w:rsid w:val="00E764FB"/>
    <w:rPr>
      <w:i/>
      <w:iCs/>
    </w:rPr>
  </w:style>
  <w:style w:type="paragraph" w:styleId="NormalWeb">
    <w:name w:val="Normal (Web)"/>
    <w:basedOn w:val="Normal"/>
    <w:uiPriority w:val="99"/>
    <w:unhideWhenUsed/>
    <w:rsid w:val="002E25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2CA8"/>
    <w:pPr>
      <w:ind w:left="720"/>
      <w:contextualSpacing/>
    </w:pPr>
  </w:style>
  <w:style w:type="character" w:customStyle="1" w:styleId="cit-auth">
    <w:name w:val="cit-auth"/>
    <w:basedOn w:val="DefaultParagraphFont"/>
    <w:rsid w:val="00005949"/>
  </w:style>
  <w:style w:type="character" w:customStyle="1" w:styleId="cit-name-surname">
    <w:name w:val="cit-name-surname"/>
    <w:basedOn w:val="DefaultParagraphFont"/>
    <w:rsid w:val="00005949"/>
  </w:style>
  <w:style w:type="character" w:customStyle="1" w:styleId="cit-name-given-names">
    <w:name w:val="cit-name-given-names"/>
    <w:basedOn w:val="DefaultParagraphFont"/>
    <w:rsid w:val="00005949"/>
  </w:style>
  <w:style w:type="character" w:styleId="HTMLCite">
    <w:name w:val="HTML Cite"/>
    <w:basedOn w:val="DefaultParagraphFont"/>
    <w:uiPriority w:val="99"/>
    <w:semiHidden/>
    <w:unhideWhenUsed/>
    <w:rsid w:val="00005949"/>
    <w:rPr>
      <w:i/>
      <w:iCs/>
    </w:rPr>
  </w:style>
  <w:style w:type="character" w:customStyle="1" w:styleId="cit-article-title">
    <w:name w:val="cit-article-title"/>
    <w:basedOn w:val="DefaultParagraphFont"/>
    <w:rsid w:val="00005949"/>
  </w:style>
  <w:style w:type="character" w:customStyle="1" w:styleId="cit-pub-date">
    <w:name w:val="cit-pub-date"/>
    <w:basedOn w:val="DefaultParagraphFont"/>
    <w:rsid w:val="00005949"/>
  </w:style>
  <w:style w:type="character" w:customStyle="1" w:styleId="cit-vol">
    <w:name w:val="cit-vol"/>
    <w:basedOn w:val="DefaultParagraphFont"/>
    <w:rsid w:val="00005949"/>
  </w:style>
  <w:style w:type="character" w:customStyle="1" w:styleId="cit-fpage">
    <w:name w:val="cit-fpage"/>
    <w:basedOn w:val="DefaultParagraphFont"/>
    <w:rsid w:val="00005949"/>
  </w:style>
  <w:style w:type="character" w:customStyle="1" w:styleId="cit-lpage">
    <w:name w:val="cit-lpage"/>
    <w:basedOn w:val="DefaultParagraphFont"/>
    <w:rsid w:val="00005949"/>
  </w:style>
  <w:style w:type="paragraph" w:styleId="FootnoteText">
    <w:name w:val="footnote text"/>
    <w:basedOn w:val="Normal"/>
    <w:link w:val="FootnoteTextChar"/>
    <w:uiPriority w:val="99"/>
    <w:semiHidden/>
    <w:unhideWhenUsed/>
    <w:rsid w:val="004143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3D4"/>
    <w:rPr>
      <w:sz w:val="20"/>
      <w:szCs w:val="20"/>
    </w:rPr>
  </w:style>
  <w:style w:type="character" w:styleId="FootnoteReference">
    <w:name w:val="footnote reference"/>
    <w:basedOn w:val="DefaultParagraphFont"/>
    <w:uiPriority w:val="99"/>
    <w:semiHidden/>
    <w:unhideWhenUsed/>
    <w:rsid w:val="004143D4"/>
    <w:rPr>
      <w:vertAlign w:val="superscript"/>
    </w:rPr>
  </w:style>
  <w:style w:type="paragraph" w:customStyle="1" w:styleId="EndNoteBibliographyTitle">
    <w:name w:val="EndNote Bibliography Title"/>
    <w:basedOn w:val="Normal"/>
    <w:link w:val="EndNoteBibliographyTitleChar"/>
    <w:rsid w:val="001F2C7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F2C7C"/>
    <w:rPr>
      <w:rFonts w:ascii="Calibri" w:hAnsi="Calibri" w:cs="Calibri"/>
      <w:noProof/>
      <w:lang w:val="en-US"/>
    </w:rPr>
  </w:style>
  <w:style w:type="paragraph" w:customStyle="1" w:styleId="EndNoteBibliography">
    <w:name w:val="EndNote Bibliography"/>
    <w:basedOn w:val="Normal"/>
    <w:link w:val="EndNoteBibliographyChar"/>
    <w:rsid w:val="001F2C7C"/>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1F2C7C"/>
    <w:rPr>
      <w:rFonts w:ascii="Calibri" w:hAnsi="Calibri" w:cs="Calibri"/>
      <w:noProof/>
      <w:lang w:val="en-US"/>
    </w:rPr>
  </w:style>
  <w:style w:type="character" w:styleId="UnresolvedMention">
    <w:name w:val="Unresolved Mention"/>
    <w:basedOn w:val="DefaultParagraphFont"/>
    <w:uiPriority w:val="99"/>
    <w:semiHidden/>
    <w:unhideWhenUsed/>
    <w:rsid w:val="00C34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910713">
      <w:bodyDiv w:val="1"/>
      <w:marLeft w:val="0"/>
      <w:marRight w:val="0"/>
      <w:marTop w:val="0"/>
      <w:marBottom w:val="0"/>
      <w:divBdr>
        <w:top w:val="none" w:sz="0" w:space="0" w:color="auto"/>
        <w:left w:val="none" w:sz="0" w:space="0" w:color="auto"/>
        <w:bottom w:val="none" w:sz="0" w:space="0" w:color="auto"/>
        <w:right w:val="none" w:sz="0" w:space="0" w:color="auto"/>
      </w:divBdr>
    </w:div>
    <w:div w:id="20113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issa.giebel@liverpool.ac.uk" TargetMode="Externa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s://www.legislation.gov.uk/ukpga/2005/9/contents" TargetMode="External"/><Relationship Id="rId4" Type="http://schemas.openxmlformats.org/officeDocument/2006/relationships/settings" Target="settings.xml"/><Relationship Id="rId9" Type="http://schemas.openxmlformats.org/officeDocument/2006/relationships/hyperlink" Target="http://www.cpa.org.uk/information/reviews/theageingoftheethnicminoritypopulationsofenglandandwales-findingsfromthe2011census.pdf"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ufs02\user04\CGIEBEL\Clarissa%20Giebel\COVID19%20Dementia%20Project\DATA\Data%20Analysis%20Paper%201\Paper%201%20Figure%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fs02\user04\CGIEBEL\Clarissa%20Giebel\COVID19%20Dementia%20Project\DATA\Data%20Analysis%20Paper%201\Paper%201%20Figure%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fs02\user04\CGIEBEL\Clarissa%20Giebel\COVID19%20Dementia%20Project\DATA\Data%20Analysis%20Paper%201\Paper%201%20Figure%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fs02\user04\CGIEBEL\Clarissa%20Giebel\COVID19%20Dementia%20Project\DATA\Data%20Analysis%20Paper%201\Paper%201%20Figure%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fs02\user04\CGIEBEL\Clarissa%20Giebel\COVID19%20Dementia%20Project\DATA\Data%20Analysis%20Paper%201\Paper%201%20Figure%20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PLWD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Sheet4!$B$2</c:f>
              <c:strCache>
                <c:ptCount val="1"/>
                <c:pt idx="0">
                  <c:v>T1</c:v>
                </c:pt>
              </c:strCache>
            </c:strRef>
          </c:tx>
          <c:spPr>
            <a:solidFill>
              <a:schemeClr val="bg1">
                <a:lumMod val="75000"/>
              </a:schemeClr>
            </a:solidFill>
            <a:ln>
              <a:noFill/>
            </a:ln>
            <a:effectLst/>
          </c:spPr>
          <c:invertIfNegative val="0"/>
          <c:cat>
            <c:strRef>
              <c:f>Sheet4!$A$3:$A$14</c:f>
              <c:strCache>
                <c:ptCount val="12"/>
                <c:pt idx="0">
                  <c:v>Paid carers</c:v>
                </c:pt>
                <c:pt idx="1">
                  <c:v>Support groups</c:v>
                </c:pt>
                <c:pt idx="2">
                  <c:v>Respite care</c:v>
                </c:pt>
                <c:pt idx="3">
                  <c:v>Day care centre</c:v>
                </c:pt>
                <c:pt idx="4">
                  <c:v>Home-delivered meals</c:v>
                </c:pt>
                <c:pt idx="5">
                  <c:v>Transport</c:v>
                </c:pt>
                <c:pt idx="6">
                  <c:v>Accompanying/Befriending</c:v>
                </c:pt>
                <c:pt idx="7">
                  <c:v>Clinical mental health support</c:v>
                </c:pt>
                <c:pt idx="8">
                  <c:v>Clinical physical health support</c:v>
                </c:pt>
                <c:pt idx="9">
                  <c:v>Social activities</c:v>
                </c:pt>
                <c:pt idx="10">
                  <c:v>Other</c:v>
                </c:pt>
                <c:pt idx="11">
                  <c:v>None</c:v>
                </c:pt>
              </c:strCache>
            </c:strRef>
          </c:cat>
          <c:val>
            <c:numRef>
              <c:f>Sheet4!$B$3:$B$14</c:f>
              <c:numCache>
                <c:formatCode>0%</c:formatCode>
                <c:ptCount val="12"/>
                <c:pt idx="0" formatCode="0.00%">
                  <c:v>8.2000000000000003E-2</c:v>
                </c:pt>
                <c:pt idx="1">
                  <c:v>0.21299999999999999</c:v>
                </c:pt>
                <c:pt idx="2" formatCode="0.00%">
                  <c:v>1.6E-2</c:v>
                </c:pt>
                <c:pt idx="3" formatCode="0.00%">
                  <c:v>0.115</c:v>
                </c:pt>
                <c:pt idx="4" formatCode="0.00%">
                  <c:v>4.9000000000000002E-2</c:v>
                </c:pt>
                <c:pt idx="5" formatCode="0.00%">
                  <c:v>3.3000000000000002E-2</c:v>
                </c:pt>
                <c:pt idx="6" formatCode="0.00%">
                  <c:v>9.8000000000000004E-2</c:v>
                </c:pt>
                <c:pt idx="7" formatCode="0.00%">
                  <c:v>0.115</c:v>
                </c:pt>
                <c:pt idx="8" formatCode="0.00%">
                  <c:v>8.2000000000000003E-2</c:v>
                </c:pt>
                <c:pt idx="9" formatCode="0.00%">
                  <c:v>0.27900000000000003</c:v>
                </c:pt>
                <c:pt idx="10" formatCode="0.00%">
                  <c:v>0.115</c:v>
                </c:pt>
                <c:pt idx="11" formatCode="0.00%">
                  <c:v>0.36099999999999999</c:v>
                </c:pt>
              </c:numCache>
            </c:numRef>
          </c:val>
          <c:extLst>
            <c:ext xmlns:c16="http://schemas.microsoft.com/office/drawing/2014/chart" uri="{C3380CC4-5D6E-409C-BE32-E72D297353CC}">
              <c16:uniqueId val="{00000000-E4B9-41A3-9C75-FE1349F6F747}"/>
            </c:ext>
          </c:extLst>
        </c:ser>
        <c:ser>
          <c:idx val="1"/>
          <c:order val="1"/>
          <c:tx>
            <c:strRef>
              <c:f>Sheet4!$C$2</c:f>
              <c:strCache>
                <c:ptCount val="1"/>
                <c:pt idx="0">
                  <c:v>T2</c:v>
                </c:pt>
              </c:strCache>
            </c:strRef>
          </c:tx>
          <c:spPr>
            <a:solidFill>
              <a:srgbClr val="002060"/>
            </a:solidFill>
            <a:ln>
              <a:noFill/>
            </a:ln>
            <a:effectLst/>
          </c:spPr>
          <c:invertIfNegative val="0"/>
          <c:cat>
            <c:strRef>
              <c:f>Sheet4!$A$3:$A$14</c:f>
              <c:strCache>
                <c:ptCount val="12"/>
                <c:pt idx="0">
                  <c:v>Paid carers</c:v>
                </c:pt>
                <c:pt idx="1">
                  <c:v>Support groups</c:v>
                </c:pt>
                <c:pt idx="2">
                  <c:v>Respite care</c:v>
                </c:pt>
                <c:pt idx="3">
                  <c:v>Day care centre</c:v>
                </c:pt>
                <c:pt idx="4">
                  <c:v>Home-delivered meals</c:v>
                </c:pt>
                <c:pt idx="5">
                  <c:v>Transport</c:v>
                </c:pt>
                <c:pt idx="6">
                  <c:v>Accompanying/Befriending</c:v>
                </c:pt>
                <c:pt idx="7">
                  <c:v>Clinical mental health support</c:v>
                </c:pt>
                <c:pt idx="8">
                  <c:v>Clinical physical health support</c:v>
                </c:pt>
                <c:pt idx="9">
                  <c:v>Social activities</c:v>
                </c:pt>
                <c:pt idx="10">
                  <c:v>Other</c:v>
                </c:pt>
                <c:pt idx="11">
                  <c:v>None</c:v>
                </c:pt>
              </c:strCache>
            </c:strRef>
          </c:cat>
          <c:val>
            <c:numRef>
              <c:f>Sheet4!$C$3:$C$14</c:f>
              <c:numCache>
                <c:formatCode>0.00%</c:formatCode>
                <c:ptCount val="12"/>
                <c:pt idx="0">
                  <c:v>0.115</c:v>
                </c:pt>
                <c:pt idx="1">
                  <c:v>8.2000000000000003E-2</c:v>
                </c:pt>
                <c:pt idx="2" formatCode="General">
                  <c:v>0</c:v>
                </c:pt>
                <c:pt idx="3">
                  <c:v>3.3000000000000002E-2</c:v>
                </c:pt>
                <c:pt idx="4">
                  <c:v>3.3000000000000002E-2</c:v>
                </c:pt>
                <c:pt idx="5" formatCode="General">
                  <c:v>0</c:v>
                </c:pt>
                <c:pt idx="6">
                  <c:v>3.3000000000000002E-2</c:v>
                </c:pt>
                <c:pt idx="7">
                  <c:v>0.13100000000000001</c:v>
                </c:pt>
                <c:pt idx="8">
                  <c:v>6.6000000000000003E-2</c:v>
                </c:pt>
                <c:pt idx="9">
                  <c:v>9.8000000000000004E-2</c:v>
                </c:pt>
                <c:pt idx="10">
                  <c:v>0.16400000000000001</c:v>
                </c:pt>
                <c:pt idx="11">
                  <c:v>0.50800000000000001</c:v>
                </c:pt>
              </c:numCache>
            </c:numRef>
          </c:val>
          <c:extLst>
            <c:ext xmlns:c16="http://schemas.microsoft.com/office/drawing/2014/chart" uri="{C3380CC4-5D6E-409C-BE32-E72D297353CC}">
              <c16:uniqueId val="{00000001-E4B9-41A3-9C75-FE1349F6F747}"/>
            </c:ext>
          </c:extLst>
        </c:ser>
        <c:dLbls>
          <c:showLegendKey val="0"/>
          <c:showVal val="0"/>
          <c:showCatName val="0"/>
          <c:showSerName val="0"/>
          <c:showPercent val="0"/>
          <c:showBubbleSize val="0"/>
        </c:dLbls>
        <c:gapWidth val="219"/>
        <c:overlap val="-27"/>
        <c:axId val="956317999"/>
        <c:axId val="955198479"/>
      </c:barChart>
      <c:catAx>
        <c:axId val="9563179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5198479"/>
        <c:crosses val="autoZero"/>
        <c:auto val="1"/>
        <c:lblAlgn val="ctr"/>
        <c:lblOffset val="100"/>
        <c:noMultiLvlLbl val="0"/>
      </c:catAx>
      <c:valAx>
        <c:axId val="9551984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63179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Current carers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Sheet4!$T$2</c:f>
              <c:strCache>
                <c:ptCount val="1"/>
                <c:pt idx="0">
                  <c:v>T1</c:v>
                </c:pt>
              </c:strCache>
            </c:strRef>
          </c:tx>
          <c:spPr>
            <a:solidFill>
              <a:schemeClr val="bg1">
                <a:lumMod val="75000"/>
              </a:schemeClr>
            </a:solidFill>
            <a:ln>
              <a:noFill/>
            </a:ln>
            <a:effectLst/>
          </c:spPr>
          <c:invertIfNegative val="0"/>
          <c:cat>
            <c:strRef>
              <c:f>Sheet4!$S$3:$S$14</c:f>
              <c:strCache>
                <c:ptCount val="12"/>
                <c:pt idx="0">
                  <c:v>Paid carers</c:v>
                </c:pt>
                <c:pt idx="1">
                  <c:v>Support groups</c:v>
                </c:pt>
                <c:pt idx="2">
                  <c:v>Respite care</c:v>
                </c:pt>
                <c:pt idx="3">
                  <c:v>Day care centre</c:v>
                </c:pt>
                <c:pt idx="4">
                  <c:v>Home-delivered meals</c:v>
                </c:pt>
                <c:pt idx="5">
                  <c:v>Transport</c:v>
                </c:pt>
                <c:pt idx="6">
                  <c:v>Accompanying/Befriending</c:v>
                </c:pt>
                <c:pt idx="7">
                  <c:v>Clinical mental health support</c:v>
                </c:pt>
                <c:pt idx="8">
                  <c:v>Clinical physical health support</c:v>
                </c:pt>
                <c:pt idx="9">
                  <c:v>Social activities</c:v>
                </c:pt>
                <c:pt idx="10">
                  <c:v>Other</c:v>
                </c:pt>
                <c:pt idx="11">
                  <c:v>None</c:v>
                </c:pt>
              </c:strCache>
            </c:strRef>
          </c:cat>
          <c:val>
            <c:numRef>
              <c:f>Sheet4!$T$3:$T$14</c:f>
              <c:numCache>
                <c:formatCode>0.00%</c:formatCode>
                <c:ptCount val="12"/>
                <c:pt idx="0">
                  <c:v>0.35599999999999998</c:v>
                </c:pt>
                <c:pt idx="1">
                  <c:v>0.315</c:v>
                </c:pt>
                <c:pt idx="2">
                  <c:v>0.05</c:v>
                </c:pt>
                <c:pt idx="3">
                  <c:v>0.26900000000000002</c:v>
                </c:pt>
                <c:pt idx="4">
                  <c:v>5.8999999999999997E-2</c:v>
                </c:pt>
                <c:pt idx="5">
                  <c:v>0.13700000000000001</c:v>
                </c:pt>
                <c:pt idx="6">
                  <c:v>0.13700000000000001</c:v>
                </c:pt>
                <c:pt idx="7">
                  <c:v>0.16900000000000001</c:v>
                </c:pt>
                <c:pt idx="8">
                  <c:v>0.25600000000000001</c:v>
                </c:pt>
                <c:pt idx="9">
                  <c:v>0.40600000000000003</c:v>
                </c:pt>
                <c:pt idx="10">
                  <c:v>0.183</c:v>
                </c:pt>
                <c:pt idx="11">
                  <c:v>0.151</c:v>
                </c:pt>
              </c:numCache>
            </c:numRef>
          </c:val>
          <c:extLst>
            <c:ext xmlns:c16="http://schemas.microsoft.com/office/drawing/2014/chart" uri="{C3380CC4-5D6E-409C-BE32-E72D297353CC}">
              <c16:uniqueId val="{00000000-1C21-474B-9717-7A67FF950662}"/>
            </c:ext>
          </c:extLst>
        </c:ser>
        <c:ser>
          <c:idx val="1"/>
          <c:order val="1"/>
          <c:tx>
            <c:strRef>
              <c:f>Sheet4!$U$2</c:f>
              <c:strCache>
                <c:ptCount val="1"/>
                <c:pt idx="0">
                  <c:v>T2</c:v>
                </c:pt>
              </c:strCache>
            </c:strRef>
          </c:tx>
          <c:spPr>
            <a:solidFill>
              <a:srgbClr val="002060"/>
            </a:solidFill>
            <a:ln>
              <a:noFill/>
            </a:ln>
            <a:effectLst/>
          </c:spPr>
          <c:invertIfNegative val="0"/>
          <c:cat>
            <c:strRef>
              <c:f>Sheet4!$S$3:$S$14</c:f>
              <c:strCache>
                <c:ptCount val="12"/>
                <c:pt idx="0">
                  <c:v>Paid carers</c:v>
                </c:pt>
                <c:pt idx="1">
                  <c:v>Support groups</c:v>
                </c:pt>
                <c:pt idx="2">
                  <c:v>Respite care</c:v>
                </c:pt>
                <c:pt idx="3">
                  <c:v>Day care centre</c:v>
                </c:pt>
                <c:pt idx="4">
                  <c:v>Home-delivered meals</c:v>
                </c:pt>
                <c:pt idx="5">
                  <c:v>Transport</c:v>
                </c:pt>
                <c:pt idx="6">
                  <c:v>Accompanying/Befriending</c:v>
                </c:pt>
                <c:pt idx="7">
                  <c:v>Clinical mental health support</c:v>
                </c:pt>
                <c:pt idx="8">
                  <c:v>Clinical physical health support</c:v>
                </c:pt>
                <c:pt idx="9">
                  <c:v>Social activities</c:v>
                </c:pt>
                <c:pt idx="10">
                  <c:v>Other</c:v>
                </c:pt>
                <c:pt idx="11">
                  <c:v>None</c:v>
                </c:pt>
              </c:strCache>
            </c:strRef>
          </c:cat>
          <c:val>
            <c:numRef>
              <c:f>Sheet4!$U$3:$U$14</c:f>
              <c:numCache>
                <c:formatCode>0.00%</c:formatCode>
                <c:ptCount val="12"/>
                <c:pt idx="0">
                  <c:v>0.27400000000000002</c:v>
                </c:pt>
                <c:pt idx="1">
                  <c:v>8.6999999999999994E-2</c:v>
                </c:pt>
                <c:pt idx="2">
                  <c:v>1.4E-2</c:v>
                </c:pt>
                <c:pt idx="3">
                  <c:v>1.4E-2</c:v>
                </c:pt>
                <c:pt idx="4">
                  <c:v>5.8999999999999997E-2</c:v>
                </c:pt>
                <c:pt idx="5">
                  <c:v>1.4E-2</c:v>
                </c:pt>
                <c:pt idx="6">
                  <c:v>4.5999999999999999E-2</c:v>
                </c:pt>
                <c:pt idx="7">
                  <c:v>5.8999999999999997E-2</c:v>
                </c:pt>
                <c:pt idx="8">
                  <c:v>0.105</c:v>
                </c:pt>
                <c:pt idx="9">
                  <c:v>0.05</c:v>
                </c:pt>
                <c:pt idx="10">
                  <c:v>0.114</c:v>
                </c:pt>
                <c:pt idx="11">
                  <c:v>0.45200000000000001</c:v>
                </c:pt>
              </c:numCache>
            </c:numRef>
          </c:val>
          <c:extLst>
            <c:ext xmlns:c16="http://schemas.microsoft.com/office/drawing/2014/chart" uri="{C3380CC4-5D6E-409C-BE32-E72D297353CC}">
              <c16:uniqueId val="{00000001-1C21-474B-9717-7A67FF950662}"/>
            </c:ext>
          </c:extLst>
        </c:ser>
        <c:dLbls>
          <c:showLegendKey val="0"/>
          <c:showVal val="0"/>
          <c:showCatName val="0"/>
          <c:showSerName val="0"/>
          <c:showPercent val="0"/>
          <c:showBubbleSize val="0"/>
        </c:dLbls>
        <c:gapWidth val="219"/>
        <c:overlap val="-27"/>
        <c:axId val="823930783"/>
        <c:axId val="1153575935"/>
      </c:barChart>
      <c:catAx>
        <c:axId val="823930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3575935"/>
        <c:crosses val="autoZero"/>
        <c:auto val="1"/>
        <c:lblAlgn val="ctr"/>
        <c:lblOffset val="100"/>
        <c:noMultiLvlLbl val="0"/>
      </c:catAx>
      <c:valAx>
        <c:axId val="11535759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9307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Former</a:t>
            </a:r>
            <a:r>
              <a:rPr lang="en-GB" baseline="0"/>
              <a:t> carers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Sheet4!$AB$2</c:f>
              <c:strCache>
                <c:ptCount val="1"/>
                <c:pt idx="0">
                  <c:v>T1</c:v>
                </c:pt>
              </c:strCache>
            </c:strRef>
          </c:tx>
          <c:spPr>
            <a:solidFill>
              <a:schemeClr val="bg1">
                <a:lumMod val="75000"/>
              </a:schemeClr>
            </a:solidFill>
            <a:ln>
              <a:noFill/>
            </a:ln>
            <a:effectLst/>
          </c:spPr>
          <c:invertIfNegative val="0"/>
          <c:cat>
            <c:strRef>
              <c:f>Sheet4!$AA$3:$AA$14</c:f>
              <c:strCache>
                <c:ptCount val="12"/>
                <c:pt idx="0">
                  <c:v>Paid carers</c:v>
                </c:pt>
                <c:pt idx="1">
                  <c:v>Support groups</c:v>
                </c:pt>
                <c:pt idx="2">
                  <c:v>Respite care</c:v>
                </c:pt>
                <c:pt idx="3">
                  <c:v>Day care centre</c:v>
                </c:pt>
                <c:pt idx="4">
                  <c:v>Home-delivered meals</c:v>
                </c:pt>
                <c:pt idx="5">
                  <c:v>Transport</c:v>
                </c:pt>
                <c:pt idx="6">
                  <c:v>Accompanying/Befriending</c:v>
                </c:pt>
                <c:pt idx="7">
                  <c:v>Clinical mental health support</c:v>
                </c:pt>
                <c:pt idx="8">
                  <c:v>Clinical physical health support</c:v>
                </c:pt>
                <c:pt idx="9">
                  <c:v>Social activities</c:v>
                </c:pt>
                <c:pt idx="10">
                  <c:v>Other</c:v>
                </c:pt>
                <c:pt idx="11">
                  <c:v>None</c:v>
                </c:pt>
              </c:strCache>
            </c:strRef>
          </c:cat>
          <c:val>
            <c:numRef>
              <c:f>Sheet4!$AB$3:$AB$14</c:f>
              <c:numCache>
                <c:formatCode>0.00%</c:formatCode>
                <c:ptCount val="12"/>
                <c:pt idx="0">
                  <c:v>0.13600000000000001</c:v>
                </c:pt>
                <c:pt idx="1">
                  <c:v>4.4999999999999998E-2</c:v>
                </c:pt>
                <c:pt idx="2">
                  <c:v>1.4999999999999999E-2</c:v>
                </c:pt>
                <c:pt idx="3">
                  <c:v>1.4999999999999999E-2</c:v>
                </c:pt>
                <c:pt idx="4">
                  <c:v>0.03</c:v>
                </c:pt>
                <c:pt idx="5" formatCode="General">
                  <c:v>0</c:v>
                </c:pt>
                <c:pt idx="6">
                  <c:v>0.03</c:v>
                </c:pt>
                <c:pt idx="7">
                  <c:v>6.0999999999999999E-2</c:v>
                </c:pt>
                <c:pt idx="8">
                  <c:v>0.03</c:v>
                </c:pt>
                <c:pt idx="9">
                  <c:v>0.106</c:v>
                </c:pt>
                <c:pt idx="10">
                  <c:v>0.106</c:v>
                </c:pt>
                <c:pt idx="11">
                  <c:v>0.48499999999999999</c:v>
                </c:pt>
              </c:numCache>
            </c:numRef>
          </c:val>
          <c:extLst>
            <c:ext xmlns:c16="http://schemas.microsoft.com/office/drawing/2014/chart" uri="{C3380CC4-5D6E-409C-BE32-E72D297353CC}">
              <c16:uniqueId val="{00000000-6065-46CC-A934-AA785B03A3D9}"/>
            </c:ext>
          </c:extLst>
        </c:ser>
        <c:ser>
          <c:idx val="1"/>
          <c:order val="1"/>
          <c:tx>
            <c:strRef>
              <c:f>Sheet4!$AC$2</c:f>
              <c:strCache>
                <c:ptCount val="1"/>
                <c:pt idx="0">
                  <c:v>T2</c:v>
                </c:pt>
              </c:strCache>
            </c:strRef>
          </c:tx>
          <c:spPr>
            <a:solidFill>
              <a:srgbClr val="002060"/>
            </a:solidFill>
            <a:ln>
              <a:noFill/>
            </a:ln>
            <a:effectLst/>
          </c:spPr>
          <c:invertIfNegative val="0"/>
          <c:cat>
            <c:strRef>
              <c:f>Sheet4!$AA$3:$AA$14</c:f>
              <c:strCache>
                <c:ptCount val="12"/>
                <c:pt idx="0">
                  <c:v>Paid carers</c:v>
                </c:pt>
                <c:pt idx="1">
                  <c:v>Support groups</c:v>
                </c:pt>
                <c:pt idx="2">
                  <c:v>Respite care</c:v>
                </c:pt>
                <c:pt idx="3">
                  <c:v>Day care centre</c:v>
                </c:pt>
                <c:pt idx="4">
                  <c:v>Home-delivered meals</c:v>
                </c:pt>
                <c:pt idx="5">
                  <c:v>Transport</c:v>
                </c:pt>
                <c:pt idx="6">
                  <c:v>Accompanying/Befriending</c:v>
                </c:pt>
                <c:pt idx="7">
                  <c:v>Clinical mental health support</c:v>
                </c:pt>
                <c:pt idx="8">
                  <c:v>Clinical physical health support</c:v>
                </c:pt>
                <c:pt idx="9">
                  <c:v>Social activities</c:v>
                </c:pt>
                <c:pt idx="10">
                  <c:v>Other</c:v>
                </c:pt>
                <c:pt idx="11">
                  <c:v>None</c:v>
                </c:pt>
              </c:strCache>
            </c:strRef>
          </c:cat>
          <c:val>
            <c:numRef>
              <c:f>Sheet4!$AC$3:$AC$14</c:f>
              <c:numCache>
                <c:formatCode>0.00%</c:formatCode>
                <c:ptCount val="12"/>
                <c:pt idx="0">
                  <c:v>0.106</c:v>
                </c:pt>
                <c:pt idx="1">
                  <c:v>1.4999999999999999E-2</c:v>
                </c:pt>
                <c:pt idx="2" formatCode="General">
                  <c:v>0</c:v>
                </c:pt>
                <c:pt idx="3" formatCode="General">
                  <c:v>0</c:v>
                </c:pt>
                <c:pt idx="4" formatCode="General">
                  <c:v>0</c:v>
                </c:pt>
                <c:pt idx="5" formatCode="General">
                  <c:v>0</c:v>
                </c:pt>
                <c:pt idx="6" formatCode="General">
                  <c:v>0</c:v>
                </c:pt>
                <c:pt idx="7">
                  <c:v>1.4999999999999999E-2</c:v>
                </c:pt>
                <c:pt idx="8">
                  <c:v>0.03</c:v>
                </c:pt>
                <c:pt idx="9">
                  <c:v>4.4999999999999998E-2</c:v>
                </c:pt>
                <c:pt idx="10">
                  <c:v>0.19700000000000001</c:v>
                </c:pt>
                <c:pt idx="11">
                  <c:v>0.66700000000000004</c:v>
                </c:pt>
              </c:numCache>
            </c:numRef>
          </c:val>
          <c:extLst>
            <c:ext xmlns:c16="http://schemas.microsoft.com/office/drawing/2014/chart" uri="{C3380CC4-5D6E-409C-BE32-E72D297353CC}">
              <c16:uniqueId val="{00000001-6065-46CC-A934-AA785B03A3D9}"/>
            </c:ext>
          </c:extLst>
        </c:ser>
        <c:dLbls>
          <c:showLegendKey val="0"/>
          <c:showVal val="0"/>
          <c:showCatName val="0"/>
          <c:showSerName val="0"/>
          <c:showPercent val="0"/>
          <c:showBubbleSize val="0"/>
        </c:dLbls>
        <c:gapWidth val="219"/>
        <c:overlap val="-27"/>
        <c:axId val="1119983487"/>
        <c:axId val="1125650607"/>
      </c:barChart>
      <c:catAx>
        <c:axId val="1119983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5650607"/>
        <c:crosses val="autoZero"/>
        <c:auto val="1"/>
        <c:lblAlgn val="ctr"/>
        <c:lblOffset val="100"/>
        <c:noMultiLvlLbl val="0"/>
      </c:catAx>
      <c:valAx>
        <c:axId val="11256506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99834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Older adults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Sheet4!$AH$2</c:f>
              <c:strCache>
                <c:ptCount val="1"/>
                <c:pt idx="0">
                  <c:v>T1</c:v>
                </c:pt>
              </c:strCache>
            </c:strRef>
          </c:tx>
          <c:spPr>
            <a:solidFill>
              <a:schemeClr val="bg1">
                <a:lumMod val="75000"/>
              </a:schemeClr>
            </a:solidFill>
            <a:ln>
              <a:noFill/>
            </a:ln>
            <a:effectLst/>
          </c:spPr>
          <c:invertIfNegative val="0"/>
          <c:cat>
            <c:strRef>
              <c:f>Sheet4!$AG$3:$AG$14</c:f>
              <c:strCache>
                <c:ptCount val="12"/>
                <c:pt idx="0">
                  <c:v>Paid carers</c:v>
                </c:pt>
                <c:pt idx="1">
                  <c:v>Support groups</c:v>
                </c:pt>
                <c:pt idx="2">
                  <c:v>Respite care</c:v>
                </c:pt>
                <c:pt idx="3">
                  <c:v>Day care centre</c:v>
                </c:pt>
                <c:pt idx="4">
                  <c:v>Home-delivered meals</c:v>
                </c:pt>
                <c:pt idx="5">
                  <c:v>Transport</c:v>
                </c:pt>
                <c:pt idx="6">
                  <c:v>Accompanying/Befriending</c:v>
                </c:pt>
                <c:pt idx="7">
                  <c:v>Clinical mental health support</c:v>
                </c:pt>
                <c:pt idx="8">
                  <c:v>Clinical physical health support</c:v>
                </c:pt>
                <c:pt idx="9">
                  <c:v>Social activities</c:v>
                </c:pt>
                <c:pt idx="10">
                  <c:v>Other</c:v>
                </c:pt>
                <c:pt idx="11">
                  <c:v>None</c:v>
                </c:pt>
              </c:strCache>
            </c:strRef>
          </c:cat>
          <c:val>
            <c:numRef>
              <c:f>Sheet4!$AH$3:$AH$14</c:f>
              <c:numCache>
                <c:formatCode>0.00%</c:formatCode>
                <c:ptCount val="12"/>
                <c:pt idx="0">
                  <c:v>3.1E-2</c:v>
                </c:pt>
                <c:pt idx="1">
                  <c:v>3.1E-2</c:v>
                </c:pt>
                <c:pt idx="2">
                  <c:v>4.0000000000000001E-3</c:v>
                </c:pt>
                <c:pt idx="3">
                  <c:v>1.2999999999999999E-2</c:v>
                </c:pt>
                <c:pt idx="4">
                  <c:v>1.7999999999999999E-2</c:v>
                </c:pt>
                <c:pt idx="5">
                  <c:v>2.7E-2</c:v>
                </c:pt>
                <c:pt idx="6">
                  <c:v>1.7999999999999999E-2</c:v>
                </c:pt>
                <c:pt idx="7">
                  <c:v>4.0000000000000001E-3</c:v>
                </c:pt>
                <c:pt idx="8">
                  <c:v>0.04</c:v>
                </c:pt>
                <c:pt idx="9">
                  <c:v>0.13500000000000001</c:v>
                </c:pt>
                <c:pt idx="10">
                  <c:v>0.09</c:v>
                </c:pt>
                <c:pt idx="11">
                  <c:v>0.56100000000000005</c:v>
                </c:pt>
              </c:numCache>
            </c:numRef>
          </c:val>
          <c:extLst>
            <c:ext xmlns:c16="http://schemas.microsoft.com/office/drawing/2014/chart" uri="{C3380CC4-5D6E-409C-BE32-E72D297353CC}">
              <c16:uniqueId val="{00000000-B100-49F7-A3A2-337C4FEC928C}"/>
            </c:ext>
          </c:extLst>
        </c:ser>
        <c:ser>
          <c:idx val="1"/>
          <c:order val="1"/>
          <c:tx>
            <c:strRef>
              <c:f>Sheet4!$AI$2</c:f>
              <c:strCache>
                <c:ptCount val="1"/>
                <c:pt idx="0">
                  <c:v>T2</c:v>
                </c:pt>
              </c:strCache>
            </c:strRef>
          </c:tx>
          <c:spPr>
            <a:solidFill>
              <a:srgbClr val="002060"/>
            </a:solidFill>
            <a:ln>
              <a:noFill/>
            </a:ln>
            <a:effectLst/>
          </c:spPr>
          <c:invertIfNegative val="0"/>
          <c:cat>
            <c:strRef>
              <c:f>Sheet4!$AG$3:$AG$14</c:f>
              <c:strCache>
                <c:ptCount val="12"/>
                <c:pt idx="0">
                  <c:v>Paid carers</c:v>
                </c:pt>
                <c:pt idx="1">
                  <c:v>Support groups</c:v>
                </c:pt>
                <c:pt idx="2">
                  <c:v>Respite care</c:v>
                </c:pt>
                <c:pt idx="3">
                  <c:v>Day care centre</c:v>
                </c:pt>
                <c:pt idx="4">
                  <c:v>Home-delivered meals</c:v>
                </c:pt>
                <c:pt idx="5">
                  <c:v>Transport</c:v>
                </c:pt>
                <c:pt idx="6">
                  <c:v>Accompanying/Befriending</c:v>
                </c:pt>
                <c:pt idx="7">
                  <c:v>Clinical mental health support</c:v>
                </c:pt>
                <c:pt idx="8">
                  <c:v>Clinical physical health support</c:v>
                </c:pt>
                <c:pt idx="9">
                  <c:v>Social activities</c:v>
                </c:pt>
                <c:pt idx="10">
                  <c:v>Other</c:v>
                </c:pt>
                <c:pt idx="11">
                  <c:v>None</c:v>
                </c:pt>
              </c:strCache>
            </c:strRef>
          </c:cat>
          <c:val>
            <c:numRef>
              <c:f>Sheet4!$AI$3:$AI$14</c:f>
              <c:numCache>
                <c:formatCode>0.00%</c:formatCode>
                <c:ptCount val="12"/>
                <c:pt idx="0">
                  <c:v>1.2999999999999999E-2</c:v>
                </c:pt>
                <c:pt idx="1">
                  <c:v>2.7E-2</c:v>
                </c:pt>
                <c:pt idx="2" formatCode="General">
                  <c:v>0</c:v>
                </c:pt>
                <c:pt idx="3" formatCode="General">
                  <c:v>0</c:v>
                </c:pt>
                <c:pt idx="4">
                  <c:v>3.1E-2</c:v>
                </c:pt>
                <c:pt idx="5" formatCode="General">
                  <c:v>0</c:v>
                </c:pt>
                <c:pt idx="6">
                  <c:v>1.2999999999999999E-2</c:v>
                </c:pt>
                <c:pt idx="7" formatCode="General">
                  <c:v>0</c:v>
                </c:pt>
                <c:pt idx="8">
                  <c:v>1.7999999999999999E-2</c:v>
                </c:pt>
                <c:pt idx="9">
                  <c:v>6.7000000000000004E-2</c:v>
                </c:pt>
                <c:pt idx="10">
                  <c:v>9.9000000000000005E-2</c:v>
                </c:pt>
                <c:pt idx="11">
                  <c:v>0.79800000000000004</c:v>
                </c:pt>
              </c:numCache>
            </c:numRef>
          </c:val>
          <c:extLst>
            <c:ext xmlns:c16="http://schemas.microsoft.com/office/drawing/2014/chart" uri="{C3380CC4-5D6E-409C-BE32-E72D297353CC}">
              <c16:uniqueId val="{00000001-B100-49F7-A3A2-337C4FEC928C}"/>
            </c:ext>
          </c:extLst>
        </c:ser>
        <c:dLbls>
          <c:showLegendKey val="0"/>
          <c:showVal val="0"/>
          <c:showCatName val="0"/>
          <c:showSerName val="0"/>
          <c:showPercent val="0"/>
          <c:showBubbleSize val="0"/>
        </c:dLbls>
        <c:gapWidth val="219"/>
        <c:overlap val="-27"/>
        <c:axId val="956333199"/>
        <c:axId val="1125651023"/>
      </c:barChart>
      <c:catAx>
        <c:axId val="956333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5651023"/>
        <c:crosses val="autoZero"/>
        <c:auto val="1"/>
        <c:lblAlgn val="ctr"/>
        <c:lblOffset val="100"/>
        <c:noMultiLvlLbl val="0"/>
      </c:catAx>
      <c:valAx>
        <c:axId val="112565102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63331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Sheet3!$A$3</c:f>
              <c:strCache>
                <c:ptCount val="1"/>
                <c:pt idx="0">
                  <c:v>Anxiety</c:v>
                </c:pt>
              </c:strCache>
            </c:strRef>
          </c:tx>
          <c:spPr>
            <a:solidFill>
              <a:schemeClr val="tx1">
                <a:lumMod val="75000"/>
                <a:lumOff val="25000"/>
              </a:schemeClr>
            </a:solidFill>
            <a:ln>
              <a:noFill/>
            </a:ln>
            <a:effectLst/>
          </c:spPr>
          <c:invertIfNegative val="0"/>
          <c:cat>
            <c:strRef>
              <c:f>Sheet3!$B$2:$E$2</c:f>
              <c:strCache>
                <c:ptCount val="4"/>
                <c:pt idx="0">
                  <c:v>PLWD</c:v>
                </c:pt>
                <c:pt idx="1">
                  <c:v>Current carers</c:v>
                </c:pt>
                <c:pt idx="2">
                  <c:v>Former carers</c:v>
                </c:pt>
                <c:pt idx="3">
                  <c:v>OAs</c:v>
                </c:pt>
              </c:strCache>
            </c:strRef>
          </c:cat>
          <c:val>
            <c:numRef>
              <c:f>Sheet3!$B$3:$E$3</c:f>
              <c:numCache>
                <c:formatCode>0.00%</c:formatCode>
                <c:ptCount val="4"/>
                <c:pt idx="0">
                  <c:v>0.32800000000000001</c:v>
                </c:pt>
                <c:pt idx="1">
                  <c:v>0.28399999999999997</c:v>
                </c:pt>
                <c:pt idx="2">
                  <c:v>0.13600000000000001</c:v>
                </c:pt>
                <c:pt idx="3">
                  <c:v>4.9000000000000002E-2</c:v>
                </c:pt>
              </c:numCache>
            </c:numRef>
          </c:val>
          <c:extLst>
            <c:ext xmlns:c16="http://schemas.microsoft.com/office/drawing/2014/chart" uri="{C3380CC4-5D6E-409C-BE32-E72D297353CC}">
              <c16:uniqueId val="{00000000-4956-4F14-B0D7-007AF6C0E834}"/>
            </c:ext>
          </c:extLst>
        </c:ser>
        <c:ser>
          <c:idx val="1"/>
          <c:order val="1"/>
          <c:tx>
            <c:strRef>
              <c:f>Sheet3!$A$4</c:f>
              <c:strCache>
                <c:ptCount val="1"/>
                <c:pt idx="0">
                  <c:v>Depression</c:v>
                </c:pt>
              </c:strCache>
            </c:strRef>
          </c:tx>
          <c:spPr>
            <a:solidFill>
              <a:schemeClr val="bg1">
                <a:lumMod val="85000"/>
              </a:schemeClr>
            </a:solidFill>
            <a:ln>
              <a:noFill/>
            </a:ln>
            <a:effectLst/>
          </c:spPr>
          <c:invertIfNegative val="0"/>
          <c:cat>
            <c:strRef>
              <c:f>Sheet3!$B$2:$E$2</c:f>
              <c:strCache>
                <c:ptCount val="4"/>
                <c:pt idx="0">
                  <c:v>PLWD</c:v>
                </c:pt>
                <c:pt idx="1">
                  <c:v>Current carers</c:v>
                </c:pt>
                <c:pt idx="2">
                  <c:v>Former carers</c:v>
                </c:pt>
                <c:pt idx="3">
                  <c:v>OAs</c:v>
                </c:pt>
              </c:strCache>
            </c:strRef>
          </c:cat>
          <c:val>
            <c:numRef>
              <c:f>Sheet3!$B$4:$E$4</c:f>
              <c:numCache>
                <c:formatCode>0.00%</c:formatCode>
                <c:ptCount val="4"/>
                <c:pt idx="0">
                  <c:v>0.47499999999999998</c:v>
                </c:pt>
                <c:pt idx="1">
                  <c:v>0.20599999999999999</c:v>
                </c:pt>
                <c:pt idx="2">
                  <c:v>0.106</c:v>
                </c:pt>
                <c:pt idx="3">
                  <c:v>5.3999999999999999E-2</c:v>
                </c:pt>
              </c:numCache>
            </c:numRef>
          </c:val>
          <c:extLst>
            <c:ext xmlns:c16="http://schemas.microsoft.com/office/drawing/2014/chart" uri="{C3380CC4-5D6E-409C-BE32-E72D297353CC}">
              <c16:uniqueId val="{00000001-4956-4F14-B0D7-007AF6C0E834}"/>
            </c:ext>
          </c:extLst>
        </c:ser>
        <c:dLbls>
          <c:showLegendKey val="0"/>
          <c:showVal val="0"/>
          <c:showCatName val="0"/>
          <c:showSerName val="0"/>
          <c:showPercent val="0"/>
          <c:showBubbleSize val="0"/>
        </c:dLbls>
        <c:gapWidth val="219"/>
        <c:overlap val="-27"/>
        <c:axId val="2095430687"/>
        <c:axId val="2095532079"/>
      </c:barChart>
      <c:catAx>
        <c:axId val="2095430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5532079"/>
        <c:crosses val="autoZero"/>
        <c:auto val="1"/>
        <c:lblAlgn val="ctr"/>
        <c:lblOffset val="100"/>
        <c:noMultiLvlLbl val="0"/>
      </c:catAx>
      <c:valAx>
        <c:axId val="20955320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54306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209B7-CEBA-440D-88F3-8148A7EA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3269</TotalTime>
  <Pages>17</Pages>
  <Words>5797</Words>
  <Characters>33047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108</cp:revision>
  <dcterms:created xsi:type="dcterms:W3CDTF">2020-06-12T09:02:00Z</dcterms:created>
  <dcterms:modified xsi:type="dcterms:W3CDTF">2020-09-16T14:33:00Z</dcterms:modified>
</cp:coreProperties>
</file>