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B8A1" w14:textId="77777777" w:rsidR="00DD56FC" w:rsidRDefault="00852C8F">
      <w:pPr>
        <w:pStyle w:val="Title"/>
        <w:jc w:val="center"/>
        <w:rPr>
          <w:sz w:val="32"/>
          <w:shd w:val="clear" w:color="auto" w:fill="FFFFFF"/>
        </w:rPr>
      </w:pPr>
      <w:bookmarkStart w:id="0" w:name="_Hlk41049981"/>
      <w:r w:rsidRPr="00DD56FC">
        <w:rPr>
          <w:sz w:val="32"/>
          <w:shd w:val="clear" w:color="auto" w:fill="FFFFFF"/>
        </w:rPr>
        <w:t xml:space="preserve">STrengthening the Reporting Of </w:t>
      </w:r>
      <w:r w:rsidRPr="00DD56FC">
        <w:rPr>
          <w:sz w:val="32"/>
        </w:rPr>
        <w:t>Pharmacogenetic</w:t>
      </w:r>
      <w:r w:rsidRPr="00DD56FC">
        <w:rPr>
          <w:sz w:val="32"/>
          <w:shd w:val="clear" w:color="auto" w:fill="FFFFFF"/>
        </w:rPr>
        <w:t xml:space="preserve"> Studies: </w:t>
      </w:r>
    </w:p>
    <w:p w14:paraId="5423D861" w14:textId="71E6D875" w:rsidR="007E7CC8" w:rsidRPr="00DD56FC" w:rsidRDefault="0008108E">
      <w:pPr>
        <w:pStyle w:val="Title"/>
        <w:jc w:val="center"/>
        <w:rPr>
          <w:b w:val="0"/>
          <w:sz w:val="32"/>
          <w:highlight w:val="white"/>
        </w:rPr>
      </w:pPr>
      <w:r>
        <w:rPr>
          <w:sz w:val="32"/>
          <w:shd w:val="clear" w:color="auto" w:fill="FFFFFF"/>
        </w:rPr>
        <w:t xml:space="preserve">development of </w:t>
      </w:r>
      <w:r w:rsidR="00852C8F" w:rsidRPr="00DA4A03">
        <w:rPr>
          <w:sz w:val="32"/>
          <w:shd w:val="clear" w:color="auto" w:fill="FFFFFF"/>
        </w:rPr>
        <w:t>t</w:t>
      </w:r>
      <w:r w:rsidR="00852C8F" w:rsidRPr="00DD56FC">
        <w:rPr>
          <w:sz w:val="32"/>
          <w:shd w:val="clear" w:color="auto" w:fill="FFFFFF"/>
        </w:rPr>
        <w:t xml:space="preserve">he STROPS </w:t>
      </w:r>
      <w:r w:rsidR="00852C8F" w:rsidRPr="001D274A">
        <w:rPr>
          <w:sz w:val="32"/>
          <w:shd w:val="clear" w:color="auto" w:fill="FFFFFF"/>
        </w:rPr>
        <w:t>g</w:t>
      </w:r>
      <w:r w:rsidR="00852C8F" w:rsidRPr="00DD56FC">
        <w:rPr>
          <w:sz w:val="32"/>
          <w:shd w:val="clear" w:color="auto" w:fill="FFFFFF"/>
        </w:rPr>
        <w:t>uideline</w:t>
      </w:r>
    </w:p>
    <w:p w14:paraId="7E30E317" w14:textId="77777777" w:rsidR="007E7CC8" w:rsidRDefault="007E7CC8">
      <w:pPr>
        <w:pStyle w:val="NoSpacing"/>
      </w:pPr>
    </w:p>
    <w:p w14:paraId="3484F21A" w14:textId="77777777" w:rsidR="007E7CC8" w:rsidRDefault="00852C8F">
      <w:pPr>
        <w:pStyle w:val="NoSpacing"/>
      </w:pPr>
      <w:r>
        <w:t>Short title: The STROPS guideline</w:t>
      </w:r>
    </w:p>
    <w:p w14:paraId="6B4895F3" w14:textId="77777777" w:rsidR="007E7CC8" w:rsidRDefault="007E7CC8">
      <w:pPr>
        <w:pStyle w:val="NoSpacing"/>
      </w:pPr>
    </w:p>
    <w:p w14:paraId="5AAD888E" w14:textId="77777777" w:rsidR="007E7CC8" w:rsidRDefault="00852C8F">
      <w:pPr>
        <w:pStyle w:val="NoSpacing"/>
      </w:pPr>
      <w:r>
        <w:t>Marty Chaplin</w:t>
      </w:r>
      <w:r>
        <w:rPr>
          <w:vertAlign w:val="superscript"/>
        </w:rPr>
        <w:t>1</w:t>
      </w:r>
      <w:r w:rsidRPr="00212C70">
        <w:t>*</w:t>
      </w:r>
      <w:r>
        <w:rPr>
          <w:vertAlign w:val="superscript"/>
        </w:rPr>
        <w:t xml:space="preserve"> </w:t>
      </w:r>
      <w:r>
        <w:t xml:space="preserve">(ORCID iD: </w:t>
      </w:r>
      <w:r>
        <w:rPr>
          <w:shd w:val="clear" w:color="auto" w:fill="FFFFFF"/>
        </w:rPr>
        <w:t>0000-0002-7097-8704)</w:t>
      </w:r>
    </w:p>
    <w:p w14:paraId="4E5CA466" w14:textId="77777777" w:rsidR="007E7CC8" w:rsidRDefault="00852C8F">
      <w:pPr>
        <w:pStyle w:val="NoSpacing"/>
      </w:pPr>
      <w:r>
        <w:t>Jamie J Kirkham</w:t>
      </w:r>
      <w:r>
        <w:rPr>
          <w:vertAlign w:val="superscript"/>
        </w:rPr>
        <w:t xml:space="preserve">1,2 </w:t>
      </w:r>
    </w:p>
    <w:p w14:paraId="531BBDB6" w14:textId="77777777" w:rsidR="007E7CC8" w:rsidRDefault="00852C8F">
      <w:pPr>
        <w:pStyle w:val="NoSpacing"/>
      </w:pPr>
      <w:r>
        <w:t>Kerry Dwan</w:t>
      </w:r>
      <w:r>
        <w:rPr>
          <w:vertAlign w:val="superscript"/>
        </w:rPr>
        <w:t>3</w:t>
      </w:r>
    </w:p>
    <w:p w14:paraId="6A49D518" w14:textId="77777777" w:rsidR="007E7CC8" w:rsidRDefault="00852C8F">
      <w:pPr>
        <w:pStyle w:val="NoSpacing"/>
      </w:pPr>
      <w:r>
        <w:t>Derek J Sloan</w:t>
      </w:r>
      <w:r>
        <w:rPr>
          <w:vertAlign w:val="superscript"/>
        </w:rPr>
        <w:t>4</w:t>
      </w:r>
    </w:p>
    <w:p w14:paraId="2D80DBBA" w14:textId="77777777" w:rsidR="007E7CC8" w:rsidRDefault="00852C8F">
      <w:pPr>
        <w:pStyle w:val="NoSpacing"/>
      </w:pPr>
      <w:r>
        <w:t>Geraint Davies</w:t>
      </w:r>
      <w:r>
        <w:rPr>
          <w:vertAlign w:val="superscript"/>
        </w:rPr>
        <w:t xml:space="preserve">5 </w:t>
      </w:r>
    </w:p>
    <w:p w14:paraId="437A3886" w14:textId="77777777" w:rsidR="007E7CC8" w:rsidRDefault="00852C8F">
      <w:pPr>
        <w:pStyle w:val="NoSpacing"/>
      </w:pPr>
      <w:r>
        <w:t>Andrea L Jorgensen</w:t>
      </w:r>
      <w:r>
        <w:rPr>
          <w:vertAlign w:val="superscript"/>
        </w:rPr>
        <w:t xml:space="preserve">1 </w:t>
      </w:r>
    </w:p>
    <w:p w14:paraId="42D7513C" w14:textId="77777777" w:rsidR="007E7CC8" w:rsidRDefault="007E7CC8">
      <w:pPr>
        <w:pStyle w:val="NoSpacing"/>
      </w:pPr>
    </w:p>
    <w:p w14:paraId="59543B7E" w14:textId="6782538C" w:rsidR="007E7CC8" w:rsidRDefault="00852C8F">
      <w:pPr>
        <w:pStyle w:val="NoSpacing"/>
      </w:pPr>
      <w:r w:rsidRPr="00DD56FC">
        <w:rPr>
          <w:vertAlign w:val="superscript"/>
        </w:rPr>
        <w:t xml:space="preserve">1 </w:t>
      </w:r>
      <w:r>
        <w:t xml:space="preserve">Department of Biostatistics, University of Liverpool, </w:t>
      </w:r>
      <w:r w:rsidR="00290628">
        <w:t xml:space="preserve">Liverpool, </w:t>
      </w:r>
      <w:r>
        <w:t>UK</w:t>
      </w:r>
    </w:p>
    <w:p w14:paraId="0F7B42AB" w14:textId="0DCC14CE" w:rsidR="007E7CC8" w:rsidRDefault="00852C8F">
      <w:pPr>
        <w:pStyle w:val="NoSpacing"/>
      </w:pPr>
      <w:r w:rsidRPr="00DD56FC">
        <w:rPr>
          <w:vertAlign w:val="superscript"/>
        </w:rPr>
        <w:t xml:space="preserve">2 </w:t>
      </w:r>
      <w:r>
        <w:t>Centre for Biostatistics</w:t>
      </w:r>
      <w:r>
        <w:rPr>
          <w:rFonts w:cstheme="minorHAnsi"/>
        </w:rPr>
        <w:t xml:space="preserve">, </w:t>
      </w:r>
      <w:r>
        <w:rPr>
          <w:rFonts w:cstheme="minorHAnsi"/>
          <w:shd w:val="clear" w:color="auto" w:fill="FFFFFF"/>
        </w:rPr>
        <w:t>Manchester Academic Health Science Centre,</w:t>
      </w:r>
      <w:r>
        <w:t xml:space="preserve"> University of Manchester, </w:t>
      </w:r>
      <w:r w:rsidR="00290628">
        <w:t>Manchester</w:t>
      </w:r>
      <w:r>
        <w:t xml:space="preserve">, UK </w:t>
      </w:r>
    </w:p>
    <w:p w14:paraId="06B95132" w14:textId="6946C85F" w:rsidR="007E7CC8" w:rsidRDefault="00852C8F">
      <w:pPr>
        <w:pStyle w:val="NoSpacing"/>
      </w:pPr>
      <w:r w:rsidRPr="00DD56FC">
        <w:rPr>
          <w:vertAlign w:val="superscript"/>
        </w:rPr>
        <w:t xml:space="preserve">3 </w:t>
      </w:r>
      <w:r>
        <w:t>Cochrane Editorial Unit, London, UK</w:t>
      </w:r>
    </w:p>
    <w:p w14:paraId="0E6CB20D" w14:textId="5B81E4CA" w:rsidR="007E7CC8" w:rsidRDefault="00852C8F">
      <w:pPr>
        <w:pStyle w:val="NoSpacing"/>
      </w:pPr>
      <w:r w:rsidRPr="00DD56FC">
        <w:rPr>
          <w:vertAlign w:val="superscript"/>
        </w:rPr>
        <w:t>4</w:t>
      </w:r>
      <w:r>
        <w:t xml:space="preserve"> School of Medicine, University of St Andrews, </w:t>
      </w:r>
      <w:r w:rsidR="00290628">
        <w:t>St Andrews</w:t>
      </w:r>
      <w:r>
        <w:t>, UK</w:t>
      </w:r>
    </w:p>
    <w:p w14:paraId="7AF749C0" w14:textId="2132F206" w:rsidR="007E7CC8" w:rsidRDefault="00852C8F">
      <w:pPr>
        <w:pStyle w:val="NoSpacing"/>
      </w:pPr>
      <w:r w:rsidRPr="00DD56FC">
        <w:rPr>
          <w:vertAlign w:val="superscript"/>
        </w:rPr>
        <w:t xml:space="preserve">5 </w:t>
      </w:r>
      <w:r>
        <w:t xml:space="preserve">Department of Clinical Infection, Microbiology and Immunology, University of Liverpool, </w:t>
      </w:r>
      <w:r w:rsidR="00290628">
        <w:t>Liverpool</w:t>
      </w:r>
      <w:r>
        <w:t>, UK</w:t>
      </w:r>
    </w:p>
    <w:p w14:paraId="7BD55151" w14:textId="77777777" w:rsidR="007E7CC8" w:rsidRDefault="007E7CC8">
      <w:pPr>
        <w:pStyle w:val="NoSpacing"/>
        <w:rPr>
          <w:highlight w:val="white"/>
        </w:rPr>
      </w:pPr>
    </w:p>
    <w:p w14:paraId="419D9952" w14:textId="77777777" w:rsidR="007E7CC8" w:rsidRDefault="00852C8F">
      <w:pPr>
        <w:pStyle w:val="NoSpacing"/>
      </w:pPr>
      <w:r>
        <w:t>* Corresponding author</w:t>
      </w:r>
    </w:p>
    <w:p w14:paraId="172B4CCB" w14:textId="77777777" w:rsidR="007E7CC8" w:rsidRDefault="00852C8F">
      <w:pPr>
        <w:pStyle w:val="NoSpacing"/>
      </w:pPr>
      <w:r>
        <w:t>E-mail: m.chaplin@liverpool.ac.uk</w:t>
      </w:r>
      <w:r>
        <w:br w:type="page"/>
      </w:r>
    </w:p>
    <w:p w14:paraId="732DD4D8" w14:textId="77777777" w:rsidR="007E7CC8" w:rsidRDefault="00852C8F">
      <w:pPr>
        <w:pStyle w:val="Heading1"/>
      </w:pPr>
      <w:r>
        <w:lastRenderedPageBreak/>
        <w:t>Abstract</w:t>
      </w:r>
    </w:p>
    <w:p w14:paraId="404B5F26" w14:textId="75DF27E6" w:rsidR="007E7CC8" w:rsidRDefault="00DE0ECC">
      <w:pPr>
        <w:pStyle w:val="Heading2"/>
      </w:pPr>
      <w:r>
        <w:t>Background</w:t>
      </w:r>
    </w:p>
    <w:p w14:paraId="268E183D" w14:textId="77777777" w:rsidR="007E7CC8" w:rsidRDefault="00852C8F">
      <w:pPr>
        <w:pStyle w:val="NoSpacing"/>
        <w:rPr>
          <w:rFonts w:eastAsia="Times New Roman" w:cs="Times New Roman"/>
          <w:color w:val="000000" w:themeColor="text1"/>
          <w:lang w:eastAsia="en-GB"/>
        </w:rPr>
      </w:pPr>
      <w:r>
        <w:t xml:space="preserve">Large sample sizes are often required to detect statistically significant associations between pharmacogenetic markers and treatment response. Meta-analysis may be performed to synthesise data from several studies, increasing sample size and consequently power to detect significant genetic effects. However, performing robust synthesis of data from pharmacogenetic studies is often challenging due to poor reporting of key data in study reports. </w:t>
      </w:r>
      <w:r>
        <w:rPr>
          <w:rFonts w:eastAsia="Times New Roman" w:cs="Times New Roman"/>
          <w:color w:val="000000" w:themeColor="text1"/>
          <w:lang w:eastAsia="en-GB"/>
        </w:rPr>
        <w:t xml:space="preserve">There is currently no guideline for the reporting of pharmacogenetic studies </w:t>
      </w:r>
      <w:r>
        <w:t>that has been developed using a widely-accepted robust methodology</w:t>
      </w:r>
      <w:r>
        <w:rPr>
          <w:rFonts w:eastAsia="Times New Roman" w:cs="Times New Roman"/>
          <w:color w:val="000000" w:themeColor="text1"/>
          <w:lang w:eastAsia="en-GB"/>
        </w:rPr>
        <w:t xml:space="preserve">. </w:t>
      </w:r>
      <w:r>
        <w:rPr>
          <w:rFonts w:eastAsia="Times New Roman" w:cs="Times New Roman"/>
          <w:lang w:eastAsia="en-GB"/>
        </w:rPr>
        <w:t>The objective of this project was to develop the STROPS (</w:t>
      </w:r>
      <w:r>
        <w:rPr>
          <w:szCs w:val="32"/>
        </w:rPr>
        <w:t xml:space="preserve">STrengthening the Reporting Of Pharmacogenetic Studies) </w:t>
      </w:r>
      <w:r>
        <w:rPr>
          <w:rFonts w:eastAsia="Times New Roman" w:cs="Times New Roman"/>
          <w:color w:val="000000" w:themeColor="text1"/>
          <w:lang w:eastAsia="en-GB"/>
        </w:rPr>
        <w:t xml:space="preserve">guideline. </w:t>
      </w:r>
    </w:p>
    <w:p w14:paraId="34449110" w14:textId="77777777" w:rsidR="007E7CC8" w:rsidRDefault="007E7CC8">
      <w:pPr>
        <w:pStyle w:val="NoSpacing"/>
      </w:pPr>
      <w:bookmarkStart w:id="1" w:name="_Hlk37252107"/>
      <w:bookmarkEnd w:id="1"/>
    </w:p>
    <w:p w14:paraId="457DCF6E" w14:textId="77777777" w:rsidR="007E7CC8" w:rsidRDefault="00852C8F">
      <w:pPr>
        <w:pStyle w:val="Heading2"/>
      </w:pPr>
      <w:r>
        <w:t>Methods and findings</w:t>
      </w:r>
    </w:p>
    <w:p w14:paraId="6DC69202" w14:textId="0D0A981F" w:rsidR="0034589D" w:rsidRDefault="00852C8F">
      <w:pPr>
        <w:pStyle w:val="NoSpacing"/>
        <w:rPr>
          <w:lang w:eastAsia="en-GB"/>
        </w:rPr>
      </w:pPr>
      <w:r>
        <w:t xml:space="preserve">We established a preliminary checklist of reporting items to be considered for inclusion in the guideline. We invited representatives of </w:t>
      </w:r>
      <w:r w:rsidR="00DD56FC">
        <w:t xml:space="preserve">key </w:t>
      </w:r>
      <w:r>
        <w:t xml:space="preserve">stakeholder groups to participate in a two-round Delphi survey. A total of 52 individuals participated in both rounds of the survey, scoring items with regards to their importance for inclusion in the STROPS guideline. </w:t>
      </w:r>
      <w:r>
        <w:rPr>
          <w:lang w:eastAsia="en-GB"/>
        </w:rPr>
        <w:t xml:space="preserve">We then held a consensus meeting, at which </w:t>
      </w:r>
      <w:r w:rsidR="00DE0ECC">
        <w:rPr>
          <w:lang w:eastAsia="en-GB"/>
        </w:rPr>
        <w:t xml:space="preserve">8 </w:t>
      </w:r>
      <w:r>
        <w:rPr>
          <w:lang w:eastAsia="en-GB"/>
        </w:rPr>
        <w:t xml:space="preserve">individuals considered the results of the Delphi survey and voted on whether each item ought to be included in the final guideline. </w:t>
      </w:r>
      <w:bookmarkStart w:id="2" w:name="_Hlk47359117"/>
      <w:r w:rsidR="00626C60">
        <w:rPr>
          <w:lang w:eastAsia="en-GB"/>
        </w:rPr>
        <w:t>The STROPS guideline consists of 54 items</w:t>
      </w:r>
      <w:r w:rsidR="00E90CDA">
        <w:rPr>
          <w:lang w:eastAsia="en-GB"/>
        </w:rPr>
        <w:t xml:space="preserve">, </w:t>
      </w:r>
      <w:r w:rsidR="00626C60">
        <w:rPr>
          <w:lang w:eastAsia="en-GB"/>
        </w:rPr>
        <w:t xml:space="preserve">and is accompanied by an explanation and elaboration document. </w:t>
      </w:r>
      <w:r w:rsidR="00CE676E">
        <w:rPr>
          <w:lang w:eastAsia="en-GB"/>
        </w:rPr>
        <w:t>The guideline contains items that are particularly important in the field of pharmacogenetics, such as the drug regimen of interest and whether adherence to treatment was accounted for in the conducted analyses. The guideline also requires that outcomes be clearly defined and justified, as in pharmacogenetic studies there may be a greater number of possible outcomes than in other types of study (</w:t>
      </w:r>
      <w:r w:rsidR="00D31880">
        <w:rPr>
          <w:lang w:eastAsia="en-GB"/>
        </w:rPr>
        <w:t>for example, disease-</w:t>
      </w:r>
      <w:r w:rsidR="00CE676E">
        <w:rPr>
          <w:lang w:eastAsia="en-GB"/>
        </w:rPr>
        <w:t xml:space="preserve">gene association studies). </w:t>
      </w:r>
      <w:bookmarkEnd w:id="2"/>
      <w:r w:rsidR="00885B30">
        <w:rPr>
          <w:lang w:eastAsia="en-GB"/>
        </w:rPr>
        <w:t>A</w:t>
      </w:r>
      <w:r>
        <w:rPr>
          <w:lang w:eastAsia="en-GB"/>
        </w:rPr>
        <w:t xml:space="preserve"> limitation of this project is that our consensus meeting involved a small number of individuals, </w:t>
      </w:r>
      <w:r w:rsidR="00BA41D8">
        <w:rPr>
          <w:lang w:eastAsia="en-GB"/>
        </w:rPr>
        <w:t>the majority of whom are based in the UK</w:t>
      </w:r>
      <w:r>
        <w:rPr>
          <w:lang w:eastAsia="en-GB"/>
        </w:rPr>
        <w:t xml:space="preserve">. </w:t>
      </w:r>
    </w:p>
    <w:p w14:paraId="61AE9D2B" w14:textId="77777777" w:rsidR="006C007C" w:rsidRDefault="006C007C">
      <w:pPr>
        <w:pStyle w:val="NoSpacing"/>
        <w:rPr>
          <w:lang w:eastAsia="en-GB"/>
        </w:rPr>
      </w:pPr>
    </w:p>
    <w:p w14:paraId="6DE823C8" w14:textId="77777777" w:rsidR="007E7CC8" w:rsidRDefault="00852C8F">
      <w:pPr>
        <w:pStyle w:val="Heading2"/>
      </w:pPr>
      <w:r>
        <w:t>Conclusions</w:t>
      </w:r>
    </w:p>
    <w:p w14:paraId="7DB19A20" w14:textId="644DA2C7" w:rsidR="007E7CC8" w:rsidRDefault="00A5719A">
      <w:pPr>
        <w:pStyle w:val="NoSpacing"/>
      </w:pPr>
      <w:r>
        <w:t xml:space="preserve">Our aim is for the STROPS guideline to improve the transparency of reporting of pharmacogenetic studies, and also to facilitate the conduct of high-quality systematic reviews and meta-analyses. </w:t>
      </w:r>
      <w:r w:rsidR="00852C8F">
        <w:t xml:space="preserve">We encourage authors to adhere to the STROPS guideline when publishing pharmacogenetic studies. </w:t>
      </w:r>
      <w:r w:rsidR="00852C8F">
        <w:br w:type="page"/>
      </w:r>
    </w:p>
    <w:p w14:paraId="2172C22D" w14:textId="77777777" w:rsidR="007E7CC8" w:rsidRDefault="00852C8F">
      <w:pPr>
        <w:pStyle w:val="Heading1"/>
      </w:pPr>
      <w:r>
        <w:lastRenderedPageBreak/>
        <w:t>Introduction</w:t>
      </w:r>
    </w:p>
    <w:p w14:paraId="4A8FF843" w14:textId="6AAB582E" w:rsidR="007E7CC8" w:rsidRDefault="00852C8F">
      <w:pPr>
        <w:pStyle w:val="NoSpacing"/>
      </w:pPr>
      <w:r>
        <w:t xml:space="preserve">Pharmacogenetic studies investigate associations between genetic variants and treatment response for a particular drug, in terms of both efficacy and adverse events. If a significant association between a genetic variant and a treatment response outcome is identified, patients may eventually be genotyped in clinical practice before being prescribed </w:t>
      </w:r>
      <w:r w:rsidR="00E411F9">
        <w:t>treatment</w:t>
      </w:r>
      <w:r>
        <w:t xml:space="preserve">. </w:t>
      </w:r>
      <w:r w:rsidR="0053017B">
        <w:t>H</w:t>
      </w:r>
      <w:r>
        <w:t>ealth care provider</w:t>
      </w:r>
      <w:r w:rsidR="0053017B">
        <w:t>s</w:t>
      </w:r>
      <w:r>
        <w:t xml:space="preserve"> may then refer to the genotyping test </w:t>
      </w:r>
      <w:r w:rsidR="0053017B">
        <w:t xml:space="preserve">result </w:t>
      </w:r>
      <w:r>
        <w:t xml:space="preserve">when determining whether to prescribe the drug, and if prescribed, the appropriate </w:t>
      </w:r>
      <w:r w:rsidR="00C92B19">
        <w:t xml:space="preserve">drug </w:t>
      </w:r>
      <w:r>
        <w:t xml:space="preserve">dosage. </w:t>
      </w:r>
      <w:r w:rsidR="00E411F9">
        <w:t>This</w:t>
      </w:r>
      <w:r>
        <w:t xml:space="preserve"> approach is known as “personalised medicine”.</w:t>
      </w:r>
    </w:p>
    <w:p w14:paraId="1033F9DC" w14:textId="77777777" w:rsidR="007E7CC8" w:rsidRDefault="007E7CC8">
      <w:pPr>
        <w:pStyle w:val="NoSpacing"/>
      </w:pPr>
    </w:p>
    <w:p w14:paraId="35052665" w14:textId="70C21E2F" w:rsidR="007E7CC8" w:rsidRDefault="00852C8F">
      <w:pPr>
        <w:pStyle w:val="NoSpacing"/>
      </w:pPr>
      <w:r>
        <w:t xml:space="preserve">Outcomes from pharmacogenetic studies are </w:t>
      </w:r>
      <w:r w:rsidR="00E411F9">
        <w:t>often</w:t>
      </w:r>
      <w:r>
        <w:t xml:space="preserve"> complex traits; genetic influence may be explained by several genetic variants each having a small effect on outcome. Consequently, large sample sizes are typically required to detect </w:t>
      </w:r>
      <w:r w:rsidR="00E411F9">
        <w:t>pharmacogenetic associations</w:t>
      </w:r>
      <w:r>
        <w:t xml:space="preserve">. Meta-analysis improves sample size and increases power to detect significant </w:t>
      </w:r>
      <w:r w:rsidR="00E411F9">
        <w:t>associations</w:t>
      </w:r>
      <w:r w:rsidR="002457D0">
        <w:t>,</w:t>
      </w:r>
      <w:r w:rsidR="00B64D9C">
        <w:t xml:space="preserve"> whilst also</w:t>
      </w:r>
      <w:r w:rsidR="002457D0">
        <w:t xml:space="preserve"> allow</w:t>
      </w:r>
      <w:r w:rsidR="00B64D9C">
        <w:t>ing researchers to investigate the possibility that significant associations observed in individual studies may be spurious. However, a</w:t>
      </w:r>
      <w:r>
        <w:t xml:space="preserve">uthors may encounter difficulties when synthesising evidence from pharmacogenetic studies due to poor reporting of data in study reports. For example, if </w:t>
      </w:r>
      <w:r w:rsidR="00404D6D">
        <w:t>study authors</w:t>
      </w:r>
      <w:r>
        <w:t xml:space="preserve"> do not report outcomes for each genotype group separately, it may not be possible for researchers to include this study in meta-analys</w:t>
      </w:r>
      <w:r w:rsidR="00EF19C1">
        <w:t>e</w:t>
      </w:r>
      <w:r>
        <w:t xml:space="preserve">s. Furthermore, lack of reporting of participants’ ethnicities can also hinder investigations of heterogeneity, which form a key part of any systematic review and/or meta-analysis. Genetic associations </w:t>
      </w:r>
      <w:r w:rsidR="00534DB3">
        <w:t>often</w:t>
      </w:r>
      <w:r>
        <w:t xml:space="preserve"> vary according to ethnicity; it is therefore recommended that meta-analyses are stratified by ethnicity, and pooling of results should only be performed if effect estimates for different ethnic groups appear sufficiently similar</w:t>
      </w:r>
      <w:r w:rsidR="00B900FE">
        <w:t xml:space="preserve"> </w:t>
      </w:r>
      <w:r w:rsidR="00B900FE">
        <w:fldChar w:fldCharType="begin"/>
      </w:r>
      <w:r w:rsidR="00B900FE">
        <w:instrText xml:space="preserve"> ADDIN EN.CITE &lt;EndNote&gt;&lt;Cite&gt;&lt;Author&gt;Little&lt;/Author&gt;&lt;Year&gt;2006&lt;/Year&gt;&lt;RecNum&gt;92&lt;/RecNum&gt;&lt;DisplayText&gt;[1]&lt;/DisplayText&gt;&lt;record&gt;&lt;rec-number&gt;92&lt;/rec-number&gt;&lt;foreign-keys&gt;&lt;key app="EN" db-id="atd2rw5fur2re4e5ps2p02tpzd2z2aaer5wd" timestamp="1589367197"&gt;92&lt;/key&gt;&lt;/foreign-keys&gt;&lt;ref-type name="Web Page"&gt;12&lt;/ref-type&gt;&lt;contributors&gt;&lt;authors&gt;&lt;author&gt;Little, J&lt;/author&gt;&lt;author&gt;Higgins, J&lt;/author&gt;&lt;author&gt;editors.&lt;/author&gt;&lt;/authors&gt;&lt;/contributors&gt;&lt;titles&gt;&lt;title&gt;The HuGENet™ HuGE review handbook, version 1.0&lt;/title&gt;&lt;/titles&gt;&lt;number&gt;1 November 2017&lt;/number&gt;&lt;dates&gt;&lt;year&gt;2006&lt;/year&gt;&lt;pub-dates&gt;&lt;date&gt;23 October 2015&lt;/date&gt;&lt;/pub-dates&gt;&lt;/dates&gt;&lt;publisher&gt;Ottawa, Ontario, Canada: Department of Epidemiology and Community Medicine, Faculty of Medicine, University of Ottawa&lt;/publisher&gt;&lt;urls&gt;&lt;related-urls&gt;&lt;url&gt;http://www.medicine.uottawa.ca/public-health-genomics/web/assets/documents/HuGE_Review_Handbook_V1_0.pdf&lt;/url&gt;&lt;/related-urls&gt;&lt;/urls&gt;&lt;custom1&gt;2020&lt;/custom1&gt;&lt;custom2&gt;13 May&lt;/custom2&gt;&lt;/record&gt;&lt;/Cite&gt;&lt;/EndNote&gt;</w:instrText>
      </w:r>
      <w:r w:rsidR="00B900FE">
        <w:fldChar w:fldCharType="separate"/>
      </w:r>
      <w:r w:rsidR="00B900FE">
        <w:rPr>
          <w:noProof/>
        </w:rPr>
        <w:t>[1]</w:t>
      </w:r>
      <w:r w:rsidR="00B900FE">
        <w:fldChar w:fldCharType="end"/>
      </w:r>
      <w:r w:rsidR="00B900FE">
        <w:t>.</w:t>
      </w:r>
    </w:p>
    <w:p w14:paraId="219EB062" w14:textId="77777777" w:rsidR="007E7CC8" w:rsidRDefault="007E7CC8">
      <w:pPr>
        <w:pStyle w:val="NoSpacing"/>
      </w:pPr>
    </w:p>
    <w:p w14:paraId="64819DD0" w14:textId="64CB5B83" w:rsidR="007E7CC8" w:rsidRDefault="00852C8F">
      <w:pPr>
        <w:pStyle w:val="NoSpacing"/>
      </w:pPr>
      <w:r>
        <w:t>Although reporting guidelines are available for observational studies</w:t>
      </w:r>
      <w:r w:rsidR="00B900FE">
        <w:t xml:space="preserve"> </w:t>
      </w:r>
      <w:r w:rsidR="00B900FE">
        <w:fldChar w:fldCharType="begin"/>
      </w:r>
      <w:r w:rsidR="00B900FE">
        <w:instrText xml:space="preserve"> ADDIN EN.CITE &lt;EndNote&gt;&lt;Cite&gt;&lt;Author&gt;Von Elm&lt;/Author&gt;&lt;Year&gt;2007&lt;/Year&gt;&lt;RecNum&gt;90&lt;/RecNum&gt;&lt;DisplayText&gt;[2]&lt;/DisplayText&gt;&lt;record&gt;&lt;rec-number&gt;90&lt;/rec-number&gt;&lt;foreign-keys&gt;&lt;key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00B900FE">
        <w:fldChar w:fldCharType="separate"/>
      </w:r>
      <w:r w:rsidR="00B900FE">
        <w:rPr>
          <w:noProof/>
        </w:rPr>
        <w:t>[2]</w:t>
      </w:r>
      <w:r w:rsidR="00B900FE">
        <w:fldChar w:fldCharType="end"/>
      </w:r>
      <w:r w:rsidR="00EF19C1">
        <w:t xml:space="preserve"> </w:t>
      </w:r>
      <w:r>
        <w:t>and genetic association studies</w:t>
      </w:r>
      <w:r w:rsidR="00B900FE">
        <w:t xml:space="preserve"> </w:t>
      </w:r>
      <w:r w:rsidR="00B900FE">
        <w:fldChar w:fldCharType="begin"/>
      </w:r>
      <w:r w:rsidR="00B900FE">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00B900FE">
        <w:fldChar w:fldCharType="separate"/>
      </w:r>
      <w:r w:rsidR="00B900FE">
        <w:rPr>
          <w:noProof/>
        </w:rPr>
        <w:t>[3]</w:t>
      </w:r>
      <w:r w:rsidR="00B900FE">
        <w:fldChar w:fldCharType="end"/>
      </w:r>
      <w:r>
        <w:t xml:space="preserve">, to the best of our knowledge, no </w:t>
      </w:r>
      <w:r w:rsidR="000F3D7F">
        <w:t xml:space="preserve">reporting </w:t>
      </w:r>
      <w:r>
        <w:t xml:space="preserve">guideline has been developed </w:t>
      </w:r>
      <w:r w:rsidR="000F3D7F">
        <w:t xml:space="preserve">using rigorous methodologically </w:t>
      </w:r>
      <w:r>
        <w:t xml:space="preserve">specifically for pharmacogenetic studies. </w:t>
      </w:r>
      <w:r w:rsidR="005E4C88">
        <w:t xml:space="preserve">Pharmacogenetic studies have different characteristics to other types of observational and indeed, genetic association studies. Although </w:t>
      </w:r>
      <w:r w:rsidR="005E4C88">
        <w:lastRenderedPageBreak/>
        <w:t xml:space="preserve">some items from existing guidelines can be applied to pharmacogenetic studies, there are many additional </w:t>
      </w:r>
      <w:r w:rsidR="004C02DD">
        <w:t xml:space="preserve">pharmacogenetic-specific </w:t>
      </w:r>
      <w:r w:rsidR="005E4C88">
        <w:t>characteristics that could be reported</w:t>
      </w:r>
      <w:r w:rsidR="009B2F46">
        <w:t xml:space="preserve">; </w:t>
      </w:r>
      <w:r w:rsidR="005E4C88">
        <w:t>clear guidance on which items are essential to report is needed.</w:t>
      </w:r>
      <w:r w:rsidR="005E4C88" w:rsidDel="0077041C">
        <w:t xml:space="preserve"> </w:t>
      </w:r>
    </w:p>
    <w:p w14:paraId="3E8A88F8" w14:textId="77777777" w:rsidR="003705FE" w:rsidRDefault="003705FE">
      <w:pPr>
        <w:pStyle w:val="NoSpacing"/>
      </w:pPr>
    </w:p>
    <w:p w14:paraId="5B90197D" w14:textId="637C83AD" w:rsidR="007E7CC8" w:rsidRDefault="00852C8F">
      <w:pPr>
        <w:pStyle w:val="NoSpacing"/>
      </w:pPr>
      <w:r>
        <w:t xml:space="preserve">In this article, we present results of a research project, the aim of which was to develop a </w:t>
      </w:r>
      <w:r w:rsidR="001757C7">
        <w:t xml:space="preserve">reporting </w:t>
      </w:r>
      <w:r>
        <w:t xml:space="preserve">guideline for pharmacogenetic studies (the STROPS guideline) and an </w:t>
      </w:r>
      <w:r w:rsidR="00792FD0">
        <w:t>explanation and elaboration (E+E) document</w:t>
      </w:r>
      <w:r>
        <w:t xml:space="preserve">. </w:t>
      </w:r>
      <w:r w:rsidR="00A5719A">
        <w:t>Our aim is that t</w:t>
      </w:r>
      <w:r>
        <w:t xml:space="preserve">he STROPS guideline will </w:t>
      </w:r>
      <w:r w:rsidR="00AC659E">
        <w:t xml:space="preserve">set a robust standard of reporting for pharmacogenetic studies, and </w:t>
      </w:r>
      <w:r w:rsidR="00A5719A">
        <w:t xml:space="preserve">will </w:t>
      </w:r>
      <w:r w:rsidR="00AC659E">
        <w:t xml:space="preserve">consequently </w:t>
      </w:r>
      <w:r>
        <w:t xml:space="preserve">facilitate the conduct of high-quality systematic reviews and meta-analyses, thus improving power to detect </w:t>
      </w:r>
      <w:r w:rsidR="00AC659E">
        <w:t>pharmaco</w:t>
      </w:r>
      <w:r>
        <w:t xml:space="preserve">genetic associations. </w:t>
      </w:r>
    </w:p>
    <w:p w14:paraId="422EC3F3" w14:textId="77777777" w:rsidR="007E7CC8" w:rsidRDefault="00852C8F">
      <w:pPr>
        <w:pStyle w:val="Heading1"/>
      </w:pPr>
      <w:r>
        <w:t>Methods</w:t>
      </w:r>
    </w:p>
    <w:p w14:paraId="17201E91" w14:textId="7F81B521" w:rsidR="007E7CC8" w:rsidRDefault="00852C8F">
      <w:pPr>
        <w:pStyle w:val="NoSpacing"/>
      </w:pPr>
      <w:r>
        <w:t>The protocol outlining the pre-specified methods of this project has been published</w:t>
      </w:r>
      <w:r w:rsidR="00B900FE">
        <w:t xml:space="preserve"> </w:t>
      </w:r>
      <w:r w:rsidR="00B900FE">
        <w:fldChar w:fldCharType="begin"/>
      </w:r>
      <w:r w:rsidR="00792FD0">
        <w:instrText xml:space="preserve"> ADDIN EN.CITE &lt;EndNote&gt;&lt;Cite&gt;&lt;Author&gt;Richardson&lt;/Author&gt;&lt;Year&gt;2019&lt;/Year&gt;&lt;RecNum&gt;83&lt;/RecNum&gt;&lt;DisplayText&gt;[4]&lt;/DisplayText&gt;&lt;record&gt;&lt;rec-number&gt;83&lt;/rec-number&gt;&lt;foreign-keys&gt;&lt;key app="EN" db-id="atd2rw5fur2re4e5ps2p02tpzd2z2aaer5wd" timestamp="1586341190"&gt;83&lt;/key&gt;&lt;/foreign-keys&gt;&lt;ref-type name="Journal Article"&gt;17&lt;/ref-type&gt;&lt;contributors&gt;&lt;authors&gt;&lt;author&gt;Richardson, Marty&lt;/author&gt;&lt;author&gt;Kirkham, Jamie J&lt;/author&gt;&lt;author&gt;Dwan, Kerry M&lt;/author&gt;&lt;author&gt;Sloan, Derek J&lt;/author&gt;&lt;author&gt;Davies, Geraint&lt;/author&gt;&lt;author&gt;Jorgensen, Andrea&lt;/author&gt;&lt;/authors&gt;&lt;/contributors&gt;&lt;titles&gt;&lt;title&gt;Protocol for the development of the STrengthening the Reporting Of Pharmacogenetic Studies (STROPS) guideline: checklist of items for reporting pharmacogenetic studies&lt;/title&gt;&lt;secondary-title&gt;BMJ Open&lt;/secondary-title&gt;&lt;/titles&gt;&lt;periodical&gt;&lt;full-title&gt;BMJ open&lt;/full-title&gt;&lt;/periodical&gt;&lt;pages&gt;e030212&lt;/pages&gt;&lt;volume&gt;9&lt;/volume&gt;&lt;number&gt;7&lt;/number&gt;&lt;dates&gt;&lt;year&gt;2019&lt;/year&gt;&lt;/dates&gt;&lt;isbn&gt;2044-6055&lt;/isbn&gt;&lt;urls&gt;&lt;/urls&gt;&lt;/record&gt;&lt;/Cite&gt;&lt;/EndNote&gt;</w:instrText>
      </w:r>
      <w:r w:rsidR="00B900FE">
        <w:fldChar w:fldCharType="separate"/>
      </w:r>
      <w:r w:rsidR="00792FD0">
        <w:rPr>
          <w:noProof/>
        </w:rPr>
        <w:t>[4]</w:t>
      </w:r>
      <w:r w:rsidR="00B900FE">
        <w:fldChar w:fldCharType="end"/>
      </w:r>
      <w:r>
        <w:t xml:space="preserve">. The </w:t>
      </w:r>
      <w:r w:rsidR="00767E41">
        <w:t>6</w:t>
      </w:r>
      <w:r w:rsidR="00767E41">
        <w:t xml:space="preserve"> </w:t>
      </w:r>
      <w:r>
        <w:t>authors of this article form the steering committee for the project: Marty Chaplin (researcher into meta-analysis of pharmacogenetic studies), Jamie Kirkham (researcher into consensus methodology and developer of reporting guidelines), Kerry Dwan (researcher into systematic review methodology), Derek Sloan (</w:t>
      </w:r>
      <w:r w:rsidR="00FF3228">
        <w:t>clinical infectious disease researcher</w:t>
      </w:r>
      <w:r>
        <w:t xml:space="preserve">), Gerry Davies (clinical pharmacogenetic researcher in infectious diseases) and Andrea Jorgensen (researcher into statistical methods for pharmacogenetics, including evidence synthesis methods). In accordance with methodology proposed by EQUATOR (Enhancing the QUAlity and Transparency Of health Research) </w:t>
      </w:r>
      <w:r>
        <w:fldChar w:fldCharType="begin"/>
      </w:r>
      <w:r>
        <w:instrText>ADDIN EN.CITE &lt;EndNote&gt;&lt;Cite&gt;&lt;Author&gt;Moher&lt;/Author&gt;&lt;Year&gt;2010&lt;/Year&gt;&lt;RecNum&gt;82&lt;/RecNum&gt;&lt;DisplayText&gt;[4]&lt;/DisplayText&gt;&lt;record&gt;&lt;rec-number&gt;82&lt;/rec-number&gt;&lt;foreign-keys&gt;&lt;key app="EN" db-id="atd2rw5fur2re4e5ps2p02tpzd2z2aaer5wd" timestamp="1586341106"&gt;82&lt;/key&gt;&lt;/foreign-keys&gt;&lt;ref-type name="Journal Article"&gt;17&lt;/ref-type&gt;&lt;contributors&gt;&lt;authors&gt;&lt;author&gt;Moher, David&lt;/author&gt;&lt;author&gt;Schulz, Kenneth F&lt;/author&gt;&lt;author&gt;Simera, Iveta&lt;/author&gt;&lt;author&gt;Altman, Douglas G&lt;/author&gt;&lt;/authors&gt;&lt;/contributors&gt;&lt;titles&gt;&lt;title&gt;Guidance for developers of health research reporting guidelines&lt;/title&gt;&lt;secondary-title&gt;PLoS Med&lt;/secondary-title&gt;&lt;/titles&gt;&lt;periodical&gt;&lt;full-title&gt;PLoS Med&lt;/full-title&gt;&lt;/periodical&gt;&lt;pages&gt;e1000217&lt;/pages&gt;&lt;volume&gt;7&lt;/volume&gt;&lt;number&gt;2&lt;/number&gt;&lt;dates&gt;&lt;year&gt;2010&lt;/year&gt;&lt;/dates&gt;&lt;urls&gt;&lt;/urls&gt;&lt;/record&gt;&lt;/Cite&gt;&lt;/EndNote&gt;</w:instrText>
      </w:r>
      <w:r>
        <w:fldChar w:fldCharType="separate"/>
      </w:r>
      <w:bookmarkStart w:id="3" w:name="__Fieldmark__7563_2278100981"/>
      <w:r>
        <w:t>[4]</w:t>
      </w:r>
      <w:r>
        <w:fldChar w:fldCharType="end"/>
      </w:r>
      <w:bookmarkEnd w:id="3"/>
      <w:r>
        <w:t xml:space="preserve">, </w:t>
      </w:r>
      <w:r w:rsidR="007530A8">
        <w:t>we</w:t>
      </w:r>
      <w:r>
        <w:t xml:space="preserve"> develop</w:t>
      </w:r>
      <w:r w:rsidR="007530A8">
        <w:t>ed</w:t>
      </w:r>
      <w:r>
        <w:t xml:space="preserve"> the STROPS guideline </w:t>
      </w:r>
      <w:r w:rsidR="007530A8">
        <w:t xml:space="preserve">in </w:t>
      </w:r>
      <w:r>
        <w:t>the following stages: 1) development of a preliminary checklist; 2) two-round Delphi survey; 3) consensus meeting; 4) development of the STROPS guideline and accompanying E+E document</w:t>
      </w:r>
      <w:r w:rsidR="00205FE2">
        <w:t>.</w:t>
      </w:r>
    </w:p>
    <w:p w14:paraId="4641599F" w14:textId="77777777" w:rsidR="007E7CC8" w:rsidRDefault="007E7CC8">
      <w:pPr>
        <w:pStyle w:val="NoSpacing"/>
      </w:pPr>
    </w:p>
    <w:p w14:paraId="54180466" w14:textId="77777777" w:rsidR="007E7CC8" w:rsidRDefault="00852C8F">
      <w:pPr>
        <w:pStyle w:val="Heading2"/>
      </w:pPr>
      <w:r>
        <w:t>Preliminary checklist of reporting items</w:t>
      </w:r>
    </w:p>
    <w:p w14:paraId="00884A98" w14:textId="5D89F089" w:rsidR="00B54B08" w:rsidRDefault="00852C8F">
      <w:pPr>
        <w:pStyle w:val="NoSpacing"/>
      </w:pPr>
      <w:r>
        <w:t xml:space="preserve">To establish a preliminary checklist of reporting items, we firstly </w:t>
      </w:r>
      <w:r>
        <w:rPr>
          <w:rStyle w:val="NoSpacingChar"/>
        </w:rPr>
        <w:t>included items from existing relevant guidelines</w:t>
      </w:r>
      <w:r w:rsidR="00AA3A8A">
        <w:rPr>
          <w:rStyle w:val="NoSpacingChar"/>
        </w:rPr>
        <w:t>.</w:t>
      </w:r>
      <w:r>
        <w:rPr>
          <w:rStyle w:val="NoSpacingChar"/>
        </w:rPr>
        <w:t xml:space="preserve"> We considered </w:t>
      </w:r>
      <w:r w:rsidR="00850566">
        <w:rPr>
          <w:rStyle w:val="NoSpacingChar"/>
        </w:rPr>
        <w:t xml:space="preserve">all </w:t>
      </w:r>
      <w:r>
        <w:rPr>
          <w:rStyle w:val="NoSpacingChar"/>
        </w:rPr>
        <w:t xml:space="preserve">guidelines listed on the EQUATOR website </w:t>
      </w:r>
      <w:r w:rsidR="00B900FE">
        <w:rPr>
          <w:rStyle w:val="NoSpacingChar"/>
        </w:rPr>
        <w:fldChar w:fldCharType="begin"/>
      </w:r>
      <w:r w:rsidR="00792FD0">
        <w:rPr>
          <w:rStyle w:val="NoSpacingChar"/>
        </w:rPr>
        <w:instrText xml:space="preserve"> ADDIN EN.CITE &lt;EndNote&gt;&lt;Cite&gt;&lt;Author&gt;The EQUATOR Network&lt;/Author&gt;&lt;Year&gt;2020&lt;/Year&gt;&lt;RecNum&gt;86&lt;/RecNum&gt;&lt;DisplayText&gt;[5]&lt;/DisplayText&gt;&lt;record&gt;&lt;rec-number&gt;86&lt;/rec-number&gt;&lt;foreign-keys&gt;&lt;key app="EN" db-id="atd2rw5fur2re4e5ps2p02tpzd2z2aaer5wd" timestamp="1586445694"&gt;86&lt;/key&gt;&lt;/foreign-keys&gt;&lt;ref-type name="Web Page"&gt;12&lt;/ref-type&gt;&lt;contributors&gt;&lt;authors&gt;&lt;author&gt;The EQUATOR Network,&lt;/author&gt;&lt;/authors&gt;&lt;/contributors&gt;&lt;titles&gt;&lt;title&gt;Equator Network.&lt;/title&gt;&lt;/titles&gt;&lt;dates&gt;&lt;year&gt;2020&lt;/year&gt;&lt;/dates&gt;&lt;urls&gt;&lt;related-urls&gt;&lt;url&gt;https://www.equator-network.org/&lt;/url&gt;&lt;/related-urls&gt;&lt;/urls&gt;&lt;custom1&gt;2020&lt;/custom1&gt;&lt;custom2&gt;April 9&lt;/custom2&gt;&lt;/record&gt;&lt;/Cite&gt;&lt;/EndNote&gt;</w:instrText>
      </w:r>
      <w:r w:rsidR="00B900FE">
        <w:rPr>
          <w:rStyle w:val="NoSpacingChar"/>
        </w:rPr>
        <w:fldChar w:fldCharType="separate"/>
      </w:r>
      <w:r w:rsidR="00792FD0">
        <w:rPr>
          <w:rStyle w:val="NoSpacingChar"/>
          <w:noProof/>
        </w:rPr>
        <w:t>[5]</w:t>
      </w:r>
      <w:r w:rsidR="00B900FE">
        <w:rPr>
          <w:rStyle w:val="NoSpacingChar"/>
        </w:rPr>
        <w:fldChar w:fldCharType="end"/>
      </w:r>
      <w:r>
        <w:rPr>
          <w:rStyle w:val="NoSpacingChar"/>
        </w:rPr>
        <w:t xml:space="preserve"> under the </w:t>
      </w:r>
      <w:r>
        <w:rPr>
          <w:rStyle w:val="NoSpacingChar"/>
        </w:rPr>
        <w:lastRenderedPageBreak/>
        <w:t xml:space="preserve">clinical area of genetics. Two authors (MC and ALJ) assessed guidelines to be relevant if they were applicable to pharmacogenetics studies. Two authors (MC and ALJ) </w:t>
      </w:r>
      <w:r w:rsidR="000F3D7F">
        <w:rPr>
          <w:rStyle w:val="NoSpacingChar"/>
        </w:rPr>
        <w:t>discussed</w:t>
      </w:r>
      <w:r w:rsidR="00AC659E">
        <w:rPr>
          <w:rStyle w:val="NoSpacingChar"/>
        </w:rPr>
        <w:t xml:space="preserve"> </w:t>
      </w:r>
      <w:r>
        <w:rPr>
          <w:rStyle w:val="NoSpacingChar"/>
        </w:rPr>
        <w:t xml:space="preserve">whether items from these guidelines would ensure transparency of reporting of pharmacogenetic studies, and consequently </w:t>
      </w:r>
      <w:r w:rsidR="000F3D7F">
        <w:rPr>
          <w:rStyle w:val="NoSpacingChar"/>
        </w:rPr>
        <w:t xml:space="preserve">decided </w:t>
      </w:r>
      <w:r>
        <w:rPr>
          <w:rStyle w:val="NoSpacingChar"/>
        </w:rPr>
        <w:t>whether to include each item in the preliminary checklist</w:t>
      </w:r>
      <w:r>
        <w:t xml:space="preserve">. </w:t>
      </w:r>
      <w:r w:rsidR="00B54B08">
        <w:t>For example, the GRIPS statement</w:t>
      </w:r>
      <w:r w:rsidR="0097664A">
        <w:t xml:space="preserve"> </w:t>
      </w:r>
      <w:r w:rsidR="009F7F6C">
        <w:fldChar w:fldCharType="begin"/>
      </w:r>
      <w:r w:rsidR="009F7F6C">
        <w:instrText xml:space="preserve"> ADDIN EN.CITE &lt;EndNote&gt;&lt;Cite&gt;&lt;Author&gt;Janssens&lt;/Author&gt;&lt;Year&gt;2011&lt;/Year&gt;&lt;RecNum&gt;94&lt;/RecNum&gt;&lt;DisplayText&gt;[6]&lt;/DisplayText&gt;&lt;record&gt;&lt;rec-number&gt;94&lt;/rec-number&gt;&lt;foreign-keys&gt;&lt;key app="EN" db-id="atd2rw5fur2re4e5ps2p02tpzd2z2aaer5wd" timestamp="1594815372"&gt;94&lt;/key&gt;&lt;/foreign-keys&gt;&lt;ref-type name="Journal Article"&gt;17&lt;/ref-type&gt;&lt;contributors&gt;&lt;authors&gt;&lt;author&gt;Janssens, A. C.&lt;/author&gt;&lt;author&gt;Ioannidis, J. P.&lt;/author&gt;&lt;author&gt;van Duijn, C. M.&lt;/author&gt;&lt;author&gt;Little, J.&lt;/author&gt;&lt;author&gt;Khoury, M. J.&lt;/author&gt;&lt;/authors&gt;&lt;/contributors&gt;&lt;auth-address&gt;Department of Epidemiology, Erasmus University Medical Center, Rotterdam, The Netherlands. a.janssens@erasmusmc.nl&lt;/auth-address&gt;&lt;titles&gt;&lt;title&gt;Strengthening the reporting of Genetic RIsk Prediction Studies: the GRIPS Statement&lt;/title&gt;&lt;secondary-title&gt;PLoS Med&lt;/secondary-title&gt;&lt;/titles&gt;&lt;periodical&gt;&lt;full-title&gt;PLoS Med&lt;/full-title&gt;&lt;/periodical&gt;&lt;pages&gt;e1000420&lt;/pages&gt;&lt;volume&gt;8&lt;/volume&gt;&lt;number&gt;3&lt;/number&gt;&lt;edition&gt;2011/03/23&lt;/edition&gt;&lt;keywords&gt;&lt;keyword&gt;Developing Countries&lt;/keyword&gt;&lt;keyword&gt;Forecasting&lt;/keyword&gt;&lt;keyword&gt;Genetic Markers&lt;/keyword&gt;&lt;keyword&gt;Genetic Predisposition to Disease/*genetics&lt;/keyword&gt;&lt;keyword&gt;*Genetic Research&lt;/keyword&gt;&lt;keyword&gt;Humans&lt;/keyword&gt;&lt;keyword&gt;Research Design&lt;/keyword&gt;&lt;keyword&gt;Risk Assessment&lt;/keyword&gt;&lt;keyword&gt;Risk Factors&lt;/keyword&gt;&lt;/keywords&gt;&lt;dates&gt;&lt;year&gt;2011&lt;/year&gt;&lt;pub-dates&gt;&lt;date&gt;Mar&lt;/date&gt;&lt;/pub-dates&gt;&lt;/dates&gt;&lt;isbn&gt;1549-1277 (Print)&amp;#xD;1549-1277&lt;/isbn&gt;&lt;accession-num&gt;21423587&lt;/accession-num&gt;&lt;urls&gt;&lt;/urls&gt;&lt;custom2&gt;PMC3058100&lt;/custom2&gt;&lt;electronic-resource-num&gt;10.1371/journal.pmed.1000420&lt;/electronic-resource-num&gt;&lt;remote-database-provider&gt;NLM&lt;/remote-database-provider&gt;&lt;language&gt;eng&lt;/language&gt;&lt;/record&gt;&lt;/Cite&gt;&lt;/EndNote&gt;</w:instrText>
      </w:r>
      <w:r w:rsidR="009F7F6C">
        <w:fldChar w:fldCharType="separate"/>
      </w:r>
      <w:r w:rsidR="009F7F6C">
        <w:rPr>
          <w:noProof/>
        </w:rPr>
        <w:t>[6]</w:t>
      </w:r>
      <w:r w:rsidR="009F7F6C">
        <w:fldChar w:fldCharType="end"/>
      </w:r>
      <w:r w:rsidR="00B54B08">
        <w:t xml:space="preserve"> includes some items that can be applied to pharmacogenetic studie</w:t>
      </w:r>
      <w:r w:rsidR="009F7F6C">
        <w:t>s;</w:t>
      </w:r>
      <w:r w:rsidR="00B54B08">
        <w:t xml:space="preserve"> however, we did not include all items from this guideline as many items are only relevant to studies where a genetic risk prediction model is being developed</w:t>
      </w:r>
      <w:r w:rsidR="00C20609">
        <w:t>, and these studies are outside the remit of our guideline.</w:t>
      </w:r>
      <w:r w:rsidR="00B54B08">
        <w:t xml:space="preserve"> </w:t>
      </w:r>
      <w:r w:rsidR="00984982">
        <w:t>We modified some items from existing guidelines</w:t>
      </w:r>
      <w:r w:rsidR="00A15AD1">
        <w:t>; the majority of these modifications were intended to</w:t>
      </w:r>
      <w:r w:rsidR="00984982">
        <w:t xml:space="preserve"> make</w:t>
      </w:r>
      <w:r w:rsidR="00A15AD1">
        <w:t xml:space="preserve"> items more relevant to pharmacogenetic studies.</w:t>
      </w:r>
    </w:p>
    <w:p w14:paraId="4A3E2AE3" w14:textId="77777777" w:rsidR="00B54B08" w:rsidRDefault="00B54B08">
      <w:pPr>
        <w:pStyle w:val="NoSpacing"/>
      </w:pPr>
    </w:p>
    <w:p w14:paraId="386D9C84" w14:textId="3AD476CA" w:rsidR="007E7CC8" w:rsidRDefault="00852C8F">
      <w:pPr>
        <w:pStyle w:val="NoSpacing"/>
      </w:pPr>
      <w:r>
        <w:t>Secondly, we supplemented this list with additional items thought to be important</w:t>
      </w:r>
      <w:r w:rsidR="000F3D7F">
        <w:t xml:space="preserve">. </w:t>
      </w:r>
      <w:r w:rsidR="00CB479C">
        <w:t>These items were either suggested by steering committee</w:t>
      </w:r>
      <w:r w:rsidR="001757C7">
        <w:t xml:space="preserve"> members</w:t>
      </w:r>
      <w:r w:rsidR="00BF2DD7">
        <w:t xml:space="preserve"> based on our own experience in pharmacogenetic research</w:t>
      </w:r>
      <w:r w:rsidR="00CB479C">
        <w:t>, or</w:t>
      </w:r>
      <w:r w:rsidR="000F3D7F">
        <w:t xml:space="preserve"> </w:t>
      </w:r>
      <w:r w:rsidR="00CB479C">
        <w:t xml:space="preserve">were </w:t>
      </w:r>
      <w:r w:rsidR="000F3D7F">
        <w:t>drafted</w:t>
      </w:r>
      <w:r w:rsidR="00CB479C">
        <w:t xml:space="preserve"> by MC and ALJ</w:t>
      </w:r>
      <w:r w:rsidR="000F3D7F">
        <w:t xml:space="preserve"> to cover issues identified by </w:t>
      </w:r>
      <w:r>
        <w:t xml:space="preserve">Jorgensen and Williamson </w:t>
      </w:r>
      <w:r w:rsidR="00B900FE">
        <w:fldChar w:fldCharType="begin"/>
      </w:r>
      <w:r w:rsidR="009F7F6C">
        <w:instrText xml:space="preserve"> ADDIN EN.CITE &lt;EndNote&gt;&lt;Cite&gt;&lt;Author&gt;Jorgensen&lt;/Author&gt;&lt;Year&gt;2008&lt;/Year&gt;&lt;RecNum&gt;8&lt;/RecNum&gt;&lt;DisplayText&gt;[7]&lt;/DisplayText&gt;&lt;record&gt;&lt;rec-number&gt;8&lt;/rec-number&gt;&lt;foreign-keys&gt;&lt;key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00B900FE">
        <w:fldChar w:fldCharType="separate"/>
      </w:r>
      <w:r w:rsidR="009F7F6C">
        <w:rPr>
          <w:noProof/>
        </w:rPr>
        <w:t>[7]</w:t>
      </w:r>
      <w:r w:rsidR="00B900FE">
        <w:fldChar w:fldCharType="end"/>
      </w:r>
      <w:r w:rsidR="001757C7">
        <w:t xml:space="preserve"> which relate </w:t>
      </w:r>
      <w:r w:rsidR="009F1FDE">
        <w:t xml:space="preserve">specifically </w:t>
      </w:r>
      <w:r w:rsidR="001757C7">
        <w:t>to the conduct of pharmacogenetic research</w:t>
      </w:r>
      <w:r w:rsidR="00CB479C">
        <w:t>.</w:t>
      </w:r>
      <w:r>
        <w:t xml:space="preserve"> Finally, we drafted help text for each item, to ensure that language used was comprehensible to all Delphi participants. All steering committee </w:t>
      </w:r>
      <w:r w:rsidR="00CB479C">
        <w:t xml:space="preserve">members </w:t>
      </w:r>
      <w:r>
        <w:t xml:space="preserve">approved this preliminary </w:t>
      </w:r>
      <w:r w:rsidR="00850566">
        <w:t>check</w:t>
      </w:r>
      <w:r>
        <w:t xml:space="preserve">list before the Delphi survey began. </w:t>
      </w:r>
    </w:p>
    <w:p w14:paraId="601A372A" w14:textId="77777777" w:rsidR="007E7CC8" w:rsidRDefault="007E7CC8">
      <w:pPr>
        <w:pStyle w:val="NoSpacing"/>
      </w:pPr>
    </w:p>
    <w:p w14:paraId="68C31D79" w14:textId="77777777" w:rsidR="007E7CC8" w:rsidRDefault="00852C8F">
      <w:pPr>
        <w:pStyle w:val="Heading2"/>
      </w:pPr>
      <w:r>
        <w:t>Delphi survey</w:t>
      </w:r>
    </w:p>
    <w:p w14:paraId="204E9548" w14:textId="77777777" w:rsidR="007E7CC8" w:rsidRDefault="00852C8F">
      <w:pPr>
        <w:pStyle w:val="Heading3"/>
      </w:pPr>
      <w:r>
        <w:t>Participants</w:t>
      </w:r>
    </w:p>
    <w:p w14:paraId="01C1BB55" w14:textId="2E0EA40E" w:rsidR="007E7CC8" w:rsidRDefault="008378B0">
      <w:pPr>
        <w:pStyle w:val="NoSpacing"/>
      </w:pPr>
      <w:r>
        <w:rPr>
          <w:rStyle w:val="NoSpacingChar"/>
        </w:rPr>
        <w:t>In March-</w:t>
      </w:r>
      <w:r w:rsidR="0053258C">
        <w:rPr>
          <w:rStyle w:val="NoSpacingChar"/>
        </w:rPr>
        <w:t>April 2019</w:t>
      </w:r>
      <w:r>
        <w:rPr>
          <w:rStyle w:val="NoSpacingChar"/>
        </w:rPr>
        <w:t>, w</w:t>
      </w:r>
      <w:r w:rsidR="00852C8F">
        <w:rPr>
          <w:rStyle w:val="NoSpacingChar"/>
        </w:rPr>
        <w:t xml:space="preserve">e invited </w:t>
      </w:r>
      <w:r w:rsidR="00767E41">
        <w:rPr>
          <w:rStyle w:val="NoSpacingChar"/>
        </w:rPr>
        <w:t>3</w:t>
      </w:r>
      <w:r w:rsidR="00767E41">
        <w:rPr>
          <w:rStyle w:val="NoSpacingChar"/>
        </w:rPr>
        <w:t xml:space="preserve"> </w:t>
      </w:r>
      <w:r w:rsidR="00852C8F">
        <w:rPr>
          <w:rStyle w:val="NoSpacingChar"/>
        </w:rPr>
        <w:t xml:space="preserve">groups of stakeholders to participate in the Delphi survey. Stakeholder groups were chosen to encompass all aspects of pharmacogenetic </w:t>
      </w:r>
      <w:r w:rsidR="00852C8F">
        <w:t xml:space="preserve">research. </w:t>
      </w:r>
    </w:p>
    <w:p w14:paraId="003C6CFF" w14:textId="77777777" w:rsidR="007E7CC8" w:rsidRDefault="007E7CC8">
      <w:pPr>
        <w:pStyle w:val="NoSpacing"/>
      </w:pPr>
    </w:p>
    <w:p w14:paraId="292E2032" w14:textId="307AEF64" w:rsidR="007E7CC8" w:rsidRDefault="008E5B97">
      <w:pPr>
        <w:pStyle w:val="123numbering"/>
        <w:numPr>
          <w:ilvl w:val="0"/>
          <w:numId w:val="4"/>
        </w:numPr>
        <w:ind w:left="357" w:hanging="357"/>
        <w:rPr>
          <w:rFonts w:eastAsia="Times New Roman"/>
          <w:lang w:eastAsia="en-GB"/>
        </w:rPr>
      </w:pPr>
      <w:r>
        <w:t>Primary researchers</w:t>
      </w:r>
    </w:p>
    <w:p w14:paraId="6995F96B" w14:textId="02B88AAD" w:rsidR="007E7CC8" w:rsidRDefault="00852C8F">
      <w:pPr>
        <w:pStyle w:val="NoSpacing"/>
      </w:pPr>
      <w:r w:rsidRPr="001C2A0A">
        <w:t xml:space="preserve">We asked co-ordinators of </w:t>
      </w:r>
      <w:r w:rsidR="00767E41">
        <w:t>10</w:t>
      </w:r>
      <w:r w:rsidRPr="001C2A0A">
        <w:t xml:space="preserve"> </w:t>
      </w:r>
      <w:r w:rsidR="00DB018F">
        <w:t xml:space="preserve">national and international </w:t>
      </w:r>
      <w:r w:rsidRPr="001C2A0A">
        <w:t xml:space="preserve">pharmacogenetics networks </w:t>
      </w:r>
      <w:r w:rsidR="001C2A0A" w:rsidRPr="001C2A0A">
        <w:t>(UK Pharmacogenetics and Stratified Medicine Network, Pharmacogenomics Research Network [PGRN],</w:t>
      </w:r>
      <w:r w:rsidR="001C2A0A" w:rsidRPr="001C2A0A">
        <w:rPr>
          <w:rStyle w:val="Strong"/>
          <w:b w:val="0"/>
          <w:bCs w:val="0"/>
        </w:rPr>
        <w:t xml:space="preserve"> </w:t>
      </w:r>
      <w:r w:rsidR="001C2A0A" w:rsidRPr="001C2A0A">
        <w:rPr>
          <w:rStyle w:val="Strong"/>
          <w:b w:val="0"/>
          <w:bCs w:val="0"/>
        </w:rPr>
        <w:lastRenderedPageBreak/>
        <w:t>Canadian Pharmacogenomics Network for Drug Safety</w:t>
      </w:r>
      <w:r w:rsidR="001C2A0A">
        <w:rPr>
          <w:rStyle w:val="Strong"/>
          <w:b w:val="0"/>
          <w:bCs w:val="0"/>
        </w:rPr>
        <w:t xml:space="preserve"> [CPNDS],</w:t>
      </w:r>
      <w:r w:rsidR="001C2A0A" w:rsidRPr="001C2A0A">
        <w:rPr>
          <w:rStyle w:val="Strong"/>
          <w:b w:val="0"/>
          <w:bCs w:val="0"/>
        </w:rPr>
        <w:t xml:space="preserve"> South East </w:t>
      </w:r>
      <w:r w:rsidR="001C2A0A" w:rsidRPr="00DB018F">
        <w:rPr>
          <w:rStyle w:val="Strong"/>
          <w:b w:val="0"/>
          <w:bCs w:val="0"/>
        </w:rPr>
        <w:t>Asian Pharmacogenomics Research Network [SEAPharm], Surveillance and Pharmacogenomics Initiative for Adverse Drug Reactions [SAPhIRE],</w:t>
      </w:r>
      <w:r w:rsidR="00DB018F">
        <w:rPr>
          <w:rStyle w:val="Strong"/>
          <w:b w:val="0"/>
          <w:bCs w:val="0"/>
        </w:rPr>
        <w:t xml:space="preserve"> </w:t>
      </w:r>
      <w:r w:rsidR="001C2A0A" w:rsidRPr="00DB018F">
        <w:rPr>
          <w:rStyle w:val="Strong"/>
          <w:b w:val="0"/>
          <w:bCs w:val="0"/>
        </w:rPr>
        <w:t>Brazilian Pharmacogenetics Research Network [</w:t>
      </w:r>
      <w:r w:rsidR="001C2A0A" w:rsidRPr="00DB018F">
        <w:rPr>
          <w:rStyle w:val="NoSpacingChar"/>
        </w:rPr>
        <w:t>REFARGEN]</w:t>
      </w:r>
      <w:r w:rsidR="00DB018F" w:rsidRPr="00DB018F">
        <w:rPr>
          <w:rStyle w:val="NoSpacingChar"/>
        </w:rPr>
        <w:t xml:space="preserve">, </w:t>
      </w:r>
      <w:r w:rsidR="001C2A0A" w:rsidRPr="00DB018F">
        <w:rPr>
          <w:rStyle w:val="NoSpacingChar"/>
        </w:rPr>
        <w:t>European Society of Pharmacogenomics and Personalised Therapy</w:t>
      </w:r>
      <w:r w:rsidR="00DB018F" w:rsidRPr="00DB018F">
        <w:rPr>
          <w:rStyle w:val="NoSpacingChar"/>
        </w:rPr>
        <w:t xml:space="preserve"> [ESPT], European Federation for Pharmaceutical Sciences [EUFEPS] Network on Pharmacogenetics and Pharmacogenomics Research</w:t>
      </w:r>
      <w:r w:rsidR="00DB018F">
        <w:t xml:space="preserve">, </w:t>
      </w:r>
      <w:r w:rsidR="001C2A0A" w:rsidRPr="001C2A0A">
        <w:rPr>
          <w:rStyle w:val="Strong"/>
          <w:b w:val="0"/>
          <w:bCs w:val="0"/>
        </w:rPr>
        <w:t>Clinical Pharmacogenetics Implementation Consortium</w:t>
      </w:r>
      <w:r w:rsidR="00DB018F">
        <w:rPr>
          <w:rStyle w:val="Strong"/>
          <w:b w:val="0"/>
          <w:bCs w:val="0"/>
        </w:rPr>
        <w:t xml:space="preserve"> [CPIC] and Ubiquitous Pharmacogenomics [U-PGx]) </w:t>
      </w:r>
      <w:r>
        <w:t xml:space="preserve">to forward the survey on to network members. We performed searches </w:t>
      </w:r>
      <w:r w:rsidR="00DB018F">
        <w:t xml:space="preserve">using Google </w:t>
      </w:r>
      <w:r>
        <w:t xml:space="preserve">to ensure that all major networks across the globe were identified. </w:t>
      </w:r>
    </w:p>
    <w:p w14:paraId="398E76F5" w14:textId="77777777" w:rsidR="007E7CC8" w:rsidRDefault="007E7CC8">
      <w:pPr>
        <w:pStyle w:val="NoSpacing"/>
      </w:pPr>
    </w:p>
    <w:p w14:paraId="29765CDD" w14:textId="5B430F4E" w:rsidR="007E7CC8" w:rsidRDefault="008E5B97" w:rsidP="00834EA5">
      <w:pPr>
        <w:pStyle w:val="123numbering"/>
        <w:numPr>
          <w:ilvl w:val="0"/>
          <w:numId w:val="4"/>
        </w:numPr>
        <w:rPr>
          <w:rFonts w:ascii="Times New Roman" w:eastAsia="Times New Roman" w:hAnsi="Times New Roman"/>
          <w:lang w:eastAsia="en-GB"/>
        </w:rPr>
      </w:pPr>
      <w:r>
        <w:t>Systematic reviewers</w:t>
      </w:r>
    </w:p>
    <w:p w14:paraId="3CD5452E" w14:textId="7C8BCFDF" w:rsidR="007E7CC8" w:rsidRDefault="00852C8F">
      <w:pPr>
        <w:pStyle w:val="NoSpacing"/>
        <w:rPr>
          <w:lang w:eastAsia="en-GB"/>
        </w:rPr>
      </w:pPr>
      <w:r>
        <w:rPr>
          <w:lang w:eastAsia="en-GB"/>
        </w:rPr>
        <w:t xml:space="preserve">We identified 89 contact authors of systematic reviews of pharmacogenetics studies by searching PubMed, using </w:t>
      </w:r>
      <w:r w:rsidR="008E5B97">
        <w:rPr>
          <w:lang w:eastAsia="en-GB"/>
        </w:rPr>
        <w:t xml:space="preserve">the following </w:t>
      </w:r>
      <w:r>
        <w:rPr>
          <w:lang w:eastAsia="en-GB"/>
        </w:rPr>
        <w:t>search terms</w:t>
      </w:r>
      <w:r w:rsidR="008E5B97">
        <w:rPr>
          <w:lang w:eastAsia="en-GB"/>
        </w:rPr>
        <w:t>:</w:t>
      </w:r>
      <w:r>
        <w:rPr>
          <w:lang w:eastAsia="en-GB"/>
        </w:rPr>
        <w:t xml:space="preserve"> “pharmacogenetics”, “pharmacogenomics”, “systematic review”</w:t>
      </w:r>
      <w:r w:rsidR="008E5B97">
        <w:rPr>
          <w:lang w:eastAsia="en-GB"/>
        </w:rPr>
        <w:t xml:space="preserve">, </w:t>
      </w:r>
      <w:r>
        <w:rPr>
          <w:lang w:eastAsia="en-GB"/>
        </w:rPr>
        <w:t xml:space="preserve">“meta-analysis”. An information specialist </w:t>
      </w:r>
      <w:r w:rsidR="008E5B97">
        <w:rPr>
          <w:lang w:eastAsia="en-GB"/>
        </w:rPr>
        <w:t>designed</w:t>
      </w:r>
      <w:r>
        <w:rPr>
          <w:lang w:eastAsia="en-GB"/>
        </w:rPr>
        <w:t xml:space="preserve"> the search strategy. We used a snowball technique, asking contact authors to complete the survey and to forward the survey on to their co-authors.</w:t>
      </w:r>
    </w:p>
    <w:p w14:paraId="5CCBC6B5" w14:textId="77777777" w:rsidR="007E7CC8" w:rsidRDefault="007E7CC8">
      <w:pPr>
        <w:pStyle w:val="NoSpacing"/>
        <w:rPr>
          <w:lang w:eastAsia="en-GB"/>
        </w:rPr>
      </w:pPr>
    </w:p>
    <w:p w14:paraId="1092F528" w14:textId="5D82C74D" w:rsidR="007E7CC8" w:rsidRDefault="008E5B97" w:rsidP="008E5B97">
      <w:pPr>
        <w:pStyle w:val="123numbering"/>
        <w:numPr>
          <w:ilvl w:val="0"/>
          <w:numId w:val="4"/>
        </w:numPr>
      </w:pPr>
      <w:r>
        <w:t>Journal editors</w:t>
      </w:r>
    </w:p>
    <w:p w14:paraId="70D3CC7B" w14:textId="3FA903E1" w:rsidR="007E7CC8" w:rsidRDefault="00852C8F">
      <w:pPr>
        <w:pStyle w:val="NoSpacing"/>
      </w:pPr>
      <w:r>
        <w:rPr>
          <w:lang w:eastAsia="en-GB"/>
        </w:rPr>
        <w:t xml:space="preserve">We contacted 210 editors-in-chief of </w:t>
      </w:r>
      <w:r w:rsidR="002C4FD4">
        <w:rPr>
          <w:lang w:eastAsia="en-GB"/>
        </w:rPr>
        <w:t>168</w:t>
      </w:r>
      <w:r w:rsidR="00BA41D8">
        <w:rPr>
          <w:lang w:eastAsia="en-GB"/>
        </w:rPr>
        <w:t xml:space="preserve"> </w:t>
      </w:r>
      <w:r>
        <w:rPr>
          <w:lang w:eastAsia="en-GB"/>
        </w:rPr>
        <w:t xml:space="preserve">journals that may publish pharmacogenetic studies. We used a snowball technique, asking editors-in-chief to participate in the survey, and also to forward the survey on to editors at their journal. We performed searches </w:t>
      </w:r>
      <w:r w:rsidR="002C4FD4">
        <w:rPr>
          <w:lang w:eastAsia="en-GB"/>
        </w:rPr>
        <w:t xml:space="preserve">using Google </w:t>
      </w:r>
      <w:r>
        <w:rPr>
          <w:lang w:eastAsia="en-GB"/>
        </w:rPr>
        <w:t xml:space="preserve">to identify journals </w:t>
      </w:r>
      <w:r>
        <w:t xml:space="preserve">using search terms “pharmacogenetics”, “pharmacogenomics”, “precision medicine”, “personalised/personalized medicine” and “journal”. </w:t>
      </w:r>
      <w:r>
        <w:rPr>
          <w:lang w:eastAsia="en-GB"/>
        </w:rPr>
        <w:t>We also</w:t>
      </w:r>
      <w:r>
        <w:rPr>
          <w:rFonts w:cstheme="minorHAnsi"/>
          <w:lang w:eastAsia="en-GB"/>
        </w:rPr>
        <w:t xml:space="preserve"> considered journals listed on the “</w:t>
      </w:r>
      <w:r>
        <w:rPr>
          <w:rFonts w:cstheme="minorHAnsi"/>
          <w:color w:val="000000"/>
        </w:rPr>
        <w:t xml:space="preserve">SCImago Journal &amp; Country Rank” website </w:t>
      </w:r>
      <w:r w:rsidR="00B900FE">
        <w:rPr>
          <w:rFonts w:cstheme="minorHAnsi"/>
          <w:color w:val="000000"/>
        </w:rPr>
        <w:fldChar w:fldCharType="begin"/>
      </w:r>
      <w:r w:rsidR="009F7F6C">
        <w:rPr>
          <w:rFonts w:cstheme="minorHAnsi"/>
          <w:color w:val="000000"/>
        </w:rPr>
        <w:instrText xml:space="preserve"> ADDIN EN.CITE &lt;EndNote&gt;&lt;Cite&gt;&lt;Author&gt;SCImago&lt;/Author&gt;&lt;Year&gt;2020&lt;/Year&gt;&lt;RecNum&gt;87&lt;/RecNum&gt;&lt;DisplayText&gt;[8]&lt;/DisplayText&gt;&lt;record&gt;&lt;rec-number&gt;87&lt;/rec-number&gt;&lt;foreign-keys&gt;&lt;key app="EN" db-id="atd2rw5fur2re4e5ps2p02tpzd2z2aaer5wd" timestamp="1586445698"&gt;87&lt;/key&gt;&lt;/foreign-keys&gt;&lt;ref-type name="Web Page"&gt;12&lt;/ref-type&gt;&lt;contributors&gt;&lt;authors&gt;&lt;author&gt;SCImago,&lt;/author&gt;&lt;/authors&gt;&lt;/contributors&gt;&lt;titles&gt;&lt;title&gt;SJR - SCImago Journal &amp;amp; Country Rank.&lt;/title&gt;&lt;/titles&gt;&lt;number&gt;29th May 2019&lt;/number&gt;&lt;dates&gt;&lt;year&gt;2020&lt;/year&gt;&lt;/dates&gt;&lt;urls&gt;&lt;related-urls&gt;&lt;url&gt;http://www.scimagojr.com&lt;/url&gt;&lt;/related-urls&gt;&lt;/urls&gt;&lt;custom1&gt;2020&lt;/custom1&gt;&lt;custom2&gt;April 9&lt;/custom2&gt;&lt;/record&gt;&lt;/Cite&gt;&lt;/EndNote&gt;</w:instrText>
      </w:r>
      <w:r w:rsidR="00B900FE">
        <w:rPr>
          <w:rFonts w:cstheme="minorHAnsi"/>
          <w:color w:val="000000"/>
        </w:rPr>
        <w:fldChar w:fldCharType="separate"/>
      </w:r>
      <w:r w:rsidR="009F7F6C">
        <w:rPr>
          <w:rFonts w:cstheme="minorHAnsi"/>
          <w:noProof/>
          <w:color w:val="000000"/>
        </w:rPr>
        <w:t>[8]</w:t>
      </w:r>
      <w:r w:rsidR="00B900FE">
        <w:rPr>
          <w:rFonts w:cstheme="minorHAnsi"/>
          <w:color w:val="000000"/>
        </w:rPr>
        <w:fldChar w:fldCharType="end"/>
      </w:r>
      <w:r>
        <w:rPr>
          <w:rFonts w:cstheme="minorHAnsi"/>
          <w:color w:val="000000"/>
        </w:rPr>
        <w:t xml:space="preserve"> under the category “Genetics”.</w:t>
      </w:r>
    </w:p>
    <w:p w14:paraId="0858796E" w14:textId="77777777" w:rsidR="007E7CC8" w:rsidRDefault="007E7CC8">
      <w:pPr>
        <w:pStyle w:val="NoSpacing"/>
        <w:rPr>
          <w:rFonts w:cstheme="minorHAnsi"/>
          <w:color w:val="000000"/>
          <w:highlight w:val="white"/>
        </w:rPr>
      </w:pPr>
    </w:p>
    <w:p w14:paraId="4537366B" w14:textId="77777777" w:rsidR="007E7CC8" w:rsidRDefault="00852C8F">
      <w:pPr>
        <w:pStyle w:val="Heading3"/>
      </w:pPr>
      <w:r>
        <w:lastRenderedPageBreak/>
        <w:t>Design</w:t>
      </w:r>
    </w:p>
    <w:p w14:paraId="722F8F52" w14:textId="7CACBD4D" w:rsidR="007E7CC8" w:rsidRDefault="00852C8F">
      <w:pPr>
        <w:pStyle w:val="NoSpacing"/>
        <w:rPr>
          <w:lang w:eastAsia="en-GB"/>
        </w:rPr>
      </w:pPr>
      <w:r>
        <w:rPr>
          <w:lang w:eastAsia="en-GB"/>
        </w:rPr>
        <w:t>The Delphi process consisted of</w:t>
      </w:r>
      <w:r w:rsidR="00767E41">
        <w:rPr>
          <w:lang w:eastAsia="en-GB"/>
        </w:rPr>
        <w:t xml:space="preserve"> 2</w:t>
      </w:r>
      <w:r>
        <w:rPr>
          <w:lang w:eastAsia="en-GB"/>
        </w:rPr>
        <w:t xml:space="preserve"> rounds of survey, response and feedback. The first-round survey </w:t>
      </w:r>
      <w:r w:rsidR="00B97C5B">
        <w:rPr>
          <w:lang w:eastAsia="en-GB"/>
        </w:rPr>
        <w:t>(Round 1</w:t>
      </w:r>
      <w:r w:rsidR="008378B0">
        <w:rPr>
          <w:lang w:eastAsia="en-GB"/>
        </w:rPr>
        <w:t>, March-May 2019</w:t>
      </w:r>
      <w:r w:rsidR="00B97C5B">
        <w:rPr>
          <w:lang w:eastAsia="en-GB"/>
        </w:rPr>
        <w:t xml:space="preserve">) </w:t>
      </w:r>
      <w:r>
        <w:rPr>
          <w:lang w:eastAsia="en-GB"/>
        </w:rPr>
        <w:t xml:space="preserve">invited participants to </w:t>
      </w:r>
      <w:r w:rsidR="00850566">
        <w:rPr>
          <w:lang w:eastAsia="en-GB"/>
        </w:rPr>
        <w:t xml:space="preserve">score items from the preliminary list and to </w:t>
      </w:r>
      <w:r>
        <w:rPr>
          <w:lang w:eastAsia="en-GB"/>
        </w:rPr>
        <w:t xml:space="preserve">submit additional reporting items. </w:t>
      </w:r>
      <w:r w:rsidR="00850566">
        <w:rPr>
          <w:lang w:eastAsia="en-GB"/>
        </w:rPr>
        <w:t>The</w:t>
      </w:r>
      <w:r>
        <w:rPr>
          <w:lang w:eastAsia="en-GB"/>
        </w:rPr>
        <w:t xml:space="preserve"> second-round survey </w:t>
      </w:r>
      <w:r w:rsidR="00B97C5B">
        <w:rPr>
          <w:lang w:eastAsia="en-GB"/>
        </w:rPr>
        <w:t>(Round 2</w:t>
      </w:r>
      <w:r w:rsidR="008378B0">
        <w:rPr>
          <w:lang w:eastAsia="en-GB"/>
        </w:rPr>
        <w:t xml:space="preserve">, </w:t>
      </w:r>
      <w:r w:rsidR="008C1BD7">
        <w:rPr>
          <w:lang w:eastAsia="en-GB"/>
        </w:rPr>
        <w:t>May-July 2019</w:t>
      </w:r>
      <w:r w:rsidR="00B97C5B">
        <w:rPr>
          <w:lang w:eastAsia="en-GB"/>
        </w:rPr>
        <w:t xml:space="preserve">) </w:t>
      </w:r>
      <w:r>
        <w:rPr>
          <w:lang w:eastAsia="en-GB"/>
        </w:rPr>
        <w:t>provid</w:t>
      </w:r>
      <w:r w:rsidR="00850566">
        <w:rPr>
          <w:lang w:eastAsia="en-GB"/>
        </w:rPr>
        <w:t>ed</w:t>
      </w:r>
      <w:r>
        <w:rPr>
          <w:lang w:eastAsia="en-GB"/>
        </w:rPr>
        <w:t xml:space="preserve"> feedback from the previous round and invit</w:t>
      </w:r>
      <w:r w:rsidR="00850566">
        <w:rPr>
          <w:lang w:eastAsia="en-GB"/>
        </w:rPr>
        <w:t>ed</w:t>
      </w:r>
      <w:r>
        <w:rPr>
          <w:lang w:eastAsia="en-GB"/>
        </w:rPr>
        <w:t xml:space="preserve"> participants to re-score items. Additional reporting items submitted by participants in Round 1 (and approved by the steering committee) were included for scoring by participants in Round 2.</w:t>
      </w:r>
    </w:p>
    <w:p w14:paraId="259A1E93" w14:textId="77777777" w:rsidR="007E7CC8" w:rsidRDefault="007E7CC8">
      <w:pPr>
        <w:pStyle w:val="NoSpacing"/>
      </w:pPr>
    </w:p>
    <w:p w14:paraId="2493A287" w14:textId="77777777" w:rsidR="007E7CC8" w:rsidRDefault="00852C8F">
      <w:pPr>
        <w:pStyle w:val="NoSpacing"/>
      </w:pPr>
      <w:r>
        <w:t>The Delphi survey was conducted using DelphiManager</w:t>
      </w:r>
      <w:r>
        <w:rPr>
          <w:rStyle w:val="CommentReference"/>
        </w:rPr>
        <w:t>,</w:t>
      </w:r>
      <w:r>
        <w:t xml:space="preserve"> a web-based system designed by the COMET Initiative </w:t>
      </w:r>
      <w:r w:rsidRPr="00977656">
        <w:rPr>
          <w:u w:val="single"/>
        </w:rPr>
        <w:t>(</w:t>
      </w:r>
      <w:hyperlink r:id="rId8">
        <w:r w:rsidRPr="00977656">
          <w:rPr>
            <w:rStyle w:val="InternetLink"/>
            <w:color w:val="auto"/>
          </w:rPr>
          <w:t>http://www.comet-initiative.org/delphimanager/</w:t>
        </w:r>
      </w:hyperlink>
      <w:r w:rsidRPr="00977656">
        <w:t xml:space="preserve">) </w:t>
      </w:r>
      <w:r>
        <w:t>to facilitate the building and management of Delphi surveys.</w:t>
      </w:r>
    </w:p>
    <w:p w14:paraId="4ECEE690" w14:textId="77777777" w:rsidR="007E7CC8" w:rsidRDefault="007E7CC8">
      <w:pPr>
        <w:pStyle w:val="NoSpacing"/>
      </w:pPr>
    </w:p>
    <w:p w14:paraId="72701420" w14:textId="09E7247F" w:rsidR="007E7CC8" w:rsidRDefault="00852C8F">
      <w:pPr>
        <w:pStyle w:val="Heading3"/>
      </w:pPr>
      <w:r>
        <w:t>Recruitment process</w:t>
      </w:r>
    </w:p>
    <w:p w14:paraId="50C10C74" w14:textId="512B7B70" w:rsidR="007E7CC8" w:rsidRDefault="00852C8F">
      <w:pPr>
        <w:pStyle w:val="NoSpacing"/>
        <w:rPr>
          <w:rStyle w:val="NoSpacingChar"/>
        </w:rPr>
      </w:pPr>
      <w:r>
        <w:rPr>
          <w:rStyle w:val="NoSpacingChar"/>
        </w:rPr>
        <w:t xml:space="preserve">We e-mailed individuals from stakeholder groups with information about the STROPS project and Delphi process and an invitation to complete Round 1 within </w:t>
      </w:r>
      <w:r w:rsidR="00767E41">
        <w:rPr>
          <w:rStyle w:val="NoSpacingChar"/>
        </w:rPr>
        <w:t>3</w:t>
      </w:r>
      <w:r w:rsidR="00767E41">
        <w:rPr>
          <w:rStyle w:val="NoSpacingChar"/>
        </w:rPr>
        <w:t xml:space="preserve"> </w:t>
      </w:r>
      <w:r>
        <w:rPr>
          <w:rStyle w:val="NoSpacingChar"/>
        </w:rPr>
        <w:t>weeks.</w:t>
      </w:r>
      <w:r>
        <w:t xml:space="preserve"> We informed invitees that participation was optional, and</w:t>
      </w:r>
      <w:r w:rsidR="00F0315C">
        <w:t xml:space="preserve"> </w:t>
      </w:r>
      <w:r>
        <w:t xml:space="preserve">that scoring data would be anonymised; </w:t>
      </w:r>
      <w:r>
        <w:rPr>
          <w:rStyle w:val="NoSpacingChar"/>
        </w:rPr>
        <w:t xml:space="preserve">we allocated a unique identification number to each </w:t>
      </w:r>
      <w:r w:rsidR="00C92B19">
        <w:rPr>
          <w:rStyle w:val="NoSpacingChar"/>
        </w:rPr>
        <w:t xml:space="preserve">Delphi </w:t>
      </w:r>
      <w:r>
        <w:rPr>
          <w:rStyle w:val="NoSpacingChar"/>
        </w:rPr>
        <w:t xml:space="preserve">participant. </w:t>
      </w:r>
    </w:p>
    <w:p w14:paraId="1907AFA9" w14:textId="77777777" w:rsidR="007E7CC8" w:rsidRDefault="007E7CC8">
      <w:pPr>
        <w:pStyle w:val="NoSpacing"/>
      </w:pPr>
    </w:p>
    <w:p w14:paraId="56EAA0FD" w14:textId="2270BAA9" w:rsidR="007E7CC8" w:rsidRDefault="00852C8F">
      <w:pPr>
        <w:pStyle w:val="NoSpacing"/>
        <w:rPr>
          <w:rStyle w:val="NoSpacingChar"/>
        </w:rPr>
      </w:pPr>
      <w:r>
        <w:rPr>
          <w:rStyle w:val="NoSpacingChar"/>
        </w:rPr>
        <w:t>We sent a reminder e-mail at the end of the second week to prompt completion of the surv</w:t>
      </w:r>
      <w:r>
        <w:t xml:space="preserve">ey. All participants who completed Round 1 were invited to participate in </w:t>
      </w:r>
      <w:r w:rsidR="00003ACD">
        <w:t>Round 2</w:t>
      </w:r>
      <w:r>
        <w:t>. However, we informed invitees that completion of Round 1 did not necessitate completion in Round 2.</w:t>
      </w:r>
    </w:p>
    <w:p w14:paraId="022EE567" w14:textId="38DEED8B" w:rsidR="007E7CC8" w:rsidRDefault="007E7CC8">
      <w:pPr>
        <w:pStyle w:val="NoSpacing"/>
        <w:rPr>
          <w:rStyle w:val="NoSpacingChar"/>
        </w:rPr>
      </w:pPr>
    </w:p>
    <w:p w14:paraId="5B4BB2A7" w14:textId="2412F468" w:rsidR="00A90BA1" w:rsidRDefault="00A90BA1" w:rsidP="00DB039F">
      <w:pPr>
        <w:pStyle w:val="Heading3"/>
        <w:rPr>
          <w:rStyle w:val="NoSpacingChar"/>
        </w:rPr>
      </w:pPr>
      <w:r>
        <w:t>Ethics statement</w:t>
      </w:r>
    </w:p>
    <w:p w14:paraId="50D463B6" w14:textId="0519081A" w:rsidR="00850566" w:rsidRDefault="00850566" w:rsidP="00850566">
      <w:pPr>
        <w:pStyle w:val="NoSpacing"/>
      </w:pPr>
      <w:r>
        <w:t>The University of Liverpool Ethics Committee confirmed ethical approval for this study</w:t>
      </w:r>
      <w:r w:rsidR="008C1BD7">
        <w:t xml:space="preserve"> in January 2019</w:t>
      </w:r>
      <w:r>
        <w:t xml:space="preserve"> (Reference: 3586). </w:t>
      </w:r>
      <w:r w:rsidR="00A90BA1">
        <w:t xml:space="preserve">We informed invitees to the Delphi survey that we would assume </w:t>
      </w:r>
      <w:r w:rsidR="00A90BA1">
        <w:rPr>
          <w:rStyle w:val="NoSpacingChar"/>
        </w:rPr>
        <w:t>informed consent if an invitee responded to the survey.</w:t>
      </w:r>
      <w:r w:rsidR="00A90BA1">
        <w:t xml:space="preserve"> </w:t>
      </w:r>
    </w:p>
    <w:p w14:paraId="5C234B93" w14:textId="77777777" w:rsidR="007E7CC8" w:rsidRDefault="00852C8F">
      <w:pPr>
        <w:pStyle w:val="Heading3"/>
        <w:rPr>
          <w:rStyle w:val="NoSpacingChar"/>
        </w:rPr>
      </w:pPr>
      <w:r>
        <w:rPr>
          <w:rStyle w:val="NoSpacingChar"/>
        </w:rPr>
        <w:lastRenderedPageBreak/>
        <w:t>Participant characteristics</w:t>
      </w:r>
    </w:p>
    <w:p w14:paraId="51173838" w14:textId="64C25B9E" w:rsidR="007E7CC8" w:rsidRDefault="00852C8F">
      <w:pPr>
        <w:pStyle w:val="NoSpacing"/>
        <w:rPr>
          <w:rStyle w:val="NoSpacingChar"/>
        </w:rPr>
      </w:pPr>
      <w:r>
        <w:rPr>
          <w:rStyle w:val="NoSpacingChar"/>
        </w:rPr>
        <w:t>We asked participants to provide their name, e-mail address and</w:t>
      </w:r>
      <w:r w:rsidR="00F0315C">
        <w:rPr>
          <w:rStyle w:val="NoSpacingChar"/>
        </w:rPr>
        <w:t xml:space="preserve"> their</w:t>
      </w:r>
      <w:r>
        <w:rPr>
          <w:rStyle w:val="NoSpacingChar"/>
        </w:rPr>
        <w:t xml:space="preserve"> consent to be acknowledged as a</w:t>
      </w:r>
      <w:r w:rsidR="00F0315C">
        <w:rPr>
          <w:rStyle w:val="NoSpacingChar"/>
        </w:rPr>
        <w:t xml:space="preserve"> Delphi</w:t>
      </w:r>
      <w:r>
        <w:rPr>
          <w:rStyle w:val="NoSpacingChar"/>
        </w:rPr>
        <w:t xml:space="preserve"> participant in the published guideline. </w:t>
      </w:r>
    </w:p>
    <w:p w14:paraId="02D4A9D1" w14:textId="77777777" w:rsidR="007E7CC8" w:rsidRDefault="007E7CC8">
      <w:pPr>
        <w:pStyle w:val="NoSpacing"/>
        <w:rPr>
          <w:rStyle w:val="NoSpacingChar"/>
        </w:rPr>
      </w:pPr>
    </w:p>
    <w:p w14:paraId="338378DD" w14:textId="77777777" w:rsidR="007E7CC8" w:rsidRDefault="00852C8F">
      <w:pPr>
        <w:pStyle w:val="Heading3"/>
      </w:pPr>
      <w:r>
        <w:t xml:space="preserve">Delphi scoring and consensus definition </w:t>
      </w:r>
    </w:p>
    <w:p w14:paraId="55C08A22" w14:textId="678743B4" w:rsidR="007E7CC8" w:rsidRDefault="00852C8F">
      <w:pPr>
        <w:pStyle w:val="NoSpacing"/>
      </w:pPr>
      <w:r>
        <w:rPr>
          <w:rStyle w:val="NoSpacingChar"/>
        </w:rPr>
        <w:t>Participants were asked to score each reporting item using a scale of 1</w:t>
      </w:r>
      <w:r w:rsidR="00C92B19">
        <w:rPr>
          <w:rStyle w:val="NoSpacingChar"/>
        </w:rPr>
        <w:t>-</w:t>
      </w:r>
      <w:r>
        <w:rPr>
          <w:rStyle w:val="NoSpacingChar"/>
        </w:rPr>
        <w:t>9, with 1</w:t>
      </w:r>
      <w:r w:rsidR="00C92B19">
        <w:rPr>
          <w:rStyle w:val="NoSpacingChar"/>
        </w:rPr>
        <w:t>-</w:t>
      </w:r>
      <w:r>
        <w:rPr>
          <w:rStyle w:val="NoSpacingChar"/>
        </w:rPr>
        <w:t>3 labelled ‘not important for inclusion in the guideline’, 4</w:t>
      </w:r>
      <w:r w:rsidR="00C92B19">
        <w:rPr>
          <w:rStyle w:val="NoSpacingChar"/>
        </w:rPr>
        <w:t>-</w:t>
      </w:r>
      <w:r>
        <w:rPr>
          <w:rStyle w:val="NoSpacingChar"/>
        </w:rPr>
        <w:t>6 labelled ‘important but not critical for inclusion in the guideline’ and 7</w:t>
      </w:r>
      <w:r w:rsidR="00C92B19">
        <w:rPr>
          <w:rStyle w:val="NoSpacingChar"/>
        </w:rPr>
        <w:t>-</w:t>
      </w:r>
      <w:r>
        <w:rPr>
          <w:rStyle w:val="NoSpacingChar"/>
        </w:rPr>
        <w:t>9 labelled ‘critical for inclusion into the guideline’</w:t>
      </w:r>
      <w:r w:rsidR="00B900FE">
        <w:t xml:space="preserve"> </w:t>
      </w:r>
      <w:r w:rsidR="00B900FE">
        <w:fldChar w:fldCharType="begin"/>
      </w:r>
      <w:r w:rsidR="009F7F6C">
        <w:instrText xml:space="preserve"> ADDIN EN.CITE &lt;EndNote&gt;&lt;Cite&gt;&lt;Author&gt;Guyatt&lt;/Author&gt;&lt;Year&gt;2011&lt;/Year&gt;&lt;RecNum&gt;88&lt;/RecNum&gt;&lt;DisplayText&gt;[9]&lt;/DisplayText&gt;&lt;record&gt;&lt;rec-number&gt;88&lt;/rec-number&gt;&lt;foreign-keys&gt;&lt;key app="EN" db-id="atd2rw5fur2re4e5ps2p02tpzd2z2aaer5wd" timestamp="1586445703"&gt;88&lt;/key&gt;&lt;/foreign-keys&gt;&lt;ref-type name="Journal Article"&gt;17&lt;/ref-type&gt;&lt;contributors&gt;&lt;authors&gt;&lt;author&gt;Guyatt, Gordon H&lt;/author&gt;&lt;author&gt;Oxman, Andrew D&lt;/author&gt;&lt;author&gt;Kunz, Regina&lt;/author&gt;&lt;author&gt;Atkins, David&lt;/author&gt;&lt;author&gt;Brozek, Jan&lt;/author&gt;&lt;author&gt;Vist, Gunn&lt;/author&gt;&lt;author&gt;Alderson, Philip&lt;/author&gt;&lt;author&gt;Glasziou, Paul&lt;/author&gt;&lt;author&gt;Falck-Ytter, Yngve&lt;/author&gt;&lt;author&gt;Schünemann, Holger J&lt;/author&gt;&lt;/authors&gt;&lt;/contributors&gt;&lt;titles&gt;&lt;title&gt;GRADE guidelines: 2. Framing the question and deciding on important outcomes&lt;/title&gt;&lt;secondary-title&gt;J Clin Epidemiol&lt;/secondary-title&gt;&lt;/titles&gt;&lt;periodical&gt;&lt;full-title&gt;J Clin Epidemiol&lt;/full-title&gt;&lt;/periodical&gt;&lt;pages&gt;395-400&lt;/pages&gt;&lt;volume&gt;64&lt;/volume&gt;&lt;number&gt;4&lt;/number&gt;&lt;dates&gt;&lt;year&gt;2011&lt;/year&gt;&lt;/dates&gt;&lt;isbn&gt;0895-4356&lt;/isbn&gt;&lt;urls&gt;&lt;/urls&gt;&lt;/record&gt;&lt;/Cite&gt;&lt;/EndNote&gt;</w:instrText>
      </w:r>
      <w:r w:rsidR="00B900FE">
        <w:fldChar w:fldCharType="separate"/>
      </w:r>
      <w:r w:rsidR="009F7F6C">
        <w:rPr>
          <w:noProof/>
        </w:rPr>
        <w:t>[9]</w:t>
      </w:r>
      <w:r w:rsidR="00B900FE">
        <w:fldChar w:fldCharType="end"/>
      </w:r>
      <w:r>
        <w:rPr>
          <w:rStyle w:val="NoSpacingChar"/>
        </w:rPr>
        <w:t xml:space="preserve">. Participants were also given the option to score a reporting item as ‘unable to score’ if they were unable to offer an opinion on the importance of the item. </w:t>
      </w:r>
    </w:p>
    <w:p w14:paraId="56800EA5" w14:textId="77777777" w:rsidR="007E7CC8" w:rsidRDefault="007E7CC8">
      <w:pPr>
        <w:pStyle w:val="NoSpacing"/>
      </w:pPr>
    </w:p>
    <w:p w14:paraId="09BEB70C" w14:textId="2BA536BD" w:rsidR="007E7CC8" w:rsidRDefault="00852C8F">
      <w:pPr>
        <w:pStyle w:val="NoSpacing"/>
      </w:pPr>
      <w:bookmarkStart w:id="4" w:name="_Hlk42086203"/>
      <w:r>
        <w:t xml:space="preserve">We defined that each stakeholder group had reached consensus for an item if at least 70% of members of that group scored the item as ‘critical for inclusion into the guideline’. </w:t>
      </w:r>
    </w:p>
    <w:bookmarkEnd w:id="4"/>
    <w:p w14:paraId="7480F86F" w14:textId="77777777" w:rsidR="007E7CC8" w:rsidRDefault="007E7CC8">
      <w:pPr>
        <w:pStyle w:val="NoSpacing"/>
      </w:pPr>
    </w:p>
    <w:p w14:paraId="12C7B98E" w14:textId="77777777" w:rsidR="007E7CC8" w:rsidRDefault="00852C8F">
      <w:pPr>
        <w:pStyle w:val="Heading3"/>
      </w:pPr>
      <w:bookmarkStart w:id="5" w:name="_Ref24123688"/>
      <w:r>
        <w:t>Delphi Round 1</w:t>
      </w:r>
      <w:bookmarkEnd w:id="5"/>
    </w:p>
    <w:p w14:paraId="1326408D" w14:textId="59077CD0" w:rsidR="007E7CC8" w:rsidRDefault="00852C8F">
      <w:pPr>
        <w:pStyle w:val="NoSpacing"/>
        <w:rPr>
          <w:rStyle w:val="NoSpacingChar"/>
        </w:rPr>
      </w:pPr>
      <w:r>
        <w:rPr>
          <w:rStyle w:val="NoSpacingChar"/>
        </w:rPr>
        <w:t>Reporting items were presented in the order in which they would be addressed in the pharmacogenetic study report and were grouped under relevant headings</w:t>
      </w:r>
      <w:r w:rsidR="009B679C">
        <w:rPr>
          <w:rStyle w:val="NoSpacingChar"/>
        </w:rPr>
        <w:t xml:space="preserve">: </w:t>
      </w:r>
      <w:r>
        <w:rPr>
          <w:rStyle w:val="NoSpacingChar"/>
        </w:rPr>
        <w:t>title and abstract, introduction, methods, results, discussion</w:t>
      </w:r>
      <w:r w:rsidR="009B679C">
        <w:rPr>
          <w:rStyle w:val="NoSpacingChar"/>
        </w:rPr>
        <w:t xml:space="preserve">, and </w:t>
      </w:r>
      <w:r>
        <w:rPr>
          <w:rStyle w:val="NoSpacingChar"/>
        </w:rPr>
        <w:t>other information. Participants were asked to score each item as described previously</w:t>
      </w:r>
      <w:r w:rsidR="00F0315C">
        <w:rPr>
          <w:rStyle w:val="NoSpacingChar"/>
        </w:rPr>
        <w:t>, and were also invited to</w:t>
      </w:r>
      <w:r>
        <w:rPr>
          <w:rStyle w:val="NoSpacingChar"/>
        </w:rPr>
        <w:t xml:space="preserve"> suggest additional items for inclusion in the reporting guideline.</w:t>
      </w:r>
    </w:p>
    <w:p w14:paraId="3D870B08" w14:textId="77777777" w:rsidR="007E7CC8" w:rsidRDefault="007E7CC8">
      <w:pPr>
        <w:pStyle w:val="NoSpacing"/>
      </w:pPr>
    </w:p>
    <w:p w14:paraId="025AEC15" w14:textId="0C2B4E29" w:rsidR="002F63EE" w:rsidRDefault="00852C8F" w:rsidP="002F63EE">
      <w:pPr>
        <w:spacing w:line="480" w:lineRule="auto"/>
        <w:rPr>
          <w:lang w:eastAsia="en-GB"/>
        </w:rPr>
      </w:pPr>
      <w:r>
        <w:rPr>
          <w:rStyle w:val="NoSpacingChar"/>
        </w:rPr>
        <w:t xml:space="preserve">For each item, we summarised the number of </w:t>
      </w:r>
      <w:r w:rsidR="009B679C">
        <w:rPr>
          <w:rStyle w:val="NoSpacingChar"/>
        </w:rPr>
        <w:t>respondents</w:t>
      </w:r>
      <w:r>
        <w:rPr>
          <w:rStyle w:val="NoSpacingChar"/>
        </w:rPr>
        <w:t xml:space="preserve"> and the distribution of scores.</w:t>
      </w:r>
      <w:r>
        <w:rPr>
          <w:rFonts w:eastAsia="Times New Roman" w:cs="Times New Roman"/>
          <w:color w:val="2F5496" w:themeColor="accent5" w:themeShade="BF"/>
          <w:lang w:eastAsia="en-GB"/>
        </w:rPr>
        <w:t xml:space="preserve"> </w:t>
      </w:r>
      <w:r>
        <w:rPr>
          <w:rFonts w:eastAsia="Times New Roman" w:cs="Times New Roman"/>
          <w:lang w:eastAsia="en-GB"/>
        </w:rPr>
        <w:t xml:space="preserve">Participants who scored an item as “unable to score” were excluded from the analysis for that particular item. </w:t>
      </w:r>
      <w:r w:rsidR="002F63EE">
        <w:rPr>
          <w:lang w:eastAsia="en-GB"/>
        </w:rPr>
        <w:t>We felt that this would not adversely affect our conclusions as for most items, the proportion of “unable to score” responses was minimal. Indeed, in Round 1 </w:t>
      </w:r>
      <w:r w:rsidR="002F63EE">
        <w:t xml:space="preserve">there was only </w:t>
      </w:r>
      <w:r w:rsidR="00767E41">
        <w:t>1</w:t>
      </w:r>
      <w:r w:rsidR="002F63EE">
        <w:t xml:space="preserve"> item for which more than 10% of participants responded “unable to score”.</w:t>
      </w:r>
      <w:r w:rsidR="002F63EE">
        <w:rPr>
          <w:lang w:eastAsia="en-GB"/>
        </w:rPr>
        <w:t xml:space="preserve"> </w:t>
      </w:r>
    </w:p>
    <w:p w14:paraId="00BF1963" w14:textId="5E404C18" w:rsidR="007E7CC8" w:rsidRPr="00CE1C71" w:rsidRDefault="00852C8F">
      <w:pPr>
        <w:pStyle w:val="NoSpacing"/>
        <w:rPr>
          <w:rStyle w:val="NoSpacingChar"/>
          <w:rFonts w:eastAsia="Times New Roman" w:cs="Times New Roman"/>
          <w:lang w:eastAsia="en-GB"/>
        </w:rPr>
      </w:pPr>
      <w:r>
        <w:rPr>
          <w:rStyle w:val="NoSpacingChar"/>
        </w:rPr>
        <w:lastRenderedPageBreak/>
        <w:t>The steering committee reviewed all additional reporting items suggested by participants. If items were not already covered by the existing list, we added these items to the list of reporting items presented in Round 2, or we cover</w:t>
      </w:r>
      <w:r w:rsidR="000613A9">
        <w:rPr>
          <w:rStyle w:val="NoSpacingChar"/>
        </w:rPr>
        <w:t>ed</w:t>
      </w:r>
      <w:r>
        <w:rPr>
          <w:rStyle w:val="NoSpacingChar"/>
        </w:rPr>
        <w:t xml:space="preserve"> the item as part of the E+E text for existing items. </w:t>
      </w:r>
    </w:p>
    <w:p w14:paraId="3E3D9886" w14:textId="77777777" w:rsidR="007E7CC8" w:rsidRDefault="007E7CC8">
      <w:pPr>
        <w:pStyle w:val="NoSpacing"/>
      </w:pPr>
    </w:p>
    <w:p w14:paraId="5C1110F0" w14:textId="77777777" w:rsidR="007E7CC8" w:rsidRDefault="00852C8F">
      <w:pPr>
        <w:pStyle w:val="Heading3"/>
      </w:pPr>
      <w:r>
        <w:t>Delphi Round 2</w:t>
      </w:r>
    </w:p>
    <w:p w14:paraId="15C3BEB3" w14:textId="44383FEA" w:rsidR="007E7CC8" w:rsidRDefault="00852C8F">
      <w:pPr>
        <w:pStyle w:val="NoSpacing"/>
        <w:rPr>
          <w:lang w:eastAsia="en-GB"/>
        </w:rPr>
      </w:pPr>
      <w:r>
        <w:rPr>
          <w:lang w:eastAsia="en-GB"/>
        </w:rPr>
        <w:t>In Round 2, each participant was shown the number of respondents and distribution of scores for each item from Round 1, for each stakeholder group separately. Participants were also reminded how they personally scored each item in Round 1. Participants were asked to consider responses from other Delphi participants, and to re-score the items. Additional items identified as part of Round 1 were scored by participants in Round 2.</w:t>
      </w:r>
    </w:p>
    <w:p w14:paraId="1177A801" w14:textId="77777777" w:rsidR="007E7CC8" w:rsidRDefault="007E7CC8">
      <w:pPr>
        <w:pStyle w:val="NoSpacing"/>
        <w:rPr>
          <w:lang w:eastAsia="en-GB"/>
        </w:rPr>
      </w:pPr>
    </w:p>
    <w:p w14:paraId="3674F313" w14:textId="73609DCA" w:rsidR="007E7CC8" w:rsidRDefault="00852C8F">
      <w:pPr>
        <w:pStyle w:val="NoSpacing"/>
        <w:rPr>
          <w:rStyle w:val="NoSpacingChar"/>
        </w:rPr>
      </w:pPr>
      <w:r>
        <w:rPr>
          <w:rStyle w:val="NoSpacingChar"/>
        </w:rPr>
        <w:t xml:space="preserve">For each item, the number of respondents and the distribution of scores was summarised. </w:t>
      </w:r>
      <w:r>
        <w:rPr>
          <w:lang w:eastAsia="en-GB"/>
        </w:rPr>
        <w:t>Participants who scored an item as “unable to score” were excluded from analysis for that particular item.</w:t>
      </w:r>
      <w:r>
        <w:rPr>
          <w:rStyle w:val="NoSpacingChar"/>
        </w:rPr>
        <w:t xml:space="preserve"> </w:t>
      </w:r>
      <w:r w:rsidR="002F63EE">
        <w:rPr>
          <w:rStyle w:val="NoSpacingChar"/>
        </w:rPr>
        <w:t xml:space="preserve">Once again, </w:t>
      </w:r>
      <w:r w:rsidR="002F63EE">
        <w:rPr>
          <w:lang w:eastAsia="en-GB"/>
        </w:rPr>
        <w:t xml:space="preserve">for most items, the proportion of “unable to score” responses was minimal; there were </w:t>
      </w:r>
      <w:r w:rsidR="00767E41">
        <w:rPr>
          <w:lang w:eastAsia="en-GB"/>
        </w:rPr>
        <w:t>3</w:t>
      </w:r>
      <w:r w:rsidR="00767E41">
        <w:rPr>
          <w:lang w:eastAsia="en-GB"/>
        </w:rPr>
        <w:t xml:space="preserve"> </w:t>
      </w:r>
      <w:r w:rsidR="002F63EE">
        <w:t>items for which more than 10% of participants responded “unable to score”.</w:t>
      </w:r>
    </w:p>
    <w:p w14:paraId="3F9DE908" w14:textId="77777777" w:rsidR="007E7CC8" w:rsidRDefault="007E7CC8">
      <w:pPr>
        <w:pStyle w:val="NoSpacing"/>
        <w:rPr>
          <w:rStyle w:val="NoSpacingChar"/>
        </w:rPr>
      </w:pPr>
    </w:p>
    <w:p w14:paraId="2801BC89" w14:textId="628FA658" w:rsidR="007E7CC8" w:rsidRDefault="00852C8F">
      <w:pPr>
        <w:pStyle w:val="NoSpacing"/>
      </w:pPr>
      <w:r>
        <w:rPr>
          <w:rStyle w:val="NoSpacingChar"/>
        </w:rPr>
        <w:t>If participants that did not respond to Round 2 have different opinions to participants from the same stakeholder group who completed both rounds, then Delphi</w:t>
      </w:r>
      <w:r w:rsidR="007530A8">
        <w:rPr>
          <w:rStyle w:val="NoSpacingChar"/>
        </w:rPr>
        <w:t xml:space="preserve"> results</w:t>
      </w:r>
      <w:r>
        <w:rPr>
          <w:rStyle w:val="NoSpacingChar"/>
        </w:rPr>
        <w:t xml:space="preserve"> may be at risk of attrition bias. We investigated this risk by calculating </w:t>
      </w:r>
      <w:r>
        <w:t xml:space="preserve">average Round 1 scores for each participant, and plotting these scores according to whether participants completed Round 2 or not for each stakeholder group. We visually examined these plots to assess the likelihood of attrition bias. </w:t>
      </w:r>
    </w:p>
    <w:p w14:paraId="5F7FAF18" w14:textId="77777777" w:rsidR="007E7CC8" w:rsidRDefault="007E7CC8">
      <w:pPr>
        <w:pStyle w:val="NoSpacing"/>
      </w:pPr>
      <w:bookmarkStart w:id="6" w:name="_Hlk37256417"/>
      <w:bookmarkEnd w:id="6"/>
    </w:p>
    <w:p w14:paraId="406D0987" w14:textId="77777777" w:rsidR="007E7CC8" w:rsidRDefault="00852C8F">
      <w:pPr>
        <w:pStyle w:val="Heading2"/>
      </w:pPr>
      <w:r>
        <w:t>Consensus meeting</w:t>
      </w:r>
    </w:p>
    <w:p w14:paraId="321369C5" w14:textId="6820B010" w:rsidR="007E7CC8" w:rsidRDefault="00852C8F">
      <w:pPr>
        <w:pStyle w:val="NoSpacing"/>
      </w:pPr>
      <w:r>
        <w:rPr>
          <w:rStyle w:val="NoSpacingChar"/>
        </w:rPr>
        <w:t>The steering committee</w:t>
      </w:r>
      <w:r w:rsidR="00F0315C">
        <w:rPr>
          <w:rStyle w:val="NoSpacingChar"/>
        </w:rPr>
        <w:t xml:space="preserve"> </w:t>
      </w:r>
      <w:r>
        <w:rPr>
          <w:rStyle w:val="NoSpacingChar"/>
        </w:rPr>
        <w:t xml:space="preserve">and stakeholder group representatives met to consider the Delphi </w:t>
      </w:r>
      <w:r w:rsidR="007530A8">
        <w:rPr>
          <w:rStyle w:val="NoSpacingChar"/>
        </w:rPr>
        <w:t>results</w:t>
      </w:r>
      <w:r>
        <w:rPr>
          <w:rStyle w:val="NoSpacingChar"/>
        </w:rPr>
        <w:t xml:space="preserve"> and to finalise the list of items for the reporting guideline.</w:t>
      </w:r>
      <w:r>
        <w:t xml:space="preserve"> The meeting was conducted via </w:t>
      </w:r>
      <w:r w:rsidR="00CC4ED2">
        <w:t>conference call</w:t>
      </w:r>
      <w:r>
        <w:t xml:space="preserve"> (Zoom). We aimed to include </w:t>
      </w:r>
      <w:r w:rsidR="00767E41">
        <w:t>1</w:t>
      </w:r>
      <w:r w:rsidR="00767E41">
        <w:t xml:space="preserve"> </w:t>
      </w:r>
      <w:r>
        <w:t xml:space="preserve">or </w:t>
      </w:r>
      <w:r w:rsidR="00767E41">
        <w:t>2</w:t>
      </w:r>
      <w:r>
        <w:t xml:space="preserve"> representatives (with at least </w:t>
      </w:r>
      <w:r w:rsidR="00767E41">
        <w:t xml:space="preserve">1 </w:t>
      </w:r>
      <w:r>
        <w:t xml:space="preserve">being non-UK </w:t>
      </w:r>
      <w:r>
        <w:lastRenderedPageBreak/>
        <w:t xml:space="preserve">based) from each stakeholder group in the consensus meeting. We invited individuals to the meeting using the following principles: i) Delphi participants who completed both rounds; (ii) a balance across stakeholder groups; (iii) a reasonable geographic spread. If an individual could not attend, they were replaced by an individual from the same stakeholder group. </w:t>
      </w:r>
    </w:p>
    <w:p w14:paraId="2DCD695C" w14:textId="77777777" w:rsidR="007E7CC8" w:rsidRDefault="007E7CC8">
      <w:pPr>
        <w:pStyle w:val="NoSpacing"/>
        <w:rPr>
          <w:rStyle w:val="NoSpacingChar"/>
        </w:rPr>
      </w:pPr>
    </w:p>
    <w:p w14:paraId="3C4FAA24" w14:textId="486B70BC" w:rsidR="007E7CC8" w:rsidRDefault="00852C8F">
      <w:pPr>
        <w:pStyle w:val="NoSpacing"/>
        <w:rPr>
          <w:rStyle w:val="NoSpacingChar"/>
        </w:rPr>
      </w:pPr>
      <w:r>
        <w:rPr>
          <w:rStyle w:val="NoSpacingChar"/>
        </w:rPr>
        <w:t xml:space="preserve">Prior to and during the meeting, </w:t>
      </w:r>
      <w:r w:rsidR="00C52A7C">
        <w:rPr>
          <w:rStyle w:val="NoSpacingChar"/>
        </w:rPr>
        <w:t xml:space="preserve">attendees </w:t>
      </w:r>
      <w:r>
        <w:rPr>
          <w:rStyle w:val="NoSpacingChar"/>
        </w:rPr>
        <w:t xml:space="preserve">were shown a summary of how each stakeholder group scored each reporting item at Round 2, and the number of stakeholder groups who achieved consensus. </w:t>
      </w:r>
      <w:r w:rsidR="00C52A7C">
        <w:rPr>
          <w:rStyle w:val="NoSpacingChar"/>
        </w:rPr>
        <w:t>A</w:t>
      </w:r>
      <w:r>
        <w:rPr>
          <w:rStyle w:val="NoSpacingChar"/>
        </w:rPr>
        <w:t>t</w:t>
      </w:r>
      <w:r w:rsidR="00C52A7C">
        <w:rPr>
          <w:rStyle w:val="NoSpacingChar"/>
        </w:rPr>
        <w:t>t</w:t>
      </w:r>
      <w:r>
        <w:rPr>
          <w:rStyle w:val="NoSpacingChar"/>
        </w:rPr>
        <w:t xml:space="preserve">endees discussed each reporting item in turn, and decided whether to include the item in the reporting guideline or not. Where necessary, </w:t>
      </w:r>
      <w:r w:rsidR="00C52A7C">
        <w:rPr>
          <w:rStyle w:val="NoSpacingChar"/>
        </w:rPr>
        <w:t xml:space="preserve">attendees </w:t>
      </w:r>
      <w:r>
        <w:rPr>
          <w:rStyle w:val="NoSpacingChar"/>
        </w:rPr>
        <w:t xml:space="preserve">voted using TurningPoint polling software; the item was retained if at least 70% of participants voted for its inclusion. Items were considered in the order they were presented in the Delphi survey. </w:t>
      </w:r>
    </w:p>
    <w:p w14:paraId="573EF800" w14:textId="77777777" w:rsidR="007E7CC8" w:rsidRDefault="007E7CC8">
      <w:pPr>
        <w:pStyle w:val="NoSpacing"/>
        <w:rPr>
          <w:rStyle w:val="NoSpacingChar"/>
        </w:rPr>
      </w:pPr>
    </w:p>
    <w:p w14:paraId="25BCF86F" w14:textId="77777777" w:rsidR="007E7CC8" w:rsidRDefault="00852C8F">
      <w:pPr>
        <w:pStyle w:val="Heading2"/>
      </w:pPr>
      <w:r>
        <w:t>Post-consensus meeting development</w:t>
      </w:r>
    </w:p>
    <w:p w14:paraId="5D938B65" w14:textId="6EEDD7E8" w:rsidR="007E7CC8" w:rsidRDefault="00852C8F">
      <w:pPr>
        <w:pStyle w:val="NoSpacing"/>
      </w:pPr>
      <w:r>
        <w:t xml:space="preserve">We drafted the initial reporting guideline and E+E document concurrently. The purpose of the E+E document is to provide the rationale for and meaning of each reporting item alongside examples of good reporting practice. We also provided the origin of each </w:t>
      </w:r>
      <w:r w:rsidR="00C52A7C">
        <w:t xml:space="preserve">reporting item </w:t>
      </w:r>
      <w:r>
        <w:t xml:space="preserve">in the E+E document. </w:t>
      </w:r>
    </w:p>
    <w:p w14:paraId="692ACB33" w14:textId="77777777" w:rsidR="007E7CC8" w:rsidRDefault="00852C8F">
      <w:pPr>
        <w:pStyle w:val="Heading1"/>
      </w:pPr>
      <w:bookmarkStart w:id="7" w:name="_Toc36656376"/>
      <w:bookmarkStart w:id="8" w:name="_Toc36650010"/>
      <w:r>
        <w:t>Results</w:t>
      </w:r>
      <w:bookmarkEnd w:id="7"/>
      <w:bookmarkEnd w:id="8"/>
    </w:p>
    <w:p w14:paraId="29C24B01" w14:textId="77777777" w:rsidR="007E7CC8" w:rsidRDefault="00852C8F">
      <w:pPr>
        <w:pStyle w:val="Heading2"/>
      </w:pPr>
      <w:r>
        <w:t>Delphi survey</w:t>
      </w:r>
    </w:p>
    <w:p w14:paraId="1DC43949" w14:textId="34C32215" w:rsidR="007E7CC8" w:rsidRDefault="00852C8F">
      <w:pPr>
        <w:pStyle w:val="NoSpacing"/>
        <w:rPr>
          <w:rStyle w:val="NoSpacingChar"/>
        </w:rPr>
      </w:pPr>
      <w:r>
        <w:t xml:space="preserve">In Round 1, participants were asked to score 92 reporting items (the preliminary checklist of items) (S1 </w:t>
      </w:r>
      <w:r w:rsidR="00323915">
        <w:t>Table</w:t>
      </w:r>
      <w:r>
        <w:t xml:space="preserve">). </w:t>
      </w:r>
      <w:bookmarkStart w:id="9" w:name="_Hlk42080821"/>
      <w:r>
        <w:t xml:space="preserve">The items are labelled 1) to 85), as some items have subitems, i.e. 52a), 52b), 52c). </w:t>
      </w:r>
      <w:bookmarkEnd w:id="9"/>
      <w:r>
        <w:t xml:space="preserve">A total of 71 individuals completed this round: 15 journal editors, 41 primary researchers and 15 systematic reviewers. A total of </w:t>
      </w:r>
      <w:r w:rsidR="00767E41">
        <w:t>10</w:t>
      </w:r>
      <w:r>
        <w:t xml:space="preserve"> participants suggested 31 additional reporting items. In addition, during Round 1, Delphi participants </w:t>
      </w:r>
      <w:r w:rsidR="00D413E3">
        <w:t>notified us</w:t>
      </w:r>
      <w:r>
        <w:t xml:space="preserve"> of </w:t>
      </w:r>
      <w:r w:rsidR="00767E41">
        <w:t>2</w:t>
      </w:r>
      <w:r w:rsidR="00767E41">
        <w:t xml:space="preserve"> </w:t>
      </w:r>
      <w:r>
        <w:t>publications contain</w:t>
      </w:r>
      <w:r w:rsidR="00534DB3">
        <w:t>ing</w:t>
      </w:r>
      <w:r>
        <w:t xml:space="preserve"> relevant reporting items. After reviewing </w:t>
      </w:r>
      <w:r>
        <w:rPr>
          <w:rStyle w:val="NoSpacingChar"/>
        </w:rPr>
        <w:t xml:space="preserve">additional reporting items suggested by participants and the </w:t>
      </w:r>
      <w:r w:rsidR="00767E41">
        <w:rPr>
          <w:rStyle w:val="NoSpacingChar"/>
        </w:rPr>
        <w:t>2</w:t>
      </w:r>
      <w:r w:rsidR="00767E41">
        <w:rPr>
          <w:rStyle w:val="NoSpacingChar"/>
        </w:rPr>
        <w:t xml:space="preserve"> </w:t>
      </w:r>
      <w:r>
        <w:rPr>
          <w:rStyle w:val="NoSpacingChar"/>
        </w:rPr>
        <w:t>relevant publications</w:t>
      </w:r>
      <w:r w:rsidR="00977656">
        <w:rPr>
          <w:rStyle w:val="NoSpacingChar"/>
        </w:rPr>
        <w:t xml:space="preserve"> </w:t>
      </w:r>
      <w:r w:rsidR="00977656">
        <w:rPr>
          <w:rStyle w:val="NoSpacingChar"/>
        </w:rPr>
        <w:fldChar w:fldCharType="begin"/>
      </w:r>
      <w:r w:rsidR="009F7F6C">
        <w:rPr>
          <w:rStyle w:val="NoSpacingChar"/>
        </w:rPr>
        <w:instrText xml:space="preserve"> ADDIN EN.CITE &lt;EndNote&gt;&lt;Cite&gt;&lt;Author&gt;McDonagh&lt;/Author&gt;&lt;Year&gt;2015&lt;/Year&gt;&lt;RecNum&gt;19&lt;/RecNum&gt;&lt;DisplayText&gt;[10, 11]&lt;/DisplayText&gt;&lt;record&gt;&lt;rec-number&gt;19&lt;/rec-number&gt;&lt;foreign-keys&gt;&lt;key app="EN" db-id="atd2rw5fur2re4e5ps2p02tpzd2z2aaer5wd" timestamp="1575465394"&gt;19&lt;/key&gt;&lt;/foreign-keys&gt;&lt;ref-type name="Journal Article"&gt;17&lt;/ref-type&gt;&lt;contributors&gt;&lt;authors&gt;&lt;author&gt;McDonagh, EM&lt;/author&gt;&lt;author&gt;Whirl‐Carrillo, M&lt;/author&gt;&lt;author&gt;Altman, RB&lt;/author&gt;&lt;author&gt;Klein, TE&lt;/author&gt;&lt;/authors&gt;&lt;/contributors&gt;&lt;titles&gt;&lt;title&gt;Enabling the curation of your pharmacogenetic study&lt;/title&gt;&lt;secondary-title&gt;Clin Pharmacol Ther&lt;/secondary-title&gt;&lt;/titles&gt;&lt;periodical&gt;&lt;full-title&gt;Clin Pharmacol Ther&lt;/full-title&gt;&lt;/periodical&gt;&lt;pages&gt;116-119&lt;/pages&gt;&lt;volume&gt;97&lt;/volume&gt;&lt;number&gt;2&lt;/number&gt;&lt;dates&gt;&lt;year&gt;2015&lt;/year&gt;&lt;/dates&gt;&lt;isbn&gt;0009-9236&lt;/isbn&gt;&lt;urls&gt;&lt;/urls&gt;&lt;/record&gt;&lt;/Cite&gt;&lt;Cite&gt;&lt;Author&gt;Thorn&lt;/Author&gt;&lt;Year&gt;2019&lt;/Year&gt;&lt;RecNum&gt;20&lt;/RecNum&gt;&lt;record&gt;&lt;rec-number&gt;20&lt;/rec-number&gt;&lt;foreign-keys&gt;&lt;key app="EN" db-id="atd2rw5fur2re4e5ps2p02tpzd2z2aaer5wd" timestamp="1575465425"&gt;20&lt;/key&gt;&lt;/foreign-keys&gt;&lt;ref-type name="Journal Article"&gt;17&lt;/ref-type&gt;&lt;contributors&gt;&lt;authors&gt;&lt;author&gt;Thorn, Caroline F&lt;/author&gt;&lt;author&gt;Whirl‐Carrillo, Michelle&lt;/author&gt;&lt;author&gt;Hachad, Houda&lt;/author&gt;&lt;author&gt;Johnson, Julie A&lt;/author&gt;&lt;author&gt;McDonagh, Ellen M&lt;/author&gt;&lt;author&gt;Ratain, Mark J&lt;/author&gt;&lt;author&gt;Relling, Mary V&lt;/author&gt;&lt;author&gt;Scott, Stuart A&lt;/author&gt;&lt;author&gt;Altman, Russ B&lt;/author&gt;&lt;author&gt;Klein, Teri E&lt;/author&gt;&lt;/authors&gt;&lt;/contributors&gt;&lt;titles&gt;&lt;title&gt;Essential characteristics of pharmacogenomics study publications&lt;/title&gt;&lt;secondary-title&gt;Clin Pharmacol Ther&lt;/secondary-title&gt;&lt;/titles&gt;&lt;periodical&gt;&lt;full-title&gt;Clin Pharmacol Ther&lt;/full-title&gt;&lt;/periodical&gt;&lt;pages&gt;86-91&lt;/pages&gt;&lt;volume&gt;105&lt;/volume&gt;&lt;number&gt;1&lt;/number&gt;&lt;dates&gt;&lt;year&gt;2019&lt;/year&gt;&lt;/dates&gt;&lt;isbn&gt;0009-9236&lt;/isbn&gt;&lt;urls&gt;&lt;/urls&gt;&lt;/record&gt;&lt;/Cite&gt;&lt;/EndNote&gt;</w:instrText>
      </w:r>
      <w:r w:rsidR="00977656">
        <w:rPr>
          <w:rStyle w:val="NoSpacingChar"/>
        </w:rPr>
        <w:fldChar w:fldCharType="separate"/>
      </w:r>
      <w:r w:rsidR="009F7F6C">
        <w:rPr>
          <w:rStyle w:val="NoSpacingChar"/>
          <w:noProof/>
        </w:rPr>
        <w:t xml:space="preserve">[10, </w:t>
      </w:r>
      <w:r w:rsidR="009F7F6C">
        <w:rPr>
          <w:rStyle w:val="NoSpacingChar"/>
          <w:noProof/>
        </w:rPr>
        <w:lastRenderedPageBreak/>
        <w:t>11]</w:t>
      </w:r>
      <w:r w:rsidR="00977656">
        <w:rPr>
          <w:rStyle w:val="NoSpacingChar"/>
        </w:rPr>
        <w:fldChar w:fldCharType="end"/>
      </w:r>
      <w:r>
        <w:rPr>
          <w:rStyle w:val="NoSpacingChar"/>
        </w:rPr>
        <w:t xml:space="preserve">, we included </w:t>
      </w:r>
      <w:r w:rsidR="00767E41">
        <w:rPr>
          <w:rStyle w:val="NoSpacingChar"/>
        </w:rPr>
        <w:t>7</w:t>
      </w:r>
      <w:r>
        <w:rPr>
          <w:rStyle w:val="NoSpacingChar"/>
        </w:rPr>
        <w:t xml:space="preserve"> additional items in Round 2 (S1 </w:t>
      </w:r>
      <w:r w:rsidR="00323915">
        <w:rPr>
          <w:rStyle w:val="NoSpacingChar"/>
        </w:rPr>
        <w:t>Table</w:t>
      </w:r>
      <w:r>
        <w:rPr>
          <w:rStyle w:val="NoSpacingChar"/>
        </w:rPr>
        <w:t>); we also cover</w:t>
      </w:r>
      <w:r w:rsidR="00D413E3">
        <w:rPr>
          <w:rStyle w:val="NoSpacingChar"/>
        </w:rPr>
        <w:t>ed</w:t>
      </w:r>
      <w:r>
        <w:rPr>
          <w:rStyle w:val="NoSpacingChar"/>
        </w:rPr>
        <w:t xml:space="preserve"> so</w:t>
      </w:r>
      <w:r w:rsidR="007530A8">
        <w:rPr>
          <w:rStyle w:val="NoSpacingChar"/>
        </w:rPr>
        <w:t>me</w:t>
      </w:r>
      <w:r>
        <w:rPr>
          <w:rStyle w:val="NoSpacingChar"/>
        </w:rPr>
        <w:t xml:space="preserve"> suggested reporting items by including additional detail in the E+E text for existing items. </w:t>
      </w:r>
    </w:p>
    <w:p w14:paraId="0BD669C8" w14:textId="77777777" w:rsidR="007E7CC8" w:rsidRDefault="007E7CC8">
      <w:pPr>
        <w:pStyle w:val="NoSpacing"/>
        <w:rPr>
          <w:rStyle w:val="NoSpacingChar"/>
        </w:rPr>
      </w:pPr>
    </w:p>
    <w:p w14:paraId="3BA4E357" w14:textId="796501AB" w:rsidR="007E7CC8" w:rsidRDefault="00852C8F">
      <w:pPr>
        <w:pStyle w:val="NoSpacing"/>
      </w:pPr>
      <w:r>
        <w:rPr>
          <w:rStyle w:val="NoSpacingChar"/>
        </w:rPr>
        <w:t xml:space="preserve">A total of 52 individuals scored 99 reporting items in Round 2: 10 journal editors, 31 primary researchers, and 11 systematic reviewers. </w:t>
      </w:r>
      <w:r w:rsidR="00653518">
        <w:t>A</w:t>
      </w:r>
      <w:r>
        <w:t>nonymised data from both Delphi survey</w:t>
      </w:r>
      <w:r w:rsidR="00B97C5B">
        <w:t xml:space="preserve"> rounds</w:t>
      </w:r>
      <w:r>
        <w:t xml:space="preserve"> are available in S</w:t>
      </w:r>
      <w:r w:rsidR="007332EC">
        <w:t>1</w:t>
      </w:r>
      <w:r>
        <w:t xml:space="preserve"> </w:t>
      </w:r>
      <w:r w:rsidR="007332EC">
        <w:t>Data</w:t>
      </w:r>
      <w:r>
        <w:t>.</w:t>
      </w:r>
      <w:r w:rsidR="00895343">
        <w:t xml:space="preserve"> A list of individuals who </w:t>
      </w:r>
      <w:r w:rsidR="00895343">
        <w:t>gave their permission to be listed as participants in the Delphi survey is provided in S</w:t>
      </w:r>
      <w:r w:rsidR="007332EC">
        <w:t>1 Document</w:t>
      </w:r>
      <w:r w:rsidR="00895343">
        <w:t>.</w:t>
      </w:r>
    </w:p>
    <w:p w14:paraId="3FB25799" w14:textId="77777777" w:rsidR="007E7CC8" w:rsidRDefault="007E7CC8">
      <w:pPr>
        <w:pStyle w:val="NoSpacing"/>
      </w:pPr>
    </w:p>
    <w:p w14:paraId="37D75E00" w14:textId="54315EC5" w:rsidR="007E7CC8" w:rsidRDefault="00852C8F">
      <w:pPr>
        <w:pStyle w:val="NoSpacing"/>
      </w:pPr>
      <w:bookmarkStart w:id="10" w:name="_Hlk42086353"/>
      <w:r>
        <w:t>As we asked network co-ordinators, systematic reviewers and journal editors to contact individuals on our behalf</w:t>
      </w:r>
      <w:bookmarkEnd w:id="10"/>
      <w:r>
        <w:t>, it is impossible to determine a response rate to Round 1. However, we considered the response received to Round 2 to be reasonable (</w:t>
      </w:r>
      <w:bookmarkStart w:id="11" w:name="_Hlk42084133"/>
      <w:r>
        <w:t xml:space="preserve">overall: 52/71, 73%; journal editors: 10/15, 67%; systematic reviewers: 31/41, 76%; primary researchers: 11/15, 73%). </w:t>
      </w:r>
      <w:bookmarkEnd w:id="11"/>
      <w:r>
        <w:t xml:space="preserve">Considering the </w:t>
      </w:r>
      <w:r w:rsidR="00552F95">
        <w:t>box</w:t>
      </w:r>
      <w:r>
        <w:t>plots presented in S</w:t>
      </w:r>
      <w:r w:rsidR="007332EC">
        <w:t>2</w:t>
      </w:r>
      <w:r>
        <w:t xml:space="preserve"> </w:t>
      </w:r>
      <w:r w:rsidR="007332EC">
        <w:t>Document</w:t>
      </w:r>
      <w:r>
        <w:t>,</w:t>
      </w:r>
      <w:bookmarkStart w:id="12" w:name="_Hlk42084172"/>
      <w:r w:rsidR="001C71F2">
        <w:t xml:space="preserve"> the </w:t>
      </w:r>
      <w:r w:rsidR="00552F95">
        <w:t xml:space="preserve">distributions of </w:t>
      </w:r>
      <w:r>
        <w:t xml:space="preserve">scores were similar between those who completed both rounds of the Delphi survey, and those who completed Round 1 only. There was therefore no evidence to suggest that attrition bias occurred. </w:t>
      </w:r>
    </w:p>
    <w:bookmarkEnd w:id="12"/>
    <w:p w14:paraId="5C3E0289" w14:textId="77777777" w:rsidR="007E7CC8" w:rsidRDefault="007E7CC8">
      <w:pPr>
        <w:pStyle w:val="NoSpacing"/>
      </w:pPr>
    </w:p>
    <w:p w14:paraId="51F4281F" w14:textId="77777777" w:rsidR="007E7CC8" w:rsidRDefault="00852C8F">
      <w:pPr>
        <w:pStyle w:val="Heading2"/>
      </w:pPr>
      <w:r>
        <w:t>Consensus meeting</w:t>
      </w:r>
    </w:p>
    <w:p w14:paraId="1EB40BC0" w14:textId="27FD73F3" w:rsidR="007E7CC8" w:rsidRDefault="00852C8F">
      <w:pPr>
        <w:pStyle w:val="NoSpacing"/>
      </w:pPr>
      <w:bookmarkStart w:id="13" w:name="_Hlk42084215"/>
      <w:r>
        <w:t xml:space="preserve">The consensus meeting took place in November 2019, including </w:t>
      </w:r>
      <w:r w:rsidR="00767E41">
        <w:t>6</w:t>
      </w:r>
      <w:r>
        <w:t xml:space="preserve"> steering committee</w:t>
      </w:r>
      <w:r w:rsidR="001757C7">
        <w:t xml:space="preserve"> members</w:t>
      </w:r>
      <w:r>
        <w:t xml:space="preserve">, and </w:t>
      </w:r>
      <w:r w:rsidR="00767E41">
        <w:t>4</w:t>
      </w:r>
      <w:r>
        <w:t xml:space="preserve"> representatives of stakeholder groups (</w:t>
      </w:r>
      <w:r w:rsidR="00767E41">
        <w:t>1</w:t>
      </w:r>
      <w:r w:rsidR="00767E41">
        <w:t xml:space="preserve"> </w:t>
      </w:r>
      <w:r>
        <w:t xml:space="preserve">journal editor, based in Germany; </w:t>
      </w:r>
      <w:r w:rsidR="00767E41">
        <w:t>1</w:t>
      </w:r>
      <w:r>
        <w:t xml:space="preserve"> primary researcher, based in Switzerland; </w:t>
      </w:r>
      <w:r w:rsidR="00767E41">
        <w:t>2</w:t>
      </w:r>
      <w:r w:rsidR="00767E41">
        <w:t xml:space="preserve"> </w:t>
      </w:r>
      <w:r>
        <w:t xml:space="preserve">systematic reviewers, based in the UK and Spain). </w:t>
      </w:r>
      <w:r w:rsidR="00E31A5D">
        <w:t>Names and affiliations of these representatives are provided in S</w:t>
      </w:r>
      <w:r w:rsidR="007332EC">
        <w:t>1 Document</w:t>
      </w:r>
      <w:r w:rsidR="00E31A5D">
        <w:t xml:space="preserve">. </w:t>
      </w:r>
      <w:r>
        <w:t xml:space="preserve">Two steering committee </w:t>
      </w:r>
      <w:r w:rsidR="001757C7">
        <w:t>members</w:t>
      </w:r>
      <w:r>
        <w:t xml:space="preserve"> did not participate in voting</w:t>
      </w:r>
      <w:r w:rsidR="002B3486">
        <w:t xml:space="preserve"> (JK chaired and KD took notes)</w:t>
      </w:r>
      <w:r>
        <w:t xml:space="preserve">, so there were </w:t>
      </w:r>
      <w:r w:rsidR="00DE0ECC">
        <w:t>8</w:t>
      </w:r>
      <w:r>
        <w:t xml:space="preserve"> voting individuals in attendance. </w:t>
      </w:r>
    </w:p>
    <w:bookmarkEnd w:id="13"/>
    <w:p w14:paraId="7C337A18" w14:textId="77777777" w:rsidR="007E7CC8" w:rsidRDefault="007E7CC8">
      <w:pPr>
        <w:pStyle w:val="NoSpacing"/>
        <w:rPr>
          <w:rFonts w:ascii="Helvetica" w:hAnsi="Helvetica"/>
          <w:sz w:val="20"/>
          <w:szCs w:val="20"/>
        </w:rPr>
      </w:pPr>
    </w:p>
    <w:p w14:paraId="5DDFF782" w14:textId="065F5D7E" w:rsidR="007E7CC8" w:rsidRDefault="00C97DD7">
      <w:pPr>
        <w:pStyle w:val="NoSpacing"/>
      </w:pPr>
      <w:bookmarkStart w:id="14" w:name="article1.body1.sec4.p7"/>
      <w:bookmarkStart w:id="15" w:name="article1.body1.sec4.p6"/>
      <w:bookmarkEnd w:id="14"/>
      <w:bookmarkEnd w:id="15"/>
      <w:r>
        <w:t>The</w:t>
      </w:r>
      <w:r w:rsidR="00852C8F">
        <w:t xml:space="preserve"> consensus matrix</w:t>
      </w:r>
      <w:r>
        <w:t xml:space="preserve"> (S</w:t>
      </w:r>
      <w:r w:rsidR="007332EC">
        <w:t>2</w:t>
      </w:r>
      <w:r>
        <w:t xml:space="preserve"> </w:t>
      </w:r>
      <w:r w:rsidR="007332EC">
        <w:t>Table</w:t>
      </w:r>
      <w:r>
        <w:t>)</w:t>
      </w:r>
      <w:r w:rsidR="00852C8F">
        <w:t xml:space="preserve"> documents </w:t>
      </w:r>
      <w:r>
        <w:t>how each stakeholder group scored each item</w:t>
      </w:r>
      <w:r w:rsidR="00852C8F">
        <w:t xml:space="preserve"> at Round 1 and at Round 2</w:t>
      </w:r>
      <w:r>
        <w:t xml:space="preserve">, and was provided to attendees </w:t>
      </w:r>
      <w:r w:rsidR="00653518">
        <w:t>prior to</w:t>
      </w:r>
      <w:r>
        <w:t xml:space="preserve"> the meeting. </w:t>
      </w:r>
      <w:r w:rsidR="00653518">
        <w:t>C</w:t>
      </w:r>
      <w:r w:rsidR="00852C8F">
        <w:t xml:space="preserve">onsensus meeting slides </w:t>
      </w:r>
      <w:r w:rsidR="00B97C5B">
        <w:t xml:space="preserve">are provided </w:t>
      </w:r>
      <w:r w:rsidR="00852C8F">
        <w:t>in S</w:t>
      </w:r>
      <w:r w:rsidR="007332EC">
        <w:t>1</w:t>
      </w:r>
      <w:r w:rsidR="00852C8F">
        <w:t xml:space="preserve"> </w:t>
      </w:r>
      <w:r w:rsidR="007332EC">
        <w:t>Presentation</w:t>
      </w:r>
      <w:r w:rsidR="00852C8F">
        <w:t xml:space="preserve">. </w:t>
      </w:r>
    </w:p>
    <w:p w14:paraId="74271BC0" w14:textId="77777777" w:rsidR="007E7CC8" w:rsidRDefault="007E7CC8">
      <w:pPr>
        <w:pStyle w:val="NoSpacing"/>
      </w:pPr>
    </w:p>
    <w:p w14:paraId="1B6099AD" w14:textId="73D730A8" w:rsidR="007E7CC8" w:rsidRDefault="00653518">
      <w:pPr>
        <w:pStyle w:val="NoSpacing"/>
      </w:pPr>
      <w:r>
        <w:t>D</w:t>
      </w:r>
      <w:r w:rsidR="00852C8F">
        <w:t xml:space="preserve">ecisions made at the consensus meeting are </w:t>
      </w:r>
      <w:r w:rsidR="007530A8">
        <w:t xml:space="preserve">summarised </w:t>
      </w:r>
      <w:r w:rsidR="00852C8F">
        <w:t>in S</w:t>
      </w:r>
      <w:r w:rsidR="007332EC">
        <w:t>3</w:t>
      </w:r>
      <w:r w:rsidR="00852C8F">
        <w:t xml:space="preserve"> </w:t>
      </w:r>
      <w:bookmarkStart w:id="16" w:name="_Hlk42084303"/>
      <w:r w:rsidR="007332EC">
        <w:t>Table</w:t>
      </w:r>
      <w:r w:rsidR="00852C8F">
        <w:t xml:space="preserve">. </w:t>
      </w:r>
      <w:r w:rsidR="00903504">
        <w:t xml:space="preserve">We </w:t>
      </w:r>
      <w:r w:rsidR="00F84413">
        <w:t>decided</w:t>
      </w:r>
      <w:r w:rsidR="00903504">
        <w:t xml:space="preserve"> whether to include or exclude items, and whether to combine multiple items under a single item</w:t>
      </w:r>
      <w:bookmarkEnd w:id="16"/>
      <w:r w:rsidR="00903504">
        <w:t xml:space="preserve">. </w:t>
      </w:r>
      <w:r w:rsidR="00852C8F">
        <w:t>Where a vote was taken, this is indicated in the table</w:t>
      </w:r>
      <w:r w:rsidR="00F84413">
        <w:t>;</w:t>
      </w:r>
      <w:r w:rsidR="00852C8F">
        <w:t xml:space="preserve"> </w:t>
      </w:r>
      <w:r w:rsidR="00F84413">
        <w:t>o</w:t>
      </w:r>
      <w:r w:rsidR="00852C8F">
        <w:t xml:space="preserve">therwise, decisions made were based solely on consideration of the Delphi results and discussion. </w:t>
      </w:r>
    </w:p>
    <w:p w14:paraId="63F43E50" w14:textId="77777777" w:rsidR="007E7CC8" w:rsidRDefault="007E7CC8">
      <w:pPr>
        <w:pStyle w:val="NoSpacing"/>
      </w:pPr>
    </w:p>
    <w:p w14:paraId="2C07734E" w14:textId="77777777" w:rsidR="007E7CC8" w:rsidRDefault="00852C8F">
      <w:pPr>
        <w:pStyle w:val="Heading2"/>
      </w:pPr>
      <w:r>
        <w:t>Post-consensus meeting development</w:t>
      </w:r>
    </w:p>
    <w:p w14:paraId="34DF54EC" w14:textId="67ED5A3E" w:rsidR="007E7CC8" w:rsidRDefault="00852C8F">
      <w:pPr>
        <w:pStyle w:val="NoSpacing"/>
      </w:pPr>
      <w:r>
        <w:t xml:space="preserve">Following the consensus meeting, MC drafted the reporting guideline with guidance from </w:t>
      </w:r>
      <w:r w:rsidR="00F84413">
        <w:t xml:space="preserve">the </w:t>
      </w:r>
      <w:r>
        <w:t>steering committee. The following minor amendments were made:</w:t>
      </w:r>
    </w:p>
    <w:p w14:paraId="76C9B68D" w14:textId="77777777" w:rsidR="007E7CC8" w:rsidRDefault="007E7CC8">
      <w:pPr>
        <w:pStyle w:val="NoSpacing"/>
      </w:pPr>
    </w:p>
    <w:p w14:paraId="336D30BD" w14:textId="77777777" w:rsidR="007E7CC8" w:rsidRDefault="00852C8F">
      <w:pPr>
        <w:pStyle w:val="Bullets"/>
        <w:numPr>
          <w:ilvl w:val="0"/>
          <w:numId w:val="3"/>
        </w:numPr>
      </w:pPr>
      <w:bookmarkStart w:id="17" w:name="_Hlk42084447"/>
      <w:r>
        <w:t>We excluded item 14 and item 49; while searching for examples for these items, we found very few pharmacogenetic studies that used a matched cohort design, or a cross-sectional design with a complex sampling strategy; these items would therefore be irrelevant to the vast majority of guideline users</w:t>
      </w:r>
    </w:p>
    <w:p w14:paraId="7EF3A3B0" w14:textId="77777777" w:rsidR="007E7CC8" w:rsidRDefault="00852C8F">
      <w:pPr>
        <w:pStyle w:val="Bullets"/>
        <w:numPr>
          <w:ilvl w:val="0"/>
          <w:numId w:val="3"/>
        </w:numPr>
      </w:pPr>
      <w:r>
        <w:t>We removed “Identify variables likely to be associated with population stratification (confounding by ethnic origin)” from item 22, as this is covered by item 54</w:t>
      </w:r>
    </w:p>
    <w:p w14:paraId="63DB9FC1" w14:textId="77777777" w:rsidR="007E7CC8" w:rsidRDefault="00852C8F">
      <w:pPr>
        <w:pStyle w:val="Bullets"/>
        <w:numPr>
          <w:ilvl w:val="0"/>
          <w:numId w:val="3"/>
        </w:numPr>
      </w:pPr>
      <w:r>
        <w:t>We added more terms (“major”, “reference”, “risk” and “effect”) that might be used to describe alleles to item 27</w:t>
      </w:r>
    </w:p>
    <w:p w14:paraId="7B8CA306" w14:textId="77777777" w:rsidR="007E7CC8" w:rsidRDefault="00852C8F">
      <w:pPr>
        <w:pStyle w:val="Bullets"/>
        <w:numPr>
          <w:ilvl w:val="0"/>
          <w:numId w:val="3"/>
        </w:numPr>
      </w:pPr>
      <w:r>
        <w:t>Although we decided to cover item 55 by adding to the E+E text for item 34 at the consensus meeting, the steering committee subsequently agreed that relatedness of participants is a separate issue to genotype quality control. We decided to keep item 55 as a standalone item in the guideline</w:t>
      </w:r>
    </w:p>
    <w:p w14:paraId="5D571D4E" w14:textId="77777777" w:rsidR="007E7CC8" w:rsidRDefault="00852C8F">
      <w:pPr>
        <w:pStyle w:val="Bullets"/>
        <w:numPr>
          <w:ilvl w:val="0"/>
          <w:numId w:val="3"/>
        </w:numPr>
      </w:pPr>
      <w:r>
        <w:t>We introduced a new subitem to item 42 to cover confounding, and made item 42 a generic introduction to the statistical methods subitems</w:t>
      </w:r>
    </w:p>
    <w:p w14:paraId="720C2A8D" w14:textId="77777777" w:rsidR="007E7CC8" w:rsidRDefault="00852C8F">
      <w:pPr>
        <w:pStyle w:val="Bullets"/>
        <w:numPr>
          <w:ilvl w:val="0"/>
          <w:numId w:val="3"/>
        </w:numPr>
      </w:pPr>
      <w:r>
        <w:t>We modified item 68 to indicate that average and/or total follow-up time is sufficient</w:t>
      </w:r>
    </w:p>
    <w:p w14:paraId="57C94EAB" w14:textId="653AE683" w:rsidR="007E7CC8" w:rsidRDefault="00852C8F">
      <w:pPr>
        <w:pStyle w:val="Bullets"/>
        <w:numPr>
          <w:ilvl w:val="0"/>
          <w:numId w:val="3"/>
        </w:numPr>
      </w:pPr>
      <w:r>
        <w:lastRenderedPageBreak/>
        <w:t xml:space="preserve">Although we voted to exclude item 80 from the “Other analyses” section </w:t>
      </w:r>
      <w:r w:rsidR="00E4782D">
        <w:t xml:space="preserve">of the reporting guideline </w:t>
      </w:r>
      <w:r>
        <w:t xml:space="preserve">at the consensus meeting, the intention was to consider this item under the </w:t>
      </w:r>
      <w:r w:rsidR="00E4782D">
        <w:t>“D</w:t>
      </w:r>
      <w:r>
        <w:t>atabases</w:t>
      </w:r>
      <w:r w:rsidR="00E4782D">
        <w:t>”</w:t>
      </w:r>
      <w:r>
        <w:t xml:space="preserve"> section. </w:t>
      </w:r>
      <w:r w:rsidR="00E4782D">
        <w:t xml:space="preserve">However, </w:t>
      </w:r>
      <w:r>
        <w:t xml:space="preserve">time </w:t>
      </w:r>
      <w:r w:rsidR="00E4782D">
        <w:t xml:space="preserve">constraints meant that we </w:t>
      </w:r>
      <w:r>
        <w:t xml:space="preserve">did not discuss this item </w:t>
      </w:r>
      <w:r w:rsidR="00E4782D">
        <w:t>again</w:t>
      </w:r>
      <w:r>
        <w:t xml:space="preserve">. The steering committee subsequently agreed that this item relates to additional results, rather than individual patient data in databases. We decided to keep the item in its original position, and add “i.e. in supplementary materials” </w:t>
      </w:r>
      <w:bookmarkStart w:id="18" w:name="article1.body1.sec4.p8"/>
      <w:bookmarkEnd w:id="18"/>
      <w:r w:rsidR="00E4782D">
        <w:t>so the meaning of the item is clear</w:t>
      </w:r>
    </w:p>
    <w:bookmarkEnd w:id="17"/>
    <w:p w14:paraId="60DBE23E" w14:textId="77777777" w:rsidR="007E7CC8" w:rsidRDefault="007E7CC8">
      <w:pPr>
        <w:pStyle w:val="NoSpacing"/>
      </w:pPr>
    </w:p>
    <w:p w14:paraId="6E83427B" w14:textId="56EDE55F" w:rsidR="007E7CC8" w:rsidRDefault="00852C8F">
      <w:pPr>
        <w:pStyle w:val="NoSpacing"/>
      </w:pPr>
      <w:r>
        <w:rPr>
          <w:rStyle w:val="NoSpacingChar"/>
        </w:rPr>
        <w:t>The resulting draft guideline was circulated to all consensus meeting attendees</w:t>
      </w:r>
      <w:r w:rsidR="008C1BD7">
        <w:rPr>
          <w:rStyle w:val="NoSpacingChar"/>
        </w:rPr>
        <w:t xml:space="preserve"> in March 2020</w:t>
      </w:r>
      <w:r>
        <w:t>.</w:t>
      </w:r>
      <w:bookmarkStart w:id="19" w:name="_Hlk42084427"/>
      <w:r>
        <w:t xml:space="preserve"> </w:t>
      </w:r>
      <w:bookmarkStart w:id="20" w:name="article1.body1.sec4.p10"/>
      <w:bookmarkEnd w:id="20"/>
      <w:r>
        <w:t xml:space="preserve">All comments and revisions were taken into consideration and the checklist revised accordingly. </w:t>
      </w:r>
      <w:bookmarkEnd w:id="19"/>
    </w:p>
    <w:p w14:paraId="3C9A6058" w14:textId="77777777" w:rsidR="007E7CC8" w:rsidRDefault="007E7CC8">
      <w:pPr>
        <w:pStyle w:val="NoSpacing"/>
      </w:pPr>
    </w:p>
    <w:p w14:paraId="096EECF5" w14:textId="77777777" w:rsidR="007E7CC8" w:rsidRDefault="00852C8F">
      <w:pPr>
        <w:pStyle w:val="Heading2"/>
      </w:pPr>
      <w:bookmarkStart w:id="21" w:name="article1.body1.sec4.p11"/>
      <w:bookmarkEnd w:id="21"/>
      <w:r>
        <w:t xml:space="preserve">STROPS guideline </w:t>
      </w:r>
    </w:p>
    <w:p w14:paraId="7F853670" w14:textId="442C625F" w:rsidR="007E7CC8" w:rsidRDefault="00852C8F" w:rsidP="00E90CDA">
      <w:pPr>
        <w:pStyle w:val="NoSpacing"/>
      </w:pPr>
      <w:bookmarkStart w:id="22" w:name="_Hlk42084527"/>
      <w:r>
        <w:t xml:space="preserve">In </w:t>
      </w:r>
      <w:r>
        <w:fldChar w:fldCharType="begin"/>
      </w:r>
      <w:r>
        <w:instrText>REF _Ref39672446 \h</w:instrText>
      </w:r>
      <w:r w:rsidR="007332EC">
        <w:instrText xml:space="preserve"> \* MERGEFORMAT </w:instrText>
      </w:r>
      <w:r>
        <w:fldChar w:fldCharType="separate"/>
      </w:r>
      <w:r w:rsidR="008C3405">
        <w:t xml:space="preserve">Table </w:t>
      </w:r>
      <w:r w:rsidR="008C3405">
        <w:rPr>
          <w:noProof/>
        </w:rPr>
        <w:t>1</w:t>
      </w:r>
      <w:r>
        <w:fldChar w:fldCharType="end"/>
      </w:r>
      <w:r>
        <w:t>, we report the STROPS guideline. The accompanying E+E document is provided in S</w:t>
      </w:r>
      <w:r w:rsidR="007332EC">
        <w:t>3 Document</w:t>
      </w:r>
      <w:r>
        <w:t>.</w:t>
      </w:r>
      <w:r>
        <w:br w:type="page"/>
      </w:r>
    </w:p>
    <w:p w14:paraId="348652CF" w14:textId="44D5EE8E" w:rsidR="007E7CC8" w:rsidRDefault="00852C8F">
      <w:pPr>
        <w:pStyle w:val="NoSpacing"/>
        <w:spacing w:line="240" w:lineRule="auto"/>
      </w:pPr>
      <w:bookmarkStart w:id="23" w:name="_Ref39672446"/>
      <w:r>
        <w:lastRenderedPageBreak/>
        <w:t xml:space="preserve">Table </w:t>
      </w:r>
      <w:r>
        <w:fldChar w:fldCharType="begin"/>
      </w:r>
      <w:r>
        <w:instrText>SEQ Table \* ARABIC</w:instrText>
      </w:r>
      <w:r>
        <w:fldChar w:fldCharType="separate"/>
      </w:r>
      <w:r w:rsidR="008C3405">
        <w:rPr>
          <w:noProof/>
        </w:rPr>
        <w:t>1</w:t>
      </w:r>
      <w:r>
        <w:fldChar w:fldCharType="end"/>
      </w:r>
      <w:bookmarkEnd w:id="23"/>
      <w:r>
        <w:t xml:space="preserve"> STROPS reporting guideline</w:t>
      </w: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right w:w="57" w:type="dxa"/>
        </w:tblCellMar>
        <w:tblLook w:val="04A0" w:firstRow="1" w:lastRow="0" w:firstColumn="1" w:lastColumn="0" w:noHBand="0" w:noVBand="1"/>
      </w:tblPr>
      <w:tblGrid>
        <w:gridCol w:w="1442"/>
        <w:gridCol w:w="483"/>
        <w:gridCol w:w="7091"/>
      </w:tblGrid>
      <w:tr w:rsidR="007E7CC8" w14:paraId="56DEE426"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auto" w:fill="ABCFD5"/>
          </w:tcPr>
          <w:p w14:paraId="2023AD3D" w14:textId="77777777" w:rsidR="007E7CC8" w:rsidRDefault="00852C8F">
            <w:pPr>
              <w:spacing w:after="0" w:line="240" w:lineRule="auto"/>
              <w:rPr>
                <w:rFonts w:ascii="Calibri" w:eastAsia="Times New Roman" w:hAnsi="Calibri" w:cs="Times New Roman"/>
                <w:b/>
                <w:bCs/>
                <w:color w:val="000000"/>
                <w:sz w:val="20"/>
                <w:szCs w:val="20"/>
                <w:lang w:eastAsia="en-GB"/>
              </w:rPr>
            </w:pPr>
            <w:bookmarkStart w:id="24" w:name="_Hlk45807070"/>
            <w:r>
              <w:rPr>
                <w:rFonts w:eastAsia="Times New Roman" w:cs="Times New Roman"/>
                <w:b/>
                <w:bCs/>
                <w:color w:val="000000"/>
                <w:sz w:val="20"/>
                <w:szCs w:val="20"/>
                <w:lang w:eastAsia="en-GB"/>
              </w:rPr>
              <w:t>Category</w:t>
            </w:r>
          </w:p>
        </w:tc>
        <w:tc>
          <w:tcPr>
            <w:tcW w:w="483" w:type="dxa"/>
            <w:tcBorders>
              <w:top w:val="single" w:sz="4" w:space="0" w:color="00000A"/>
              <w:left w:val="single" w:sz="4" w:space="0" w:color="00000A"/>
              <w:bottom w:val="single" w:sz="4" w:space="0" w:color="00000A"/>
              <w:right w:val="single" w:sz="4" w:space="0" w:color="00000A"/>
            </w:tcBorders>
            <w:shd w:val="clear" w:color="auto" w:fill="ABCFD5"/>
          </w:tcPr>
          <w:p w14:paraId="13B9AF11" w14:textId="77777777" w:rsidR="007E7CC8" w:rsidRDefault="00852C8F">
            <w:pPr>
              <w:spacing w:after="0" w:line="240" w:lineRule="auto"/>
              <w:rPr>
                <w:rFonts w:ascii="Calibri" w:eastAsia="Times New Roman" w:hAnsi="Calibri" w:cs="Times New Roman"/>
                <w:b/>
                <w:bCs/>
                <w:color w:val="000000"/>
                <w:sz w:val="20"/>
                <w:szCs w:val="20"/>
                <w:lang w:eastAsia="en-GB"/>
              </w:rPr>
            </w:pPr>
            <w:r>
              <w:rPr>
                <w:rFonts w:eastAsia="Times New Roman" w:cs="Times New Roman"/>
                <w:b/>
                <w:bCs/>
                <w:color w:val="000000"/>
                <w:sz w:val="20"/>
                <w:szCs w:val="20"/>
                <w:lang w:eastAsia="en-GB"/>
              </w:rPr>
              <w:t>#</w:t>
            </w:r>
          </w:p>
        </w:tc>
        <w:tc>
          <w:tcPr>
            <w:tcW w:w="7091" w:type="dxa"/>
            <w:tcBorders>
              <w:top w:val="single" w:sz="4" w:space="0" w:color="00000A"/>
              <w:left w:val="single" w:sz="4" w:space="0" w:color="00000A"/>
              <w:bottom w:val="single" w:sz="4" w:space="0" w:color="00000A"/>
              <w:right w:val="single" w:sz="4" w:space="0" w:color="00000A"/>
            </w:tcBorders>
            <w:shd w:val="clear" w:color="auto" w:fill="ABCFD5"/>
          </w:tcPr>
          <w:p w14:paraId="557DD19A" w14:textId="77777777" w:rsidR="007E7CC8" w:rsidRDefault="00852C8F">
            <w:pPr>
              <w:spacing w:after="0" w:line="240" w:lineRule="auto"/>
              <w:rPr>
                <w:rFonts w:ascii="Calibri" w:eastAsia="Times New Roman" w:hAnsi="Calibri" w:cs="Times New Roman"/>
                <w:b/>
                <w:bCs/>
                <w:color w:val="000000"/>
                <w:sz w:val="20"/>
                <w:szCs w:val="20"/>
                <w:lang w:eastAsia="en-GB"/>
              </w:rPr>
            </w:pPr>
            <w:r>
              <w:rPr>
                <w:rFonts w:eastAsia="Times New Roman" w:cs="Times New Roman"/>
                <w:b/>
                <w:bCs/>
                <w:color w:val="000000"/>
                <w:sz w:val="20"/>
                <w:szCs w:val="20"/>
                <w:lang w:eastAsia="en-GB"/>
              </w:rPr>
              <w:t>Criteria</w:t>
            </w:r>
          </w:p>
        </w:tc>
      </w:tr>
      <w:tr w:rsidR="007E7CC8" w14:paraId="13AD6E07" w14:textId="77777777">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auto" w:fill="DDECEE"/>
          </w:tcPr>
          <w:p w14:paraId="3FE37287" w14:textId="77777777" w:rsidR="007E7CC8" w:rsidRDefault="00852C8F">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Abstract</w:t>
            </w:r>
          </w:p>
        </w:tc>
      </w:tr>
      <w:tr w:rsidR="007E7CC8" w14:paraId="28E8892F"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auto" w:fill="DDECEE"/>
            <w:vAlign w:val="center"/>
          </w:tcPr>
          <w:p w14:paraId="7F62B2D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Abstract</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874F4EC"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9E4C86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in the abstract an informative and balanced summary of what was done and what was found.</w:t>
            </w:r>
          </w:p>
        </w:tc>
      </w:tr>
      <w:tr w:rsidR="007E7CC8" w14:paraId="65092990" w14:textId="77777777">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14:paraId="7BE39647" w14:textId="77777777" w:rsidR="007E7CC8" w:rsidRDefault="00852C8F">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Introduction</w:t>
            </w:r>
          </w:p>
        </w:tc>
      </w:tr>
      <w:tr w:rsidR="007E7CC8" w14:paraId="067217A2"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2B8C5840"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Background/</w:t>
            </w:r>
          </w:p>
          <w:p w14:paraId="4222480C"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rationale</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3832C210"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E4BA127"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the scientific background and rationale for the investigation being reported.</w:t>
            </w:r>
          </w:p>
        </w:tc>
      </w:tr>
      <w:tr w:rsidR="007E7CC8" w14:paraId="51B00234"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20159BF"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68DCE18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CC5F75F"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reasons for choosing the genes and SNPs genotyped.</w:t>
            </w:r>
          </w:p>
        </w:tc>
      </w:tr>
      <w:tr w:rsidR="007E7CC8" w14:paraId="3B4A43F7"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6851671F"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 xml:space="preserve">Objectives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5EDEF20"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3FB507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specific objectives, including any pre-specified hypotheses.</w:t>
            </w:r>
          </w:p>
        </w:tc>
      </w:tr>
      <w:tr w:rsidR="007E7CC8" w14:paraId="2C344F23"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B1E1BB2"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3D1941A6"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CF849CF"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State if the study is the first report of a pharmacogenetic association, a replication effort, or both. </w:t>
            </w:r>
          </w:p>
        </w:tc>
      </w:tr>
      <w:tr w:rsidR="007E7CC8" w14:paraId="5F8B133B" w14:textId="77777777">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14:paraId="6DCCA962" w14:textId="77777777" w:rsidR="007E7CC8" w:rsidRDefault="00852C8F">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Methods</w:t>
            </w:r>
          </w:p>
        </w:tc>
      </w:tr>
      <w:tr w:rsidR="007E7CC8" w14:paraId="626BE246"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756D975F"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Study design</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85508A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139D34C"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Present key elements of study design early in the paper.</w:t>
            </w:r>
          </w:p>
        </w:tc>
      </w:tr>
      <w:tr w:rsidR="007E7CC8" w14:paraId="32FBAFF6"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5FD48533"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Setting</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706D356"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BE673F7"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the setting, locations and relevant dates, including periods of recruitment, follow-up, and data collection.</w:t>
            </w:r>
          </w:p>
        </w:tc>
      </w:tr>
      <w:tr w:rsidR="007E7CC8" w14:paraId="79BF27D9"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7C9A330D"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Participants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2A56CE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F4F215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the eligibility criteria, and the sources and methods of selection of participants. For a cohort study, describe methods of follow-up. For a case-control study, state whether true controls or population controls were used. Give the rationale for the choice of cases and controls.</w:t>
            </w:r>
          </w:p>
        </w:tc>
      </w:tr>
      <w:tr w:rsidR="007E7CC8" w14:paraId="63BF924F"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568ABD7"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B95224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3501EE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the drug and regime participants were exposed to, and the length of exposure.</w:t>
            </w:r>
          </w:p>
        </w:tc>
      </w:tr>
      <w:tr w:rsidR="007E7CC8" w14:paraId="124CA1D0"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75CD8A9"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FF09DD1" w14:textId="77777777" w:rsidR="007E7CC8" w:rsidRDefault="00852C8F">
            <w:pPr>
              <w:pStyle w:val="ListParagraph"/>
              <w:spacing w:after="0" w:line="240" w:lineRule="auto"/>
              <w:ind w:left="0"/>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CE32D45" w14:textId="77777777" w:rsidR="007E7CC8" w:rsidRDefault="00852C8F">
            <w:pPr>
              <w:pStyle w:val="ListParagraph"/>
              <w:spacing w:after="0" w:line="240" w:lineRule="auto"/>
              <w:ind w:left="0"/>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matched case-control study, give matching criteria and the number of controls per case.</w:t>
            </w:r>
          </w:p>
        </w:tc>
      </w:tr>
      <w:tr w:rsidR="007E7CC8" w14:paraId="0FB99BD1"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0E851B3"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B930F2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23B91DD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Give information on the criteria and methods for selection of subsets of participants from a larger study, when relevant. </w:t>
            </w:r>
          </w:p>
        </w:tc>
      </w:tr>
      <w:tr w:rsidR="007E7CC8" w14:paraId="69F398D6"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E9B5FF0"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9BC712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1D4E8FE9"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other publications report results for the same patient cohort, or a subset of the patient cohort, provide information on this patient cohort overlap and references to the relevant publications.</w:t>
            </w:r>
          </w:p>
        </w:tc>
      </w:tr>
      <w:tr w:rsidR="007E7CC8" w14:paraId="65A7E903"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13B369D"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7AAFBF4"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15908E1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disease/clinical indication of patients using a standardised ontology when possible.</w:t>
            </w:r>
          </w:p>
        </w:tc>
      </w:tr>
      <w:tr w:rsidR="007E7CC8" w14:paraId="14D2A61A"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75A2FE10"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Variables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8F9B430"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E823907"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Clearly define all outcomes, potential confounders, and effect modifiers. Give diagnostic criteria, if applicable.</w:t>
            </w:r>
          </w:p>
        </w:tc>
      </w:tr>
      <w:tr w:rsidR="007E7CC8" w14:paraId="6480459E"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000000" w:fill="DDECEE"/>
          </w:tcPr>
          <w:p w14:paraId="703ADDED"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D60CCE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25A2757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Provide justification for choice of outcomes.</w:t>
            </w:r>
          </w:p>
        </w:tc>
      </w:tr>
      <w:tr w:rsidR="007E7CC8" w14:paraId="5F7B69E1"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7FBA8E0"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C8A511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156F17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Clearly define genetic exposures (genetic variants) using a widely-used nomenclature system. </w:t>
            </w:r>
          </w:p>
        </w:tc>
      </w:tr>
      <w:tr w:rsidR="007E7CC8" w14:paraId="474749B5"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C99C74A"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527F2099"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21268B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the rs number of each genotyped SNP.</w:t>
            </w:r>
          </w:p>
        </w:tc>
      </w:tr>
      <w:tr w:rsidR="007E7CC8" w14:paraId="05D7C5AE"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4E384E4"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76DD406"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18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B6BE908" w14:textId="77777777" w:rsidR="007E7CC8" w:rsidRDefault="00852C8F">
            <w:pPr>
              <w:spacing w:after="0" w:line="240" w:lineRule="auto"/>
              <w:rPr>
                <w:rFonts w:ascii="Calibri" w:eastAsia="Times New Roman" w:hAnsi="Calibri" w:cs="Calibri"/>
                <w:color w:val="000000"/>
                <w:sz w:val="20"/>
                <w:szCs w:val="20"/>
                <w:lang w:eastAsia="en-GB"/>
              </w:rPr>
            </w:pPr>
            <w:r>
              <w:rPr>
                <w:rFonts w:eastAsia="Times New Roman" w:cs="Calibri"/>
                <w:color w:val="000000"/>
                <w:sz w:val="20"/>
                <w:szCs w:val="20"/>
                <w:lang w:eastAsia="en-GB"/>
              </w:rPr>
              <w:t>Clearly state how haplotypes or star alleles were defined.</w:t>
            </w:r>
          </w:p>
        </w:tc>
      </w:tr>
      <w:tr w:rsidR="007E7CC8" w14:paraId="10700CCA"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1C75BA8"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81425C2" w14:textId="77777777" w:rsidR="007E7CC8" w:rsidRDefault="00852C8F">
            <w:pPr>
              <w:spacing w:after="0"/>
              <w:rPr>
                <w:rFonts w:ascii="Calibri" w:hAnsi="Calibri"/>
                <w:sz w:val="20"/>
                <w:szCs w:val="20"/>
                <w:highlight w:val="white"/>
              </w:rPr>
            </w:pPr>
            <w:r>
              <w:rPr>
                <w:sz w:val="20"/>
                <w:szCs w:val="20"/>
                <w:shd w:val="clear" w:color="auto" w:fill="FFFFFF"/>
              </w:rPr>
              <w:t>19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7F94244" w14:textId="77777777" w:rsidR="007E7CC8" w:rsidRDefault="00852C8F">
            <w:pPr>
              <w:spacing w:after="0"/>
              <w:rPr>
                <w:rFonts w:ascii="Calibri" w:eastAsia="Times New Roman" w:hAnsi="Calibri" w:cs="Calibri"/>
                <w:color w:val="000000"/>
                <w:sz w:val="20"/>
                <w:szCs w:val="20"/>
                <w:lang w:eastAsia="en-GB"/>
              </w:rPr>
            </w:pPr>
            <w:r>
              <w:rPr>
                <w:rFonts w:cs="Calibri"/>
                <w:sz w:val="20"/>
                <w:szCs w:val="20"/>
                <w:lang w:eastAsia="en-GB"/>
              </w:rPr>
              <w:t>If referring to the minor, major, wild-type, mutant, reference, risk or effect allele of a variant, state which allele this is and for which given population/cohort.</w:t>
            </w:r>
          </w:p>
        </w:tc>
      </w:tr>
      <w:tr w:rsidR="007E7CC8" w14:paraId="55987BEB"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35A74BF1"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Data sources/ measurement</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6E193CFB"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945609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each variable of interest, give sources of data and details of methods of assessment (measurement). Describe comparability of assessment methods if there is more than one group.</w:t>
            </w:r>
          </w:p>
        </w:tc>
      </w:tr>
      <w:tr w:rsidR="007E7CC8" w14:paraId="36D25458"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5D6BD23"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2A22CE9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145C5FC2"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laboratory methods, including source and storage of DNA, genotyping methods and platforms (including the allele calling algorithm used, and its version), error rates and call rates. State the laboratory/centre where genotyping was done. Describe comparability of laboratory methods if there is more than one group. Specify whether genotypes were assigned using all of the data from the study simultaneously or in smaller batches.</w:t>
            </w:r>
          </w:p>
        </w:tc>
      </w:tr>
      <w:tr w:rsidR="007E7CC8" w14:paraId="655BE9FD"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DFA76A8"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CA6D7D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37B2E730"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genotype quality control methods and findings.</w:t>
            </w:r>
          </w:p>
        </w:tc>
      </w:tr>
      <w:tr w:rsidR="007E7CC8" w14:paraId="35D4F726"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22C68AD"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CB87F8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D0221BB"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quantitative outcome variables, specify if any investigation of potential bias resulting from pharmacotherapy was undertaken. If relevant, describe the nature and magnitude of the potential bias, and explain what approach was used to deal with this.</w:t>
            </w:r>
          </w:p>
        </w:tc>
      </w:tr>
      <w:tr w:rsidR="007E7CC8" w14:paraId="60D8583B"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61A3C14"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77FABD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7F082D7"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Report how adherence to treatment was assessed, and report the results of the assessment. </w:t>
            </w:r>
          </w:p>
        </w:tc>
      </w:tr>
      <w:tr w:rsidR="007E7CC8" w14:paraId="210EF5FD"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66BDBF73"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lastRenderedPageBreak/>
              <w:t>Study size</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8668DD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315B9279"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the study size was arrived at, or provide details of the a priori power to detect effect sizes of varying degrees.</w:t>
            </w:r>
          </w:p>
        </w:tc>
      </w:tr>
      <w:tr w:rsidR="007E7CC8" w14:paraId="71DB9B62"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55FFB011" w14:textId="2F0FCD93"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Quantitative variables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D126F1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73D9DC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quantitative variables (confounders and effect modifiers) were handled in the analyses. If applicable, describe which groupings were chosen, and why.</w:t>
            </w:r>
          </w:p>
        </w:tc>
      </w:tr>
      <w:tr w:rsidR="007E7CC8" w14:paraId="77028C44"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10E4FD9C"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Statistical methods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3BE1F8A7"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70CF43C"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Address the following:</w:t>
            </w:r>
          </w:p>
        </w:tc>
      </w:tr>
      <w:tr w:rsidR="007E7CC8" w14:paraId="167497B1"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000000" w:fill="DDECEE"/>
          </w:tcPr>
          <w:p w14:paraId="37CC112D"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2ABBCA9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a) </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1578AC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methods used to control for confounding</w:t>
            </w:r>
          </w:p>
        </w:tc>
      </w:tr>
      <w:tr w:rsidR="007E7CC8" w14:paraId="575ED345"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1EC2424"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2B3338F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b)</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71CCFDA"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methods used to examine subgroups and interactions.</w:t>
            </w:r>
          </w:p>
        </w:tc>
      </w:tr>
      <w:tr w:rsidR="007E7CC8" w14:paraId="195F03BA"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BDBE3F7"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6DC57C2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C37F280"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Explain how missing data were addressed.</w:t>
            </w:r>
            <w:r>
              <w:rPr>
                <w:rFonts w:eastAsia="Times New Roman" w:cs="Times New Roman"/>
                <w:color w:val="333399"/>
                <w:sz w:val="20"/>
                <w:szCs w:val="20"/>
                <w:lang w:eastAsia="en-GB"/>
              </w:rPr>
              <w:t xml:space="preserve"> </w:t>
            </w:r>
          </w:p>
        </w:tc>
      </w:tr>
      <w:tr w:rsidR="007E7CC8" w14:paraId="2A7F3634"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D1EA745"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C0404D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51399E6A"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Cohort study – If applicable, explain how loss to follow-up was addressed.</w:t>
            </w:r>
          </w:p>
        </w:tc>
      </w:tr>
      <w:tr w:rsidR="007E7CC8" w14:paraId="2515D8E3"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D4F3FBB"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44CD6C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e)</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2D8753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Case-control study – If applicable, explain how matching of cases and controls was addressed.</w:t>
            </w:r>
          </w:p>
        </w:tc>
      </w:tr>
      <w:tr w:rsidR="007E7CC8" w14:paraId="6DE1DCA2"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22E3363"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51763C46"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3FF3251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sensitivity analyses.</w:t>
            </w:r>
          </w:p>
        </w:tc>
      </w:tr>
      <w:tr w:rsidR="007E7CC8" w14:paraId="551CF787"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CDA1C6E"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268158E4"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B3BEDC2"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State whether Hardy-Weinberg equilibrium was considered and, if so, how. </w:t>
            </w:r>
          </w:p>
        </w:tc>
      </w:tr>
      <w:tr w:rsidR="007E7CC8" w14:paraId="712E70EE"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350DDE5"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605D6A96"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29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ACEF8DF"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for inferring genotypes or haplotypes. </w:t>
            </w:r>
          </w:p>
        </w:tc>
      </w:tr>
      <w:tr w:rsidR="007E7CC8" w14:paraId="08BE03AA"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DAF4649"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682820A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67A9BF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to assess or address population stratification. </w:t>
            </w:r>
          </w:p>
        </w:tc>
      </w:tr>
      <w:tr w:rsidR="007E7CC8" w14:paraId="2FBCF84C"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C9F3552"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2CD7D3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20491BD2" w14:textId="77777777" w:rsidR="007E7CC8" w:rsidRDefault="00852C8F">
            <w:pPr>
              <w:spacing w:after="0" w:line="240" w:lineRule="auto"/>
              <w:rPr>
                <w:rFonts w:ascii="Calibri" w:eastAsia="Times New Roman" w:hAnsi="Calibri" w:cs="Times New Roman"/>
                <w:color w:val="000000"/>
                <w:sz w:val="20"/>
                <w:szCs w:val="20"/>
                <w:lang w:eastAsia="en-GB"/>
              </w:rPr>
            </w:pPr>
            <w:r>
              <w:rPr>
                <w:sz w:val="20"/>
                <w:lang w:eastAsia="en-GB"/>
              </w:rPr>
              <w:t>Describe any methods used to assess and correct for relatedness among subjects. Report results of assessments for relatedness.</w:t>
            </w:r>
          </w:p>
        </w:tc>
      </w:tr>
      <w:tr w:rsidR="007E7CC8" w14:paraId="56CD2FA8"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F8E3E24"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EF2F6AC"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19EDE740"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Describe any methods used to address multiple comparisons or to control risk of false positive results due to a) multiple genetic variants b) multiple outcomes c) multiple assumptions regarding mode of inheritance</w:t>
            </w:r>
          </w:p>
        </w:tc>
      </w:tr>
      <w:tr w:rsidR="007E7CC8" w14:paraId="79D6DCA8"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8AA1CB8"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511C8CC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F5137CF"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 xml:space="preserve">Describe any methods used to adjust for extent of adherence in the analyses. </w:t>
            </w:r>
          </w:p>
        </w:tc>
      </w:tr>
      <w:tr w:rsidR="007E7CC8" w14:paraId="11959AFA" w14:textId="77777777">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14:paraId="42DC1EC7" w14:textId="77777777" w:rsidR="007E7CC8" w:rsidRDefault="00852C8F">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Results</w:t>
            </w:r>
          </w:p>
        </w:tc>
      </w:tr>
      <w:tr w:rsidR="007E7CC8" w14:paraId="3C9F8FFF"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336724C4"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Participants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6FA32AC"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17769E32"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the numbers of individuals at each stage of the study – e.g., numbers potentially eligible, examined for eligibility, confirmed eligible, included in the study, completing follow-up, and analysed.</w:t>
            </w:r>
          </w:p>
        </w:tc>
      </w:tr>
      <w:tr w:rsidR="007E7CC8" w14:paraId="570C47F3"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50640D71"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SNPs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29647FCB"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F875D20"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any SNPs that were excluded from analysis, and provide reasons for these exclusions.</w:t>
            </w:r>
          </w:p>
        </w:tc>
      </w:tr>
      <w:tr w:rsidR="007E7CC8" w14:paraId="155BF330"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0D311F61"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Descriptive data</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308D8782"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09453B4"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characteristics of study participants (e.g., demographic, clinical, social, ethnicity) and information on potential confounders.</w:t>
            </w:r>
          </w:p>
        </w:tc>
      </w:tr>
      <w:tr w:rsidR="007E7CC8" w14:paraId="0FEA412F"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38D4744"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5DF3B279"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912C3B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Cohort study – Summarize follow-up time, e.g. average and/or total amount.</w:t>
            </w:r>
          </w:p>
        </w:tc>
      </w:tr>
      <w:tr w:rsidR="007E7CC8" w14:paraId="296B8A89"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8D3606C"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5026D97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38</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D726A7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Where HWE tests have been undertaken, highlight SNPs that deviate from HWE.</w:t>
            </w:r>
          </w:p>
        </w:tc>
      </w:tr>
      <w:tr w:rsidR="007E7CC8" w14:paraId="5A4E6B2D"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DAE76E0"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9131F54"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39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DA5BCF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Where population stratification is assessed, report the results.</w:t>
            </w:r>
          </w:p>
        </w:tc>
      </w:tr>
      <w:tr w:rsidR="007E7CC8" w14:paraId="1C0DE8C2"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0D72807B"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Outcome data</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CB7AE12"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40a)</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2D9DDC01"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color w:val="000000"/>
                <w:sz w:val="20"/>
                <w:szCs w:val="20"/>
                <w:lang w:eastAsia="en-GB"/>
              </w:rPr>
              <w:t>For a cohort study, report all outcomes (phenotypes) investigated for each genotype category over time.</w:t>
            </w:r>
          </w:p>
        </w:tc>
      </w:tr>
      <w:tr w:rsidR="007E7CC8" w14:paraId="71545E2D"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CA71E83"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24A5EBC"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40b)</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A210F4A"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case-control study, report numbers in each genotype category for all outcomes investigated.</w:t>
            </w:r>
          </w:p>
        </w:tc>
      </w:tr>
      <w:tr w:rsidR="007E7CC8" w14:paraId="5B7AE66D"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CADCB73"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262D23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40c)</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427873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For a cross sectional study, report all outcomes (phenotypes) investigated for each genotype category.</w:t>
            </w:r>
          </w:p>
        </w:tc>
      </w:tr>
      <w:tr w:rsidR="007E7CC8" w14:paraId="6FB826E1"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4E6CC33"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53489E1"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7B9A764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a study includes more than one ethnic group, provide the summary data specified in (40) per ethnic group. </w:t>
            </w:r>
          </w:p>
        </w:tc>
      </w:tr>
      <w:tr w:rsidR="007E7CC8" w14:paraId="2F37C26D"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06B882A6"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Main results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6F78C5FC"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75050C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unadjusted estimates and, if applicable, confounder-adjusted estimates and their precision (e.g., 95% confidence intervals). Make clear which confounders were adjusted for and why they were included.</w:t>
            </w:r>
          </w:p>
        </w:tc>
      </w:tr>
      <w:tr w:rsidR="007E7CC8" w14:paraId="0B8D3F74"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92AAB2A"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4F51C6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A4EC94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category boundaries when continuous variables were categorised.</w:t>
            </w:r>
          </w:p>
        </w:tc>
      </w:tr>
      <w:tr w:rsidR="007E7CC8" w14:paraId="2B222CD4" w14:textId="77777777">
        <w:trPr>
          <w:trHeight w:val="20"/>
        </w:trPr>
        <w:tc>
          <w:tcPr>
            <w:tcW w:w="1442" w:type="dxa"/>
            <w:vMerge w:val="restart"/>
            <w:tcBorders>
              <w:top w:val="single" w:sz="4" w:space="0" w:color="00000A"/>
              <w:left w:val="single" w:sz="4" w:space="0" w:color="00000A"/>
              <w:bottom w:val="single" w:sz="4" w:space="0" w:color="00000A"/>
              <w:right w:val="single" w:sz="4" w:space="0" w:color="00000A"/>
            </w:tcBorders>
            <w:shd w:val="clear" w:color="000000" w:fill="DDECEE"/>
          </w:tcPr>
          <w:p w14:paraId="44C80C9F"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Other analyses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4999148A"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10B5D7B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other analyses done – e.g., analyses of subgroups and interactions, and sensitivity analyses.</w:t>
            </w:r>
          </w:p>
        </w:tc>
      </w:tr>
      <w:tr w:rsidR="007E7CC8" w14:paraId="1A69AED7"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91E7936"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11CEF4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45</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E1518EA"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numerous genetic exposures (genetic variants) were examined, summarize results from all analyses undertaken.</w:t>
            </w:r>
          </w:p>
        </w:tc>
      </w:tr>
      <w:tr w:rsidR="007E7CC8" w14:paraId="6DDA1AEB" w14:textId="77777777">
        <w:trPr>
          <w:trHeight w:val="20"/>
        </w:trPr>
        <w:tc>
          <w:tcPr>
            <w:tcW w:w="144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3652746" w14:textId="77777777" w:rsidR="007E7CC8" w:rsidRDefault="007E7CC8">
            <w:pPr>
              <w:spacing w:after="0" w:line="240" w:lineRule="auto"/>
              <w:rPr>
                <w:rFonts w:ascii="Calibri" w:eastAsia="Times New Roman" w:hAnsi="Calibri" w:cs="Times New Roman"/>
                <w:iCs/>
                <w:color w:val="000000"/>
                <w:sz w:val="20"/>
                <w:szCs w:val="20"/>
                <w:lang w:eastAsia="en-G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3AA098F9"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46</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3E195B8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If detailed results are available elsewhere, i.e. in supplementary materials, state how they can be accessed.</w:t>
            </w:r>
          </w:p>
        </w:tc>
      </w:tr>
      <w:tr w:rsidR="007E7CC8" w14:paraId="4D4754E9" w14:textId="77777777">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14:paraId="63479C62" w14:textId="77777777" w:rsidR="007E7CC8" w:rsidRDefault="00852C8F">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Discussion</w:t>
            </w:r>
          </w:p>
        </w:tc>
      </w:tr>
      <w:tr w:rsidR="007E7CC8" w14:paraId="3C78BDEE"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44914B68"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Key results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1506A9AE"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47</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3BA823F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Summarize key results with reference to study objectives.</w:t>
            </w:r>
          </w:p>
        </w:tc>
      </w:tr>
      <w:tr w:rsidR="007E7CC8" w14:paraId="589F9B73"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7F1B2F52"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Limitations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50F35127"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48</w:t>
            </w:r>
          </w:p>
        </w:tc>
        <w:tc>
          <w:tcPr>
            <w:tcW w:w="709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17D227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Discuss limitations of the study, taking into account sources of potential bias or imprecision. Discuss both direction and magnitude of any potential bias.</w:t>
            </w:r>
          </w:p>
        </w:tc>
      </w:tr>
      <w:tr w:rsidR="007E7CC8" w14:paraId="58B8E75E"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7E1B6669" w14:textId="0DC65E75"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lastRenderedPageBreak/>
              <w:t xml:space="preserve">Interpretation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C34CFF7"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49</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111B2075"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a cautious overall interpretation of results considering objectives, limitations, multiplicity of analyses, results from similar studies, and other relevant evidence.</w:t>
            </w:r>
          </w:p>
        </w:tc>
      </w:tr>
      <w:tr w:rsidR="007E7CC8" w14:paraId="6421C3B4"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auto" w:fill="DDECEE"/>
          </w:tcPr>
          <w:p w14:paraId="4890EA33"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 xml:space="preserve">Generalisability </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A75735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50</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6D63E54"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Discuss the generalisability (external validity) of the study results.</w:t>
            </w:r>
          </w:p>
        </w:tc>
      </w:tr>
      <w:tr w:rsidR="007E7CC8" w14:paraId="6A558B3C" w14:textId="77777777">
        <w:trPr>
          <w:trHeight w:val="20"/>
        </w:trPr>
        <w:tc>
          <w:tcPr>
            <w:tcW w:w="9016" w:type="dxa"/>
            <w:gridSpan w:val="3"/>
            <w:tcBorders>
              <w:top w:val="single" w:sz="4" w:space="0" w:color="00000A"/>
              <w:left w:val="single" w:sz="4" w:space="0" w:color="00000A"/>
              <w:bottom w:val="single" w:sz="4" w:space="0" w:color="00000A"/>
              <w:right w:val="single" w:sz="4" w:space="0" w:color="00000A"/>
            </w:tcBorders>
            <w:shd w:val="clear" w:color="000000" w:fill="DDECEE"/>
          </w:tcPr>
          <w:p w14:paraId="7E5DAA27" w14:textId="77777777" w:rsidR="007E7CC8" w:rsidRDefault="00852C8F">
            <w:pPr>
              <w:spacing w:after="0" w:line="240" w:lineRule="auto"/>
              <w:rPr>
                <w:rFonts w:ascii="Calibri" w:eastAsia="Times New Roman" w:hAnsi="Calibri" w:cs="Times New Roman"/>
                <w:b/>
                <w:color w:val="000000"/>
                <w:sz w:val="20"/>
                <w:szCs w:val="20"/>
                <w:lang w:eastAsia="en-GB"/>
              </w:rPr>
            </w:pPr>
            <w:r>
              <w:rPr>
                <w:rFonts w:eastAsia="Times New Roman" w:cs="Times New Roman"/>
                <w:b/>
                <w:color w:val="000000"/>
                <w:sz w:val="20"/>
                <w:szCs w:val="20"/>
                <w:lang w:eastAsia="en-GB"/>
              </w:rPr>
              <w:t>Other information</w:t>
            </w:r>
          </w:p>
        </w:tc>
      </w:tr>
      <w:tr w:rsidR="007E7CC8" w14:paraId="0D15EEED"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6ECB5A61"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Study registration</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A57366D"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51</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4ECF986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whether the study has been registered. If the study has been registered, provide details of the registry.</w:t>
            </w:r>
          </w:p>
        </w:tc>
      </w:tr>
      <w:tr w:rsidR="007E7CC8" w14:paraId="45EA5BEF"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1D7BAF39"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Ethical approval</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2CFDEF3B"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52</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24CF75E3"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Report whether ethical approval was obtained for the collection of genetic data.</w:t>
            </w:r>
          </w:p>
        </w:tc>
      </w:tr>
      <w:tr w:rsidR="007E7CC8" w14:paraId="377EA3C7" w14:textId="77777777">
        <w:trPr>
          <w:trHeight w:val="20"/>
        </w:trPr>
        <w:tc>
          <w:tcPr>
            <w:tcW w:w="1442" w:type="dxa"/>
            <w:tcBorders>
              <w:top w:val="single" w:sz="4" w:space="0" w:color="00000A"/>
              <w:left w:val="single" w:sz="4" w:space="0" w:color="00000A"/>
              <w:bottom w:val="single" w:sz="4" w:space="0" w:color="00000A"/>
              <w:right w:val="single" w:sz="4" w:space="0" w:color="00000A"/>
            </w:tcBorders>
            <w:shd w:val="clear" w:color="000000" w:fill="DDECEE"/>
          </w:tcPr>
          <w:p w14:paraId="4AD5AAD4"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Funding</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02075A0A"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53</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6F15EEFF"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Give the source of funding and the role of the funders for the present study and, if applicable, for the original study on which the present article is based.</w:t>
            </w:r>
          </w:p>
        </w:tc>
      </w:tr>
      <w:tr w:rsidR="007E7CC8" w14:paraId="6A749E1A" w14:textId="77777777">
        <w:trPr>
          <w:trHeight w:val="449"/>
        </w:trPr>
        <w:tc>
          <w:tcPr>
            <w:tcW w:w="1442" w:type="dxa"/>
            <w:tcBorders>
              <w:top w:val="single" w:sz="4" w:space="0" w:color="00000A"/>
              <w:left w:val="single" w:sz="4" w:space="0" w:color="00000A"/>
              <w:bottom w:val="single" w:sz="4" w:space="0" w:color="00000A"/>
              <w:right w:val="single" w:sz="4" w:space="0" w:color="00000A"/>
            </w:tcBorders>
            <w:shd w:val="clear" w:color="000000" w:fill="DDECEE"/>
            <w:vAlign w:val="center"/>
          </w:tcPr>
          <w:p w14:paraId="105DCC82" w14:textId="77777777" w:rsidR="007E7CC8" w:rsidRDefault="00852C8F">
            <w:pPr>
              <w:spacing w:after="0" w:line="240" w:lineRule="auto"/>
              <w:rPr>
                <w:rFonts w:ascii="Calibri" w:eastAsia="Times New Roman" w:hAnsi="Calibri" w:cs="Times New Roman"/>
                <w:iCs/>
                <w:color w:val="000000"/>
                <w:sz w:val="20"/>
                <w:szCs w:val="20"/>
                <w:lang w:eastAsia="en-GB"/>
              </w:rPr>
            </w:pPr>
            <w:r>
              <w:rPr>
                <w:rFonts w:eastAsia="Times New Roman" w:cs="Times New Roman"/>
                <w:iCs/>
                <w:color w:val="000000"/>
                <w:sz w:val="20"/>
                <w:szCs w:val="20"/>
                <w:lang w:eastAsia="en-GB"/>
              </w:rPr>
              <w:t>Databases</w:t>
            </w:r>
          </w:p>
        </w:tc>
        <w:tc>
          <w:tcPr>
            <w:tcW w:w="483" w:type="dxa"/>
            <w:tcBorders>
              <w:top w:val="single" w:sz="4" w:space="0" w:color="00000A"/>
              <w:left w:val="single" w:sz="4" w:space="0" w:color="00000A"/>
              <w:bottom w:val="single" w:sz="4" w:space="0" w:color="00000A"/>
              <w:right w:val="single" w:sz="4" w:space="0" w:color="00000A"/>
            </w:tcBorders>
            <w:shd w:val="clear" w:color="auto" w:fill="auto"/>
          </w:tcPr>
          <w:p w14:paraId="797B4814"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54</w:t>
            </w:r>
          </w:p>
        </w:tc>
        <w:tc>
          <w:tcPr>
            <w:tcW w:w="7091" w:type="dxa"/>
            <w:tcBorders>
              <w:top w:val="single" w:sz="4" w:space="0" w:color="00000A"/>
              <w:left w:val="single" w:sz="4" w:space="0" w:color="00000A"/>
              <w:bottom w:val="single" w:sz="4" w:space="0" w:color="00000A"/>
              <w:right w:val="single" w:sz="4" w:space="0" w:color="00000A"/>
            </w:tcBorders>
            <w:shd w:val="clear" w:color="auto" w:fill="auto"/>
          </w:tcPr>
          <w:p w14:paraId="09891198" w14:textId="77777777" w:rsidR="007E7CC8" w:rsidRDefault="00852C8F">
            <w:pPr>
              <w:spacing w:after="0" w:line="240" w:lineRule="auto"/>
              <w:rPr>
                <w:rFonts w:ascii="Calibri" w:eastAsia="Times New Roman" w:hAnsi="Calibri" w:cs="Times New Roman"/>
                <w:color w:val="000000"/>
                <w:sz w:val="20"/>
                <w:szCs w:val="20"/>
                <w:lang w:eastAsia="en-GB"/>
              </w:rPr>
            </w:pPr>
            <w:r>
              <w:rPr>
                <w:rFonts w:eastAsia="Times New Roman" w:cs="Times New Roman"/>
                <w:color w:val="000000"/>
                <w:sz w:val="20"/>
                <w:szCs w:val="20"/>
                <w:lang w:eastAsia="en-GB"/>
              </w:rPr>
              <w:t>State whether databases for the analysed data are or will become publicly available and if so, how they can be accessed.</w:t>
            </w:r>
            <w:bookmarkStart w:id="25" w:name="_Hlk25937910"/>
            <w:bookmarkEnd w:id="25"/>
          </w:p>
        </w:tc>
      </w:tr>
    </w:tbl>
    <w:bookmarkEnd w:id="24"/>
    <w:p w14:paraId="16E239E4" w14:textId="77777777" w:rsidR="007E7CC8" w:rsidRDefault="00852C8F">
      <w:pPr>
        <w:pStyle w:val="Tableandlegend"/>
      </w:pPr>
      <w:r>
        <w:t>HWE=Hardy-Weinberg equilibrium; SNP=single nucleotide polymorphism</w:t>
      </w:r>
      <w:bookmarkEnd w:id="22"/>
      <w:r>
        <w:br w:type="page"/>
      </w:r>
    </w:p>
    <w:p w14:paraId="7FD3AFA0" w14:textId="77777777" w:rsidR="007E7CC8" w:rsidRDefault="00852C8F">
      <w:pPr>
        <w:pStyle w:val="Heading1"/>
      </w:pPr>
      <w:r>
        <w:lastRenderedPageBreak/>
        <w:t>Discussion</w:t>
      </w:r>
    </w:p>
    <w:p w14:paraId="5D17DCCB" w14:textId="3C74C42A" w:rsidR="001B49B0" w:rsidRDefault="00815B85">
      <w:pPr>
        <w:pStyle w:val="NoSpacing"/>
      </w:pPr>
      <w:r>
        <w:rPr>
          <w:rFonts w:eastAsia="Times New Roman" w:cs="Times New Roman"/>
          <w:lang w:eastAsia="en-GB"/>
        </w:rPr>
        <w:t>The objective of this project was to develop the STROPS (</w:t>
      </w:r>
      <w:r>
        <w:rPr>
          <w:szCs w:val="32"/>
        </w:rPr>
        <w:t xml:space="preserve">STrengthening the Reporting Of Pharmacogenetic Studies) </w:t>
      </w:r>
      <w:r>
        <w:rPr>
          <w:rFonts w:eastAsia="Times New Roman" w:cs="Times New Roman"/>
          <w:color w:val="000000" w:themeColor="text1"/>
          <w:lang w:eastAsia="en-GB"/>
        </w:rPr>
        <w:t>guideline.</w:t>
      </w:r>
      <w:r w:rsidR="001B49B0">
        <w:t xml:space="preserve"> </w:t>
      </w:r>
      <w:r w:rsidR="00852C8F">
        <w:t xml:space="preserve">We </w:t>
      </w:r>
      <w:r w:rsidR="001A2C56">
        <w:t xml:space="preserve">used rigorous </w:t>
      </w:r>
      <w:r w:rsidR="00852C8F">
        <w:t xml:space="preserve">methodology for </w:t>
      </w:r>
      <w:r w:rsidR="001A2C56">
        <w:t xml:space="preserve">the development of </w:t>
      </w:r>
      <w:r w:rsidR="00852C8F">
        <w:t xml:space="preserve">reporting guidelines proposed by EQUATOR </w:t>
      </w:r>
      <w:r w:rsidR="00852C8F">
        <w:fldChar w:fldCharType="begin"/>
      </w:r>
      <w:r w:rsidR="00852C8F">
        <w:instrText>ADDIN EN.CITE &lt;EndNote&gt;&lt;Cite&gt;&lt;Author&gt;Moher&lt;/Author&gt;&lt;Year&gt;2010&lt;/Year&gt;&lt;RecNum&gt;82&lt;/RecNum&gt;&lt;DisplayText&gt;[4]&lt;/DisplayText&gt;&lt;record&gt;&lt;rec-number&gt;82&lt;/rec-number&gt;&lt;foreign-keys&gt;&lt;key app="EN" db-id="atd2rw5fur2re4e5ps2p02tpzd2z2aaer5wd" timestamp="1586341106"&gt;82&lt;/key&gt;&lt;/foreign-keys&gt;&lt;ref-type name="Journal Article"&gt;17&lt;/ref-type&gt;&lt;contributors&gt;&lt;authors&gt;&lt;author&gt;Moher, David&lt;/author&gt;&lt;author&gt;Schulz, Kenneth F&lt;/author&gt;&lt;author&gt;Simera, Iveta&lt;/author&gt;&lt;author&gt;Altman, Douglas G&lt;/author&gt;&lt;/authors&gt;&lt;/contributors&gt;&lt;titles&gt;&lt;title&gt;Guidance for developers of health research reporting guidelines&lt;/title&gt;&lt;secondary-title&gt;PLoS Med&lt;/secondary-title&gt;&lt;/titles&gt;&lt;periodical&gt;&lt;full-title&gt;PLoS Med&lt;/full-title&gt;&lt;/periodical&gt;&lt;pages&gt;e1000217&lt;/pages&gt;&lt;volume&gt;7&lt;/volume&gt;&lt;number&gt;2&lt;/number&gt;&lt;dates&gt;&lt;year&gt;2010&lt;/year&gt;&lt;/dates&gt;&lt;urls&gt;&lt;/urls&gt;&lt;/record&gt;&lt;/Cite&gt;&lt;/EndNote&gt;</w:instrText>
      </w:r>
      <w:r w:rsidR="00852C8F">
        <w:fldChar w:fldCharType="separate"/>
      </w:r>
      <w:bookmarkStart w:id="26" w:name="__Fieldmark__8981_2278100981"/>
      <w:r w:rsidR="00852C8F">
        <w:t>[4]</w:t>
      </w:r>
      <w:r w:rsidR="00852C8F">
        <w:fldChar w:fldCharType="end"/>
      </w:r>
      <w:bookmarkEnd w:id="26"/>
      <w:r w:rsidR="0055605E">
        <w:t>,</w:t>
      </w:r>
      <w:r w:rsidR="008B1952">
        <w:t xml:space="preserve"> </w:t>
      </w:r>
      <w:r w:rsidR="001A2C56">
        <w:t xml:space="preserve">including a </w:t>
      </w:r>
      <w:r w:rsidR="00767E41">
        <w:t>two-</w:t>
      </w:r>
      <w:r w:rsidR="001A2C56">
        <w:t xml:space="preserve">round Delphi survey and consensus meeting, both of which involved representatives of </w:t>
      </w:r>
      <w:r w:rsidR="00767E41">
        <w:t>3</w:t>
      </w:r>
      <w:r w:rsidR="001A2C56">
        <w:t xml:space="preserve"> key stakeholder groups. </w:t>
      </w:r>
      <w:r w:rsidR="001A2C56">
        <w:rPr>
          <w:lang w:eastAsia="en-GB"/>
        </w:rPr>
        <w:t xml:space="preserve">The final guideline consists of 54 items, </w:t>
      </w:r>
      <w:r w:rsidR="005467E1">
        <w:rPr>
          <w:lang w:eastAsia="en-GB"/>
        </w:rPr>
        <w:t>17 of which are novel items that have not been included in any existing guideline. A further 14 items originate from existing guidelines but have been modified for this pharmacogenetic-specific guideline</w:t>
      </w:r>
      <w:r w:rsidR="001A2C56">
        <w:rPr>
          <w:lang w:eastAsia="en-GB"/>
        </w:rPr>
        <w:t xml:space="preserve">. </w:t>
      </w:r>
      <w:r w:rsidR="001A2C56">
        <w:t xml:space="preserve">We encourage pharmacogenetic researchers to adhere to the STROPS guideline to ensure the transparency and completeness of </w:t>
      </w:r>
      <w:bookmarkStart w:id="27" w:name="_GoBack"/>
      <w:bookmarkEnd w:id="27"/>
      <w:r w:rsidR="001A2C56">
        <w:t>their study reports.</w:t>
      </w:r>
      <w:r w:rsidR="00C20609">
        <w:t xml:space="preserve"> </w:t>
      </w:r>
    </w:p>
    <w:p w14:paraId="1B119796" w14:textId="77777777" w:rsidR="001B49B0" w:rsidRDefault="001B49B0">
      <w:pPr>
        <w:pStyle w:val="NoSpacing"/>
      </w:pPr>
    </w:p>
    <w:p w14:paraId="1BBC4394" w14:textId="3D5198E2" w:rsidR="00C20609" w:rsidRDefault="00852C8F">
      <w:pPr>
        <w:pStyle w:val="NoSpacing"/>
      </w:pPr>
      <w:r>
        <w:t>Due to a lack of funding to cover travel and accommodation costs, we were unable to arrange a face-to-face consensus meeting</w:t>
      </w:r>
      <w:r w:rsidR="00421FB6">
        <w:t xml:space="preserve"> as recommended by EQUATOR </w:t>
      </w:r>
      <w:r w:rsidR="00421FB6">
        <w:fldChar w:fldCharType="begin"/>
      </w:r>
      <w:r w:rsidR="00421FB6">
        <w:instrText>ADDIN EN.CITE &lt;EndNote&gt;&lt;Cite&gt;&lt;Author&gt;Moher&lt;/Author&gt;&lt;Year&gt;2010&lt;/Year&gt;&lt;RecNum&gt;82&lt;/RecNum&gt;&lt;DisplayText&gt;[4]&lt;/DisplayText&gt;&lt;record&gt;&lt;rec-number&gt;82&lt;/rec-number&gt;&lt;foreign-keys&gt;&lt;key app="EN" db-id="atd2rw5fur2re4e5ps2p02tpzd2z2aaer5wd" timestamp="1586341106"&gt;82&lt;/key&gt;&lt;/foreign-keys&gt;&lt;ref-type name="Journal Article"&gt;17&lt;/ref-type&gt;&lt;contributors&gt;&lt;authors&gt;&lt;author&gt;Moher, David&lt;/author&gt;&lt;author&gt;Schulz, Kenneth F&lt;/author&gt;&lt;author&gt;Simera, Iveta&lt;/author&gt;&lt;author&gt;Altman, Douglas G&lt;/author&gt;&lt;/authors&gt;&lt;/contributors&gt;&lt;titles&gt;&lt;title&gt;Guidance for developers of health research reporting guidelines&lt;/title&gt;&lt;secondary-title&gt;PLoS Med&lt;/secondary-title&gt;&lt;/titles&gt;&lt;periodical&gt;&lt;full-title&gt;PLoS Med&lt;/full-title&gt;&lt;/periodical&gt;&lt;pages&gt;e1000217&lt;/pages&gt;&lt;volume&gt;7&lt;/volume&gt;&lt;number&gt;2&lt;/number&gt;&lt;dates&gt;&lt;year&gt;2010&lt;/year&gt;&lt;/dates&gt;&lt;urls&gt;&lt;/urls&gt;&lt;/record&gt;&lt;/Cite&gt;&lt;/EndNote&gt;</w:instrText>
      </w:r>
      <w:r w:rsidR="00421FB6">
        <w:fldChar w:fldCharType="separate"/>
      </w:r>
      <w:r w:rsidR="00421FB6">
        <w:t>[4]</w:t>
      </w:r>
      <w:r w:rsidR="00421FB6">
        <w:fldChar w:fldCharType="end"/>
      </w:r>
      <w:r>
        <w:t xml:space="preserve">. </w:t>
      </w:r>
      <w:bookmarkStart w:id="28" w:name="_Hlk42084716"/>
      <w:r>
        <w:t xml:space="preserve">Our meeting was conducted via conference call, and </w:t>
      </w:r>
      <w:r w:rsidR="001A2C56">
        <w:t xml:space="preserve">the </w:t>
      </w:r>
      <w:r w:rsidR="0032586C">
        <w:t>majority of meeting attendees were UK</w:t>
      </w:r>
      <w:r w:rsidR="007136B3">
        <w:t>-based</w:t>
      </w:r>
      <w:r w:rsidR="0032586C">
        <w:t xml:space="preserve">. </w:t>
      </w:r>
      <w:r>
        <w:t xml:space="preserve">However, we invited a large, international and multidisciplinary cohort to participate in the Delphi survey, </w:t>
      </w:r>
      <w:r w:rsidR="007136B3">
        <w:t>and</w:t>
      </w:r>
      <w:r>
        <w:t xml:space="preserve"> meeting attendees were able to base their decisions on</w:t>
      </w:r>
      <w:r w:rsidR="00396F0E">
        <w:t xml:space="preserve"> the</w:t>
      </w:r>
      <w:r>
        <w:t xml:space="preserve"> opinions of this wider cohort. </w:t>
      </w:r>
      <w:bookmarkEnd w:id="28"/>
      <w:r w:rsidR="001A2C56">
        <w:t>At the consensus meeting</w:t>
      </w:r>
      <w:r w:rsidR="00421FB6">
        <w:t xml:space="preserve">, </w:t>
      </w:r>
      <w:bookmarkStart w:id="29" w:name="_Hlk10117910"/>
      <w:r w:rsidR="001A2C56">
        <w:t>we</w:t>
      </w:r>
      <w:r w:rsidR="00421FB6">
        <w:t xml:space="preserve"> </w:t>
      </w:r>
      <w:r>
        <w:t xml:space="preserve">prioritised items for inclusion in the guideline if all stakeholder groups reached consensus; i.e. at least 70% of participants in each stakeholder group scored the item as ‘critical’. Although choice of threshold is subjective, pre-specification of </w:t>
      </w:r>
      <w:r w:rsidR="00396F0E">
        <w:t>the</w:t>
      </w:r>
      <w:r>
        <w:t xml:space="preserve"> threshold in th</w:t>
      </w:r>
      <w:r w:rsidR="007530A8">
        <w:t>e</w:t>
      </w:r>
      <w:r>
        <w:t xml:space="preserve"> protocol ought to provide assurance that we did not define consensus in a post-hoc way, and therefore </w:t>
      </w:r>
      <w:r w:rsidR="0055605E">
        <w:t xml:space="preserve">that </w:t>
      </w:r>
      <w:r>
        <w:t xml:space="preserve">our own opinions did not bias the </w:t>
      </w:r>
      <w:r w:rsidR="007530A8">
        <w:t xml:space="preserve">Delphi </w:t>
      </w:r>
      <w:r>
        <w:t xml:space="preserve">results </w:t>
      </w:r>
      <w:r w:rsidR="00977656">
        <w:fldChar w:fldCharType="begin"/>
      </w:r>
      <w:r w:rsidR="00514BA9">
        <w:instrText xml:space="preserve"> ADDIN EN.CITE &lt;EndNote&gt;&lt;Cite&gt;&lt;Author&gt;Williamson&lt;/Author&gt;&lt;Year&gt;2012&lt;/Year&gt;&lt;RecNum&gt;85&lt;/RecNum&gt;&lt;DisplayText&gt;[12]&lt;/DisplayText&gt;&lt;record&gt;&lt;rec-number&gt;85&lt;/rec-number&gt;&lt;foreign-keys&gt;&lt;key app="EN" db-id="atd2rw5fur2re4e5ps2p02tpzd2z2aaer5wd" timestamp="1586341736"&gt;85&lt;/key&gt;&lt;/foreign-keys&gt;&lt;ref-type name="Journal Article"&gt;17&lt;/ref-type&gt;&lt;contributors&gt;&lt;authors&gt;&lt;author&gt;Williamson, Paula R&lt;/author&gt;&lt;author&gt;Altman, Douglas G&lt;/author&gt;&lt;author&gt;Blazeby, Jane M&lt;/author&gt;&lt;author&gt;Clarke, Mike&lt;/author&gt;&lt;author&gt;Devane, Declan&lt;/author&gt;&lt;author&gt;Gargon, Elizabeth&lt;/author&gt;&lt;author&gt;Tugwell, Peter&lt;/author&gt;&lt;/authors&gt;&lt;/contributors&gt;&lt;titles&gt;&lt;title&gt;Developing core outcome sets for clinical trials: issues to consider&lt;/title&gt;&lt;secondary-title&gt;Trials&lt;/secondary-title&gt;&lt;/titles&gt;&lt;periodical&gt;&lt;full-title&gt;Trials&lt;/full-title&gt;&lt;/periodical&gt;&lt;pages&gt;132&lt;/pages&gt;&lt;volume&gt;13&lt;/volume&gt;&lt;number&gt;1&lt;/number&gt;&lt;dates&gt;&lt;year&gt;2012&lt;/year&gt;&lt;/dates&gt;&lt;isbn&gt;1745-6215&lt;/isbn&gt;&lt;urls&gt;&lt;/urls&gt;&lt;/record&gt;&lt;/Cite&gt;&lt;/EndNote&gt;</w:instrText>
      </w:r>
      <w:r w:rsidR="00977656">
        <w:fldChar w:fldCharType="separate"/>
      </w:r>
      <w:r w:rsidR="00514BA9">
        <w:rPr>
          <w:noProof/>
        </w:rPr>
        <w:t>[12]</w:t>
      </w:r>
      <w:r w:rsidR="00977656">
        <w:fldChar w:fldCharType="end"/>
      </w:r>
      <w:r>
        <w:t>.</w:t>
      </w:r>
      <w:bookmarkEnd w:id="29"/>
      <w:r>
        <w:t xml:space="preserve"> </w:t>
      </w:r>
    </w:p>
    <w:p w14:paraId="3EDFCFA3" w14:textId="77777777" w:rsidR="00C20609" w:rsidRDefault="00C20609">
      <w:pPr>
        <w:pStyle w:val="NoSpacing"/>
      </w:pPr>
    </w:p>
    <w:p w14:paraId="620D9446" w14:textId="1FE32A08" w:rsidR="00C20609" w:rsidRDefault="008B1952">
      <w:pPr>
        <w:pStyle w:val="NoSpacing"/>
      </w:pPr>
      <w:bookmarkStart w:id="30" w:name="_Hlk42084850"/>
      <w:r>
        <w:t>The final phase of activities described by Moher et al.</w:t>
      </w:r>
      <w:r w:rsidR="00CB748D">
        <w:t xml:space="preserve"> </w:t>
      </w:r>
      <w:r w:rsidR="00CB748D">
        <w:fldChar w:fldCharType="begin"/>
      </w:r>
      <w:r w:rsidR="00CB748D">
        <w:instrText>ADDIN EN.CITE &lt;EndNote&gt;&lt;Cite&gt;&lt;Author&gt;Moher&lt;/Author&gt;&lt;Year&gt;2010&lt;/Year&gt;&lt;RecNum&gt;82&lt;/RecNum&gt;&lt;DisplayText&gt;[4]&lt;/DisplayText&gt;&lt;record&gt;&lt;rec-number&gt;82&lt;/rec-number&gt;&lt;foreign-keys&gt;&lt;key app="EN" db-id="atd2rw5fur2re4e5ps2p02tpzd2z2aaer5wd" timestamp="1586341106"&gt;82&lt;/key&gt;&lt;/foreign-keys&gt;&lt;ref-type name="Journal Article"&gt;17&lt;/ref-type&gt;&lt;contributors&gt;&lt;authors&gt;&lt;author&gt;Moher, David&lt;/author&gt;&lt;author&gt;Schulz, Kenneth F&lt;/author&gt;&lt;author&gt;Simera, Iveta&lt;/author&gt;&lt;author&gt;Altman, Douglas G&lt;/author&gt;&lt;/authors&gt;&lt;/contributors&gt;&lt;titles&gt;&lt;title&gt;Guidance for developers of health research reporting guidelines&lt;/title&gt;&lt;secondary-title&gt;PLoS Med&lt;/secondary-title&gt;&lt;/titles&gt;&lt;periodical&gt;&lt;full-title&gt;PLoS Med&lt;/full-title&gt;&lt;/periodical&gt;&lt;pages&gt;e1000217&lt;/pages&gt;&lt;volume&gt;7&lt;/volume&gt;&lt;number&gt;2&lt;/number&gt;&lt;dates&gt;&lt;year&gt;2010&lt;/year&gt;&lt;/dates&gt;&lt;urls&gt;&lt;/urls&gt;&lt;/record&gt;&lt;/Cite&gt;&lt;/EndNote&gt;</w:instrText>
      </w:r>
      <w:r w:rsidR="00CB748D">
        <w:fldChar w:fldCharType="separate"/>
      </w:r>
      <w:r w:rsidR="00CB748D">
        <w:t>[4]</w:t>
      </w:r>
      <w:r w:rsidR="00CB748D">
        <w:fldChar w:fldCharType="end"/>
      </w:r>
      <w:r>
        <w:t xml:space="preserve"> relates to dissemination and implementation of the published guideline.  We plan to circulate the STROPS guideline to individuals who completed both Delphi rounds, and to ask co-ordinators of pharmacogenetic networks to notify their members of the publication of the guideline. We will also register the guideline on the </w:t>
      </w:r>
      <w:r>
        <w:lastRenderedPageBreak/>
        <w:t>EQUATOR website, present the guideline at conferences relevant to pharmacogenetic research, and seek guideline endorsement from relevant journals</w:t>
      </w:r>
      <w:bookmarkEnd w:id="30"/>
      <w:r>
        <w:t xml:space="preserve">. </w:t>
      </w:r>
    </w:p>
    <w:p w14:paraId="36B90B80" w14:textId="780EC6D4" w:rsidR="00915F93" w:rsidRDefault="00915F93">
      <w:pPr>
        <w:pStyle w:val="NoSpacing"/>
      </w:pPr>
    </w:p>
    <w:p w14:paraId="4835B640" w14:textId="1C2F7A38" w:rsidR="000A6AB3" w:rsidRDefault="00915F93">
      <w:pPr>
        <w:pStyle w:val="NoSpacing"/>
      </w:pPr>
      <w:bookmarkStart w:id="31" w:name="_Hlk45871152"/>
      <w:r>
        <w:t xml:space="preserve">It is important to note that the STROPS guideline has been developed to improve the reporting of primary pharmacogenetic studies; to the best of our knowledge no guideline exists for the reporting of systematic reviews and meta-analyses of pharmacogenetic studies. Evidence synthesis is an indispensable tool to researchers who are striving to improve the strength of the evidence base for pharmacogenetic associations, and a specific guideline designed to improve the reporting of systematic reviews and meta-analyses of pharmacogenetic studies would certainly be a useful addition in this field of research. Indeed, setting a robust standard for reporting of systematic reviews may improve the likelihood of pharmacogenetic findings being translated into clinical practice. </w:t>
      </w:r>
    </w:p>
    <w:bookmarkEnd w:id="31"/>
    <w:p w14:paraId="7EA1D572" w14:textId="77777777" w:rsidR="007E7CC8" w:rsidRDefault="00852C8F">
      <w:pPr>
        <w:pStyle w:val="Heading1"/>
      </w:pPr>
      <w:r>
        <w:t>Acknowledgements</w:t>
      </w:r>
    </w:p>
    <w:p w14:paraId="4013CB0A" w14:textId="491722D7" w:rsidR="007E7CC8" w:rsidRDefault="00852C8F">
      <w:pPr>
        <w:pStyle w:val="NoSpacing"/>
      </w:pPr>
      <w:r>
        <w:t xml:space="preserve">The study team would like to thank all individuals who contributed to the consensus meeting and all individuals who participated in both rounds of the Delphi survey. We would also like to thank Eleanor Kotas for her assistance in drafting and implementing the search strategy to identify systematic reviews of pharmacogenetic studies. </w:t>
      </w:r>
    </w:p>
    <w:p w14:paraId="3D39FBC2" w14:textId="77777777" w:rsidR="007E7CC8" w:rsidRDefault="00852C8F">
      <w:pPr>
        <w:pStyle w:val="Heading1"/>
      </w:pPr>
      <w:r>
        <w:t>References</w:t>
      </w:r>
    </w:p>
    <w:p w14:paraId="1DEC670F" w14:textId="769ACE55" w:rsidR="00514BA9" w:rsidRPr="00514BA9" w:rsidRDefault="002C4FD4" w:rsidP="00514BA9">
      <w:pPr>
        <w:pStyle w:val="EndNoteBibliography"/>
        <w:spacing w:after="0"/>
        <w:rPr>
          <w:noProof/>
        </w:rPr>
      </w:pPr>
      <w:r>
        <w:fldChar w:fldCharType="begin"/>
      </w:r>
      <w:r>
        <w:instrText xml:space="preserve"> ADDIN EN.REFLIST </w:instrText>
      </w:r>
      <w:r>
        <w:fldChar w:fldCharType="separate"/>
      </w:r>
      <w:r w:rsidR="00514BA9" w:rsidRPr="00514BA9">
        <w:rPr>
          <w:noProof/>
        </w:rPr>
        <w:t>1.</w:t>
      </w:r>
      <w:r w:rsidR="00514BA9" w:rsidRPr="00514BA9">
        <w:rPr>
          <w:noProof/>
        </w:rPr>
        <w:tab/>
        <w:t xml:space="preserve">Little J, Higgins J, editors. The HuGENet™ HuGE review handbook, version 1.0: Ottawa, Ontario, Canada: Department of Epidemiology and Community Medicine, Faculty of Medicine, University of Ottawa; 2006 [updated 23 October 2015; cited 2020 13 May]. Available from: </w:t>
      </w:r>
      <w:hyperlink r:id="rId9" w:history="1">
        <w:r w:rsidR="00514BA9" w:rsidRPr="00514BA9">
          <w:rPr>
            <w:rStyle w:val="Hyperlink"/>
            <w:noProof/>
          </w:rPr>
          <w:t>http://www.medicine.uottawa.ca/public-health-genomics/web/assets/documents/HuGE_Review_Handbook_V1_0.pdf</w:t>
        </w:r>
      </w:hyperlink>
      <w:r w:rsidR="00514BA9" w:rsidRPr="00514BA9">
        <w:rPr>
          <w:noProof/>
        </w:rPr>
        <w:t>.</w:t>
      </w:r>
    </w:p>
    <w:p w14:paraId="6B6F60D6" w14:textId="77777777" w:rsidR="00514BA9" w:rsidRPr="00514BA9" w:rsidRDefault="00514BA9" w:rsidP="00514BA9">
      <w:pPr>
        <w:pStyle w:val="EndNoteBibliography"/>
        <w:spacing w:after="0"/>
        <w:rPr>
          <w:noProof/>
        </w:rPr>
      </w:pPr>
      <w:r w:rsidRPr="00514BA9">
        <w:rPr>
          <w:noProof/>
        </w:rPr>
        <w:t>2.</w:t>
      </w:r>
      <w:r w:rsidRPr="00514BA9">
        <w:rPr>
          <w:noProof/>
        </w:rPr>
        <w:tab/>
        <w:t>Von Elm E, Altman DG, Egger M, Pocock SJ, Gøtzsche PC, Vandenbroucke JP. The Strengthening the Reporting of Observational Studies in Epidemiology (STROBE) statement: guidelines for reporting observational studies. Ann Intern Med. 2007;147(8): 573-577.</w:t>
      </w:r>
    </w:p>
    <w:p w14:paraId="3AF50C33" w14:textId="77777777" w:rsidR="00514BA9" w:rsidRPr="00514BA9" w:rsidRDefault="00514BA9" w:rsidP="00514BA9">
      <w:pPr>
        <w:pStyle w:val="EndNoteBibliography"/>
        <w:spacing w:after="0"/>
        <w:rPr>
          <w:noProof/>
        </w:rPr>
      </w:pPr>
      <w:r w:rsidRPr="00514BA9">
        <w:rPr>
          <w:noProof/>
        </w:rPr>
        <w:t>3.</w:t>
      </w:r>
      <w:r w:rsidRPr="00514BA9">
        <w:rPr>
          <w:noProof/>
        </w:rPr>
        <w:tab/>
        <w:t>Little J, Higgins JP, Ioannidis JP, Moher D, Gagnon F, Von Elm E, et al. STrengthening the REporting of Genetic Association studies (STREGA): an extension of the STROBE statement. Hum Genet. 2009;125(2): 131-151.</w:t>
      </w:r>
    </w:p>
    <w:p w14:paraId="6029F946" w14:textId="77777777" w:rsidR="00514BA9" w:rsidRPr="00514BA9" w:rsidRDefault="00514BA9" w:rsidP="00514BA9">
      <w:pPr>
        <w:pStyle w:val="EndNoteBibliography"/>
        <w:spacing w:after="0"/>
        <w:rPr>
          <w:noProof/>
        </w:rPr>
      </w:pPr>
      <w:r w:rsidRPr="00514BA9">
        <w:rPr>
          <w:noProof/>
        </w:rPr>
        <w:lastRenderedPageBreak/>
        <w:t>4.</w:t>
      </w:r>
      <w:r w:rsidRPr="00514BA9">
        <w:rPr>
          <w:noProof/>
        </w:rPr>
        <w:tab/>
        <w:t>Richardson M, Kirkham JJ, Dwan KM, Sloan DJ, Davies G, Jorgensen A. Protocol for the development of the STrengthening the Reporting Of Pharmacogenetic Studies (STROPS) guideline: checklist of items for reporting pharmacogenetic studies. BMJ Open. 2019;9(7): e030212.</w:t>
      </w:r>
    </w:p>
    <w:p w14:paraId="315BC12D" w14:textId="2015D465" w:rsidR="00514BA9" w:rsidRPr="00514BA9" w:rsidRDefault="00514BA9" w:rsidP="00514BA9">
      <w:pPr>
        <w:pStyle w:val="EndNoteBibliography"/>
        <w:spacing w:after="0"/>
        <w:rPr>
          <w:noProof/>
        </w:rPr>
      </w:pPr>
      <w:r w:rsidRPr="00514BA9">
        <w:rPr>
          <w:noProof/>
        </w:rPr>
        <w:t>5.</w:t>
      </w:r>
      <w:r w:rsidRPr="00514BA9">
        <w:rPr>
          <w:noProof/>
        </w:rPr>
        <w:tab/>
        <w:t xml:space="preserve">The EQUATOR Network. Equator Network. 2020 [cited 2020 April 9]. Available from: </w:t>
      </w:r>
      <w:hyperlink r:id="rId10" w:history="1">
        <w:r w:rsidRPr="00514BA9">
          <w:rPr>
            <w:rStyle w:val="Hyperlink"/>
            <w:noProof/>
          </w:rPr>
          <w:t>https://www.equator-network.org/</w:t>
        </w:r>
      </w:hyperlink>
      <w:r w:rsidRPr="00514BA9">
        <w:rPr>
          <w:noProof/>
        </w:rPr>
        <w:t>.</w:t>
      </w:r>
    </w:p>
    <w:p w14:paraId="5C1E3081" w14:textId="77777777" w:rsidR="00514BA9" w:rsidRPr="00514BA9" w:rsidRDefault="00514BA9" w:rsidP="00514BA9">
      <w:pPr>
        <w:pStyle w:val="EndNoteBibliography"/>
        <w:spacing w:after="0"/>
        <w:rPr>
          <w:noProof/>
        </w:rPr>
      </w:pPr>
      <w:r w:rsidRPr="00514BA9">
        <w:rPr>
          <w:noProof/>
        </w:rPr>
        <w:t>6.</w:t>
      </w:r>
      <w:r w:rsidRPr="00514BA9">
        <w:rPr>
          <w:noProof/>
        </w:rPr>
        <w:tab/>
        <w:t>Janssens AC, Ioannidis JP, van Duijn CM, Little J, Khoury MJ. Strengthening the reporting of Genetic RIsk Prediction Studies: the GRIPS Statement. PLoS Med. 2011;8(3): e1000420.</w:t>
      </w:r>
    </w:p>
    <w:p w14:paraId="0D9CFBEC" w14:textId="77777777" w:rsidR="00514BA9" w:rsidRPr="00514BA9" w:rsidRDefault="00514BA9" w:rsidP="00514BA9">
      <w:pPr>
        <w:pStyle w:val="EndNoteBibliography"/>
        <w:spacing w:after="0"/>
        <w:rPr>
          <w:noProof/>
        </w:rPr>
      </w:pPr>
      <w:r w:rsidRPr="00514BA9">
        <w:rPr>
          <w:noProof/>
        </w:rPr>
        <w:t>7.</w:t>
      </w:r>
      <w:r w:rsidRPr="00514BA9">
        <w:rPr>
          <w:noProof/>
        </w:rPr>
        <w:tab/>
        <w:t>Jorgensen AL, Williamson PR. Methodological quality of pharmacogenetic studies: issues of concern. Stat Med. 2008;27(30): 6547-6569.</w:t>
      </w:r>
    </w:p>
    <w:p w14:paraId="7ABAB11A" w14:textId="4FD0BA86" w:rsidR="00514BA9" w:rsidRPr="00514BA9" w:rsidRDefault="00514BA9" w:rsidP="00514BA9">
      <w:pPr>
        <w:pStyle w:val="EndNoteBibliography"/>
        <w:spacing w:after="0"/>
        <w:rPr>
          <w:noProof/>
        </w:rPr>
      </w:pPr>
      <w:r w:rsidRPr="00514BA9">
        <w:rPr>
          <w:noProof/>
        </w:rPr>
        <w:t>8.</w:t>
      </w:r>
      <w:r w:rsidRPr="00514BA9">
        <w:rPr>
          <w:noProof/>
        </w:rPr>
        <w:tab/>
        <w:t xml:space="preserve">SCImago. SJR - SCImago Journal &amp; Country Rank. 2020 [cited 2020 April 9]. Available from: </w:t>
      </w:r>
      <w:hyperlink r:id="rId11" w:history="1">
        <w:r w:rsidRPr="00514BA9">
          <w:rPr>
            <w:rStyle w:val="Hyperlink"/>
            <w:noProof/>
          </w:rPr>
          <w:t>http://www.scimagojr.com</w:t>
        </w:r>
      </w:hyperlink>
      <w:r w:rsidRPr="00514BA9">
        <w:rPr>
          <w:noProof/>
        </w:rPr>
        <w:t>.</w:t>
      </w:r>
    </w:p>
    <w:p w14:paraId="4F64C6C9" w14:textId="77777777" w:rsidR="00514BA9" w:rsidRPr="00514BA9" w:rsidRDefault="00514BA9" w:rsidP="00514BA9">
      <w:pPr>
        <w:pStyle w:val="EndNoteBibliography"/>
        <w:spacing w:after="0"/>
        <w:rPr>
          <w:noProof/>
        </w:rPr>
      </w:pPr>
      <w:r w:rsidRPr="00514BA9">
        <w:rPr>
          <w:noProof/>
        </w:rPr>
        <w:t>9.</w:t>
      </w:r>
      <w:r w:rsidRPr="00514BA9">
        <w:rPr>
          <w:noProof/>
        </w:rPr>
        <w:tab/>
        <w:t>Guyatt GH, Oxman AD, Kunz R, Atkins D, Brozek J, Vist G, et al. GRADE guidelines: 2. Framing the question and deciding on important outcomes. J Clin Epidemiol. 2011;64(4): 395-400.</w:t>
      </w:r>
    </w:p>
    <w:p w14:paraId="520C8A67" w14:textId="77777777" w:rsidR="00514BA9" w:rsidRPr="00514BA9" w:rsidRDefault="00514BA9" w:rsidP="00514BA9">
      <w:pPr>
        <w:pStyle w:val="EndNoteBibliography"/>
        <w:spacing w:after="0"/>
        <w:rPr>
          <w:noProof/>
        </w:rPr>
      </w:pPr>
      <w:r w:rsidRPr="00514BA9">
        <w:rPr>
          <w:noProof/>
        </w:rPr>
        <w:t>10.</w:t>
      </w:r>
      <w:r w:rsidRPr="00514BA9">
        <w:rPr>
          <w:noProof/>
        </w:rPr>
        <w:tab/>
        <w:t>McDonagh E, Whirl‐Carrillo M, Altman R, Klein T. Enabling the curation of your pharmacogenetic study. Clin Pharmacol Ther. 2015;97(2): 116-119.</w:t>
      </w:r>
    </w:p>
    <w:p w14:paraId="7BD31BF1" w14:textId="77777777" w:rsidR="00514BA9" w:rsidRPr="00514BA9" w:rsidRDefault="00514BA9" w:rsidP="00514BA9">
      <w:pPr>
        <w:pStyle w:val="EndNoteBibliography"/>
        <w:spacing w:after="0"/>
        <w:rPr>
          <w:noProof/>
        </w:rPr>
      </w:pPr>
      <w:r w:rsidRPr="00514BA9">
        <w:rPr>
          <w:noProof/>
        </w:rPr>
        <w:t>11.</w:t>
      </w:r>
      <w:r w:rsidRPr="00514BA9">
        <w:rPr>
          <w:noProof/>
        </w:rPr>
        <w:tab/>
        <w:t>Thorn CF, Whirl‐Carrillo M, Hachad H, Johnson JA, McDonagh EM, Ratain MJ, et al. Essential characteristics of pharmacogenomics study publications. Clin Pharmacol Ther. 2019;105(1): 86-91.</w:t>
      </w:r>
    </w:p>
    <w:p w14:paraId="34F1E7AF" w14:textId="2EE852A4" w:rsidR="00514BA9" w:rsidRDefault="00514BA9" w:rsidP="00514BA9">
      <w:pPr>
        <w:pStyle w:val="EndNoteBibliography"/>
        <w:rPr>
          <w:noProof/>
        </w:rPr>
      </w:pPr>
      <w:r w:rsidRPr="00514BA9">
        <w:rPr>
          <w:noProof/>
        </w:rPr>
        <w:t>12.</w:t>
      </w:r>
      <w:r w:rsidRPr="00514BA9">
        <w:rPr>
          <w:noProof/>
        </w:rPr>
        <w:tab/>
        <w:t>Williamson PR, Altman DG, Blazeby JM, Clarke M, Devane D, Gargon E, et al. Developing core outcome sets for clinical trials: issues to consider. Trials. 2012;13(1): 132.</w:t>
      </w:r>
    </w:p>
    <w:p w14:paraId="21B72AFB" w14:textId="77777777" w:rsidR="00514BA9" w:rsidRDefault="00514BA9" w:rsidP="00514BA9">
      <w:pPr>
        <w:pStyle w:val="EndNoteBibliography"/>
        <w:rPr>
          <w:noProof/>
        </w:rPr>
      </w:pPr>
    </w:p>
    <w:p w14:paraId="1DEB9529" w14:textId="17B7A5EE" w:rsidR="00B900FE" w:rsidRDefault="002C4FD4" w:rsidP="00B900FE">
      <w:pPr>
        <w:pStyle w:val="Heading1"/>
      </w:pPr>
      <w:r>
        <w:fldChar w:fldCharType="end"/>
      </w:r>
      <w:r w:rsidR="00B900FE">
        <w:t>Supporting information</w:t>
      </w:r>
    </w:p>
    <w:p w14:paraId="71C6183D" w14:textId="7B655753" w:rsidR="00B900FE" w:rsidRDefault="00B900FE" w:rsidP="00B900FE">
      <w:pPr>
        <w:rPr>
          <w:b/>
        </w:rPr>
      </w:pPr>
      <w:r>
        <w:rPr>
          <w:b/>
        </w:rPr>
        <w:t xml:space="preserve">S1 </w:t>
      </w:r>
      <w:r w:rsidR="005404EB">
        <w:rPr>
          <w:b/>
        </w:rPr>
        <w:t>Table</w:t>
      </w:r>
      <w:r>
        <w:rPr>
          <w:b/>
        </w:rPr>
        <w:t>. Items scored in the Delphi survey</w:t>
      </w:r>
    </w:p>
    <w:p w14:paraId="176062E4" w14:textId="57850B37" w:rsidR="009D00AE" w:rsidRDefault="00B900FE" w:rsidP="00B900FE">
      <w:pPr>
        <w:rPr>
          <w:b/>
        </w:rPr>
      </w:pPr>
      <w:r>
        <w:rPr>
          <w:b/>
        </w:rPr>
        <w:t>S</w:t>
      </w:r>
      <w:r w:rsidR="00FF1297">
        <w:rPr>
          <w:b/>
        </w:rPr>
        <w:t>1</w:t>
      </w:r>
      <w:r>
        <w:rPr>
          <w:b/>
        </w:rPr>
        <w:t xml:space="preserve"> </w:t>
      </w:r>
      <w:r w:rsidR="00FF1297">
        <w:rPr>
          <w:b/>
        </w:rPr>
        <w:t>Data</w:t>
      </w:r>
      <w:r>
        <w:rPr>
          <w:b/>
        </w:rPr>
        <w:t xml:space="preserve">. Anonymised data from Round 1 and Round 2 of the Delphi survey. </w:t>
      </w:r>
    </w:p>
    <w:p w14:paraId="22F62794" w14:textId="77777777" w:rsidR="009D00AE" w:rsidRDefault="00B900FE" w:rsidP="00B900FE">
      <w:r w:rsidRPr="00DA32AB">
        <w:t>A score of “-9</w:t>
      </w:r>
      <w:r>
        <w:t>” indicates that the participant did not score an item</w:t>
      </w:r>
      <w:r w:rsidR="006853BB">
        <w:t xml:space="preserve">, </w:t>
      </w:r>
      <w:r w:rsidR="006853BB" w:rsidRPr="00DA32AB">
        <w:t xml:space="preserve">or that the item was not scored because it was not available </w:t>
      </w:r>
      <w:r w:rsidR="006853BB">
        <w:t>at Round 1</w:t>
      </w:r>
      <w:r>
        <w:t>.</w:t>
      </w:r>
      <w:r w:rsidR="006853BB">
        <w:t xml:space="preserve"> These items will also have a “0” in the Round column. D</w:t>
      </w:r>
      <w:r w:rsidR="006853BB" w:rsidRPr="00DA32AB">
        <w:t xml:space="preserve">ata </w:t>
      </w:r>
      <w:r w:rsidR="006853BB">
        <w:t xml:space="preserve">from </w:t>
      </w:r>
      <w:r w:rsidR="009D00AE">
        <w:t>participants</w:t>
      </w:r>
      <w:r w:rsidR="006853BB">
        <w:t xml:space="preserve"> that only partially completed a round (i.e. did not score all items) were not included in or analyses.</w:t>
      </w:r>
      <w:r w:rsidR="009D00AE">
        <w:t xml:space="preserve"> </w:t>
      </w:r>
    </w:p>
    <w:p w14:paraId="579CCDE6" w14:textId="67B60C63" w:rsidR="00B900FE" w:rsidRDefault="00B900FE" w:rsidP="00B900FE">
      <w:pPr>
        <w:rPr>
          <w:rFonts w:eastAsia="Times New Roman" w:cs="Times New Roman"/>
          <w:lang w:eastAsia="en-GB"/>
        </w:rPr>
      </w:pPr>
      <w:r>
        <w:t>A score of “10” indicates that the participant selected “unable to score”.</w:t>
      </w:r>
      <w:r w:rsidR="003B6A42" w:rsidRPr="003B6A42">
        <w:t xml:space="preserve"> </w:t>
      </w:r>
      <w:r w:rsidR="009D00AE">
        <w:rPr>
          <w:rFonts w:eastAsia="Times New Roman" w:cs="Times New Roman"/>
          <w:lang w:eastAsia="en-GB"/>
        </w:rPr>
        <w:t>Participants who scored an item as “unable to score” were excluded from the analysis for that particular item.</w:t>
      </w:r>
    </w:p>
    <w:p w14:paraId="4E0613F8" w14:textId="0E4B3CAB" w:rsidR="00895343" w:rsidRDefault="00895343" w:rsidP="00B900FE">
      <w:r>
        <w:rPr>
          <w:b/>
        </w:rPr>
        <w:t>S</w:t>
      </w:r>
      <w:r w:rsidR="005404EB">
        <w:rPr>
          <w:b/>
        </w:rPr>
        <w:t>1</w:t>
      </w:r>
      <w:r>
        <w:rPr>
          <w:b/>
        </w:rPr>
        <w:t xml:space="preserve"> </w:t>
      </w:r>
      <w:r w:rsidR="00323915">
        <w:rPr>
          <w:b/>
        </w:rPr>
        <w:t>Document</w:t>
      </w:r>
      <w:r>
        <w:rPr>
          <w:b/>
        </w:rPr>
        <w:t>. Delphi participants and consensus meeting attendees</w:t>
      </w:r>
    </w:p>
    <w:p w14:paraId="3593E691" w14:textId="39BA3D9E" w:rsidR="00B900FE" w:rsidRDefault="00B900FE" w:rsidP="00B900FE">
      <w:pPr>
        <w:rPr>
          <w:b/>
        </w:rPr>
      </w:pPr>
      <w:r>
        <w:rPr>
          <w:b/>
        </w:rPr>
        <w:t>S</w:t>
      </w:r>
      <w:r w:rsidR="005404EB">
        <w:rPr>
          <w:b/>
        </w:rPr>
        <w:t>2</w:t>
      </w:r>
      <w:r>
        <w:rPr>
          <w:b/>
        </w:rPr>
        <w:t xml:space="preserve"> </w:t>
      </w:r>
      <w:r w:rsidR="00323915">
        <w:rPr>
          <w:b/>
        </w:rPr>
        <w:t>Document</w:t>
      </w:r>
      <w:r>
        <w:rPr>
          <w:b/>
        </w:rPr>
        <w:t>. Investigation of attrition bias in the Delphi survey</w:t>
      </w:r>
    </w:p>
    <w:p w14:paraId="060125BE" w14:textId="352CCDED" w:rsidR="00B900FE" w:rsidRDefault="00B900FE" w:rsidP="00B900FE">
      <w:pPr>
        <w:rPr>
          <w:b/>
        </w:rPr>
      </w:pPr>
      <w:r>
        <w:rPr>
          <w:b/>
        </w:rPr>
        <w:t>S</w:t>
      </w:r>
      <w:r w:rsidR="005404EB">
        <w:rPr>
          <w:b/>
        </w:rPr>
        <w:t>2</w:t>
      </w:r>
      <w:r>
        <w:rPr>
          <w:b/>
        </w:rPr>
        <w:t xml:space="preserve"> </w:t>
      </w:r>
      <w:r w:rsidR="005404EB">
        <w:rPr>
          <w:b/>
        </w:rPr>
        <w:t>Table</w:t>
      </w:r>
      <w:r>
        <w:rPr>
          <w:b/>
        </w:rPr>
        <w:t>. Consensus matrix</w:t>
      </w:r>
    </w:p>
    <w:p w14:paraId="75118E10" w14:textId="5F21EF1C" w:rsidR="00B900FE" w:rsidRDefault="00B900FE" w:rsidP="00B900FE">
      <w:pPr>
        <w:rPr>
          <w:b/>
        </w:rPr>
      </w:pPr>
      <w:r>
        <w:rPr>
          <w:b/>
        </w:rPr>
        <w:t>S</w:t>
      </w:r>
      <w:r w:rsidR="00FF1297">
        <w:rPr>
          <w:b/>
        </w:rPr>
        <w:t>1 Presentation</w:t>
      </w:r>
      <w:r>
        <w:rPr>
          <w:b/>
        </w:rPr>
        <w:t>. Consensus meeting slides</w:t>
      </w:r>
    </w:p>
    <w:p w14:paraId="3D83E3D0" w14:textId="08F2FE32" w:rsidR="00B900FE" w:rsidRDefault="00B900FE" w:rsidP="00B900FE">
      <w:pPr>
        <w:rPr>
          <w:b/>
        </w:rPr>
      </w:pPr>
      <w:r>
        <w:rPr>
          <w:b/>
        </w:rPr>
        <w:t>S</w:t>
      </w:r>
      <w:r w:rsidR="00323915">
        <w:rPr>
          <w:b/>
        </w:rPr>
        <w:t>3</w:t>
      </w:r>
      <w:r>
        <w:rPr>
          <w:b/>
        </w:rPr>
        <w:t xml:space="preserve"> </w:t>
      </w:r>
      <w:r w:rsidR="00323915">
        <w:rPr>
          <w:b/>
        </w:rPr>
        <w:t>Table</w:t>
      </w:r>
      <w:r>
        <w:rPr>
          <w:b/>
        </w:rPr>
        <w:t>. Summary of decisions made at consensus meeting</w:t>
      </w:r>
    </w:p>
    <w:p w14:paraId="25AA9BC1" w14:textId="5F4A1DA9" w:rsidR="007E7CC8" w:rsidRPr="00E244C8" w:rsidRDefault="00B900FE">
      <w:pPr>
        <w:rPr>
          <w:b/>
        </w:rPr>
      </w:pPr>
      <w:r>
        <w:rPr>
          <w:b/>
        </w:rPr>
        <w:t>S</w:t>
      </w:r>
      <w:r w:rsidR="00323915">
        <w:rPr>
          <w:b/>
        </w:rPr>
        <w:t>3</w:t>
      </w:r>
      <w:r>
        <w:rPr>
          <w:b/>
        </w:rPr>
        <w:t xml:space="preserve"> </w:t>
      </w:r>
      <w:r w:rsidR="00323915">
        <w:rPr>
          <w:b/>
        </w:rPr>
        <w:t>Document</w:t>
      </w:r>
      <w:r>
        <w:rPr>
          <w:b/>
        </w:rPr>
        <w:t>. STROPS guideline: Explanation and elaboration document</w:t>
      </w:r>
      <w:bookmarkEnd w:id="0"/>
    </w:p>
    <w:sectPr w:rsidR="007E7CC8" w:rsidRPr="00E244C8">
      <w:footerReference w:type="default" r:id="rId12"/>
      <w:pgSz w:w="11906" w:h="16838"/>
      <w:pgMar w:top="1440" w:right="1440" w:bottom="1440" w:left="1440" w:header="0" w:footer="709" w:gutter="0"/>
      <w:lnNumType w:countBy="1" w:restart="continuous"/>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B75D" w14:textId="77777777" w:rsidR="00E90CDA" w:rsidRDefault="00E90CDA">
      <w:pPr>
        <w:spacing w:after="0" w:line="240" w:lineRule="auto"/>
      </w:pPr>
      <w:r>
        <w:separator/>
      </w:r>
    </w:p>
  </w:endnote>
  <w:endnote w:type="continuationSeparator" w:id="0">
    <w:p w14:paraId="45E92FE8" w14:textId="77777777" w:rsidR="00E90CDA" w:rsidRDefault="00E9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90063"/>
      <w:docPartObj>
        <w:docPartGallery w:val="Page Numbers (Bottom of Page)"/>
        <w:docPartUnique/>
      </w:docPartObj>
    </w:sdtPr>
    <w:sdtEndPr/>
    <w:sdtContent>
      <w:p w14:paraId="3A9FED9B" w14:textId="77777777" w:rsidR="00E90CDA" w:rsidRDefault="00E90CDA">
        <w:pPr>
          <w:pStyle w:val="Footer"/>
          <w:jc w:val="center"/>
        </w:pPr>
        <w:r>
          <w:fldChar w:fldCharType="begin"/>
        </w:r>
        <w:r>
          <w:instrText>PAGE</w:instrText>
        </w:r>
        <w:r>
          <w:fldChar w:fldCharType="separate"/>
        </w:r>
        <w:r>
          <w:rPr>
            <w:noProof/>
          </w:rPr>
          <w:t>19</w:t>
        </w:r>
        <w:r>
          <w:fldChar w:fldCharType="end"/>
        </w:r>
      </w:p>
    </w:sdtContent>
  </w:sdt>
  <w:p w14:paraId="246B1F07" w14:textId="77777777" w:rsidR="00E90CDA" w:rsidRDefault="00E9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1C63" w14:textId="77777777" w:rsidR="00E90CDA" w:rsidRDefault="00E90CDA">
      <w:pPr>
        <w:spacing w:after="0" w:line="240" w:lineRule="auto"/>
      </w:pPr>
      <w:r>
        <w:separator/>
      </w:r>
    </w:p>
  </w:footnote>
  <w:footnote w:type="continuationSeparator" w:id="0">
    <w:p w14:paraId="093067DC" w14:textId="77777777" w:rsidR="00E90CDA" w:rsidRDefault="00E90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41C8"/>
    <w:multiLevelType w:val="multilevel"/>
    <w:tmpl w:val="BDBC6BFC"/>
    <w:lvl w:ilvl="0">
      <w:start w:val="1"/>
      <w:numFmt w:val="bullet"/>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717FF3"/>
    <w:multiLevelType w:val="multilevel"/>
    <w:tmpl w:val="C97C3C60"/>
    <w:lvl w:ilvl="0">
      <w:start w:val="1"/>
      <w:numFmt w:val="decimal"/>
      <w:lvlText w:val="%1."/>
      <w:lvlJc w:val="left"/>
      <w:pPr>
        <w:ind w:left="360" w:hanging="360"/>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1B2EE9"/>
    <w:multiLevelType w:val="multilevel"/>
    <w:tmpl w:val="BF8252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Heading4"/>
      <w:lvlText w:val="%4"/>
      <w:lvlJc w:val="left"/>
      <w:pPr>
        <w:ind w:left="864" w:hanging="864"/>
      </w:pPr>
    </w:lvl>
    <w:lvl w:ilvl="4">
      <w:start w:val="1"/>
      <w:numFmt w:val="decimal"/>
      <w:pStyle w:val="Heading5"/>
      <w:lvlText w:val="%4.%5"/>
      <w:lvlJc w:val="left"/>
      <w:pPr>
        <w:ind w:left="1008" w:hanging="1008"/>
      </w:pPr>
    </w:lvl>
    <w:lvl w:ilvl="5">
      <w:start w:val="1"/>
      <w:numFmt w:val="decimal"/>
      <w:pStyle w:val="Heading6"/>
      <w:lvlText w:val="%4.%5.%6"/>
      <w:lvlJc w:val="left"/>
      <w:pPr>
        <w:ind w:left="1152" w:hanging="1152"/>
      </w:pPr>
    </w:lvl>
    <w:lvl w:ilvl="6">
      <w:start w:val="1"/>
      <w:numFmt w:val="decimal"/>
      <w:pStyle w:val="Heading7"/>
      <w:lvlText w:val="%4.%5.%6.%7"/>
      <w:lvlJc w:val="left"/>
      <w:pPr>
        <w:ind w:left="1296" w:hanging="1296"/>
      </w:pPr>
    </w:lvl>
    <w:lvl w:ilvl="7">
      <w:start w:val="1"/>
      <w:numFmt w:val="decimal"/>
      <w:pStyle w:val="Heading8"/>
      <w:lvlText w:val="%4.%5.%6.%7.%8"/>
      <w:lvlJc w:val="left"/>
      <w:pPr>
        <w:ind w:left="1440" w:hanging="1440"/>
      </w:pPr>
    </w:lvl>
    <w:lvl w:ilvl="8">
      <w:start w:val="1"/>
      <w:numFmt w:val="decimal"/>
      <w:pStyle w:val="Heading9"/>
      <w:lvlText w:val="%4.%5.%6.%7.%8.%9"/>
      <w:lvlJc w:val="left"/>
      <w:pPr>
        <w:ind w:left="1584" w:hanging="1584"/>
      </w:pPr>
    </w:lvl>
  </w:abstractNum>
  <w:abstractNum w:abstractNumId="3" w15:restartNumberingAfterBreak="0">
    <w:nsid w:val="70E13547"/>
    <w:multiLevelType w:val="multilevel"/>
    <w:tmpl w:val="500AE798"/>
    <w:lvl w:ilvl="0">
      <w:start w:val="1"/>
      <w:numFmt w:val="decimal"/>
      <w:lvlText w:val="%1."/>
      <w:lvlJc w:val="left"/>
      <w:pPr>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loS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d2rw5fur2re4e5ps2p02tpzd2z2aaer5wd&quot;&gt;Delphi library&lt;record-ids&gt;&lt;item&gt;8&lt;/item&gt;&lt;item&gt;11&lt;/item&gt;&lt;item&gt;19&lt;/item&gt;&lt;item&gt;20&lt;/item&gt;&lt;item&gt;83&lt;/item&gt;&lt;item&gt;85&lt;/item&gt;&lt;item&gt;86&lt;/item&gt;&lt;item&gt;87&lt;/item&gt;&lt;item&gt;88&lt;/item&gt;&lt;item&gt;90&lt;/item&gt;&lt;item&gt;92&lt;/item&gt;&lt;item&gt;94&lt;/item&gt;&lt;/record-ids&gt;&lt;/item&gt;&lt;/Libraries&gt;"/>
  </w:docVars>
  <w:rsids>
    <w:rsidRoot w:val="007E7CC8"/>
    <w:rsid w:val="00003ACD"/>
    <w:rsid w:val="00011104"/>
    <w:rsid w:val="000115F5"/>
    <w:rsid w:val="000613A9"/>
    <w:rsid w:val="0008108E"/>
    <w:rsid w:val="000A185F"/>
    <w:rsid w:val="000A39C7"/>
    <w:rsid w:val="000A6AB3"/>
    <w:rsid w:val="000D0D65"/>
    <w:rsid w:val="000F3D7F"/>
    <w:rsid w:val="00106D0F"/>
    <w:rsid w:val="00127881"/>
    <w:rsid w:val="001467F7"/>
    <w:rsid w:val="001757C7"/>
    <w:rsid w:val="00177429"/>
    <w:rsid w:val="00185299"/>
    <w:rsid w:val="00185391"/>
    <w:rsid w:val="0019320D"/>
    <w:rsid w:val="001A2C56"/>
    <w:rsid w:val="001B49B0"/>
    <w:rsid w:val="001C2A0A"/>
    <w:rsid w:val="001C71F2"/>
    <w:rsid w:val="001D274A"/>
    <w:rsid w:val="001D52DB"/>
    <w:rsid w:val="001E7F8A"/>
    <w:rsid w:val="001F3E15"/>
    <w:rsid w:val="00205FE2"/>
    <w:rsid w:val="00212C70"/>
    <w:rsid w:val="002457D0"/>
    <w:rsid w:val="00253C66"/>
    <w:rsid w:val="00277E75"/>
    <w:rsid w:val="00290628"/>
    <w:rsid w:val="002A36E5"/>
    <w:rsid w:val="002A400F"/>
    <w:rsid w:val="002B3486"/>
    <w:rsid w:val="002C4FD4"/>
    <w:rsid w:val="002F618A"/>
    <w:rsid w:val="002F63EE"/>
    <w:rsid w:val="00311C56"/>
    <w:rsid w:val="00323915"/>
    <w:rsid w:val="0032586C"/>
    <w:rsid w:val="00335C86"/>
    <w:rsid w:val="0034589D"/>
    <w:rsid w:val="003705FE"/>
    <w:rsid w:val="00381BD9"/>
    <w:rsid w:val="0039409B"/>
    <w:rsid w:val="00396F0E"/>
    <w:rsid w:val="003B6A42"/>
    <w:rsid w:val="00404D6D"/>
    <w:rsid w:val="00421FB6"/>
    <w:rsid w:val="00430F51"/>
    <w:rsid w:val="00443DEB"/>
    <w:rsid w:val="004460C6"/>
    <w:rsid w:val="00472AB4"/>
    <w:rsid w:val="004A4EC1"/>
    <w:rsid w:val="004A7996"/>
    <w:rsid w:val="004C02DD"/>
    <w:rsid w:val="004C561A"/>
    <w:rsid w:val="005139BA"/>
    <w:rsid w:val="00514BA9"/>
    <w:rsid w:val="0053017B"/>
    <w:rsid w:val="0053258C"/>
    <w:rsid w:val="00534DB3"/>
    <w:rsid w:val="005404EB"/>
    <w:rsid w:val="005467E1"/>
    <w:rsid w:val="00552F95"/>
    <w:rsid w:val="00555FB1"/>
    <w:rsid w:val="0055605E"/>
    <w:rsid w:val="00587F76"/>
    <w:rsid w:val="005B77D0"/>
    <w:rsid w:val="005C3BB7"/>
    <w:rsid w:val="005C3DC1"/>
    <w:rsid w:val="005E4C88"/>
    <w:rsid w:val="00626C60"/>
    <w:rsid w:val="00653518"/>
    <w:rsid w:val="00653EFD"/>
    <w:rsid w:val="00656C9B"/>
    <w:rsid w:val="0066554A"/>
    <w:rsid w:val="006853BB"/>
    <w:rsid w:val="00687875"/>
    <w:rsid w:val="006C007C"/>
    <w:rsid w:val="006C0150"/>
    <w:rsid w:val="006C62A7"/>
    <w:rsid w:val="007136B3"/>
    <w:rsid w:val="00716C04"/>
    <w:rsid w:val="007332EC"/>
    <w:rsid w:val="00734652"/>
    <w:rsid w:val="00740F4C"/>
    <w:rsid w:val="00752863"/>
    <w:rsid w:val="007530A8"/>
    <w:rsid w:val="007617F9"/>
    <w:rsid w:val="00767E41"/>
    <w:rsid w:val="0077041C"/>
    <w:rsid w:val="00782A8C"/>
    <w:rsid w:val="00792FD0"/>
    <w:rsid w:val="007E7CC8"/>
    <w:rsid w:val="007F2542"/>
    <w:rsid w:val="007F419E"/>
    <w:rsid w:val="00813FEA"/>
    <w:rsid w:val="00815B85"/>
    <w:rsid w:val="0081737D"/>
    <w:rsid w:val="00817917"/>
    <w:rsid w:val="00834EA5"/>
    <w:rsid w:val="008378B0"/>
    <w:rsid w:val="00840C2B"/>
    <w:rsid w:val="00846120"/>
    <w:rsid w:val="00850566"/>
    <w:rsid w:val="00852C8F"/>
    <w:rsid w:val="00865BDA"/>
    <w:rsid w:val="00885B30"/>
    <w:rsid w:val="00895343"/>
    <w:rsid w:val="008B0A5F"/>
    <w:rsid w:val="008B1952"/>
    <w:rsid w:val="008C1BD7"/>
    <w:rsid w:val="008C3405"/>
    <w:rsid w:val="008D5753"/>
    <w:rsid w:val="008E5B97"/>
    <w:rsid w:val="008E6FFB"/>
    <w:rsid w:val="00903504"/>
    <w:rsid w:val="00904052"/>
    <w:rsid w:val="0090588F"/>
    <w:rsid w:val="00915F93"/>
    <w:rsid w:val="009161F0"/>
    <w:rsid w:val="00916AF5"/>
    <w:rsid w:val="00924BF8"/>
    <w:rsid w:val="0097664A"/>
    <w:rsid w:val="00977656"/>
    <w:rsid w:val="00982520"/>
    <w:rsid w:val="00982872"/>
    <w:rsid w:val="00984982"/>
    <w:rsid w:val="009907DD"/>
    <w:rsid w:val="009A1D23"/>
    <w:rsid w:val="009A6B35"/>
    <w:rsid w:val="009B2F46"/>
    <w:rsid w:val="009B5185"/>
    <w:rsid w:val="009B679C"/>
    <w:rsid w:val="009D00AE"/>
    <w:rsid w:val="009F1FDE"/>
    <w:rsid w:val="009F72BA"/>
    <w:rsid w:val="009F7F6C"/>
    <w:rsid w:val="00A15AD1"/>
    <w:rsid w:val="00A31F3A"/>
    <w:rsid w:val="00A5719A"/>
    <w:rsid w:val="00A62DAA"/>
    <w:rsid w:val="00A90BA1"/>
    <w:rsid w:val="00AA3A8A"/>
    <w:rsid w:val="00AC659E"/>
    <w:rsid w:val="00B17765"/>
    <w:rsid w:val="00B54B08"/>
    <w:rsid w:val="00B64D9C"/>
    <w:rsid w:val="00B900FE"/>
    <w:rsid w:val="00B97C5B"/>
    <w:rsid w:val="00BA41D8"/>
    <w:rsid w:val="00BE60FC"/>
    <w:rsid w:val="00BF2DD7"/>
    <w:rsid w:val="00C20609"/>
    <w:rsid w:val="00C2523A"/>
    <w:rsid w:val="00C275FD"/>
    <w:rsid w:val="00C52A7C"/>
    <w:rsid w:val="00C52BE0"/>
    <w:rsid w:val="00C86BC0"/>
    <w:rsid w:val="00C92B19"/>
    <w:rsid w:val="00C97CD4"/>
    <w:rsid w:val="00C97DD7"/>
    <w:rsid w:val="00CA34EA"/>
    <w:rsid w:val="00CB479C"/>
    <w:rsid w:val="00CB748D"/>
    <w:rsid w:val="00CC4ED2"/>
    <w:rsid w:val="00CD5313"/>
    <w:rsid w:val="00CE1C71"/>
    <w:rsid w:val="00CE4211"/>
    <w:rsid w:val="00CE4A82"/>
    <w:rsid w:val="00CE676E"/>
    <w:rsid w:val="00CF106B"/>
    <w:rsid w:val="00D31880"/>
    <w:rsid w:val="00D32FCE"/>
    <w:rsid w:val="00D413E3"/>
    <w:rsid w:val="00D5465C"/>
    <w:rsid w:val="00DA32AB"/>
    <w:rsid w:val="00DA4A03"/>
    <w:rsid w:val="00DB018F"/>
    <w:rsid w:val="00DB039F"/>
    <w:rsid w:val="00DD56FC"/>
    <w:rsid w:val="00DE0ECC"/>
    <w:rsid w:val="00E22C9D"/>
    <w:rsid w:val="00E244C8"/>
    <w:rsid w:val="00E31A5D"/>
    <w:rsid w:val="00E31C57"/>
    <w:rsid w:val="00E411F9"/>
    <w:rsid w:val="00E4782D"/>
    <w:rsid w:val="00E80586"/>
    <w:rsid w:val="00E90CDA"/>
    <w:rsid w:val="00EF19C1"/>
    <w:rsid w:val="00F0141F"/>
    <w:rsid w:val="00F0315C"/>
    <w:rsid w:val="00F7705F"/>
    <w:rsid w:val="00F816F2"/>
    <w:rsid w:val="00F84413"/>
    <w:rsid w:val="00FE296C"/>
    <w:rsid w:val="00FF038A"/>
    <w:rsid w:val="00FF1297"/>
    <w:rsid w:val="00FF322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3AA030"/>
  <w15:docId w15:val="{E3750058-D1BE-4C22-94BE-EE17A563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D3A05"/>
    <w:pPr>
      <w:keepNext/>
      <w:keepLines/>
      <w:spacing w:before="240" w:after="0" w:line="48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5D3A05"/>
    <w:pPr>
      <w:keepNext/>
      <w:keepLines/>
      <w:spacing w:before="40" w:after="0" w:line="48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BC1598"/>
    <w:pPr>
      <w:keepNext/>
      <w:keepLines/>
      <w:spacing w:after="0" w:line="480" w:lineRule="auto"/>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FF3F4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F3F4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F3F4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3F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3F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3F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5D3A05"/>
  </w:style>
  <w:style w:type="character" w:customStyle="1" w:styleId="InternetLink">
    <w:name w:val="Internet Link"/>
    <w:basedOn w:val="DefaultParagraphFont"/>
    <w:uiPriority w:val="99"/>
    <w:unhideWhenUsed/>
    <w:rsid w:val="00933348"/>
    <w:rPr>
      <w:color w:val="0563C1" w:themeColor="hyperlink"/>
      <w:u w:val="single"/>
    </w:rPr>
  </w:style>
  <w:style w:type="character" w:styleId="CommentReference">
    <w:name w:val="annotation reference"/>
    <w:basedOn w:val="DefaultParagraphFont"/>
    <w:uiPriority w:val="99"/>
    <w:semiHidden/>
    <w:unhideWhenUsed/>
    <w:qFormat/>
    <w:rsid w:val="00E54587"/>
    <w:rPr>
      <w:sz w:val="16"/>
      <w:szCs w:val="16"/>
    </w:rPr>
  </w:style>
  <w:style w:type="character" w:customStyle="1" w:styleId="CommentTextChar">
    <w:name w:val="Comment Text Char"/>
    <w:basedOn w:val="DefaultParagraphFont"/>
    <w:link w:val="CommentText"/>
    <w:uiPriority w:val="99"/>
    <w:qFormat/>
    <w:rsid w:val="00E54587"/>
    <w:rPr>
      <w:sz w:val="20"/>
      <w:szCs w:val="20"/>
    </w:rPr>
  </w:style>
  <w:style w:type="character" w:customStyle="1" w:styleId="CommentSubjectChar">
    <w:name w:val="Comment Subject Char"/>
    <w:basedOn w:val="CommentTextChar"/>
    <w:link w:val="CommentSubject"/>
    <w:uiPriority w:val="99"/>
    <w:semiHidden/>
    <w:qFormat/>
    <w:rsid w:val="00E54587"/>
    <w:rPr>
      <w:b/>
      <w:bCs/>
      <w:sz w:val="20"/>
      <w:szCs w:val="20"/>
    </w:rPr>
  </w:style>
  <w:style w:type="character" w:customStyle="1" w:styleId="BalloonTextChar">
    <w:name w:val="Balloon Text Char"/>
    <w:basedOn w:val="DefaultParagraphFont"/>
    <w:link w:val="BalloonText"/>
    <w:uiPriority w:val="99"/>
    <w:semiHidden/>
    <w:qFormat/>
    <w:rsid w:val="00E54587"/>
    <w:rPr>
      <w:rFonts w:ascii="Segoe UI" w:hAnsi="Segoe UI" w:cs="Segoe UI"/>
      <w:sz w:val="18"/>
      <w:szCs w:val="18"/>
    </w:rPr>
  </w:style>
  <w:style w:type="character" w:customStyle="1" w:styleId="EndNoteBibliographyTitleChar">
    <w:name w:val="EndNote Bibliography Title Char"/>
    <w:basedOn w:val="NoSpacingChar"/>
    <w:link w:val="EndNoteBibliographyTitle"/>
    <w:qFormat/>
    <w:rsid w:val="00100573"/>
    <w:rPr>
      <w:rFonts w:ascii="Calibri" w:hAnsi="Calibri" w:cs="Calibri"/>
      <w:lang w:val="en-US"/>
    </w:rPr>
  </w:style>
  <w:style w:type="character" w:customStyle="1" w:styleId="EndNoteBibliographyChar">
    <w:name w:val="EndNote Bibliography Char"/>
    <w:basedOn w:val="NoSpacingChar"/>
    <w:link w:val="EndNoteBibliography"/>
    <w:qFormat/>
    <w:rsid w:val="00100573"/>
    <w:rPr>
      <w:rFonts w:ascii="Calibri" w:hAnsi="Calibri" w:cs="Calibri"/>
      <w:lang w:val="en-US"/>
    </w:rPr>
  </w:style>
  <w:style w:type="character" w:customStyle="1" w:styleId="Heading1Char">
    <w:name w:val="Heading 1 Char"/>
    <w:basedOn w:val="DefaultParagraphFont"/>
    <w:link w:val="Heading1"/>
    <w:uiPriority w:val="9"/>
    <w:qFormat/>
    <w:rsid w:val="005D3A05"/>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qFormat/>
    <w:rsid w:val="005D3A05"/>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qFormat/>
    <w:rsid w:val="00BC1598"/>
    <w:rPr>
      <w:rFonts w:asciiTheme="majorHAnsi" w:eastAsiaTheme="majorEastAsia" w:hAnsiTheme="majorHAnsi" w:cstheme="majorBidi"/>
      <w:i/>
      <w:sz w:val="24"/>
      <w:szCs w:val="24"/>
    </w:rPr>
  </w:style>
  <w:style w:type="character" w:customStyle="1" w:styleId="Heading4Char">
    <w:name w:val="Heading 4 Char"/>
    <w:basedOn w:val="DefaultParagraphFont"/>
    <w:link w:val="Heading4"/>
    <w:uiPriority w:val="9"/>
    <w:qFormat/>
    <w:rsid w:val="00FF3F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qFormat/>
    <w:rsid w:val="00FF3F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FF3F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qFormat/>
    <w:rsid w:val="00FF3F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FF3F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FF3F43"/>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qFormat/>
    <w:rsid w:val="00C94C0F"/>
    <w:rPr>
      <w:rFonts w:asciiTheme="majorHAnsi" w:eastAsiaTheme="majorEastAsia" w:hAnsiTheme="majorHAnsi" w:cstheme="majorBidi"/>
      <w:b/>
      <w:spacing w:val="-10"/>
      <w:kern w:val="2"/>
      <w:sz w:val="40"/>
      <w:szCs w:val="56"/>
    </w:rPr>
  </w:style>
  <w:style w:type="character" w:customStyle="1" w:styleId="123numberingChar">
    <w:name w:val="1 2 3 numbering Char"/>
    <w:basedOn w:val="DefaultParagraphFont"/>
    <w:link w:val="123numbering"/>
    <w:qFormat/>
    <w:rsid w:val="000A042F"/>
  </w:style>
  <w:style w:type="character" w:customStyle="1" w:styleId="HeaderChar">
    <w:name w:val="Header Char"/>
    <w:basedOn w:val="DefaultParagraphFont"/>
    <w:link w:val="Header"/>
    <w:uiPriority w:val="99"/>
    <w:qFormat/>
    <w:rsid w:val="003F6161"/>
  </w:style>
  <w:style w:type="character" w:customStyle="1" w:styleId="FooterChar">
    <w:name w:val="Footer Char"/>
    <w:basedOn w:val="DefaultParagraphFont"/>
    <w:link w:val="Footer"/>
    <w:uiPriority w:val="99"/>
    <w:qFormat/>
    <w:rsid w:val="003F6161"/>
  </w:style>
  <w:style w:type="character" w:styleId="LineNumber">
    <w:name w:val="line number"/>
    <w:basedOn w:val="DefaultParagraphFont"/>
    <w:uiPriority w:val="99"/>
    <w:semiHidden/>
    <w:unhideWhenUsed/>
    <w:qFormat/>
    <w:rsid w:val="003F6161"/>
  </w:style>
  <w:style w:type="character" w:customStyle="1" w:styleId="BulletsChar">
    <w:name w:val="Bullets Char"/>
    <w:basedOn w:val="DefaultParagraphFont"/>
    <w:link w:val="Bullets"/>
    <w:qFormat/>
    <w:rsid w:val="00983900"/>
    <w:rPr>
      <w:rFonts w:ascii="Calibri" w:hAnsi="Calibri" w:cs="Times New Roman"/>
    </w:rPr>
  </w:style>
  <w:style w:type="character" w:customStyle="1" w:styleId="ExplanationfollowingnumberingChar">
    <w:name w:val="Explanation following numbering Char"/>
    <w:basedOn w:val="DefaultParagraphFont"/>
    <w:link w:val="Explanationfollowingnumbering"/>
    <w:qFormat/>
    <w:rsid w:val="00AC161E"/>
  </w:style>
  <w:style w:type="character" w:customStyle="1" w:styleId="UnresolvedMention1">
    <w:name w:val="Unresolved Mention1"/>
    <w:basedOn w:val="DefaultParagraphFont"/>
    <w:uiPriority w:val="99"/>
    <w:semiHidden/>
    <w:unhideWhenUsed/>
    <w:qFormat/>
    <w:rsid w:val="00AC161E"/>
    <w:rPr>
      <w:color w:val="605E5C"/>
      <w:shd w:val="clear" w:color="auto" w:fill="E1DFDD"/>
    </w:rPr>
  </w:style>
  <w:style w:type="character" w:customStyle="1" w:styleId="CaptionMRChar">
    <w:name w:val="Caption MR Char"/>
    <w:basedOn w:val="DefaultParagraphFont"/>
    <w:link w:val="CaptionMR"/>
    <w:qFormat/>
    <w:rsid w:val="006075EE"/>
    <w:rPr>
      <w:i/>
      <w:iCs/>
      <w:color w:val="1F4E79" w:themeColor="accent1" w:themeShade="80"/>
      <w:szCs w:val="18"/>
    </w:rPr>
  </w:style>
  <w:style w:type="character" w:customStyle="1" w:styleId="TableandlegendChar">
    <w:name w:val="Table and legend Char"/>
    <w:basedOn w:val="DefaultParagraphFont"/>
    <w:link w:val="Tableandlegend"/>
    <w:qFormat/>
    <w:rsid w:val="006075EE"/>
    <w:rPr>
      <w:sz w:val="20"/>
    </w:rPr>
  </w:style>
  <w:style w:type="character" w:customStyle="1" w:styleId="UnresolvedMention2">
    <w:name w:val="Unresolved Mention2"/>
    <w:basedOn w:val="DefaultParagraphFont"/>
    <w:uiPriority w:val="99"/>
    <w:semiHidden/>
    <w:unhideWhenUsed/>
    <w:qFormat/>
    <w:rsid w:val="003A0F9A"/>
    <w:rPr>
      <w:color w:val="605E5C"/>
      <w:shd w:val="clear" w:color="auto" w:fill="E1DFDD"/>
    </w:rPr>
  </w:style>
  <w:style w:type="character" w:customStyle="1" w:styleId="ListLabel1">
    <w:name w:val="ListLabel 1"/>
    <w:qFormat/>
    <w:rPr>
      <w:sz w:val="24"/>
    </w:rPr>
  </w:style>
  <w:style w:type="character" w:customStyle="1" w:styleId="ListLabel2">
    <w:name w:val="ListLabel 2"/>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3">
    <w:name w:val="ListLabel 3"/>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style>
  <w:style w:type="character" w:customStyle="1" w:styleId="ListLabel11">
    <w:name w:val="ListLabel 11"/>
    <w:qFormat/>
    <w:rPr>
      <w:color w:val="00B0F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6075EE"/>
    <w:pPr>
      <w:spacing w:after="200" w:line="240" w:lineRule="auto"/>
    </w:pPr>
    <w:rPr>
      <w:i/>
      <w:iCs/>
      <w:color w:val="44546A" w:themeColor="text2"/>
      <w:sz w:val="18"/>
      <w:szCs w:val="18"/>
    </w:rPr>
  </w:style>
  <w:style w:type="paragraph" w:customStyle="1" w:styleId="Index">
    <w:name w:val="Index"/>
    <w:basedOn w:val="Normal"/>
    <w:qFormat/>
    <w:pPr>
      <w:suppressLineNumbers/>
    </w:pPr>
    <w:rPr>
      <w:rFonts w:cs="FreeSans"/>
    </w:rPr>
  </w:style>
  <w:style w:type="paragraph" w:styleId="NoSpacing">
    <w:name w:val="No Spacing"/>
    <w:link w:val="NoSpacingChar"/>
    <w:uiPriority w:val="1"/>
    <w:qFormat/>
    <w:rsid w:val="005D3A05"/>
    <w:pPr>
      <w:spacing w:line="480" w:lineRule="auto"/>
    </w:pPr>
  </w:style>
  <w:style w:type="paragraph" w:styleId="CommentText">
    <w:name w:val="annotation text"/>
    <w:basedOn w:val="Normal"/>
    <w:link w:val="CommentTextChar"/>
    <w:uiPriority w:val="99"/>
    <w:unhideWhenUsed/>
    <w:qFormat/>
    <w:rsid w:val="00E5458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4587"/>
    <w:rPr>
      <w:b/>
      <w:bCs/>
    </w:rPr>
  </w:style>
  <w:style w:type="paragraph" w:styleId="BalloonText">
    <w:name w:val="Balloon Text"/>
    <w:basedOn w:val="Normal"/>
    <w:link w:val="BalloonTextChar"/>
    <w:uiPriority w:val="99"/>
    <w:semiHidden/>
    <w:unhideWhenUsed/>
    <w:qFormat/>
    <w:rsid w:val="00E54587"/>
    <w:pPr>
      <w:spacing w:after="0" w:line="240" w:lineRule="auto"/>
    </w:pPr>
    <w:rPr>
      <w:rFonts w:ascii="Segoe UI" w:hAnsi="Segoe UI" w:cs="Segoe UI"/>
      <w:sz w:val="18"/>
      <w:szCs w:val="18"/>
    </w:rPr>
  </w:style>
  <w:style w:type="paragraph" w:customStyle="1" w:styleId="EndNoteBibliographyTitle">
    <w:name w:val="EndNote Bibliography Title"/>
    <w:basedOn w:val="Normal"/>
    <w:link w:val="EndNoteBibliographyTitleChar"/>
    <w:qFormat/>
    <w:rsid w:val="00100573"/>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100573"/>
    <w:pPr>
      <w:spacing w:line="240" w:lineRule="auto"/>
    </w:pPr>
    <w:rPr>
      <w:rFonts w:ascii="Calibri" w:hAnsi="Calibri" w:cs="Calibri"/>
      <w:lang w:val="en-US"/>
    </w:rPr>
  </w:style>
  <w:style w:type="paragraph" w:styleId="Title">
    <w:name w:val="Title"/>
    <w:basedOn w:val="Normal"/>
    <w:next w:val="Normal"/>
    <w:link w:val="TitleChar"/>
    <w:uiPriority w:val="10"/>
    <w:qFormat/>
    <w:rsid w:val="00C94C0F"/>
    <w:pPr>
      <w:spacing w:after="0" w:line="312" w:lineRule="auto"/>
      <w:contextualSpacing/>
    </w:pPr>
    <w:rPr>
      <w:rFonts w:asciiTheme="majorHAnsi" w:eastAsiaTheme="majorEastAsia" w:hAnsiTheme="majorHAnsi" w:cstheme="majorBidi"/>
      <w:b/>
      <w:spacing w:val="-10"/>
      <w:kern w:val="2"/>
      <w:sz w:val="40"/>
      <w:szCs w:val="56"/>
    </w:rPr>
  </w:style>
  <w:style w:type="paragraph" w:customStyle="1" w:styleId="123numbering">
    <w:name w:val="1 2 3 numbering"/>
    <w:basedOn w:val="Normal"/>
    <w:link w:val="123numberingChar"/>
    <w:qFormat/>
    <w:rsid w:val="000A042F"/>
    <w:pPr>
      <w:spacing w:after="0" w:line="480" w:lineRule="auto"/>
      <w:ind w:left="357" w:hanging="357"/>
    </w:pPr>
  </w:style>
  <w:style w:type="paragraph" w:styleId="Header">
    <w:name w:val="header"/>
    <w:basedOn w:val="Normal"/>
    <w:link w:val="HeaderChar"/>
    <w:uiPriority w:val="99"/>
    <w:unhideWhenUsed/>
    <w:rsid w:val="003F6161"/>
    <w:pPr>
      <w:suppressLineNumbers/>
      <w:tabs>
        <w:tab w:val="center" w:pos="4513"/>
        <w:tab w:val="right" w:pos="9026"/>
      </w:tabs>
      <w:spacing w:after="0" w:line="240" w:lineRule="auto"/>
    </w:pPr>
  </w:style>
  <w:style w:type="paragraph" w:styleId="Footer">
    <w:name w:val="footer"/>
    <w:basedOn w:val="Normal"/>
    <w:link w:val="FooterChar"/>
    <w:uiPriority w:val="99"/>
    <w:unhideWhenUsed/>
    <w:rsid w:val="003F6161"/>
    <w:pPr>
      <w:suppressLineNumbers/>
      <w:tabs>
        <w:tab w:val="center" w:pos="4513"/>
        <w:tab w:val="right" w:pos="9026"/>
      </w:tabs>
      <w:spacing w:after="0" w:line="240" w:lineRule="auto"/>
    </w:pPr>
  </w:style>
  <w:style w:type="paragraph" w:customStyle="1" w:styleId="Bullets">
    <w:name w:val="Bullets"/>
    <w:basedOn w:val="ListParagraph"/>
    <w:link w:val="BulletsChar"/>
    <w:qFormat/>
    <w:rsid w:val="00983900"/>
    <w:pPr>
      <w:spacing w:after="0" w:line="480" w:lineRule="auto"/>
    </w:pPr>
    <w:rPr>
      <w:rFonts w:ascii="Calibri" w:hAnsi="Calibri" w:cs="Times New Roman"/>
    </w:rPr>
  </w:style>
  <w:style w:type="paragraph" w:customStyle="1" w:styleId="Explanationfollowingnumbering">
    <w:name w:val="Explanation following numbering"/>
    <w:basedOn w:val="Normal"/>
    <w:link w:val="ExplanationfollowingnumberingChar"/>
    <w:qFormat/>
    <w:rsid w:val="00AC161E"/>
    <w:pPr>
      <w:spacing w:before="240" w:after="240" w:line="360" w:lineRule="auto"/>
    </w:pPr>
  </w:style>
  <w:style w:type="paragraph" w:styleId="ListParagraph">
    <w:name w:val="List Paragraph"/>
    <w:basedOn w:val="Normal"/>
    <w:uiPriority w:val="34"/>
    <w:qFormat/>
    <w:rsid w:val="00AC161E"/>
    <w:pPr>
      <w:ind w:left="720"/>
      <w:contextualSpacing/>
    </w:pPr>
  </w:style>
  <w:style w:type="paragraph" w:styleId="NormalWeb">
    <w:name w:val="Normal (Web)"/>
    <w:basedOn w:val="Normal"/>
    <w:uiPriority w:val="99"/>
    <w:unhideWhenUsed/>
    <w:qFormat/>
    <w:rsid w:val="006075EE"/>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aptionMR">
    <w:name w:val="Caption MR"/>
    <w:basedOn w:val="Caption"/>
    <w:link w:val="CaptionMRChar"/>
    <w:autoRedefine/>
    <w:qFormat/>
    <w:rsid w:val="006075EE"/>
    <w:pPr>
      <w:spacing w:after="120"/>
    </w:pPr>
    <w:rPr>
      <w:color w:val="1F4E79" w:themeColor="accent1" w:themeShade="80"/>
      <w:sz w:val="22"/>
    </w:rPr>
  </w:style>
  <w:style w:type="paragraph" w:customStyle="1" w:styleId="Tableandlegend">
    <w:name w:val="Table and legend"/>
    <w:basedOn w:val="Normal"/>
    <w:link w:val="TableandlegendChar"/>
    <w:qFormat/>
    <w:rsid w:val="006075EE"/>
    <w:pPr>
      <w:spacing w:after="0" w:line="240" w:lineRule="auto"/>
    </w:pPr>
    <w:rPr>
      <w:sz w:val="20"/>
    </w:rPr>
  </w:style>
  <w:style w:type="table" w:styleId="TableGrid">
    <w:name w:val="Table Grid"/>
    <w:basedOn w:val="TableNormal"/>
    <w:uiPriority w:val="39"/>
    <w:rsid w:val="008B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B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6BC0"/>
    <w:rPr>
      <w:rFonts w:ascii="Calibri" w:hAnsi="Calibri"/>
      <w:szCs w:val="21"/>
    </w:rPr>
  </w:style>
  <w:style w:type="character" w:styleId="Strong">
    <w:name w:val="Strong"/>
    <w:basedOn w:val="DefaultParagraphFont"/>
    <w:uiPriority w:val="22"/>
    <w:qFormat/>
    <w:rsid w:val="00C86BC0"/>
    <w:rPr>
      <w:b/>
      <w:bCs/>
    </w:rPr>
  </w:style>
  <w:style w:type="character" w:styleId="HTMLCite">
    <w:name w:val="HTML Cite"/>
    <w:basedOn w:val="DefaultParagraphFont"/>
    <w:uiPriority w:val="99"/>
    <w:semiHidden/>
    <w:unhideWhenUsed/>
    <w:rsid w:val="00F0141F"/>
    <w:rPr>
      <w:i/>
      <w:iCs/>
    </w:rPr>
  </w:style>
  <w:style w:type="character" w:customStyle="1" w:styleId="org">
    <w:name w:val="org"/>
    <w:basedOn w:val="DefaultParagraphFont"/>
    <w:rsid w:val="0019320D"/>
  </w:style>
  <w:style w:type="character" w:styleId="Hyperlink">
    <w:name w:val="Hyperlink"/>
    <w:basedOn w:val="DefaultParagraphFont"/>
    <w:uiPriority w:val="99"/>
    <w:unhideWhenUsed/>
    <w:rsid w:val="002C4FD4"/>
    <w:rPr>
      <w:color w:val="0563C1" w:themeColor="hyperlink"/>
      <w:u w:val="single"/>
    </w:rPr>
  </w:style>
  <w:style w:type="character" w:styleId="UnresolvedMention">
    <w:name w:val="Unresolved Mention"/>
    <w:basedOn w:val="DefaultParagraphFont"/>
    <w:uiPriority w:val="99"/>
    <w:semiHidden/>
    <w:unhideWhenUsed/>
    <w:rsid w:val="002C4FD4"/>
    <w:rPr>
      <w:color w:val="605E5C"/>
      <w:shd w:val="clear" w:color="auto" w:fill="E1DFDD"/>
    </w:rPr>
  </w:style>
  <w:style w:type="paragraph" w:styleId="Revision">
    <w:name w:val="Revision"/>
    <w:hidden/>
    <w:uiPriority w:val="99"/>
    <w:semiHidden/>
    <w:rsid w:val="00C2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4900">
      <w:bodyDiv w:val="1"/>
      <w:marLeft w:val="0"/>
      <w:marRight w:val="0"/>
      <w:marTop w:val="0"/>
      <w:marBottom w:val="0"/>
      <w:divBdr>
        <w:top w:val="none" w:sz="0" w:space="0" w:color="auto"/>
        <w:left w:val="none" w:sz="0" w:space="0" w:color="auto"/>
        <w:bottom w:val="none" w:sz="0" w:space="0" w:color="auto"/>
        <w:right w:val="none" w:sz="0" w:space="0" w:color="auto"/>
      </w:divBdr>
    </w:div>
    <w:div w:id="209073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et-initiative.org/delphimanag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magojr.com" TargetMode="External"/><Relationship Id="rId5" Type="http://schemas.openxmlformats.org/officeDocument/2006/relationships/webSettings" Target="webSettings.xml"/><Relationship Id="rId10" Type="http://schemas.openxmlformats.org/officeDocument/2006/relationships/hyperlink" Target="https://www.equator-network.org/" TargetMode="External"/><Relationship Id="rId4" Type="http://schemas.openxmlformats.org/officeDocument/2006/relationships/settings" Target="settings.xml"/><Relationship Id="rId9" Type="http://schemas.openxmlformats.org/officeDocument/2006/relationships/hyperlink" Target="http://www.medicine.uottawa.ca/public-health-genomics/web/assets/documents/HuGE_Review_Handbook_V1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8A3C-7468-4216-A94E-A86FE554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Marty</dc:creator>
  <dc:description/>
  <cp:lastModifiedBy>Chaplin, Marty</cp:lastModifiedBy>
  <cp:revision>2</cp:revision>
  <cp:lastPrinted>2020-06-04T09:18:00Z</cp:lastPrinted>
  <dcterms:created xsi:type="dcterms:W3CDTF">2020-08-04T10:35:00Z</dcterms:created>
  <dcterms:modified xsi:type="dcterms:W3CDTF">2020-08-04T10:35:00Z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