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864" w:rsidRPr="00131A05" w:rsidRDefault="00802864">
      <w:pPr>
        <w:rPr>
          <w:rFonts w:ascii="Times New Roman" w:hAnsi="Times New Roman" w:cs="Times New Roman"/>
        </w:rPr>
      </w:pPr>
    </w:p>
    <w:p w:rsidR="00131A05" w:rsidRDefault="00131A05" w:rsidP="000B2D5B">
      <w:pPr>
        <w:spacing w:after="0" w:line="480" w:lineRule="auto"/>
        <w:rPr>
          <w:rFonts w:ascii="Times New Roman" w:hAnsi="Times New Roman" w:cs="Times New Roman"/>
          <w:b/>
          <w:sz w:val="28"/>
          <w:szCs w:val="28"/>
        </w:rPr>
      </w:pPr>
      <w:r>
        <w:rPr>
          <w:rFonts w:ascii="Times New Roman" w:hAnsi="Times New Roman" w:cs="Times New Roman"/>
          <w:b/>
          <w:sz w:val="28"/>
          <w:szCs w:val="28"/>
        </w:rPr>
        <w:t>TRANSMISSION OF PROBLEM GAMBLING BETWEEN ADJACENT GENERATIONS</w:t>
      </w:r>
    </w:p>
    <w:p w:rsidR="00131A05" w:rsidRDefault="00131A05" w:rsidP="000B2D5B">
      <w:pPr>
        <w:spacing w:after="0" w:line="480" w:lineRule="auto"/>
        <w:rPr>
          <w:rFonts w:ascii="Times New Roman" w:hAnsi="Times New Roman" w:cs="Times New Roman"/>
          <w:b/>
          <w:sz w:val="28"/>
          <w:szCs w:val="28"/>
        </w:rPr>
      </w:pPr>
    </w:p>
    <w:p w:rsidR="007309A3" w:rsidRPr="00131A05" w:rsidRDefault="007309A3" w:rsidP="000B2D5B">
      <w:pPr>
        <w:spacing w:after="0" w:line="480" w:lineRule="auto"/>
        <w:rPr>
          <w:rFonts w:ascii="Times New Roman" w:hAnsi="Times New Roman" w:cs="Times New Roman"/>
          <w:b/>
          <w:sz w:val="28"/>
          <w:szCs w:val="28"/>
        </w:rPr>
      </w:pPr>
      <w:r w:rsidRPr="00131A05">
        <w:rPr>
          <w:rFonts w:ascii="Times New Roman" w:hAnsi="Times New Roman" w:cs="Times New Roman"/>
          <w:b/>
          <w:sz w:val="28"/>
          <w:szCs w:val="28"/>
        </w:rPr>
        <w:t>Abstract</w:t>
      </w:r>
    </w:p>
    <w:p w:rsidR="000B2D5B" w:rsidRPr="00131A05" w:rsidRDefault="00A96F92" w:rsidP="00C155CA">
      <w:pPr>
        <w:spacing w:line="480" w:lineRule="auto"/>
        <w:rPr>
          <w:rFonts w:ascii="Times New Roman" w:hAnsi="Times New Roman" w:cs="Times New Roman"/>
        </w:rPr>
      </w:pPr>
      <w:r w:rsidRPr="00131A05">
        <w:rPr>
          <w:rFonts w:ascii="Times New Roman" w:hAnsi="Times New Roman" w:cs="Times New Roman"/>
        </w:rPr>
        <w:t xml:space="preserve">We </w:t>
      </w:r>
      <w:r w:rsidR="007309A3" w:rsidRPr="00131A05">
        <w:rPr>
          <w:rFonts w:ascii="Times New Roman" w:hAnsi="Times New Roman" w:cs="Times New Roman"/>
        </w:rPr>
        <w:t>investigate the extent to which gambling problems at age 20 are linked to parental gambling behaviour during childhood</w:t>
      </w:r>
      <w:r w:rsidRPr="00131A05">
        <w:rPr>
          <w:rFonts w:ascii="Times New Roman" w:hAnsi="Times New Roman" w:cs="Times New Roman"/>
        </w:rPr>
        <w:t xml:space="preserve">, employing </w:t>
      </w:r>
      <w:r w:rsidR="007309A3" w:rsidRPr="00131A05">
        <w:rPr>
          <w:rFonts w:ascii="Times New Roman" w:hAnsi="Times New Roman" w:cs="Times New Roman"/>
        </w:rPr>
        <w:t xml:space="preserve">data from a longitudinal study (ALSPAC) which has followed parents and children from </w:t>
      </w:r>
      <w:r w:rsidR="0087438B" w:rsidRPr="00131A05">
        <w:rPr>
          <w:rFonts w:ascii="Times New Roman" w:hAnsi="Times New Roman" w:cs="Times New Roman"/>
        </w:rPr>
        <w:t xml:space="preserve">Avon, </w:t>
      </w:r>
      <w:r w:rsidR="007309A3" w:rsidRPr="00131A05">
        <w:rPr>
          <w:rFonts w:ascii="Times New Roman" w:hAnsi="Times New Roman" w:cs="Times New Roman"/>
        </w:rPr>
        <w:t>England</w:t>
      </w:r>
      <w:r w:rsidR="00715C9D" w:rsidRPr="00131A05">
        <w:rPr>
          <w:rFonts w:ascii="Times New Roman" w:hAnsi="Times New Roman" w:cs="Times New Roman"/>
        </w:rPr>
        <w:t xml:space="preserve"> since pregnancy. </w:t>
      </w:r>
      <w:r w:rsidR="00062106" w:rsidRPr="00131A05">
        <w:rPr>
          <w:rFonts w:ascii="Times New Roman" w:hAnsi="Times New Roman" w:cs="Times New Roman"/>
        </w:rPr>
        <w:t>1,058</w:t>
      </w:r>
      <w:r w:rsidR="007309A3" w:rsidRPr="00131A05">
        <w:rPr>
          <w:rFonts w:ascii="Times New Roman" w:hAnsi="Times New Roman" w:cs="Times New Roman"/>
        </w:rPr>
        <w:t xml:space="preserve"> children completed a problem gambling screen </w:t>
      </w:r>
      <w:r w:rsidR="0087438B" w:rsidRPr="00131A05">
        <w:rPr>
          <w:rFonts w:ascii="Times New Roman" w:hAnsi="Times New Roman" w:cs="Times New Roman"/>
        </w:rPr>
        <w:t>at</w:t>
      </w:r>
      <w:r w:rsidR="007309A3" w:rsidRPr="00131A05">
        <w:rPr>
          <w:rFonts w:ascii="Times New Roman" w:hAnsi="Times New Roman" w:cs="Times New Roman"/>
        </w:rPr>
        <w:t xml:space="preserve"> age 20. Each parent had been asked </w:t>
      </w:r>
      <w:r w:rsidR="001A65AE" w:rsidRPr="00131A05">
        <w:rPr>
          <w:rFonts w:ascii="Times New Roman" w:hAnsi="Times New Roman" w:cs="Times New Roman"/>
        </w:rPr>
        <w:t xml:space="preserve">about their gambling </w:t>
      </w:r>
      <w:r w:rsidR="007309A3" w:rsidRPr="00131A05">
        <w:rPr>
          <w:rFonts w:ascii="Times New Roman" w:hAnsi="Times New Roman" w:cs="Times New Roman"/>
        </w:rPr>
        <w:t>when the child was age 6. We used regression to estimate</w:t>
      </w:r>
      <w:r w:rsidR="001A65AE" w:rsidRPr="00131A05">
        <w:rPr>
          <w:rFonts w:ascii="Times New Roman" w:hAnsi="Times New Roman" w:cs="Times New Roman"/>
        </w:rPr>
        <w:t xml:space="preserve"> </w:t>
      </w:r>
      <w:r w:rsidR="007309A3" w:rsidRPr="00131A05">
        <w:rPr>
          <w:rFonts w:ascii="Times New Roman" w:hAnsi="Times New Roman" w:cs="Times New Roman"/>
        </w:rPr>
        <w:t xml:space="preserve">the effect on the child’s </w:t>
      </w:r>
      <w:r w:rsidR="001A65AE" w:rsidRPr="00131A05">
        <w:rPr>
          <w:rFonts w:ascii="Times New Roman" w:hAnsi="Times New Roman" w:cs="Times New Roman"/>
        </w:rPr>
        <w:t>problem</w:t>
      </w:r>
      <w:r w:rsidR="007309A3" w:rsidRPr="00131A05">
        <w:rPr>
          <w:rFonts w:ascii="Times New Roman" w:hAnsi="Times New Roman" w:cs="Times New Roman"/>
        </w:rPr>
        <w:t xml:space="preserve"> gambling </w:t>
      </w:r>
      <w:r w:rsidR="0087438B" w:rsidRPr="00131A05">
        <w:rPr>
          <w:rFonts w:ascii="Times New Roman" w:hAnsi="Times New Roman" w:cs="Times New Roman"/>
        </w:rPr>
        <w:t xml:space="preserve">risk </w:t>
      </w:r>
      <w:r w:rsidR="00715C9D" w:rsidRPr="00131A05">
        <w:rPr>
          <w:rFonts w:ascii="Times New Roman" w:hAnsi="Times New Roman" w:cs="Times New Roman"/>
        </w:rPr>
        <w:t xml:space="preserve">at </w:t>
      </w:r>
      <w:r w:rsidR="007309A3" w:rsidRPr="00131A05">
        <w:rPr>
          <w:rFonts w:ascii="Times New Roman" w:hAnsi="Times New Roman" w:cs="Times New Roman"/>
        </w:rPr>
        <w:t xml:space="preserve">age 20 </w:t>
      </w:r>
      <w:r w:rsidR="007420E8" w:rsidRPr="00131A05">
        <w:rPr>
          <w:rFonts w:ascii="Times New Roman" w:hAnsi="Times New Roman" w:cs="Times New Roman"/>
        </w:rPr>
        <w:t xml:space="preserve">of parental gambling </w:t>
      </w:r>
      <w:r w:rsidR="001A65AE" w:rsidRPr="00131A05">
        <w:rPr>
          <w:rFonts w:ascii="Times New Roman" w:hAnsi="Times New Roman" w:cs="Times New Roman"/>
        </w:rPr>
        <w:t>behaviour</w:t>
      </w:r>
      <w:r w:rsidR="007420E8" w:rsidRPr="00131A05">
        <w:rPr>
          <w:rFonts w:ascii="Times New Roman" w:hAnsi="Times New Roman" w:cs="Times New Roman"/>
        </w:rPr>
        <w:t xml:space="preserve"> at child age 6.</w:t>
      </w:r>
      <w:r w:rsidRPr="00131A05">
        <w:rPr>
          <w:rFonts w:ascii="Times New Roman" w:hAnsi="Times New Roman" w:cs="Times New Roman"/>
        </w:rPr>
        <w:t xml:space="preserve"> </w:t>
      </w:r>
      <w:r w:rsidR="00715C9D" w:rsidRPr="00131A05">
        <w:rPr>
          <w:rFonts w:ascii="Times New Roman" w:hAnsi="Times New Roman" w:cs="Times New Roman"/>
        </w:rPr>
        <w:t>Problem gambling at age 20 was not predicted by p</w:t>
      </w:r>
      <w:r w:rsidR="00ED2859" w:rsidRPr="00131A05">
        <w:rPr>
          <w:rFonts w:ascii="Times New Roman" w:hAnsi="Times New Roman" w:cs="Times New Roman"/>
        </w:rPr>
        <w:t xml:space="preserve">arental gambling </w:t>
      </w:r>
      <w:r w:rsidR="00062106" w:rsidRPr="00131A05">
        <w:rPr>
          <w:rFonts w:ascii="Times New Roman" w:hAnsi="Times New Roman" w:cs="Times New Roman"/>
        </w:rPr>
        <w:t xml:space="preserve">participation </w:t>
      </w:r>
      <w:r w:rsidR="00C52F6F" w:rsidRPr="00131A05">
        <w:rPr>
          <w:rFonts w:ascii="Times New Roman" w:hAnsi="Times New Roman" w:cs="Times New Roman"/>
        </w:rPr>
        <w:t>at</w:t>
      </w:r>
      <w:r w:rsidR="00ED2859" w:rsidRPr="00131A05">
        <w:rPr>
          <w:rFonts w:ascii="Times New Roman" w:hAnsi="Times New Roman" w:cs="Times New Roman"/>
        </w:rPr>
        <w:t xml:space="preserve"> child age 6</w:t>
      </w:r>
      <w:r w:rsidR="00715C9D" w:rsidRPr="00131A05">
        <w:rPr>
          <w:rFonts w:ascii="Times New Roman" w:hAnsi="Times New Roman" w:cs="Times New Roman"/>
        </w:rPr>
        <w:t>;</w:t>
      </w:r>
      <w:r w:rsidR="00ED2859" w:rsidRPr="00131A05">
        <w:rPr>
          <w:rFonts w:ascii="Times New Roman" w:hAnsi="Times New Roman" w:cs="Times New Roman"/>
        </w:rPr>
        <w:t xml:space="preserve"> </w:t>
      </w:r>
      <w:r w:rsidR="00715C9D" w:rsidRPr="00131A05">
        <w:rPr>
          <w:rFonts w:ascii="Times New Roman" w:hAnsi="Times New Roman" w:cs="Times New Roman"/>
        </w:rPr>
        <w:t>but problem gambling by parents was a predictor</w:t>
      </w:r>
      <w:r w:rsidR="00062106" w:rsidRPr="00131A05">
        <w:rPr>
          <w:rFonts w:ascii="Times New Roman" w:hAnsi="Times New Roman" w:cs="Times New Roman"/>
        </w:rPr>
        <w:t xml:space="preserve"> of offspring problem gambling</w:t>
      </w:r>
      <w:r w:rsidR="00715C9D" w:rsidRPr="00131A05">
        <w:rPr>
          <w:rFonts w:ascii="Times New Roman" w:hAnsi="Times New Roman" w:cs="Times New Roman"/>
        </w:rPr>
        <w:t>.</w:t>
      </w:r>
      <w:r w:rsidR="007420E8" w:rsidRPr="00131A05">
        <w:rPr>
          <w:rFonts w:ascii="Times New Roman" w:hAnsi="Times New Roman" w:cs="Times New Roman"/>
        </w:rPr>
        <w:t xml:space="preserve"> </w:t>
      </w:r>
      <w:r w:rsidR="00ED2859" w:rsidRPr="00131A05">
        <w:rPr>
          <w:rFonts w:ascii="Times New Roman" w:hAnsi="Times New Roman" w:cs="Times New Roman"/>
        </w:rPr>
        <w:t>However, t</w:t>
      </w:r>
      <w:r w:rsidR="007420E8" w:rsidRPr="00131A05">
        <w:rPr>
          <w:rFonts w:ascii="Times New Roman" w:hAnsi="Times New Roman" w:cs="Times New Roman"/>
        </w:rPr>
        <w:t xml:space="preserve">his </w:t>
      </w:r>
      <w:r w:rsidR="00C52F6F" w:rsidRPr="00131A05">
        <w:rPr>
          <w:rFonts w:ascii="Times New Roman" w:hAnsi="Times New Roman" w:cs="Times New Roman"/>
        </w:rPr>
        <w:t xml:space="preserve">latter </w:t>
      </w:r>
      <w:r w:rsidR="00A63892" w:rsidRPr="00131A05">
        <w:rPr>
          <w:rFonts w:ascii="Times New Roman" w:hAnsi="Times New Roman" w:cs="Times New Roman"/>
        </w:rPr>
        <w:t xml:space="preserve">result was found </w:t>
      </w:r>
      <w:r w:rsidR="007420E8" w:rsidRPr="00131A05">
        <w:rPr>
          <w:rFonts w:ascii="Times New Roman" w:hAnsi="Times New Roman" w:cs="Times New Roman"/>
        </w:rPr>
        <w:t>only cross-gender (fathers</w:t>
      </w:r>
      <w:r w:rsidR="00A63892" w:rsidRPr="00131A05">
        <w:rPr>
          <w:rFonts w:ascii="Times New Roman" w:hAnsi="Times New Roman" w:cs="Times New Roman"/>
        </w:rPr>
        <w:t>’ behaviour influencing daughters and</w:t>
      </w:r>
      <w:r w:rsidR="007420E8" w:rsidRPr="00131A05">
        <w:rPr>
          <w:rFonts w:ascii="Times New Roman" w:hAnsi="Times New Roman" w:cs="Times New Roman"/>
        </w:rPr>
        <w:t xml:space="preserve"> mothers</w:t>
      </w:r>
      <w:r w:rsidR="00240E19" w:rsidRPr="00131A05">
        <w:rPr>
          <w:rFonts w:ascii="Times New Roman" w:hAnsi="Times New Roman" w:cs="Times New Roman"/>
        </w:rPr>
        <w:t>’</w:t>
      </w:r>
      <w:r w:rsidR="007420E8" w:rsidRPr="00131A05">
        <w:rPr>
          <w:rFonts w:ascii="Times New Roman" w:hAnsi="Times New Roman" w:cs="Times New Roman"/>
        </w:rPr>
        <w:t xml:space="preserve"> </w:t>
      </w:r>
      <w:r w:rsidR="00A63892" w:rsidRPr="00131A05">
        <w:rPr>
          <w:rFonts w:ascii="Times New Roman" w:hAnsi="Times New Roman" w:cs="Times New Roman"/>
        </w:rPr>
        <w:t>behaviour influencing</w:t>
      </w:r>
      <w:r w:rsidR="007420E8" w:rsidRPr="00131A05">
        <w:rPr>
          <w:rFonts w:ascii="Times New Roman" w:hAnsi="Times New Roman" w:cs="Times New Roman"/>
        </w:rPr>
        <w:t xml:space="preserve"> sons)</w:t>
      </w:r>
      <w:r w:rsidR="000E15F3" w:rsidRPr="00131A05">
        <w:rPr>
          <w:rFonts w:ascii="Times New Roman" w:hAnsi="Times New Roman" w:cs="Times New Roman"/>
        </w:rPr>
        <w:t xml:space="preserve">. This pattern was robust to models </w:t>
      </w:r>
      <w:r w:rsidR="00C420AE" w:rsidRPr="00131A05">
        <w:rPr>
          <w:rFonts w:ascii="Times New Roman" w:hAnsi="Times New Roman" w:cs="Times New Roman"/>
        </w:rPr>
        <w:t>includ</w:t>
      </w:r>
      <w:r w:rsidR="00C52F6F" w:rsidRPr="00131A05">
        <w:rPr>
          <w:rFonts w:ascii="Times New Roman" w:hAnsi="Times New Roman" w:cs="Times New Roman"/>
        </w:rPr>
        <w:t>ing</w:t>
      </w:r>
      <w:r w:rsidR="00C420AE" w:rsidRPr="00131A05">
        <w:rPr>
          <w:rFonts w:ascii="Times New Roman" w:hAnsi="Times New Roman" w:cs="Times New Roman"/>
        </w:rPr>
        <w:t xml:space="preserve"> </w:t>
      </w:r>
      <w:r w:rsidR="000E15F3" w:rsidRPr="00131A05">
        <w:rPr>
          <w:rFonts w:ascii="Times New Roman" w:hAnsi="Times New Roman" w:cs="Times New Roman"/>
        </w:rPr>
        <w:t>measures of parental education and variables captur</w:t>
      </w:r>
      <w:r w:rsidR="007D6611" w:rsidRPr="00131A05">
        <w:rPr>
          <w:rFonts w:ascii="Times New Roman" w:hAnsi="Times New Roman" w:cs="Times New Roman"/>
        </w:rPr>
        <w:t>ing</w:t>
      </w:r>
      <w:r w:rsidR="000E15F3" w:rsidRPr="00131A05">
        <w:rPr>
          <w:rFonts w:ascii="Times New Roman" w:hAnsi="Times New Roman" w:cs="Times New Roman"/>
        </w:rPr>
        <w:t xml:space="preserve"> </w:t>
      </w:r>
      <w:r w:rsidR="007D6611" w:rsidRPr="00131A05">
        <w:rPr>
          <w:rFonts w:ascii="Times New Roman" w:hAnsi="Times New Roman" w:cs="Times New Roman"/>
        </w:rPr>
        <w:t>family</w:t>
      </w:r>
      <w:r w:rsidR="000E15F3" w:rsidRPr="00131A05">
        <w:rPr>
          <w:rFonts w:ascii="Times New Roman" w:hAnsi="Times New Roman" w:cs="Times New Roman"/>
        </w:rPr>
        <w:t xml:space="preserve"> attitude</w:t>
      </w:r>
      <w:r w:rsidR="007D6611" w:rsidRPr="00131A05">
        <w:rPr>
          <w:rFonts w:ascii="Times New Roman" w:hAnsi="Times New Roman" w:cs="Times New Roman"/>
        </w:rPr>
        <w:t>s</w:t>
      </w:r>
      <w:r w:rsidR="000E15F3" w:rsidRPr="00131A05">
        <w:rPr>
          <w:rFonts w:ascii="Times New Roman" w:hAnsi="Times New Roman" w:cs="Times New Roman"/>
        </w:rPr>
        <w:t xml:space="preserve"> to health choices and the degree of domestic harmony.</w:t>
      </w:r>
      <w:r w:rsidR="00745F53" w:rsidRPr="00131A05">
        <w:rPr>
          <w:rFonts w:ascii="Times New Roman" w:hAnsi="Times New Roman" w:cs="Times New Roman"/>
        </w:rPr>
        <w:t xml:space="preserve"> </w:t>
      </w:r>
      <w:r w:rsidR="000C5B50" w:rsidRPr="00131A05">
        <w:rPr>
          <w:rFonts w:ascii="Times New Roman" w:hAnsi="Times New Roman" w:cs="Times New Roman"/>
        </w:rPr>
        <w:t>T</w:t>
      </w:r>
      <w:r w:rsidR="00ED2859" w:rsidRPr="00131A05">
        <w:rPr>
          <w:rFonts w:ascii="Times New Roman" w:hAnsi="Times New Roman" w:cs="Times New Roman"/>
        </w:rPr>
        <w:t>he sample</w:t>
      </w:r>
      <w:r w:rsidR="000C5B50" w:rsidRPr="00131A05">
        <w:rPr>
          <w:rFonts w:ascii="Times New Roman" w:hAnsi="Times New Roman" w:cs="Times New Roman"/>
        </w:rPr>
        <w:t xml:space="preserve"> illustrates</w:t>
      </w:r>
      <w:r w:rsidR="00ED2859" w:rsidRPr="00131A05">
        <w:rPr>
          <w:rFonts w:ascii="Times New Roman" w:hAnsi="Times New Roman" w:cs="Times New Roman"/>
        </w:rPr>
        <w:t xml:space="preserve"> high </w:t>
      </w:r>
      <w:r w:rsidR="000C5B50" w:rsidRPr="00131A05">
        <w:rPr>
          <w:rFonts w:ascii="Times New Roman" w:hAnsi="Times New Roman" w:cs="Times New Roman"/>
        </w:rPr>
        <w:t>proble</w:t>
      </w:r>
      <w:r w:rsidR="007D6611" w:rsidRPr="00131A05">
        <w:rPr>
          <w:rFonts w:ascii="Times New Roman" w:hAnsi="Times New Roman" w:cs="Times New Roman"/>
        </w:rPr>
        <w:t>m</w:t>
      </w:r>
      <w:r w:rsidR="000C5B50" w:rsidRPr="00131A05">
        <w:rPr>
          <w:rFonts w:ascii="Times New Roman" w:hAnsi="Times New Roman" w:cs="Times New Roman"/>
        </w:rPr>
        <w:t xml:space="preserve"> </w:t>
      </w:r>
      <w:r w:rsidR="00ED2859" w:rsidRPr="00131A05">
        <w:rPr>
          <w:rFonts w:ascii="Times New Roman" w:hAnsi="Times New Roman" w:cs="Times New Roman"/>
        </w:rPr>
        <w:t xml:space="preserve">gambling </w:t>
      </w:r>
      <w:r w:rsidR="007D6611" w:rsidRPr="00131A05">
        <w:rPr>
          <w:rFonts w:ascii="Times New Roman" w:hAnsi="Times New Roman" w:cs="Times New Roman"/>
        </w:rPr>
        <w:t xml:space="preserve">prevalence </w:t>
      </w:r>
      <w:r w:rsidR="00ED2859" w:rsidRPr="00131A05">
        <w:rPr>
          <w:rFonts w:ascii="Times New Roman" w:hAnsi="Times New Roman" w:cs="Times New Roman"/>
        </w:rPr>
        <w:t>amongst young adult</w:t>
      </w:r>
      <w:r w:rsidR="000C5B50" w:rsidRPr="00131A05">
        <w:rPr>
          <w:rFonts w:ascii="Times New Roman" w:hAnsi="Times New Roman" w:cs="Times New Roman"/>
        </w:rPr>
        <w:t>s</w:t>
      </w:r>
      <w:r w:rsidR="00ED2859" w:rsidRPr="00131A05">
        <w:rPr>
          <w:rFonts w:ascii="Times New Roman" w:hAnsi="Times New Roman" w:cs="Times New Roman"/>
        </w:rPr>
        <w:t>.</w:t>
      </w:r>
      <w:r w:rsidR="000C5B50" w:rsidRPr="00131A05">
        <w:rPr>
          <w:rFonts w:ascii="Times New Roman" w:hAnsi="Times New Roman" w:cs="Times New Roman"/>
        </w:rPr>
        <w:t xml:space="preserve"> </w:t>
      </w:r>
      <w:r w:rsidR="00ED2859" w:rsidRPr="00131A05">
        <w:rPr>
          <w:rFonts w:ascii="Times New Roman" w:hAnsi="Times New Roman" w:cs="Times New Roman"/>
        </w:rPr>
        <w:t xml:space="preserve">Although there </w:t>
      </w:r>
      <w:r w:rsidR="000E15F3" w:rsidRPr="00131A05">
        <w:rPr>
          <w:rFonts w:ascii="Times New Roman" w:hAnsi="Times New Roman" w:cs="Times New Roman"/>
        </w:rPr>
        <w:t>is transmission of ‘problem gambling’ between generations</w:t>
      </w:r>
      <w:r w:rsidR="000C5B50" w:rsidRPr="00131A05">
        <w:rPr>
          <w:rFonts w:ascii="Times New Roman" w:hAnsi="Times New Roman" w:cs="Times New Roman"/>
        </w:rPr>
        <w:t>,</w:t>
      </w:r>
      <w:r w:rsidR="000E15F3" w:rsidRPr="00131A05">
        <w:rPr>
          <w:rFonts w:ascii="Times New Roman" w:hAnsi="Times New Roman" w:cs="Times New Roman"/>
        </w:rPr>
        <w:t xml:space="preserve"> it appears to happen </w:t>
      </w:r>
      <w:r w:rsidR="00240E19" w:rsidRPr="00131A05">
        <w:rPr>
          <w:rFonts w:ascii="Times New Roman" w:hAnsi="Times New Roman" w:cs="Times New Roman"/>
        </w:rPr>
        <w:t xml:space="preserve">only </w:t>
      </w:r>
      <w:r w:rsidR="000E15F3" w:rsidRPr="00131A05">
        <w:rPr>
          <w:rFonts w:ascii="Times New Roman" w:hAnsi="Times New Roman" w:cs="Times New Roman"/>
        </w:rPr>
        <w:t xml:space="preserve">cross-gender. </w:t>
      </w:r>
      <w:r w:rsidR="000C5B50" w:rsidRPr="00131A05">
        <w:rPr>
          <w:rFonts w:ascii="Times New Roman" w:hAnsi="Times New Roman" w:cs="Times New Roman"/>
        </w:rPr>
        <w:t>T</w:t>
      </w:r>
      <w:r w:rsidR="000E15F3" w:rsidRPr="00131A05">
        <w:rPr>
          <w:rFonts w:ascii="Times New Roman" w:hAnsi="Times New Roman" w:cs="Times New Roman"/>
        </w:rPr>
        <w:t xml:space="preserve">his limits the importance of parental problem gambling as a source of the high prevalence </w:t>
      </w:r>
      <w:r w:rsidR="000C5B50" w:rsidRPr="00131A05">
        <w:rPr>
          <w:rFonts w:ascii="Times New Roman" w:hAnsi="Times New Roman" w:cs="Times New Roman"/>
        </w:rPr>
        <w:t xml:space="preserve">because relatively few mothers exhibit problem gambling and risks to daughters from fathers are in the context of initially low baseline risks. </w:t>
      </w:r>
      <w:r w:rsidR="0087438B" w:rsidRPr="00131A05">
        <w:rPr>
          <w:rFonts w:ascii="Times New Roman" w:hAnsi="Times New Roman" w:cs="Times New Roman"/>
        </w:rPr>
        <w:t xml:space="preserve">Preventative policies </w:t>
      </w:r>
      <w:r w:rsidR="00745F53" w:rsidRPr="00131A05">
        <w:rPr>
          <w:rFonts w:ascii="Times New Roman" w:hAnsi="Times New Roman" w:cs="Times New Roman"/>
        </w:rPr>
        <w:t xml:space="preserve">might </w:t>
      </w:r>
      <w:r w:rsidR="00715C9D" w:rsidRPr="00131A05">
        <w:rPr>
          <w:rFonts w:ascii="Times New Roman" w:hAnsi="Times New Roman" w:cs="Times New Roman"/>
        </w:rPr>
        <w:t xml:space="preserve">therefore </w:t>
      </w:r>
      <w:r w:rsidR="0087438B" w:rsidRPr="00131A05">
        <w:rPr>
          <w:rFonts w:ascii="Times New Roman" w:hAnsi="Times New Roman" w:cs="Times New Roman"/>
        </w:rPr>
        <w:t>be more appropriately targeted at young adults rather than rely on influencing parental gambling behaviour earlier in the child’s life.</w:t>
      </w:r>
    </w:p>
    <w:p w:rsidR="007309A3" w:rsidRPr="00131A05" w:rsidRDefault="000B2D5B" w:rsidP="00C155CA">
      <w:pPr>
        <w:spacing w:line="480" w:lineRule="auto"/>
        <w:rPr>
          <w:rFonts w:ascii="Times New Roman" w:hAnsi="Times New Roman" w:cs="Times New Roman"/>
        </w:rPr>
      </w:pPr>
      <w:r w:rsidRPr="00131A05">
        <w:rPr>
          <w:rFonts w:ascii="Times New Roman" w:hAnsi="Times New Roman" w:cs="Times New Roman"/>
          <w:b/>
          <w:bCs/>
        </w:rPr>
        <w:t>Keywords</w:t>
      </w:r>
      <w:r w:rsidRPr="00131A05">
        <w:rPr>
          <w:rFonts w:ascii="Times New Roman" w:hAnsi="Times New Roman" w:cs="Times New Roman"/>
        </w:rPr>
        <w:t xml:space="preserve">: </w:t>
      </w:r>
      <w:r w:rsidR="00F55178" w:rsidRPr="00131A05">
        <w:rPr>
          <w:rFonts w:ascii="Times New Roman" w:hAnsi="Times New Roman" w:cs="Times New Roman"/>
        </w:rPr>
        <w:t xml:space="preserve">longitudinal data, </w:t>
      </w:r>
      <w:r w:rsidR="00BD1676" w:rsidRPr="00131A05">
        <w:rPr>
          <w:rFonts w:ascii="Times New Roman" w:hAnsi="Times New Roman" w:cs="Times New Roman"/>
        </w:rPr>
        <w:t xml:space="preserve">youth </w:t>
      </w:r>
      <w:r w:rsidR="00F55178" w:rsidRPr="00131A05">
        <w:rPr>
          <w:rFonts w:ascii="Times New Roman" w:hAnsi="Times New Roman" w:cs="Times New Roman"/>
        </w:rPr>
        <w:t>gambling,</w:t>
      </w:r>
      <w:r w:rsidR="00BD1676" w:rsidRPr="00131A05">
        <w:rPr>
          <w:rFonts w:ascii="Times New Roman" w:hAnsi="Times New Roman" w:cs="Times New Roman"/>
        </w:rPr>
        <w:t xml:space="preserve"> problem gambling</w:t>
      </w:r>
      <w:r w:rsidR="00253D5B" w:rsidRPr="00131A05">
        <w:rPr>
          <w:rFonts w:ascii="Times New Roman" w:hAnsi="Times New Roman" w:cs="Times New Roman"/>
        </w:rPr>
        <w:t>, environmental influences</w:t>
      </w:r>
      <w:r w:rsidR="007309A3" w:rsidRPr="00131A05">
        <w:rPr>
          <w:rFonts w:ascii="Times New Roman" w:hAnsi="Times New Roman" w:cs="Times New Roman"/>
        </w:rPr>
        <w:br w:type="page"/>
      </w:r>
    </w:p>
    <w:p w:rsidR="000F21C9" w:rsidRPr="00131A05" w:rsidRDefault="007F3DF3">
      <w:pPr>
        <w:rPr>
          <w:rFonts w:ascii="Times New Roman" w:hAnsi="Times New Roman" w:cs="Times New Roman"/>
          <w:b/>
          <w:sz w:val="28"/>
          <w:szCs w:val="28"/>
        </w:rPr>
      </w:pPr>
      <w:r w:rsidRPr="00131A05">
        <w:rPr>
          <w:rFonts w:ascii="Times New Roman" w:hAnsi="Times New Roman" w:cs="Times New Roman"/>
          <w:b/>
          <w:sz w:val="28"/>
          <w:szCs w:val="28"/>
        </w:rPr>
        <w:lastRenderedPageBreak/>
        <w:t>Introduction</w:t>
      </w:r>
    </w:p>
    <w:p w:rsidR="00745F53" w:rsidRPr="00131A05" w:rsidRDefault="00247234" w:rsidP="00503697">
      <w:pPr>
        <w:spacing w:line="480" w:lineRule="auto"/>
        <w:rPr>
          <w:rFonts w:ascii="Times New Roman" w:hAnsi="Times New Roman" w:cs="Times New Roman"/>
        </w:rPr>
      </w:pPr>
      <w:r w:rsidRPr="00131A05">
        <w:rPr>
          <w:rFonts w:ascii="Times New Roman" w:hAnsi="Times New Roman" w:cs="Times New Roman"/>
        </w:rPr>
        <w:t xml:space="preserve">As with </w:t>
      </w:r>
      <w:r w:rsidR="00286981" w:rsidRPr="00131A05">
        <w:rPr>
          <w:rFonts w:ascii="Times New Roman" w:hAnsi="Times New Roman" w:cs="Times New Roman"/>
        </w:rPr>
        <w:t xml:space="preserve">many </w:t>
      </w:r>
      <w:r w:rsidRPr="00131A05">
        <w:rPr>
          <w:rFonts w:ascii="Times New Roman" w:hAnsi="Times New Roman" w:cs="Times New Roman"/>
        </w:rPr>
        <w:t>other physical and psychiatric</w:t>
      </w:r>
      <w:r w:rsidR="00497D0E" w:rsidRPr="00131A05">
        <w:rPr>
          <w:rFonts w:ascii="Times New Roman" w:hAnsi="Times New Roman" w:cs="Times New Roman"/>
        </w:rPr>
        <w:t xml:space="preserve"> illnesses</w:t>
      </w:r>
      <w:r w:rsidRPr="00131A05">
        <w:rPr>
          <w:rFonts w:ascii="Times New Roman" w:hAnsi="Times New Roman" w:cs="Times New Roman"/>
        </w:rPr>
        <w:t xml:space="preserve">, </w:t>
      </w:r>
      <w:r w:rsidR="00497D0E" w:rsidRPr="00131A05">
        <w:rPr>
          <w:rFonts w:ascii="Times New Roman" w:hAnsi="Times New Roman" w:cs="Times New Roman"/>
        </w:rPr>
        <w:t xml:space="preserve">there may be an extent to which individuals are at greater risk </w:t>
      </w:r>
      <w:r w:rsidR="00745F53" w:rsidRPr="00131A05">
        <w:rPr>
          <w:rFonts w:ascii="Times New Roman" w:hAnsi="Times New Roman" w:cs="Times New Roman"/>
        </w:rPr>
        <w:t xml:space="preserve">of problem gambling </w:t>
      </w:r>
      <w:r w:rsidR="00497D0E" w:rsidRPr="00131A05">
        <w:rPr>
          <w:rFonts w:ascii="Times New Roman" w:hAnsi="Times New Roman" w:cs="Times New Roman"/>
        </w:rPr>
        <w:t xml:space="preserve">where a parent </w:t>
      </w:r>
      <w:r w:rsidR="00DB5CB8" w:rsidRPr="00131A05">
        <w:rPr>
          <w:rFonts w:ascii="Times New Roman" w:hAnsi="Times New Roman" w:cs="Times New Roman"/>
        </w:rPr>
        <w:t xml:space="preserve">has </w:t>
      </w:r>
      <w:r w:rsidR="00497D0E" w:rsidRPr="00131A05">
        <w:rPr>
          <w:rFonts w:ascii="Times New Roman" w:hAnsi="Times New Roman" w:cs="Times New Roman"/>
        </w:rPr>
        <w:t>experienced the disorder</w:t>
      </w:r>
      <w:r w:rsidR="00314DC1" w:rsidRPr="00131A05">
        <w:rPr>
          <w:rFonts w:ascii="Times New Roman" w:hAnsi="Times New Roman" w:cs="Times New Roman"/>
        </w:rPr>
        <w:t>. H</w:t>
      </w:r>
      <w:r w:rsidR="00267A91" w:rsidRPr="00131A05">
        <w:rPr>
          <w:rFonts w:ascii="Times New Roman" w:hAnsi="Times New Roman" w:cs="Times New Roman"/>
        </w:rPr>
        <w:t xml:space="preserve">ow common </w:t>
      </w:r>
      <w:r w:rsidR="00314DC1" w:rsidRPr="00131A05">
        <w:rPr>
          <w:rFonts w:ascii="Times New Roman" w:hAnsi="Times New Roman" w:cs="Times New Roman"/>
        </w:rPr>
        <w:t xml:space="preserve">the transmission of parental gambling disorders to child gambling behaviour is </w:t>
      </w:r>
      <w:r w:rsidR="00267A91" w:rsidRPr="00131A05">
        <w:rPr>
          <w:rFonts w:ascii="Times New Roman" w:hAnsi="Times New Roman" w:cs="Times New Roman"/>
        </w:rPr>
        <w:t>will influence decisions on public health policy to mitigate prevalence and harm</w:t>
      </w:r>
      <w:r w:rsidR="00497D0E" w:rsidRPr="00131A05">
        <w:rPr>
          <w:rFonts w:ascii="Times New Roman" w:hAnsi="Times New Roman" w:cs="Times New Roman"/>
        </w:rPr>
        <w:t xml:space="preserve">. </w:t>
      </w:r>
      <w:r w:rsidR="00503697" w:rsidRPr="00131A05">
        <w:rPr>
          <w:rFonts w:ascii="Times New Roman" w:hAnsi="Times New Roman" w:cs="Times New Roman"/>
        </w:rPr>
        <w:t>Possible means of t</w:t>
      </w:r>
      <w:r w:rsidR="00497D0E" w:rsidRPr="00131A05">
        <w:rPr>
          <w:rFonts w:ascii="Times New Roman" w:hAnsi="Times New Roman" w:cs="Times New Roman"/>
        </w:rPr>
        <w:t xml:space="preserve">ransmission </w:t>
      </w:r>
      <w:r w:rsidR="00503697" w:rsidRPr="00131A05">
        <w:rPr>
          <w:rFonts w:ascii="Times New Roman" w:hAnsi="Times New Roman" w:cs="Times New Roman"/>
        </w:rPr>
        <w:t xml:space="preserve">include </w:t>
      </w:r>
      <w:r w:rsidR="00497D0E" w:rsidRPr="00131A05">
        <w:rPr>
          <w:rFonts w:ascii="Times New Roman" w:hAnsi="Times New Roman" w:cs="Times New Roman"/>
        </w:rPr>
        <w:t>inheritance of genes</w:t>
      </w:r>
      <w:r w:rsidR="00503697" w:rsidRPr="00131A05">
        <w:rPr>
          <w:rFonts w:ascii="Times New Roman" w:hAnsi="Times New Roman" w:cs="Times New Roman"/>
        </w:rPr>
        <w:t xml:space="preserve"> and environmental influences during childhood. </w:t>
      </w:r>
      <w:r w:rsidR="00C420AE" w:rsidRPr="00131A05">
        <w:rPr>
          <w:rFonts w:ascii="Times New Roman" w:hAnsi="Times New Roman" w:cs="Times New Roman"/>
        </w:rPr>
        <w:t>Studies of twins</w:t>
      </w:r>
      <w:r w:rsidR="00497D0E" w:rsidRPr="00131A05">
        <w:rPr>
          <w:rFonts w:ascii="Times New Roman" w:hAnsi="Times New Roman" w:cs="Times New Roman"/>
        </w:rPr>
        <w:t xml:space="preserve"> (for example, </w:t>
      </w:r>
      <w:r w:rsidR="00A258D4" w:rsidRPr="00131A05">
        <w:rPr>
          <w:rFonts w:ascii="Times New Roman" w:hAnsi="Times New Roman" w:cs="Times New Roman"/>
        </w:rPr>
        <w:t xml:space="preserve">by </w:t>
      </w:r>
      <w:r w:rsidR="00DB5CB8" w:rsidRPr="00131A05">
        <w:rPr>
          <w:rFonts w:ascii="Times New Roman" w:hAnsi="Times New Roman" w:cs="Times New Roman"/>
        </w:rPr>
        <w:t>Slutske et al</w:t>
      </w:r>
      <w:r w:rsidR="00A258D4" w:rsidRPr="00131A05">
        <w:rPr>
          <w:rFonts w:ascii="Times New Roman" w:hAnsi="Times New Roman" w:cs="Times New Roman"/>
        </w:rPr>
        <w:t>.</w:t>
      </w:r>
      <w:r w:rsidR="00745F53" w:rsidRPr="00131A05">
        <w:rPr>
          <w:rFonts w:ascii="Times New Roman" w:hAnsi="Times New Roman" w:cs="Times New Roman"/>
        </w:rPr>
        <w:t xml:space="preserve"> 2010</w:t>
      </w:r>
      <w:r w:rsidR="00DB5CB8" w:rsidRPr="00131A05">
        <w:rPr>
          <w:rFonts w:ascii="Times New Roman" w:hAnsi="Times New Roman" w:cs="Times New Roman"/>
        </w:rPr>
        <w:t xml:space="preserve">) show that presence of problem gambling is more correlated between identical than </w:t>
      </w:r>
      <w:r w:rsidR="00D51137" w:rsidRPr="00131A05">
        <w:rPr>
          <w:rFonts w:ascii="Times New Roman" w:hAnsi="Times New Roman" w:cs="Times New Roman"/>
        </w:rPr>
        <w:t xml:space="preserve">between fraternal </w:t>
      </w:r>
      <w:r w:rsidR="00DB5CB8" w:rsidRPr="00131A05">
        <w:rPr>
          <w:rFonts w:ascii="Times New Roman" w:hAnsi="Times New Roman" w:cs="Times New Roman"/>
        </w:rPr>
        <w:t xml:space="preserve">twins, controlling for exposure to similar environmental </w:t>
      </w:r>
      <w:r w:rsidR="00745F53" w:rsidRPr="00131A05">
        <w:rPr>
          <w:rFonts w:ascii="Times New Roman" w:hAnsi="Times New Roman" w:cs="Times New Roman"/>
        </w:rPr>
        <w:t>i</w:t>
      </w:r>
      <w:r w:rsidR="00DB5CB8" w:rsidRPr="00131A05">
        <w:rPr>
          <w:rFonts w:ascii="Times New Roman" w:hAnsi="Times New Roman" w:cs="Times New Roman"/>
        </w:rPr>
        <w:t>nfluences.</w:t>
      </w:r>
      <w:r w:rsidR="00745F53" w:rsidRPr="00131A05">
        <w:rPr>
          <w:rFonts w:ascii="Times New Roman" w:hAnsi="Times New Roman" w:cs="Times New Roman"/>
        </w:rPr>
        <w:t xml:space="preserve"> </w:t>
      </w:r>
      <w:r w:rsidR="00267A91" w:rsidRPr="00131A05">
        <w:rPr>
          <w:rFonts w:ascii="Times New Roman" w:hAnsi="Times New Roman" w:cs="Times New Roman"/>
        </w:rPr>
        <w:t xml:space="preserve">Environmental influences are argued to include the effect of </w:t>
      </w:r>
      <w:r w:rsidR="00201CE3" w:rsidRPr="00131A05">
        <w:rPr>
          <w:rFonts w:ascii="Times New Roman" w:hAnsi="Times New Roman" w:cs="Times New Roman"/>
        </w:rPr>
        <w:t>‘</w:t>
      </w:r>
      <w:r w:rsidR="00267A91" w:rsidRPr="00131A05">
        <w:rPr>
          <w:rFonts w:ascii="Times New Roman" w:hAnsi="Times New Roman" w:cs="Times New Roman"/>
        </w:rPr>
        <w:t>modelling</w:t>
      </w:r>
      <w:r w:rsidR="00201CE3" w:rsidRPr="00131A05">
        <w:rPr>
          <w:rFonts w:ascii="Times New Roman" w:hAnsi="Times New Roman" w:cs="Times New Roman"/>
        </w:rPr>
        <w:t xml:space="preserve">’ </w:t>
      </w:r>
      <w:r w:rsidR="00267A91" w:rsidRPr="00131A05">
        <w:rPr>
          <w:rFonts w:ascii="Times New Roman" w:hAnsi="Times New Roman" w:cs="Times New Roman"/>
        </w:rPr>
        <w:t>behaviour by parents whose heavy engagement ‘normalises’ gambling for their children and may indeed include introducing them to gambling, leading to elevated risk of problem gambling during adulthood</w:t>
      </w:r>
      <w:r w:rsidR="00864C69" w:rsidRPr="00131A05">
        <w:rPr>
          <w:rFonts w:ascii="Times New Roman" w:hAnsi="Times New Roman" w:cs="Times New Roman"/>
        </w:rPr>
        <w:t xml:space="preserve"> (Valentine</w:t>
      </w:r>
      <w:r w:rsidR="00745F53" w:rsidRPr="00131A05">
        <w:rPr>
          <w:rFonts w:ascii="Times New Roman" w:hAnsi="Times New Roman" w:cs="Times New Roman"/>
        </w:rPr>
        <w:t xml:space="preserve"> 2014)</w:t>
      </w:r>
      <w:r w:rsidR="00A258D4" w:rsidRPr="00131A05">
        <w:rPr>
          <w:rFonts w:ascii="Times New Roman" w:hAnsi="Times New Roman" w:cs="Times New Roman"/>
        </w:rPr>
        <w:t>.</w:t>
      </w:r>
    </w:p>
    <w:p w:rsidR="00745F53" w:rsidRPr="00131A05" w:rsidRDefault="00745F53" w:rsidP="00503697">
      <w:pPr>
        <w:spacing w:line="480" w:lineRule="auto"/>
        <w:rPr>
          <w:rFonts w:ascii="Times New Roman" w:hAnsi="Times New Roman" w:cs="Times New Roman"/>
        </w:rPr>
      </w:pPr>
    </w:p>
    <w:p w:rsidR="00503697" w:rsidRPr="00131A05" w:rsidRDefault="00A258D4" w:rsidP="00503697">
      <w:pPr>
        <w:spacing w:line="480" w:lineRule="auto"/>
        <w:rPr>
          <w:rFonts w:ascii="Times New Roman" w:hAnsi="Times New Roman" w:cs="Times New Roman"/>
        </w:rPr>
      </w:pPr>
      <w:r w:rsidRPr="00131A05">
        <w:rPr>
          <w:rFonts w:ascii="Times New Roman" w:hAnsi="Times New Roman" w:cs="Times New Roman"/>
        </w:rPr>
        <w:t xml:space="preserve"> </w:t>
      </w:r>
      <w:r w:rsidR="006542DA" w:rsidRPr="00131A05">
        <w:rPr>
          <w:rFonts w:ascii="Times New Roman" w:hAnsi="Times New Roman" w:cs="Times New Roman"/>
        </w:rPr>
        <w:t>Whatever the means of transmission, previous studies in various countries confirm that having a parent who experienced problem gambling is a risk factor for own problem gambling</w:t>
      </w:r>
      <w:r w:rsidR="00864C69" w:rsidRPr="00131A05">
        <w:rPr>
          <w:rFonts w:ascii="Times New Roman" w:hAnsi="Times New Roman" w:cs="Times New Roman"/>
        </w:rPr>
        <w:t xml:space="preserve"> (Valentine 2014). </w:t>
      </w:r>
      <w:r w:rsidR="006542DA" w:rsidRPr="00131A05">
        <w:rPr>
          <w:rFonts w:ascii="Times New Roman" w:hAnsi="Times New Roman" w:cs="Times New Roman"/>
        </w:rPr>
        <w:t xml:space="preserve"> However, these studies have weaknesses. </w:t>
      </w:r>
      <w:r w:rsidR="0046574B" w:rsidRPr="00131A05">
        <w:rPr>
          <w:rFonts w:ascii="Times New Roman" w:hAnsi="Times New Roman" w:cs="Times New Roman"/>
        </w:rPr>
        <w:t>First, they t</w:t>
      </w:r>
      <w:r w:rsidR="006542DA" w:rsidRPr="00131A05">
        <w:rPr>
          <w:rFonts w:ascii="Times New Roman" w:hAnsi="Times New Roman" w:cs="Times New Roman"/>
        </w:rPr>
        <w:t xml:space="preserve">ypically </w:t>
      </w:r>
      <w:r w:rsidR="0046574B" w:rsidRPr="00131A05">
        <w:rPr>
          <w:rFonts w:ascii="Times New Roman" w:hAnsi="Times New Roman" w:cs="Times New Roman"/>
        </w:rPr>
        <w:t>r</w:t>
      </w:r>
      <w:r w:rsidR="006542DA" w:rsidRPr="00131A05">
        <w:rPr>
          <w:rFonts w:ascii="Times New Roman" w:hAnsi="Times New Roman" w:cs="Times New Roman"/>
        </w:rPr>
        <w:t>ely on respondents accurately reporting whether their parent was a problem gambler, raising the possibility of recall bias</w:t>
      </w:r>
      <w:r w:rsidR="00864C69" w:rsidRPr="00131A05">
        <w:rPr>
          <w:rFonts w:ascii="Times New Roman" w:hAnsi="Times New Roman" w:cs="Times New Roman"/>
        </w:rPr>
        <w:t xml:space="preserve"> (Brewin et al. 1993)</w:t>
      </w:r>
      <w:r w:rsidR="006542DA" w:rsidRPr="00131A05">
        <w:rPr>
          <w:rFonts w:ascii="Times New Roman" w:hAnsi="Times New Roman" w:cs="Times New Roman"/>
        </w:rPr>
        <w:t xml:space="preserve"> or bias </w:t>
      </w:r>
      <w:r w:rsidR="0046574B" w:rsidRPr="00131A05">
        <w:rPr>
          <w:rFonts w:ascii="Times New Roman" w:hAnsi="Times New Roman" w:cs="Times New Roman"/>
        </w:rPr>
        <w:t xml:space="preserve">from </w:t>
      </w:r>
      <w:r w:rsidR="006542DA" w:rsidRPr="00131A05">
        <w:rPr>
          <w:rFonts w:ascii="Times New Roman" w:hAnsi="Times New Roman" w:cs="Times New Roman"/>
        </w:rPr>
        <w:t xml:space="preserve">blaming parents for one’s own problems. Further, </w:t>
      </w:r>
      <w:r w:rsidR="0064472D" w:rsidRPr="00131A05">
        <w:rPr>
          <w:rFonts w:ascii="Times New Roman" w:hAnsi="Times New Roman" w:cs="Times New Roman"/>
        </w:rPr>
        <w:t xml:space="preserve">while </w:t>
      </w:r>
      <w:r w:rsidR="006542DA" w:rsidRPr="00131A05">
        <w:rPr>
          <w:rFonts w:ascii="Times New Roman" w:hAnsi="Times New Roman" w:cs="Times New Roman"/>
        </w:rPr>
        <w:t xml:space="preserve">they tend to report </w:t>
      </w:r>
      <w:r w:rsidR="0046574B" w:rsidRPr="00131A05">
        <w:rPr>
          <w:rFonts w:ascii="Times New Roman" w:hAnsi="Times New Roman" w:cs="Times New Roman"/>
        </w:rPr>
        <w:t>greater effects from paternal problem gambling than maternal problem gambling</w:t>
      </w:r>
      <w:r w:rsidR="0064472D" w:rsidRPr="00131A05">
        <w:rPr>
          <w:rFonts w:ascii="Times New Roman" w:hAnsi="Times New Roman" w:cs="Times New Roman"/>
        </w:rPr>
        <w:t xml:space="preserve">, </w:t>
      </w:r>
      <w:r w:rsidR="0046574B" w:rsidRPr="00131A05">
        <w:rPr>
          <w:rFonts w:ascii="Times New Roman" w:hAnsi="Times New Roman" w:cs="Times New Roman"/>
        </w:rPr>
        <w:t>it might in fact just be difficult to establish effects from mothers because prevalence of problem gambling will be low in this group. Third, as Valentine’s</w:t>
      </w:r>
      <w:r w:rsidR="00864C69" w:rsidRPr="00131A05">
        <w:rPr>
          <w:rFonts w:ascii="Times New Roman" w:hAnsi="Times New Roman" w:cs="Times New Roman"/>
        </w:rPr>
        <w:t xml:space="preserve"> (2014) </w:t>
      </w:r>
      <w:r w:rsidR="0046574B" w:rsidRPr="00131A05">
        <w:rPr>
          <w:rFonts w:ascii="Times New Roman" w:hAnsi="Times New Roman" w:cs="Times New Roman"/>
        </w:rPr>
        <w:t xml:space="preserve">survey remarks, there is almost no literature investigating whether the risk for problem gambling is specifically related to problem gambling or </w:t>
      </w:r>
      <w:r w:rsidR="002443BD" w:rsidRPr="00131A05">
        <w:rPr>
          <w:rFonts w:ascii="Times New Roman" w:hAnsi="Times New Roman" w:cs="Times New Roman"/>
        </w:rPr>
        <w:t xml:space="preserve">alternatively to </w:t>
      </w:r>
      <w:r w:rsidR="0046574B" w:rsidRPr="00131A05">
        <w:rPr>
          <w:rFonts w:ascii="Times New Roman" w:hAnsi="Times New Roman" w:cs="Times New Roman"/>
        </w:rPr>
        <w:t xml:space="preserve">other issues </w:t>
      </w:r>
      <w:r w:rsidR="00286981" w:rsidRPr="00131A05">
        <w:rPr>
          <w:rFonts w:ascii="Times New Roman" w:hAnsi="Times New Roman" w:cs="Times New Roman"/>
        </w:rPr>
        <w:t xml:space="preserve">correlated </w:t>
      </w:r>
      <w:r w:rsidR="0046574B" w:rsidRPr="00131A05">
        <w:rPr>
          <w:rFonts w:ascii="Times New Roman" w:hAnsi="Times New Roman" w:cs="Times New Roman"/>
        </w:rPr>
        <w:t xml:space="preserve">with parental problem gambling. For example, it is conceivable that parental problem gambling correlates with a range of family attitudes and lifestyle variables and it is these general household features rather than parental gambling behaviour </w:t>
      </w:r>
      <w:r w:rsidR="002443BD" w:rsidRPr="00131A05">
        <w:rPr>
          <w:rFonts w:ascii="Times New Roman" w:hAnsi="Times New Roman" w:cs="Times New Roman"/>
        </w:rPr>
        <w:t xml:space="preserve">itself </w:t>
      </w:r>
      <w:r w:rsidR="0046574B" w:rsidRPr="00131A05">
        <w:rPr>
          <w:rFonts w:ascii="Times New Roman" w:hAnsi="Times New Roman" w:cs="Times New Roman"/>
        </w:rPr>
        <w:t>which raise risk in the next generation.</w:t>
      </w:r>
    </w:p>
    <w:p w:rsidR="00503697" w:rsidRPr="00131A05" w:rsidRDefault="00503697" w:rsidP="00503697">
      <w:pPr>
        <w:spacing w:line="480" w:lineRule="auto"/>
        <w:rPr>
          <w:rFonts w:ascii="Times New Roman" w:hAnsi="Times New Roman" w:cs="Times New Roman"/>
        </w:rPr>
      </w:pPr>
    </w:p>
    <w:p w:rsidR="00150E42" w:rsidRPr="00131A05" w:rsidRDefault="00D51137" w:rsidP="00503697">
      <w:pPr>
        <w:spacing w:line="480" w:lineRule="auto"/>
        <w:rPr>
          <w:rFonts w:ascii="Times New Roman" w:hAnsi="Times New Roman" w:cs="Times New Roman"/>
        </w:rPr>
      </w:pPr>
      <w:r w:rsidRPr="00131A05">
        <w:rPr>
          <w:rFonts w:ascii="Times New Roman" w:hAnsi="Times New Roman" w:cs="Times New Roman"/>
        </w:rPr>
        <w:lastRenderedPageBreak/>
        <w:t xml:space="preserve">In our study we </w:t>
      </w:r>
      <w:r w:rsidR="00503697" w:rsidRPr="00131A05">
        <w:rPr>
          <w:rFonts w:ascii="Times New Roman" w:hAnsi="Times New Roman" w:cs="Times New Roman"/>
        </w:rPr>
        <w:t>we</w:t>
      </w:r>
      <w:r w:rsidRPr="00131A05">
        <w:rPr>
          <w:rFonts w:ascii="Times New Roman" w:hAnsi="Times New Roman" w:cs="Times New Roman"/>
        </w:rPr>
        <w:t xml:space="preserve">re able to observe, for </w:t>
      </w:r>
      <w:r w:rsidR="00150E42" w:rsidRPr="00131A05">
        <w:rPr>
          <w:rFonts w:ascii="Times New Roman" w:hAnsi="Times New Roman" w:cs="Times New Roman"/>
        </w:rPr>
        <w:t xml:space="preserve">1,058 cases, information on a young person’s gambling activities and PGSI score at age 20 </w:t>
      </w:r>
      <w:r w:rsidR="00150E42" w:rsidRPr="00131A05">
        <w:rPr>
          <w:rFonts w:ascii="Times New Roman" w:hAnsi="Times New Roman" w:cs="Times New Roman"/>
          <w:i/>
        </w:rPr>
        <w:t>and</w:t>
      </w:r>
      <w:r w:rsidR="00150E42" w:rsidRPr="00131A05">
        <w:rPr>
          <w:rFonts w:ascii="Times New Roman" w:hAnsi="Times New Roman" w:cs="Times New Roman"/>
        </w:rPr>
        <w:t xml:space="preserve"> information on parental gambling and problem gambling </w:t>
      </w:r>
      <w:r w:rsidR="0064472D" w:rsidRPr="00131A05">
        <w:rPr>
          <w:rFonts w:ascii="Times New Roman" w:hAnsi="Times New Roman" w:cs="Times New Roman"/>
        </w:rPr>
        <w:t xml:space="preserve">obtained </w:t>
      </w:r>
      <w:r w:rsidR="007D1D20" w:rsidRPr="00131A05">
        <w:rPr>
          <w:rFonts w:ascii="Times New Roman" w:hAnsi="Times New Roman" w:cs="Times New Roman"/>
        </w:rPr>
        <w:t xml:space="preserve">from parents themselves </w:t>
      </w:r>
      <w:r w:rsidR="00150E42" w:rsidRPr="00131A05">
        <w:rPr>
          <w:rFonts w:ascii="Times New Roman" w:hAnsi="Times New Roman" w:cs="Times New Roman"/>
        </w:rPr>
        <w:t xml:space="preserve">when the young person was age 6. This allows us to test for association between problem gambling in young adulthood and parental gambling behaviour many years before. </w:t>
      </w:r>
      <w:r w:rsidR="0089547D" w:rsidRPr="00131A05">
        <w:rPr>
          <w:rFonts w:ascii="Times New Roman" w:hAnsi="Times New Roman" w:cs="Times New Roman"/>
        </w:rPr>
        <w:t xml:space="preserve">Additional </w:t>
      </w:r>
      <w:r w:rsidR="00150E42" w:rsidRPr="00131A05">
        <w:rPr>
          <w:rFonts w:ascii="Times New Roman" w:hAnsi="Times New Roman" w:cs="Times New Roman"/>
        </w:rPr>
        <w:t xml:space="preserve">data collected from each parent during the young person’s childhood allows us to test whether any association </w:t>
      </w:r>
      <w:r w:rsidR="00503697" w:rsidRPr="00131A05">
        <w:rPr>
          <w:rFonts w:ascii="Times New Roman" w:hAnsi="Times New Roman" w:cs="Times New Roman"/>
        </w:rPr>
        <w:t xml:space="preserve">with </w:t>
      </w:r>
      <w:r w:rsidR="00150E42" w:rsidRPr="00131A05">
        <w:rPr>
          <w:rFonts w:ascii="Times New Roman" w:hAnsi="Times New Roman" w:cs="Times New Roman"/>
        </w:rPr>
        <w:t>parental gambling</w:t>
      </w:r>
      <w:r w:rsidR="00503697" w:rsidRPr="00131A05">
        <w:rPr>
          <w:rFonts w:ascii="Times New Roman" w:hAnsi="Times New Roman" w:cs="Times New Roman"/>
        </w:rPr>
        <w:t xml:space="preserve"> and </w:t>
      </w:r>
      <w:r w:rsidR="00150E42" w:rsidRPr="00131A05">
        <w:rPr>
          <w:rFonts w:ascii="Times New Roman" w:hAnsi="Times New Roman" w:cs="Times New Roman"/>
        </w:rPr>
        <w:t>problem gambling</w:t>
      </w:r>
      <w:r w:rsidR="00503697" w:rsidRPr="00131A05">
        <w:rPr>
          <w:rFonts w:ascii="Times New Roman" w:hAnsi="Times New Roman" w:cs="Times New Roman"/>
        </w:rPr>
        <w:t xml:space="preserve"> arises only because gambling behaviour serves as a proxy </w:t>
      </w:r>
      <w:r w:rsidR="00150E42" w:rsidRPr="00131A05">
        <w:rPr>
          <w:rFonts w:ascii="Times New Roman" w:hAnsi="Times New Roman" w:cs="Times New Roman"/>
        </w:rPr>
        <w:t xml:space="preserve">for general attitudes or dysfunctionality in the households where young adult problem gamblers were brought up. </w:t>
      </w:r>
    </w:p>
    <w:p w:rsidR="00864C69" w:rsidRPr="00131A05" w:rsidRDefault="00864C69" w:rsidP="00503697">
      <w:pPr>
        <w:spacing w:line="480" w:lineRule="auto"/>
        <w:rPr>
          <w:rFonts w:ascii="Times New Roman" w:hAnsi="Times New Roman" w:cs="Times New Roman"/>
        </w:rPr>
      </w:pPr>
    </w:p>
    <w:p w:rsidR="001648BD" w:rsidRPr="00131A05" w:rsidRDefault="00150E42" w:rsidP="00A258D4">
      <w:pPr>
        <w:spacing w:line="480" w:lineRule="auto"/>
        <w:rPr>
          <w:rFonts w:ascii="Times New Roman" w:hAnsi="Times New Roman" w:cs="Times New Roman"/>
          <w:b/>
        </w:rPr>
      </w:pPr>
      <w:r w:rsidRPr="00131A05">
        <w:rPr>
          <w:rFonts w:ascii="Times New Roman" w:hAnsi="Times New Roman" w:cs="Times New Roman"/>
          <w:b/>
        </w:rPr>
        <w:t>Data</w:t>
      </w:r>
    </w:p>
    <w:p w:rsidR="0076619B" w:rsidRPr="00131A05" w:rsidRDefault="001648BD" w:rsidP="00A258D4">
      <w:pPr>
        <w:spacing w:line="480" w:lineRule="auto"/>
        <w:rPr>
          <w:rFonts w:ascii="Times New Roman" w:hAnsi="Times New Roman" w:cs="Times New Roman"/>
        </w:rPr>
      </w:pPr>
      <w:r w:rsidRPr="00131A05">
        <w:rPr>
          <w:rFonts w:ascii="Times New Roman" w:hAnsi="Times New Roman" w:cs="Times New Roman"/>
        </w:rPr>
        <w:t>Our data derive from the Avon Longitudinal Study of Parents and Children (ALSPAC)</w:t>
      </w:r>
      <w:r w:rsidR="003638DE" w:rsidRPr="00131A05">
        <w:rPr>
          <w:rFonts w:ascii="Times New Roman" w:hAnsi="Times New Roman" w:cs="Times New Roman"/>
        </w:rPr>
        <w:t xml:space="preserve">, which </w:t>
      </w:r>
      <w:r w:rsidRPr="00131A05">
        <w:rPr>
          <w:rFonts w:ascii="Times New Roman" w:hAnsi="Times New Roman" w:cs="Times New Roman"/>
        </w:rPr>
        <w:t xml:space="preserve">has </w:t>
      </w:r>
      <w:r w:rsidR="002C5633" w:rsidRPr="00131A05">
        <w:rPr>
          <w:rFonts w:ascii="Times New Roman" w:hAnsi="Times New Roman" w:cs="Times New Roman"/>
        </w:rPr>
        <w:t xml:space="preserve">regularly </w:t>
      </w:r>
      <w:r w:rsidRPr="00131A05">
        <w:rPr>
          <w:rFonts w:ascii="Times New Roman" w:hAnsi="Times New Roman" w:cs="Times New Roman"/>
        </w:rPr>
        <w:t>gathered detailed information, mostly health-related, on a large sample of children</w:t>
      </w:r>
      <w:r w:rsidR="00877D0F" w:rsidRPr="00131A05">
        <w:rPr>
          <w:rFonts w:ascii="Times New Roman" w:hAnsi="Times New Roman" w:cs="Times New Roman"/>
        </w:rPr>
        <w:t xml:space="preserve"> and their parents born in Avon</w:t>
      </w:r>
      <w:r w:rsidR="002443BD" w:rsidRPr="00131A05">
        <w:rPr>
          <w:rFonts w:ascii="Times New Roman" w:hAnsi="Times New Roman" w:cs="Times New Roman"/>
        </w:rPr>
        <w:t xml:space="preserve">, UK </w:t>
      </w:r>
      <w:r w:rsidRPr="00131A05">
        <w:rPr>
          <w:rFonts w:ascii="Times New Roman" w:hAnsi="Times New Roman" w:cs="Times New Roman"/>
        </w:rPr>
        <w:t xml:space="preserve">in 1991-2. </w:t>
      </w:r>
      <w:r w:rsidR="002C5633" w:rsidRPr="00131A05">
        <w:rPr>
          <w:rFonts w:ascii="Times New Roman" w:hAnsi="Times New Roman" w:cs="Times New Roman"/>
        </w:rPr>
        <w:t>Details of the general sampling procedure from the inception of the Study are provided in</w:t>
      </w:r>
      <w:r w:rsidR="00864C69" w:rsidRPr="00131A05">
        <w:rPr>
          <w:rFonts w:ascii="Times New Roman" w:hAnsi="Times New Roman" w:cs="Times New Roman"/>
        </w:rPr>
        <w:t xml:space="preserve"> online supplementary material. </w:t>
      </w:r>
      <w:r w:rsidR="0076619B" w:rsidRPr="00131A05">
        <w:rPr>
          <w:rFonts w:ascii="Times New Roman" w:hAnsi="Times New Roman" w:cs="Times New Roman"/>
        </w:rPr>
        <w:t>Ethical approval for the study was obtained from the ALSPAC Ethics and Law Committee. Informed consent for the use of data collected via questionnaires and clinics was obtained from participants following the recommendations of the ALSPAC Ethics and Law Committee at the time</w:t>
      </w:r>
      <w:r w:rsidR="00875B27" w:rsidRPr="00131A05">
        <w:rPr>
          <w:rFonts w:ascii="Times New Roman" w:hAnsi="Times New Roman" w:cs="Times New Roman"/>
        </w:rPr>
        <w:t>.</w:t>
      </w:r>
    </w:p>
    <w:p w:rsidR="0076619B" w:rsidRPr="00131A05" w:rsidRDefault="0076619B" w:rsidP="00A258D4">
      <w:pPr>
        <w:spacing w:line="480" w:lineRule="auto"/>
        <w:rPr>
          <w:rFonts w:ascii="Times New Roman" w:hAnsi="Times New Roman" w:cs="Times New Roman"/>
        </w:rPr>
      </w:pPr>
    </w:p>
    <w:p w:rsidR="009C676A" w:rsidRPr="00131A05" w:rsidRDefault="002C5633" w:rsidP="00A258D4">
      <w:pPr>
        <w:spacing w:line="480" w:lineRule="auto"/>
        <w:rPr>
          <w:rFonts w:ascii="Times New Roman" w:hAnsi="Times New Roman" w:cs="Times New Roman"/>
        </w:rPr>
      </w:pPr>
      <w:r w:rsidRPr="00131A05">
        <w:rPr>
          <w:rFonts w:ascii="Times New Roman" w:hAnsi="Times New Roman" w:cs="Times New Roman"/>
        </w:rPr>
        <w:t xml:space="preserve">Here we describe the gambling </w:t>
      </w:r>
      <w:r w:rsidR="00201CE3" w:rsidRPr="00131A05">
        <w:rPr>
          <w:rFonts w:ascii="Times New Roman" w:hAnsi="Times New Roman" w:cs="Times New Roman"/>
        </w:rPr>
        <w:t>questions administered</w:t>
      </w:r>
      <w:r w:rsidRPr="00131A05">
        <w:rPr>
          <w:rFonts w:ascii="Times New Roman" w:hAnsi="Times New Roman" w:cs="Times New Roman"/>
        </w:rPr>
        <w:t xml:space="preserve"> to the </w:t>
      </w:r>
      <w:r w:rsidR="00877D0F" w:rsidRPr="00131A05">
        <w:rPr>
          <w:rFonts w:ascii="Times New Roman" w:hAnsi="Times New Roman" w:cs="Times New Roman"/>
        </w:rPr>
        <w:t xml:space="preserve">young people at </w:t>
      </w:r>
      <w:r w:rsidRPr="00131A05">
        <w:rPr>
          <w:rFonts w:ascii="Times New Roman" w:hAnsi="Times New Roman" w:cs="Times New Roman"/>
        </w:rPr>
        <w:t xml:space="preserve">20 and to their mothers and fathers </w:t>
      </w:r>
      <w:r w:rsidR="00983742" w:rsidRPr="00131A05">
        <w:rPr>
          <w:rFonts w:ascii="Times New Roman" w:hAnsi="Times New Roman" w:cs="Times New Roman"/>
        </w:rPr>
        <w:t xml:space="preserve">(separately) </w:t>
      </w:r>
      <w:r w:rsidRPr="00131A05">
        <w:rPr>
          <w:rFonts w:ascii="Times New Roman" w:hAnsi="Times New Roman" w:cs="Times New Roman"/>
        </w:rPr>
        <w:t xml:space="preserve">when </w:t>
      </w:r>
      <w:r w:rsidR="00877D0F" w:rsidRPr="00131A05">
        <w:rPr>
          <w:rFonts w:ascii="Times New Roman" w:hAnsi="Times New Roman" w:cs="Times New Roman"/>
        </w:rPr>
        <w:t xml:space="preserve">they were </w:t>
      </w:r>
      <w:r w:rsidRPr="00131A05">
        <w:rPr>
          <w:rFonts w:ascii="Times New Roman" w:hAnsi="Times New Roman" w:cs="Times New Roman"/>
        </w:rPr>
        <w:t xml:space="preserve">6. Note that, for convenience, we will </w:t>
      </w:r>
      <w:r w:rsidR="00ED544E" w:rsidRPr="00131A05">
        <w:rPr>
          <w:rFonts w:ascii="Times New Roman" w:hAnsi="Times New Roman" w:cs="Times New Roman"/>
        </w:rPr>
        <w:t xml:space="preserve">often </w:t>
      </w:r>
      <w:r w:rsidRPr="00131A05">
        <w:rPr>
          <w:rFonts w:ascii="Times New Roman" w:hAnsi="Times New Roman" w:cs="Times New Roman"/>
        </w:rPr>
        <w:t xml:space="preserve">use the word ‘father’ although the </w:t>
      </w:r>
      <w:r w:rsidR="00983742" w:rsidRPr="00131A05">
        <w:rPr>
          <w:rFonts w:ascii="Times New Roman" w:hAnsi="Times New Roman" w:cs="Times New Roman"/>
        </w:rPr>
        <w:t xml:space="preserve">male </w:t>
      </w:r>
      <w:r w:rsidRPr="00131A05">
        <w:rPr>
          <w:rFonts w:ascii="Times New Roman" w:hAnsi="Times New Roman" w:cs="Times New Roman"/>
        </w:rPr>
        <w:t xml:space="preserve">questionnaire was </w:t>
      </w:r>
      <w:r w:rsidR="00E12E49" w:rsidRPr="00131A05">
        <w:rPr>
          <w:rFonts w:ascii="Times New Roman" w:hAnsi="Times New Roman" w:cs="Times New Roman"/>
        </w:rPr>
        <w:t xml:space="preserve">in fact </w:t>
      </w:r>
      <w:r w:rsidRPr="00131A05">
        <w:rPr>
          <w:rFonts w:ascii="Times New Roman" w:hAnsi="Times New Roman" w:cs="Times New Roman"/>
        </w:rPr>
        <w:t>completed by the mother’s partner at the time, who will not always have been the biological father.</w:t>
      </w:r>
      <w:r w:rsidR="00264145" w:rsidRPr="00131A05">
        <w:rPr>
          <w:rFonts w:ascii="Times New Roman" w:hAnsi="Times New Roman" w:cs="Times New Roman"/>
        </w:rPr>
        <w:t xml:space="preserve"> In effect, therefore, we are going to examine the influence on outcomes in young adulthood of the behaviour of those who were responsible for the child at 6. This make it impractical, and beyond our scope, to attempt to tease out biological and environmental influences in influencing gambling outcome. </w:t>
      </w:r>
    </w:p>
    <w:p w:rsidR="00503697" w:rsidRPr="00131A05" w:rsidRDefault="00503697" w:rsidP="00A258D4">
      <w:pPr>
        <w:spacing w:line="480" w:lineRule="auto"/>
        <w:rPr>
          <w:rFonts w:ascii="Times New Roman" w:hAnsi="Times New Roman" w:cs="Times New Roman"/>
        </w:rPr>
      </w:pPr>
    </w:p>
    <w:p w:rsidR="00A938E2" w:rsidRPr="00131A05" w:rsidRDefault="009C676A" w:rsidP="00A258D4">
      <w:pPr>
        <w:spacing w:line="480" w:lineRule="auto"/>
        <w:rPr>
          <w:rFonts w:ascii="Times New Roman" w:hAnsi="Times New Roman" w:cs="Times New Roman"/>
        </w:rPr>
      </w:pPr>
      <w:r w:rsidRPr="00131A05">
        <w:rPr>
          <w:rFonts w:ascii="Times New Roman" w:hAnsi="Times New Roman" w:cs="Times New Roman"/>
        </w:rPr>
        <w:lastRenderedPageBreak/>
        <w:t xml:space="preserve">When the young people were about 20, they were invited to participate once again in an ALSPAC data collection exercise, which they could do at </w:t>
      </w:r>
      <w:r w:rsidR="007F3DF3" w:rsidRPr="00131A05">
        <w:rPr>
          <w:rFonts w:ascii="Times New Roman" w:hAnsi="Times New Roman" w:cs="Times New Roman"/>
        </w:rPr>
        <w:t xml:space="preserve">a </w:t>
      </w:r>
      <w:r w:rsidR="00503697" w:rsidRPr="00131A05">
        <w:rPr>
          <w:rFonts w:ascii="Times New Roman" w:hAnsi="Times New Roman" w:cs="Times New Roman"/>
        </w:rPr>
        <w:t xml:space="preserve">dedicated </w:t>
      </w:r>
      <w:r w:rsidR="007F3DF3" w:rsidRPr="00131A05">
        <w:rPr>
          <w:rFonts w:ascii="Times New Roman" w:hAnsi="Times New Roman" w:cs="Times New Roman"/>
        </w:rPr>
        <w:t xml:space="preserve">clinic </w:t>
      </w:r>
      <w:r w:rsidRPr="00131A05">
        <w:rPr>
          <w:rFonts w:ascii="Times New Roman" w:hAnsi="Times New Roman" w:cs="Times New Roman"/>
        </w:rPr>
        <w:t xml:space="preserve">or else online. On this occasion, the modules included </w:t>
      </w:r>
      <w:r w:rsidR="00E74CD1" w:rsidRPr="00131A05">
        <w:rPr>
          <w:rFonts w:ascii="Times New Roman" w:hAnsi="Times New Roman" w:cs="Times New Roman"/>
        </w:rPr>
        <w:t xml:space="preserve">one on gambling. </w:t>
      </w:r>
      <w:r w:rsidR="000B1C82" w:rsidRPr="00131A05">
        <w:rPr>
          <w:rFonts w:ascii="Times New Roman" w:hAnsi="Times New Roman" w:cs="Times New Roman"/>
        </w:rPr>
        <w:t xml:space="preserve">Of those for whom we had records from </w:t>
      </w:r>
      <w:r w:rsidR="002443BD" w:rsidRPr="00131A05">
        <w:rPr>
          <w:rFonts w:ascii="Times New Roman" w:hAnsi="Times New Roman" w:cs="Times New Roman"/>
        </w:rPr>
        <w:t xml:space="preserve">both parents’ </w:t>
      </w:r>
      <w:r w:rsidR="000B1C82" w:rsidRPr="00131A05">
        <w:rPr>
          <w:rFonts w:ascii="Times New Roman" w:hAnsi="Times New Roman" w:cs="Times New Roman"/>
        </w:rPr>
        <w:t xml:space="preserve">gambling </w:t>
      </w:r>
      <w:r w:rsidR="003638DE" w:rsidRPr="00131A05">
        <w:rPr>
          <w:rFonts w:ascii="Times New Roman" w:hAnsi="Times New Roman" w:cs="Times New Roman"/>
        </w:rPr>
        <w:t xml:space="preserve">questionnaires </w:t>
      </w:r>
      <w:r w:rsidR="000B1C82" w:rsidRPr="00131A05">
        <w:rPr>
          <w:rFonts w:ascii="Times New Roman" w:hAnsi="Times New Roman" w:cs="Times New Roman"/>
        </w:rPr>
        <w:t>at child age 6, 1,058 to</w:t>
      </w:r>
      <w:r w:rsidR="00E74CD1" w:rsidRPr="00131A05">
        <w:rPr>
          <w:rFonts w:ascii="Times New Roman" w:hAnsi="Times New Roman" w:cs="Times New Roman"/>
        </w:rPr>
        <w:t>ok part in th</w:t>
      </w:r>
      <w:r w:rsidR="003638DE" w:rsidRPr="00131A05">
        <w:rPr>
          <w:rFonts w:ascii="Times New Roman" w:hAnsi="Times New Roman" w:cs="Times New Roman"/>
        </w:rPr>
        <w:t>is</w:t>
      </w:r>
      <w:r w:rsidR="00E74CD1" w:rsidRPr="00131A05">
        <w:rPr>
          <w:rFonts w:ascii="Times New Roman" w:hAnsi="Times New Roman" w:cs="Times New Roman"/>
        </w:rPr>
        <w:t xml:space="preserve"> </w:t>
      </w:r>
      <w:r w:rsidR="003638DE" w:rsidRPr="00131A05">
        <w:rPr>
          <w:rFonts w:ascii="Times New Roman" w:hAnsi="Times New Roman" w:cs="Times New Roman"/>
        </w:rPr>
        <w:t xml:space="preserve">new </w:t>
      </w:r>
      <w:r w:rsidR="00E74CD1" w:rsidRPr="00131A05">
        <w:rPr>
          <w:rFonts w:ascii="Times New Roman" w:hAnsi="Times New Roman" w:cs="Times New Roman"/>
        </w:rPr>
        <w:t>gambling module</w:t>
      </w:r>
      <w:r w:rsidR="000B1C82" w:rsidRPr="00131A05">
        <w:rPr>
          <w:rFonts w:ascii="Times New Roman" w:hAnsi="Times New Roman" w:cs="Times New Roman"/>
        </w:rPr>
        <w:t xml:space="preserve">. </w:t>
      </w:r>
      <w:r w:rsidR="005426E6" w:rsidRPr="00131A05">
        <w:rPr>
          <w:rFonts w:ascii="Times New Roman" w:hAnsi="Times New Roman" w:cs="Times New Roman"/>
        </w:rPr>
        <w:t xml:space="preserve">10.8% reported gambling weekly or more often. </w:t>
      </w:r>
      <w:r w:rsidR="000B1C82" w:rsidRPr="00131A05">
        <w:rPr>
          <w:rFonts w:ascii="Times New Roman" w:hAnsi="Times New Roman" w:cs="Times New Roman"/>
        </w:rPr>
        <w:t>T</w:t>
      </w:r>
      <w:r w:rsidR="00E74CD1" w:rsidRPr="00131A05">
        <w:rPr>
          <w:rFonts w:ascii="Times New Roman" w:hAnsi="Times New Roman" w:cs="Times New Roman"/>
        </w:rPr>
        <w:t xml:space="preserve">hose who had gambled </w:t>
      </w:r>
      <w:r w:rsidR="005426E6" w:rsidRPr="00131A05">
        <w:rPr>
          <w:rFonts w:ascii="Times New Roman" w:hAnsi="Times New Roman" w:cs="Times New Roman"/>
        </w:rPr>
        <w:t xml:space="preserve">at all </w:t>
      </w:r>
      <w:r w:rsidR="00E74CD1" w:rsidRPr="00131A05">
        <w:rPr>
          <w:rFonts w:ascii="Times New Roman" w:hAnsi="Times New Roman" w:cs="Times New Roman"/>
        </w:rPr>
        <w:t xml:space="preserve">in the previous 12 months </w:t>
      </w:r>
      <w:r w:rsidR="005426E6" w:rsidRPr="00131A05">
        <w:rPr>
          <w:rFonts w:ascii="Times New Roman" w:hAnsi="Times New Roman" w:cs="Times New Roman"/>
        </w:rPr>
        <w:t xml:space="preserve">took </w:t>
      </w:r>
      <w:r w:rsidR="00E74CD1" w:rsidRPr="00131A05">
        <w:rPr>
          <w:rFonts w:ascii="Times New Roman" w:hAnsi="Times New Roman" w:cs="Times New Roman"/>
        </w:rPr>
        <w:t xml:space="preserve">the PGSI </w:t>
      </w:r>
      <w:r w:rsidR="00864C69" w:rsidRPr="00131A05">
        <w:rPr>
          <w:rFonts w:ascii="Times New Roman" w:hAnsi="Times New Roman" w:cs="Times New Roman"/>
        </w:rPr>
        <w:t xml:space="preserve">problem gambling </w:t>
      </w:r>
      <w:r w:rsidR="00E74CD1" w:rsidRPr="00131A05">
        <w:rPr>
          <w:rFonts w:ascii="Times New Roman" w:hAnsi="Times New Roman" w:cs="Times New Roman"/>
        </w:rPr>
        <w:t>screen</w:t>
      </w:r>
      <w:r w:rsidR="00081611" w:rsidRPr="00131A05">
        <w:rPr>
          <w:rFonts w:ascii="Times New Roman" w:hAnsi="Times New Roman" w:cs="Times New Roman"/>
        </w:rPr>
        <w:t xml:space="preserve"> (derived from Ferris and Wynne, 2001)</w:t>
      </w:r>
      <w:r w:rsidR="00AF5EFE" w:rsidRPr="00131A05">
        <w:rPr>
          <w:rFonts w:ascii="Times New Roman" w:hAnsi="Times New Roman" w:cs="Times New Roman"/>
        </w:rPr>
        <w:t xml:space="preserve">. </w:t>
      </w:r>
      <w:r w:rsidR="00E74CD1" w:rsidRPr="00131A05">
        <w:rPr>
          <w:rFonts w:ascii="Times New Roman" w:hAnsi="Times New Roman" w:cs="Times New Roman"/>
        </w:rPr>
        <w:t>The remainder were presumed not to be problem or at-risk gamblers. Of the 1,</w:t>
      </w:r>
      <w:r w:rsidR="000B1C82" w:rsidRPr="00131A05">
        <w:rPr>
          <w:rFonts w:ascii="Times New Roman" w:hAnsi="Times New Roman" w:cs="Times New Roman"/>
        </w:rPr>
        <w:t>058</w:t>
      </w:r>
      <w:r w:rsidR="00E74CD1" w:rsidRPr="00131A05">
        <w:rPr>
          <w:rFonts w:ascii="Times New Roman" w:hAnsi="Times New Roman" w:cs="Times New Roman"/>
        </w:rPr>
        <w:t xml:space="preserve">, </w:t>
      </w:r>
      <w:r w:rsidR="00503697" w:rsidRPr="00131A05">
        <w:rPr>
          <w:rFonts w:ascii="Times New Roman" w:hAnsi="Times New Roman" w:cs="Times New Roman"/>
        </w:rPr>
        <w:t>4.4</w:t>
      </w:r>
      <w:r w:rsidR="007F3DF3" w:rsidRPr="00131A05">
        <w:rPr>
          <w:rFonts w:ascii="Times New Roman" w:hAnsi="Times New Roman" w:cs="Times New Roman"/>
        </w:rPr>
        <w:t xml:space="preserve">% scored 3 or more on the PGSI scale, which classifies them as either at ‘moderate risk’ of </w:t>
      </w:r>
      <w:r w:rsidR="00AF77E5" w:rsidRPr="00131A05">
        <w:rPr>
          <w:rFonts w:ascii="Times New Roman" w:hAnsi="Times New Roman" w:cs="Times New Roman"/>
        </w:rPr>
        <w:t>experiencing gambling problems or unambiguously as ‘problem gamblers’. We group these sets of respondents together because there are too few observations in the ‘problem gambler’ band (PGSI≥8) for meaningful analysis. The co</w:t>
      </w:r>
      <w:r w:rsidR="000B1C82" w:rsidRPr="00131A05">
        <w:rPr>
          <w:rFonts w:ascii="Times New Roman" w:hAnsi="Times New Roman" w:cs="Times New Roman"/>
        </w:rPr>
        <w:t>m</w:t>
      </w:r>
      <w:r w:rsidR="00AF77E5" w:rsidRPr="00131A05">
        <w:rPr>
          <w:rFonts w:ascii="Times New Roman" w:hAnsi="Times New Roman" w:cs="Times New Roman"/>
        </w:rPr>
        <w:t>bined group we call ‘moderate problem or problem gamblers’ (MPPG). Among</w:t>
      </w:r>
      <w:r w:rsidR="007F3DF3" w:rsidRPr="00131A05">
        <w:rPr>
          <w:rFonts w:ascii="Times New Roman" w:hAnsi="Times New Roman" w:cs="Times New Roman"/>
        </w:rPr>
        <w:t xml:space="preserve"> </w:t>
      </w:r>
      <w:r w:rsidR="00AF77E5" w:rsidRPr="00131A05">
        <w:rPr>
          <w:rFonts w:ascii="Times New Roman" w:hAnsi="Times New Roman" w:cs="Times New Roman"/>
        </w:rPr>
        <w:t xml:space="preserve">the males in our data set, the prevalence-rate of MPPG was </w:t>
      </w:r>
      <w:r w:rsidR="009D0733" w:rsidRPr="00131A05">
        <w:rPr>
          <w:rFonts w:ascii="Times New Roman" w:hAnsi="Times New Roman" w:cs="Times New Roman"/>
        </w:rPr>
        <w:t>7.1</w:t>
      </w:r>
      <w:r w:rsidR="00A5726F" w:rsidRPr="00131A05">
        <w:rPr>
          <w:rFonts w:ascii="Times New Roman" w:hAnsi="Times New Roman" w:cs="Times New Roman"/>
        </w:rPr>
        <w:t>%</w:t>
      </w:r>
      <w:r w:rsidR="009D0733" w:rsidRPr="00131A05">
        <w:rPr>
          <w:rFonts w:ascii="Times New Roman" w:hAnsi="Times New Roman" w:cs="Times New Roman"/>
        </w:rPr>
        <w:t xml:space="preserve"> </w:t>
      </w:r>
      <w:r w:rsidR="00AF77E5" w:rsidRPr="00131A05">
        <w:rPr>
          <w:rFonts w:ascii="Times New Roman" w:hAnsi="Times New Roman" w:cs="Times New Roman"/>
        </w:rPr>
        <w:t xml:space="preserve">and among females </w:t>
      </w:r>
      <w:r w:rsidR="00A5726F" w:rsidRPr="00131A05">
        <w:rPr>
          <w:rFonts w:ascii="Times New Roman" w:hAnsi="Times New Roman" w:cs="Times New Roman"/>
        </w:rPr>
        <w:t>1.2</w:t>
      </w:r>
      <w:r w:rsidR="00AF77E5" w:rsidRPr="00131A05">
        <w:rPr>
          <w:rFonts w:ascii="Times New Roman" w:hAnsi="Times New Roman" w:cs="Times New Roman"/>
        </w:rPr>
        <w:t>%.</w:t>
      </w:r>
    </w:p>
    <w:p w:rsidR="00A938E2" w:rsidRPr="00131A05" w:rsidRDefault="00A938E2" w:rsidP="00A258D4">
      <w:pPr>
        <w:spacing w:line="480" w:lineRule="auto"/>
        <w:rPr>
          <w:rFonts w:ascii="Times New Roman" w:hAnsi="Times New Roman" w:cs="Times New Roman"/>
        </w:rPr>
      </w:pPr>
    </w:p>
    <w:p w:rsidR="00282B62" w:rsidRPr="00131A05" w:rsidRDefault="00A938E2" w:rsidP="00A258D4">
      <w:pPr>
        <w:spacing w:line="480" w:lineRule="auto"/>
        <w:rPr>
          <w:rFonts w:ascii="Times New Roman" w:hAnsi="Times New Roman" w:cs="Times New Roman"/>
        </w:rPr>
      </w:pPr>
      <w:r w:rsidRPr="00131A05">
        <w:rPr>
          <w:rFonts w:ascii="Times New Roman" w:hAnsi="Times New Roman" w:cs="Times New Roman"/>
        </w:rPr>
        <w:t xml:space="preserve">The parents had been surveyed when the children were age 6. They were asked about their participation in </w:t>
      </w:r>
      <w:r w:rsidR="00282B62" w:rsidRPr="00131A05">
        <w:rPr>
          <w:rFonts w:ascii="Times New Roman" w:hAnsi="Times New Roman" w:cs="Times New Roman"/>
        </w:rPr>
        <w:t xml:space="preserve">and </w:t>
      </w:r>
      <w:r w:rsidRPr="00131A05">
        <w:rPr>
          <w:rFonts w:ascii="Times New Roman" w:hAnsi="Times New Roman" w:cs="Times New Roman"/>
        </w:rPr>
        <w:t>level of engagement</w:t>
      </w:r>
      <w:r w:rsidR="00282B62" w:rsidRPr="00131A05">
        <w:rPr>
          <w:rFonts w:ascii="Times New Roman" w:hAnsi="Times New Roman" w:cs="Times New Roman"/>
        </w:rPr>
        <w:t xml:space="preserve"> with gambling</w:t>
      </w:r>
      <w:r w:rsidRPr="00131A05">
        <w:rPr>
          <w:rFonts w:ascii="Times New Roman" w:hAnsi="Times New Roman" w:cs="Times New Roman"/>
        </w:rPr>
        <w:t>. They also completed a modified version of the South Oaks Gambling Screen</w:t>
      </w:r>
      <w:r w:rsidR="00127EED" w:rsidRPr="00131A05">
        <w:rPr>
          <w:rFonts w:ascii="Times New Roman" w:hAnsi="Times New Roman" w:cs="Times New Roman"/>
          <w:vertAlign w:val="superscript"/>
        </w:rPr>
        <w:t>8</w:t>
      </w:r>
      <w:r w:rsidRPr="00131A05">
        <w:rPr>
          <w:rFonts w:ascii="Times New Roman" w:hAnsi="Times New Roman" w:cs="Times New Roman"/>
        </w:rPr>
        <w:t xml:space="preserve"> (SOGS) for problem gambling</w:t>
      </w:r>
      <w:r w:rsidR="005B4C0B" w:rsidRPr="00131A05">
        <w:rPr>
          <w:rFonts w:ascii="Times New Roman" w:hAnsi="Times New Roman" w:cs="Times New Roman"/>
        </w:rPr>
        <w:t xml:space="preserve"> (Lesieur and Blume 1987)</w:t>
      </w:r>
      <w:r w:rsidRPr="00131A05">
        <w:rPr>
          <w:rFonts w:ascii="Times New Roman" w:hAnsi="Times New Roman" w:cs="Times New Roman"/>
        </w:rPr>
        <w:t>.</w:t>
      </w:r>
      <w:r w:rsidR="00637594" w:rsidRPr="00131A05">
        <w:rPr>
          <w:rStyle w:val="FootnoteReference"/>
          <w:rFonts w:ascii="Times New Roman" w:hAnsi="Times New Roman" w:cs="Times New Roman"/>
        </w:rPr>
        <w:footnoteReference w:id="1"/>
      </w:r>
      <w:r w:rsidR="00BE4B17" w:rsidRPr="00131A05">
        <w:rPr>
          <w:rFonts w:ascii="Times New Roman" w:hAnsi="Times New Roman" w:cs="Times New Roman"/>
        </w:rPr>
        <w:t xml:space="preserve"> To capture degree of engagement</w:t>
      </w:r>
      <w:r w:rsidRPr="00131A05">
        <w:rPr>
          <w:rFonts w:ascii="Times New Roman" w:hAnsi="Times New Roman" w:cs="Times New Roman"/>
        </w:rPr>
        <w:t xml:space="preserve">, we use number of regular gambling activities (where ‘regular’ means weekly-or-more participation and </w:t>
      </w:r>
      <w:r w:rsidR="00BE4B17" w:rsidRPr="00131A05">
        <w:rPr>
          <w:rFonts w:ascii="Times New Roman" w:hAnsi="Times New Roman" w:cs="Times New Roman"/>
        </w:rPr>
        <w:t xml:space="preserve">‘activities’ refer to eleven named types of gambling, such as </w:t>
      </w:r>
      <w:r w:rsidR="00282B62" w:rsidRPr="00131A05">
        <w:rPr>
          <w:rFonts w:ascii="Times New Roman" w:hAnsi="Times New Roman" w:cs="Times New Roman"/>
        </w:rPr>
        <w:t xml:space="preserve">cards, </w:t>
      </w:r>
      <w:r w:rsidR="00BE4B17" w:rsidRPr="00131A05">
        <w:rPr>
          <w:rFonts w:ascii="Times New Roman" w:hAnsi="Times New Roman" w:cs="Times New Roman"/>
        </w:rPr>
        <w:t>horse bets, casino and bingo). In our modelling we also include</w:t>
      </w:r>
      <w:r w:rsidR="000019D5" w:rsidRPr="00131A05">
        <w:rPr>
          <w:rFonts w:ascii="Times New Roman" w:hAnsi="Times New Roman" w:cs="Times New Roman"/>
        </w:rPr>
        <w:t xml:space="preserve"> each parent’s score on the reduced 12-item version of SOGS. 24.8% of fathers and 10.3% of mothers recorded a positive score, interpreted in </w:t>
      </w:r>
      <w:r w:rsidR="00545BEA" w:rsidRPr="00131A05">
        <w:rPr>
          <w:rFonts w:ascii="Times New Roman" w:hAnsi="Times New Roman" w:cs="Times New Roman"/>
        </w:rPr>
        <w:t xml:space="preserve">this version of </w:t>
      </w:r>
      <w:r w:rsidR="000019D5" w:rsidRPr="00131A05">
        <w:rPr>
          <w:rFonts w:ascii="Times New Roman" w:hAnsi="Times New Roman" w:cs="Times New Roman"/>
        </w:rPr>
        <w:t>SOGS as signifying at least some level of problem with gambling.</w:t>
      </w:r>
      <w:r w:rsidR="001C0336" w:rsidRPr="00131A05">
        <w:rPr>
          <w:rFonts w:ascii="Times New Roman" w:hAnsi="Times New Roman" w:cs="Times New Roman"/>
        </w:rPr>
        <w:t xml:space="preserve"> It may be noted that this is a much higher prevalence of problems than was </w:t>
      </w:r>
      <w:r w:rsidR="00632A5C" w:rsidRPr="00131A05">
        <w:rPr>
          <w:rFonts w:ascii="Times New Roman" w:hAnsi="Times New Roman" w:cs="Times New Roman"/>
        </w:rPr>
        <w:t xml:space="preserve">reported above for </w:t>
      </w:r>
      <w:r w:rsidR="001C0336" w:rsidRPr="00131A05">
        <w:rPr>
          <w:rFonts w:ascii="Times New Roman" w:hAnsi="Times New Roman" w:cs="Times New Roman"/>
        </w:rPr>
        <w:t xml:space="preserve">the child cohort at age 20. This was to be expected because different screens were applied. The young people were assessed by the PGSI, which addresses problems experienced by the respondent in the preceding 12 months whereas parents completed a SOGS questionnaire which sought to identify lifetime prevalence, with </w:t>
      </w:r>
      <w:r w:rsidR="001C0336" w:rsidRPr="00131A05">
        <w:rPr>
          <w:rFonts w:ascii="Times New Roman" w:hAnsi="Times New Roman" w:cs="Times New Roman"/>
        </w:rPr>
        <w:lastRenderedPageBreak/>
        <w:t>questions in terms of ‘have you ever..?’. Further</w:t>
      </w:r>
      <w:r w:rsidR="00632A5C" w:rsidRPr="00131A05">
        <w:rPr>
          <w:rFonts w:ascii="Times New Roman" w:hAnsi="Times New Roman" w:cs="Times New Roman"/>
        </w:rPr>
        <w:t xml:space="preserve">, the figures we quote refer to proportions of fathers and mothers who had a positive score on this version of SOGS, which is a low threshold. The proportions are consistent with responses for the same age-group in the nearly contemporaneous British Gambling Prevalence Survey (1999). </w:t>
      </w:r>
      <w:r w:rsidR="001C0336" w:rsidRPr="00131A05">
        <w:rPr>
          <w:rFonts w:ascii="Times New Roman" w:hAnsi="Times New Roman" w:cs="Times New Roman"/>
        </w:rPr>
        <w:t xml:space="preserve"> </w:t>
      </w:r>
    </w:p>
    <w:p w:rsidR="00632A5C" w:rsidRPr="00131A05" w:rsidRDefault="00632A5C" w:rsidP="00A258D4">
      <w:pPr>
        <w:spacing w:line="480" w:lineRule="auto"/>
        <w:rPr>
          <w:rFonts w:ascii="Times New Roman" w:hAnsi="Times New Roman" w:cs="Times New Roman"/>
          <w:b/>
        </w:rPr>
      </w:pPr>
    </w:p>
    <w:p w:rsidR="00282B62" w:rsidRPr="00131A05" w:rsidRDefault="00282B62" w:rsidP="00A258D4">
      <w:pPr>
        <w:spacing w:line="480" w:lineRule="auto"/>
        <w:rPr>
          <w:rFonts w:ascii="Times New Roman" w:hAnsi="Times New Roman" w:cs="Times New Roman"/>
          <w:b/>
        </w:rPr>
      </w:pPr>
      <w:r w:rsidRPr="00131A05">
        <w:rPr>
          <w:rFonts w:ascii="Times New Roman" w:hAnsi="Times New Roman" w:cs="Times New Roman"/>
          <w:b/>
        </w:rPr>
        <w:t>Empirical strategy</w:t>
      </w:r>
    </w:p>
    <w:p w:rsidR="003638DE" w:rsidRPr="00131A05" w:rsidRDefault="00282B62" w:rsidP="00A258D4">
      <w:pPr>
        <w:spacing w:line="480" w:lineRule="auto"/>
        <w:rPr>
          <w:rFonts w:ascii="Times New Roman" w:hAnsi="Times New Roman" w:cs="Times New Roman"/>
        </w:rPr>
      </w:pPr>
      <w:r w:rsidRPr="00131A05">
        <w:rPr>
          <w:rFonts w:ascii="Times New Roman" w:hAnsi="Times New Roman" w:cs="Times New Roman"/>
        </w:rPr>
        <w:t xml:space="preserve">Throughout </w:t>
      </w:r>
      <w:r w:rsidR="00A626F2" w:rsidRPr="00131A05">
        <w:rPr>
          <w:rFonts w:ascii="Times New Roman" w:hAnsi="Times New Roman" w:cs="Times New Roman"/>
        </w:rPr>
        <w:t xml:space="preserve">we </w:t>
      </w:r>
      <w:r w:rsidR="00803A78" w:rsidRPr="00131A05">
        <w:rPr>
          <w:rFonts w:ascii="Times New Roman" w:hAnsi="Times New Roman" w:cs="Times New Roman"/>
        </w:rPr>
        <w:t xml:space="preserve">estimated separate </w:t>
      </w:r>
      <w:r w:rsidR="00A626F2" w:rsidRPr="00131A05">
        <w:rPr>
          <w:rFonts w:ascii="Times New Roman" w:hAnsi="Times New Roman" w:cs="Times New Roman"/>
        </w:rPr>
        <w:t xml:space="preserve">logistic regression </w:t>
      </w:r>
      <w:r w:rsidR="00803A78" w:rsidRPr="00131A05">
        <w:rPr>
          <w:rFonts w:ascii="Times New Roman" w:hAnsi="Times New Roman" w:cs="Times New Roman"/>
        </w:rPr>
        <w:t>models for the 20-year-old males and females</w:t>
      </w:r>
      <w:r w:rsidR="00ED544E" w:rsidRPr="00131A05">
        <w:rPr>
          <w:rFonts w:ascii="Times New Roman" w:hAnsi="Times New Roman" w:cs="Times New Roman"/>
        </w:rPr>
        <w:t>,</w:t>
      </w:r>
      <w:r w:rsidR="00803A78" w:rsidRPr="00131A05">
        <w:rPr>
          <w:rFonts w:ascii="Times New Roman" w:hAnsi="Times New Roman" w:cs="Times New Roman"/>
        </w:rPr>
        <w:t xml:space="preserve"> </w:t>
      </w:r>
      <w:r w:rsidR="00A626F2" w:rsidRPr="00131A05">
        <w:rPr>
          <w:rFonts w:ascii="Times New Roman" w:hAnsi="Times New Roman" w:cs="Times New Roman"/>
        </w:rPr>
        <w:t xml:space="preserve">with MPPG status the variable to be explained. </w:t>
      </w:r>
      <w:r w:rsidR="00803A78" w:rsidRPr="00131A05">
        <w:rPr>
          <w:rFonts w:ascii="Times New Roman" w:hAnsi="Times New Roman" w:cs="Times New Roman"/>
        </w:rPr>
        <w:t xml:space="preserve">Separating by gender </w:t>
      </w:r>
      <w:r w:rsidR="00A626F2" w:rsidRPr="00131A05">
        <w:rPr>
          <w:rFonts w:ascii="Times New Roman" w:hAnsi="Times New Roman" w:cs="Times New Roman"/>
        </w:rPr>
        <w:t xml:space="preserve">has the disadvantage that few cases of female MPPG (7) are observed. However, we were reluctant to merge male and female observations and represent the influence of gender only with a dummy variable, as is typical in the literature. Given the </w:t>
      </w:r>
      <w:r w:rsidR="00803A78" w:rsidRPr="00131A05">
        <w:rPr>
          <w:rFonts w:ascii="Times New Roman" w:hAnsi="Times New Roman" w:cs="Times New Roman"/>
        </w:rPr>
        <w:t>(</w:t>
      </w:r>
      <w:r w:rsidR="00A626F2" w:rsidRPr="00131A05">
        <w:rPr>
          <w:rFonts w:ascii="Times New Roman" w:hAnsi="Times New Roman" w:cs="Times New Roman"/>
        </w:rPr>
        <w:t>invariably</w:t>
      </w:r>
      <w:r w:rsidR="00803A78" w:rsidRPr="00131A05">
        <w:rPr>
          <w:rFonts w:ascii="Times New Roman" w:hAnsi="Times New Roman" w:cs="Times New Roman"/>
        </w:rPr>
        <w:t>)</w:t>
      </w:r>
      <w:r w:rsidR="00A626F2" w:rsidRPr="00131A05">
        <w:rPr>
          <w:rFonts w:ascii="Times New Roman" w:hAnsi="Times New Roman" w:cs="Times New Roman"/>
        </w:rPr>
        <w:t xml:space="preserve"> very different problem gambling prevalence-rates between men and women, it </w:t>
      </w:r>
      <w:r w:rsidR="00803A78" w:rsidRPr="00131A05">
        <w:rPr>
          <w:rFonts w:ascii="Times New Roman" w:hAnsi="Times New Roman" w:cs="Times New Roman"/>
        </w:rPr>
        <w:t xml:space="preserve">seems </w:t>
      </w:r>
      <w:r w:rsidR="00A626F2" w:rsidRPr="00131A05">
        <w:rPr>
          <w:rFonts w:ascii="Times New Roman" w:hAnsi="Times New Roman" w:cs="Times New Roman"/>
        </w:rPr>
        <w:t xml:space="preserve">implausible that the pattern of etiology </w:t>
      </w:r>
      <w:r w:rsidR="00803A78" w:rsidRPr="00131A05">
        <w:rPr>
          <w:rFonts w:ascii="Times New Roman" w:hAnsi="Times New Roman" w:cs="Times New Roman"/>
        </w:rPr>
        <w:t xml:space="preserve">of problem gambling </w:t>
      </w:r>
      <w:r w:rsidR="00A626F2" w:rsidRPr="00131A05">
        <w:rPr>
          <w:rFonts w:ascii="Times New Roman" w:hAnsi="Times New Roman" w:cs="Times New Roman"/>
        </w:rPr>
        <w:t xml:space="preserve">is the same and therefore </w:t>
      </w:r>
      <w:r w:rsidR="00803A78" w:rsidRPr="00131A05">
        <w:rPr>
          <w:rFonts w:ascii="Times New Roman" w:hAnsi="Times New Roman" w:cs="Times New Roman"/>
        </w:rPr>
        <w:t xml:space="preserve">it is </w:t>
      </w:r>
      <w:r w:rsidR="00A626F2" w:rsidRPr="00131A05">
        <w:rPr>
          <w:rFonts w:ascii="Times New Roman" w:hAnsi="Times New Roman" w:cs="Times New Roman"/>
        </w:rPr>
        <w:t xml:space="preserve">risky to force slope coefficient estimates </w:t>
      </w:r>
      <w:r w:rsidR="00F85E51" w:rsidRPr="00131A05">
        <w:rPr>
          <w:rFonts w:ascii="Times New Roman" w:hAnsi="Times New Roman" w:cs="Times New Roman"/>
        </w:rPr>
        <w:t xml:space="preserve">in the regression models </w:t>
      </w:r>
      <w:r w:rsidR="00A626F2" w:rsidRPr="00131A05">
        <w:rPr>
          <w:rFonts w:ascii="Times New Roman" w:hAnsi="Times New Roman" w:cs="Times New Roman"/>
        </w:rPr>
        <w:t>to be</w:t>
      </w:r>
      <w:r w:rsidR="00ED544E" w:rsidRPr="00131A05">
        <w:rPr>
          <w:rFonts w:ascii="Times New Roman" w:hAnsi="Times New Roman" w:cs="Times New Roman"/>
        </w:rPr>
        <w:t xml:space="preserve"> equal</w:t>
      </w:r>
      <w:r w:rsidR="00A626F2" w:rsidRPr="00131A05">
        <w:rPr>
          <w:rFonts w:ascii="Times New Roman" w:hAnsi="Times New Roman" w:cs="Times New Roman"/>
        </w:rPr>
        <w:t>.</w:t>
      </w:r>
    </w:p>
    <w:p w:rsidR="003638DE" w:rsidRPr="00131A05" w:rsidRDefault="003638DE" w:rsidP="00A258D4">
      <w:pPr>
        <w:spacing w:line="480" w:lineRule="auto"/>
        <w:rPr>
          <w:rFonts w:ascii="Times New Roman" w:hAnsi="Times New Roman" w:cs="Times New Roman"/>
        </w:rPr>
      </w:pPr>
    </w:p>
    <w:p w:rsidR="003638DE" w:rsidRPr="00131A05" w:rsidRDefault="003638DE" w:rsidP="00A258D4">
      <w:pPr>
        <w:spacing w:line="480" w:lineRule="auto"/>
        <w:rPr>
          <w:rFonts w:ascii="Times New Roman" w:hAnsi="Times New Roman" w:cs="Times New Roman"/>
        </w:rPr>
      </w:pPr>
      <w:r w:rsidRPr="00131A05">
        <w:rPr>
          <w:rFonts w:ascii="Times New Roman" w:hAnsi="Times New Roman" w:cs="Times New Roman"/>
        </w:rPr>
        <w:t xml:space="preserve">Our </w:t>
      </w:r>
      <w:r w:rsidR="00142A3A" w:rsidRPr="00131A05">
        <w:rPr>
          <w:rFonts w:ascii="Times New Roman" w:hAnsi="Times New Roman" w:cs="Times New Roman"/>
        </w:rPr>
        <w:t>baseline</w:t>
      </w:r>
      <w:r w:rsidRPr="00131A05">
        <w:rPr>
          <w:rFonts w:ascii="Times New Roman" w:hAnsi="Times New Roman" w:cs="Times New Roman"/>
        </w:rPr>
        <w:t xml:space="preserve"> models simply regressed MPPG on number of gambling activities of each parent and each parent’s problem gambling (SOGS) score. This identified simple correlations in the data.</w:t>
      </w:r>
    </w:p>
    <w:p w:rsidR="003638DE" w:rsidRPr="00131A05" w:rsidRDefault="003638DE" w:rsidP="00A258D4">
      <w:pPr>
        <w:spacing w:line="480" w:lineRule="auto"/>
        <w:rPr>
          <w:rFonts w:ascii="Times New Roman" w:hAnsi="Times New Roman" w:cs="Times New Roman"/>
        </w:rPr>
      </w:pPr>
    </w:p>
    <w:p w:rsidR="004F13E3" w:rsidRPr="00131A05" w:rsidRDefault="003638DE" w:rsidP="00A258D4">
      <w:pPr>
        <w:spacing w:line="480" w:lineRule="auto"/>
        <w:rPr>
          <w:rFonts w:ascii="Times New Roman" w:hAnsi="Times New Roman" w:cs="Times New Roman"/>
        </w:rPr>
      </w:pPr>
      <w:r w:rsidRPr="00131A05">
        <w:rPr>
          <w:rFonts w:ascii="Times New Roman" w:hAnsi="Times New Roman" w:cs="Times New Roman"/>
        </w:rPr>
        <w:t>Second</w:t>
      </w:r>
      <w:r w:rsidR="004F13E3" w:rsidRPr="00131A05">
        <w:rPr>
          <w:rFonts w:ascii="Times New Roman" w:hAnsi="Times New Roman" w:cs="Times New Roman"/>
        </w:rPr>
        <w:t>,</w:t>
      </w:r>
      <w:r w:rsidRPr="00131A05">
        <w:rPr>
          <w:rFonts w:ascii="Times New Roman" w:hAnsi="Times New Roman" w:cs="Times New Roman"/>
        </w:rPr>
        <w:t xml:space="preserve"> we introduced additional predictor variables describing the maximum level of education achieved by each parent. </w:t>
      </w:r>
      <w:r w:rsidR="004F13E3" w:rsidRPr="00131A05">
        <w:rPr>
          <w:rFonts w:ascii="Times New Roman" w:hAnsi="Times New Roman" w:cs="Times New Roman"/>
        </w:rPr>
        <w:t xml:space="preserve">Based on information </w:t>
      </w:r>
      <w:r w:rsidR="00B025EB" w:rsidRPr="00131A05">
        <w:rPr>
          <w:rFonts w:ascii="Times New Roman" w:hAnsi="Times New Roman" w:cs="Times New Roman"/>
        </w:rPr>
        <w:t xml:space="preserve">collected </w:t>
      </w:r>
      <w:r w:rsidR="004F13E3" w:rsidRPr="00131A05">
        <w:rPr>
          <w:rFonts w:ascii="Times New Roman" w:hAnsi="Times New Roman" w:cs="Times New Roman"/>
        </w:rPr>
        <w:t xml:space="preserve">in mothers’ questionnaires at </w:t>
      </w:r>
      <w:r w:rsidR="00B025EB" w:rsidRPr="00131A05">
        <w:rPr>
          <w:rFonts w:ascii="Times New Roman" w:hAnsi="Times New Roman" w:cs="Times New Roman"/>
        </w:rPr>
        <w:t xml:space="preserve">child age </w:t>
      </w:r>
      <w:r w:rsidR="004F13E3" w:rsidRPr="00131A05">
        <w:rPr>
          <w:rFonts w:ascii="Times New Roman" w:hAnsi="Times New Roman" w:cs="Times New Roman"/>
        </w:rPr>
        <w:t>12, binary variables indicated for mothers and fathers separately whether they had ‘A-levels or higher’, ‘GCSEs or equivalent’ (the reference category) or ‘no qualifications’. In the British system, A-levels are national academic examinations taken at about age 18; GCSE examinations are taken at about age 16. Level of qualifications may proxy socio-economic status and we wished to rule out that correlation of own problem gambling with parental problem gambling might just reflect socio-</w:t>
      </w:r>
      <w:r w:rsidR="004F13E3" w:rsidRPr="00131A05">
        <w:rPr>
          <w:rFonts w:ascii="Times New Roman" w:hAnsi="Times New Roman" w:cs="Times New Roman"/>
        </w:rPr>
        <w:lastRenderedPageBreak/>
        <w:t xml:space="preserve">economic background rather than </w:t>
      </w:r>
      <w:r w:rsidR="00AF05E7" w:rsidRPr="00131A05">
        <w:rPr>
          <w:rFonts w:ascii="Times New Roman" w:hAnsi="Times New Roman" w:cs="Times New Roman"/>
        </w:rPr>
        <w:t xml:space="preserve">a </w:t>
      </w:r>
      <w:r w:rsidR="004F13E3" w:rsidRPr="00131A05">
        <w:rPr>
          <w:rFonts w:ascii="Times New Roman" w:hAnsi="Times New Roman" w:cs="Times New Roman"/>
        </w:rPr>
        <w:t xml:space="preserve">direct influence of </w:t>
      </w:r>
      <w:r w:rsidR="00ED544E" w:rsidRPr="00131A05">
        <w:rPr>
          <w:rFonts w:ascii="Times New Roman" w:hAnsi="Times New Roman" w:cs="Times New Roman"/>
        </w:rPr>
        <w:t xml:space="preserve">parental gambling activity and </w:t>
      </w:r>
      <w:r w:rsidR="004F13E3" w:rsidRPr="00131A05">
        <w:rPr>
          <w:rFonts w:ascii="Times New Roman" w:hAnsi="Times New Roman" w:cs="Times New Roman"/>
        </w:rPr>
        <w:t>parental problem gambling.</w:t>
      </w:r>
    </w:p>
    <w:p w:rsidR="004F13E3" w:rsidRPr="00131A05" w:rsidRDefault="004F13E3" w:rsidP="00A258D4">
      <w:pPr>
        <w:spacing w:line="480" w:lineRule="auto"/>
        <w:rPr>
          <w:rFonts w:ascii="Times New Roman" w:hAnsi="Times New Roman" w:cs="Times New Roman"/>
        </w:rPr>
      </w:pPr>
    </w:p>
    <w:p w:rsidR="00081611" w:rsidRPr="00131A05" w:rsidRDefault="004F13E3" w:rsidP="007B40D7">
      <w:pPr>
        <w:spacing w:line="480" w:lineRule="auto"/>
        <w:rPr>
          <w:rFonts w:ascii="Times New Roman" w:hAnsi="Times New Roman" w:cs="Times New Roman"/>
        </w:rPr>
      </w:pPr>
      <w:r w:rsidRPr="00131A05">
        <w:rPr>
          <w:rFonts w:ascii="Times New Roman" w:hAnsi="Times New Roman" w:cs="Times New Roman"/>
        </w:rPr>
        <w:t xml:space="preserve">Finally, we took our basic model and added variables, collected at various points in childhood, which reflected either the lifestyle of the family (in terms of </w:t>
      </w:r>
      <w:r w:rsidR="0035662C" w:rsidRPr="00131A05">
        <w:rPr>
          <w:rFonts w:ascii="Times New Roman" w:hAnsi="Times New Roman" w:cs="Times New Roman"/>
        </w:rPr>
        <w:t>risky and stigmatised behaviours such</w:t>
      </w:r>
      <w:r w:rsidR="00ED544E" w:rsidRPr="00131A05">
        <w:rPr>
          <w:rFonts w:ascii="Times New Roman" w:hAnsi="Times New Roman" w:cs="Times New Roman"/>
        </w:rPr>
        <w:t xml:space="preserve"> as</w:t>
      </w:r>
      <w:r w:rsidR="0035662C" w:rsidRPr="00131A05">
        <w:rPr>
          <w:rFonts w:ascii="Times New Roman" w:hAnsi="Times New Roman" w:cs="Times New Roman"/>
        </w:rPr>
        <w:t xml:space="preserve"> smoking and frequent eating of fried food) or the degree of harmony in the family (</w:t>
      </w:r>
      <w:r w:rsidR="00480E54" w:rsidRPr="00131A05">
        <w:rPr>
          <w:rFonts w:ascii="Times New Roman" w:hAnsi="Times New Roman" w:cs="Times New Roman"/>
        </w:rPr>
        <w:t xml:space="preserve">proxied by </w:t>
      </w:r>
      <w:r w:rsidR="0035662C" w:rsidRPr="00131A05">
        <w:rPr>
          <w:rFonts w:ascii="Times New Roman" w:hAnsi="Times New Roman" w:cs="Times New Roman"/>
        </w:rPr>
        <w:t>self-reported frequency of parents arguing</w:t>
      </w:r>
      <w:r w:rsidR="0016119D" w:rsidRPr="00131A05">
        <w:rPr>
          <w:rFonts w:ascii="Times New Roman" w:hAnsi="Times New Roman" w:cs="Times New Roman"/>
        </w:rPr>
        <w:t>)</w:t>
      </w:r>
      <w:r w:rsidR="0035662C" w:rsidRPr="00131A05">
        <w:rPr>
          <w:rFonts w:ascii="Times New Roman" w:hAnsi="Times New Roman" w:cs="Times New Roman"/>
        </w:rPr>
        <w:t>. Definitions of all these var</w:t>
      </w:r>
      <w:r w:rsidR="00632A5C" w:rsidRPr="00131A05">
        <w:rPr>
          <w:rFonts w:ascii="Times New Roman" w:hAnsi="Times New Roman" w:cs="Times New Roman"/>
        </w:rPr>
        <w:t>iables are presented in Table 1, together with the respective mean value. In the case of each binary variable, the mean is the proportion of observations falling within that category.</w:t>
      </w:r>
    </w:p>
    <w:p w:rsidR="00632A5C" w:rsidRPr="00131A05" w:rsidRDefault="00632A5C" w:rsidP="007B40D7">
      <w:pPr>
        <w:spacing w:line="480" w:lineRule="auto"/>
        <w:rPr>
          <w:rFonts w:ascii="Times New Roman" w:hAnsi="Times New Roman" w:cs="Times New Roman"/>
        </w:rPr>
      </w:pPr>
    </w:p>
    <w:p w:rsidR="00081611" w:rsidRPr="00131A05" w:rsidRDefault="00FE4512" w:rsidP="007B40D7">
      <w:pPr>
        <w:spacing w:line="480" w:lineRule="auto"/>
        <w:rPr>
          <w:rFonts w:ascii="Times New Roman" w:hAnsi="Times New Roman" w:cs="Times New Roman"/>
        </w:rPr>
      </w:pPr>
      <w:r w:rsidRPr="00131A05">
        <w:rPr>
          <w:rFonts w:ascii="Times New Roman" w:hAnsi="Times New Roman" w:cs="Times New Roman"/>
        </w:rPr>
        <w:t xml:space="preserve">It is plausible that negative health behaviours </w:t>
      </w:r>
      <w:r w:rsidR="00545BEA" w:rsidRPr="00131A05">
        <w:rPr>
          <w:rFonts w:ascii="Times New Roman" w:hAnsi="Times New Roman" w:cs="Times New Roman"/>
        </w:rPr>
        <w:t>and outcomes</w:t>
      </w:r>
      <w:r w:rsidR="00F866C2" w:rsidRPr="00131A05">
        <w:rPr>
          <w:rFonts w:ascii="Times New Roman" w:hAnsi="Times New Roman" w:cs="Times New Roman"/>
        </w:rPr>
        <w:t xml:space="preserve"> </w:t>
      </w:r>
      <w:r w:rsidRPr="00131A05">
        <w:rPr>
          <w:rFonts w:ascii="Times New Roman" w:hAnsi="Times New Roman" w:cs="Times New Roman"/>
        </w:rPr>
        <w:t xml:space="preserve">in adulthood may be linked to how much importance was attached to making healthy choices in the households where the subjects grew up. </w:t>
      </w:r>
      <w:r w:rsidR="00C4794F" w:rsidRPr="00131A05">
        <w:rPr>
          <w:rFonts w:ascii="Times New Roman" w:hAnsi="Times New Roman" w:cs="Times New Roman"/>
        </w:rPr>
        <w:t>But i</w:t>
      </w:r>
      <w:r w:rsidRPr="00131A05">
        <w:rPr>
          <w:rFonts w:ascii="Times New Roman" w:hAnsi="Times New Roman" w:cs="Times New Roman"/>
        </w:rPr>
        <w:t xml:space="preserve">f </w:t>
      </w:r>
      <w:r w:rsidR="00C4794F" w:rsidRPr="00131A05">
        <w:rPr>
          <w:rFonts w:ascii="Times New Roman" w:hAnsi="Times New Roman" w:cs="Times New Roman"/>
        </w:rPr>
        <w:t xml:space="preserve">any </w:t>
      </w:r>
      <w:r w:rsidR="00FA0491" w:rsidRPr="00131A05">
        <w:rPr>
          <w:rFonts w:ascii="Times New Roman" w:hAnsi="Times New Roman" w:cs="Times New Roman"/>
        </w:rPr>
        <w:t xml:space="preserve">one </w:t>
      </w:r>
      <w:r w:rsidR="00C4794F" w:rsidRPr="00131A05">
        <w:rPr>
          <w:rFonts w:ascii="Times New Roman" w:hAnsi="Times New Roman" w:cs="Times New Roman"/>
        </w:rPr>
        <w:t xml:space="preserve">individual </w:t>
      </w:r>
      <w:r w:rsidR="00B71FA3" w:rsidRPr="00131A05">
        <w:rPr>
          <w:rFonts w:ascii="Times New Roman" w:hAnsi="Times New Roman" w:cs="Times New Roman"/>
        </w:rPr>
        <w:t xml:space="preserve">offspring </w:t>
      </w:r>
      <w:r w:rsidR="00545BEA" w:rsidRPr="00131A05">
        <w:rPr>
          <w:rFonts w:ascii="Times New Roman" w:hAnsi="Times New Roman" w:cs="Times New Roman"/>
        </w:rPr>
        <w:t>health</w:t>
      </w:r>
      <w:r w:rsidR="00C4794F" w:rsidRPr="00131A05">
        <w:rPr>
          <w:rFonts w:ascii="Times New Roman" w:hAnsi="Times New Roman" w:cs="Times New Roman"/>
        </w:rPr>
        <w:t xml:space="preserve"> outcome is found to be correlated with </w:t>
      </w:r>
      <w:r w:rsidR="00545BEA" w:rsidRPr="00131A05">
        <w:rPr>
          <w:rFonts w:ascii="Times New Roman" w:hAnsi="Times New Roman" w:cs="Times New Roman"/>
        </w:rPr>
        <w:t>a particular</w:t>
      </w:r>
      <w:r w:rsidR="00C4794F" w:rsidRPr="00131A05">
        <w:rPr>
          <w:rFonts w:ascii="Times New Roman" w:hAnsi="Times New Roman" w:cs="Times New Roman"/>
        </w:rPr>
        <w:t xml:space="preserve"> behaviour in the childhood home, the result may be spurious</w:t>
      </w:r>
      <w:r w:rsidR="000340BB" w:rsidRPr="00131A05">
        <w:rPr>
          <w:rFonts w:ascii="Times New Roman" w:hAnsi="Times New Roman" w:cs="Times New Roman"/>
        </w:rPr>
        <w:t>.</w:t>
      </w:r>
      <w:r w:rsidR="00C4794F" w:rsidRPr="00131A05">
        <w:rPr>
          <w:rFonts w:ascii="Times New Roman" w:hAnsi="Times New Roman" w:cs="Times New Roman"/>
        </w:rPr>
        <w:t xml:space="preserve"> </w:t>
      </w:r>
      <w:r w:rsidR="000340BB" w:rsidRPr="00131A05">
        <w:rPr>
          <w:rFonts w:ascii="Times New Roman" w:hAnsi="Times New Roman" w:cs="Times New Roman"/>
        </w:rPr>
        <w:t>H</w:t>
      </w:r>
      <w:r w:rsidR="00C4794F" w:rsidRPr="00131A05">
        <w:rPr>
          <w:rFonts w:ascii="Times New Roman" w:hAnsi="Times New Roman" w:cs="Times New Roman"/>
        </w:rPr>
        <w:t xml:space="preserve">ousehold health choices are correlated with each </w:t>
      </w:r>
    </w:p>
    <w:p w:rsidR="00081611" w:rsidRPr="00131A05" w:rsidRDefault="00081611" w:rsidP="00081611">
      <w:pPr>
        <w:keepNext/>
        <w:spacing w:after="200" w:line="240" w:lineRule="auto"/>
        <w:jc w:val="center"/>
        <w:rPr>
          <w:rFonts w:ascii="Times New Roman" w:eastAsia="Calibri" w:hAnsi="Times New Roman" w:cs="Times New Roman"/>
          <w:b/>
          <w:bCs/>
        </w:rPr>
      </w:pPr>
      <w:r w:rsidRPr="00131A05">
        <w:rPr>
          <w:rFonts w:ascii="Times New Roman" w:eastAsia="Calibri" w:hAnsi="Times New Roman" w:cs="Times New Roman"/>
          <w:b/>
          <w:bCs/>
        </w:rPr>
        <w:t xml:space="preserve">Table </w:t>
      </w:r>
      <w:r w:rsidRPr="00131A05">
        <w:rPr>
          <w:rFonts w:ascii="Times New Roman" w:eastAsia="Calibri" w:hAnsi="Times New Roman" w:cs="Times New Roman"/>
          <w:b/>
          <w:bCs/>
        </w:rPr>
        <w:fldChar w:fldCharType="begin"/>
      </w:r>
      <w:r w:rsidRPr="00131A05">
        <w:rPr>
          <w:rFonts w:ascii="Times New Roman" w:eastAsia="Calibri" w:hAnsi="Times New Roman" w:cs="Times New Roman"/>
          <w:b/>
          <w:bCs/>
        </w:rPr>
        <w:instrText xml:space="preserve"> SEQ Table \* ARABIC </w:instrText>
      </w:r>
      <w:r w:rsidRPr="00131A05">
        <w:rPr>
          <w:rFonts w:ascii="Times New Roman" w:eastAsia="Calibri" w:hAnsi="Times New Roman" w:cs="Times New Roman"/>
          <w:b/>
          <w:bCs/>
        </w:rPr>
        <w:fldChar w:fldCharType="separate"/>
      </w:r>
      <w:r w:rsidRPr="00131A05">
        <w:rPr>
          <w:rFonts w:ascii="Times New Roman" w:eastAsia="Calibri" w:hAnsi="Times New Roman" w:cs="Times New Roman"/>
          <w:b/>
          <w:bCs/>
          <w:noProof/>
        </w:rPr>
        <w:t>1</w:t>
      </w:r>
      <w:r w:rsidRPr="00131A05">
        <w:rPr>
          <w:rFonts w:ascii="Times New Roman" w:eastAsia="Calibri" w:hAnsi="Times New Roman" w:cs="Times New Roman"/>
          <w:b/>
          <w:bCs/>
        </w:rPr>
        <w:fldChar w:fldCharType="end"/>
      </w:r>
      <w:r w:rsidRPr="00131A05">
        <w:rPr>
          <w:rFonts w:ascii="Times New Roman" w:eastAsia="Calibri" w:hAnsi="Times New Roman" w:cs="Times New Roman"/>
          <w:b/>
          <w:bCs/>
        </w:rPr>
        <w:t>: Variable Definitions and Means.</w:t>
      </w:r>
    </w:p>
    <w:tbl>
      <w:tblPr>
        <w:tblStyle w:val="TableGrid1"/>
        <w:tblW w:w="9327" w:type="dxa"/>
        <w:tblBorders>
          <w:left w:val="none" w:sz="0" w:space="0" w:color="auto"/>
          <w:right w:val="none" w:sz="0" w:space="0" w:color="auto"/>
          <w:insideV w:val="none" w:sz="0" w:space="0" w:color="auto"/>
        </w:tblBorders>
        <w:tblLook w:val="04A0" w:firstRow="1" w:lastRow="0" w:firstColumn="1" w:lastColumn="0" w:noHBand="0" w:noVBand="1"/>
      </w:tblPr>
      <w:tblGrid>
        <w:gridCol w:w="1980"/>
        <w:gridCol w:w="6520"/>
        <w:gridCol w:w="827"/>
      </w:tblGrid>
      <w:tr w:rsidR="00131A05" w:rsidRPr="00131A05" w:rsidTr="00253D5B">
        <w:tc>
          <w:tcPr>
            <w:tcW w:w="1980" w:type="dxa"/>
            <w:tcBorders>
              <w:bottom w:val="single" w:sz="4" w:space="0" w:color="auto"/>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Variable</w:t>
            </w:r>
          </w:p>
        </w:tc>
        <w:tc>
          <w:tcPr>
            <w:tcW w:w="6520" w:type="dxa"/>
            <w:tcBorders>
              <w:bottom w:val="single" w:sz="4" w:space="0" w:color="auto"/>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Definition</w:t>
            </w:r>
          </w:p>
        </w:tc>
        <w:tc>
          <w:tcPr>
            <w:tcW w:w="827" w:type="dxa"/>
            <w:tcBorders>
              <w:bottom w:val="single" w:sz="4" w:space="0" w:color="auto"/>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Mean</w:t>
            </w:r>
          </w:p>
        </w:tc>
      </w:tr>
      <w:tr w:rsidR="00131A05" w:rsidRPr="00131A05" w:rsidTr="00253D5B">
        <w:tc>
          <w:tcPr>
            <w:tcW w:w="1980" w:type="dxa"/>
            <w:tcBorders>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Mother's Number of Activities Weekly</w:t>
            </w:r>
          </w:p>
        </w:tc>
        <w:tc>
          <w:tcPr>
            <w:tcW w:w="6520" w:type="dxa"/>
            <w:tcBorders>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Number of (non-Lotto) gambling activities the mother reported participating in on a weekly basis, when the child was aged 6. Activities include: pools, bingo, slots, FOBTs, casino games, online betting, horse betting, dog betting, card games.</w:t>
            </w:r>
          </w:p>
          <w:p w:rsidR="00081611" w:rsidRPr="00131A05" w:rsidRDefault="00081611" w:rsidP="00081611">
            <w:pPr>
              <w:spacing w:before="100" w:beforeAutospacing="1"/>
              <w:contextualSpacing/>
              <w:rPr>
                <w:rFonts w:ascii="Times New Roman" w:eastAsia="Calibri" w:hAnsi="Times New Roman" w:cs="Times New Roman"/>
              </w:rPr>
            </w:pPr>
          </w:p>
        </w:tc>
        <w:tc>
          <w:tcPr>
            <w:tcW w:w="827" w:type="dxa"/>
            <w:tcBorders>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0.41</w:t>
            </w:r>
          </w:p>
        </w:tc>
      </w:tr>
      <w:tr w:rsidR="00131A05" w:rsidRPr="00131A05" w:rsidTr="00253D5B">
        <w:tc>
          <w:tcPr>
            <w:tcW w:w="1980"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Mother's Problem Gambling Score</w:t>
            </w:r>
          </w:p>
        </w:tc>
        <w:tc>
          <w:tcPr>
            <w:tcW w:w="6520"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Number of positive responses the mother made to the modified version of the South Oaks Gambling Screen when the child was age 6.</w:t>
            </w:r>
          </w:p>
          <w:p w:rsidR="00081611" w:rsidRPr="00131A05" w:rsidRDefault="00081611" w:rsidP="00081611">
            <w:pPr>
              <w:spacing w:before="100" w:beforeAutospacing="1"/>
              <w:contextualSpacing/>
              <w:rPr>
                <w:rFonts w:ascii="Times New Roman" w:eastAsia="Calibri" w:hAnsi="Times New Roman" w:cs="Times New Roman"/>
              </w:rPr>
            </w:pPr>
          </w:p>
        </w:tc>
        <w:tc>
          <w:tcPr>
            <w:tcW w:w="827"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0.13</w:t>
            </w:r>
          </w:p>
        </w:tc>
      </w:tr>
      <w:tr w:rsidR="00131A05" w:rsidRPr="00131A05" w:rsidTr="00253D5B">
        <w:tc>
          <w:tcPr>
            <w:tcW w:w="1980"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Partner's Number of Activities Weekly</w:t>
            </w:r>
          </w:p>
        </w:tc>
        <w:tc>
          <w:tcPr>
            <w:tcW w:w="6520"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Number of (non-Lotto) gambling activities the mother’s partner reported participating in on a weekly basis, when the child was aged 6. Activities include: pools, bingo, slots, FOBTs, casino games, online betting, horse betting, dog betting, card games.</w:t>
            </w:r>
          </w:p>
          <w:p w:rsidR="00081611" w:rsidRPr="00131A05" w:rsidRDefault="00081611" w:rsidP="00081611">
            <w:pPr>
              <w:spacing w:before="100" w:beforeAutospacing="1"/>
              <w:contextualSpacing/>
              <w:rPr>
                <w:rFonts w:ascii="Times New Roman" w:eastAsia="Calibri" w:hAnsi="Times New Roman" w:cs="Times New Roman"/>
              </w:rPr>
            </w:pPr>
          </w:p>
        </w:tc>
        <w:tc>
          <w:tcPr>
            <w:tcW w:w="827"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0.58</w:t>
            </w:r>
          </w:p>
        </w:tc>
      </w:tr>
      <w:tr w:rsidR="00131A05" w:rsidRPr="00131A05" w:rsidTr="00253D5B">
        <w:tc>
          <w:tcPr>
            <w:tcW w:w="1980"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Partner's Problem Gambling Score</w:t>
            </w:r>
          </w:p>
        </w:tc>
        <w:tc>
          <w:tcPr>
            <w:tcW w:w="6520"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Number of positive responses the mother’s partner made to the modified version of the South Oaks Gambling Screen when the child was age 6.</w:t>
            </w:r>
          </w:p>
          <w:p w:rsidR="00081611" w:rsidRPr="00131A05" w:rsidRDefault="00081611" w:rsidP="00081611">
            <w:pPr>
              <w:spacing w:before="100" w:beforeAutospacing="1"/>
              <w:contextualSpacing/>
              <w:rPr>
                <w:rFonts w:ascii="Times New Roman" w:eastAsia="Calibri" w:hAnsi="Times New Roman" w:cs="Times New Roman"/>
              </w:rPr>
            </w:pPr>
          </w:p>
        </w:tc>
        <w:tc>
          <w:tcPr>
            <w:tcW w:w="827"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0.44</w:t>
            </w:r>
          </w:p>
        </w:tc>
      </w:tr>
      <w:tr w:rsidR="00131A05" w:rsidRPr="00131A05" w:rsidTr="00253D5B">
        <w:tc>
          <w:tcPr>
            <w:tcW w:w="1980"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Mother Has No Qualifications</w:t>
            </w:r>
          </w:p>
          <w:p w:rsidR="00081611" w:rsidRPr="00131A05" w:rsidRDefault="00081611" w:rsidP="00081611">
            <w:pPr>
              <w:spacing w:before="100" w:beforeAutospacing="1"/>
              <w:contextualSpacing/>
              <w:rPr>
                <w:rFonts w:ascii="Times New Roman" w:eastAsia="Calibri" w:hAnsi="Times New Roman" w:cs="Times New Roman"/>
              </w:rPr>
            </w:pPr>
          </w:p>
        </w:tc>
        <w:tc>
          <w:tcPr>
            <w:tcW w:w="6520"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The mother reported no qualifications.</w:t>
            </w:r>
          </w:p>
          <w:p w:rsidR="00081611" w:rsidRPr="00131A05" w:rsidRDefault="00081611" w:rsidP="00081611">
            <w:pPr>
              <w:spacing w:before="100" w:beforeAutospacing="1"/>
              <w:contextualSpacing/>
              <w:rPr>
                <w:rFonts w:ascii="Times New Roman" w:eastAsia="Calibri" w:hAnsi="Times New Roman" w:cs="Times New Roman"/>
              </w:rPr>
            </w:pPr>
          </w:p>
        </w:tc>
        <w:tc>
          <w:tcPr>
            <w:tcW w:w="827"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0.02</w:t>
            </w:r>
          </w:p>
        </w:tc>
      </w:tr>
      <w:tr w:rsidR="00131A05" w:rsidRPr="00131A05" w:rsidTr="00253D5B">
        <w:tc>
          <w:tcPr>
            <w:tcW w:w="1980"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lastRenderedPageBreak/>
              <w:t>Mother has Above GCSEs</w:t>
            </w:r>
          </w:p>
        </w:tc>
        <w:tc>
          <w:tcPr>
            <w:tcW w:w="6520"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The mother reported her maximum education level was above GCSE (i.e. was either A-levels, degree, Masters, or PhD).</w:t>
            </w:r>
          </w:p>
          <w:p w:rsidR="00081611" w:rsidRPr="00131A05" w:rsidRDefault="00081611" w:rsidP="00081611">
            <w:pPr>
              <w:spacing w:before="100" w:beforeAutospacing="1"/>
              <w:contextualSpacing/>
              <w:rPr>
                <w:rFonts w:ascii="Times New Roman" w:eastAsia="Calibri" w:hAnsi="Times New Roman" w:cs="Times New Roman"/>
              </w:rPr>
            </w:pPr>
          </w:p>
        </w:tc>
        <w:tc>
          <w:tcPr>
            <w:tcW w:w="827"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0.44</w:t>
            </w:r>
          </w:p>
        </w:tc>
      </w:tr>
      <w:tr w:rsidR="00131A05" w:rsidRPr="00131A05" w:rsidTr="00253D5B">
        <w:tc>
          <w:tcPr>
            <w:tcW w:w="1980"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Mother's Qualifications Unknown</w:t>
            </w:r>
          </w:p>
          <w:p w:rsidR="00081611" w:rsidRPr="00131A05" w:rsidRDefault="00081611" w:rsidP="00081611">
            <w:pPr>
              <w:spacing w:before="100" w:beforeAutospacing="1"/>
              <w:contextualSpacing/>
              <w:rPr>
                <w:rFonts w:ascii="Times New Roman" w:eastAsia="Calibri" w:hAnsi="Times New Roman" w:cs="Times New Roman"/>
              </w:rPr>
            </w:pPr>
          </w:p>
        </w:tc>
        <w:tc>
          <w:tcPr>
            <w:tcW w:w="6520"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The mother’s qualifications were unknown.</w:t>
            </w:r>
          </w:p>
        </w:tc>
        <w:tc>
          <w:tcPr>
            <w:tcW w:w="827"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0.01</w:t>
            </w:r>
          </w:p>
        </w:tc>
      </w:tr>
      <w:tr w:rsidR="00131A05" w:rsidRPr="00131A05" w:rsidTr="00253D5B">
        <w:tc>
          <w:tcPr>
            <w:tcW w:w="1980"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Partner Has No Qualifications</w:t>
            </w:r>
          </w:p>
          <w:p w:rsidR="00081611" w:rsidRPr="00131A05" w:rsidRDefault="00081611" w:rsidP="00081611">
            <w:pPr>
              <w:spacing w:before="100" w:beforeAutospacing="1"/>
              <w:contextualSpacing/>
              <w:rPr>
                <w:rFonts w:ascii="Times New Roman" w:eastAsia="Calibri" w:hAnsi="Times New Roman" w:cs="Times New Roman"/>
              </w:rPr>
            </w:pPr>
          </w:p>
        </w:tc>
        <w:tc>
          <w:tcPr>
            <w:tcW w:w="6520"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The partner reported no qualifications.</w:t>
            </w:r>
          </w:p>
        </w:tc>
        <w:tc>
          <w:tcPr>
            <w:tcW w:w="827"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0.04</w:t>
            </w:r>
          </w:p>
        </w:tc>
      </w:tr>
      <w:tr w:rsidR="00131A05" w:rsidRPr="00131A05" w:rsidTr="00253D5B">
        <w:tc>
          <w:tcPr>
            <w:tcW w:w="1980"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Partner Has Above GCSEs</w:t>
            </w:r>
          </w:p>
        </w:tc>
        <w:tc>
          <w:tcPr>
            <w:tcW w:w="6520"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The partner reported his maximum education level was above GCSE (i.e. was either A-levels, degree, Masters or PhD).</w:t>
            </w:r>
          </w:p>
          <w:p w:rsidR="00081611" w:rsidRPr="00131A05" w:rsidRDefault="00081611" w:rsidP="00081611">
            <w:pPr>
              <w:spacing w:before="100" w:beforeAutospacing="1"/>
              <w:contextualSpacing/>
              <w:rPr>
                <w:rFonts w:ascii="Times New Roman" w:eastAsia="Calibri" w:hAnsi="Times New Roman" w:cs="Times New Roman"/>
              </w:rPr>
            </w:pPr>
          </w:p>
        </w:tc>
        <w:tc>
          <w:tcPr>
            <w:tcW w:w="827"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0.43</w:t>
            </w:r>
          </w:p>
        </w:tc>
      </w:tr>
      <w:tr w:rsidR="00131A05" w:rsidRPr="00131A05" w:rsidTr="00253D5B">
        <w:tc>
          <w:tcPr>
            <w:tcW w:w="1980"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Partner's Qualifications Unknown</w:t>
            </w:r>
          </w:p>
          <w:p w:rsidR="00081611" w:rsidRPr="00131A05" w:rsidRDefault="00081611" w:rsidP="00081611">
            <w:pPr>
              <w:spacing w:before="100" w:beforeAutospacing="1"/>
              <w:contextualSpacing/>
              <w:rPr>
                <w:rFonts w:ascii="Times New Roman" w:eastAsia="Calibri" w:hAnsi="Times New Roman" w:cs="Times New Roman"/>
              </w:rPr>
            </w:pPr>
          </w:p>
        </w:tc>
        <w:tc>
          <w:tcPr>
            <w:tcW w:w="6520"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The partner’s qualifications were unknown.</w:t>
            </w:r>
          </w:p>
        </w:tc>
        <w:tc>
          <w:tcPr>
            <w:tcW w:w="827"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0.02</w:t>
            </w:r>
          </w:p>
        </w:tc>
      </w:tr>
      <w:tr w:rsidR="00131A05" w:rsidRPr="00131A05" w:rsidTr="00253D5B">
        <w:tc>
          <w:tcPr>
            <w:tcW w:w="1980"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Arguments At Home</w:t>
            </w:r>
          </w:p>
        </w:tc>
        <w:tc>
          <w:tcPr>
            <w:tcW w:w="6520"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Equal to 1 if the mother reported arguing with her partner four or more times in the previous 3 months, when the child was age 12.</w:t>
            </w:r>
          </w:p>
          <w:p w:rsidR="00081611" w:rsidRPr="00131A05" w:rsidRDefault="00081611" w:rsidP="00081611">
            <w:pPr>
              <w:spacing w:before="100" w:beforeAutospacing="1"/>
              <w:contextualSpacing/>
              <w:rPr>
                <w:rFonts w:ascii="Times New Roman" w:eastAsia="Calibri" w:hAnsi="Times New Roman" w:cs="Times New Roman"/>
              </w:rPr>
            </w:pPr>
          </w:p>
        </w:tc>
        <w:tc>
          <w:tcPr>
            <w:tcW w:w="827"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0.28</w:t>
            </w:r>
          </w:p>
        </w:tc>
      </w:tr>
      <w:tr w:rsidR="00131A05" w:rsidRPr="00131A05" w:rsidTr="00253D5B">
        <w:tc>
          <w:tcPr>
            <w:tcW w:w="1980"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Mother's BMI</w:t>
            </w:r>
          </w:p>
        </w:tc>
        <w:tc>
          <w:tcPr>
            <w:tcW w:w="6520"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The mother’s Body Mass Index, calculated from height and weight as reported when the child was age 12.</w:t>
            </w:r>
          </w:p>
          <w:p w:rsidR="00081611" w:rsidRPr="00131A05" w:rsidRDefault="00081611" w:rsidP="00081611">
            <w:pPr>
              <w:spacing w:before="100" w:beforeAutospacing="1"/>
              <w:contextualSpacing/>
              <w:rPr>
                <w:rFonts w:ascii="Times New Roman" w:eastAsia="Calibri" w:hAnsi="Times New Roman" w:cs="Times New Roman"/>
              </w:rPr>
            </w:pPr>
          </w:p>
        </w:tc>
        <w:tc>
          <w:tcPr>
            <w:tcW w:w="827"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20.98</w:t>
            </w:r>
          </w:p>
        </w:tc>
      </w:tr>
      <w:tr w:rsidR="00131A05" w:rsidRPr="00131A05" w:rsidTr="00253D5B">
        <w:tc>
          <w:tcPr>
            <w:tcW w:w="1980"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Partner's BMI</w:t>
            </w:r>
          </w:p>
        </w:tc>
        <w:tc>
          <w:tcPr>
            <w:tcW w:w="6520"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The partner’s Body Mass Index, calculated from the partner’s height and weight as reported by the mother when the child was age 12.</w:t>
            </w:r>
          </w:p>
          <w:p w:rsidR="00081611" w:rsidRPr="00131A05" w:rsidRDefault="00081611" w:rsidP="00081611">
            <w:pPr>
              <w:spacing w:before="100" w:beforeAutospacing="1"/>
              <w:contextualSpacing/>
              <w:rPr>
                <w:rFonts w:ascii="Times New Roman" w:eastAsia="Calibri" w:hAnsi="Times New Roman" w:cs="Times New Roman"/>
              </w:rPr>
            </w:pPr>
          </w:p>
        </w:tc>
        <w:tc>
          <w:tcPr>
            <w:tcW w:w="827"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23.67</w:t>
            </w:r>
          </w:p>
        </w:tc>
      </w:tr>
      <w:tr w:rsidR="00131A05" w:rsidRPr="00131A05" w:rsidTr="00253D5B">
        <w:tc>
          <w:tcPr>
            <w:tcW w:w="1980"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Fried Food Eaten More Than Twice Weekly</w:t>
            </w:r>
          </w:p>
          <w:p w:rsidR="00081611" w:rsidRPr="00131A05" w:rsidRDefault="00081611" w:rsidP="00081611">
            <w:pPr>
              <w:spacing w:before="100" w:beforeAutospacing="1"/>
              <w:contextualSpacing/>
              <w:rPr>
                <w:rFonts w:ascii="Times New Roman" w:eastAsia="Calibri" w:hAnsi="Times New Roman" w:cs="Times New Roman"/>
              </w:rPr>
            </w:pPr>
          </w:p>
        </w:tc>
        <w:tc>
          <w:tcPr>
            <w:tcW w:w="6520"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Equal to 1 if the mother reports the household eats fried food at least once per week.</w:t>
            </w:r>
          </w:p>
          <w:p w:rsidR="00081611" w:rsidRPr="00131A05" w:rsidRDefault="00081611" w:rsidP="00081611">
            <w:pPr>
              <w:spacing w:before="100" w:beforeAutospacing="1"/>
              <w:contextualSpacing/>
              <w:rPr>
                <w:rFonts w:ascii="Times New Roman" w:eastAsia="Calibri" w:hAnsi="Times New Roman" w:cs="Times New Roman"/>
              </w:rPr>
            </w:pPr>
          </w:p>
        </w:tc>
        <w:tc>
          <w:tcPr>
            <w:tcW w:w="827"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0.10</w:t>
            </w:r>
          </w:p>
        </w:tc>
      </w:tr>
      <w:tr w:rsidR="00131A05" w:rsidRPr="00131A05" w:rsidTr="00253D5B">
        <w:tc>
          <w:tcPr>
            <w:tcW w:w="1980"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Mother Smokes</w:t>
            </w:r>
          </w:p>
        </w:tc>
        <w:tc>
          <w:tcPr>
            <w:tcW w:w="6520"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Equal to 1 if the mother reported smoking more than 0 times per week.</w:t>
            </w:r>
          </w:p>
          <w:p w:rsidR="00081611" w:rsidRPr="00131A05" w:rsidRDefault="00081611" w:rsidP="00081611">
            <w:pPr>
              <w:spacing w:before="100" w:beforeAutospacing="1"/>
              <w:contextualSpacing/>
              <w:rPr>
                <w:rFonts w:ascii="Times New Roman" w:eastAsia="Calibri" w:hAnsi="Times New Roman" w:cs="Times New Roman"/>
              </w:rPr>
            </w:pPr>
          </w:p>
        </w:tc>
        <w:tc>
          <w:tcPr>
            <w:tcW w:w="827"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0.107</w:t>
            </w:r>
          </w:p>
        </w:tc>
      </w:tr>
      <w:tr w:rsidR="00131A05" w:rsidRPr="00131A05" w:rsidTr="00253D5B">
        <w:tc>
          <w:tcPr>
            <w:tcW w:w="1980"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Mother Moderate or Heavy Drinker</w:t>
            </w:r>
          </w:p>
        </w:tc>
        <w:tc>
          <w:tcPr>
            <w:tcW w:w="6520"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Equal to 1 if the mother reports drinking more than 5 alcoholic drinks per week.</w:t>
            </w:r>
          </w:p>
          <w:p w:rsidR="00081611" w:rsidRPr="00131A05" w:rsidRDefault="00081611" w:rsidP="00081611">
            <w:pPr>
              <w:spacing w:before="100" w:beforeAutospacing="1"/>
              <w:contextualSpacing/>
              <w:rPr>
                <w:rFonts w:ascii="Times New Roman" w:eastAsia="Calibri" w:hAnsi="Times New Roman" w:cs="Times New Roman"/>
              </w:rPr>
            </w:pPr>
          </w:p>
        </w:tc>
        <w:tc>
          <w:tcPr>
            <w:tcW w:w="827"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0.486</w:t>
            </w:r>
          </w:p>
        </w:tc>
      </w:tr>
      <w:tr w:rsidR="00131A05" w:rsidRPr="00131A05" w:rsidTr="00253D5B">
        <w:tc>
          <w:tcPr>
            <w:tcW w:w="1980"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Mother Reports Emotional Problems</w:t>
            </w:r>
          </w:p>
          <w:p w:rsidR="00081611" w:rsidRPr="00131A05" w:rsidRDefault="00081611" w:rsidP="00081611">
            <w:pPr>
              <w:spacing w:before="100" w:beforeAutospacing="1"/>
              <w:contextualSpacing/>
              <w:rPr>
                <w:rFonts w:ascii="Times New Roman" w:eastAsia="Calibri" w:hAnsi="Times New Roman" w:cs="Times New Roman"/>
              </w:rPr>
            </w:pPr>
          </w:p>
        </w:tc>
        <w:tc>
          <w:tcPr>
            <w:tcW w:w="6520"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Equal to 1 if the mother reported having had emotional problems in the previous four weeks. Answered when the child was age 12.</w:t>
            </w:r>
          </w:p>
          <w:p w:rsidR="00081611" w:rsidRPr="00131A05" w:rsidRDefault="00081611" w:rsidP="00081611">
            <w:pPr>
              <w:spacing w:before="100" w:beforeAutospacing="1"/>
              <w:contextualSpacing/>
              <w:rPr>
                <w:rFonts w:ascii="Times New Roman" w:eastAsia="Calibri" w:hAnsi="Times New Roman" w:cs="Times New Roman"/>
              </w:rPr>
            </w:pPr>
          </w:p>
        </w:tc>
        <w:tc>
          <w:tcPr>
            <w:tcW w:w="827"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0.125</w:t>
            </w:r>
          </w:p>
        </w:tc>
      </w:tr>
      <w:tr w:rsidR="00131A05" w:rsidRPr="00131A05" w:rsidTr="00253D5B">
        <w:tc>
          <w:tcPr>
            <w:tcW w:w="1980"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Mother Lives With Partner</w:t>
            </w:r>
          </w:p>
        </w:tc>
        <w:tc>
          <w:tcPr>
            <w:tcW w:w="6520"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Equal to 1 if the mother reported living with her partner when the child was age 12.</w:t>
            </w:r>
          </w:p>
          <w:p w:rsidR="00081611" w:rsidRPr="00131A05" w:rsidRDefault="00081611" w:rsidP="00081611">
            <w:pPr>
              <w:spacing w:before="100" w:beforeAutospacing="1"/>
              <w:contextualSpacing/>
              <w:rPr>
                <w:rFonts w:ascii="Times New Roman" w:eastAsia="Calibri" w:hAnsi="Times New Roman" w:cs="Times New Roman"/>
              </w:rPr>
            </w:pPr>
          </w:p>
        </w:tc>
        <w:tc>
          <w:tcPr>
            <w:tcW w:w="827"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0.977</w:t>
            </w:r>
          </w:p>
        </w:tc>
      </w:tr>
      <w:tr w:rsidR="00131A05" w:rsidRPr="00131A05" w:rsidTr="00253D5B">
        <w:tc>
          <w:tcPr>
            <w:tcW w:w="1980"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Mother Reports Partner Doesn’t Always "Loves Child"</w:t>
            </w:r>
          </w:p>
          <w:p w:rsidR="00081611" w:rsidRPr="00131A05" w:rsidRDefault="00081611" w:rsidP="00081611">
            <w:pPr>
              <w:spacing w:before="100" w:beforeAutospacing="1"/>
              <w:contextualSpacing/>
              <w:rPr>
                <w:rFonts w:ascii="Times New Roman" w:eastAsia="Calibri" w:hAnsi="Times New Roman" w:cs="Times New Roman"/>
              </w:rPr>
            </w:pPr>
          </w:p>
        </w:tc>
        <w:tc>
          <w:tcPr>
            <w:tcW w:w="6520"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Equal to 1 if the mother reported feeling that her partner “loved” the child “sometimes” or “never”. Answered when the child was age 12.</w:t>
            </w:r>
          </w:p>
          <w:p w:rsidR="00081611" w:rsidRPr="00131A05" w:rsidRDefault="00081611" w:rsidP="00081611">
            <w:pPr>
              <w:spacing w:before="100" w:beforeAutospacing="1"/>
              <w:contextualSpacing/>
              <w:rPr>
                <w:rFonts w:ascii="Times New Roman" w:eastAsia="Calibri" w:hAnsi="Times New Roman" w:cs="Times New Roman"/>
              </w:rPr>
            </w:pPr>
          </w:p>
        </w:tc>
        <w:tc>
          <w:tcPr>
            <w:tcW w:w="827"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0.090</w:t>
            </w:r>
          </w:p>
        </w:tc>
      </w:tr>
      <w:tr w:rsidR="00131A05" w:rsidRPr="00131A05" w:rsidTr="00253D5B">
        <w:tc>
          <w:tcPr>
            <w:tcW w:w="1980"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Partner Smokes</w:t>
            </w:r>
          </w:p>
        </w:tc>
        <w:tc>
          <w:tcPr>
            <w:tcW w:w="6520"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Equal to 1 if the mother’s partner reported smoking more than 0 times per week.</w:t>
            </w:r>
          </w:p>
          <w:p w:rsidR="00081611" w:rsidRPr="00131A05" w:rsidRDefault="00081611" w:rsidP="00081611">
            <w:pPr>
              <w:spacing w:before="100" w:beforeAutospacing="1"/>
              <w:contextualSpacing/>
              <w:rPr>
                <w:rFonts w:ascii="Times New Roman" w:eastAsia="Calibri" w:hAnsi="Times New Roman" w:cs="Times New Roman"/>
              </w:rPr>
            </w:pPr>
          </w:p>
        </w:tc>
        <w:tc>
          <w:tcPr>
            <w:tcW w:w="827"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0.100</w:t>
            </w:r>
          </w:p>
        </w:tc>
      </w:tr>
      <w:tr w:rsidR="00131A05" w:rsidRPr="00131A05" w:rsidTr="00253D5B">
        <w:tc>
          <w:tcPr>
            <w:tcW w:w="1980"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Partner Active In Last Few Weeks</w:t>
            </w:r>
          </w:p>
        </w:tc>
        <w:tc>
          <w:tcPr>
            <w:tcW w:w="6520"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Equal to 1 if the mother’s partner reported being able to participate in physical activity at a moderate or higher level of exertion.</w:t>
            </w:r>
          </w:p>
          <w:p w:rsidR="00081611" w:rsidRPr="00131A05" w:rsidRDefault="00081611" w:rsidP="00081611">
            <w:pPr>
              <w:spacing w:before="100" w:beforeAutospacing="1"/>
              <w:contextualSpacing/>
              <w:rPr>
                <w:rFonts w:ascii="Times New Roman" w:eastAsia="Calibri" w:hAnsi="Times New Roman" w:cs="Times New Roman"/>
              </w:rPr>
            </w:pPr>
          </w:p>
        </w:tc>
        <w:tc>
          <w:tcPr>
            <w:tcW w:w="827" w:type="dxa"/>
            <w:tcBorders>
              <w:top w:val="nil"/>
              <w:bottom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0.912</w:t>
            </w:r>
          </w:p>
        </w:tc>
      </w:tr>
      <w:tr w:rsidR="00081611" w:rsidRPr="00131A05" w:rsidTr="00253D5B">
        <w:tc>
          <w:tcPr>
            <w:tcW w:w="1980" w:type="dxa"/>
            <w:tcBorders>
              <w:top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Partner In Trouble With The Law</w:t>
            </w:r>
          </w:p>
        </w:tc>
        <w:tc>
          <w:tcPr>
            <w:tcW w:w="6520" w:type="dxa"/>
            <w:tcBorders>
              <w:top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Equal to 1 if the mother’s partner reported having ever been in trouble with the law.</w:t>
            </w:r>
          </w:p>
        </w:tc>
        <w:tc>
          <w:tcPr>
            <w:tcW w:w="827" w:type="dxa"/>
            <w:tcBorders>
              <w:top w:val="nil"/>
            </w:tcBorders>
          </w:tcPr>
          <w:p w:rsidR="00081611" w:rsidRPr="00131A05" w:rsidRDefault="00081611" w:rsidP="00081611">
            <w:pPr>
              <w:spacing w:before="100" w:beforeAutospacing="1"/>
              <w:contextualSpacing/>
              <w:rPr>
                <w:rFonts w:ascii="Times New Roman" w:eastAsia="Calibri" w:hAnsi="Times New Roman" w:cs="Times New Roman"/>
              </w:rPr>
            </w:pPr>
            <w:r w:rsidRPr="00131A05">
              <w:rPr>
                <w:rFonts w:ascii="Times New Roman" w:eastAsia="Calibri" w:hAnsi="Times New Roman" w:cs="Times New Roman"/>
              </w:rPr>
              <w:t>0.268</w:t>
            </w:r>
          </w:p>
        </w:tc>
      </w:tr>
    </w:tbl>
    <w:p w:rsidR="00081611" w:rsidRPr="00131A05" w:rsidRDefault="00081611" w:rsidP="007B40D7">
      <w:pPr>
        <w:spacing w:line="480" w:lineRule="auto"/>
        <w:rPr>
          <w:rFonts w:ascii="Times New Roman" w:hAnsi="Times New Roman" w:cs="Times New Roman"/>
        </w:rPr>
      </w:pPr>
    </w:p>
    <w:p w:rsidR="00081611" w:rsidRPr="00131A05" w:rsidRDefault="00081611" w:rsidP="007B40D7">
      <w:pPr>
        <w:spacing w:line="480" w:lineRule="auto"/>
        <w:rPr>
          <w:rFonts w:ascii="Times New Roman" w:hAnsi="Times New Roman" w:cs="Times New Roman"/>
        </w:rPr>
      </w:pPr>
    </w:p>
    <w:p w:rsidR="00FA0491" w:rsidRPr="00131A05" w:rsidRDefault="00C4794F" w:rsidP="007B40D7">
      <w:pPr>
        <w:spacing w:line="480" w:lineRule="auto"/>
        <w:rPr>
          <w:rFonts w:ascii="Times New Roman" w:hAnsi="Times New Roman" w:cs="Times New Roman"/>
        </w:rPr>
      </w:pPr>
      <w:r w:rsidRPr="00131A05">
        <w:rPr>
          <w:rFonts w:ascii="Times New Roman" w:hAnsi="Times New Roman" w:cs="Times New Roman"/>
        </w:rPr>
        <w:t xml:space="preserve">other and the parental behaviour observed </w:t>
      </w:r>
      <w:r w:rsidR="00D237AD" w:rsidRPr="00131A05">
        <w:rPr>
          <w:rFonts w:ascii="Times New Roman" w:hAnsi="Times New Roman" w:cs="Times New Roman"/>
        </w:rPr>
        <w:t xml:space="preserve">may </w:t>
      </w:r>
      <w:r w:rsidRPr="00131A05">
        <w:rPr>
          <w:rFonts w:ascii="Times New Roman" w:hAnsi="Times New Roman" w:cs="Times New Roman"/>
        </w:rPr>
        <w:t xml:space="preserve">just </w:t>
      </w:r>
      <w:r w:rsidR="00D237AD" w:rsidRPr="00131A05">
        <w:rPr>
          <w:rFonts w:ascii="Times New Roman" w:hAnsi="Times New Roman" w:cs="Times New Roman"/>
        </w:rPr>
        <w:t xml:space="preserve">be </w:t>
      </w:r>
      <w:r w:rsidRPr="00131A05">
        <w:rPr>
          <w:rFonts w:ascii="Times New Roman" w:hAnsi="Times New Roman" w:cs="Times New Roman"/>
        </w:rPr>
        <w:t xml:space="preserve">serving as a proxy </w:t>
      </w:r>
      <w:r w:rsidR="00FA0491" w:rsidRPr="00131A05">
        <w:rPr>
          <w:rFonts w:ascii="Times New Roman" w:hAnsi="Times New Roman" w:cs="Times New Roman"/>
        </w:rPr>
        <w:t xml:space="preserve">for the attitudes behind their </w:t>
      </w:r>
      <w:r w:rsidR="00D237AD" w:rsidRPr="00131A05">
        <w:rPr>
          <w:rFonts w:ascii="Times New Roman" w:hAnsi="Times New Roman" w:cs="Times New Roman"/>
        </w:rPr>
        <w:t xml:space="preserve">whole set of </w:t>
      </w:r>
      <w:r w:rsidR="00FA0491" w:rsidRPr="00131A05">
        <w:rPr>
          <w:rFonts w:ascii="Times New Roman" w:hAnsi="Times New Roman" w:cs="Times New Roman"/>
        </w:rPr>
        <w:t>choices</w:t>
      </w:r>
      <w:r w:rsidR="00867F8A" w:rsidRPr="00131A05">
        <w:rPr>
          <w:rFonts w:ascii="Times New Roman" w:hAnsi="Times New Roman" w:cs="Times New Roman"/>
        </w:rPr>
        <w:t xml:space="preserve"> (Abrevaya and Tang 2011)</w:t>
      </w:r>
      <w:r w:rsidR="00FA0491" w:rsidRPr="00131A05">
        <w:rPr>
          <w:rFonts w:ascii="Times New Roman" w:hAnsi="Times New Roman" w:cs="Times New Roman"/>
        </w:rPr>
        <w:t>. Here, for example, risk of adult MPPG may be elevated where upbringing had been in a home tolerant of risky and stigmatised activities and it is this general attitude in the familial background</w:t>
      </w:r>
      <w:r w:rsidR="00D237AD" w:rsidRPr="00131A05">
        <w:rPr>
          <w:rFonts w:ascii="Times New Roman" w:hAnsi="Times New Roman" w:cs="Times New Roman"/>
        </w:rPr>
        <w:t>,</w:t>
      </w:r>
      <w:r w:rsidR="00FA0491" w:rsidRPr="00131A05">
        <w:rPr>
          <w:rFonts w:ascii="Times New Roman" w:hAnsi="Times New Roman" w:cs="Times New Roman"/>
        </w:rPr>
        <w:t xml:space="preserve"> rather than parental gambling itself</w:t>
      </w:r>
      <w:r w:rsidR="00D237AD" w:rsidRPr="00131A05">
        <w:rPr>
          <w:rFonts w:ascii="Times New Roman" w:hAnsi="Times New Roman" w:cs="Times New Roman"/>
        </w:rPr>
        <w:t>,</w:t>
      </w:r>
      <w:r w:rsidR="00FA0491" w:rsidRPr="00131A05">
        <w:rPr>
          <w:rFonts w:ascii="Times New Roman" w:hAnsi="Times New Roman" w:cs="Times New Roman"/>
        </w:rPr>
        <w:t xml:space="preserve"> which might explain the correlations in the data.</w:t>
      </w:r>
      <w:r w:rsidR="00FE4512" w:rsidRPr="00131A05">
        <w:rPr>
          <w:rFonts w:ascii="Times New Roman" w:hAnsi="Times New Roman" w:cs="Times New Roman"/>
        </w:rPr>
        <w:t xml:space="preserve"> </w:t>
      </w:r>
      <w:r w:rsidR="00FA0491" w:rsidRPr="00131A05">
        <w:rPr>
          <w:rFonts w:ascii="Times New Roman" w:hAnsi="Times New Roman" w:cs="Times New Roman"/>
        </w:rPr>
        <w:t>Our ‘l</w:t>
      </w:r>
      <w:r w:rsidR="006F5210" w:rsidRPr="00131A05">
        <w:rPr>
          <w:rFonts w:ascii="Times New Roman" w:hAnsi="Times New Roman" w:cs="Times New Roman"/>
        </w:rPr>
        <w:t xml:space="preserve">ifestyle </w:t>
      </w:r>
      <w:r w:rsidR="00FA0491" w:rsidRPr="00131A05">
        <w:rPr>
          <w:rFonts w:ascii="Times New Roman" w:hAnsi="Times New Roman" w:cs="Times New Roman"/>
        </w:rPr>
        <w:t>v</w:t>
      </w:r>
      <w:r w:rsidR="006F5210" w:rsidRPr="00131A05">
        <w:rPr>
          <w:rFonts w:ascii="Times New Roman" w:hAnsi="Times New Roman" w:cs="Times New Roman"/>
        </w:rPr>
        <w:t xml:space="preserve">ariables’ reflect parental </w:t>
      </w:r>
      <w:r w:rsidR="00FA0491" w:rsidRPr="00131A05">
        <w:rPr>
          <w:rFonts w:ascii="Times New Roman" w:hAnsi="Times New Roman" w:cs="Times New Roman"/>
        </w:rPr>
        <w:t>choices over a wide range of potentially healthy and unhealthy behaviours such that this set of variables should control for attitudes to risk in the parental home, allowing specific impacts from gambling to be identified.</w:t>
      </w:r>
    </w:p>
    <w:p w:rsidR="00FA0491" w:rsidRPr="00131A05" w:rsidRDefault="00FA0491" w:rsidP="00A258D4">
      <w:pPr>
        <w:spacing w:line="480" w:lineRule="auto"/>
        <w:rPr>
          <w:rFonts w:ascii="Times New Roman" w:hAnsi="Times New Roman" w:cs="Times New Roman"/>
        </w:rPr>
      </w:pPr>
    </w:p>
    <w:p w:rsidR="00180DC3" w:rsidRPr="00131A05" w:rsidRDefault="00FA0491" w:rsidP="00A258D4">
      <w:pPr>
        <w:spacing w:line="480" w:lineRule="auto"/>
        <w:rPr>
          <w:rFonts w:ascii="Times New Roman" w:hAnsi="Times New Roman" w:cs="Times New Roman"/>
        </w:rPr>
      </w:pPr>
      <w:r w:rsidRPr="00131A05">
        <w:rPr>
          <w:rFonts w:ascii="Times New Roman" w:hAnsi="Times New Roman" w:cs="Times New Roman"/>
        </w:rPr>
        <w:t>A similar rational</w:t>
      </w:r>
      <w:r w:rsidR="003846C5" w:rsidRPr="00131A05">
        <w:rPr>
          <w:rFonts w:ascii="Times New Roman" w:hAnsi="Times New Roman" w:cs="Times New Roman"/>
        </w:rPr>
        <w:t>e</w:t>
      </w:r>
      <w:r w:rsidRPr="00131A05">
        <w:rPr>
          <w:rFonts w:ascii="Times New Roman" w:hAnsi="Times New Roman" w:cs="Times New Roman"/>
        </w:rPr>
        <w:t xml:space="preserve"> accounts for our inclusion of </w:t>
      </w:r>
      <w:r w:rsidR="00E836CB" w:rsidRPr="00131A05">
        <w:rPr>
          <w:rFonts w:ascii="Times New Roman" w:hAnsi="Times New Roman" w:cs="Times New Roman"/>
        </w:rPr>
        <w:t xml:space="preserve">a set of </w:t>
      </w:r>
      <w:r w:rsidRPr="00131A05">
        <w:rPr>
          <w:rFonts w:ascii="Times New Roman" w:hAnsi="Times New Roman" w:cs="Times New Roman"/>
        </w:rPr>
        <w:t xml:space="preserve">variables representing </w:t>
      </w:r>
      <w:r w:rsidR="003846C5" w:rsidRPr="00131A05">
        <w:rPr>
          <w:rFonts w:ascii="Times New Roman" w:hAnsi="Times New Roman" w:cs="Times New Roman"/>
        </w:rPr>
        <w:t xml:space="preserve">whether there had been a loving, caring environment or else conditions reflecting </w:t>
      </w:r>
      <w:r w:rsidR="0062067E" w:rsidRPr="00131A05">
        <w:rPr>
          <w:rFonts w:ascii="Times New Roman" w:hAnsi="Times New Roman" w:cs="Times New Roman"/>
        </w:rPr>
        <w:t xml:space="preserve">disharmony </w:t>
      </w:r>
      <w:r w:rsidR="003846C5" w:rsidRPr="00131A05">
        <w:rPr>
          <w:rFonts w:ascii="Times New Roman" w:hAnsi="Times New Roman" w:cs="Times New Roman"/>
        </w:rPr>
        <w:t xml:space="preserve">in the family home. </w:t>
      </w:r>
      <w:r w:rsidR="0062067E" w:rsidRPr="00131A05">
        <w:rPr>
          <w:rFonts w:ascii="Times New Roman" w:hAnsi="Times New Roman" w:cs="Times New Roman"/>
        </w:rPr>
        <w:t>Inter-spousal arguments, or tensions associated with financial pressure on the household are common sources of such adverse developmental experiences</w:t>
      </w:r>
      <w:r w:rsidR="003846C5" w:rsidRPr="00131A05">
        <w:rPr>
          <w:rFonts w:ascii="Times New Roman" w:hAnsi="Times New Roman" w:cs="Times New Roman"/>
        </w:rPr>
        <w:t>.</w:t>
      </w:r>
      <w:r w:rsidRPr="00131A05">
        <w:rPr>
          <w:rFonts w:ascii="Times New Roman" w:hAnsi="Times New Roman" w:cs="Times New Roman"/>
        </w:rPr>
        <w:t xml:space="preserve"> </w:t>
      </w:r>
      <w:r w:rsidR="003846C5" w:rsidRPr="00131A05">
        <w:rPr>
          <w:rFonts w:ascii="Times New Roman" w:hAnsi="Times New Roman" w:cs="Times New Roman"/>
        </w:rPr>
        <w:t xml:space="preserve">One recognised pathway to adult problem gambling is that of the </w:t>
      </w:r>
      <w:r w:rsidR="00E836CB" w:rsidRPr="00131A05">
        <w:rPr>
          <w:rFonts w:ascii="Times New Roman" w:hAnsi="Times New Roman" w:cs="Times New Roman"/>
        </w:rPr>
        <w:t>‘</w:t>
      </w:r>
      <w:r w:rsidR="003846C5" w:rsidRPr="00131A05">
        <w:rPr>
          <w:rFonts w:ascii="Times New Roman" w:hAnsi="Times New Roman" w:cs="Times New Roman"/>
        </w:rPr>
        <w:t xml:space="preserve">emotionally vulnerable problem gambler’ </w:t>
      </w:r>
      <w:r w:rsidR="00E836CB" w:rsidRPr="00131A05">
        <w:rPr>
          <w:rFonts w:ascii="Times New Roman" w:hAnsi="Times New Roman" w:cs="Times New Roman"/>
        </w:rPr>
        <w:t>whose adverse developmental experience  resulted in poor means of coping and a tendency to use gambling for escape or arousal</w:t>
      </w:r>
      <w:r w:rsidR="00867F8A" w:rsidRPr="00131A05">
        <w:rPr>
          <w:rFonts w:ascii="Times New Roman" w:hAnsi="Times New Roman" w:cs="Times New Roman"/>
        </w:rPr>
        <w:t xml:space="preserve"> (Blaszczynski and Nower 2002).</w:t>
      </w:r>
      <w:r w:rsidR="00E836CB" w:rsidRPr="00131A05">
        <w:rPr>
          <w:rFonts w:ascii="Times New Roman" w:hAnsi="Times New Roman" w:cs="Times New Roman"/>
        </w:rPr>
        <w:t xml:space="preserve"> </w:t>
      </w:r>
      <w:r w:rsidRPr="00131A05">
        <w:rPr>
          <w:rFonts w:ascii="Times New Roman" w:hAnsi="Times New Roman" w:cs="Times New Roman"/>
        </w:rPr>
        <w:t xml:space="preserve"> </w:t>
      </w:r>
      <w:r w:rsidR="00AF05E7" w:rsidRPr="00131A05">
        <w:rPr>
          <w:rFonts w:ascii="Times New Roman" w:hAnsi="Times New Roman" w:cs="Times New Roman"/>
        </w:rPr>
        <w:t>Variables gathered from ALSPAC used here seek to capture negative and positive features of familial background.</w:t>
      </w:r>
      <w:r w:rsidR="00D237AD" w:rsidRPr="00131A05">
        <w:rPr>
          <w:rFonts w:ascii="Times New Roman" w:hAnsi="Times New Roman" w:cs="Times New Roman"/>
        </w:rPr>
        <w:t xml:space="preserve"> Again, the case for a specific influence on offspring MPPG from parental problem gambling would be strengthened if influences remained evident in the presence of a set of predictors capturing elements of dysfunctionality in the household where the child grew up.</w:t>
      </w:r>
    </w:p>
    <w:p w:rsidR="00867F8A" w:rsidRPr="00131A05" w:rsidRDefault="00867F8A" w:rsidP="00A258D4">
      <w:pPr>
        <w:spacing w:line="480" w:lineRule="auto"/>
        <w:rPr>
          <w:rFonts w:ascii="Times New Roman" w:hAnsi="Times New Roman" w:cs="Times New Roman"/>
        </w:rPr>
      </w:pPr>
    </w:p>
    <w:p w:rsidR="000B2D5B" w:rsidRPr="00131A05" w:rsidRDefault="000B2D5B" w:rsidP="00A258D4">
      <w:pPr>
        <w:spacing w:line="480" w:lineRule="auto"/>
        <w:rPr>
          <w:rFonts w:ascii="Times New Roman" w:hAnsi="Times New Roman" w:cs="Times New Roman"/>
          <w:b/>
          <w:bCs/>
          <w:sz w:val="28"/>
          <w:szCs w:val="28"/>
        </w:rPr>
      </w:pPr>
      <w:r w:rsidRPr="00131A05">
        <w:rPr>
          <w:rFonts w:ascii="Times New Roman" w:hAnsi="Times New Roman" w:cs="Times New Roman"/>
          <w:b/>
          <w:bCs/>
          <w:sz w:val="28"/>
          <w:szCs w:val="28"/>
        </w:rPr>
        <w:t>Results</w:t>
      </w:r>
    </w:p>
    <w:p w:rsidR="005C7287" w:rsidRPr="00131A05" w:rsidRDefault="00ED544E" w:rsidP="00A258D4">
      <w:pPr>
        <w:spacing w:line="480" w:lineRule="auto"/>
        <w:rPr>
          <w:rFonts w:ascii="Times New Roman" w:hAnsi="Times New Roman" w:cs="Times New Roman"/>
        </w:rPr>
      </w:pPr>
      <w:r w:rsidRPr="00131A05">
        <w:rPr>
          <w:rFonts w:ascii="Times New Roman" w:hAnsi="Times New Roman" w:cs="Times New Roman"/>
        </w:rPr>
        <w:t xml:space="preserve">Table 2 </w:t>
      </w:r>
      <w:r w:rsidR="00C24140" w:rsidRPr="00131A05">
        <w:rPr>
          <w:rFonts w:ascii="Times New Roman" w:hAnsi="Times New Roman" w:cs="Times New Roman"/>
        </w:rPr>
        <w:t xml:space="preserve">(Model 1) </w:t>
      </w:r>
      <w:r w:rsidRPr="00131A05">
        <w:rPr>
          <w:rFonts w:ascii="Times New Roman" w:hAnsi="Times New Roman" w:cs="Times New Roman"/>
        </w:rPr>
        <w:t xml:space="preserve">presents logistic regression results where only parental gambling variables </w:t>
      </w:r>
      <w:r w:rsidR="00915EAD" w:rsidRPr="00131A05">
        <w:rPr>
          <w:rFonts w:ascii="Times New Roman" w:hAnsi="Times New Roman" w:cs="Times New Roman"/>
        </w:rPr>
        <w:t xml:space="preserve">collected at child age 6 </w:t>
      </w:r>
      <w:r w:rsidRPr="00131A05">
        <w:rPr>
          <w:rFonts w:ascii="Times New Roman" w:hAnsi="Times New Roman" w:cs="Times New Roman"/>
        </w:rPr>
        <w:t>are used to predict the risk of their child experiencing MPPG at age 20.</w:t>
      </w:r>
      <w:r w:rsidR="0035662C" w:rsidRPr="00131A05">
        <w:rPr>
          <w:rFonts w:ascii="Times New Roman" w:hAnsi="Times New Roman" w:cs="Times New Roman"/>
        </w:rPr>
        <w:t xml:space="preserve"> </w:t>
      </w:r>
      <w:r w:rsidR="0016119D" w:rsidRPr="00131A05">
        <w:rPr>
          <w:rFonts w:ascii="Times New Roman" w:hAnsi="Times New Roman" w:cs="Times New Roman"/>
        </w:rPr>
        <w:lastRenderedPageBreak/>
        <w:t>Correlation between the number of</w:t>
      </w:r>
      <w:r w:rsidR="00D3183E" w:rsidRPr="00131A05">
        <w:rPr>
          <w:rFonts w:ascii="Times New Roman" w:hAnsi="Times New Roman" w:cs="Times New Roman"/>
        </w:rPr>
        <w:t xml:space="preserve"> regular gambling </w:t>
      </w:r>
      <w:r w:rsidR="0016119D" w:rsidRPr="00131A05">
        <w:rPr>
          <w:rFonts w:ascii="Times New Roman" w:hAnsi="Times New Roman" w:cs="Times New Roman"/>
        </w:rPr>
        <w:t>activities</w:t>
      </w:r>
      <w:r w:rsidR="00D3183E" w:rsidRPr="00131A05">
        <w:rPr>
          <w:rFonts w:ascii="Times New Roman" w:hAnsi="Times New Roman" w:cs="Times New Roman"/>
        </w:rPr>
        <w:t xml:space="preserve"> of a parent and his or her problem gambling score was positive </w:t>
      </w:r>
      <w:r w:rsidR="00AF5EFE" w:rsidRPr="00131A05">
        <w:rPr>
          <w:rFonts w:ascii="Times New Roman" w:hAnsi="Times New Roman" w:cs="Times New Roman"/>
        </w:rPr>
        <w:t xml:space="preserve">(+.22) </w:t>
      </w:r>
      <w:r w:rsidR="00D3183E" w:rsidRPr="00131A05">
        <w:rPr>
          <w:rFonts w:ascii="Times New Roman" w:hAnsi="Times New Roman" w:cs="Times New Roman"/>
        </w:rPr>
        <w:t>but</w:t>
      </w:r>
      <w:r w:rsidR="00AF5EFE" w:rsidRPr="00131A05">
        <w:rPr>
          <w:rFonts w:ascii="Times New Roman" w:hAnsi="Times New Roman" w:cs="Times New Roman"/>
        </w:rPr>
        <w:t xml:space="preserve"> </w:t>
      </w:r>
      <w:r w:rsidR="00D3183E" w:rsidRPr="00131A05">
        <w:rPr>
          <w:rFonts w:ascii="Times New Roman" w:hAnsi="Times New Roman" w:cs="Times New Roman"/>
        </w:rPr>
        <w:t xml:space="preserve">not sufficiently </w:t>
      </w:r>
      <w:r w:rsidR="00AF5EFE" w:rsidRPr="00131A05">
        <w:rPr>
          <w:rFonts w:ascii="Times New Roman" w:hAnsi="Times New Roman" w:cs="Times New Roman"/>
        </w:rPr>
        <w:t xml:space="preserve">high </w:t>
      </w:r>
      <w:r w:rsidR="00D3183E" w:rsidRPr="00131A05">
        <w:rPr>
          <w:rFonts w:ascii="Times New Roman" w:hAnsi="Times New Roman" w:cs="Times New Roman"/>
        </w:rPr>
        <w:t xml:space="preserve">to be problematic in terms of multicollinearity.  </w:t>
      </w:r>
      <w:r w:rsidR="00915EAD" w:rsidRPr="00131A05">
        <w:rPr>
          <w:rFonts w:ascii="Times New Roman" w:hAnsi="Times New Roman" w:cs="Times New Roman"/>
        </w:rPr>
        <w:t xml:space="preserve">Our </w:t>
      </w:r>
      <w:r w:rsidR="00D3183E" w:rsidRPr="00131A05">
        <w:rPr>
          <w:rFonts w:ascii="Times New Roman" w:hAnsi="Times New Roman" w:cs="Times New Roman"/>
        </w:rPr>
        <w:t xml:space="preserve">‘number of activities’ </w:t>
      </w:r>
      <w:r w:rsidR="00915EAD" w:rsidRPr="00131A05">
        <w:rPr>
          <w:rFonts w:ascii="Times New Roman" w:hAnsi="Times New Roman" w:cs="Times New Roman"/>
        </w:rPr>
        <w:t xml:space="preserve">measure of gambling engagement </w:t>
      </w:r>
      <w:r w:rsidR="00D3183E" w:rsidRPr="00131A05">
        <w:rPr>
          <w:rFonts w:ascii="Times New Roman" w:hAnsi="Times New Roman" w:cs="Times New Roman"/>
        </w:rPr>
        <w:t xml:space="preserve">was </w:t>
      </w:r>
      <w:r w:rsidR="00915EAD" w:rsidRPr="00131A05">
        <w:rPr>
          <w:rFonts w:ascii="Times New Roman" w:hAnsi="Times New Roman" w:cs="Times New Roman"/>
        </w:rPr>
        <w:t xml:space="preserve">decisively </w:t>
      </w:r>
      <w:r w:rsidR="00D3183E" w:rsidRPr="00131A05">
        <w:rPr>
          <w:rFonts w:ascii="Times New Roman" w:hAnsi="Times New Roman" w:cs="Times New Roman"/>
        </w:rPr>
        <w:t>non-</w:t>
      </w:r>
      <w:r w:rsidR="00915EAD" w:rsidRPr="00131A05">
        <w:rPr>
          <w:rFonts w:ascii="Times New Roman" w:hAnsi="Times New Roman" w:cs="Times New Roman"/>
        </w:rPr>
        <w:t>significant</w:t>
      </w:r>
      <w:r w:rsidR="00D3183E" w:rsidRPr="00131A05">
        <w:rPr>
          <w:rFonts w:ascii="Times New Roman" w:hAnsi="Times New Roman" w:cs="Times New Roman"/>
        </w:rPr>
        <w:t xml:space="preserve"> for both father and mother in both male and female equations. </w:t>
      </w:r>
      <w:r w:rsidR="00915EAD" w:rsidRPr="00131A05">
        <w:rPr>
          <w:rFonts w:ascii="Times New Roman" w:hAnsi="Times New Roman" w:cs="Times New Roman"/>
        </w:rPr>
        <w:t>However, strong effects are detected on to sons from maternal problem gambling and on to daughters from paternal problem gambling. Thus levels of parental engagement with gambling seems not to matter unless their gambling had shown signs of being problematic according to the SOGS screen.</w:t>
      </w:r>
      <w:r w:rsidR="003C151D" w:rsidRPr="00131A05">
        <w:rPr>
          <w:rFonts w:ascii="Times New Roman" w:hAnsi="Times New Roman" w:cs="Times New Roman"/>
        </w:rPr>
        <w:t xml:space="preserve"> Where there was evidence that problem gambling was a risk to the following generation, transmission </w:t>
      </w:r>
      <w:r w:rsidR="00B50248" w:rsidRPr="00131A05">
        <w:rPr>
          <w:rFonts w:ascii="Times New Roman" w:hAnsi="Times New Roman" w:cs="Times New Roman"/>
        </w:rPr>
        <w:t xml:space="preserve">evident in the data </w:t>
      </w:r>
      <w:r w:rsidR="003C151D" w:rsidRPr="00131A05">
        <w:rPr>
          <w:rFonts w:ascii="Times New Roman" w:hAnsi="Times New Roman" w:cs="Times New Roman"/>
        </w:rPr>
        <w:t xml:space="preserve">was exclusively cross-gender (fathers to daughters, mothers to sons). </w:t>
      </w:r>
    </w:p>
    <w:p w:rsidR="00B40B4A" w:rsidRPr="00131A05" w:rsidRDefault="00915EAD" w:rsidP="00A258D4">
      <w:pPr>
        <w:spacing w:line="480" w:lineRule="auto"/>
        <w:rPr>
          <w:rFonts w:ascii="Times New Roman" w:hAnsi="Times New Roman" w:cs="Times New Roman"/>
        </w:rPr>
        <w:sectPr w:rsidR="00B40B4A" w:rsidRPr="00131A05" w:rsidSect="004744FF">
          <w:footerReference w:type="even" r:id="rId8"/>
          <w:footerReference w:type="default" r:id="rId9"/>
          <w:endnotePr>
            <w:numFmt w:val="decimal"/>
          </w:endnotePr>
          <w:pgSz w:w="11906" w:h="16838"/>
          <w:pgMar w:top="1440" w:right="1440" w:bottom="1440" w:left="1440" w:header="708" w:footer="708" w:gutter="0"/>
          <w:cols w:space="708"/>
          <w:docGrid w:linePitch="360"/>
        </w:sectPr>
      </w:pPr>
      <w:r w:rsidRPr="00131A05">
        <w:rPr>
          <w:rFonts w:ascii="Times New Roman" w:hAnsi="Times New Roman" w:cs="Times New Roman"/>
        </w:rPr>
        <w:t xml:space="preserve"> </w:t>
      </w:r>
    </w:p>
    <w:p w:rsidR="00286981" w:rsidRPr="00131A05" w:rsidRDefault="00286981" w:rsidP="00A258D4">
      <w:pPr>
        <w:spacing w:line="480" w:lineRule="auto"/>
        <w:rPr>
          <w:rFonts w:ascii="Times New Roman" w:hAnsi="Times New Roman" w:cs="Times New Roman"/>
        </w:rPr>
      </w:pPr>
    </w:p>
    <w:p w:rsidR="00867F8A" w:rsidRPr="00131A05" w:rsidRDefault="00867F8A" w:rsidP="00867F8A">
      <w:pPr>
        <w:keepNext/>
        <w:spacing w:after="200" w:line="240" w:lineRule="auto"/>
        <w:jc w:val="center"/>
        <w:rPr>
          <w:rFonts w:ascii="Times New Roman" w:eastAsia="Calibri" w:hAnsi="Times New Roman" w:cs="Times New Roman"/>
          <w:b/>
          <w:bCs/>
        </w:rPr>
      </w:pPr>
      <w:r w:rsidRPr="00131A05">
        <w:rPr>
          <w:rFonts w:ascii="Times New Roman" w:eastAsia="Calibri" w:hAnsi="Times New Roman" w:cs="Times New Roman"/>
          <w:b/>
          <w:bCs/>
        </w:rPr>
        <w:t xml:space="preserve">Table </w:t>
      </w:r>
      <w:r w:rsidRPr="00131A05">
        <w:rPr>
          <w:rFonts w:ascii="Times New Roman" w:eastAsia="Calibri" w:hAnsi="Times New Roman" w:cs="Times New Roman"/>
          <w:b/>
          <w:bCs/>
        </w:rPr>
        <w:fldChar w:fldCharType="begin"/>
      </w:r>
      <w:r w:rsidRPr="00131A05">
        <w:rPr>
          <w:rFonts w:ascii="Times New Roman" w:eastAsia="Calibri" w:hAnsi="Times New Roman" w:cs="Times New Roman"/>
          <w:b/>
          <w:bCs/>
        </w:rPr>
        <w:instrText xml:space="preserve"> SEQ Table \* ARABIC </w:instrText>
      </w:r>
      <w:r w:rsidRPr="00131A05">
        <w:rPr>
          <w:rFonts w:ascii="Times New Roman" w:eastAsia="Calibri" w:hAnsi="Times New Roman" w:cs="Times New Roman"/>
          <w:b/>
          <w:bCs/>
        </w:rPr>
        <w:fldChar w:fldCharType="separate"/>
      </w:r>
      <w:r w:rsidRPr="00131A05">
        <w:rPr>
          <w:rFonts w:ascii="Times New Roman" w:eastAsia="Calibri" w:hAnsi="Times New Roman" w:cs="Times New Roman"/>
          <w:b/>
          <w:bCs/>
          <w:noProof/>
        </w:rPr>
        <w:t>2</w:t>
      </w:r>
      <w:r w:rsidRPr="00131A05">
        <w:rPr>
          <w:rFonts w:ascii="Times New Roman" w:eastAsia="Calibri" w:hAnsi="Times New Roman" w:cs="Times New Roman"/>
          <w:b/>
          <w:bCs/>
        </w:rPr>
        <w:fldChar w:fldCharType="end"/>
      </w:r>
      <w:r w:rsidRPr="00131A05">
        <w:rPr>
          <w:rFonts w:ascii="Times New Roman" w:eastAsia="Calibri" w:hAnsi="Times New Roman" w:cs="Times New Roman"/>
          <w:b/>
          <w:bCs/>
        </w:rPr>
        <w:t>: Results of Logistic Regression Models.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6"/>
        <w:gridCol w:w="1628"/>
        <w:gridCol w:w="1628"/>
        <w:gridCol w:w="1628"/>
        <w:gridCol w:w="1665"/>
        <w:gridCol w:w="1628"/>
        <w:gridCol w:w="1628"/>
      </w:tblGrid>
      <w:tr w:rsidR="00131A05" w:rsidRPr="00131A05" w:rsidTr="00253D5B">
        <w:tc>
          <w:tcPr>
            <w:tcW w:w="0" w:type="auto"/>
            <w:tcBorders>
              <w:top w:val="single" w:sz="4" w:space="0" w:color="auto"/>
            </w:tcBorders>
          </w:tcPr>
          <w:p w:rsidR="00867F8A" w:rsidRPr="00131A05" w:rsidRDefault="00867F8A" w:rsidP="00867F8A">
            <w:pPr>
              <w:contextualSpacing/>
              <w:rPr>
                <w:rFonts w:ascii="Times New Roman" w:eastAsia="Calibri" w:hAnsi="Times New Roman" w:cs="Times New Roman"/>
              </w:rPr>
            </w:pPr>
          </w:p>
        </w:tc>
        <w:tc>
          <w:tcPr>
            <w:tcW w:w="0" w:type="auto"/>
            <w:gridSpan w:val="2"/>
            <w:tcBorders>
              <w:top w:val="single" w:sz="4" w:space="0" w:color="auto"/>
              <w:bottom w:val="single" w:sz="4" w:space="0" w:color="auto"/>
            </w:tcBorders>
          </w:tcPr>
          <w:p w:rsidR="00867F8A" w:rsidRPr="00131A05" w:rsidRDefault="00867F8A" w:rsidP="00867F8A">
            <w:pPr>
              <w:contextualSpacing/>
              <w:jc w:val="center"/>
              <w:rPr>
                <w:rFonts w:ascii="Times New Roman" w:eastAsia="Calibri" w:hAnsi="Times New Roman" w:cs="Times New Roman"/>
              </w:rPr>
            </w:pPr>
            <w:r w:rsidRPr="00131A05">
              <w:rPr>
                <w:rFonts w:ascii="Times New Roman" w:eastAsia="Calibri" w:hAnsi="Times New Roman" w:cs="Times New Roman"/>
              </w:rPr>
              <w:t>Model 1</w:t>
            </w:r>
          </w:p>
        </w:tc>
        <w:tc>
          <w:tcPr>
            <w:tcW w:w="0" w:type="auto"/>
            <w:gridSpan w:val="2"/>
            <w:tcBorders>
              <w:top w:val="single" w:sz="4" w:space="0" w:color="auto"/>
              <w:bottom w:val="single" w:sz="4" w:space="0" w:color="auto"/>
            </w:tcBorders>
          </w:tcPr>
          <w:p w:rsidR="00867F8A" w:rsidRPr="00131A05" w:rsidRDefault="00867F8A" w:rsidP="00867F8A">
            <w:pPr>
              <w:contextualSpacing/>
              <w:jc w:val="center"/>
              <w:rPr>
                <w:rFonts w:ascii="Times New Roman" w:eastAsia="Calibri" w:hAnsi="Times New Roman" w:cs="Times New Roman"/>
              </w:rPr>
            </w:pPr>
            <w:r w:rsidRPr="00131A05">
              <w:rPr>
                <w:rFonts w:ascii="Times New Roman" w:eastAsia="Calibri" w:hAnsi="Times New Roman" w:cs="Times New Roman"/>
              </w:rPr>
              <w:t>Model 2</w:t>
            </w:r>
          </w:p>
        </w:tc>
        <w:tc>
          <w:tcPr>
            <w:tcW w:w="0" w:type="auto"/>
            <w:gridSpan w:val="2"/>
            <w:tcBorders>
              <w:top w:val="single" w:sz="4" w:space="0" w:color="auto"/>
              <w:bottom w:val="single" w:sz="4" w:space="0" w:color="auto"/>
            </w:tcBorders>
          </w:tcPr>
          <w:p w:rsidR="00867F8A" w:rsidRPr="00131A05" w:rsidRDefault="00867F8A" w:rsidP="00867F8A">
            <w:pPr>
              <w:contextualSpacing/>
              <w:jc w:val="center"/>
              <w:rPr>
                <w:rFonts w:ascii="Times New Roman" w:eastAsia="Calibri" w:hAnsi="Times New Roman" w:cs="Times New Roman"/>
              </w:rPr>
            </w:pPr>
            <w:r w:rsidRPr="00131A05">
              <w:rPr>
                <w:rFonts w:ascii="Times New Roman" w:eastAsia="Calibri" w:hAnsi="Times New Roman" w:cs="Times New Roman"/>
              </w:rPr>
              <w:t>Model 3</w:t>
            </w:r>
          </w:p>
        </w:tc>
      </w:tr>
      <w:tr w:rsidR="00131A05" w:rsidRPr="00131A05" w:rsidTr="00253D5B">
        <w:tc>
          <w:tcPr>
            <w:tcW w:w="0" w:type="auto"/>
          </w:tcPr>
          <w:p w:rsidR="00867F8A" w:rsidRPr="00131A05" w:rsidRDefault="00867F8A" w:rsidP="00867F8A">
            <w:pPr>
              <w:contextualSpacing/>
              <w:rPr>
                <w:rFonts w:ascii="Times New Roman" w:eastAsia="Calibri" w:hAnsi="Times New Roman" w:cs="Times New Roman"/>
              </w:rPr>
            </w:pPr>
          </w:p>
        </w:tc>
        <w:tc>
          <w:tcPr>
            <w:tcW w:w="0" w:type="auto"/>
            <w:tcBorders>
              <w:top w:val="single" w:sz="4" w:space="0" w:color="auto"/>
              <w:bottom w:val="single" w:sz="4" w:space="0" w:color="auto"/>
            </w:tcBorders>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Males</w:t>
            </w:r>
          </w:p>
        </w:tc>
        <w:tc>
          <w:tcPr>
            <w:tcW w:w="0" w:type="auto"/>
            <w:tcBorders>
              <w:top w:val="single" w:sz="4" w:space="0" w:color="auto"/>
              <w:bottom w:val="single" w:sz="4" w:space="0" w:color="auto"/>
            </w:tcBorders>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Females</w:t>
            </w:r>
          </w:p>
        </w:tc>
        <w:tc>
          <w:tcPr>
            <w:tcW w:w="0" w:type="auto"/>
            <w:tcBorders>
              <w:top w:val="single" w:sz="4" w:space="0" w:color="auto"/>
              <w:bottom w:val="single" w:sz="4" w:space="0" w:color="auto"/>
            </w:tcBorders>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Males</w:t>
            </w:r>
          </w:p>
        </w:tc>
        <w:tc>
          <w:tcPr>
            <w:tcW w:w="0" w:type="auto"/>
            <w:tcBorders>
              <w:top w:val="single" w:sz="4" w:space="0" w:color="auto"/>
              <w:bottom w:val="single" w:sz="4" w:space="0" w:color="auto"/>
            </w:tcBorders>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Females</w:t>
            </w:r>
          </w:p>
        </w:tc>
        <w:tc>
          <w:tcPr>
            <w:tcW w:w="0" w:type="auto"/>
            <w:tcBorders>
              <w:top w:val="single" w:sz="4" w:space="0" w:color="auto"/>
              <w:bottom w:val="single" w:sz="4" w:space="0" w:color="auto"/>
            </w:tcBorders>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Males</w:t>
            </w:r>
          </w:p>
        </w:tc>
        <w:tc>
          <w:tcPr>
            <w:tcW w:w="0" w:type="auto"/>
            <w:tcBorders>
              <w:top w:val="single" w:sz="4" w:space="0" w:color="auto"/>
              <w:bottom w:val="single" w:sz="4" w:space="0" w:color="auto"/>
            </w:tcBorders>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Females</w:t>
            </w:r>
          </w:p>
        </w:tc>
      </w:tr>
      <w:tr w:rsidR="00131A05" w:rsidRPr="00131A05" w:rsidTr="00253D5B">
        <w:tc>
          <w:tcPr>
            <w:tcW w:w="0" w:type="auto"/>
            <w:tcBorders>
              <w:bottom w:val="single" w:sz="4" w:space="0" w:color="auto"/>
            </w:tcBorders>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Variable</w:t>
            </w:r>
          </w:p>
        </w:tc>
        <w:tc>
          <w:tcPr>
            <w:tcW w:w="0" w:type="auto"/>
            <w:tcBorders>
              <w:top w:val="single" w:sz="4" w:space="0" w:color="auto"/>
              <w:bottom w:val="single" w:sz="4" w:space="0" w:color="auto"/>
            </w:tcBorders>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Estimate (t-stat)</w:t>
            </w:r>
          </w:p>
        </w:tc>
        <w:tc>
          <w:tcPr>
            <w:tcW w:w="0" w:type="auto"/>
            <w:tcBorders>
              <w:top w:val="single" w:sz="4" w:space="0" w:color="auto"/>
              <w:bottom w:val="single" w:sz="4" w:space="0" w:color="auto"/>
            </w:tcBorders>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Estimate (t-stat)</w:t>
            </w:r>
          </w:p>
        </w:tc>
        <w:tc>
          <w:tcPr>
            <w:tcW w:w="0" w:type="auto"/>
            <w:tcBorders>
              <w:top w:val="single" w:sz="4" w:space="0" w:color="auto"/>
              <w:bottom w:val="single" w:sz="4" w:space="0" w:color="auto"/>
            </w:tcBorders>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Estimate (t-stat)</w:t>
            </w:r>
          </w:p>
        </w:tc>
        <w:tc>
          <w:tcPr>
            <w:tcW w:w="0" w:type="auto"/>
            <w:tcBorders>
              <w:top w:val="single" w:sz="4" w:space="0" w:color="auto"/>
              <w:bottom w:val="single" w:sz="4" w:space="0" w:color="auto"/>
            </w:tcBorders>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Estimate (t-stat)</w:t>
            </w:r>
          </w:p>
        </w:tc>
        <w:tc>
          <w:tcPr>
            <w:tcW w:w="0" w:type="auto"/>
            <w:tcBorders>
              <w:top w:val="single" w:sz="4" w:space="0" w:color="auto"/>
              <w:bottom w:val="single" w:sz="4" w:space="0" w:color="auto"/>
            </w:tcBorders>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Estimate (t-stat)</w:t>
            </w:r>
          </w:p>
        </w:tc>
        <w:tc>
          <w:tcPr>
            <w:tcW w:w="0" w:type="auto"/>
            <w:tcBorders>
              <w:top w:val="single" w:sz="4" w:space="0" w:color="auto"/>
              <w:bottom w:val="single" w:sz="4" w:space="0" w:color="auto"/>
            </w:tcBorders>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Estimate (t-stat)</w:t>
            </w:r>
          </w:p>
        </w:tc>
      </w:tr>
      <w:tr w:rsidR="00131A05" w:rsidRPr="00131A05" w:rsidTr="00253D5B">
        <w:tc>
          <w:tcPr>
            <w:tcW w:w="0" w:type="auto"/>
            <w:tcBorders>
              <w:top w:val="single" w:sz="4" w:space="0" w:color="auto"/>
            </w:tcBorders>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Mother's Number of Activities Weekly</w:t>
            </w:r>
          </w:p>
        </w:tc>
        <w:tc>
          <w:tcPr>
            <w:tcW w:w="0" w:type="auto"/>
            <w:tcBorders>
              <w:top w:val="single" w:sz="4" w:space="0" w:color="auto"/>
            </w:tcBorders>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0.111 (0.29)</w:t>
            </w:r>
          </w:p>
        </w:tc>
        <w:tc>
          <w:tcPr>
            <w:tcW w:w="0" w:type="auto"/>
            <w:tcBorders>
              <w:top w:val="single" w:sz="4" w:space="0" w:color="auto"/>
            </w:tcBorders>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-0.430 (-0.472)</w:t>
            </w:r>
          </w:p>
        </w:tc>
        <w:tc>
          <w:tcPr>
            <w:tcW w:w="0" w:type="auto"/>
            <w:tcBorders>
              <w:top w:val="single" w:sz="4" w:space="0" w:color="auto"/>
            </w:tcBorders>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0.020 (0.05)</w:t>
            </w:r>
          </w:p>
        </w:tc>
        <w:tc>
          <w:tcPr>
            <w:tcW w:w="0" w:type="auto"/>
            <w:tcBorders>
              <w:top w:val="single" w:sz="4" w:space="0" w:color="auto"/>
            </w:tcBorders>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-0.149 (-0.17)</w:t>
            </w:r>
          </w:p>
        </w:tc>
        <w:tc>
          <w:tcPr>
            <w:tcW w:w="0" w:type="auto"/>
            <w:tcBorders>
              <w:top w:val="single" w:sz="4" w:space="0" w:color="auto"/>
            </w:tcBorders>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0.084 (0.20)</w:t>
            </w:r>
          </w:p>
        </w:tc>
        <w:tc>
          <w:tcPr>
            <w:tcW w:w="0" w:type="auto"/>
            <w:tcBorders>
              <w:top w:val="single" w:sz="4" w:space="0" w:color="auto"/>
            </w:tcBorders>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0.220 (0.19)</w:t>
            </w:r>
          </w:p>
        </w:tc>
      </w:tr>
      <w:tr w:rsidR="00131A05" w:rsidRPr="00131A05" w:rsidTr="00253D5B">
        <w:tc>
          <w:tcPr>
            <w:tcW w:w="0" w:type="auto"/>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Mother's Problem Gambling Score</w:t>
            </w:r>
          </w:p>
        </w:tc>
        <w:tc>
          <w:tcPr>
            <w:tcW w:w="0" w:type="auto"/>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0.645 (2.56)</w:t>
            </w:r>
          </w:p>
        </w:tc>
        <w:tc>
          <w:tcPr>
            <w:tcW w:w="0" w:type="auto"/>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-16.134 (-0.01)</w:t>
            </w:r>
          </w:p>
        </w:tc>
        <w:tc>
          <w:tcPr>
            <w:tcW w:w="0" w:type="auto"/>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0.723 (2.70)</w:t>
            </w:r>
          </w:p>
        </w:tc>
        <w:tc>
          <w:tcPr>
            <w:tcW w:w="0" w:type="auto"/>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-18.884 (-0.01)</w:t>
            </w: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0.630 (2.07)</w:t>
            </w: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-25.760 (-0.01)</w:t>
            </w:r>
          </w:p>
        </w:tc>
      </w:tr>
      <w:tr w:rsidR="00131A05" w:rsidRPr="00131A05" w:rsidTr="00253D5B">
        <w:tc>
          <w:tcPr>
            <w:tcW w:w="0" w:type="auto"/>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Partner's Number of Activities Weekly</w:t>
            </w:r>
          </w:p>
        </w:tc>
        <w:tc>
          <w:tcPr>
            <w:tcW w:w="0" w:type="auto"/>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0.329 (0.99)</w:t>
            </w:r>
          </w:p>
        </w:tc>
        <w:tc>
          <w:tcPr>
            <w:tcW w:w="0" w:type="auto"/>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-0.641 (-0.96)</w:t>
            </w:r>
          </w:p>
        </w:tc>
        <w:tc>
          <w:tcPr>
            <w:tcW w:w="0" w:type="auto"/>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0.240 (0.70)</w:t>
            </w:r>
          </w:p>
        </w:tc>
        <w:tc>
          <w:tcPr>
            <w:tcW w:w="0" w:type="auto"/>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-1.263 (-1.71)</w:t>
            </w: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0.035 (0.09)</w:t>
            </w: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-2.554 (-1.83)</w:t>
            </w:r>
          </w:p>
        </w:tc>
      </w:tr>
      <w:tr w:rsidR="00131A05" w:rsidRPr="00131A05" w:rsidTr="00253D5B">
        <w:tc>
          <w:tcPr>
            <w:tcW w:w="0" w:type="auto"/>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Partner's Problem Gambling Score</w:t>
            </w:r>
          </w:p>
        </w:tc>
        <w:tc>
          <w:tcPr>
            <w:tcW w:w="0" w:type="auto"/>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0.079 (0.52)</w:t>
            </w:r>
          </w:p>
        </w:tc>
        <w:tc>
          <w:tcPr>
            <w:tcW w:w="0" w:type="auto"/>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0.697 (3.06)</w:t>
            </w:r>
          </w:p>
        </w:tc>
        <w:tc>
          <w:tcPr>
            <w:tcW w:w="0" w:type="auto"/>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0.061 (0.399)</w:t>
            </w:r>
          </w:p>
        </w:tc>
        <w:tc>
          <w:tcPr>
            <w:tcW w:w="0" w:type="auto"/>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0.912 (3.02)</w:t>
            </w: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0.141 (0.83)</w:t>
            </w: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1.627 (2.37)</w:t>
            </w:r>
          </w:p>
        </w:tc>
      </w:tr>
      <w:tr w:rsidR="00131A05" w:rsidRPr="00131A05" w:rsidTr="00253D5B">
        <w:tc>
          <w:tcPr>
            <w:tcW w:w="0" w:type="auto"/>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Mother Has No Qualifications</w:t>
            </w: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-0.549 (-0.43)</w:t>
            </w:r>
          </w:p>
        </w:tc>
        <w:tc>
          <w:tcPr>
            <w:tcW w:w="0" w:type="auto"/>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-17.628 (-0.001)</w:t>
            </w: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-0.354 (-0.22)</w:t>
            </w: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-16.250 (0.00)</w:t>
            </w:r>
          </w:p>
        </w:tc>
      </w:tr>
      <w:tr w:rsidR="00131A05" w:rsidRPr="00131A05" w:rsidTr="00253D5B">
        <w:tc>
          <w:tcPr>
            <w:tcW w:w="0" w:type="auto"/>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Mother has Above GCSEs</w:t>
            </w: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-0.536 (-1.18)</w:t>
            </w:r>
          </w:p>
        </w:tc>
        <w:tc>
          <w:tcPr>
            <w:tcW w:w="0" w:type="auto"/>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1.252 (1.53)</w:t>
            </w: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-0.723 (-1.52)</w:t>
            </w: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0.272 (0.19)</w:t>
            </w:r>
          </w:p>
        </w:tc>
      </w:tr>
      <w:tr w:rsidR="00131A05" w:rsidRPr="00131A05" w:rsidTr="00253D5B">
        <w:tc>
          <w:tcPr>
            <w:tcW w:w="0" w:type="auto"/>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Mother's Qualifications Unknown</w:t>
            </w: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-14.140 (-0.01)</w:t>
            </w:r>
          </w:p>
        </w:tc>
        <w:tc>
          <w:tcPr>
            <w:tcW w:w="0" w:type="auto"/>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-17.805 (-0.001)</w:t>
            </w: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-15.160 (-0.01)</w:t>
            </w: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-14.350 (0.00)</w:t>
            </w:r>
          </w:p>
        </w:tc>
      </w:tr>
      <w:tr w:rsidR="00131A05" w:rsidRPr="00131A05" w:rsidTr="00253D5B">
        <w:tc>
          <w:tcPr>
            <w:tcW w:w="0" w:type="auto"/>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Partner Has No Qualifications</w:t>
            </w: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-0.107 (-0.11)</w:t>
            </w:r>
          </w:p>
        </w:tc>
        <w:tc>
          <w:tcPr>
            <w:tcW w:w="0" w:type="auto"/>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-20.229 (-0.002)</w:t>
            </w: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-0.086 (-0.08)</w:t>
            </w: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-19.000 (0.00)</w:t>
            </w:r>
          </w:p>
        </w:tc>
      </w:tr>
      <w:tr w:rsidR="00131A05" w:rsidRPr="00131A05" w:rsidTr="00253D5B">
        <w:tc>
          <w:tcPr>
            <w:tcW w:w="0" w:type="auto"/>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Partner Has Above GCSEs</w:t>
            </w: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-0.153 (-0.35)</w:t>
            </w:r>
          </w:p>
        </w:tc>
        <w:tc>
          <w:tcPr>
            <w:tcW w:w="0" w:type="auto"/>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-19.505 (-0.007)</w:t>
            </w: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-0.193 (-0.41)</w:t>
            </w: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-20.270 (-0.01)</w:t>
            </w:r>
          </w:p>
        </w:tc>
      </w:tr>
      <w:tr w:rsidR="00131A05" w:rsidRPr="00131A05" w:rsidTr="00253D5B">
        <w:tc>
          <w:tcPr>
            <w:tcW w:w="0" w:type="auto"/>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Partner's Qualifications Unknown</w:t>
            </w: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0.727 (0.63)</w:t>
            </w:r>
          </w:p>
        </w:tc>
        <w:tc>
          <w:tcPr>
            <w:tcW w:w="0" w:type="auto"/>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-18.387 (-0.001)</w:t>
            </w: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0.592 (0.49)</w:t>
            </w: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-16.730 (0.00)</w:t>
            </w:r>
          </w:p>
        </w:tc>
      </w:tr>
      <w:tr w:rsidR="00131A05" w:rsidRPr="00131A05" w:rsidTr="00253D5B">
        <w:tc>
          <w:tcPr>
            <w:tcW w:w="0" w:type="auto"/>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Arguments At Home</w:t>
            </w: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0.236 (0.56)</w:t>
            </w: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0.935 (0.75)</w:t>
            </w:r>
          </w:p>
        </w:tc>
      </w:tr>
      <w:tr w:rsidR="00131A05" w:rsidRPr="00131A05" w:rsidTr="00253D5B">
        <w:tc>
          <w:tcPr>
            <w:tcW w:w="0" w:type="auto"/>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Mother's BMI</w:t>
            </w: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-0.011 (-0.22)</w:t>
            </w: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0.071 (0.54)</w:t>
            </w:r>
          </w:p>
        </w:tc>
      </w:tr>
      <w:tr w:rsidR="00131A05" w:rsidRPr="00131A05" w:rsidTr="00253D5B">
        <w:tc>
          <w:tcPr>
            <w:tcW w:w="0" w:type="auto"/>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Mother Smokes</w:t>
            </w: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0.026 (0.38)</w:t>
            </w: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-0.207 (-0.88)</w:t>
            </w:r>
          </w:p>
        </w:tc>
      </w:tr>
      <w:tr w:rsidR="00131A05" w:rsidRPr="00131A05" w:rsidTr="00253D5B">
        <w:tc>
          <w:tcPr>
            <w:tcW w:w="0" w:type="auto"/>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Mother Moderate or Heavy Drinker</w:t>
            </w: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-0.454 (-0.62)</w:t>
            </w: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1.874 (1.30)</w:t>
            </w:r>
          </w:p>
        </w:tc>
      </w:tr>
      <w:tr w:rsidR="00131A05" w:rsidRPr="00131A05" w:rsidTr="00253D5B">
        <w:tc>
          <w:tcPr>
            <w:tcW w:w="0" w:type="auto"/>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Mother Reports Emotional Problems</w:t>
            </w: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0.722 (1.22)</w:t>
            </w: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2.128 (1.38)</w:t>
            </w:r>
          </w:p>
        </w:tc>
      </w:tr>
      <w:tr w:rsidR="00131A05" w:rsidRPr="00131A05" w:rsidTr="00253D5B">
        <w:tc>
          <w:tcPr>
            <w:tcW w:w="0" w:type="auto"/>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Mother Lives With Partner</w:t>
            </w: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0.463 (1.09)</w:t>
            </w: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1.237 (0.81)</w:t>
            </w:r>
          </w:p>
        </w:tc>
      </w:tr>
      <w:tr w:rsidR="00131A05" w:rsidRPr="00131A05" w:rsidTr="00253D5B">
        <w:tc>
          <w:tcPr>
            <w:tcW w:w="0" w:type="auto"/>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Mother Reports Partner "Loves Child"</w:t>
            </w: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-0.201 (-0.31)</w:t>
            </w: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-19.790 (0.00)</w:t>
            </w:r>
          </w:p>
        </w:tc>
      </w:tr>
      <w:tr w:rsidR="00131A05" w:rsidRPr="00131A05" w:rsidTr="00253D5B">
        <w:tc>
          <w:tcPr>
            <w:tcW w:w="0" w:type="auto"/>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Partner Smokes</w:t>
            </w: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13.890 (0.01)</w:t>
            </w: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14.480 (0.00)</w:t>
            </w:r>
          </w:p>
        </w:tc>
      </w:tr>
      <w:tr w:rsidR="00131A05" w:rsidRPr="00131A05" w:rsidTr="00253D5B">
        <w:tc>
          <w:tcPr>
            <w:tcW w:w="0" w:type="auto"/>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Partner's BMI</w:t>
            </w: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0.804 (1.23)</w:t>
            </w: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-0.594 (-0.28)</w:t>
            </w:r>
          </w:p>
        </w:tc>
      </w:tr>
      <w:tr w:rsidR="00131A05" w:rsidRPr="00131A05" w:rsidTr="00253D5B">
        <w:tc>
          <w:tcPr>
            <w:tcW w:w="0" w:type="auto"/>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Fried Food Eaten More Than Twice Weekly</w:t>
            </w: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-1.523 (-1.37)</w:t>
            </w: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-0.408 (-0.29)</w:t>
            </w:r>
          </w:p>
        </w:tc>
      </w:tr>
      <w:tr w:rsidR="00131A05" w:rsidRPr="00131A05" w:rsidTr="00253D5B">
        <w:tc>
          <w:tcPr>
            <w:tcW w:w="0" w:type="auto"/>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Partner Active In Last Few Weeks</w:t>
            </w: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-0.923 (-1.54)</w:t>
            </w: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-3.677 (-2.03)</w:t>
            </w:r>
          </w:p>
        </w:tc>
      </w:tr>
      <w:tr w:rsidR="00131A05" w:rsidRPr="00131A05" w:rsidTr="00253D5B">
        <w:tc>
          <w:tcPr>
            <w:tcW w:w="0" w:type="auto"/>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Partner In Trouble With The Law</w:t>
            </w: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tcPr>
          <w:p w:rsidR="00867F8A" w:rsidRPr="00131A05" w:rsidRDefault="00867F8A" w:rsidP="00867F8A">
            <w:pPr>
              <w:contextualSpacing/>
              <w:jc w:val="right"/>
              <w:rPr>
                <w:rFonts w:ascii="Times New Roman" w:eastAsia="Calibri" w:hAnsi="Times New Roman" w:cs="Times New Roman"/>
              </w:rPr>
            </w:pP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-0.762 (-1.32)</w:t>
            </w: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-2.827 (-1.25)</w:t>
            </w:r>
          </w:p>
        </w:tc>
      </w:tr>
      <w:tr w:rsidR="00131A05" w:rsidRPr="00131A05" w:rsidTr="00253D5B">
        <w:tc>
          <w:tcPr>
            <w:tcW w:w="0" w:type="auto"/>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Constant</w:t>
            </w:r>
          </w:p>
        </w:tc>
        <w:tc>
          <w:tcPr>
            <w:tcW w:w="0" w:type="auto"/>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-3.017 (-9.74)</w:t>
            </w:r>
          </w:p>
        </w:tc>
        <w:tc>
          <w:tcPr>
            <w:tcW w:w="0" w:type="auto"/>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-4.512 (-8.60)</w:t>
            </w:r>
          </w:p>
        </w:tc>
        <w:tc>
          <w:tcPr>
            <w:tcW w:w="0" w:type="auto"/>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-2.654 (-6.81)</w:t>
            </w:r>
          </w:p>
        </w:tc>
        <w:tc>
          <w:tcPr>
            <w:tcW w:w="0" w:type="auto"/>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-4.243 (-5.32)</w:t>
            </w: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-16.138 (-0.01)</w:t>
            </w:r>
          </w:p>
        </w:tc>
        <w:tc>
          <w:tcPr>
            <w:tcW w:w="0" w:type="auto"/>
            <w:vAlign w:val="bottom"/>
          </w:tcPr>
          <w:p w:rsidR="00867F8A" w:rsidRPr="00131A05" w:rsidRDefault="00867F8A" w:rsidP="00867F8A">
            <w:pPr>
              <w:contextualSpacing/>
              <w:jc w:val="right"/>
              <w:rPr>
                <w:rFonts w:ascii="Times New Roman" w:eastAsia="Calibri" w:hAnsi="Times New Roman" w:cs="Times New Roman"/>
              </w:rPr>
            </w:pPr>
            <w:r w:rsidRPr="00131A05">
              <w:rPr>
                <w:rFonts w:ascii="Times New Roman" w:eastAsia="Calibri" w:hAnsi="Times New Roman" w:cs="Times New Roman"/>
              </w:rPr>
              <w:t>-13.420 (0.00)</w:t>
            </w:r>
          </w:p>
        </w:tc>
      </w:tr>
      <w:tr w:rsidR="00131A05" w:rsidRPr="00131A05" w:rsidTr="00253D5B">
        <w:tc>
          <w:tcPr>
            <w:tcW w:w="0" w:type="auto"/>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N</w:t>
            </w:r>
          </w:p>
        </w:tc>
        <w:tc>
          <w:tcPr>
            <w:tcW w:w="0" w:type="auto"/>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450</w:t>
            </w:r>
          </w:p>
        </w:tc>
        <w:tc>
          <w:tcPr>
            <w:tcW w:w="0" w:type="auto"/>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608</w:t>
            </w:r>
          </w:p>
        </w:tc>
        <w:tc>
          <w:tcPr>
            <w:tcW w:w="0" w:type="auto"/>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450</w:t>
            </w:r>
          </w:p>
        </w:tc>
        <w:tc>
          <w:tcPr>
            <w:tcW w:w="0" w:type="auto"/>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608</w:t>
            </w:r>
          </w:p>
        </w:tc>
        <w:tc>
          <w:tcPr>
            <w:tcW w:w="0" w:type="auto"/>
            <w:vAlign w:val="bottom"/>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450</w:t>
            </w:r>
          </w:p>
        </w:tc>
        <w:tc>
          <w:tcPr>
            <w:tcW w:w="0" w:type="auto"/>
            <w:vAlign w:val="bottom"/>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608</w:t>
            </w:r>
          </w:p>
        </w:tc>
      </w:tr>
      <w:tr w:rsidR="00131A05" w:rsidRPr="00131A05" w:rsidTr="00253D5B">
        <w:tc>
          <w:tcPr>
            <w:tcW w:w="0" w:type="auto"/>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Log-Likelihood</w:t>
            </w:r>
          </w:p>
        </w:tc>
        <w:tc>
          <w:tcPr>
            <w:tcW w:w="0" w:type="auto"/>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-111.0</w:t>
            </w:r>
          </w:p>
        </w:tc>
        <w:tc>
          <w:tcPr>
            <w:tcW w:w="0" w:type="auto"/>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-33.2</w:t>
            </w:r>
          </w:p>
        </w:tc>
        <w:tc>
          <w:tcPr>
            <w:tcW w:w="0" w:type="auto"/>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-109.4</w:t>
            </w:r>
          </w:p>
        </w:tc>
        <w:tc>
          <w:tcPr>
            <w:tcW w:w="0" w:type="auto"/>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-25.79</w:t>
            </w:r>
          </w:p>
        </w:tc>
        <w:tc>
          <w:tcPr>
            <w:tcW w:w="0" w:type="auto"/>
            <w:vAlign w:val="bottom"/>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-97.01</w:t>
            </w:r>
          </w:p>
        </w:tc>
        <w:tc>
          <w:tcPr>
            <w:tcW w:w="0" w:type="auto"/>
            <w:vAlign w:val="bottom"/>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-16.71</w:t>
            </w:r>
          </w:p>
        </w:tc>
      </w:tr>
      <w:tr w:rsidR="00131A05" w:rsidRPr="00131A05" w:rsidTr="00253D5B">
        <w:tc>
          <w:tcPr>
            <w:tcW w:w="0" w:type="auto"/>
            <w:tcBorders>
              <w:bottom w:val="single" w:sz="4" w:space="0" w:color="auto"/>
            </w:tcBorders>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AIC</w:t>
            </w:r>
          </w:p>
        </w:tc>
        <w:tc>
          <w:tcPr>
            <w:tcW w:w="0" w:type="auto"/>
            <w:tcBorders>
              <w:bottom w:val="single" w:sz="4" w:space="0" w:color="auto"/>
            </w:tcBorders>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232.1</w:t>
            </w:r>
          </w:p>
        </w:tc>
        <w:tc>
          <w:tcPr>
            <w:tcW w:w="0" w:type="auto"/>
            <w:tcBorders>
              <w:bottom w:val="single" w:sz="4" w:space="0" w:color="auto"/>
            </w:tcBorders>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76.3</w:t>
            </w:r>
          </w:p>
        </w:tc>
        <w:tc>
          <w:tcPr>
            <w:tcW w:w="0" w:type="auto"/>
            <w:tcBorders>
              <w:bottom w:val="single" w:sz="4" w:space="0" w:color="auto"/>
            </w:tcBorders>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240.8</w:t>
            </w:r>
          </w:p>
        </w:tc>
        <w:tc>
          <w:tcPr>
            <w:tcW w:w="0" w:type="auto"/>
            <w:tcBorders>
              <w:bottom w:val="single" w:sz="4" w:space="0" w:color="auto"/>
            </w:tcBorders>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73.6</w:t>
            </w:r>
          </w:p>
        </w:tc>
        <w:tc>
          <w:tcPr>
            <w:tcW w:w="0" w:type="auto"/>
            <w:tcBorders>
              <w:bottom w:val="single" w:sz="4" w:space="0" w:color="auto"/>
            </w:tcBorders>
            <w:vAlign w:val="bottom"/>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252.02</w:t>
            </w:r>
          </w:p>
        </w:tc>
        <w:tc>
          <w:tcPr>
            <w:tcW w:w="0" w:type="auto"/>
            <w:tcBorders>
              <w:bottom w:val="single" w:sz="4" w:space="0" w:color="auto"/>
            </w:tcBorders>
            <w:vAlign w:val="bottom"/>
          </w:tcPr>
          <w:p w:rsidR="00867F8A" w:rsidRPr="00131A05" w:rsidRDefault="00867F8A" w:rsidP="00867F8A">
            <w:pPr>
              <w:contextualSpacing/>
              <w:rPr>
                <w:rFonts w:ascii="Times New Roman" w:eastAsia="Calibri" w:hAnsi="Times New Roman" w:cs="Times New Roman"/>
              </w:rPr>
            </w:pPr>
            <w:r w:rsidRPr="00131A05">
              <w:rPr>
                <w:rFonts w:ascii="Times New Roman" w:eastAsia="Calibri" w:hAnsi="Times New Roman" w:cs="Times New Roman"/>
              </w:rPr>
              <w:t>91.43</w:t>
            </w:r>
          </w:p>
        </w:tc>
      </w:tr>
    </w:tbl>
    <w:p w:rsidR="00B40B4A" w:rsidRPr="00131A05" w:rsidRDefault="00B40B4A" w:rsidP="00867F8A">
      <w:pPr>
        <w:spacing w:after="0" w:line="240" w:lineRule="auto"/>
        <w:rPr>
          <w:rFonts w:ascii="Calibri" w:eastAsia="Calibri" w:hAnsi="Calibri" w:cs="Times New Roman"/>
          <w:sz w:val="24"/>
          <w:szCs w:val="24"/>
        </w:rPr>
        <w:sectPr w:rsidR="00B40B4A" w:rsidRPr="00131A05" w:rsidSect="00B40B4A">
          <w:endnotePr>
            <w:numFmt w:val="decimal"/>
          </w:endnotePr>
          <w:pgSz w:w="16838" w:h="11906" w:orient="landscape"/>
          <w:pgMar w:top="1440" w:right="1440" w:bottom="1440" w:left="1440" w:header="708" w:footer="708" w:gutter="0"/>
          <w:cols w:space="708"/>
          <w:docGrid w:linePitch="360"/>
        </w:sectPr>
      </w:pPr>
    </w:p>
    <w:p w:rsidR="00C04041" w:rsidRPr="00131A05" w:rsidRDefault="00C04041" w:rsidP="00A258D4">
      <w:pPr>
        <w:spacing w:line="480" w:lineRule="auto"/>
        <w:rPr>
          <w:rFonts w:ascii="Times New Roman" w:hAnsi="Times New Roman" w:cs="Times New Roman"/>
        </w:rPr>
      </w:pPr>
    </w:p>
    <w:p w:rsidR="00C04041" w:rsidRPr="00131A05" w:rsidRDefault="00C04041" w:rsidP="00A258D4">
      <w:pPr>
        <w:spacing w:line="480" w:lineRule="auto"/>
        <w:rPr>
          <w:rFonts w:ascii="Times New Roman" w:hAnsi="Times New Roman" w:cs="Times New Roman"/>
        </w:rPr>
      </w:pPr>
      <w:r w:rsidRPr="00131A05">
        <w:rPr>
          <w:rFonts w:ascii="Times New Roman" w:hAnsi="Times New Roman" w:cs="Times New Roman"/>
        </w:rPr>
        <w:t xml:space="preserve">Effect sizes </w:t>
      </w:r>
      <w:r w:rsidR="005F41B5" w:rsidRPr="00131A05">
        <w:rPr>
          <w:rFonts w:ascii="Times New Roman" w:hAnsi="Times New Roman" w:cs="Times New Roman"/>
        </w:rPr>
        <w:t xml:space="preserve">on MPPG </w:t>
      </w:r>
      <w:r w:rsidRPr="00131A05">
        <w:rPr>
          <w:rFonts w:ascii="Times New Roman" w:hAnsi="Times New Roman" w:cs="Times New Roman"/>
        </w:rPr>
        <w:t>from parental problem gambling scores were relatively high. Odds</w:t>
      </w:r>
      <w:r w:rsidR="00877D0F" w:rsidRPr="00131A05">
        <w:rPr>
          <w:rFonts w:ascii="Times New Roman" w:hAnsi="Times New Roman" w:cs="Times New Roman"/>
        </w:rPr>
        <w:t>-</w:t>
      </w:r>
      <w:r w:rsidRPr="00131A05">
        <w:rPr>
          <w:rFonts w:ascii="Times New Roman" w:hAnsi="Times New Roman" w:cs="Times New Roman"/>
        </w:rPr>
        <w:t xml:space="preserve">ratios for mother-son and father-daughter effects were 1.91 and 2.01 respectively. For example, if a mother were among the 8% who scored 1 point on the </w:t>
      </w:r>
      <w:r w:rsidR="00BD1603" w:rsidRPr="00131A05">
        <w:rPr>
          <w:rFonts w:ascii="Times New Roman" w:hAnsi="Times New Roman" w:cs="Times New Roman"/>
        </w:rPr>
        <w:t xml:space="preserve">modified </w:t>
      </w:r>
      <w:r w:rsidR="00637594" w:rsidRPr="00131A05">
        <w:rPr>
          <w:rFonts w:ascii="Times New Roman" w:hAnsi="Times New Roman" w:cs="Times New Roman"/>
        </w:rPr>
        <w:t xml:space="preserve">12-item </w:t>
      </w:r>
      <w:r w:rsidRPr="00131A05">
        <w:rPr>
          <w:rFonts w:ascii="Times New Roman" w:hAnsi="Times New Roman" w:cs="Times New Roman"/>
        </w:rPr>
        <w:t xml:space="preserve">SOGS screen, this was predicted to nearly double the odds of MPPG in the son relative to her being in the 85% </w:t>
      </w:r>
      <w:r w:rsidR="00286981" w:rsidRPr="00131A05">
        <w:rPr>
          <w:rFonts w:ascii="Times New Roman" w:hAnsi="Times New Roman" w:cs="Times New Roman"/>
        </w:rPr>
        <w:t xml:space="preserve">of mothers </w:t>
      </w:r>
      <w:r w:rsidRPr="00131A05">
        <w:rPr>
          <w:rFonts w:ascii="Times New Roman" w:hAnsi="Times New Roman" w:cs="Times New Roman"/>
        </w:rPr>
        <w:t>who had a SOGS score of 0.</w:t>
      </w:r>
    </w:p>
    <w:p w:rsidR="00C04041" w:rsidRPr="00131A05" w:rsidRDefault="00C04041" w:rsidP="00A258D4">
      <w:pPr>
        <w:spacing w:line="480" w:lineRule="auto"/>
        <w:rPr>
          <w:rFonts w:ascii="Times New Roman" w:hAnsi="Times New Roman" w:cs="Times New Roman"/>
        </w:rPr>
      </w:pPr>
    </w:p>
    <w:p w:rsidR="004F13E3" w:rsidRPr="00131A05" w:rsidRDefault="00C04041" w:rsidP="00A258D4">
      <w:pPr>
        <w:spacing w:line="480" w:lineRule="auto"/>
        <w:rPr>
          <w:rFonts w:ascii="Times New Roman" w:hAnsi="Times New Roman" w:cs="Times New Roman"/>
        </w:rPr>
      </w:pPr>
      <w:r w:rsidRPr="00131A05">
        <w:rPr>
          <w:rFonts w:ascii="Times New Roman" w:hAnsi="Times New Roman" w:cs="Times New Roman"/>
        </w:rPr>
        <w:t xml:space="preserve">Our remaining empirical analysis checked the robustness of </w:t>
      </w:r>
      <w:r w:rsidR="00D3183E" w:rsidRPr="00131A05">
        <w:rPr>
          <w:rFonts w:ascii="Times New Roman" w:hAnsi="Times New Roman" w:cs="Times New Roman"/>
        </w:rPr>
        <w:t xml:space="preserve">these </w:t>
      </w:r>
      <w:r w:rsidRPr="00131A05">
        <w:rPr>
          <w:rFonts w:ascii="Times New Roman" w:hAnsi="Times New Roman" w:cs="Times New Roman"/>
        </w:rPr>
        <w:t xml:space="preserve">findings to inclusion in the model of variables representing </w:t>
      </w:r>
      <w:r w:rsidR="000F1567" w:rsidRPr="00131A05">
        <w:rPr>
          <w:rFonts w:ascii="Times New Roman" w:hAnsi="Times New Roman" w:cs="Times New Roman"/>
        </w:rPr>
        <w:t xml:space="preserve">first </w:t>
      </w:r>
      <w:r w:rsidRPr="00131A05">
        <w:rPr>
          <w:rFonts w:ascii="Times New Roman" w:hAnsi="Times New Roman" w:cs="Times New Roman"/>
        </w:rPr>
        <w:t>parental education and then lifestyle and family harmony variables which may be correlated with problem gambling in the household.</w:t>
      </w:r>
      <w:r w:rsidR="000F1567" w:rsidRPr="00131A05">
        <w:rPr>
          <w:rFonts w:ascii="Times New Roman" w:hAnsi="Times New Roman" w:cs="Times New Roman"/>
        </w:rPr>
        <w:t xml:space="preserve"> When we added dummy variables representing each parent’s education level</w:t>
      </w:r>
      <w:r w:rsidR="00C24140" w:rsidRPr="00131A05">
        <w:rPr>
          <w:rFonts w:ascii="Times New Roman" w:hAnsi="Times New Roman" w:cs="Times New Roman"/>
        </w:rPr>
        <w:t xml:space="preserve"> (Table 2, Model 2)</w:t>
      </w:r>
      <w:r w:rsidR="000F1567" w:rsidRPr="00131A05">
        <w:rPr>
          <w:rFonts w:ascii="Times New Roman" w:hAnsi="Times New Roman" w:cs="Times New Roman"/>
        </w:rPr>
        <w:t xml:space="preserve">, which may proxy socioeconomic status and cultural values, </w:t>
      </w:r>
      <w:r w:rsidR="003127E6" w:rsidRPr="00131A05">
        <w:rPr>
          <w:rFonts w:ascii="Times New Roman" w:hAnsi="Times New Roman" w:cs="Times New Roman"/>
        </w:rPr>
        <w:t xml:space="preserve">only one coefficient estimate was close to significance (mother has A-levels or higher, female equation, </w:t>
      </w:r>
      <w:r w:rsidR="00B50248" w:rsidRPr="00131A05">
        <w:rPr>
          <w:rFonts w:ascii="Times New Roman" w:hAnsi="Times New Roman" w:cs="Times New Roman"/>
        </w:rPr>
        <w:t xml:space="preserve">positive sign, </w:t>
      </w:r>
      <w:r w:rsidR="003127E6" w:rsidRPr="00131A05">
        <w:rPr>
          <w:rFonts w:ascii="Times New Roman" w:hAnsi="Times New Roman" w:cs="Times New Roman"/>
          <w:i/>
        </w:rPr>
        <w:t>p</w:t>
      </w:r>
      <w:r w:rsidR="003127E6" w:rsidRPr="00131A05">
        <w:rPr>
          <w:rFonts w:ascii="Times New Roman" w:hAnsi="Times New Roman" w:cs="Times New Roman"/>
        </w:rPr>
        <w:t xml:space="preserve">=.127). Coefficient estimates on parental problem gambling scores were similar as before in sign and significance. </w:t>
      </w:r>
      <w:r w:rsidR="0096677A" w:rsidRPr="00131A05">
        <w:rPr>
          <w:rFonts w:ascii="Times New Roman" w:hAnsi="Times New Roman" w:cs="Times New Roman"/>
        </w:rPr>
        <w:t>Therefore mother’s problem gambling remained an independent predictor of a son’s gambling problem at 20 and father’s problem gambling remained an independent predictor of daughter’s gambling problem at 20.</w:t>
      </w:r>
      <w:r w:rsidR="00D3183E" w:rsidRPr="00131A05">
        <w:rPr>
          <w:rFonts w:ascii="Times New Roman" w:hAnsi="Times New Roman" w:cs="Times New Roman"/>
        </w:rPr>
        <w:t xml:space="preserve"> </w:t>
      </w:r>
    </w:p>
    <w:p w:rsidR="007708B7" w:rsidRPr="00131A05" w:rsidRDefault="007708B7" w:rsidP="00A258D4">
      <w:pPr>
        <w:spacing w:line="480" w:lineRule="auto"/>
        <w:rPr>
          <w:rFonts w:ascii="Times New Roman" w:hAnsi="Times New Roman" w:cs="Times New Roman"/>
        </w:rPr>
      </w:pPr>
    </w:p>
    <w:p w:rsidR="002D0D0C" w:rsidRPr="00131A05" w:rsidRDefault="007708B7" w:rsidP="00A258D4">
      <w:pPr>
        <w:spacing w:line="480" w:lineRule="auto"/>
        <w:rPr>
          <w:rFonts w:ascii="Times New Roman" w:hAnsi="Times New Roman" w:cs="Times New Roman"/>
        </w:rPr>
      </w:pPr>
      <w:r w:rsidRPr="00131A05">
        <w:rPr>
          <w:rFonts w:ascii="Times New Roman" w:hAnsi="Times New Roman" w:cs="Times New Roman"/>
        </w:rPr>
        <w:t xml:space="preserve">When we estimated equations including parental gambling variables and other variables describing the household at various points in the subject’s childhood (Table </w:t>
      </w:r>
      <w:r w:rsidR="00C24140" w:rsidRPr="00131A05">
        <w:rPr>
          <w:rFonts w:ascii="Times New Roman" w:hAnsi="Times New Roman" w:cs="Times New Roman"/>
        </w:rPr>
        <w:t xml:space="preserve">2, Model </w:t>
      </w:r>
      <w:r w:rsidRPr="00131A05">
        <w:rPr>
          <w:rFonts w:ascii="Times New Roman" w:hAnsi="Times New Roman" w:cs="Times New Roman"/>
        </w:rPr>
        <w:t xml:space="preserve">3), </w:t>
      </w:r>
      <w:r w:rsidR="00DC6028" w:rsidRPr="00131A05">
        <w:rPr>
          <w:rFonts w:ascii="Times New Roman" w:hAnsi="Times New Roman" w:cs="Times New Roman"/>
        </w:rPr>
        <w:t>the additional variables failed to be jointly significant (</w:t>
      </w:r>
      <w:r w:rsidR="00DC6028" w:rsidRPr="00131A05">
        <w:rPr>
          <w:rFonts w:ascii="Times New Roman" w:hAnsi="Times New Roman" w:cs="Times New Roman"/>
          <w:i/>
        </w:rPr>
        <w:t>p</w:t>
      </w:r>
      <w:r w:rsidR="00DC6028" w:rsidRPr="00131A05">
        <w:rPr>
          <w:rFonts w:ascii="Times New Roman" w:hAnsi="Times New Roman" w:cs="Times New Roman"/>
        </w:rPr>
        <w:t xml:space="preserve">-values of .19 and .18 in chi-square likelihood ratio tests).  </w:t>
      </w:r>
      <w:r w:rsidR="00B924AA" w:rsidRPr="00131A05">
        <w:rPr>
          <w:rFonts w:ascii="Times New Roman" w:hAnsi="Times New Roman" w:cs="Times New Roman"/>
        </w:rPr>
        <w:t>And f</w:t>
      </w:r>
      <w:r w:rsidR="004D1960" w:rsidRPr="00131A05">
        <w:rPr>
          <w:rFonts w:ascii="Times New Roman" w:hAnsi="Times New Roman" w:cs="Times New Roman"/>
        </w:rPr>
        <w:t xml:space="preserve">ew covariates added to represent household lifestyle and harmony were </w:t>
      </w:r>
      <w:r w:rsidR="00B924AA" w:rsidRPr="00131A05">
        <w:rPr>
          <w:rFonts w:ascii="Times New Roman" w:hAnsi="Times New Roman" w:cs="Times New Roman"/>
        </w:rPr>
        <w:t xml:space="preserve">individually </w:t>
      </w:r>
      <w:r w:rsidR="004D1960" w:rsidRPr="00131A05">
        <w:rPr>
          <w:rFonts w:ascii="Times New Roman" w:hAnsi="Times New Roman" w:cs="Times New Roman"/>
        </w:rPr>
        <w:t xml:space="preserve">significant. There did appear to be a tendency for participation in physical activity self-reported by the father at child age 12 to be a protective indicator, and consumption of fried food by a mother at child age 12 to be a risk factor, for female MPPG at 20. </w:t>
      </w:r>
      <w:r w:rsidR="00B924AA" w:rsidRPr="00131A05">
        <w:rPr>
          <w:rFonts w:ascii="Times New Roman" w:hAnsi="Times New Roman" w:cs="Times New Roman"/>
        </w:rPr>
        <w:t xml:space="preserve">However, the number of covariates (and therefore the number of hypothesis tests) was large, which makes it more likely that ‘significant’ results will appear purely by chance. </w:t>
      </w:r>
    </w:p>
    <w:p w:rsidR="00634E92" w:rsidRPr="00131A05" w:rsidRDefault="00634E92" w:rsidP="00A258D4">
      <w:pPr>
        <w:spacing w:line="480" w:lineRule="auto"/>
        <w:rPr>
          <w:rFonts w:ascii="Times New Roman" w:hAnsi="Times New Roman" w:cs="Times New Roman"/>
        </w:rPr>
      </w:pPr>
    </w:p>
    <w:p w:rsidR="005C7287" w:rsidRPr="00131A05" w:rsidRDefault="00DC6028" w:rsidP="00A258D4">
      <w:pPr>
        <w:spacing w:line="480" w:lineRule="auto"/>
        <w:rPr>
          <w:rFonts w:ascii="Times New Roman" w:hAnsi="Times New Roman" w:cs="Times New Roman"/>
        </w:rPr>
      </w:pPr>
      <w:r w:rsidRPr="00131A05">
        <w:rPr>
          <w:rFonts w:ascii="Times New Roman" w:hAnsi="Times New Roman" w:cs="Times New Roman"/>
        </w:rPr>
        <w:t xml:space="preserve">The pattern of results </w:t>
      </w:r>
      <w:r w:rsidR="002D0D0C" w:rsidRPr="00131A05">
        <w:rPr>
          <w:rFonts w:ascii="Times New Roman" w:hAnsi="Times New Roman" w:cs="Times New Roman"/>
        </w:rPr>
        <w:t xml:space="preserve">on the parental gambling </w:t>
      </w:r>
      <w:r w:rsidR="00634E92" w:rsidRPr="00131A05">
        <w:rPr>
          <w:rFonts w:ascii="Times New Roman" w:hAnsi="Times New Roman" w:cs="Times New Roman"/>
        </w:rPr>
        <w:t xml:space="preserve">variables themselves </w:t>
      </w:r>
      <w:r w:rsidRPr="00131A05">
        <w:rPr>
          <w:rFonts w:ascii="Times New Roman" w:hAnsi="Times New Roman" w:cs="Times New Roman"/>
        </w:rPr>
        <w:t xml:space="preserve">was similar to that in </w:t>
      </w:r>
      <w:r w:rsidR="00F17FE5" w:rsidRPr="00131A05">
        <w:rPr>
          <w:rFonts w:ascii="Times New Roman" w:hAnsi="Times New Roman" w:cs="Times New Roman"/>
        </w:rPr>
        <w:t>o</w:t>
      </w:r>
      <w:r w:rsidR="00142A3A" w:rsidRPr="00131A05">
        <w:rPr>
          <w:rFonts w:ascii="Times New Roman" w:hAnsi="Times New Roman" w:cs="Times New Roman"/>
        </w:rPr>
        <w:t>ur baseline</w:t>
      </w:r>
      <w:r w:rsidR="00F17FE5" w:rsidRPr="00131A05">
        <w:rPr>
          <w:rFonts w:ascii="Times New Roman" w:hAnsi="Times New Roman" w:cs="Times New Roman"/>
        </w:rPr>
        <w:t xml:space="preserve"> </w:t>
      </w:r>
      <w:r w:rsidRPr="00131A05">
        <w:rPr>
          <w:rFonts w:ascii="Times New Roman" w:hAnsi="Times New Roman" w:cs="Times New Roman"/>
        </w:rPr>
        <w:t>model though the size of the estimated effect of father’s SOGS score on the odds of the daughter experiencing MPPG was higher than in the</w:t>
      </w:r>
      <w:r w:rsidR="004D1960" w:rsidRPr="00131A05">
        <w:rPr>
          <w:rFonts w:ascii="Times New Roman" w:hAnsi="Times New Roman" w:cs="Times New Roman"/>
        </w:rPr>
        <w:t xml:space="preserve"> </w:t>
      </w:r>
      <w:r w:rsidR="00142A3A" w:rsidRPr="00131A05">
        <w:rPr>
          <w:rFonts w:ascii="Times New Roman" w:hAnsi="Times New Roman" w:cs="Times New Roman"/>
        </w:rPr>
        <w:t>baseline</w:t>
      </w:r>
      <w:r w:rsidR="00F17FE5" w:rsidRPr="00131A05">
        <w:rPr>
          <w:rFonts w:ascii="Times New Roman" w:hAnsi="Times New Roman" w:cs="Times New Roman"/>
        </w:rPr>
        <w:t xml:space="preserve"> </w:t>
      </w:r>
      <w:r w:rsidR="004D1960" w:rsidRPr="00131A05">
        <w:rPr>
          <w:rFonts w:ascii="Times New Roman" w:hAnsi="Times New Roman" w:cs="Times New Roman"/>
        </w:rPr>
        <w:t>model (odds-ratio 4.54).</w:t>
      </w:r>
      <w:r w:rsidR="002D0D0C" w:rsidRPr="00131A05">
        <w:rPr>
          <w:rFonts w:ascii="Times New Roman" w:hAnsi="Times New Roman" w:cs="Times New Roman"/>
        </w:rPr>
        <w:t xml:space="preserve"> Findings on the transmission of parental problem gambling to the following generation are therefore robust to the inclusion in the model of a set of variables which should together capture family background in terms of attitudes to health and domestic harmony.</w:t>
      </w:r>
    </w:p>
    <w:p w:rsidR="002F0E09" w:rsidRPr="00131A05" w:rsidRDefault="002F0E09" w:rsidP="00A258D4">
      <w:pPr>
        <w:spacing w:line="480" w:lineRule="auto"/>
        <w:rPr>
          <w:rFonts w:ascii="Times New Roman" w:hAnsi="Times New Roman" w:cs="Times New Roman"/>
        </w:rPr>
      </w:pPr>
    </w:p>
    <w:p w:rsidR="005C7287" w:rsidRPr="00131A05" w:rsidRDefault="005C7287">
      <w:pPr>
        <w:rPr>
          <w:rFonts w:ascii="Times New Roman" w:hAnsi="Times New Roman" w:cs="Times New Roman"/>
        </w:rPr>
      </w:pPr>
    </w:p>
    <w:p w:rsidR="0062067E" w:rsidRPr="00131A05" w:rsidRDefault="0062067E">
      <w:pPr>
        <w:rPr>
          <w:rFonts w:ascii="Times New Roman" w:hAnsi="Times New Roman" w:cs="Times New Roman"/>
          <w:b/>
          <w:sz w:val="28"/>
          <w:szCs w:val="28"/>
        </w:rPr>
      </w:pPr>
      <w:r w:rsidRPr="00131A05">
        <w:rPr>
          <w:rFonts w:ascii="Times New Roman" w:hAnsi="Times New Roman" w:cs="Times New Roman"/>
          <w:b/>
          <w:sz w:val="28"/>
          <w:szCs w:val="28"/>
        </w:rPr>
        <w:br w:type="page"/>
      </w:r>
    </w:p>
    <w:p w:rsidR="004F13E3" w:rsidRPr="00131A05" w:rsidRDefault="005C7287" w:rsidP="00A258D4">
      <w:pPr>
        <w:spacing w:line="480" w:lineRule="auto"/>
        <w:rPr>
          <w:rFonts w:ascii="Times New Roman" w:hAnsi="Times New Roman" w:cs="Times New Roman"/>
          <w:b/>
          <w:sz w:val="28"/>
          <w:szCs w:val="28"/>
        </w:rPr>
      </w:pPr>
      <w:r w:rsidRPr="00131A05">
        <w:rPr>
          <w:rFonts w:ascii="Times New Roman" w:hAnsi="Times New Roman" w:cs="Times New Roman"/>
          <w:b/>
          <w:sz w:val="28"/>
          <w:szCs w:val="28"/>
        </w:rPr>
        <w:lastRenderedPageBreak/>
        <w:t>Discussion</w:t>
      </w:r>
    </w:p>
    <w:p w:rsidR="005C7287" w:rsidRPr="00131A05" w:rsidRDefault="005C7287" w:rsidP="00A258D4">
      <w:pPr>
        <w:spacing w:line="480" w:lineRule="auto"/>
        <w:rPr>
          <w:rFonts w:ascii="Times New Roman" w:hAnsi="Times New Roman" w:cs="Times New Roman"/>
        </w:rPr>
      </w:pPr>
      <w:r w:rsidRPr="00131A05">
        <w:rPr>
          <w:rFonts w:ascii="Times New Roman" w:hAnsi="Times New Roman" w:cs="Times New Roman"/>
        </w:rPr>
        <w:t xml:space="preserve">The aim of the paper was to examine whether parental gambling behaviour during childhood affected the probability that </w:t>
      </w:r>
      <w:r w:rsidR="003159F2" w:rsidRPr="00131A05">
        <w:rPr>
          <w:rFonts w:ascii="Times New Roman" w:hAnsi="Times New Roman" w:cs="Times New Roman"/>
        </w:rPr>
        <w:t xml:space="preserve">a young adult </w:t>
      </w:r>
      <w:r w:rsidRPr="00131A05">
        <w:rPr>
          <w:rFonts w:ascii="Times New Roman" w:hAnsi="Times New Roman" w:cs="Times New Roman"/>
        </w:rPr>
        <w:t>would be experiencing gambling problems</w:t>
      </w:r>
      <w:r w:rsidR="00796549" w:rsidRPr="00131A05">
        <w:rPr>
          <w:rFonts w:ascii="Times New Roman" w:hAnsi="Times New Roman" w:cs="Times New Roman"/>
        </w:rPr>
        <w:t xml:space="preserve">. </w:t>
      </w:r>
      <w:r w:rsidRPr="00131A05">
        <w:rPr>
          <w:rFonts w:ascii="Times New Roman" w:hAnsi="Times New Roman" w:cs="Times New Roman"/>
        </w:rPr>
        <w:t>We found that engagement by parents in gambling activities was not itself a predictor of problem gambling by their offspring. However, where fathers had had problems with their gambling, this was a risk factor for their daughters. Similarly, where mothers had had problems with their gambling, this was a risk factor for their sons. Only cross-gender transmission was evident in the data.</w:t>
      </w:r>
    </w:p>
    <w:p w:rsidR="00276C70" w:rsidRPr="00131A05" w:rsidRDefault="00276C70" w:rsidP="00A258D4">
      <w:pPr>
        <w:spacing w:line="480" w:lineRule="auto"/>
        <w:rPr>
          <w:rFonts w:ascii="Times New Roman" w:hAnsi="Times New Roman" w:cs="Times New Roman"/>
        </w:rPr>
      </w:pPr>
    </w:p>
    <w:p w:rsidR="00276C70" w:rsidRPr="00131A05" w:rsidRDefault="00276C70" w:rsidP="00276C70">
      <w:pPr>
        <w:spacing w:line="480" w:lineRule="auto"/>
        <w:rPr>
          <w:rFonts w:ascii="Times New Roman" w:hAnsi="Times New Roman" w:cs="Times New Roman"/>
        </w:rPr>
      </w:pPr>
      <w:r w:rsidRPr="00131A05">
        <w:rPr>
          <w:rFonts w:ascii="Times New Roman" w:hAnsi="Times New Roman" w:cs="Times New Roman"/>
        </w:rPr>
        <w:t xml:space="preserve">This finding of cross-gender transmission surprised us but is not without precedent for other negative behaviour patterns. Homel and Warren (2017) found that fathers’ binge drinking raised the risk of adolescent drinking by their daughters but not by their sons. Li et al. (2017) identified influence from mothers’ alcohol use disorder to early adult anti-social behaviour by sons (but not by daughters). To our knowledge, cross-gender transmission of problem gambling has not been noted in previous literature but it has not in fact been actively looked for since most research combines male and female observations in the receiving generation, potentially masking gender-specific transmission. Given that problem gambling is much more common among fathers than among mothers, this may have led to the conclusion by many authors, e.g. Vachon et al. 2004, that fathers are more important in raising risk for their offspring. </w:t>
      </w:r>
    </w:p>
    <w:p w:rsidR="00276C70" w:rsidRPr="00131A05" w:rsidRDefault="00276C70" w:rsidP="00A258D4">
      <w:pPr>
        <w:spacing w:line="480" w:lineRule="auto"/>
        <w:rPr>
          <w:rFonts w:ascii="Times New Roman" w:hAnsi="Times New Roman" w:cs="Times New Roman"/>
        </w:rPr>
      </w:pPr>
    </w:p>
    <w:p w:rsidR="005C7287" w:rsidRPr="00131A05" w:rsidRDefault="005C7287" w:rsidP="00A258D4">
      <w:pPr>
        <w:spacing w:line="480" w:lineRule="auto"/>
        <w:rPr>
          <w:rFonts w:ascii="Times New Roman" w:hAnsi="Times New Roman" w:cs="Times New Roman"/>
        </w:rPr>
      </w:pPr>
    </w:p>
    <w:p w:rsidR="0013685C" w:rsidRPr="00131A05" w:rsidRDefault="005C7287" w:rsidP="00A258D4">
      <w:pPr>
        <w:spacing w:line="480" w:lineRule="auto"/>
        <w:rPr>
          <w:rFonts w:ascii="Times New Roman" w:hAnsi="Times New Roman" w:cs="Times New Roman"/>
        </w:rPr>
      </w:pPr>
      <w:r w:rsidRPr="00131A05">
        <w:rPr>
          <w:rFonts w:ascii="Times New Roman" w:hAnsi="Times New Roman" w:cs="Times New Roman"/>
        </w:rPr>
        <w:t xml:space="preserve">The </w:t>
      </w:r>
      <w:r w:rsidR="006B0960" w:rsidRPr="00131A05">
        <w:rPr>
          <w:rFonts w:ascii="Times New Roman" w:hAnsi="Times New Roman" w:cs="Times New Roman"/>
        </w:rPr>
        <w:t xml:space="preserve">strengths of the paper include that it is able to capture parental gambling behaviour through the self-report of parents themselves, recorded deep in the young adult’s childhood. Previous papers on young adult problem gambling have had to rely on subjects’ reports on whether there had been problem gambling in their family background. Further, we report separate models to account for young male and young female </w:t>
      </w:r>
      <w:r w:rsidR="004D16F8" w:rsidRPr="00131A05">
        <w:rPr>
          <w:rFonts w:ascii="Times New Roman" w:hAnsi="Times New Roman" w:cs="Times New Roman"/>
        </w:rPr>
        <w:t xml:space="preserve">problem </w:t>
      </w:r>
      <w:r w:rsidR="006B0960" w:rsidRPr="00131A05">
        <w:rPr>
          <w:rFonts w:ascii="Times New Roman" w:hAnsi="Times New Roman" w:cs="Times New Roman"/>
        </w:rPr>
        <w:t xml:space="preserve">gambling whereas other literature has merged male and </w:t>
      </w:r>
      <w:r w:rsidR="006B0960" w:rsidRPr="00131A05">
        <w:rPr>
          <w:rFonts w:ascii="Times New Roman" w:hAnsi="Times New Roman" w:cs="Times New Roman"/>
        </w:rPr>
        <w:lastRenderedPageBreak/>
        <w:t xml:space="preserve">female observations. This has enabled us to identify cross-gender transmission. However, the study also has limitations. </w:t>
      </w:r>
      <w:r w:rsidR="00276C70" w:rsidRPr="00131A05">
        <w:rPr>
          <w:rFonts w:ascii="Times New Roman" w:hAnsi="Times New Roman" w:cs="Times New Roman"/>
        </w:rPr>
        <w:t xml:space="preserve">It studies only a group of children born in a particular English county in a particular year and, as we present a novel finding, it will depend on future research to reveal how generalizable that finding is. </w:t>
      </w:r>
      <w:r w:rsidR="006B0960" w:rsidRPr="00131A05">
        <w:rPr>
          <w:rFonts w:ascii="Times New Roman" w:hAnsi="Times New Roman" w:cs="Times New Roman"/>
        </w:rPr>
        <w:t>observe parental problem gambling only once during a subject’s childhood. As gam</w:t>
      </w:r>
      <w:r w:rsidR="0013685C" w:rsidRPr="00131A05">
        <w:rPr>
          <w:rFonts w:ascii="Times New Roman" w:hAnsi="Times New Roman" w:cs="Times New Roman"/>
        </w:rPr>
        <w:t>bling problems may b</w:t>
      </w:r>
      <w:r w:rsidR="006B0960" w:rsidRPr="00131A05">
        <w:rPr>
          <w:rFonts w:ascii="Times New Roman" w:hAnsi="Times New Roman" w:cs="Times New Roman"/>
        </w:rPr>
        <w:t xml:space="preserve">e transient, </w:t>
      </w:r>
      <w:r w:rsidR="0013685C" w:rsidRPr="00131A05">
        <w:rPr>
          <w:rFonts w:ascii="Times New Roman" w:hAnsi="Times New Roman" w:cs="Times New Roman"/>
        </w:rPr>
        <w:t xml:space="preserve">some parents recorded as </w:t>
      </w:r>
      <w:r w:rsidR="003D4A4E" w:rsidRPr="00131A05">
        <w:rPr>
          <w:rFonts w:ascii="Times New Roman" w:hAnsi="Times New Roman" w:cs="Times New Roman"/>
        </w:rPr>
        <w:t xml:space="preserve">never having had </w:t>
      </w:r>
      <w:r w:rsidR="0013685C" w:rsidRPr="00131A05">
        <w:rPr>
          <w:rFonts w:ascii="Times New Roman" w:hAnsi="Times New Roman" w:cs="Times New Roman"/>
        </w:rPr>
        <w:t xml:space="preserve">gambling problems will in fact have been problem gamblers at some </w:t>
      </w:r>
      <w:r w:rsidR="00276C70" w:rsidRPr="00131A05">
        <w:rPr>
          <w:rFonts w:ascii="Times New Roman" w:hAnsi="Times New Roman" w:cs="Times New Roman"/>
        </w:rPr>
        <w:t xml:space="preserve">later </w:t>
      </w:r>
      <w:r w:rsidR="0013685C" w:rsidRPr="00131A05">
        <w:rPr>
          <w:rFonts w:ascii="Times New Roman" w:hAnsi="Times New Roman" w:cs="Times New Roman"/>
        </w:rPr>
        <w:t>stage</w:t>
      </w:r>
      <w:r w:rsidR="00195B51" w:rsidRPr="00131A05">
        <w:rPr>
          <w:rFonts w:ascii="Times New Roman" w:hAnsi="Times New Roman" w:cs="Times New Roman"/>
        </w:rPr>
        <w:t xml:space="preserve"> during the offspring’s childhood</w:t>
      </w:r>
      <w:r w:rsidR="0013685C" w:rsidRPr="00131A05">
        <w:rPr>
          <w:rFonts w:ascii="Times New Roman" w:hAnsi="Times New Roman" w:cs="Times New Roman"/>
        </w:rPr>
        <w:t xml:space="preserve">. This would be expected to bias downwards our estimates of the impact of parental problem gambling. </w:t>
      </w:r>
      <w:r w:rsidR="00862EE8" w:rsidRPr="00131A05">
        <w:rPr>
          <w:rFonts w:ascii="Times New Roman" w:hAnsi="Times New Roman" w:cs="Times New Roman"/>
        </w:rPr>
        <w:t xml:space="preserve">Additionally, it should be noted that parental gambling habits during adolescence might have different effects from those present in childhood. </w:t>
      </w:r>
      <w:r w:rsidR="0013685C" w:rsidRPr="00131A05">
        <w:rPr>
          <w:rFonts w:ascii="Times New Roman" w:hAnsi="Times New Roman" w:cs="Times New Roman"/>
        </w:rPr>
        <w:t xml:space="preserve">Another weakness is that there are few observations </w:t>
      </w:r>
      <w:r w:rsidR="004D16F8" w:rsidRPr="00131A05">
        <w:rPr>
          <w:rFonts w:ascii="Times New Roman" w:hAnsi="Times New Roman" w:cs="Times New Roman"/>
        </w:rPr>
        <w:t xml:space="preserve">of MPPG </w:t>
      </w:r>
      <w:r w:rsidR="0013685C" w:rsidRPr="00131A05">
        <w:rPr>
          <w:rFonts w:ascii="Times New Roman" w:hAnsi="Times New Roman" w:cs="Times New Roman"/>
        </w:rPr>
        <w:t>in the data</w:t>
      </w:r>
      <w:r w:rsidR="003159F2" w:rsidRPr="00131A05">
        <w:rPr>
          <w:rFonts w:ascii="Times New Roman" w:hAnsi="Times New Roman" w:cs="Times New Roman"/>
        </w:rPr>
        <w:t xml:space="preserve"> on young women</w:t>
      </w:r>
      <w:r w:rsidR="004D16F8" w:rsidRPr="00131A05">
        <w:rPr>
          <w:rFonts w:ascii="Times New Roman" w:hAnsi="Times New Roman" w:cs="Times New Roman"/>
        </w:rPr>
        <w:t>.</w:t>
      </w:r>
      <w:r w:rsidR="0013685C" w:rsidRPr="00131A05">
        <w:rPr>
          <w:rFonts w:ascii="Times New Roman" w:hAnsi="Times New Roman" w:cs="Times New Roman"/>
        </w:rPr>
        <w:t xml:space="preserve"> Findings from the model for young women should therefore be treated with caution.</w:t>
      </w:r>
    </w:p>
    <w:p w:rsidR="0013685C" w:rsidRPr="00131A05" w:rsidRDefault="0013685C" w:rsidP="00A258D4">
      <w:pPr>
        <w:spacing w:line="480" w:lineRule="auto"/>
        <w:rPr>
          <w:rFonts w:ascii="Times New Roman" w:hAnsi="Times New Roman" w:cs="Times New Roman"/>
        </w:rPr>
      </w:pPr>
    </w:p>
    <w:p w:rsidR="00282B62" w:rsidRPr="00131A05" w:rsidRDefault="004D16F8" w:rsidP="00A258D4">
      <w:pPr>
        <w:spacing w:line="480" w:lineRule="auto"/>
        <w:rPr>
          <w:rFonts w:ascii="Times New Roman" w:hAnsi="Times New Roman" w:cs="Times New Roman"/>
        </w:rPr>
      </w:pPr>
      <w:r w:rsidRPr="00131A05">
        <w:rPr>
          <w:rFonts w:ascii="Times New Roman" w:hAnsi="Times New Roman" w:cs="Times New Roman"/>
        </w:rPr>
        <w:t>W</w:t>
      </w:r>
      <w:r w:rsidR="0013685C" w:rsidRPr="00131A05">
        <w:rPr>
          <w:rFonts w:ascii="Times New Roman" w:hAnsi="Times New Roman" w:cs="Times New Roman"/>
        </w:rPr>
        <w:t>hile results identify transmission of problem gambling</w:t>
      </w:r>
      <w:r w:rsidR="00C2729A" w:rsidRPr="00131A05">
        <w:rPr>
          <w:rFonts w:ascii="Times New Roman" w:hAnsi="Times New Roman" w:cs="Times New Roman"/>
        </w:rPr>
        <w:t xml:space="preserve"> within families</w:t>
      </w:r>
      <w:r w:rsidR="0013685C" w:rsidRPr="00131A05">
        <w:rPr>
          <w:rFonts w:ascii="Times New Roman" w:hAnsi="Times New Roman" w:cs="Times New Roman"/>
        </w:rPr>
        <w:t xml:space="preserve">, </w:t>
      </w:r>
      <w:r w:rsidRPr="00131A05">
        <w:rPr>
          <w:rFonts w:ascii="Times New Roman" w:hAnsi="Times New Roman" w:cs="Times New Roman"/>
        </w:rPr>
        <w:t>the cross-gender routing limits the extent to which gambling problems among young adults can be linked to problem gambling among their parents. Many fewer mothers than fathers (10.3% compared with 24.8%) registered a positive sco</w:t>
      </w:r>
      <w:r w:rsidR="00C2729A" w:rsidRPr="00131A05">
        <w:rPr>
          <w:rFonts w:ascii="Times New Roman" w:hAnsi="Times New Roman" w:cs="Times New Roman"/>
        </w:rPr>
        <w:t>re on the SOGS screen. There were therefore relatively few mothers to ‘pass on’ gambling</w:t>
      </w:r>
      <w:r w:rsidR="00C5538B" w:rsidRPr="00131A05">
        <w:rPr>
          <w:rFonts w:ascii="Times New Roman" w:hAnsi="Times New Roman" w:cs="Times New Roman"/>
        </w:rPr>
        <w:t xml:space="preserve"> problems to sons</w:t>
      </w:r>
      <w:r w:rsidR="0034191E" w:rsidRPr="00131A05">
        <w:rPr>
          <w:rFonts w:ascii="Times New Roman" w:hAnsi="Times New Roman" w:cs="Times New Roman"/>
        </w:rPr>
        <w:t>.</w:t>
      </w:r>
      <w:r w:rsidR="00C5538B" w:rsidRPr="00131A05">
        <w:rPr>
          <w:rFonts w:ascii="Times New Roman" w:hAnsi="Times New Roman" w:cs="Times New Roman"/>
        </w:rPr>
        <w:t xml:space="preserve"> Similarly, while paternal problem gambling appears to increase the odds that the daughter will have problems, this increased risk is applied </w:t>
      </w:r>
      <w:r w:rsidR="00C2729A" w:rsidRPr="00131A05">
        <w:rPr>
          <w:rFonts w:ascii="Times New Roman" w:hAnsi="Times New Roman" w:cs="Times New Roman"/>
        </w:rPr>
        <w:t>to a baseline MPPG risk that is very low (compared with that for males aged 20). Thus a low absolute number of problem gambling cases would be expected to</w:t>
      </w:r>
      <w:r w:rsidR="0034191E" w:rsidRPr="00131A05">
        <w:rPr>
          <w:rFonts w:ascii="Times New Roman" w:hAnsi="Times New Roman" w:cs="Times New Roman"/>
        </w:rPr>
        <w:t xml:space="preserve"> be </w:t>
      </w:r>
      <w:r w:rsidR="00C2729A" w:rsidRPr="00131A05">
        <w:rPr>
          <w:rFonts w:ascii="Times New Roman" w:hAnsi="Times New Roman" w:cs="Times New Roman"/>
        </w:rPr>
        <w:t>generated from paternal problem gambling.</w:t>
      </w:r>
    </w:p>
    <w:p w:rsidR="0034191E" w:rsidRPr="00131A05" w:rsidRDefault="0034191E" w:rsidP="00A258D4">
      <w:pPr>
        <w:spacing w:line="480" w:lineRule="auto"/>
        <w:rPr>
          <w:rFonts w:ascii="Times New Roman" w:hAnsi="Times New Roman" w:cs="Times New Roman"/>
        </w:rPr>
      </w:pPr>
    </w:p>
    <w:p w:rsidR="0034191E" w:rsidRPr="00131A05" w:rsidRDefault="0034191E" w:rsidP="00A258D4">
      <w:pPr>
        <w:spacing w:line="480" w:lineRule="auto"/>
        <w:rPr>
          <w:rFonts w:ascii="Times New Roman" w:hAnsi="Times New Roman" w:cs="Times New Roman"/>
        </w:rPr>
      </w:pPr>
      <w:r w:rsidRPr="00131A05">
        <w:rPr>
          <w:rFonts w:ascii="Times New Roman" w:hAnsi="Times New Roman" w:cs="Times New Roman"/>
        </w:rPr>
        <w:t xml:space="preserve">To some extent, results here validate public health messaging that parents should be mindful of the potential </w:t>
      </w:r>
      <w:r w:rsidR="001A2D8A" w:rsidRPr="00131A05">
        <w:rPr>
          <w:rFonts w:ascii="Times New Roman" w:hAnsi="Times New Roman" w:cs="Times New Roman"/>
        </w:rPr>
        <w:t xml:space="preserve">future </w:t>
      </w:r>
      <w:r w:rsidRPr="00131A05">
        <w:rPr>
          <w:rFonts w:ascii="Times New Roman" w:hAnsi="Times New Roman" w:cs="Times New Roman"/>
        </w:rPr>
        <w:t xml:space="preserve">effects of </w:t>
      </w:r>
      <w:r w:rsidR="001A2D8A" w:rsidRPr="00131A05">
        <w:rPr>
          <w:rFonts w:ascii="Times New Roman" w:hAnsi="Times New Roman" w:cs="Times New Roman"/>
        </w:rPr>
        <w:t xml:space="preserve">their own </w:t>
      </w:r>
      <w:r w:rsidRPr="00131A05">
        <w:rPr>
          <w:rFonts w:ascii="Times New Roman" w:hAnsi="Times New Roman" w:cs="Times New Roman"/>
        </w:rPr>
        <w:t>excessive gambling on their children when the</w:t>
      </w:r>
      <w:r w:rsidR="001A2D8A" w:rsidRPr="00131A05">
        <w:rPr>
          <w:rFonts w:ascii="Times New Roman" w:hAnsi="Times New Roman" w:cs="Times New Roman"/>
        </w:rPr>
        <w:t xml:space="preserve"> latter</w:t>
      </w:r>
      <w:r w:rsidRPr="00131A05">
        <w:rPr>
          <w:rFonts w:ascii="Times New Roman" w:hAnsi="Times New Roman" w:cs="Times New Roman"/>
        </w:rPr>
        <w:t xml:space="preserve"> reach adulthood. </w:t>
      </w:r>
      <w:r w:rsidR="003159F2" w:rsidRPr="00131A05">
        <w:rPr>
          <w:rFonts w:ascii="Times New Roman" w:hAnsi="Times New Roman" w:cs="Times New Roman"/>
        </w:rPr>
        <w:t xml:space="preserve">While we find no evidence that parental participation in gambling </w:t>
      </w:r>
      <w:r w:rsidR="002F0E09" w:rsidRPr="00131A05">
        <w:rPr>
          <w:rFonts w:ascii="Times New Roman" w:hAnsi="Times New Roman" w:cs="Times New Roman"/>
        </w:rPr>
        <w:t xml:space="preserve">during childhood </w:t>
      </w:r>
      <w:r w:rsidR="003159F2" w:rsidRPr="00131A05">
        <w:rPr>
          <w:rFonts w:ascii="Times New Roman" w:hAnsi="Times New Roman" w:cs="Times New Roman"/>
        </w:rPr>
        <w:t xml:space="preserve">raises MPPG risk, we do find links between parental problematic gambling and children’s subsequent MPPG. On the other hand, transmission appears to work only cross-gender and </w:t>
      </w:r>
      <w:r w:rsidRPr="00131A05">
        <w:rPr>
          <w:rFonts w:ascii="Times New Roman" w:hAnsi="Times New Roman" w:cs="Times New Roman"/>
        </w:rPr>
        <w:t xml:space="preserve">transmission which </w:t>
      </w:r>
      <w:r w:rsidRPr="00131A05">
        <w:rPr>
          <w:rFonts w:ascii="Times New Roman" w:hAnsi="Times New Roman" w:cs="Times New Roman"/>
        </w:rPr>
        <w:lastRenderedPageBreak/>
        <w:t>occurs only cross-gender cannot account for the scale of MPPG observed in the data. MPPG is clearly much more prevalent among these twenty-year-olds than in the population prevalence data</w:t>
      </w:r>
      <w:r w:rsidR="001316B5" w:rsidRPr="00131A05">
        <w:rPr>
          <w:rFonts w:ascii="Times New Roman" w:hAnsi="Times New Roman" w:cs="Times New Roman"/>
        </w:rPr>
        <w:t xml:space="preserve"> (as reported in Conolly et al.</w:t>
      </w:r>
      <w:r w:rsidR="00276C70" w:rsidRPr="00131A05">
        <w:rPr>
          <w:rFonts w:ascii="Times New Roman" w:hAnsi="Times New Roman" w:cs="Times New Roman"/>
        </w:rPr>
        <w:t>,</w:t>
      </w:r>
      <w:r w:rsidR="001316B5" w:rsidRPr="00131A05">
        <w:rPr>
          <w:rFonts w:ascii="Times New Roman" w:hAnsi="Times New Roman" w:cs="Times New Roman"/>
        </w:rPr>
        <w:t xml:space="preserve"> 2018)</w:t>
      </w:r>
      <w:r w:rsidRPr="00131A05">
        <w:rPr>
          <w:rFonts w:ascii="Times New Roman" w:hAnsi="Times New Roman" w:cs="Times New Roman"/>
        </w:rPr>
        <w:t xml:space="preserve">. To the extent that MPPG is so concentrated among those who have only recently reached the legal age for participation in most forms of commercial gambling, it may be argued that public health measures should target this vulnerable </w:t>
      </w:r>
      <w:r w:rsidR="00F743F8" w:rsidRPr="00131A05">
        <w:rPr>
          <w:rFonts w:ascii="Times New Roman" w:hAnsi="Times New Roman" w:cs="Times New Roman"/>
        </w:rPr>
        <w:t xml:space="preserve">group by adopting new protective measures. For example, Licence Conditions in Great Britain oblige operators to intervene if customers exhibit patterns of play suggestive of harm. For those who are in the early years of </w:t>
      </w:r>
      <w:r w:rsidR="001A2D8A" w:rsidRPr="00131A05">
        <w:rPr>
          <w:rFonts w:ascii="Times New Roman" w:hAnsi="Times New Roman" w:cs="Times New Roman"/>
        </w:rPr>
        <w:t xml:space="preserve">exposure to legal gambling opportunities, </w:t>
      </w:r>
      <w:r w:rsidR="00F743F8" w:rsidRPr="00131A05">
        <w:rPr>
          <w:rFonts w:ascii="Times New Roman" w:hAnsi="Times New Roman" w:cs="Times New Roman"/>
        </w:rPr>
        <w:t>thresholds for intervention could be required to be lower.</w:t>
      </w:r>
    </w:p>
    <w:p w:rsidR="00047ED7" w:rsidRPr="00131A05" w:rsidRDefault="00047ED7" w:rsidP="00A258D4">
      <w:pPr>
        <w:spacing w:line="480" w:lineRule="auto"/>
        <w:rPr>
          <w:rFonts w:ascii="Times New Roman" w:hAnsi="Times New Roman" w:cs="Times New Roman"/>
        </w:rPr>
      </w:pPr>
    </w:p>
    <w:p w:rsidR="00AA352F" w:rsidRPr="00131A05" w:rsidRDefault="00AA352F" w:rsidP="00A258D4">
      <w:pPr>
        <w:spacing w:line="480" w:lineRule="auto"/>
        <w:rPr>
          <w:rFonts w:ascii="Times New Roman" w:hAnsi="Times New Roman" w:cs="Times New Roman"/>
        </w:rPr>
      </w:pPr>
    </w:p>
    <w:p w:rsidR="00633841" w:rsidRPr="00131A05" w:rsidRDefault="00633841">
      <w:pPr>
        <w:rPr>
          <w:rFonts w:ascii="Times New Roman" w:hAnsi="Times New Roman" w:cs="Times New Roman"/>
          <w:b/>
          <w:sz w:val="28"/>
          <w:szCs w:val="28"/>
        </w:rPr>
      </w:pPr>
      <w:r w:rsidRPr="00131A05">
        <w:rPr>
          <w:rFonts w:ascii="Times New Roman" w:hAnsi="Times New Roman" w:cs="Times New Roman"/>
          <w:b/>
          <w:sz w:val="28"/>
          <w:szCs w:val="28"/>
        </w:rPr>
        <w:br w:type="page"/>
      </w:r>
    </w:p>
    <w:p w:rsidR="00633841" w:rsidRPr="00131A05" w:rsidRDefault="00633841" w:rsidP="00633841">
      <w:pPr>
        <w:spacing w:line="480" w:lineRule="auto"/>
        <w:rPr>
          <w:rFonts w:ascii="Times New Roman" w:hAnsi="Times New Roman" w:cs="Times New Roman"/>
          <w:b/>
          <w:sz w:val="28"/>
          <w:szCs w:val="28"/>
        </w:rPr>
      </w:pPr>
      <w:r w:rsidRPr="00131A05">
        <w:rPr>
          <w:rFonts w:ascii="Times New Roman" w:hAnsi="Times New Roman" w:cs="Times New Roman"/>
          <w:b/>
          <w:sz w:val="28"/>
          <w:szCs w:val="28"/>
        </w:rPr>
        <w:lastRenderedPageBreak/>
        <w:t>References</w:t>
      </w:r>
    </w:p>
    <w:p w:rsidR="00183431" w:rsidRPr="00131A05" w:rsidRDefault="00183431" w:rsidP="00183431">
      <w:pPr>
        <w:spacing w:line="480" w:lineRule="auto"/>
        <w:rPr>
          <w:rFonts w:ascii="Times New Roman" w:hAnsi="Times New Roman" w:cs="Times New Roman"/>
        </w:rPr>
      </w:pPr>
      <w:r w:rsidRPr="00131A05">
        <w:rPr>
          <w:rFonts w:ascii="Times New Roman" w:hAnsi="Times New Roman" w:cs="Times New Roman"/>
        </w:rPr>
        <w:t xml:space="preserve">Abrevaya J., &amp; Tang H. (2011). Body mass index in families: spousal correlation, endogeneity and intergenerational transmission. </w:t>
      </w:r>
      <w:r w:rsidRPr="00131A05">
        <w:rPr>
          <w:rFonts w:ascii="Times New Roman" w:hAnsi="Times New Roman" w:cs="Times New Roman"/>
          <w:i/>
        </w:rPr>
        <w:t>Empirical Economics</w:t>
      </w:r>
      <w:r w:rsidRPr="00131A05">
        <w:rPr>
          <w:rFonts w:ascii="Times New Roman" w:hAnsi="Times New Roman" w:cs="Times New Roman"/>
        </w:rPr>
        <w:t xml:space="preserve">, </w:t>
      </w:r>
      <w:r w:rsidRPr="00131A05">
        <w:rPr>
          <w:rFonts w:ascii="Times New Roman" w:hAnsi="Times New Roman" w:cs="Times New Roman"/>
          <w:i/>
        </w:rPr>
        <w:t>41</w:t>
      </w:r>
      <w:r w:rsidRPr="00131A05">
        <w:rPr>
          <w:rFonts w:ascii="Times New Roman" w:hAnsi="Times New Roman" w:cs="Times New Roman"/>
        </w:rPr>
        <w:t>, 841-64.</w:t>
      </w:r>
    </w:p>
    <w:p w:rsidR="00183431" w:rsidRPr="00131A05" w:rsidRDefault="00183431" w:rsidP="00183431">
      <w:pPr>
        <w:spacing w:line="480" w:lineRule="auto"/>
        <w:rPr>
          <w:rFonts w:ascii="Times New Roman" w:hAnsi="Times New Roman" w:cs="Times New Roman"/>
        </w:rPr>
      </w:pPr>
      <w:r w:rsidRPr="00131A05">
        <w:rPr>
          <w:rFonts w:ascii="Times New Roman" w:hAnsi="Times New Roman" w:cs="Times New Roman"/>
        </w:rPr>
        <w:t xml:space="preserve">Blaszczynski A., &amp; Nower L. (2002). A pathways model of problem and pathological gambling. </w:t>
      </w:r>
      <w:r w:rsidRPr="00131A05">
        <w:rPr>
          <w:rFonts w:ascii="Times New Roman" w:hAnsi="Times New Roman" w:cs="Times New Roman"/>
          <w:i/>
        </w:rPr>
        <w:t>Addiction 97(5)</w:t>
      </w:r>
      <w:r w:rsidRPr="00131A05">
        <w:rPr>
          <w:rFonts w:ascii="Times New Roman" w:hAnsi="Times New Roman" w:cs="Times New Roman"/>
        </w:rPr>
        <w:t xml:space="preserve">, 487-99. </w:t>
      </w:r>
    </w:p>
    <w:p w:rsidR="00183431" w:rsidRPr="00131A05" w:rsidRDefault="00183431" w:rsidP="00183431">
      <w:pPr>
        <w:spacing w:line="480" w:lineRule="auto"/>
        <w:rPr>
          <w:rFonts w:ascii="Times New Roman" w:hAnsi="Times New Roman" w:cs="Times New Roman"/>
        </w:rPr>
      </w:pPr>
      <w:r w:rsidRPr="00131A05">
        <w:rPr>
          <w:rFonts w:ascii="Times New Roman" w:hAnsi="Times New Roman" w:cs="Times New Roman"/>
        </w:rPr>
        <w:t>Brewin, C. R., Andrews, B., &amp; Gotlib, I. H. (1993). Psychopathology and early experience: A reappraisal of retrospective reports. </w:t>
      </w:r>
      <w:r w:rsidRPr="00131A05">
        <w:rPr>
          <w:rFonts w:ascii="Times New Roman" w:hAnsi="Times New Roman" w:cs="Times New Roman"/>
          <w:i/>
          <w:iCs/>
        </w:rPr>
        <w:t>Psychological Bulletin, 113</w:t>
      </w:r>
      <w:r w:rsidRPr="00131A05">
        <w:rPr>
          <w:rFonts w:ascii="Times New Roman" w:hAnsi="Times New Roman" w:cs="Times New Roman"/>
        </w:rPr>
        <w:t>(1), 82-98.</w:t>
      </w:r>
    </w:p>
    <w:p w:rsidR="00E757DB" w:rsidRPr="00131A05" w:rsidRDefault="00E757DB" w:rsidP="00E757DB">
      <w:pPr>
        <w:spacing w:line="480" w:lineRule="auto"/>
        <w:rPr>
          <w:rFonts w:ascii="Times New Roman" w:hAnsi="Times New Roman" w:cs="Times New Roman"/>
        </w:rPr>
      </w:pPr>
      <w:r w:rsidRPr="00131A05">
        <w:rPr>
          <w:rFonts w:ascii="Times New Roman" w:hAnsi="Times New Roman" w:cs="Times New Roman"/>
        </w:rPr>
        <w:t xml:space="preserve">Conolly A, Davies B, Fuller E., Heinze N, &amp; Wardle H. (2018). </w:t>
      </w:r>
      <w:r w:rsidRPr="00131A05">
        <w:rPr>
          <w:rFonts w:ascii="Times New Roman" w:hAnsi="Times New Roman" w:cs="Times New Roman"/>
          <w:i/>
        </w:rPr>
        <w:t>Gambling behaviour in Great Britain in 2016 Evidence from England, Scotland and Wales</w:t>
      </w:r>
      <w:r w:rsidRPr="00131A05">
        <w:rPr>
          <w:rFonts w:ascii="Times New Roman" w:hAnsi="Times New Roman" w:cs="Times New Roman"/>
        </w:rPr>
        <w:t xml:space="preserve">. London: NatCen Social Research for the Gambling Commission. Available at </w:t>
      </w:r>
      <w:hyperlink r:id="rId10" w:history="1">
        <w:r w:rsidRPr="00131A05">
          <w:rPr>
            <w:rStyle w:val="Hyperlink"/>
            <w:rFonts w:ascii="Times New Roman" w:hAnsi="Times New Roman" w:cs="Times New Roman"/>
            <w:color w:val="auto"/>
          </w:rPr>
          <w:t>https://www.gamblingcommission.gov.uk/PDF/survey-data/Gambling-behaviour-in-Great-Britain-2016.pdf</w:t>
        </w:r>
      </w:hyperlink>
      <w:r w:rsidRPr="00131A05">
        <w:rPr>
          <w:rFonts w:ascii="Times New Roman" w:hAnsi="Times New Roman" w:cs="Times New Roman"/>
        </w:rPr>
        <w:t xml:space="preserve"> Last accessed 12 November 2019.</w:t>
      </w:r>
    </w:p>
    <w:p w:rsidR="00953CC7" w:rsidRPr="00131A05" w:rsidRDefault="00953CC7" w:rsidP="00633841">
      <w:pPr>
        <w:spacing w:line="480" w:lineRule="auto"/>
        <w:rPr>
          <w:rFonts w:ascii="Times New Roman" w:hAnsi="Times New Roman" w:cs="Times New Roman"/>
        </w:rPr>
      </w:pPr>
      <w:r w:rsidRPr="00131A05">
        <w:rPr>
          <w:rFonts w:ascii="Times New Roman" w:hAnsi="Times New Roman" w:cs="Times New Roman"/>
        </w:rPr>
        <w:t>Ferris, J.</w:t>
      </w:r>
      <w:r w:rsidR="00E757DB" w:rsidRPr="00131A05">
        <w:rPr>
          <w:rFonts w:ascii="Times New Roman" w:hAnsi="Times New Roman" w:cs="Times New Roman"/>
        </w:rPr>
        <w:t xml:space="preserve">, &amp; </w:t>
      </w:r>
      <w:r w:rsidRPr="00131A05">
        <w:rPr>
          <w:rFonts w:ascii="Times New Roman" w:hAnsi="Times New Roman" w:cs="Times New Roman"/>
        </w:rPr>
        <w:t>Wynne, H.</w:t>
      </w:r>
      <w:r w:rsidR="00E757DB" w:rsidRPr="00131A05">
        <w:rPr>
          <w:rFonts w:ascii="Times New Roman" w:hAnsi="Times New Roman" w:cs="Times New Roman"/>
        </w:rPr>
        <w:t xml:space="preserve"> </w:t>
      </w:r>
      <w:r w:rsidRPr="00131A05">
        <w:rPr>
          <w:rFonts w:ascii="Times New Roman" w:hAnsi="Times New Roman" w:cs="Times New Roman"/>
        </w:rPr>
        <w:t xml:space="preserve">J. </w:t>
      </w:r>
      <w:r w:rsidR="00E757DB" w:rsidRPr="00131A05">
        <w:rPr>
          <w:rFonts w:ascii="Times New Roman" w:hAnsi="Times New Roman" w:cs="Times New Roman"/>
        </w:rPr>
        <w:t xml:space="preserve">(2001). </w:t>
      </w:r>
      <w:r w:rsidRPr="00131A05">
        <w:rPr>
          <w:rFonts w:ascii="Times New Roman" w:hAnsi="Times New Roman" w:cs="Times New Roman"/>
          <w:i/>
        </w:rPr>
        <w:t>The Canadian Problem Gambling Index: Final Report</w:t>
      </w:r>
      <w:r w:rsidRPr="00131A05">
        <w:rPr>
          <w:rFonts w:ascii="Times New Roman" w:hAnsi="Times New Roman" w:cs="Times New Roman"/>
        </w:rPr>
        <w:t xml:space="preserve">. Ottawa: Canadian Centre on Substance Abuse. </w:t>
      </w:r>
    </w:p>
    <w:p w:rsidR="00183431" w:rsidRPr="00131A05" w:rsidRDefault="00183431" w:rsidP="00183431">
      <w:pPr>
        <w:spacing w:line="480" w:lineRule="auto"/>
        <w:rPr>
          <w:rFonts w:ascii="Times New Roman" w:hAnsi="Times New Roman" w:cs="Times New Roman"/>
        </w:rPr>
      </w:pPr>
      <w:r w:rsidRPr="00131A05">
        <w:rPr>
          <w:rFonts w:ascii="Times New Roman" w:hAnsi="Times New Roman" w:cs="Times New Roman"/>
        </w:rPr>
        <w:t xml:space="preserve">Homel J., &amp; Warren D. (2017). Parental influences on adolescents’ alcohol use. In </w:t>
      </w:r>
      <w:r w:rsidRPr="00131A05">
        <w:rPr>
          <w:rFonts w:ascii="Times New Roman" w:hAnsi="Times New Roman" w:cs="Times New Roman"/>
          <w:i/>
        </w:rPr>
        <w:t>The Longitudinal Study of Australian Children: Annual Statistical Report</w:t>
      </w:r>
      <w:r w:rsidRPr="00131A05">
        <w:rPr>
          <w:rFonts w:ascii="Times New Roman" w:hAnsi="Times New Roman" w:cs="Times New Roman"/>
        </w:rPr>
        <w:t xml:space="preserve">, </w:t>
      </w:r>
      <w:r w:rsidRPr="00131A05">
        <w:rPr>
          <w:rFonts w:ascii="Times New Roman" w:hAnsi="Times New Roman" w:cs="Times New Roman"/>
          <w:i/>
        </w:rPr>
        <w:t>2016</w:t>
      </w:r>
      <w:r w:rsidRPr="00131A05">
        <w:rPr>
          <w:rFonts w:ascii="Times New Roman" w:hAnsi="Times New Roman" w:cs="Times New Roman"/>
        </w:rPr>
        <w:t xml:space="preserve">, vol. 7. Available at: </w:t>
      </w:r>
      <w:hyperlink r:id="rId11" w:history="1">
        <w:r w:rsidRPr="00131A05">
          <w:rPr>
            <w:rStyle w:val="Hyperlink"/>
            <w:rFonts w:ascii="Times New Roman" w:hAnsi="Times New Roman" w:cs="Times New Roman"/>
            <w:color w:val="auto"/>
          </w:rPr>
          <w:t>https://growingupinaustralia.gov.au/research-findings/annual-statistical-report-2016</w:t>
        </w:r>
      </w:hyperlink>
      <w:r w:rsidRPr="00131A05">
        <w:rPr>
          <w:rFonts w:ascii="Times New Roman" w:hAnsi="Times New Roman" w:cs="Times New Roman"/>
        </w:rPr>
        <w:t xml:space="preserve"> Last accessed November 12 2019.</w:t>
      </w:r>
    </w:p>
    <w:p w:rsidR="00183431" w:rsidRPr="00131A05" w:rsidRDefault="00183431" w:rsidP="00183431">
      <w:pPr>
        <w:spacing w:line="480" w:lineRule="auto"/>
        <w:rPr>
          <w:rFonts w:ascii="Times New Roman" w:hAnsi="Times New Roman" w:cs="Times New Roman"/>
        </w:rPr>
      </w:pPr>
      <w:r w:rsidRPr="00131A05">
        <w:rPr>
          <w:rFonts w:ascii="Times New Roman" w:hAnsi="Times New Roman" w:cs="Times New Roman"/>
        </w:rPr>
        <w:t xml:space="preserve">Lesieur, H.R., &amp; Blume, S.B. (1987). </w:t>
      </w:r>
      <w:r w:rsidRPr="00131A05">
        <w:rPr>
          <w:rFonts w:ascii="Times New Roman" w:hAnsi="Times New Roman" w:cs="Times New Roman"/>
          <w:iCs/>
        </w:rPr>
        <w:t>The South Oaks Gambling Screen (SOGS): a new instrument for the identification of pathological gamblers</w:t>
      </w:r>
      <w:r w:rsidRPr="00131A05">
        <w:rPr>
          <w:rFonts w:ascii="Times New Roman" w:hAnsi="Times New Roman" w:cs="Times New Roman"/>
        </w:rPr>
        <w:t xml:space="preserve">. </w:t>
      </w:r>
      <w:r w:rsidRPr="00131A05">
        <w:rPr>
          <w:rFonts w:ascii="Times New Roman" w:hAnsi="Times New Roman" w:cs="Times New Roman"/>
          <w:i/>
        </w:rPr>
        <w:t>The American Journal of Psychiatry</w:t>
      </w:r>
      <w:r w:rsidRPr="00131A05">
        <w:rPr>
          <w:rFonts w:ascii="Times New Roman" w:hAnsi="Times New Roman" w:cs="Times New Roman"/>
        </w:rPr>
        <w:t xml:space="preserve">, </w:t>
      </w:r>
      <w:r w:rsidRPr="00131A05">
        <w:rPr>
          <w:rFonts w:ascii="Times New Roman" w:hAnsi="Times New Roman" w:cs="Times New Roman"/>
          <w:i/>
        </w:rPr>
        <w:t>114(9)</w:t>
      </w:r>
      <w:r w:rsidRPr="00131A05">
        <w:rPr>
          <w:rFonts w:ascii="Times New Roman" w:hAnsi="Times New Roman" w:cs="Times New Roman"/>
        </w:rPr>
        <w:t>, 1184-1188.</w:t>
      </w:r>
    </w:p>
    <w:p w:rsidR="00183431" w:rsidRPr="00131A05" w:rsidRDefault="00183431" w:rsidP="00183431">
      <w:pPr>
        <w:spacing w:line="480" w:lineRule="auto"/>
        <w:rPr>
          <w:rFonts w:ascii="Times New Roman" w:hAnsi="Times New Roman" w:cs="Times New Roman"/>
        </w:rPr>
      </w:pPr>
    </w:p>
    <w:p w:rsidR="00183431" w:rsidRPr="00131A05" w:rsidRDefault="00183431" w:rsidP="00183431">
      <w:pPr>
        <w:spacing w:line="480" w:lineRule="auto"/>
        <w:rPr>
          <w:rFonts w:ascii="Times New Roman" w:hAnsi="Times New Roman" w:cs="Times New Roman"/>
        </w:rPr>
      </w:pPr>
    </w:p>
    <w:p w:rsidR="00183431" w:rsidRPr="00131A05" w:rsidRDefault="00183431" w:rsidP="00183431">
      <w:pPr>
        <w:spacing w:line="480" w:lineRule="auto"/>
        <w:rPr>
          <w:rFonts w:ascii="Times New Roman" w:hAnsi="Times New Roman" w:cs="Times New Roman"/>
        </w:rPr>
      </w:pPr>
      <w:r w:rsidRPr="00131A05">
        <w:rPr>
          <w:rFonts w:ascii="Times New Roman" w:hAnsi="Times New Roman" w:cs="Times New Roman"/>
        </w:rPr>
        <w:lastRenderedPageBreak/>
        <w:t xml:space="preserve">Li P., Becker, J. B., Heitzeg, M. M., McClellan, M. L., Reed,  B. G.,  &amp; Zucker, R. A. (2017). Gender differences in the . transmission of risk for antisocial behavior problems across generations. </w:t>
      </w:r>
      <w:r w:rsidRPr="00131A05">
        <w:rPr>
          <w:rFonts w:ascii="Times New Roman" w:hAnsi="Times New Roman" w:cs="Times New Roman"/>
          <w:i/>
        </w:rPr>
        <w:t>PLoS ONE</w:t>
      </w:r>
      <w:r w:rsidRPr="00131A05">
        <w:rPr>
          <w:rFonts w:ascii="Times New Roman" w:hAnsi="Times New Roman" w:cs="Times New Roman"/>
        </w:rPr>
        <w:t xml:space="preserve"> , </w:t>
      </w:r>
      <w:r w:rsidRPr="00131A05">
        <w:rPr>
          <w:rFonts w:ascii="Times New Roman" w:hAnsi="Times New Roman" w:cs="Times New Roman"/>
          <w:i/>
        </w:rPr>
        <w:t>12(5</w:t>
      </w:r>
      <w:r w:rsidRPr="00131A05">
        <w:rPr>
          <w:rFonts w:ascii="Times New Roman" w:hAnsi="Times New Roman" w:cs="Times New Roman"/>
        </w:rPr>
        <w:t>), e0177288. https://doi.org/10.1371/journal. pone.0177288</w:t>
      </w:r>
    </w:p>
    <w:p w:rsidR="00633841" w:rsidRPr="00131A05" w:rsidRDefault="00633841" w:rsidP="00633841">
      <w:pPr>
        <w:spacing w:line="480" w:lineRule="auto"/>
        <w:rPr>
          <w:rFonts w:ascii="Times New Roman" w:hAnsi="Times New Roman" w:cs="Times New Roman"/>
        </w:rPr>
      </w:pPr>
      <w:r w:rsidRPr="00131A05">
        <w:rPr>
          <w:rFonts w:ascii="Times New Roman" w:hAnsi="Times New Roman" w:cs="Times New Roman"/>
        </w:rPr>
        <w:t>Slutske</w:t>
      </w:r>
      <w:r w:rsidR="000D1C70" w:rsidRPr="00131A05">
        <w:rPr>
          <w:rFonts w:ascii="Times New Roman" w:hAnsi="Times New Roman" w:cs="Times New Roman"/>
        </w:rPr>
        <w:t xml:space="preserve">, </w:t>
      </w:r>
      <w:r w:rsidRPr="00131A05">
        <w:rPr>
          <w:rFonts w:ascii="Times New Roman" w:hAnsi="Times New Roman" w:cs="Times New Roman"/>
        </w:rPr>
        <w:t>W</w:t>
      </w:r>
      <w:r w:rsidR="000D1C70" w:rsidRPr="00131A05">
        <w:rPr>
          <w:rFonts w:ascii="Times New Roman" w:hAnsi="Times New Roman" w:cs="Times New Roman"/>
        </w:rPr>
        <w:t>.</w:t>
      </w:r>
      <w:r w:rsidRPr="00131A05">
        <w:rPr>
          <w:rFonts w:ascii="Times New Roman" w:hAnsi="Times New Roman" w:cs="Times New Roman"/>
        </w:rPr>
        <w:t>S</w:t>
      </w:r>
      <w:r w:rsidR="000D1C70" w:rsidRPr="00131A05">
        <w:rPr>
          <w:rFonts w:ascii="Times New Roman" w:hAnsi="Times New Roman" w:cs="Times New Roman"/>
        </w:rPr>
        <w:t>.</w:t>
      </w:r>
      <w:r w:rsidRPr="00131A05">
        <w:rPr>
          <w:rFonts w:ascii="Times New Roman" w:hAnsi="Times New Roman" w:cs="Times New Roman"/>
        </w:rPr>
        <w:t>, Zhu</w:t>
      </w:r>
      <w:r w:rsidR="000D1C70" w:rsidRPr="00131A05">
        <w:rPr>
          <w:rFonts w:ascii="Times New Roman" w:hAnsi="Times New Roman" w:cs="Times New Roman"/>
        </w:rPr>
        <w:t>,</w:t>
      </w:r>
      <w:r w:rsidRPr="00131A05">
        <w:rPr>
          <w:rFonts w:ascii="Times New Roman" w:hAnsi="Times New Roman" w:cs="Times New Roman"/>
        </w:rPr>
        <w:t xml:space="preserve"> G</w:t>
      </w:r>
      <w:r w:rsidR="000D1C70" w:rsidRPr="00131A05">
        <w:rPr>
          <w:rFonts w:ascii="Times New Roman" w:hAnsi="Times New Roman" w:cs="Times New Roman"/>
        </w:rPr>
        <w:t>.,</w:t>
      </w:r>
      <w:r w:rsidRPr="00131A05">
        <w:rPr>
          <w:rFonts w:ascii="Times New Roman" w:hAnsi="Times New Roman" w:cs="Times New Roman"/>
        </w:rPr>
        <w:t xml:space="preserve"> Meier</w:t>
      </w:r>
      <w:r w:rsidR="000D1C70" w:rsidRPr="00131A05">
        <w:rPr>
          <w:rFonts w:ascii="Times New Roman" w:hAnsi="Times New Roman" w:cs="Times New Roman"/>
        </w:rPr>
        <w:t>,</w:t>
      </w:r>
      <w:r w:rsidRPr="00131A05">
        <w:rPr>
          <w:rFonts w:ascii="Times New Roman" w:hAnsi="Times New Roman" w:cs="Times New Roman"/>
        </w:rPr>
        <w:t xml:space="preserve"> M</w:t>
      </w:r>
      <w:r w:rsidR="000D1C70" w:rsidRPr="00131A05">
        <w:rPr>
          <w:rFonts w:ascii="Times New Roman" w:hAnsi="Times New Roman" w:cs="Times New Roman"/>
        </w:rPr>
        <w:t xml:space="preserve">. </w:t>
      </w:r>
      <w:r w:rsidRPr="00131A05">
        <w:rPr>
          <w:rFonts w:ascii="Times New Roman" w:hAnsi="Times New Roman" w:cs="Times New Roman"/>
        </w:rPr>
        <w:t>H</w:t>
      </w:r>
      <w:r w:rsidR="000D1C70" w:rsidRPr="00131A05">
        <w:rPr>
          <w:rFonts w:ascii="Times New Roman" w:hAnsi="Times New Roman" w:cs="Times New Roman"/>
        </w:rPr>
        <w:t>.</w:t>
      </w:r>
      <w:r w:rsidRPr="00131A05">
        <w:rPr>
          <w:rFonts w:ascii="Times New Roman" w:hAnsi="Times New Roman" w:cs="Times New Roman"/>
        </w:rPr>
        <w:t>,</w:t>
      </w:r>
      <w:r w:rsidR="000D1C70" w:rsidRPr="00131A05">
        <w:rPr>
          <w:rFonts w:ascii="Times New Roman" w:hAnsi="Times New Roman" w:cs="Times New Roman"/>
        </w:rPr>
        <w:t xml:space="preserve"> &amp; </w:t>
      </w:r>
      <w:r w:rsidRPr="00131A05">
        <w:rPr>
          <w:rFonts w:ascii="Times New Roman" w:hAnsi="Times New Roman" w:cs="Times New Roman"/>
        </w:rPr>
        <w:t>Martin</w:t>
      </w:r>
      <w:r w:rsidR="000D1C70" w:rsidRPr="00131A05">
        <w:rPr>
          <w:rFonts w:ascii="Times New Roman" w:hAnsi="Times New Roman" w:cs="Times New Roman"/>
        </w:rPr>
        <w:t>,</w:t>
      </w:r>
      <w:r w:rsidRPr="00131A05">
        <w:rPr>
          <w:rFonts w:ascii="Times New Roman" w:hAnsi="Times New Roman" w:cs="Times New Roman"/>
        </w:rPr>
        <w:t xml:space="preserve"> N</w:t>
      </w:r>
      <w:r w:rsidR="000D1C70" w:rsidRPr="00131A05">
        <w:rPr>
          <w:rFonts w:ascii="Times New Roman" w:hAnsi="Times New Roman" w:cs="Times New Roman"/>
        </w:rPr>
        <w:t xml:space="preserve">. </w:t>
      </w:r>
      <w:r w:rsidRPr="00131A05">
        <w:rPr>
          <w:rFonts w:ascii="Times New Roman" w:hAnsi="Times New Roman" w:cs="Times New Roman"/>
        </w:rPr>
        <w:t xml:space="preserve">G. </w:t>
      </w:r>
      <w:r w:rsidR="00054ED4" w:rsidRPr="00131A05">
        <w:rPr>
          <w:rFonts w:ascii="Times New Roman" w:hAnsi="Times New Roman" w:cs="Times New Roman"/>
        </w:rPr>
        <w:t xml:space="preserve">(2010). </w:t>
      </w:r>
      <w:r w:rsidRPr="00131A05">
        <w:rPr>
          <w:rFonts w:ascii="Times New Roman" w:hAnsi="Times New Roman" w:cs="Times New Roman"/>
        </w:rPr>
        <w:t xml:space="preserve">Genetic and environmental influences on disordered gambling in men and women. </w:t>
      </w:r>
      <w:r w:rsidRPr="00131A05">
        <w:rPr>
          <w:rFonts w:ascii="Times New Roman" w:hAnsi="Times New Roman" w:cs="Times New Roman"/>
          <w:i/>
        </w:rPr>
        <w:t>Archives of General Psychiatry</w:t>
      </w:r>
      <w:r w:rsidR="00054ED4" w:rsidRPr="00131A05">
        <w:rPr>
          <w:rFonts w:ascii="Times New Roman" w:hAnsi="Times New Roman" w:cs="Times New Roman"/>
          <w:i/>
        </w:rPr>
        <w:t xml:space="preserve">, </w:t>
      </w:r>
      <w:r w:rsidRPr="00131A05">
        <w:rPr>
          <w:rFonts w:ascii="Times New Roman" w:hAnsi="Times New Roman" w:cs="Times New Roman"/>
          <w:i/>
        </w:rPr>
        <w:t>67</w:t>
      </w:r>
      <w:r w:rsidR="00054ED4" w:rsidRPr="00131A05">
        <w:rPr>
          <w:rFonts w:ascii="Times New Roman" w:hAnsi="Times New Roman" w:cs="Times New Roman"/>
        </w:rPr>
        <w:t xml:space="preserve">, </w:t>
      </w:r>
      <w:r w:rsidRPr="00131A05">
        <w:rPr>
          <w:rFonts w:ascii="Times New Roman" w:hAnsi="Times New Roman" w:cs="Times New Roman"/>
        </w:rPr>
        <w:t xml:space="preserve">624-630. </w:t>
      </w:r>
    </w:p>
    <w:p w:rsidR="00633841" w:rsidRPr="00131A05" w:rsidRDefault="00633841" w:rsidP="00633841">
      <w:pPr>
        <w:spacing w:line="480" w:lineRule="auto"/>
        <w:rPr>
          <w:rFonts w:ascii="Times New Roman" w:hAnsi="Times New Roman" w:cs="Times New Roman"/>
        </w:rPr>
      </w:pPr>
      <w:r w:rsidRPr="00131A05">
        <w:rPr>
          <w:rFonts w:ascii="Times New Roman" w:hAnsi="Times New Roman" w:cs="Times New Roman"/>
        </w:rPr>
        <w:t>Valentine G.</w:t>
      </w:r>
      <w:r w:rsidR="00F94825" w:rsidRPr="00131A05">
        <w:rPr>
          <w:rFonts w:ascii="Times New Roman" w:hAnsi="Times New Roman" w:cs="Times New Roman"/>
        </w:rPr>
        <w:t xml:space="preserve"> </w:t>
      </w:r>
      <w:r w:rsidR="00054ED4" w:rsidRPr="00131A05">
        <w:rPr>
          <w:rFonts w:ascii="Times New Roman" w:hAnsi="Times New Roman" w:cs="Times New Roman"/>
        </w:rPr>
        <w:t xml:space="preserve">(2014). </w:t>
      </w:r>
      <w:r w:rsidRPr="00131A05">
        <w:rPr>
          <w:rFonts w:ascii="Times New Roman" w:hAnsi="Times New Roman" w:cs="Times New Roman"/>
          <w:i/>
        </w:rPr>
        <w:t>Children and Young People’s Gambling: Research Review</w:t>
      </w:r>
      <w:r w:rsidRPr="00131A05">
        <w:rPr>
          <w:rFonts w:ascii="Times New Roman" w:hAnsi="Times New Roman" w:cs="Times New Roman"/>
        </w:rPr>
        <w:t>. London: Responsible Gambling Trust</w:t>
      </w:r>
      <w:r w:rsidR="00054ED4" w:rsidRPr="00131A05">
        <w:rPr>
          <w:rFonts w:ascii="Times New Roman" w:hAnsi="Times New Roman" w:cs="Times New Roman"/>
        </w:rPr>
        <w:t>.</w:t>
      </w:r>
      <w:r w:rsidRPr="00131A05">
        <w:rPr>
          <w:rFonts w:ascii="Times New Roman" w:hAnsi="Times New Roman" w:cs="Times New Roman"/>
        </w:rPr>
        <w:t xml:space="preserve"> Available at: </w:t>
      </w:r>
      <w:hyperlink r:id="rId12" w:history="1">
        <w:r w:rsidRPr="00131A05">
          <w:rPr>
            <w:rStyle w:val="Hyperlink"/>
            <w:rFonts w:ascii="Times New Roman" w:hAnsi="Times New Roman" w:cs="Times New Roman"/>
            <w:color w:val="auto"/>
          </w:rPr>
          <w:t>https://about.gambleaware.org/media/1274/1-june-update-children-young-people-literature-review.pdf</w:t>
        </w:r>
      </w:hyperlink>
      <w:r w:rsidRPr="00131A05">
        <w:rPr>
          <w:rFonts w:ascii="Times New Roman" w:hAnsi="Times New Roman" w:cs="Times New Roman"/>
        </w:rPr>
        <w:t xml:space="preserve"> </w:t>
      </w:r>
      <w:r w:rsidR="00054ED4" w:rsidRPr="00131A05">
        <w:rPr>
          <w:rFonts w:ascii="Times New Roman" w:hAnsi="Times New Roman" w:cs="Times New Roman"/>
        </w:rPr>
        <w:t xml:space="preserve">Last accessed </w:t>
      </w:r>
      <w:r w:rsidRPr="00131A05">
        <w:rPr>
          <w:rFonts w:ascii="Times New Roman" w:hAnsi="Times New Roman" w:cs="Times New Roman"/>
        </w:rPr>
        <w:t>1</w:t>
      </w:r>
      <w:r w:rsidR="00054ED4" w:rsidRPr="00131A05">
        <w:rPr>
          <w:rFonts w:ascii="Times New Roman" w:hAnsi="Times New Roman" w:cs="Times New Roman"/>
        </w:rPr>
        <w:t>2</w:t>
      </w:r>
      <w:r w:rsidRPr="00131A05">
        <w:rPr>
          <w:rFonts w:ascii="Times New Roman" w:hAnsi="Times New Roman" w:cs="Times New Roman"/>
        </w:rPr>
        <w:t xml:space="preserve"> </w:t>
      </w:r>
      <w:r w:rsidR="00054ED4" w:rsidRPr="00131A05">
        <w:rPr>
          <w:rFonts w:ascii="Times New Roman" w:hAnsi="Times New Roman" w:cs="Times New Roman"/>
        </w:rPr>
        <w:t xml:space="preserve">November </w:t>
      </w:r>
      <w:r w:rsidRPr="00131A05">
        <w:rPr>
          <w:rFonts w:ascii="Times New Roman" w:hAnsi="Times New Roman" w:cs="Times New Roman"/>
        </w:rPr>
        <w:t>2019.</w:t>
      </w:r>
    </w:p>
    <w:p w:rsidR="001316B5" w:rsidRPr="00131A05" w:rsidRDefault="00633841" w:rsidP="00F72CD3">
      <w:pPr>
        <w:spacing w:line="480" w:lineRule="auto"/>
        <w:rPr>
          <w:rFonts w:ascii="Times New Roman" w:hAnsi="Times New Roman" w:cs="Times New Roman"/>
        </w:rPr>
      </w:pPr>
      <w:r w:rsidRPr="00131A05">
        <w:rPr>
          <w:rFonts w:ascii="Times New Roman" w:hAnsi="Times New Roman" w:cs="Times New Roman"/>
        </w:rPr>
        <w:t>Vachon J</w:t>
      </w:r>
      <w:r w:rsidR="0007651D" w:rsidRPr="00131A05">
        <w:rPr>
          <w:rFonts w:ascii="Times New Roman" w:hAnsi="Times New Roman" w:cs="Times New Roman"/>
        </w:rPr>
        <w:t>.</w:t>
      </w:r>
      <w:r w:rsidRPr="00131A05">
        <w:rPr>
          <w:rFonts w:ascii="Times New Roman" w:hAnsi="Times New Roman" w:cs="Times New Roman"/>
        </w:rPr>
        <w:t>, Vitaro</w:t>
      </w:r>
      <w:r w:rsidR="0007651D" w:rsidRPr="00131A05">
        <w:rPr>
          <w:rFonts w:ascii="Times New Roman" w:hAnsi="Times New Roman" w:cs="Times New Roman"/>
        </w:rPr>
        <w:t>,</w:t>
      </w:r>
      <w:r w:rsidRPr="00131A05">
        <w:rPr>
          <w:rFonts w:ascii="Times New Roman" w:hAnsi="Times New Roman" w:cs="Times New Roman"/>
        </w:rPr>
        <w:t xml:space="preserve"> F</w:t>
      </w:r>
      <w:r w:rsidR="0007651D" w:rsidRPr="00131A05">
        <w:rPr>
          <w:rFonts w:ascii="Times New Roman" w:hAnsi="Times New Roman" w:cs="Times New Roman"/>
        </w:rPr>
        <w:t>.</w:t>
      </w:r>
      <w:r w:rsidRPr="00131A05">
        <w:rPr>
          <w:rFonts w:ascii="Times New Roman" w:hAnsi="Times New Roman" w:cs="Times New Roman"/>
        </w:rPr>
        <w:t>, Wanner</w:t>
      </w:r>
      <w:r w:rsidR="0007651D" w:rsidRPr="00131A05">
        <w:rPr>
          <w:rFonts w:ascii="Times New Roman" w:hAnsi="Times New Roman" w:cs="Times New Roman"/>
        </w:rPr>
        <w:t>,</w:t>
      </w:r>
      <w:r w:rsidRPr="00131A05">
        <w:rPr>
          <w:rFonts w:ascii="Times New Roman" w:hAnsi="Times New Roman" w:cs="Times New Roman"/>
        </w:rPr>
        <w:t xml:space="preserve"> B</w:t>
      </w:r>
      <w:r w:rsidR="0007651D" w:rsidRPr="00131A05">
        <w:rPr>
          <w:rFonts w:ascii="Times New Roman" w:hAnsi="Times New Roman" w:cs="Times New Roman"/>
        </w:rPr>
        <w:t>.</w:t>
      </w:r>
      <w:r w:rsidRPr="00131A05">
        <w:rPr>
          <w:rFonts w:ascii="Times New Roman" w:hAnsi="Times New Roman" w:cs="Times New Roman"/>
        </w:rPr>
        <w:t>, Tremblay</w:t>
      </w:r>
      <w:r w:rsidR="0007651D" w:rsidRPr="00131A05">
        <w:rPr>
          <w:rFonts w:ascii="Times New Roman" w:hAnsi="Times New Roman" w:cs="Times New Roman"/>
        </w:rPr>
        <w:t>,</w:t>
      </w:r>
      <w:r w:rsidRPr="00131A05">
        <w:rPr>
          <w:rFonts w:ascii="Times New Roman" w:hAnsi="Times New Roman" w:cs="Times New Roman"/>
        </w:rPr>
        <w:t xml:space="preserve"> R</w:t>
      </w:r>
      <w:r w:rsidR="0007651D" w:rsidRPr="00131A05">
        <w:rPr>
          <w:rFonts w:ascii="Times New Roman" w:hAnsi="Times New Roman" w:cs="Times New Roman"/>
        </w:rPr>
        <w:t xml:space="preserve">. </w:t>
      </w:r>
      <w:r w:rsidRPr="00131A05">
        <w:rPr>
          <w:rFonts w:ascii="Times New Roman" w:hAnsi="Times New Roman" w:cs="Times New Roman"/>
        </w:rPr>
        <w:t>E.</w:t>
      </w:r>
      <w:r w:rsidR="0007651D" w:rsidRPr="00131A05">
        <w:rPr>
          <w:rFonts w:ascii="Times New Roman" w:hAnsi="Times New Roman" w:cs="Times New Roman"/>
        </w:rPr>
        <w:t xml:space="preserve"> (2004).</w:t>
      </w:r>
      <w:r w:rsidRPr="00131A05">
        <w:rPr>
          <w:rFonts w:ascii="Times New Roman" w:hAnsi="Times New Roman" w:cs="Times New Roman"/>
        </w:rPr>
        <w:t xml:space="preserve"> Adolescent Gambling: Relationships with parent gambling and parenting practices. </w:t>
      </w:r>
      <w:r w:rsidRPr="00131A05">
        <w:rPr>
          <w:rFonts w:ascii="Times New Roman" w:hAnsi="Times New Roman" w:cs="Times New Roman"/>
          <w:i/>
        </w:rPr>
        <w:t>Psychology of Addictive Behaviors</w:t>
      </w:r>
      <w:r w:rsidR="0007651D" w:rsidRPr="00131A05">
        <w:rPr>
          <w:rFonts w:ascii="Times New Roman" w:hAnsi="Times New Roman" w:cs="Times New Roman"/>
          <w:i/>
        </w:rPr>
        <w:t xml:space="preserve">, </w:t>
      </w:r>
      <w:r w:rsidRPr="00131A05">
        <w:rPr>
          <w:rFonts w:ascii="Times New Roman" w:hAnsi="Times New Roman" w:cs="Times New Roman"/>
          <w:i/>
        </w:rPr>
        <w:t>18(4)</w:t>
      </w:r>
      <w:r w:rsidR="0007651D" w:rsidRPr="00131A05">
        <w:rPr>
          <w:rFonts w:ascii="Times New Roman" w:hAnsi="Times New Roman" w:cs="Times New Roman"/>
        </w:rPr>
        <w:t xml:space="preserve">, </w:t>
      </w:r>
      <w:r w:rsidRPr="00131A05">
        <w:rPr>
          <w:rFonts w:ascii="Times New Roman" w:hAnsi="Times New Roman" w:cs="Times New Roman"/>
        </w:rPr>
        <w:t>398 – 401.</w:t>
      </w:r>
    </w:p>
    <w:p w:rsidR="001316B5" w:rsidRPr="00131A05" w:rsidRDefault="001316B5">
      <w:pPr>
        <w:rPr>
          <w:rFonts w:ascii="Times New Roman" w:hAnsi="Times New Roman" w:cs="Times New Roman"/>
        </w:rPr>
      </w:pPr>
      <w:r w:rsidRPr="00131A05">
        <w:rPr>
          <w:rFonts w:ascii="Times New Roman" w:hAnsi="Times New Roman" w:cs="Times New Roman"/>
        </w:rPr>
        <w:br w:type="page"/>
      </w:r>
    </w:p>
    <w:p w:rsidR="001316B5" w:rsidRPr="00131A05" w:rsidRDefault="001316B5" w:rsidP="001316B5">
      <w:pPr>
        <w:spacing w:line="480" w:lineRule="auto"/>
        <w:rPr>
          <w:rFonts w:ascii="Times New Roman" w:hAnsi="Times New Roman" w:cs="Times New Roman"/>
          <w:b/>
          <w:sz w:val="28"/>
          <w:szCs w:val="28"/>
        </w:rPr>
      </w:pPr>
      <w:r w:rsidRPr="00131A05">
        <w:rPr>
          <w:rFonts w:ascii="Times New Roman" w:hAnsi="Times New Roman" w:cs="Times New Roman"/>
          <w:b/>
          <w:sz w:val="28"/>
          <w:szCs w:val="28"/>
        </w:rPr>
        <w:lastRenderedPageBreak/>
        <w:t>Online supplementary material: The ALSPAC data set</w:t>
      </w:r>
    </w:p>
    <w:p w:rsidR="001316B5" w:rsidRPr="00131A05" w:rsidRDefault="001316B5" w:rsidP="001316B5">
      <w:pPr>
        <w:spacing w:line="480" w:lineRule="auto"/>
        <w:rPr>
          <w:rFonts w:ascii="Times New Roman" w:hAnsi="Times New Roman" w:cs="Times New Roman"/>
        </w:rPr>
      </w:pPr>
      <w:r w:rsidRPr="00131A05">
        <w:rPr>
          <w:rFonts w:ascii="Times New Roman" w:hAnsi="Times New Roman" w:cs="Times New Roman"/>
        </w:rPr>
        <w:t>The Avon Longitudinal Study of Parents and Children (ALSPAC) was formerly known as ‘Children of the Nineties’ and continues till now to follow the lives of a sample of children born early in that decade in Avon County, England, with a focus on health-related issues. The Study website (</w:t>
      </w:r>
      <w:hyperlink r:id="rId13" w:history="1">
        <w:r w:rsidRPr="00131A05">
          <w:rPr>
            <w:rFonts w:ascii="Times New Roman" w:hAnsi="Times New Roman" w:cs="Times New Roman"/>
            <w:u w:val="single"/>
          </w:rPr>
          <w:t>http://www.bristol.ac.uk/alspac/</w:t>
        </w:r>
      </w:hyperlink>
      <w:r w:rsidRPr="00131A05">
        <w:rPr>
          <w:rFonts w:ascii="Times New Roman" w:hAnsi="Times New Roman" w:cs="Times New Roman"/>
        </w:rPr>
        <w:t xml:space="preserve">) contains details of all the data that are available through a fully searchable data dictionary and variable search tool. </w:t>
      </w:r>
    </w:p>
    <w:p w:rsidR="001316B5" w:rsidRPr="00131A05" w:rsidRDefault="001316B5" w:rsidP="001316B5">
      <w:pPr>
        <w:spacing w:line="480" w:lineRule="auto"/>
        <w:rPr>
          <w:rFonts w:ascii="Times New Roman" w:hAnsi="Times New Roman" w:cs="Times New Roman"/>
        </w:rPr>
      </w:pPr>
      <w:r w:rsidRPr="00131A05">
        <w:rPr>
          <w:rFonts w:ascii="Times New Roman" w:hAnsi="Times New Roman" w:cs="Times New Roman"/>
        </w:rPr>
        <w:t xml:space="preserve">Here we describe the initial sampling strategy. ALSPAC recruited 14,541 pregnant women resident in Avon, UK with expected dates of delivery 1st April 1991 to 31st December 1992. 14,541 is the initial number of pregnancies for which the mother enrolled in the ALSPAC study and had either returned at least one questionnaire or attended a “Children in Focus” clinic by 19/07/99. Of these initial pregnancies, there was a total of 14,676 foetuses, resulting in 14,062 live births and 13,988 children who were alive at 1 year of age. </w:t>
      </w:r>
      <w:r w:rsidRPr="00131A05">
        <w:rPr>
          <w:rFonts w:ascii="Times New Roman" w:hAnsi="Times New Roman" w:cs="Times New Roman"/>
          <w:vertAlign w:val="superscript"/>
        </w:rPr>
        <w:t>1-2</w:t>
      </w:r>
      <w:r w:rsidRPr="00131A05">
        <w:rPr>
          <w:rFonts w:ascii="Times New Roman" w:hAnsi="Times New Roman" w:cs="Times New Roman"/>
        </w:rPr>
        <w:t xml:space="preserve"> </w:t>
      </w:r>
    </w:p>
    <w:p w:rsidR="001316B5" w:rsidRPr="00131A05" w:rsidRDefault="001316B5" w:rsidP="001316B5">
      <w:pPr>
        <w:spacing w:line="480" w:lineRule="auto"/>
        <w:rPr>
          <w:rFonts w:ascii="Times New Roman" w:hAnsi="Times New Roman" w:cs="Times New Roman"/>
        </w:rPr>
      </w:pPr>
      <w:r w:rsidRPr="00131A05">
        <w:rPr>
          <w:rFonts w:ascii="Times New Roman" w:hAnsi="Times New Roman" w:cs="Times New Roman"/>
        </w:rPr>
        <w:t>When the oldest children were approximately 7 years of age, an attempt was made to bolster the initial sample with eligible cases who had failed to join the study originally. However, in the present study, we include in our sample only those young people from whose mothers and partners gambling data were obtained at child age 6. All of the cases we consider are therefore drawn from the original sample.</w:t>
      </w:r>
    </w:p>
    <w:p w:rsidR="001316B5" w:rsidRPr="00131A05" w:rsidRDefault="001316B5" w:rsidP="001316B5">
      <w:pPr>
        <w:spacing w:line="480" w:lineRule="auto"/>
        <w:rPr>
          <w:rFonts w:ascii="Times New Roman" w:hAnsi="Times New Roman" w:cs="Times New Roman"/>
          <w:b/>
        </w:rPr>
      </w:pPr>
      <w:r w:rsidRPr="00131A05">
        <w:rPr>
          <w:rFonts w:ascii="Times New Roman" w:hAnsi="Times New Roman" w:cs="Times New Roman"/>
          <w:b/>
        </w:rPr>
        <w:t xml:space="preserve">References </w:t>
      </w:r>
    </w:p>
    <w:p w:rsidR="001316B5" w:rsidRPr="00131A05" w:rsidRDefault="001316B5" w:rsidP="001316B5">
      <w:pPr>
        <w:spacing w:line="480" w:lineRule="auto"/>
        <w:rPr>
          <w:rFonts w:ascii="Times New Roman" w:hAnsi="Times New Roman" w:cs="Times New Roman"/>
        </w:rPr>
      </w:pPr>
      <w:r w:rsidRPr="00131A05">
        <w:rPr>
          <w:rFonts w:ascii="Times New Roman" w:hAnsi="Times New Roman" w:cs="Times New Roman"/>
        </w:rPr>
        <w:t xml:space="preserve">1. Boyd A., Golding J. Macleod J, </w:t>
      </w:r>
      <w:bookmarkStart w:id="0" w:name="_GoBack"/>
      <w:bookmarkEnd w:id="0"/>
      <w:r w:rsidRPr="00131A05">
        <w:rPr>
          <w:rFonts w:ascii="Times New Roman" w:hAnsi="Times New Roman" w:cs="Times New Roman"/>
        </w:rPr>
        <w:t xml:space="preserve">Lawlor DA, Fraser A, Henderson J, Molloy L, Ness A, Ring S, Davey Smith G. Cohort Profile: The ‘Children of the 90s’; the index offspring of The Avon Longitudinal Study of Parents and Children (ALSPAC)’. </w:t>
      </w:r>
      <w:r w:rsidRPr="00131A05">
        <w:rPr>
          <w:rFonts w:ascii="Times New Roman" w:hAnsi="Times New Roman" w:cs="Times New Roman"/>
          <w:i/>
        </w:rPr>
        <w:t>International Journal of Epidemiology</w:t>
      </w:r>
      <w:r w:rsidRPr="00131A05">
        <w:rPr>
          <w:rFonts w:ascii="Times New Roman" w:hAnsi="Times New Roman" w:cs="Times New Roman"/>
        </w:rPr>
        <w:t xml:space="preserve"> 2013; 42:111-127.</w:t>
      </w:r>
    </w:p>
    <w:p w:rsidR="001316B5" w:rsidRPr="00131A05" w:rsidRDefault="001316B5" w:rsidP="001316B5">
      <w:pPr>
        <w:spacing w:line="480" w:lineRule="auto"/>
        <w:rPr>
          <w:rFonts w:ascii="Times New Roman" w:hAnsi="Times New Roman" w:cs="Times New Roman"/>
        </w:rPr>
      </w:pPr>
      <w:r w:rsidRPr="00131A05">
        <w:rPr>
          <w:rFonts w:ascii="Times New Roman" w:hAnsi="Times New Roman" w:cs="Times New Roman"/>
        </w:rPr>
        <w:t xml:space="preserve"> 2. Fraser A, Macdonald-Wallis C, Tilling K, Boyd A, Golding J, Davey Smith G. Henderson J,  Macleod J, Molloy L, Ness A,  Ring, S, Nelson SM, Lawlor, DA. Cohort Profile: The Avon </w:t>
      </w:r>
      <w:r w:rsidRPr="00131A05">
        <w:rPr>
          <w:rFonts w:ascii="Times New Roman" w:hAnsi="Times New Roman" w:cs="Times New Roman"/>
        </w:rPr>
        <w:lastRenderedPageBreak/>
        <w:t xml:space="preserve">Longitudinal Study of Parents and Children: ALSPAC mothers cohort. </w:t>
      </w:r>
      <w:r w:rsidRPr="00131A05">
        <w:rPr>
          <w:rFonts w:ascii="Times New Roman" w:hAnsi="Times New Roman" w:cs="Times New Roman"/>
          <w:i/>
        </w:rPr>
        <w:t>International Journal of Epidemiology</w:t>
      </w:r>
      <w:r w:rsidRPr="00131A05">
        <w:rPr>
          <w:rFonts w:ascii="Times New Roman" w:hAnsi="Times New Roman" w:cs="Times New Roman"/>
        </w:rPr>
        <w:t xml:space="preserve"> 2013;42:97- 110.</w:t>
      </w:r>
    </w:p>
    <w:p w:rsidR="001D178E" w:rsidRPr="00131A05" w:rsidRDefault="001D178E" w:rsidP="00F72CD3">
      <w:pPr>
        <w:spacing w:line="480" w:lineRule="auto"/>
      </w:pPr>
      <w:r w:rsidRPr="00131A05">
        <w:t xml:space="preserve"> </w:t>
      </w:r>
    </w:p>
    <w:p w:rsidR="001316B5" w:rsidRPr="00131A05" w:rsidRDefault="001316B5" w:rsidP="00F72CD3">
      <w:pPr>
        <w:spacing w:line="480" w:lineRule="auto"/>
      </w:pPr>
    </w:p>
    <w:p w:rsidR="001316B5" w:rsidRPr="00131A05" w:rsidRDefault="001316B5" w:rsidP="00F72CD3">
      <w:pPr>
        <w:spacing w:line="480" w:lineRule="auto"/>
      </w:pPr>
    </w:p>
    <w:p w:rsidR="001316B5" w:rsidRPr="00131A05" w:rsidRDefault="001316B5" w:rsidP="00F72CD3">
      <w:pPr>
        <w:spacing w:line="480" w:lineRule="auto"/>
      </w:pPr>
    </w:p>
    <w:p w:rsidR="001316B5" w:rsidRPr="00131A05" w:rsidRDefault="001316B5" w:rsidP="00F72CD3">
      <w:pPr>
        <w:spacing w:line="480" w:lineRule="auto"/>
      </w:pPr>
    </w:p>
    <w:p w:rsidR="001316B5" w:rsidRPr="00131A05" w:rsidRDefault="001316B5" w:rsidP="00F72CD3">
      <w:pPr>
        <w:spacing w:line="480" w:lineRule="auto"/>
      </w:pPr>
    </w:p>
    <w:p w:rsidR="001316B5" w:rsidRPr="00131A05" w:rsidRDefault="001316B5" w:rsidP="00F72CD3">
      <w:pPr>
        <w:spacing w:line="480" w:lineRule="auto"/>
      </w:pPr>
    </w:p>
    <w:p w:rsidR="001316B5" w:rsidRPr="00131A05" w:rsidRDefault="001316B5" w:rsidP="00F72CD3">
      <w:pPr>
        <w:spacing w:line="480" w:lineRule="auto"/>
      </w:pPr>
    </w:p>
    <w:p w:rsidR="001316B5" w:rsidRPr="00131A05" w:rsidRDefault="001316B5" w:rsidP="00F72CD3">
      <w:pPr>
        <w:spacing w:line="480" w:lineRule="auto"/>
      </w:pPr>
    </w:p>
    <w:p w:rsidR="001316B5" w:rsidRPr="00131A05" w:rsidRDefault="001316B5" w:rsidP="00F72CD3">
      <w:pPr>
        <w:spacing w:line="480" w:lineRule="auto"/>
      </w:pPr>
    </w:p>
    <w:p w:rsidR="001316B5" w:rsidRPr="00131A05" w:rsidRDefault="001316B5" w:rsidP="00F72CD3">
      <w:pPr>
        <w:spacing w:line="480" w:lineRule="auto"/>
      </w:pPr>
    </w:p>
    <w:p w:rsidR="001316B5" w:rsidRPr="00131A05" w:rsidRDefault="001316B5" w:rsidP="00F72CD3">
      <w:pPr>
        <w:spacing w:line="480" w:lineRule="auto"/>
      </w:pPr>
    </w:p>
    <w:p w:rsidR="001316B5" w:rsidRPr="00131A05" w:rsidRDefault="001316B5" w:rsidP="00F72CD3">
      <w:pPr>
        <w:spacing w:line="480" w:lineRule="auto"/>
      </w:pPr>
    </w:p>
    <w:p w:rsidR="001316B5" w:rsidRPr="00131A05" w:rsidRDefault="001316B5" w:rsidP="00F72CD3">
      <w:pPr>
        <w:spacing w:line="480" w:lineRule="auto"/>
      </w:pPr>
    </w:p>
    <w:sectPr w:rsidR="001316B5" w:rsidRPr="00131A05" w:rsidSect="004744FF">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3C5" w:rsidRDefault="007133C5" w:rsidP="00C2729A">
      <w:pPr>
        <w:spacing w:after="0" w:line="240" w:lineRule="auto"/>
      </w:pPr>
      <w:r>
        <w:separator/>
      </w:r>
    </w:p>
  </w:endnote>
  <w:endnote w:type="continuationSeparator" w:id="0">
    <w:p w:rsidR="007133C5" w:rsidRDefault="007133C5" w:rsidP="00C2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30231630"/>
      <w:docPartObj>
        <w:docPartGallery w:val="Page Numbers (Bottom of Page)"/>
        <w:docPartUnique/>
      </w:docPartObj>
    </w:sdtPr>
    <w:sdtEndPr>
      <w:rPr>
        <w:rStyle w:val="PageNumber"/>
      </w:rPr>
    </w:sdtEndPr>
    <w:sdtContent>
      <w:p w:rsidR="00B40B4A" w:rsidRDefault="00B40B4A" w:rsidP="00D235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40B4A" w:rsidRDefault="00B40B4A" w:rsidP="00B40B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53156558"/>
      <w:docPartObj>
        <w:docPartGallery w:val="Page Numbers (Bottom of Page)"/>
        <w:docPartUnique/>
      </w:docPartObj>
    </w:sdtPr>
    <w:sdtEndPr>
      <w:rPr>
        <w:rStyle w:val="PageNumber"/>
        <w:rFonts w:ascii="Times New Roman" w:hAnsi="Times New Roman" w:cs="Times New Roman"/>
      </w:rPr>
    </w:sdtEndPr>
    <w:sdtContent>
      <w:p w:rsidR="00B40B4A" w:rsidRPr="00B40B4A" w:rsidRDefault="00B40B4A" w:rsidP="00D23545">
        <w:pPr>
          <w:pStyle w:val="Footer"/>
          <w:framePr w:wrap="none" w:vAnchor="text" w:hAnchor="margin" w:xAlign="right" w:y="1"/>
          <w:rPr>
            <w:rStyle w:val="PageNumber"/>
            <w:rFonts w:ascii="Times New Roman" w:hAnsi="Times New Roman" w:cs="Times New Roman"/>
          </w:rPr>
        </w:pPr>
        <w:r w:rsidRPr="00B40B4A">
          <w:rPr>
            <w:rStyle w:val="PageNumber"/>
            <w:rFonts w:ascii="Times New Roman" w:hAnsi="Times New Roman" w:cs="Times New Roman"/>
          </w:rPr>
          <w:fldChar w:fldCharType="begin"/>
        </w:r>
        <w:r w:rsidRPr="00B40B4A">
          <w:rPr>
            <w:rStyle w:val="PageNumber"/>
            <w:rFonts w:ascii="Times New Roman" w:hAnsi="Times New Roman" w:cs="Times New Roman"/>
          </w:rPr>
          <w:instrText xml:space="preserve"> PAGE </w:instrText>
        </w:r>
        <w:r w:rsidRPr="00B40B4A">
          <w:rPr>
            <w:rStyle w:val="PageNumber"/>
            <w:rFonts w:ascii="Times New Roman" w:hAnsi="Times New Roman" w:cs="Times New Roman"/>
          </w:rPr>
          <w:fldChar w:fldCharType="separate"/>
        </w:r>
        <w:r w:rsidR="00131A05">
          <w:rPr>
            <w:rStyle w:val="PageNumber"/>
            <w:rFonts w:ascii="Times New Roman" w:hAnsi="Times New Roman" w:cs="Times New Roman"/>
            <w:noProof/>
          </w:rPr>
          <w:t>18</w:t>
        </w:r>
        <w:r w:rsidRPr="00B40B4A">
          <w:rPr>
            <w:rStyle w:val="PageNumber"/>
            <w:rFonts w:ascii="Times New Roman" w:hAnsi="Times New Roman" w:cs="Times New Roman"/>
          </w:rPr>
          <w:fldChar w:fldCharType="end"/>
        </w:r>
      </w:p>
    </w:sdtContent>
  </w:sdt>
  <w:p w:rsidR="00B40B4A" w:rsidRDefault="00B40B4A" w:rsidP="00B40B4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3C5" w:rsidRDefault="007133C5" w:rsidP="00C2729A">
      <w:pPr>
        <w:spacing w:after="0" w:line="240" w:lineRule="auto"/>
      </w:pPr>
      <w:r>
        <w:separator/>
      </w:r>
    </w:p>
  </w:footnote>
  <w:footnote w:type="continuationSeparator" w:id="0">
    <w:p w:rsidR="007133C5" w:rsidRDefault="007133C5" w:rsidP="00C2729A">
      <w:pPr>
        <w:spacing w:after="0" w:line="240" w:lineRule="auto"/>
      </w:pPr>
      <w:r>
        <w:continuationSeparator/>
      </w:r>
    </w:p>
  </w:footnote>
  <w:footnote w:id="1">
    <w:p w:rsidR="00253D5B" w:rsidRPr="00637594" w:rsidRDefault="00253D5B" w:rsidP="00637594">
      <w:pPr>
        <w:pStyle w:val="FootnoteText"/>
        <w:rPr>
          <w:rFonts w:ascii="Times New Roman" w:hAnsi="Times New Roman" w:cs="Times New Roman"/>
          <w:iCs/>
        </w:rPr>
      </w:pPr>
      <w:r w:rsidRPr="00637594">
        <w:rPr>
          <w:rStyle w:val="FootnoteReference"/>
          <w:rFonts w:ascii="Times New Roman" w:hAnsi="Times New Roman" w:cs="Times New Roman"/>
        </w:rPr>
        <w:footnoteRef/>
      </w:r>
      <w:r w:rsidRPr="00637594">
        <w:rPr>
          <w:rFonts w:ascii="Times New Roman" w:hAnsi="Times New Roman" w:cs="Times New Roman"/>
        </w:rPr>
        <w:t xml:space="preserve"> </w:t>
      </w:r>
      <w:r w:rsidRPr="00637594">
        <w:rPr>
          <w:rFonts w:ascii="Times New Roman" w:hAnsi="Times New Roman" w:cs="Times New Roman"/>
          <w:iCs/>
        </w:rPr>
        <w:t>ALSPAC used a reduced version of SOGS, with only twelve items. It included a</w:t>
      </w:r>
    </w:p>
    <w:p w:rsidR="00253D5B" w:rsidRPr="00637594" w:rsidRDefault="00253D5B" w:rsidP="00637594">
      <w:pPr>
        <w:pStyle w:val="FootnoteText"/>
        <w:rPr>
          <w:rFonts w:ascii="Times New Roman" w:hAnsi="Times New Roman" w:cs="Times New Roman"/>
          <w:iCs/>
        </w:rPr>
      </w:pPr>
      <w:r w:rsidRPr="00637594">
        <w:rPr>
          <w:rFonts w:ascii="Times New Roman" w:hAnsi="Times New Roman" w:cs="Times New Roman"/>
          <w:iCs/>
        </w:rPr>
        <w:t>question on whether the respondent had ever borrowed money for gambling but omitted follow-up</w:t>
      </w:r>
    </w:p>
    <w:p w:rsidR="00253D5B" w:rsidRPr="00637594" w:rsidRDefault="00253D5B" w:rsidP="00637594">
      <w:pPr>
        <w:pStyle w:val="FootnoteText"/>
        <w:rPr>
          <w:rFonts w:ascii="Times New Roman" w:hAnsi="Times New Roman" w:cs="Times New Roman"/>
        </w:rPr>
      </w:pPr>
      <w:r w:rsidRPr="00637594">
        <w:rPr>
          <w:rFonts w:ascii="Times New Roman" w:hAnsi="Times New Roman" w:cs="Times New Roman"/>
          <w:iCs/>
        </w:rPr>
        <w:t>questions on the source of borrowing (which can generate further points in the full SOGS screen).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3E3C2C"/>
    <w:multiLevelType w:val="hybridMultilevel"/>
    <w:tmpl w:val="44B06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C9"/>
    <w:rsid w:val="000019D5"/>
    <w:rsid w:val="00001D13"/>
    <w:rsid w:val="00032CB5"/>
    <w:rsid w:val="000340BB"/>
    <w:rsid w:val="00035B4D"/>
    <w:rsid w:val="00047ED7"/>
    <w:rsid w:val="00054ED4"/>
    <w:rsid w:val="00062106"/>
    <w:rsid w:val="0007651D"/>
    <w:rsid w:val="00081611"/>
    <w:rsid w:val="00084CC1"/>
    <w:rsid w:val="000A7721"/>
    <w:rsid w:val="000B1C82"/>
    <w:rsid w:val="000B2D5B"/>
    <w:rsid w:val="000B592C"/>
    <w:rsid w:val="000C2DD2"/>
    <w:rsid w:val="000C5B50"/>
    <w:rsid w:val="000D1C70"/>
    <w:rsid w:val="000E15F3"/>
    <w:rsid w:val="000F1567"/>
    <w:rsid w:val="000F21C9"/>
    <w:rsid w:val="000F2FB0"/>
    <w:rsid w:val="00104CC1"/>
    <w:rsid w:val="00121B28"/>
    <w:rsid w:val="00127EED"/>
    <w:rsid w:val="001316B5"/>
    <w:rsid w:val="00131A05"/>
    <w:rsid w:val="0013685C"/>
    <w:rsid w:val="00142A3A"/>
    <w:rsid w:val="001436B3"/>
    <w:rsid w:val="00150E42"/>
    <w:rsid w:val="0016119D"/>
    <w:rsid w:val="001648BD"/>
    <w:rsid w:val="00180DC3"/>
    <w:rsid w:val="00183431"/>
    <w:rsid w:val="00185FD6"/>
    <w:rsid w:val="00195B51"/>
    <w:rsid w:val="001A2D8A"/>
    <w:rsid w:val="001A4C4D"/>
    <w:rsid w:val="001A65AE"/>
    <w:rsid w:val="001C0336"/>
    <w:rsid w:val="001D178E"/>
    <w:rsid w:val="00201CE3"/>
    <w:rsid w:val="00212DA9"/>
    <w:rsid w:val="00240E19"/>
    <w:rsid w:val="002443BD"/>
    <w:rsid w:val="00247234"/>
    <w:rsid w:val="00253D5B"/>
    <w:rsid w:val="00264145"/>
    <w:rsid w:val="00267A91"/>
    <w:rsid w:val="00276C70"/>
    <w:rsid w:val="00282B62"/>
    <w:rsid w:val="00283564"/>
    <w:rsid w:val="00286981"/>
    <w:rsid w:val="002A7413"/>
    <w:rsid w:val="002C014A"/>
    <w:rsid w:val="002C5633"/>
    <w:rsid w:val="002D0D0C"/>
    <w:rsid w:val="002F0E09"/>
    <w:rsid w:val="003127E6"/>
    <w:rsid w:val="00314DC1"/>
    <w:rsid w:val="003159F2"/>
    <w:rsid w:val="0034191E"/>
    <w:rsid w:val="00341E7E"/>
    <w:rsid w:val="0035662C"/>
    <w:rsid w:val="003638DE"/>
    <w:rsid w:val="003846C5"/>
    <w:rsid w:val="003C151D"/>
    <w:rsid w:val="003D4A4E"/>
    <w:rsid w:val="004075DA"/>
    <w:rsid w:val="004271E8"/>
    <w:rsid w:val="0043380D"/>
    <w:rsid w:val="0044397F"/>
    <w:rsid w:val="004453C8"/>
    <w:rsid w:val="00450344"/>
    <w:rsid w:val="004518A8"/>
    <w:rsid w:val="00452E9F"/>
    <w:rsid w:val="00464C53"/>
    <w:rsid w:val="0046574B"/>
    <w:rsid w:val="00473F58"/>
    <w:rsid w:val="004744FF"/>
    <w:rsid w:val="00480E54"/>
    <w:rsid w:val="00487FA0"/>
    <w:rsid w:val="00497D0E"/>
    <w:rsid w:val="004C41C0"/>
    <w:rsid w:val="004D16F8"/>
    <w:rsid w:val="004D1960"/>
    <w:rsid w:val="004F13E3"/>
    <w:rsid w:val="00503697"/>
    <w:rsid w:val="0051309F"/>
    <w:rsid w:val="00514DC7"/>
    <w:rsid w:val="005207AE"/>
    <w:rsid w:val="005426E6"/>
    <w:rsid w:val="00545BEA"/>
    <w:rsid w:val="005B4C0B"/>
    <w:rsid w:val="005C7287"/>
    <w:rsid w:val="005E731C"/>
    <w:rsid w:val="005F41B5"/>
    <w:rsid w:val="0062067E"/>
    <w:rsid w:val="00622E8A"/>
    <w:rsid w:val="00631ED7"/>
    <w:rsid w:val="00632A5C"/>
    <w:rsid w:val="00633841"/>
    <w:rsid w:val="00634E92"/>
    <w:rsid w:val="00637594"/>
    <w:rsid w:val="0064422D"/>
    <w:rsid w:val="0064472D"/>
    <w:rsid w:val="00645872"/>
    <w:rsid w:val="006542DA"/>
    <w:rsid w:val="00655FFD"/>
    <w:rsid w:val="00662562"/>
    <w:rsid w:val="006752DD"/>
    <w:rsid w:val="00685287"/>
    <w:rsid w:val="0069367B"/>
    <w:rsid w:val="006B0960"/>
    <w:rsid w:val="006C2D02"/>
    <w:rsid w:val="006C5CEF"/>
    <w:rsid w:val="006D4427"/>
    <w:rsid w:val="006F5210"/>
    <w:rsid w:val="007133C5"/>
    <w:rsid w:val="00715C9D"/>
    <w:rsid w:val="00720E88"/>
    <w:rsid w:val="00723E4B"/>
    <w:rsid w:val="007309A3"/>
    <w:rsid w:val="007420E8"/>
    <w:rsid w:val="00745F53"/>
    <w:rsid w:val="00755F39"/>
    <w:rsid w:val="0076619B"/>
    <w:rsid w:val="007708B7"/>
    <w:rsid w:val="00796549"/>
    <w:rsid w:val="007B40D7"/>
    <w:rsid w:val="007D1D20"/>
    <w:rsid w:val="007D6611"/>
    <w:rsid w:val="007F3DF3"/>
    <w:rsid w:val="00802864"/>
    <w:rsid w:val="008036DA"/>
    <w:rsid w:val="00803A78"/>
    <w:rsid w:val="00853F8B"/>
    <w:rsid w:val="00862EE8"/>
    <w:rsid w:val="00863496"/>
    <w:rsid w:val="00864C69"/>
    <w:rsid w:val="00867F8A"/>
    <w:rsid w:val="0087438B"/>
    <w:rsid w:val="00875B27"/>
    <w:rsid w:val="00877D0F"/>
    <w:rsid w:val="008924F3"/>
    <w:rsid w:val="0089547D"/>
    <w:rsid w:val="008B0BD3"/>
    <w:rsid w:val="008B47BD"/>
    <w:rsid w:val="008E07AA"/>
    <w:rsid w:val="008E3848"/>
    <w:rsid w:val="008E53D9"/>
    <w:rsid w:val="008F0FF9"/>
    <w:rsid w:val="00915EAD"/>
    <w:rsid w:val="0091707A"/>
    <w:rsid w:val="00953CC7"/>
    <w:rsid w:val="0096152C"/>
    <w:rsid w:val="0096677A"/>
    <w:rsid w:val="00980FB3"/>
    <w:rsid w:val="00983742"/>
    <w:rsid w:val="009A5FC6"/>
    <w:rsid w:val="009B105C"/>
    <w:rsid w:val="009B4FA6"/>
    <w:rsid w:val="009C676A"/>
    <w:rsid w:val="009D0733"/>
    <w:rsid w:val="009E3D1C"/>
    <w:rsid w:val="00A04F14"/>
    <w:rsid w:val="00A07F4D"/>
    <w:rsid w:val="00A258D4"/>
    <w:rsid w:val="00A571AD"/>
    <w:rsid w:val="00A5726F"/>
    <w:rsid w:val="00A626F2"/>
    <w:rsid w:val="00A636C9"/>
    <w:rsid w:val="00A63892"/>
    <w:rsid w:val="00A92DFF"/>
    <w:rsid w:val="00A938E2"/>
    <w:rsid w:val="00A96F92"/>
    <w:rsid w:val="00AA352F"/>
    <w:rsid w:val="00AB6FD9"/>
    <w:rsid w:val="00AE2E08"/>
    <w:rsid w:val="00AF05E7"/>
    <w:rsid w:val="00AF5EFE"/>
    <w:rsid w:val="00AF77E5"/>
    <w:rsid w:val="00B025EB"/>
    <w:rsid w:val="00B02F30"/>
    <w:rsid w:val="00B3371F"/>
    <w:rsid w:val="00B40B4A"/>
    <w:rsid w:val="00B50248"/>
    <w:rsid w:val="00B60C56"/>
    <w:rsid w:val="00B71FA3"/>
    <w:rsid w:val="00B924AA"/>
    <w:rsid w:val="00BD1603"/>
    <w:rsid w:val="00BD1676"/>
    <w:rsid w:val="00BE4B17"/>
    <w:rsid w:val="00C04041"/>
    <w:rsid w:val="00C155CA"/>
    <w:rsid w:val="00C24140"/>
    <w:rsid w:val="00C2729A"/>
    <w:rsid w:val="00C420AE"/>
    <w:rsid w:val="00C4794F"/>
    <w:rsid w:val="00C52F6F"/>
    <w:rsid w:val="00C5538B"/>
    <w:rsid w:val="00C603F3"/>
    <w:rsid w:val="00C6369D"/>
    <w:rsid w:val="00C77B49"/>
    <w:rsid w:val="00C871F3"/>
    <w:rsid w:val="00CD758F"/>
    <w:rsid w:val="00CF51E5"/>
    <w:rsid w:val="00D10651"/>
    <w:rsid w:val="00D237AD"/>
    <w:rsid w:val="00D3183E"/>
    <w:rsid w:val="00D430B8"/>
    <w:rsid w:val="00D51137"/>
    <w:rsid w:val="00DB5CB8"/>
    <w:rsid w:val="00DC4DC8"/>
    <w:rsid w:val="00DC6028"/>
    <w:rsid w:val="00DC650B"/>
    <w:rsid w:val="00DD20B1"/>
    <w:rsid w:val="00DF2A6C"/>
    <w:rsid w:val="00E12E49"/>
    <w:rsid w:val="00E17108"/>
    <w:rsid w:val="00E3792A"/>
    <w:rsid w:val="00E414AE"/>
    <w:rsid w:val="00E502FA"/>
    <w:rsid w:val="00E7022D"/>
    <w:rsid w:val="00E74CD1"/>
    <w:rsid w:val="00E757DB"/>
    <w:rsid w:val="00E836CB"/>
    <w:rsid w:val="00E864E4"/>
    <w:rsid w:val="00E9091C"/>
    <w:rsid w:val="00E920F1"/>
    <w:rsid w:val="00E950FB"/>
    <w:rsid w:val="00EB3CFD"/>
    <w:rsid w:val="00EC4E99"/>
    <w:rsid w:val="00ED2859"/>
    <w:rsid w:val="00ED544E"/>
    <w:rsid w:val="00F036C1"/>
    <w:rsid w:val="00F17FE5"/>
    <w:rsid w:val="00F40074"/>
    <w:rsid w:val="00F43366"/>
    <w:rsid w:val="00F55178"/>
    <w:rsid w:val="00F72CD3"/>
    <w:rsid w:val="00F743F8"/>
    <w:rsid w:val="00F84806"/>
    <w:rsid w:val="00F85E51"/>
    <w:rsid w:val="00F866C2"/>
    <w:rsid w:val="00F94825"/>
    <w:rsid w:val="00F94942"/>
    <w:rsid w:val="00FA0491"/>
    <w:rsid w:val="00FE4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B8D025-DDBB-45AE-90A5-32CB3F5C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7E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29A"/>
  </w:style>
  <w:style w:type="paragraph" w:styleId="Footer">
    <w:name w:val="footer"/>
    <w:basedOn w:val="Normal"/>
    <w:link w:val="FooterChar"/>
    <w:uiPriority w:val="99"/>
    <w:unhideWhenUsed/>
    <w:rsid w:val="00C27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29A"/>
  </w:style>
  <w:style w:type="character" w:styleId="Hyperlink">
    <w:name w:val="Hyperlink"/>
    <w:basedOn w:val="DefaultParagraphFont"/>
    <w:uiPriority w:val="99"/>
    <w:unhideWhenUsed/>
    <w:rsid w:val="00633841"/>
    <w:rPr>
      <w:color w:val="0563C1" w:themeColor="hyperlink"/>
      <w:u w:val="single"/>
    </w:rPr>
  </w:style>
  <w:style w:type="table" w:styleId="TableGrid">
    <w:name w:val="Table Grid"/>
    <w:basedOn w:val="TableNormal"/>
    <w:uiPriority w:val="39"/>
    <w:rsid w:val="00180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20AE"/>
    <w:rPr>
      <w:sz w:val="16"/>
      <w:szCs w:val="16"/>
    </w:rPr>
  </w:style>
  <w:style w:type="paragraph" w:styleId="CommentText">
    <w:name w:val="annotation text"/>
    <w:basedOn w:val="Normal"/>
    <w:link w:val="CommentTextChar"/>
    <w:uiPriority w:val="99"/>
    <w:semiHidden/>
    <w:unhideWhenUsed/>
    <w:rsid w:val="00C420AE"/>
    <w:pPr>
      <w:spacing w:line="240" w:lineRule="auto"/>
    </w:pPr>
    <w:rPr>
      <w:sz w:val="20"/>
      <w:szCs w:val="20"/>
    </w:rPr>
  </w:style>
  <w:style w:type="character" w:customStyle="1" w:styleId="CommentTextChar">
    <w:name w:val="Comment Text Char"/>
    <w:basedOn w:val="DefaultParagraphFont"/>
    <w:link w:val="CommentText"/>
    <w:uiPriority w:val="99"/>
    <w:semiHidden/>
    <w:rsid w:val="00C420AE"/>
    <w:rPr>
      <w:sz w:val="20"/>
      <w:szCs w:val="20"/>
    </w:rPr>
  </w:style>
  <w:style w:type="paragraph" w:styleId="CommentSubject">
    <w:name w:val="annotation subject"/>
    <w:basedOn w:val="CommentText"/>
    <w:next w:val="CommentText"/>
    <w:link w:val="CommentSubjectChar"/>
    <w:uiPriority w:val="99"/>
    <w:semiHidden/>
    <w:unhideWhenUsed/>
    <w:rsid w:val="00C420AE"/>
    <w:rPr>
      <w:b/>
      <w:bCs/>
    </w:rPr>
  </w:style>
  <w:style w:type="character" w:customStyle="1" w:styleId="CommentSubjectChar">
    <w:name w:val="Comment Subject Char"/>
    <w:basedOn w:val="CommentTextChar"/>
    <w:link w:val="CommentSubject"/>
    <w:uiPriority w:val="99"/>
    <w:semiHidden/>
    <w:rsid w:val="00C420AE"/>
    <w:rPr>
      <w:b/>
      <w:bCs/>
      <w:sz w:val="20"/>
      <w:szCs w:val="20"/>
    </w:rPr>
  </w:style>
  <w:style w:type="paragraph" w:styleId="BalloonText">
    <w:name w:val="Balloon Text"/>
    <w:basedOn w:val="Normal"/>
    <w:link w:val="BalloonTextChar"/>
    <w:uiPriority w:val="99"/>
    <w:semiHidden/>
    <w:unhideWhenUsed/>
    <w:rsid w:val="00C420A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20AE"/>
    <w:rPr>
      <w:rFonts w:ascii="Times New Roman" w:hAnsi="Times New Roman" w:cs="Times New Roman"/>
      <w:sz w:val="18"/>
      <w:szCs w:val="18"/>
    </w:rPr>
  </w:style>
  <w:style w:type="paragraph" w:styleId="Revision">
    <w:name w:val="Revision"/>
    <w:hidden/>
    <w:uiPriority w:val="99"/>
    <w:semiHidden/>
    <w:rsid w:val="00464C53"/>
    <w:pPr>
      <w:spacing w:after="0" w:line="240" w:lineRule="auto"/>
    </w:pPr>
  </w:style>
  <w:style w:type="paragraph" w:styleId="Caption">
    <w:name w:val="caption"/>
    <w:basedOn w:val="Normal"/>
    <w:next w:val="Normal"/>
    <w:uiPriority w:val="35"/>
    <w:unhideWhenUsed/>
    <w:qFormat/>
    <w:rsid w:val="00450344"/>
    <w:pPr>
      <w:spacing w:after="200" w:line="240" w:lineRule="auto"/>
    </w:pPr>
    <w:rPr>
      <w:i/>
      <w:iCs/>
      <w:color w:val="44546A" w:themeColor="text2"/>
      <w:sz w:val="18"/>
      <w:szCs w:val="18"/>
    </w:rPr>
  </w:style>
  <w:style w:type="character" w:styleId="PageNumber">
    <w:name w:val="page number"/>
    <w:basedOn w:val="DefaultParagraphFont"/>
    <w:uiPriority w:val="99"/>
    <w:semiHidden/>
    <w:unhideWhenUsed/>
    <w:rsid w:val="008B0BD3"/>
  </w:style>
  <w:style w:type="paragraph" w:styleId="EndnoteText">
    <w:name w:val="endnote text"/>
    <w:basedOn w:val="Normal"/>
    <w:link w:val="EndnoteTextChar"/>
    <w:uiPriority w:val="99"/>
    <w:semiHidden/>
    <w:unhideWhenUsed/>
    <w:rsid w:val="00545B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5BEA"/>
    <w:rPr>
      <w:sz w:val="20"/>
      <w:szCs w:val="20"/>
    </w:rPr>
  </w:style>
  <w:style w:type="character" w:styleId="EndnoteReference">
    <w:name w:val="endnote reference"/>
    <w:basedOn w:val="DefaultParagraphFont"/>
    <w:uiPriority w:val="99"/>
    <w:semiHidden/>
    <w:unhideWhenUsed/>
    <w:rsid w:val="00545BEA"/>
    <w:rPr>
      <w:vertAlign w:val="superscript"/>
    </w:rPr>
  </w:style>
  <w:style w:type="character" w:customStyle="1" w:styleId="Heading1Char">
    <w:name w:val="Heading 1 Char"/>
    <w:basedOn w:val="DefaultParagraphFont"/>
    <w:link w:val="Heading1"/>
    <w:uiPriority w:val="9"/>
    <w:rsid w:val="00127EED"/>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127EED"/>
    <w:rPr>
      <w:color w:val="605E5C"/>
      <w:shd w:val="clear" w:color="auto" w:fill="E1DFDD"/>
    </w:rPr>
  </w:style>
  <w:style w:type="paragraph" w:styleId="ListParagraph">
    <w:name w:val="List Paragraph"/>
    <w:basedOn w:val="Normal"/>
    <w:uiPriority w:val="34"/>
    <w:qFormat/>
    <w:rsid w:val="00142A3A"/>
    <w:pPr>
      <w:ind w:left="720"/>
      <w:contextualSpacing/>
    </w:pPr>
  </w:style>
  <w:style w:type="character" w:customStyle="1" w:styleId="UnresolvedMention2">
    <w:name w:val="Unresolved Mention2"/>
    <w:basedOn w:val="DefaultParagraphFont"/>
    <w:uiPriority w:val="99"/>
    <w:semiHidden/>
    <w:unhideWhenUsed/>
    <w:rsid w:val="00862EE8"/>
    <w:rPr>
      <w:color w:val="605E5C"/>
      <w:shd w:val="clear" w:color="auto" w:fill="E1DFDD"/>
    </w:rPr>
  </w:style>
  <w:style w:type="table" w:customStyle="1" w:styleId="TableGrid1">
    <w:name w:val="Table Grid1"/>
    <w:basedOn w:val="TableNormal"/>
    <w:next w:val="TableGrid"/>
    <w:uiPriority w:val="39"/>
    <w:rsid w:val="00081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67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375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7594"/>
    <w:rPr>
      <w:sz w:val="20"/>
      <w:szCs w:val="20"/>
    </w:rPr>
  </w:style>
  <w:style w:type="character" w:styleId="FootnoteReference">
    <w:name w:val="footnote reference"/>
    <w:basedOn w:val="DefaultParagraphFont"/>
    <w:uiPriority w:val="99"/>
    <w:semiHidden/>
    <w:unhideWhenUsed/>
    <w:rsid w:val="00637594"/>
    <w:rPr>
      <w:vertAlign w:val="superscript"/>
    </w:rPr>
  </w:style>
  <w:style w:type="character" w:styleId="FollowedHyperlink">
    <w:name w:val="FollowedHyperlink"/>
    <w:basedOn w:val="DefaultParagraphFont"/>
    <w:uiPriority w:val="99"/>
    <w:semiHidden/>
    <w:unhideWhenUsed/>
    <w:rsid w:val="00054E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9010">
      <w:bodyDiv w:val="1"/>
      <w:marLeft w:val="0"/>
      <w:marRight w:val="0"/>
      <w:marTop w:val="0"/>
      <w:marBottom w:val="0"/>
      <w:divBdr>
        <w:top w:val="none" w:sz="0" w:space="0" w:color="auto"/>
        <w:left w:val="none" w:sz="0" w:space="0" w:color="auto"/>
        <w:bottom w:val="none" w:sz="0" w:space="0" w:color="auto"/>
        <w:right w:val="none" w:sz="0" w:space="0" w:color="auto"/>
      </w:divBdr>
    </w:div>
    <w:div w:id="255865256">
      <w:bodyDiv w:val="1"/>
      <w:marLeft w:val="0"/>
      <w:marRight w:val="0"/>
      <w:marTop w:val="0"/>
      <w:marBottom w:val="0"/>
      <w:divBdr>
        <w:top w:val="none" w:sz="0" w:space="0" w:color="auto"/>
        <w:left w:val="none" w:sz="0" w:space="0" w:color="auto"/>
        <w:bottom w:val="none" w:sz="0" w:space="0" w:color="auto"/>
        <w:right w:val="none" w:sz="0" w:space="0" w:color="auto"/>
      </w:divBdr>
    </w:div>
    <w:div w:id="920795094">
      <w:bodyDiv w:val="1"/>
      <w:marLeft w:val="0"/>
      <w:marRight w:val="0"/>
      <w:marTop w:val="0"/>
      <w:marBottom w:val="0"/>
      <w:divBdr>
        <w:top w:val="none" w:sz="0" w:space="0" w:color="auto"/>
        <w:left w:val="none" w:sz="0" w:space="0" w:color="auto"/>
        <w:bottom w:val="none" w:sz="0" w:space="0" w:color="auto"/>
        <w:right w:val="none" w:sz="0" w:space="0" w:color="auto"/>
      </w:divBdr>
      <w:divsChild>
        <w:div w:id="1478256151">
          <w:marLeft w:val="0"/>
          <w:marRight w:val="0"/>
          <w:marTop w:val="0"/>
          <w:marBottom w:val="0"/>
          <w:divBdr>
            <w:top w:val="none" w:sz="0" w:space="0" w:color="auto"/>
            <w:left w:val="none" w:sz="0" w:space="0" w:color="auto"/>
            <w:bottom w:val="none" w:sz="0" w:space="0" w:color="auto"/>
            <w:right w:val="none" w:sz="0" w:space="0" w:color="auto"/>
          </w:divBdr>
        </w:div>
      </w:divsChild>
    </w:div>
    <w:div w:id="152039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ristol.ac.uk/alspa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bout.gambleaware.org/media/1274/1-june-update-children-young-people-literature-review.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owingupinaustralia.gov.au/research-findings/annual-statistical-report-20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amblingcommission.gov.uk/PDF/survey-data/Gambling-behaviour-in-Great-Britain-2016.pdf%2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B90EC-E2EC-4E74-B787-C63C6CE60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4768</Words>
  <Characters>27181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David</dc:creator>
  <cp:keywords/>
  <dc:description/>
  <cp:lastModifiedBy>d.k.forrest</cp:lastModifiedBy>
  <cp:revision>2</cp:revision>
  <cp:lastPrinted>2019-08-21T11:16:00Z</cp:lastPrinted>
  <dcterms:created xsi:type="dcterms:W3CDTF">2020-09-23T15:41:00Z</dcterms:created>
  <dcterms:modified xsi:type="dcterms:W3CDTF">2020-09-23T15:41:00Z</dcterms:modified>
</cp:coreProperties>
</file>