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8F5" w:rsidRDefault="007368F5" w:rsidP="00EC0AFE">
      <w:pPr>
        <w:spacing w:after="0" w:line="480" w:lineRule="auto"/>
        <w:jc w:val="right"/>
        <w:rPr>
          <w:rFonts w:ascii="Arial" w:hAnsi="Arial" w:cs="Arial"/>
        </w:rPr>
      </w:pPr>
      <w:r>
        <w:rPr>
          <w:rFonts w:ascii="Arial" w:hAnsi="Arial" w:cs="Arial"/>
        </w:rPr>
        <w:t>Running Head: Smoking, Educational Attainment and General Cognitive Ability</w:t>
      </w:r>
    </w:p>
    <w:p w:rsidR="007368F5" w:rsidRDefault="007368F5" w:rsidP="00EC0AFE">
      <w:pPr>
        <w:spacing w:after="0" w:line="480" w:lineRule="auto"/>
        <w:jc w:val="center"/>
        <w:rPr>
          <w:rFonts w:ascii="Arial" w:hAnsi="Arial" w:cs="Arial"/>
        </w:rPr>
      </w:pPr>
    </w:p>
    <w:p w:rsidR="007368F5" w:rsidRDefault="007368F5" w:rsidP="00EC0AFE">
      <w:pPr>
        <w:spacing w:after="0" w:line="480" w:lineRule="auto"/>
        <w:jc w:val="center"/>
        <w:rPr>
          <w:rFonts w:ascii="Arial" w:hAnsi="Arial" w:cs="Arial"/>
          <w:b/>
        </w:rPr>
      </w:pPr>
      <w:r>
        <w:rPr>
          <w:rFonts w:ascii="Arial" w:hAnsi="Arial" w:cs="Arial"/>
          <w:b/>
        </w:rPr>
        <w:t>Does Smoking Cause Lower</w:t>
      </w:r>
      <w:r w:rsidRPr="00EC0AFE">
        <w:rPr>
          <w:rFonts w:ascii="Arial" w:hAnsi="Arial" w:cs="Arial"/>
          <w:b/>
        </w:rPr>
        <w:t xml:space="preserve"> Educational Attainment</w:t>
      </w:r>
      <w:r>
        <w:rPr>
          <w:rFonts w:ascii="Arial" w:hAnsi="Arial" w:cs="Arial"/>
          <w:b/>
        </w:rPr>
        <w:t xml:space="preserve"> and </w:t>
      </w:r>
      <w:r w:rsidRPr="00EC0AFE">
        <w:rPr>
          <w:rFonts w:ascii="Arial" w:hAnsi="Arial" w:cs="Arial"/>
          <w:b/>
        </w:rPr>
        <w:t>General Cognitive Ability</w:t>
      </w:r>
      <w:r>
        <w:rPr>
          <w:rFonts w:ascii="Arial" w:hAnsi="Arial" w:cs="Arial"/>
          <w:b/>
        </w:rPr>
        <w:t xml:space="preserve">? </w:t>
      </w:r>
    </w:p>
    <w:p w:rsidR="007368F5" w:rsidRPr="00EC0AFE" w:rsidRDefault="007368F5" w:rsidP="00EC0AFE">
      <w:pPr>
        <w:spacing w:after="0" w:line="480" w:lineRule="auto"/>
        <w:jc w:val="center"/>
        <w:rPr>
          <w:rFonts w:ascii="Arial" w:hAnsi="Arial" w:cs="Arial"/>
          <w:b/>
        </w:rPr>
      </w:pPr>
      <w:r>
        <w:rPr>
          <w:rFonts w:ascii="Arial" w:hAnsi="Arial" w:cs="Arial"/>
          <w:b/>
        </w:rPr>
        <w:t>Triangulation of causal evidence using multiple study designs</w:t>
      </w:r>
    </w:p>
    <w:p w:rsidR="007368F5" w:rsidRDefault="007368F5" w:rsidP="00EC0AFE">
      <w:pPr>
        <w:spacing w:after="0" w:line="480" w:lineRule="auto"/>
        <w:jc w:val="center"/>
        <w:rPr>
          <w:rFonts w:ascii="Arial" w:hAnsi="Arial" w:cs="Arial"/>
        </w:rPr>
      </w:pPr>
    </w:p>
    <w:p w:rsidR="007368F5" w:rsidRPr="00411234" w:rsidRDefault="007368F5" w:rsidP="00EC0AFE">
      <w:pPr>
        <w:spacing w:after="0" w:line="480" w:lineRule="auto"/>
        <w:jc w:val="center"/>
        <w:rPr>
          <w:rFonts w:ascii="Arial" w:hAnsi="Arial" w:cs="Arial"/>
        </w:rPr>
      </w:pPr>
      <w:r>
        <w:rPr>
          <w:rFonts w:ascii="Arial" w:hAnsi="Arial" w:cs="Arial"/>
        </w:rPr>
        <w:t xml:space="preserve">Suzanne H. Gage PhD </w:t>
      </w:r>
      <w:r w:rsidRPr="00EC0AFE">
        <w:rPr>
          <w:rFonts w:ascii="Arial" w:hAnsi="Arial" w:cs="Arial"/>
          <w:vertAlign w:val="superscript"/>
        </w:rPr>
        <w:t>1</w:t>
      </w:r>
      <w:r>
        <w:rPr>
          <w:rFonts w:ascii="Arial" w:hAnsi="Arial" w:cs="Arial"/>
        </w:rPr>
        <w:t>, Hannah M. Sallis PhD</w:t>
      </w:r>
      <w:r w:rsidRPr="00EC0AFE">
        <w:rPr>
          <w:rFonts w:ascii="Arial" w:hAnsi="Arial" w:cs="Arial"/>
          <w:vertAlign w:val="superscript"/>
        </w:rPr>
        <w:t>2,3</w:t>
      </w:r>
      <w:r>
        <w:rPr>
          <w:rFonts w:ascii="Arial" w:hAnsi="Arial" w:cs="Arial"/>
        </w:rPr>
        <w:t xml:space="preserve">, Glenda Lassi PhD </w:t>
      </w:r>
      <w:r>
        <w:rPr>
          <w:rFonts w:ascii="Arial" w:hAnsi="Arial" w:cs="Arial"/>
          <w:vertAlign w:val="superscript"/>
        </w:rPr>
        <w:t>2,3,4</w:t>
      </w:r>
      <w:r>
        <w:rPr>
          <w:rFonts w:ascii="Arial" w:hAnsi="Arial" w:cs="Arial"/>
        </w:rPr>
        <w:t xml:space="preserve">, Robyn E. Wootton PhD </w:t>
      </w:r>
      <w:r w:rsidRPr="00EC0AFE">
        <w:rPr>
          <w:rFonts w:ascii="Arial" w:hAnsi="Arial" w:cs="Arial"/>
          <w:vertAlign w:val="superscript"/>
        </w:rPr>
        <w:t>2,3</w:t>
      </w:r>
      <w:r>
        <w:rPr>
          <w:rFonts w:ascii="Arial" w:hAnsi="Arial" w:cs="Arial"/>
        </w:rPr>
        <w:t>, Claire Mokrysz PhD</w:t>
      </w:r>
      <w:r>
        <w:rPr>
          <w:rFonts w:ascii="Arial" w:hAnsi="Arial" w:cs="Arial"/>
          <w:vertAlign w:val="superscript"/>
        </w:rPr>
        <w:t>5</w:t>
      </w:r>
      <w:r>
        <w:rPr>
          <w:rFonts w:ascii="Arial" w:hAnsi="Arial" w:cs="Arial"/>
        </w:rPr>
        <w:t xml:space="preserve">, George Davey Smith MD </w:t>
      </w:r>
      <w:r w:rsidRPr="00EC0AFE">
        <w:rPr>
          <w:rFonts w:ascii="Arial" w:hAnsi="Arial" w:cs="Arial"/>
          <w:vertAlign w:val="superscript"/>
        </w:rPr>
        <w:t>3</w:t>
      </w:r>
      <w:r>
        <w:rPr>
          <w:rFonts w:ascii="Arial" w:hAnsi="Arial" w:cs="Arial"/>
          <w:vertAlign w:val="superscript"/>
        </w:rPr>
        <w:t>,6</w:t>
      </w:r>
      <w:r>
        <w:rPr>
          <w:rFonts w:ascii="Arial" w:hAnsi="Arial" w:cs="Arial"/>
        </w:rPr>
        <w:t xml:space="preserve">, Marcus R. </w:t>
      </w:r>
      <w:proofErr w:type="spellStart"/>
      <w:r>
        <w:rPr>
          <w:rFonts w:ascii="Arial" w:hAnsi="Arial" w:cs="Arial"/>
        </w:rPr>
        <w:t>Munafò</w:t>
      </w:r>
      <w:proofErr w:type="spellEnd"/>
      <w:r>
        <w:rPr>
          <w:rFonts w:ascii="Arial" w:hAnsi="Arial" w:cs="Arial"/>
        </w:rPr>
        <w:t xml:space="preserve"> PhD </w:t>
      </w:r>
      <w:r w:rsidRPr="00EC0AFE">
        <w:rPr>
          <w:rFonts w:ascii="Arial" w:hAnsi="Arial" w:cs="Arial"/>
          <w:vertAlign w:val="superscript"/>
        </w:rPr>
        <w:t>2,3</w:t>
      </w:r>
    </w:p>
    <w:p w:rsidR="007368F5" w:rsidRPr="00EA01BA" w:rsidRDefault="007368F5" w:rsidP="00EC0AFE">
      <w:pPr>
        <w:spacing w:after="0" w:line="480" w:lineRule="auto"/>
        <w:rPr>
          <w:rFonts w:ascii="Arial" w:hAnsi="Arial" w:cs="Arial"/>
          <w:b/>
        </w:rPr>
      </w:pPr>
    </w:p>
    <w:p w:rsidR="007368F5" w:rsidRPr="00EA01BA" w:rsidRDefault="007368F5" w:rsidP="00EC0AFE">
      <w:pPr>
        <w:spacing w:after="0" w:line="480" w:lineRule="auto"/>
        <w:rPr>
          <w:rFonts w:ascii="Arial" w:hAnsi="Arial" w:cs="Arial"/>
        </w:rPr>
      </w:pPr>
      <w:r w:rsidRPr="00EA01BA">
        <w:rPr>
          <w:rFonts w:ascii="Arial" w:hAnsi="Arial" w:cs="Arial"/>
        </w:rPr>
        <w:t>1. Department of Psychological Sciences, University of Liverpoo</w:t>
      </w:r>
      <w:r>
        <w:rPr>
          <w:rFonts w:ascii="Arial" w:hAnsi="Arial" w:cs="Arial"/>
        </w:rPr>
        <w:t>l, UK</w:t>
      </w:r>
    </w:p>
    <w:p w:rsidR="007368F5" w:rsidRPr="00EA01BA" w:rsidRDefault="007368F5" w:rsidP="00EC0AFE">
      <w:pPr>
        <w:spacing w:after="0" w:line="480" w:lineRule="auto"/>
        <w:rPr>
          <w:rFonts w:ascii="Arial" w:hAnsi="Arial" w:cs="Arial"/>
        </w:rPr>
      </w:pPr>
      <w:r w:rsidRPr="00EA01BA">
        <w:rPr>
          <w:rFonts w:ascii="Arial" w:hAnsi="Arial" w:cs="Arial"/>
        </w:rPr>
        <w:t xml:space="preserve">2. School of </w:t>
      </w:r>
      <w:r>
        <w:rPr>
          <w:rFonts w:ascii="Arial" w:hAnsi="Arial" w:cs="Arial"/>
        </w:rPr>
        <w:t>Psychological Science</w:t>
      </w:r>
      <w:r w:rsidRPr="00EA01BA">
        <w:rPr>
          <w:rFonts w:ascii="Arial" w:hAnsi="Arial" w:cs="Arial"/>
        </w:rPr>
        <w:t>, University of Bristol, UK</w:t>
      </w:r>
    </w:p>
    <w:p w:rsidR="007368F5" w:rsidRPr="00EA01BA" w:rsidRDefault="007368F5" w:rsidP="00FD729D">
      <w:pPr>
        <w:spacing w:after="0" w:line="480" w:lineRule="auto"/>
        <w:rPr>
          <w:rFonts w:ascii="Arial" w:hAnsi="Arial" w:cs="Arial"/>
        </w:rPr>
      </w:pPr>
      <w:r w:rsidRPr="00EA01BA">
        <w:rPr>
          <w:rFonts w:ascii="Arial" w:hAnsi="Arial" w:cs="Arial"/>
        </w:rPr>
        <w:t>3. MRC Integrative Epidemiology Unit at the University of Bristol, UK</w:t>
      </w:r>
    </w:p>
    <w:p w:rsidR="007368F5" w:rsidRDefault="007368F5" w:rsidP="00FD729D">
      <w:pPr>
        <w:pStyle w:val="NormalWeb"/>
        <w:shd w:val="clear" w:color="auto" w:fill="FFFFFF"/>
        <w:spacing w:before="0" w:beforeAutospacing="0" w:after="0" w:afterAutospacing="0" w:line="480" w:lineRule="auto"/>
        <w:rPr>
          <w:rFonts w:ascii="Arial" w:hAnsi="Arial" w:cs="Arial"/>
          <w:color w:val="000000"/>
          <w:sz w:val="22"/>
          <w:szCs w:val="22"/>
        </w:rPr>
      </w:pPr>
      <w:r w:rsidRPr="00EA01BA">
        <w:rPr>
          <w:rFonts w:ascii="Arial" w:hAnsi="Arial" w:cs="Arial"/>
          <w:sz w:val="22"/>
          <w:szCs w:val="22"/>
        </w:rPr>
        <w:t>4.</w:t>
      </w:r>
      <w:r w:rsidRPr="00EA01BA">
        <w:rPr>
          <w:rFonts w:ascii="Arial" w:hAnsi="Arial" w:cs="Arial"/>
          <w:b/>
          <w:color w:val="000000"/>
          <w:sz w:val="22"/>
          <w:szCs w:val="22"/>
        </w:rPr>
        <w:t xml:space="preserve"> </w:t>
      </w:r>
      <w:r w:rsidRPr="00365330">
        <w:rPr>
          <w:rFonts w:ascii="Arial" w:eastAsiaTheme="minorEastAsia" w:hAnsi="Arial" w:cs="Arial"/>
          <w:bCs/>
          <w:noProof/>
          <w:sz w:val="22"/>
          <w:szCs w:val="22"/>
        </w:rPr>
        <w:t xml:space="preserve">Centre for Genomics Research, Discovery Sciences, </w:t>
      </w:r>
      <w:r w:rsidRPr="00365330">
        <w:rPr>
          <w:rFonts w:ascii="Arial" w:eastAsiaTheme="minorEastAsia" w:hAnsi="Arial" w:cs="Arial"/>
          <w:noProof/>
          <w:sz w:val="22"/>
          <w:szCs w:val="22"/>
        </w:rPr>
        <w:t>R&amp;D BioPharmaceuticals,</w:t>
      </w:r>
      <w:r w:rsidRPr="00EA01BA">
        <w:rPr>
          <w:rFonts w:ascii="Arial" w:hAnsi="Arial" w:cs="Arial"/>
          <w:color w:val="000000"/>
          <w:sz w:val="22"/>
          <w:szCs w:val="22"/>
        </w:rPr>
        <w:t xml:space="preserve"> </w:t>
      </w:r>
      <w:r>
        <w:rPr>
          <w:rFonts w:ascii="Arial" w:hAnsi="Arial" w:cs="Arial"/>
          <w:color w:val="000000"/>
          <w:sz w:val="22"/>
          <w:szCs w:val="22"/>
        </w:rPr>
        <w:t xml:space="preserve">AstraZeneca, </w:t>
      </w:r>
      <w:r w:rsidRPr="00EA01BA">
        <w:rPr>
          <w:rFonts w:ascii="Arial" w:hAnsi="Arial" w:cs="Arial"/>
          <w:color w:val="000000"/>
          <w:sz w:val="22"/>
          <w:szCs w:val="22"/>
        </w:rPr>
        <w:t>Cambridge</w:t>
      </w:r>
      <w:r>
        <w:rPr>
          <w:rFonts w:ascii="Arial" w:hAnsi="Arial" w:cs="Arial"/>
          <w:color w:val="000000"/>
          <w:sz w:val="22"/>
          <w:szCs w:val="22"/>
        </w:rPr>
        <w:t>, UK</w:t>
      </w:r>
    </w:p>
    <w:p w:rsidR="007368F5" w:rsidRDefault="007368F5" w:rsidP="00FD729D">
      <w:pPr>
        <w:pStyle w:val="NormalWeb"/>
        <w:shd w:val="clear" w:color="auto" w:fill="FFFFFF"/>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5. Clinical Psychopharmacology Unit, University College London, UK</w:t>
      </w:r>
    </w:p>
    <w:p w:rsidR="007368F5" w:rsidRPr="00EA01BA" w:rsidRDefault="007368F5" w:rsidP="00FD729D">
      <w:pPr>
        <w:pStyle w:val="NormalWeb"/>
        <w:shd w:val="clear" w:color="auto" w:fill="FFFFFF"/>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6. School of Population Health Sciences, Bristol Medical School, University of Bristol, UK</w:t>
      </w:r>
    </w:p>
    <w:p w:rsidR="007368F5" w:rsidRPr="00EC0AFE" w:rsidRDefault="007368F5" w:rsidP="00EC0AFE">
      <w:pPr>
        <w:spacing w:after="0" w:line="480" w:lineRule="auto"/>
        <w:rPr>
          <w:rFonts w:ascii="Arial" w:hAnsi="Arial" w:cs="Arial"/>
        </w:rPr>
      </w:pPr>
    </w:p>
    <w:p w:rsidR="007368F5" w:rsidRDefault="007368F5" w:rsidP="00EC0AFE">
      <w:pPr>
        <w:spacing w:after="0" w:line="480" w:lineRule="auto"/>
        <w:rPr>
          <w:rFonts w:ascii="Arial" w:hAnsi="Arial" w:cs="Arial"/>
        </w:rPr>
      </w:pPr>
      <w:r w:rsidRPr="00EC0AFE">
        <w:rPr>
          <w:rFonts w:ascii="Arial" w:hAnsi="Arial" w:cs="Arial"/>
        </w:rPr>
        <w:t>Corresponding author:</w:t>
      </w:r>
      <w:r>
        <w:rPr>
          <w:rFonts w:ascii="Arial" w:hAnsi="Arial" w:cs="Arial"/>
        </w:rPr>
        <w:t xml:space="preserve"> Suzanne Gage; </w:t>
      </w:r>
      <w:hyperlink r:id="rId6" w:history="1">
        <w:r w:rsidRPr="00F14118">
          <w:rPr>
            <w:rStyle w:val="Hyperlink"/>
            <w:rFonts w:ascii="Arial" w:hAnsi="Arial" w:cs="Arial"/>
          </w:rPr>
          <w:t>s.gage@liverpool.ac.uk</w:t>
        </w:r>
      </w:hyperlink>
      <w:r>
        <w:rPr>
          <w:rFonts w:ascii="Arial" w:hAnsi="Arial" w:cs="Arial"/>
        </w:rPr>
        <w:t xml:space="preserve">; </w:t>
      </w:r>
      <w:r w:rsidRPr="00EA01BA">
        <w:rPr>
          <w:rFonts w:ascii="Arial" w:hAnsi="Arial" w:cs="Arial"/>
        </w:rPr>
        <w:t>Department of Psychological Sciences</w:t>
      </w:r>
      <w:r>
        <w:rPr>
          <w:rFonts w:ascii="Arial" w:hAnsi="Arial" w:cs="Arial"/>
        </w:rPr>
        <w:t>, University of Liverpool, Eleanor Rathbone Building, Bedford Street South, Liverpool, L69 7ZA, UK</w:t>
      </w:r>
    </w:p>
    <w:p w:rsidR="007368F5" w:rsidRDefault="007368F5" w:rsidP="00EC0AFE">
      <w:pPr>
        <w:spacing w:after="0" w:line="480" w:lineRule="auto"/>
        <w:rPr>
          <w:rFonts w:ascii="Arial" w:hAnsi="Arial" w:cs="Arial"/>
        </w:rPr>
      </w:pPr>
    </w:p>
    <w:p w:rsidR="007368F5" w:rsidRPr="00EC0AFE" w:rsidRDefault="007368F5" w:rsidP="00EC0AFE">
      <w:pPr>
        <w:spacing w:after="0" w:line="480" w:lineRule="auto"/>
        <w:rPr>
          <w:rFonts w:ascii="Arial" w:hAnsi="Arial" w:cs="Arial"/>
        </w:rPr>
      </w:pPr>
      <w:r>
        <w:rPr>
          <w:rFonts w:ascii="Arial" w:hAnsi="Arial" w:cs="Arial"/>
        </w:rPr>
        <w:t>Word count: 4778</w:t>
      </w:r>
    </w:p>
    <w:p w:rsidR="007368F5" w:rsidRPr="00EC0AFE" w:rsidRDefault="007368F5">
      <w:pPr>
        <w:rPr>
          <w:rFonts w:ascii="Arial" w:hAnsi="Arial" w:cs="Arial"/>
        </w:rPr>
      </w:pPr>
    </w:p>
    <w:p w:rsidR="007368F5" w:rsidRDefault="007368F5">
      <w:pPr>
        <w:rPr>
          <w:rFonts w:ascii="Arial" w:hAnsi="Arial" w:cs="Arial"/>
          <w:b/>
        </w:rPr>
      </w:pPr>
    </w:p>
    <w:p w:rsidR="007368F5" w:rsidRDefault="007368F5">
      <w:pPr>
        <w:rPr>
          <w:rFonts w:ascii="Arial" w:hAnsi="Arial" w:cs="Arial"/>
          <w:b/>
        </w:rPr>
      </w:pPr>
      <w:r>
        <w:rPr>
          <w:rFonts w:ascii="Arial" w:hAnsi="Arial" w:cs="Arial"/>
          <w:b/>
        </w:rPr>
        <w:br w:type="page"/>
      </w:r>
    </w:p>
    <w:p w:rsidR="007368F5" w:rsidRDefault="007368F5" w:rsidP="00411234">
      <w:pPr>
        <w:spacing w:after="0" w:line="480" w:lineRule="auto"/>
        <w:jc w:val="center"/>
        <w:rPr>
          <w:rFonts w:ascii="Arial" w:hAnsi="Arial" w:cs="Arial"/>
          <w:b/>
        </w:rPr>
      </w:pPr>
      <w:r>
        <w:rPr>
          <w:rFonts w:ascii="Arial" w:hAnsi="Arial" w:cs="Arial"/>
          <w:b/>
        </w:rPr>
        <w:lastRenderedPageBreak/>
        <w:t>Abstract</w:t>
      </w:r>
    </w:p>
    <w:p w:rsidR="007368F5" w:rsidRDefault="007368F5" w:rsidP="00411234">
      <w:pPr>
        <w:spacing w:after="0" w:line="480" w:lineRule="auto"/>
        <w:jc w:val="center"/>
        <w:rPr>
          <w:rFonts w:ascii="Arial" w:hAnsi="Arial" w:cs="Arial"/>
          <w:b/>
        </w:rPr>
      </w:pPr>
    </w:p>
    <w:p w:rsidR="007368F5" w:rsidRDefault="007368F5" w:rsidP="00C83595">
      <w:pPr>
        <w:spacing w:after="0" w:line="480" w:lineRule="auto"/>
        <w:rPr>
          <w:rFonts w:ascii="Arial" w:hAnsi="Arial" w:cs="Arial"/>
        </w:rPr>
      </w:pPr>
      <w:r>
        <w:rPr>
          <w:rFonts w:ascii="Arial" w:hAnsi="Arial" w:cs="Arial"/>
        </w:rPr>
        <w:t>Background: Observational studies have found associations between smoking and both poorer cognitive ability and lower educational attainment; however, evaluating causality is challenging. We used two complementary methods to explore this.</w:t>
      </w:r>
    </w:p>
    <w:p w:rsidR="007368F5" w:rsidRDefault="007368F5" w:rsidP="00C83595">
      <w:pPr>
        <w:spacing w:after="0" w:line="480" w:lineRule="auto"/>
        <w:rPr>
          <w:rFonts w:ascii="Arial" w:hAnsi="Arial" w:cs="Arial"/>
        </w:rPr>
      </w:pPr>
    </w:p>
    <w:p w:rsidR="007368F5" w:rsidRDefault="007368F5" w:rsidP="00C83595">
      <w:pPr>
        <w:spacing w:after="0" w:line="480" w:lineRule="auto"/>
        <w:rPr>
          <w:rFonts w:ascii="Arial" w:hAnsi="Arial" w:cs="Arial"/>
        </w:rPr>
      </w:pPr>
      <w:r w:rsidRPr="008001F3">
        <w:rPr>
          <w:rFonts w:ascii="Arial" w:hAnsi="Arial" w:cs="Arial"/>
        </w:rPr>
        <w:t xml:space="preserve">Methods: </w:t>
      </w:r>
      <w:r>
        <w:rPr>
          <w:rFonts w:ascii="Arial" w:hAnsi="Arial" w:cs="Arial"/>
        </w:rPr>
        <w:t>We conducted observational analyses</w:t>
      </w:r>
      <w:r w:rsidRPr="008001F3">
        <w:rPr>
          <w:rFonts w:ascii="Arial" w:hAnsi="Arial" w:cs="Arial"/>
        </w:rPr>
        <w:t xml:space="preserve"> </w:t>
      </w:r>
      <w:r>
        <w:rPr>
          <w:rFonts w:ascii="Arial" w:hAnsi="Arial" w:cs="Arial"/>
        </w:rPr>
        <w:t>of</w:t>
      </w:r>
      <w:r w:rsidRPr="008001F3">
        <w:rPr>
          <w:rFonts w:ascii="Arial" w:hAnsi="Arial" w:cs="Arial"/>
        </w:rPr>
        <w:t xml:space="preserve"> up to 12,004 </w:t>
      </w:r>
      <w:r>
        <w:rPr>
          <w:rFonts w:ascii="Arial" w:hAnsi="Arial" w:cs="Arial"/>
        </w:rPr>
        <w:t>participants</w:t>
      </w:r>
      <w:r w:rsidRPr="008001F3">
        <w:rPr>
          <w:rFonts w:ascii="Arial" w:hAnsi="Arial" w:cs="Arial"/>
        </w:rPr>
        <w:t xml:space="preserve"> </w:t>
      </w:r>
      <w:r>
        <w:rPr>
          <w:rFonts w:ascii="Arial" w:hAnsi="Arial" w:cs="Arial"/>
        </w:rPr>
        <w:t xml:space="preserve">in a </w:t>
      </w:r>
      <w:r w:rsidRPr="008001F3">
        <w:rPr>
          <w:rFonts w:ascii="Arial" w:hAnsi="Arial" w:cs="Arial"/>
        </w:rPr>
        <w:t>cohort study (Study One) and Mendelian randomization</w:t>
      </w:r>
      <w:r>
        <w:rPr>
          <w:rFonts w:ascii="Arial" w:hAnsi="Arial" w:cs="Arial"/>
        </w:rPr>
        <w:t xml:space="preserve"> (MR)</w:t>
      </w:r>
      <w:r w:rsidRPr="008001F3">
        <w:rPr>
          <w:rFonts w:ascii="Arial" w:hAnsi="Arial" w:cs="Arial"/>
        </w:rPr>
        <w:t xml:space="preserve"> </w:t>
      </w:r>
      <w:r>
        <w:rPr>
          <w:rFonts w:ascii="Arial" w:hAnsi="Arial" w:cs="Arial"/>
        </w:rPr>
        <w:t>analyses using summary and cohort data</w:t>
      </w:r>
      <w:r w:rsidRPr="008001F3">
        <w:rPr>
          <w:rFonts w:ascii="Arial" w:hAnsi="Arial" w:cs="Arial"/>
        </w:rPr>
        <w:t xml:space="preserve"> (Study Two). </w:t>
      </w:r>
      <w:r>
        <w:rPr>
          <w:rFonts w:ascii="Arial" w:hAnsi="Arial" w:cs="Arial"/>
        </w:rPr>
        <w:t>O</w:t>
      </w:r>
      <w:r w:rsidRPr="008001F3">
        <w:rPr>
          <w:rFonts w:ascii="Arial" w:hAnsi="Arial" w:cs="Arial"/>
        </w:rPr>
        <w:t>utcome measures were cognitive ability at age 15 and educational attainment at age 16 (Study One), and educational attainment and fluid intelligence (Study Two).</w:t>
      </w:r>
    </w:p>
    <w:p w:rsidR="007368F5" w:rsidRDefault="007368F5" w:rsidP="00C83595">
      <w:pPr>
        <w:spacing w:after="0" w:line="480" w:lineRule="auto"/>
        <w:rPr>
          <w:rFonts w:ascii="Arial" w:hAnsi="Arial" w:cs="Arial"/>
        </w:rPr>
      </w:pPr>
    </w:p>
    <w:p w:rsidR="007368F5" w:rsidRDefault="007368F5" w:rsidP="00C83595">
      <w:pPr>
        <w:spacing w:after="0" w:line="480" w:lineRule="auto"/>
        <w:rPr>
          <w:rFonts w:ascii="Arial" w:hAnsi="Arial" w:cs="Arial"/>
        </w:rPr>
      </w:pPr>
      <w:r>
        <w:rPr>
          <w:rFonts w:ascii="Arial" w:hAnsi="Arial" w:cs="Arial"/>
        </w:rPr>
        <w:t xml:space="preserve">Results: Study One: heaviness of smoking at age 15 was associated with lower cognitive ability at age 15 and lower educational attainment at age 16. Adjustment for potential confounders partially attenuated findings (e.g., fully adjusted cognitive ability beta -0.736, 95% CI -1.238 to -0.233, P = 0.004; fully adjusted educational attainment beta </w:t>
      </w:r>
      <w:r w:rsidRPr="00151DC6">
        <w:rPr>
          <w:rFonts w:ascii="Arial" w:hAnsi="Arial" w:cs="Arial"/>
        </w:rPr>
        <w:t>-1.254</w:t>
      </w:r>
      <w:r>
        <w:rPr>
          <w:rFonts w:ascii="Arial" w:hAnsi="Arial" w:cs="Arial"/>
        </w:rPr>
        <w:t>, 95% CI -1.597 to -0.911, P &lt; 0.001). Study Two: MR indicated that both smoking initiation and lifetime smoking predict lower educational attainment (e.g., smoking initiation to educational attainment inverse-variance weighted MR beta -0.197, 95% CI</w:t>
      </w:r>
      <w:r>
        <w:rPr>
          <w:rFonts w:ascii="Arial" w:hAnsi="Arial" w:cs="Arial"/>
          <w:color w:val="000000" w:themeColor="text1"/>
        </w:rPr>
        <w:t xml:space="preserve"> </w:t>
      </w:r>
      <w:r w:rsidRPr="00D96C42">
        <w:rPr>
          <w:rFonts w:ascii="Arial" w:hAnsi="Arial" w:cs="Arial"/>
          <w:color w:val="000000" w:themeColor="text1"/>
        </w:rPr>
        <w:t>-0.</w:t>
      </w:r>
      <w:r>
        <w:rPr>
          <w:rFonts w:ascii="Arial" w:hAnsi="Arial" w:cs="Arial"/>
          <w:color w:val="000000" w:themeColor="text1"/>
        </w:rPr>
        <w:t>223</w:t>
      </w:r>
      <w:r w:rsidRPr="00D96C42">
        <w:rPr>
          <w:rFonts w:ascii="Arial" w:hAnsi="Arial" w:cs="Arial"/>
          <w:color w:val="000000" w:themeColor="text1"/>
        </w:rPr>
        <w:t>, -0.</w:t>
      </w:r>
      <w:r>
        <w:rPr>
          <w:rFonts w:ascii="Arial" w:hAnsi="Arial" w:cs="Arial"/>
          <w:color w:val="000000" w:themeColor="text1"/>
        </w:rPr>
        <w:t xml:space="preserve">171, P = </w:t>
      </w:r>
      <w:r>
        <w:rPr>
          <w:rFonts w:ascii="Arial" w:hAnsi="Arial" w:cs="Arial"/>
          <w:color w:val="000000"/>
        </w:rPr>
        <w:t>1.78</w:t>
      </w:r>
      <w:r w:rsidRPr="007B0F00">
        <w:rPr>
          <w:rFonts w:ascii="Arial" w:hAnsi="Arial" w:cs="Arial"/>
          <w:color w:val="000000"/>
        </w:rPr>
        <w:t xml:space="preserve"> x 10</w:t>
      </w:r>
      <w:r w:rsidRPr="007B0F00">
        <w:rPr>
          <w:rFonts w:ascii="Arial" w:hAnsi="Arial" w:cs="Arial"/>
          <w:color w:val="000000"/>
          <w:vertAlign w:val="superscript"/>
        </w:rPr>
        <w:t>-</w:t>
      </w:r>
      <w:r>
        <w:rPr>
          <w:rFonts w:ascii="Arial" w:hAnsi="Arial" w:cs="Arial"/>
          <w:color w:val="000000"/>
          <w:vertAlign w:val="superscript"/>
        </w:rPr>
        <w:t>49</w:t>
      </w:r>
      <w:r>
        <w:rPr>
          <w:rFonts w:ascii="Arial" w:hAnsi="Arial" w:cs="Arial"/>
          <w:color w:val="000000"/>
        </w:rPr>
        <w:t>)</w:t>
      </w:r>
      <w:r>
        <w:rPr>
          <w:rFonts w:ascii="Arial" w:hAnsi="Arial" w:cs="Arial"/>
        </w:rPr>
        <w:t>. Educational attainment results were robust to sensitivity analyses, while analyses of general cognitive ability were less so.</w:t>
      </w:r>
    </w:p>
    <w:p w:rsidR="007368F5" w:rsidRDefault="007368F5" w:rsidP="00C83595">
      <w:pPr>
        <w:spacing w:after="0" w:line="480" w:lineRule="auto"/>
        <w:rPr>
          <w:rFonts w:ascii="Arial" w:hAnsi="Arial" w:cs="Arial"/>
        </w:rPr>
      </w:pPr>
    </w:p>
    <w:p w:rsidR="007368F5" w:rsidRPr="00C83595" w:rsidRDefault="007368F5" w:rsidP="00C83595">
      <w:pPr>
        <w:spacing w:after="0" w:line="480" w:lineRule="auto"/>
        <w:rPr>
          <w:rFonts w:ascii="Arial" w:hAnsi="Arial" w:cs="Arial"/>
        </w:rPr>
      </w:pPr>
      <w:r>
        <w:rPr>
          <w:rFonts w:ascii="Arial" w:hAnsi="Arial" w:cs="Arial"/>
        </w:rPr>
        <w:t>Conclusion: We find some evidence of a causal effect of smoking on lower educational attainment, but not cognitive ability. Triangulation of evidence across observational and MR methods is a strength, but the genetic variants associated with smoking initiation may be pleiotropic, suggesting caution in interpreting these results. The nature of this pleiotropy warrants further study.</w:t>
      </w:r>
    </w:p>
    <w:p w:rsidR="007368F5" w:rsidRDefault="007368F5">
      <w:pPr>
        <w:rPr>
          <w:rFonts w:ascii="Arial" w:hAnsi="Arial" w:cs="Arial"/>
          <w:b/>
        </w:rPr>
      </w:pPr>
      <w:r>
        <w:rPr>
          <w:rFonts w:ascii="Arial" w:hAnsi="Arial" w:cs="Arial"/>
          <w:b/>
        </w:rPr>
        <w:br w:type="page"/>
      </w:r>
    </w:p>
    <w:p w:rsidR="007368F5" w:rsidRDefault="007368F5" w:rsidP="00644B6D">
      <w:pPr>
        <w:spacing w:after="0" w:line="480" w:lineRule="auto"/>
        <w:jc w:val="center"/>
        <w:rPr>
          <w:rFonts w:ascii="Arial" w:hAnsi="Arial" w:cs="Arial"/>
          <w:b/>
        </w:rPr>
      </w:pPr>
      <w:r>
        <w:rPr>
          <w:rFonts w:ascii="Arial" w:hAnsi="Arial" w:cs="Arial"/>
          <w:b/>
        </w:rPr>
        <w:lastRenderedPageBreak/>
        <w:t>Does Smoking Cause Lower</w:t>
      </w:r>
      <w:r w:rsidRPr="00EC0AFE">
        <w:rPr>
          <w:rFonts w:ascii="Arial" w:hAnsi="Arial" w:cs="Arial"/>
          <w:b/>
        </w:rPr>
        <w:t xml:space="preserve"> Educational Attainment</w:t>
      </w:r>
      <w:r>
        <w:rPr>
          <w:rFonts w:ascii="Arial" w:hAnsi="Arial" w:cs="Arial"/>
          <w:b/>
        </w:rPr>
        <w:t xml:space="preserve"> and </w:t>
      </w:r>
      <w:r w:rsidRPr="00EC0AFE">
        <w:rPr>
          <w:rFonts w:ascii="Arial" w:hAnsi="Arial" w:cs="Arial"/>
          <w:b/>
        </w:rPr>
        <w:t>General Cognitive Ability</w:t>
      </w:r>
      <w:r>
        <w:rPr>
          <w:rFonts w:ascii="Arial" w:hAnsi="Arial" w:cs="Arial"/>
          <w:b/>
        </w:rPr>
        <w:t xml:space="preserve">? </w:t>
      </w:r>
    </w:p>
    <w:p w:rsidR="007368F5" w:rsidRPr="00EC0AFE" w:rsidRDefault="007368F5" w:rsidP="00644B6D">
      <w:pPr>
        <w:spacing w:after="0" w:line="480" w:lineRule="auto"/>
        <w:jc w:val="center"/>
        <w:rPr>
          <w:rFonts w:ascii="Arial" w:hAnsi="Arial" w:cs="Arial"/>
          <w:b/>
        </w:rPr>
      </w:pPr>
      <w:r>
        <w:rPr>
          <w:rFonts w:ascii="Arial" w:hAnsi="Arial" w:cs="Arial"/>
          <w:b/>
        </w:rPr>
        <w:t>Triangulation of causal evidence using multiple study designs</w:t>
      </w:r>
    </w:p>
    <w:p w:rsidR="007368F5" w:rsidRDefault="007368F5" w:rsidP="00411234">
      <w:pPr>
        <w:spacing w:after="0" w:line="480" w:lineRule="auto"/>
        <w:jc w:val="center"/>
        <w:rPr>
          <w:rFonts w:ascii="Arial" w:hAnsi="Arial" w:cs="Arial"/>
          <w:b/>
        </w:rPr>
      </w:pPr>
    </w:p>
    <w:p w:rsidR="007368F5" w:rsidRPr="00411234" w:rsidRDefault="007368F5" w:rsidP="00F00E49">
      <w:pPr>
        <w:spacing w:after="0" w:line="480" w:lineRule="auto"/>
        <w:jc w:val="center"/>
        <w:rPr>
          <w:rFonts w:ascii="Arial" w:hAnsi="Arial" w:cs="Arial"/>
          <w:b/>
        </w:rPr>
      </w:pPr>
      <w:r w:rsidRPr="00411234">
        <w:rPr>
          <w:rFonts w:ascii="Arial" w:hAnsi="Arial" w:cs="Arial"/>
          <w:b/>
        </w:rPr>
        <w:t>Introduction</w:t>
      </w:r>
    </w:p>
    <w:p w:rsidR="007368F5" w:rsidRDefault="007368F5" w:rsidP="00643840">
      <w:pPr>
        <w:autoSpaceDE w:val="0"/>
        <w:autoSpaceDN w:val="0"/>
        <w:adjustRightInd w:val="0"/>
        <w:spacing w:after="0" w:line="480" w:lineRule="auto"/>
        <w:ind w:firstLine="720"/>
        <w:rPr>
          <w:rFonts w:ascii="Arial" w:eastAsia="BSGulliver" w:hAnsi="Arial" w:cs="Arial"/>
        </w:rPr>
      </w:pPr>
      <w:r w:rsidRPr="0020376A">
        <w:rPr>
          <w:rFonts w:ascii="Arial" w:eastAsia="BSGulliver" w:hAnsi="Arial" w:cs="Arial"/>
        </w:rPr>
        <w:t xml:space="preserve">Cigarette smoking </w:t>
      </w:r>
      <w:r>
        <w:rPr>
          <w:rFonts w:ascii="Arial" w:eastAsia="BSGulliver" w:hAnsi="Arial" w:cs="Arial"/>
        </w:rPr>
        <w:t xml:space="preserve">is associated with numerous adverse health outcomes. Smoking prevalence has declined in high income countries in recent years, but this decline has been strongly socially patterned, with the greatest declines in the most advantaged sections of society </w:t>
      </w:r>
      <w:r>
        <w:rPr>
          <w:rFonts w:ascii="Arial" w:eastAsia="BSGulliver" w:hAnsi="Arial" w:cs="Arial"/>
          <w:noProof/>
        </w:rPr>
        <w:t>(Jefferis, Power, Graham, &amp; Manor, 2004; Peretti-Watel, Seror, Constance, &amp; Beck, 2009)</w:t>
      </w:r>
      <w:r>
        <w:rPr>
          <w:rFonts w:ascii="Arial" w:eastAsia="BSGulliver" w:hAnsi="Arial" w:cs="Arial"/>
        </w:rPr>
        <w:t xml:space="preserve">. As a result, smoking is now a major driver of health inequalities between advantaged and disadvantaged socioeconomic groups. There is evidence that educational attainment causally influences the likelihood of smoking initiation, and also heaviness of smoking and likelihood of quitting among smokers </w:t>
      </w:r>
      <w:r>
        <w:rPr>
          <w:rFonts w:ascii="Arial" w:eastAsia="BSGulliver" w:hAnsi="Arial" w:cs="Arial"/>
          <w:noProof/>
        </w:rPr>
        <w:t>(Davies, Dickson, Davey Smith, van den Berg, &amp; Windmeijer, 2018; Gage, Bowden, Davey Smith, &amp; Munafo, 2018; Sanderson, Davey Smith, Bowden, &amp; Munafo, 2019; Tillmann et al., 2017)</w:t>
      </w:r>
      <w:r>
        <w:rPr>
          <w:rFonts w:ascii="Arial" w:eastAsia="BSGulliver" w:hAnsi="Arial" w:cs="Arial"/>
        </w:rPr>
        <w:t>. However, it is less clear whether smoking has an impact on educational attainment.</w:t>
      </w:r>
    </w:p>
    <w:p w:rsidR="007368F5" w:rsidRPr="00E750AA" w:rsidRDefault="007368F5" w:rsidP="00E750AA">
      <w:pPr>
        <w:autoSpaceDE w:val="0"/>
        <w:autoSpaceDN w:val="0"/>
        <w:adjustRightInd w:val="0"/>
        <w:spacing w:after="0" w:line="480" w:lineRule="auto"/>
        <w:ind w:firstLine="720"/>
        <w:rPr>
          <w:rFonts w:ascii="Arial" w:eastAsia="BSGulliver" w:hAnsi="Arial" w:cs="Arial"/>
        </w:rPr>
      </w:pPr>
      <w:r>
        <w:rPr>
          <w:rFonts w:ascii="Arial" w:eastAsia="BSGulliver" w:hAnsi="Arial" w:cs="Arial"/>
        </w:rPr>
        <w:t xml:space="preserve">There is some evidence that young people with a history of smoking show poorer academic and occupational outcomes compared to individuals who do not smoke or desist soon after a period of experimentation </w:t>
      </w:r>
      <w:r>
        <w:rPr>
          <w:rFonts w:ascii="Arial" w:eastAsia="BSGulliver" w:hAnsi="Arial" w:cs="Arial"/>
          <w:noProof/>
        </w:rPr>
        <w:t>(Chassin, Presson, Pitts, &amp; Sherman, 2000; Ellickson, Tucker, &amp; Klein, 2001; Orlando, Tucker, Ellickson, &amp; Klein, 2004; Orpinas, Lacy, Nahapetyan, Dube, &amp; Song, 2016)</w:t>
      </w:r>
      <w:r>
        <w:rPr>
          <w:rFonts w:ascii="Arial" w:eastAsia="BSGulliver" w:hAnsi="Arial" w:cs="Arial"/>
        </w:rPr>
        <w:t xml:space="preserve">. More generally, substance use in adolescence has been reported to be associated with poorer educational attainment </w:t>
      </w:r>
      <w:r>
        <w:rPr>
          <w:rFonts w:ascii="Arial" w:eastAsia="TimesNewRomanPSMT" w:hAnsi="Arial" w:cs="Arial"/>
          <w:noProof/>
        </w:rPr>
        <w:t>(Fergusson, Horwood, &amp; Ridder, 2005; Latvala et al., 2014; Maralani, 2014)</w:t>
      </w:r>
      <w:r w:rsidRPr="00605DA5">
        <w:rPr>
          <w:rFonts w:ascii="Arial" w:eastAsia="TimesNewRomanPSMT" w:hAnsi="Arial" w:cs="Arial"/>
        </w:rPr>
        <w:t xml:space="preserve">. </w:t>
      </w:r>
      <w:r>
        <w:rPr>
          <w:rFonts w:ascii="Arial" w:eastAsia="TimesNewRomanPSMT" w:hAnsi="Arial" w:cs="Arial"/>
        </w:rPr>
        <w:t>However, it is possible that</w:t>
      </w:r>
      <w:r>
        <w:rPr>
          <w:rFonts w:ascii="Arial" w:hAnsi="Arial" w:cs="Arial"/>
        </w:rPr>
        <w:t xml:space="preserve"> the observed negative association between substance use and both cognitive ability and educational attainment may result from s</w:t>
      </w:r>
      <w:r w:rsidRPr="00692E41">
        <w:rPr>
          <w:rFonts w:ascii="Arial" w:hAnsi="Arial" w:cs="Arial"/>
        </w:rPr>
        <w:t xml:space="preserve">tudents </w:t>
      </w:r>
      <w:r>
        <w:rPr>
          <w:rFonts w:ascii="Arial" w:hAnsi="Arial" w:cs="Arial"/>
        </w:rPr>
        <w:t xml:space="preserve">who </w:t>
      </w:r>
      <w:r w:rsidRPr="00692E41">
        <w:rPr>
          <w:rFonts w:ascii="Arial" w:hAnsi="Arial" w:cs="Arial"/>
        </w:rPr>
        <w:t>experienc</w:t>
      </w:r>
      <w:r>
        <w:rPr>
          <w:rFonts w:ascii="Arial" w:hAnsi="Arial" w:cs="Arial"/>
        </w:rPr>
        <w:t>e</w:t>
      </w:r>
      <w:r w:rsidRPr="00692E41">
        <w:rPr>
          <w:rFonts w:ascii="Arial" w:hAnsi="Arial" w:cs="Arial"/>
        </w:rPr>
        <w:t xml:space="preserve"> academic failure </w:t>
      </w:r>
      <w:r>
        <w:rPr>
          <w:rFonts w:ascii="Arial" w:hAnsi="Arial" w:cs="Arial"/>
        </w:rPr>
        <w:t xml:space="preserve">being more likely to engage in substance use, for example in an attempt to manage resulting negative feelings </w:t>
      </w:r>
      <w:r>
        <w:rPr>
          <w:rFonts w:ascii="Arial" w:hAnsi="Arial" w:cs="Arial"/>
          <w:noProof/>
        </w:rPr>
        <w:t>(Beman, 1995; Brunswick &amp; Messeri, 1984; Cox, Zhang, Johnson, &amp; Bender, 2007)</w:t>
      </w:r>
      <w:r>
        <w:rPr>
          <w:rFonts w:ascii="Arial" w:hAnsi="Arial" w:cs="Arial"/>
        </w:rPr>
        <w:t>. W</w:t>
      </w:r>
      <w:r w:rsidRPr="00692E41">
        <w:rPr>
          <w:rFonts w:ascii="Arial" w:hAnsi="Arial" w:cs="Arial"/>
        </w:rPr>
        <w:t xml:space="preserve">e assessed the association between cigarette smoking and cognitive ability and educational attainment </w:t>
      </w:r>
      <w:r>
        <w:rPr>
          <w:rFonts w:ascii="Arial" w:hAnsi="Arial" w:cs="Arial"/>
        </w:rPr>
        <w:t>in adolescents, hypothesizing</w:t>
      </w:r>
      <w:r w:rsidRPr="00022406">
        <w:rPr>
          <w:rFonts w:ascii="Arial" w:hAnsi="Arial" w:cs="Arial"/>
        </w:rPr>
        <w:t xml:space="preserve"> that </w:t>
      </w:r>
      <w:r>
        <w:rPr>
          <w:rFonts w:ascii="Arial" w:hAnsi="Arial" w:cs="Arial"/>
        </w:rPr>
        <w:t>cigarette smoking would be associated with lower cognitive and educational outcomes.</w:t>
      </w:r>
    </w:p>
    <w:p w:rsidR="007368F5" w:rsidRDefault="007368F5" w:rsidP="00E750AA">
      <w:pPr>
        <w:pStyle w:val="NormalWeb"/>
        <w:shd w:val="clear" w:color="auto" w:fill="FFFFFF"/>
        <w:spacing w:before="0" w:beforeAutospacing="0" w:after="0" w:afterAutospacing="0" w:line="480" w:lineRule="auto"/>
        <w:ind w:firstLine="720"/>
        <w:rPr>
          <w:rFonts w:ascii="Arial" w:hAnsi="Arial" w:cs="Arial"/>
          <w:sz w:val="22"/>
          <w:szCs w:val="22"/>
        </w:rPr>
      </w:pPr>
      <w:r>
        <w:rPr>
          <w:rFonts w:ascii="Arial" w:hAnsi="Arial" w:cs="Arial"/>
          <w:sz w:val="22"/>
          <w:szCs w:val="22"/>
        </w:rPr>
        <w:t>We</w:t>
      </w:r>
      <w:r w:rsidRPr="002014C4">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first </w:t>
      </w:r>
      <w:r w:rsidRPr="002014C4">
        <w:rPr>
          <w:rFonts w:ascii="Arial" w:hAnsi="Arial" w:cs="Arial"/>
          <w:color w:val="222222"/>
          <w:sz w:val="22"/>
          <w:szCs w:val="22"/>
          <w:shd w:val="clear" w:color="auto" w:fill="FFFFFF"/>
        </w:rPr>
        <w:t>used</w:t>
      </w:r>
      <w:r w:rsidRPr="002014C4">
        <w:rPr>
          <w:rFonts w:ascii="Arial" w:hAnsi="Arial" w:cs="Arial"/>
          <w:sz w:val="22"/>
          <w:szCs w:val="22"/>
        </w:rPr>
        <w:t xml:space="preserve"> data from a</w:t>
      </w:r>
      <w:r>
        <w:rPr>
          <w:rFonts w:ascii="Arial" w:hAnsi="Arial" w:cs="Arial"/>
          <w:sz w:val="22"/>
          <w:szCs w:val="22"/>
        </w:rPr>
        <w:t xml:space="preserve"> large UK based</w:t>
      </w:r>
      <w:r w:rsidRPr="002014C4">
        <w:rPr>
          <w:rFonts w:ascii="Arial" w:hAnsi="Arial" w:cs="Arial"/>
          <w:sz w:val="22"/>
          <w:szCs w:val="22"/>
        </w:rPr>
        <w:t xml:space="preserve"> </w:t>
      </w:r>
      <w:r>
        <w:rPr>
          <w:rFonts w:ascii="Arial" w:hAnsi="Arial" w:cs="Arial"/>
          <w:sz w:val="22"/>
          <w:szCs w:val="22"/>
        </w:rPr>
        <w:t>pregnancy</w:t>
      </w:r>
      <w:r w:rsidRPr="002014C4">
        <w:rPr>
          <w:rFonts w:ascii="Arial" w:hAnsi="Arial" w:cs="Arial"/>
          <w:sz w:val="22"/>
          <w:szCs w:val="22"/>
        </w:rPr>
        <w:t xml:space="preserve"> cohort,</w:t>
      </w:r>
      <w:r w:rsidRPr="00E76080">
        <w:rPr>
          <w:rFonts w:ascii="Arial" w:hAnsi="Arial" w:cs="Arial"/>
          <w:sz w:val="22"/>
          <w:szCs w:val="22"/>
        </w:rPr>
        <w:t xml:space="preserve"> the Avon Longitudinal Study of Parents and Children (ALSPAC)</w:t>
      </w:r>
      <w:r>
        <w:rPr>
          <w:rFonts w:ascii="Arial" w:hAnsi="Arial" w:cs="Arial"/>
          <w:sz w:val="22"/>
          <w:szCs w:val="22"/>
        </w:rPr>
        <w:t xml:space="preserve">, to investigate whether smoking, measured at age 15, was associated with cognitive ability, assessed at the same age, and educational </w:t>
      </w:r>
      <w:r>
        <w:rPr>
          <w:rFonts w:ascii="Arial" w:hAnsi="Arial" w:cs="Arial"/>
          <w:sz w:val="22"/>
          <w:szCs w:val="22"/>
        </w:rPr>
        <w:lastRenderedPageBreak/>
        <w:t xml:space="preserve">attainment at age 16, before and after adjustment for a range of potential confounders. </w:t>
      </w:r>
      <w:r w:rsidRPr="00692E41">
        <w:rPr>
          <w:rFonts w:ascii="Arial" w:hAnsi="Arial" w:cs="Arial"/>
          <w:sz w:val="22"/>
          <w:szCs w:val="22"/>
        </w:rPr>
        <w:t>We attempted to minimise the impact of reverse causation by adjusting for pre-existing general cognitive ability (in the general cognitive ability analyses) or earlier educational attainment (in the education analyses).</w:t>
      </w:r>
      <w:r>
        <w:rPr>
          <w:rFonts w:ascii="Arial" w:hAnsi="Arial" w:cs="Arial"/>
          <w:sz w:val="22"/>
          <w:szCs w:val="22"/>
        </w:rPr>
        <w:t xml:space="preserve"> In an attempt t</w:t>
      </w:r>
      <w:r w:rsidRPr="008F1DBA">
        <w:rPr>
          <w:rFonts w:ascii="Arial" w:hAnsi="Arial" w:cs="Arial"/>
          <w:sz w:val="22"/>
          <w:szCs w:val="22"/>
        </w:rPr>
        <w:t xml:space="preserve">o </w:t>
      </w:r>
      <w:r>
        <w:rPr>
          <w:rFonts w:ascii="Arial" w:hAnsi="Arial" w:cs="Arial"/>
          <w:sz w:val="22"/>
          <w:szCs w:val="22"/>
        </w:rPr>
        <w:t>account for selection bias</w:t>
      </w:r>
      <w:r w:rsidRPr="008F1DBA">
        <w:rPr>
          <w:rFonts w:ascii="Arial" w:hAnsi="Arial" w:cs="Arial"/>
          <w:sz w:val="22"/>
          <w:szCs w:val="22"/>
        </w:rPr>
        <w:t xml:space="preserve"> due to </w:t>
      </w:r>
      <w:r>
        <w:rPr>
          <w:rFonts w:ascii="Arial" w:hAnsi="Arial" w:cs="Arial"/>
          <w:sz w:val="22"/>
          <w:szCs w:val="22"/>
        </w:rPr>
        <w:t xml:space="preserve">the typical </w:t>
      </w:r>
      <w:r w:rsidRPr="008F1DBA">
        <w:rPr>
          <w:rFonts w:ascii="Arial" w:hAnsi="Arial" w:cs="Arial"/>
          <w:sz w:val="22"/>
          <w:szCs w:val="22"/>
        </w:rPr>
        <w:t xml:space="preserve">attrition of large cohorts, </w:t>
      </w:r>
      <w:r>
        <w:rPr>
          <w:rFonts w:ascii="Arial" w:hAnsi="Arial" w:cs="Arial"/>
          <w:sz w:val="22"/>
          <w:szCs w:val="22"/>
        </w:rPr>
        <w:t xml:space="preserve">as a sensitivity analysis </w:t>
      </w:r>
      <w:r w:rsidRPr="008F1DBA">
        <w:rPr>
          <w:rFonts w:ascii="Arial" w:hAnsi="Arial" w:cs="Arial"/>
          <w:sz w:val="22"/>
          <w:szCs w:val="22"/>
        </w:rPr>
        <w:t xml:space="preserve">we imputed up to 100 datasets and repeated the </w:t>
      </w:r>
      <w:r>
        <w:rPr>
          <w:rFonts w:ascii="Arial" w:hAnsi="Arial" w:cs="Arial"/>
          <w:sz w:val="22"/>
          <w:szCs w:val="22"/>
        </w:rPr>
        <w:t>analyses</w:t>
      </w:r>
      <w:r w:rsidRPr="008F1DBA">
        <w:rPr>
          <w:rFonts w:ascii="Arial" w:hAnsi="Arial" w:cs="Arial"/>
          <w:sz w:val="22"/>
          <w:szCs w:val="22"/>
        </w:rPr>
        <w:t>.</w:t>
      </w:r>
    </w:p>
    <w:p w:rsidR="007368F5" w:rsidRPr="00E750AA" w:rsidRDefault="007368F5" w:rsidP="00E750AA">
      <w:pPr>
        <w:pStyle w:val="NormalWeb"/>
        <w:shd w:val="clear" w:color="auto" w:fill="FFFFFF"/>
        <w:spacing w:before="0" w:beforeAutospacing="0" w:after="0" w:afterAutospacing="0" w:line="480" w:lineRule="auto"/>
        <w:ind w:firstLine="720"/>
        <w:rPr>
          <w:rFonts w:ascii="Arial" w:hAnsi="Arial" w:cs="Arial"/>
          <w:b/>
          <w:sz w:val="22"/>
          <w:szCs w:val="22"/>
        </w:rPr>
      </w:pPr>
      <w:r>
        <w:rPr>
          <w:rFonts w:ascii="Arial" w:hAnsi="Arial" w:cs="Arial"/>
          <w:sz w:val="22"/>
          <w:szCs w:val="22"/>
        </w:rPr>
        <w:t xml:space="preserve">We next used Mendelian randomization (MR) analyses of publicly-available summary data to confirm these findings in an independent sample. MR uses genetic variants as proxies for the exposure of interest to overcome problems of residual confounding and reverse causality </w:t>
      </w:r>
      <w:r>
        <w:rPr>
          <w:rFonts w:ascii="Arial" w:hAnsi="Arial" w:cs="Arial"/>
          <w:noProof/>
          <w:sz w:val="22"/>
          <w:szCs w:val="22"/>
        </w:rPr>
        <w:t>(Davey Smith &amp; Ebrahim, 2003; Davey Smith &amp; Hemani, 2014)</w:t>
      </w:r>
      <w:r>
        <w:rPr>
          <w:rFonts w:ascii="Arial" w:hAnsi="Arial" w:cs="Arial"/>
          <w:sz w:val="22"/>
          <w:szCs w:val="22"/>
        </w:rPr>
        <w:t xml:space="preserve">, allowing for stronger causal inference. This use of multiple methods, each with different and ideally uncorrelated strengths, limitations, and sources of bias allows the triangulation of results to support more robust causal inference </w:t>
      </w:r>
      <w:r>
        <w:rPr>
          <w:rFonts w:ascii="Arial" w:hAnsi="Arial" w:cs="Arial"/>
          <w:noProof/>
          <w:sz w:val="22"/>
          <w:szCs w:val="22"/>
        </w:rPr>
        <w:t>(Gage, Munafo, &amp; Davey Smith, 2016; Lawlor, Tilling, &amp; Davey Smith, 2016; Munafo &amp; Davey Smith, 2018)</w:t>
      </w:r>
      <w:r>
        <w:rPr>
          <w:rFonts w:ascii="Arial" w:hAnsi="Arial" w:cs="Arial"/>
          <w:sz w:val="22"/>
          <w:szCs w:val="22"/>
        </w:rPr>
        <w:t>.</w:t>
      </w:r>
    </w:p>
    <w:p w:rsidR="007368F5" w:rsidRDefault="007368F5" w:rsidP="00AA17AF">
      <w:pPr>
        <w:pStyle w:val="NormalWeb"/>
        <w:shd w:val="clear" w:color="auto" w:fill="FFFFFF"/>
        <w:spacing w:before="0" w:beforeAutospacing="0" w:after="0" w:afterAutospacing="0" w:line="480" w:lineRule="auto"/>
        <w:ind w:firstLine="720"/>
        <w:rPr>
          <w:rFonts w:ascii="Arial" w:hAnsi="Arial" w:cs="Arial"/>
          <w:b/>
        </w:rPr>
      </w:pPr>
    </w:p>
    <w:p w:rsidR="007368F5" w:rsidRDefault="007368F5" w:rsidP="00411234">
      <w:pPr>
        <w:spacing w:after="0" w:line="480" w:lineRule="auto"/>
        <w:jc w:val="center"/>
        <w:rPr>
          <w:rFonts w:ascii="Arial" w:hAnsi="Arial" w:cs="Arial"/>
          <w:b/>
        </w:rPr>
      </w:pPr>
      <w:r>
        <w:rPr>
          <w:rFonts w:ascii="Arial" w:hAnsi="Arial" w:cs="Arial"/>
          <w:b/>
        </w:rPr>
        <w:t>Study One</w:t>
      </w:r>
    </w:p>
    <w:p w:rsidR="007368F5" w:rsidRPr="00411234" w:rsidRDefault="007368F5" w:rsidP="00E750AA">
      <w:pPr>
        <w:spacing w:after="0" w:line="480" w:lineRule="auto"/>
        <w:rPr>
          <w:rFonts w:ascii="Arial" w:hAnsi="Arial" w:cs="Arial"/>
          <w:b/>
        </w:rPr>
      </w:pPr>
      <w:r>
        <w:rPr>
          <w:rFonts w:ascii="Arial" w:hAnsi="Arial" w:cs="Arial"/>
          <w:b/>
        </w:rPr>
        <w:t>Methods</w:t>
      </w:r>
    </w:p>
    <w:p w:rsidR="007368F5" w:rsidRPr="00411234" w:rsidRDefault="007368F5" w:rsidP="00E750AA">
      <w:pPr>
        <w:spacing w:after="0" w:line="480" w:lineRule="auto"/>
        <w:ind w:firstLine="720"/>
        <w:rPr>
          <w:rFonts w:ascii="Arial" w:hAnsi="Arial" w:cs="Arial"/>
        </w:rPr>
      </w:pPr>
      <w:r w:rsidRPr="00F90000">
        <w:rPr>
          <w:rFonts w:ascii="Arial" w:hAnsi="Arial" w:cs="Arial"/>
          <w:i/>
        </w:rPr>
        <w:t>Data sources.</w:t>
      </w:r>
      <w:r>
        <w:rPr>
          <w:rFonts w:ascii="Arial" w:hAnsi="Arial" w:cs="Arial"/>
        </w:rPr>
        <w:t xml:space="preserve"> </w:t>
      </w:r>
      <w:r w:rsidRPr="00411234">
        <w:rPr>
          <w:rFonts w:ascii="Arial" w:hAnsi="Arial" w:cs="Arial"/>
        </w:rPr>
        <w:t>The Avon Longitudinal Study of Parents and Children (ALSPAC) is a prospective, population-based pregnancy cohort study that recruited 14,541 pregnant women living in Avon, UK, with expected delivery dates between 1</w:t>
      </w:r>
      <w:r w:rsidRPr="00411234">
        <w:rPr>
          <w:rFonts w:ascii="Arial" w:hAnsi="Arial" w:cs="Arial"/>
          <w:vertAlign w:val="superscript"/>
        </w:rPr>
        <w:t>st</w:t>
      </w:r>
      <w:r w:rsidRPr="00411234">
        <w:rPr>
          <w:rFonts w:ascii="Arial" w:hAnsi="Arial" w:cs="Arial"/>
        </w:rPr>
        <w:t xml:space="preserve"> April 1991 and 31</w:t>
      </w:r>
      <w:r w:rsidRPr="00411234">
        <w:rPr>
          <w:rFonts w:ascii="Arial" w:hAnsi="Arial" w:cs="Arial"/>
          <w:vertAlign w:val="superscript"/>
        </w:rPr>
        <w:t>st</w:t>
      </w:r>
      <w:r w:rsidRPr="00411234">
        <w:rPr>
          <w:rFonts w:ascii="Arial" w:hAnsi="Arial" w:cs="Arial"/>
        </w:rPr>
        <w:t xml:space="preserve"> December 1992.</w:t>
      </w:r>
      <w:r>
        <w:rPr>
          <w:rFonts w:ascii="Arial" w:hAnsi="Arial" w:cs="Arial"/>
        </w:rPr>
        <w:t xml:space="preserve"> Of these initial pregnancies, there were a total of 14,062 live births, and 13,988 children were alive at one year of age.</w:t>
      </w:r>
      <w:r w:rsidRPr="00411234">
        <w:rPr>
          <w:rFonts w:ascii="Arial" w:hAnsi="Arial" w:cs="Arial"/>
        </w:rPr>
        <w:t xml:space="preserve"> The cohort has been described in detail previously </w:t>
      </w:r>
      <w:r>
        <w:rPr>
          <w:rFonts w:ascii="Arial" w:hAnsi="Arial" w:cs="Arial"/>
          <w:noProof/>
        </w:rPr>
        <w:t>(Boyd et al., 2013; Fraser et al., 2013)</w:t>
      </w:r>
      <w:r w:rsidRPr="00411234">
        <w:rPr>
          <w:rFonts w:ascii="Arial" w:hAnsi="Arial" w:cs="Arial"/>
        </w:rPr>
        <w:t xml:space="preserve">. Ethics approval for the study was obtained from the ALSPAC Ethics and Law Committee and the Local Research Ethics Committees. </w:t>
      </w:r>
      <w:r>
        <w:rPr>
          <w:rFonts w:ascii="Arial" w:hAnsi="Arial" w:cs="Arial"/>
        </w:rPr>
        <w:t>Please note that t</w:t>
      </w:r>
      <w:r w:rsidRPr="00411234">
        <w:rPr>
          <w:rFonts w:ascii="Arial" w:hAnsi="Arial" w:cs="Arial"/>
        </w:rPr>
        <w:t xml:space="preserve">he study website contains details of all the data </w:t>
      </w:r>
      <w:r>
        <w:rPr>
          <w:rFonts w:ascii="Arial" w:hAnsi="Arial" w:cs="Arial"/>
        </w:rPr>
        <w:t xml:space="preserve">that is </w:t>
      </w:r>
      <w:r w:rsidRPr="00411234">
        <w:rPr>
          <w:rFonts w:ascii="Arial" w:hAnsi="Arial" w:cs="Arial"/>
        </w:rPr>
        <w:t>available</w:t>
      </w:r>
      <w:r>
        <w:rPr>
          <w:rFonts w:ascii="Arial" w:hAnsi="Arial" w:cs="Arial"/>
        </w:rPr>
        <w:t>,</w:t>
      </w:r>
      <w:r w:rsidRPr="00411234">
        <w:rPr>
          <w:rFonts w:ascii="Arial" w:hAnsi="Arial" w:cs="Arial"/>
        </w:rPr>
        <w:t xml:space="preserve"> through a fully-searchable data dictionary</w:t>
      </w:r>
      <w:r>
        <w:rPr>
          <w:rFonts w:ascii="Arial" w:hAnsi="Arial" w:cs="Arial"/>
        </w:rPr>
        <w:t xml:space="preserve"> and variable search tool</w:t>
      </w:r>
      <w:r w:rsidRPr="00411234">
        <w:rPr>
          <w:rFonts w:ascii="Arial" w:hAnsi="Arial" w:cs="Arial"/>
        </w:rPr>
        <w:t xml:space="preserve"> (</w:t>
      </w:r>
      <w:hyperlink r:id="rId7" w:history="1">
        <w:r w:rsidRPr="00F1488E">
          <w:rPr>
            <w:rStyle w:val="Hyperlink"/>
            <w:rFonts w:ascii="Arial" w:hAnsi="Arial" w:cs="Arial"/>
          </w:rPr>
          <w:t>http://www.bris.ac.uk/alspac/researchers/our-data</w:t>
        </w:r>
      </w:hyperlink>
      <w:r w:rsidRPr="00411234">
        <w:rPr>
          <w:rFonts w:ascii="Arial" w:hAnsi="Arial" w:cs="Arial"/>
        </w:rPr>
        <w:t>).</w:t>
      </w:r>
    </w:p>
    <w:p w:rsidR="007368F5" w:rsidRPr="00411234" w:rsidRDefault="007368F5" w:rsidP="00E750AA">
      <w:pPr>
        <w:spacing w:after="0" w:line="480" w:lineRule="auto"/>
        <w:ind w:firstLine="720"/>
        <w:rPr>
          <w:rFonts w:ascii="Arial" w:hAnsi="Arial" w:cs="Arial"/>
        </w:rPr>
      </w:pPr>
      <w:r>
        <w:rPr>
          <w:rFonts w:ascii="Arial" w:hAnsi="Arial" w:cs="Arial"/>
        </w:rPr>
        <w:lastRenderedPageBreak/>
        <w:t>Smoking heaviness</w:t>
      </w:r>
      <w:r w:rsidRPr="00411234">
        <w:rPr>
          <w:rFonts w:ascii="Arial" w:hAnsi="Arial" w:cs="Arial"/>
        </w:rPr>
        <w:t xml:space="preserve"> was measured at age 15 via self-report questionnaire administered during attendance at a clinic session. Participants were asked ‘how many times have you smoked a cigarette in your lifetime?’ with the options never, 1-4, 5-20, 21-60, 61-100 and 101+ times.</w:t>
      </w:r>
    </w:p>
    <w:p w:rsidR="007368F5" w:rsidRPr="00411234" w:rsidRDefault="007368F5" w:rsidP="00411234">
      <w:pPr>
        <w:spacing w:after="0" w:line="480" w:lineRule="auto"/>
        <w:ind w:firstLine="720"/>
        <w:rPr>
          <w:rFonts w:ascii="Arial" w:hAnsi="Arial" w:cs="Arial"/>
        </w:rPr>
      </w:pPr>
      <w:r w:rsidRPr="00411234">
        <w:rPr>
          <w:rFonts w:ascii="Arial" w:hAnsi="Arial" w:cs="Arial"/>
        </w:rPr>
        <w:t>At age 15, participants were administered the Vocabulary and Matrix Reasoning subsections of the Wech</w:t>
      </w:r>
      <w:r>
        <w:rPr>
          <w:rFonts w:ascii="Arial" w:hAnsi="Arial" w:cs="Arial"/>
        </w:rPr>
        <w:t>s</w:t>
      </w:r>
      <w:r w:rsidRPr="00411234">
        <w:rPr>
          <w:rFonts w:ascii="Arial" w:hAnsi="Arial" w:cs="Arial"/>
        </w:rPr>
        <w:t>ler Abbreviated Scale of Intelligence</w:t>
      </w:r>
      <w:r>
        <w:rPr>
          <w:rFonts w:ascii="Arial" w:hAnsi="Arial" w:cs="Arial"/>
        </w:rPr>
        <w:t xml:space="preserve"> (WASI) </w:t>
      </w:r>
      <w:r>
        <w:rPr>
          <w:rFonts w:ascii="Arial" w:hAnsi="Arial" w:cs="Arial"/>
          <w:noProof/>
        </w:rPr>
        <w:t>(Wechsler, 1999)</w:t>
      </w:r>
      <w:r w:rsidRPr="00411234">
        <w:rPr>
          <w:rFonts w:ascii="Arial" w:hAnsi="Arial" w:cs="Arial"/>
        </w:rPr>
        <w:t xml:space="preserve">. </w:t>
      </w:r>
      <w:r>
        <w:rPr>
          <w:rFonts w:ascii="Arial" w:hAnsi="Arial" w:cs="Arial"/>
        </w:rPr>
        <w:t>General cognitive ability</w:t>
      </w:r>
      <w:r w:rsidRPr="00411234">
        <w:rPr>
          <w:rFonts w:ascii="Arial" w:hAnsi="Arial" w:cs="Arial"/>
        </w:rPr>
        <w:t xml:space="preserve"> was calculated for each individu</w:t>
      </w:r>
      <w:r>
        <w:rPr>
          <w:rFonts w:ascii="Arial" w:hAnsi="Arial" w:cs="Arial"/>
        </w:rPr>
        <w:t>al, adjusted for age. Scores</w:t>
      </w:r>
      <w:r w:rsidRPr="00411234">
        <w:rPr>
          <w:rFonts w:ascii="Arial" w:hAnsi="Arial" w:cs="Arial"/>
        </w:rPr>
        <w:t xml:space="preserve"> were rescaled around the complete-case sample to a mean of 100 and a standard deviation of 15. </w:t>
      </w:r>
      <w:r>
        <w:rPr>
          <w:rFonts w:ascii="Arial" w:hAnsi="Arial" w:cs="Arial"/>
        </w:rPr>
        <w:t>General cognitive ability</w:t>
      </w:r>
      <w:r w:rsidRPr="00411234">
        <w:rPr>
          <w:rFonts w:ascii="Arial" w:hAnsi="Arial" w:cs="Arial"/>
        </w:rPr>
        <w:t xml:space="preserve"> was also measured via the Wechsler Intelligence Scale for Children 3</w:t>
      </w:r>
      <w:r w:rsidRPr="00411234">
        <w:rPr>
          <w:rFonts w:ascii="Arial" w:hAnsi="Arial" w:cs="Arial"/>
          <w:vertAlign w:val="superscript"/>
        </w:rPr>
        <w:t>rd</w:t>
      </w:r>
      <w:r w:rsidRPr="00411234">
        <w:rPr>
          <w:rFonts w:ascii="Arial" w:hAnsi="Arial" w:cs="Arial"/>
        </w:rPr>
        <w:t xml:space="preserve"> Edition </w:t>
      </w:r>
      <w:r>
        <w:rPr>
          <w:rFonts w:ascii="Arial" w:hAnsi="Arial" w:cs="Arial"/>
          <w:noProof/>
        </w:rPr>
        <w:t>(Wechsler, Golombok, &amp; Rust, 1992)</w:t>
      </w:r>
      <w:r w:rsidRPr="00411234">
        <w:rPr>
          <w:rFonts w:ascii="Arial" w:hAnsi="Arial" w:cs="Arial"/>
        </w:rPr>
        <w:t xml:space="preserve"> at clinic at age 8.</w:t>
      </w:r>
    </w:p>
    <w:p w:rsidR="007368F5" w:rsidRPr="00411234" w:rsidRDefault="007368F5" w:rsidP="00411234">
      <w:pPr>
        <w:spacing w:after="0" w:line="480" w:lineRule="auto"/>
        <w:ind w:firstLine="720"/>
        <w:rPr>
          <w:rFonts w:ascii="Arial" w:hAnsi="Arial" w:cs="Arial"/>
        </w:rPr>
      </w:pPr>
      <w:r w:rsidRPr="00411234">
        <w:rPr>
          <w:rFonts w:ascii="Arial" w:hAnsi="Arial" w:cs="Arial"/>
        </w:rPr>
        <w:t>In England, children attending state-maintained schools are educated in line with the National Curriculum, which is split in to a series of ‘Key Stages’ assessed by compulsory teacher assessments of national tests (</w:t>
      </w:r>
      <w:hyperlink r:id="rId8" w:history="1">
        <w:r w:rsidRPr="00411234">
          <w:rPr>
            <w:rStyle w:val="Hyperlink"/>
            <w:rFonts w:ascii="Arial" w:hAnsi="Arial" w:cs="Arial"/>
          </w:rPr>
          <w:t>www.gov.uk/national-curriculum/overview</w:t>
        </w:r>
      </w:hyperlink>
      <w:r w:rsidRPr="00411234">
        <w:rPr>
          <w:rFonts w:ascii="Arial" w:hAnsi="Arial" w:cs="Arial"/>
        </w:rPr>
        <w:t xml:space="preserve">). Data linkage between ALSPAC </w:t>
      </w:r>
      <w:r>
        <w:rPr>
          <w:rFonts w:ascii="Arial" w:hAnsi="Arial" w:cs="Arial"/>
        </w:rPr>
        <w:t>and the National Pupil Database</w:t>
      </w:r>
      <w:r w:rsidRPr="00411234">
        <w:rPr>
          <w:rFonts w:ascii="Arial" w:hAnsi="Arial" w:cs="Arial"/>
        </w:rPr>
        <w:t xml:space="preserve"> (a central repository for pupil-level educational data in England) provided educational assessment data for participants who attended state-funded school at Key Stage 4 (age 16). Data linkage was performed by a third-party company and checked by the ALSPAC team (for further information, see </w:t>
      </w:r>
      <w:hyperlink r:id="rId9" w:history="1">
        <w:r>
          <w:rPr>
            <w:rStyle w:val="Hyperlink"/>
          </w:rPr>
          <w:t>http://www.bristol.ac.uk/alspac/researchers/our-data/linkage/</w:t>
        </w:r>
      </w:hyperlink>
      <w:r w:rsidRPr="00411234">
        <w:rPr>
          <w:rFonts w:ascii="Arial" w:hAnsi="Arial" w:cs="Arial"/>
        </w:rPr>
        <w:t xml:space="preserve">). Educational </w:t>
      </w:r>
      <w:r>
        <w:rPr>
          <w:rFonts w:ascii="Arial" w:hAnsi="Arial" w:cs="Arial"/>
        </w:rPr>
        <w:t>attainment</w:t>
      </w:r>
      <w:r w:rsidRPr="00411234">
        <w:rPr>
          <w:rFonts w:ascii="Arial" w:hAnsi="Arial" w:cs="Arial"/>
        </w:rPr>
        <w:t xml:space="preserve"> at the age of 16 was quantified using a standard capped scoring method (see </w:t>
      </w:r>
      <w:hyperlink r:id="rId10" w:history="1">
        <w:r w:rsidRPr="00411234">
          <w:rPr>
            <w:rStyle w:val="Hyperlink"/>
            <w:rFonts w:ascii="Arial" w:hAnsi="Arial" w:cs="Arial"/>
          </w:rPr>
          <w:t>http://nationalpupildatabase.wikispaces.com/KS4</w:t>
        </w:r>
      </w:hyperlink>
      <w:r w:rsidRPr="00411234">
        <w:rPr>
          <w:rFonts w:ascii="Arial" w:hAnsi="Arial" w:cs="Arial"/>
        </w:rPr>
        <w:t>) in which grades achieved at General Certificate of Secondary Education (GCSE) or equivalent for their best eight subject</w:t>
      </w:r>
      <w:r>
        <w:rPr>
          <w:rFonts w:ascii="Arial" w:hAnsi="Arial" w:cs="Arial"/>
        </w:rPr>
        <w:t>s</w:t>
      </w:r>
      <w:r w:rsidRPr="00411234">
        <w:rPr>
          <w:rFonts w:ascii="Arial" w:hAnsi="Arial" w:cs="Arial"/>
        </w:rPr>
        <w:t xml:space="preserve"> were converted to a numerical score (A*</w:t>
      </w:r>
      <w:r>
        <w:rPr>
          <w:rFonts w:ascii="Arial" w:hAnsi="Arial" w:cs="Arial"/>
        </w:rPr>
        <w:t xml:space="preserve"> </w:t>
      </w:r>
      <w:r w:rsidRPr="00411234">
        <w:rPr>
          <w:rFonts w:ascii="Arial" w:hAnsi="Arial" w:cs="Arial"/>
        </w:rPr>
        <w:t>=</w:t>
      </w:r>
      <w:r>
        <w:rPr>
          <w:rFonts w:ascii="Arial" w:hAnsi="Arial" w:cs="Arial"/>
        </w:rPr>
        <w:t xml:space="preserve"> </w:t>
      </w:r>
      <w:r w:rsidRPr="00411234">
        <w:rPr>
          <w:rFonts w:ascii="Arial" w:hAnsi="Arial" w:cs="Arial"/>
        </w:rPr>
        <w:t>58 point</w:t>
      </w:r>
      <w:r>
        <w:rPr>
          <w:rFonts w:ascii="Arial" w:hAnsi="Arial" w:cs="Arial"/>
        </w:rPr>
        <w:t>s</w:t>
      </w:r>
      <w:r w:rsidRPr="00411234">
        <w:rPr>
          <w:rFonts w:ascii="Arial" w:hAnsi="Arial" w:cs="Arial"/>
        </w:rPr>
        <w:t xml:space="preserve"> … G</w:t>
      </w:r>
      <w:r>
        <w:rPr>
          <w:rFonts w:ascii="Arial" w:hAnsi="Arial" w:cs="Arial"/>
        </w:rPr>
        <w:t xml:space="preserve"> </w:t>
      </w:r>
      <w:r w:rsidRPr="00411234">
        <w:rPr>
          <w:rFonts w:ascii="Arial" w:hAnsi="Arial" w:cs="Arial"/>
        </w:rPr>
        <w:t>=</w:t>
      </w:r>
      <w:r>
        <w:rPr>
          <w:rFonts w:ascii="Arial" w:hAnsi="Arial" w:cs="Arial"/>
        </w:rPr>
        <w:t xml:space="preserve"> </w:t>
      </w:r>
      <w:r w:rsidRPr="00411234">
        <w:rPr>
          <w:rFonts w:ascii="Arial" w:hAnsi="Arial" w:cs="Arial"/>
        </w:rPr>
        <w:t>16 points) and summed. Capped scores (max</w:t>
      </w:r>
      <w:r>
        <w:rPr>
          <w:rFonts w:ascii="Arial" w:hAnsi="Arial" w:cs="Arial"/>
        </w:rPr>
        <w:t xml:space="preserve">imum </w:t>
      </w:r>
      <w:r w:rsidRPr="00411234">
        <w:rPr>
          <w:rFonts w:ascii="Arial" w:hAnsi="Arial" w:cs="Arial"/>
        </w:rPr>
        <w:t>=</w:t>
      </w:r>
      <w:r>
        <w:rPr>
          <w:rFonts w:ascii="Arial" w:hAnsi="Arial" w:cs="Arial"/>
        </w:rPr>
        <w:t xml:space="preserve"> </w:t>
      </w:r>
      <w:r w:rsidRPr="00411234">
        <w:rPr>
          <w:rFonts w:ascii="Arial" w:hAnsi="Arial" w:cs="Arial"/>
        </w:rPr>
        <w:t>464) were converted to a percentage for each individual.</w:t>
      </w:r>
    </w:p>
    <w:p w:rsidR="007368F5" w:rsidRPr="00411234" w:rsidRDefault="007368F5" w:rsidP="00411234">
      <w:pPr>
        <w:spacing w:after="0" w:line="480" w:lineRule="auto"/>
        <w:ind w:firstLine="720"/>
        <w:rPr>
          <w:rFonts w:ascii="Arial" w:hAnsi="Arial" w:cs="Arial"/>
        </w:rPr>
      </w:pPr>
      <w:r w:rsidRPr="00411234">
        <w:rPr>
          <w:rFonts w:ascii="Arial" w:hAnsi="Arial" w:cs="Arial"/>
        </w:rPr>
        <w:t xml:space="preserve">A number of covariates were included that may confound the association between smoking and </w:t>
      </w:r>
      <w:r>
        <w:rPr>
          <w:rFonts w:ascii="Arial" w:hAnsi="Arial" w:cs="Arial"/>
        </w:rPr>
        <w:t>general cognitive ability or educational attainment</w:t>
      </w:r>
      <w:r w:rsidRPr="00411234">
        <w:rPr>
          <w:rFonts w:ascii="Arial" w:hAnsi="Arial" w:cs="Arial"/>
        </w:rPr>
        <w:t xml:space="preserve">. These were chosen after studying previous literature and in line with Mokrysz </w:t>
      </w:r>
      <w:r>
        <w:rPr>
          <w:rFonts w:ascii="Arial" w:hAnsi="Arial" w:cs="Arial"/>
        </w:rPr>
        <w:t>and colleagues</w:t>
      </w:r>
      <w:r w:rsidRPr="00411234">
        <w:rPr>
          <w:rFonts w:ascii="Arial" w:hAnsi="Arial" w:cs="Arial"/>
        </w:rPr>
        <w:t xml:space="preserve"> </w:t>
      </w:r>
      <w:r>
        <w:rPr>
          <w:rFonts w:ascii="Arial" w:hAnsi="Arial" w:cs="Arial"/>
          <w:noProof/>
        </w:rPr>
        <w:t>(Mokrysz et al., 2016)</w:t>
      </w:r>
      <w:r w:rsidRPr="00411234">
        <w:rPr>
          <w:rFonts w:ascii="Arial" w:hAnsi="Arial" w:cs="Arial"/>
        </w:rPr>
        <w:t>. They were concept</w:t>
      </w:r>
      <w:r>
        <w:rPr>
          <w:rFonts w:ascii="Arial" w:hAnsi="Arial" w:cs="Arial"/>
        </w:rPr>
        <w:t>ua</w:t>
      </w:r>
      <w:r w:rsidRPr="00411234">
        <w:rPr>
          <w:rFonts w:ascii="Arial" w:hAnsi="Arial" w:cs="Arial"/>
        </w:rPr>
        <w:t xml:space="preserve">lised </w:t>
      </w:r>
      <w:r>
        <w:rPr>
          <w:rFonts w:ascii="Arial" w:hAnsi="Arial" w:cs="Arial"/>
        </w:rPr>
        <w:t>as follows. M</w:t>
      </w:r>
      <w:r w:rsidRPr="00411234">
        <w:rPr>
          <w:rFonts w:ascii="Arial" w:hAnsi="Arial" w:cs="Arial"/>
        </w:rPr>
        <w:t>aternal and pre-birth covariates: maternal education, offspring gender, maternal depression during pregnancy, maternal alcohol, cannabis and tobacco use during pregnancy, all assessed via maternal questionnaire during pregnancy. Childhood covariates: hyperactivity and conduct problems at age 11, assessed via the strengths and difficulties questionnaire</w:t>
      </w:r>
      <w:r>
        <w:rPr>
          <w:rFonts w:ascii="Arial" w:hAnsi="Arial" w:cs="Arial"/>
        </w:rPr>
        <w:t xml:space="preserve"> </w:t>
      </w:r>
      <w:r>
        <w:rPr>
          <w:rFonts w:ascii="Arial" w:hAnsi="Arial" w:cs="Arial"/>
          <w:noProof/>
        </w:rPr>
        <w:t>(Goodman, 1997)</w:t>
      </w:r>
      <w:r w:rsidRPr="00411234">
        <w:rPr>
          <w:rFonts w:ascii="Arial" w:hAnsi="Arial" w:cs="Arial"/>
        </w:rPr>
        <w:t>; depression at age 12, assessed via the moods and feelings questionnaire</w:t>
      </w:r>
      <w:r>
        <w:rPr>
          <w:rFonts w:ascii="Arial" w:hAnsi="Arial" w:cs="Arial"/>
        </w:rPr>
        <w:t xml:space="preserve"> </w:t>
      </w:r>
      <w:r>
        <w:rPr>
          <w:rFonts w:ascii="Arial" w:hAnsi="Arial" w:cs="Arial"/>
          <w:noProof/>
        </w:rPr>
        <w:t>(Costello &amp; Angold, 1988)</w:t>
      </w:r>
      <w:r w:rsidRPr="00411234">
        <w:rPr>
          <w:rFonts w:ascii="Arial" w:hAnsi="Arial" w:cs="Arial"/>
        </w:rPr>
        <w:t>; psychotic experiences at age 12, assessed via the PLIKS semi-structured interview</w:t>
      </w:r>
      <w:r>
        <w:rPr>
          <w:rFonts w:ascii="Arial" w:hAnsi="Arial" w:cs="Arial"/>
        </w:rPr>
        <w:t xml:space="preserve"> </w:t>
      </w:r>
      <w:r>
        <w:rPr>
          <w:rFonts w:ascii="Arial" w:hAnsi="Arial" w:cs="Arial"/>
          <w:noProof/>
        </w:rPr>
        <w:t>(Zammit et al., 2009)</w:t>
      </w:r>
      <w:r w:rsidRPr="00411234">
        <w:rPr>
          <w:rFonts w:ascii="Arial" w:hAnsi="Arial" w:cs="Arial"/>
        </w:rPr>
        <w:t>; suspected truancy at age 14 assessed via maternal questionnaire. Substance use: alcohol, cannabis and other illicit drug use measured at age 15 in the same session as the exposure.</w:t>
      </w:r>
    </w:p>
    <w:p w:rsidR="007368F5" w:rsidRDefault="007368F5" w:rsidP="00E750AA">
      <w:pPr>
        <w:spacing w:after="0" w:line="480" w:lineRule="auto"/>
        <w:ind w:firstLine="720"/>
        <w:rPr>
          <w:rFonts w:ascii="Arial" w:hAnsi="Arial" w:cs="Arial"/>
        </w:rPr>
      </w:pPr>
      <w:r w:rsidRPr="00E750AA">
        <w:rPr>
          <w:rFonts w:ascii="Arial" w:hAnsi="Arial" w:cs="Arial"/>
          <w:i/>
        </w:rPr>
        <w:t>Statistical analyses.</w:t>
      </w:r>
      <w:r>
        <w:rPr>
          <w:rFonts w:ascii="Arial" w:hAnsi="Arial" w:cs="Arial"/>
        </w:rPr>
        <w:t xml:space="preserve"> </w:t>
      </w:r>
      <w:r w:rsidRPr="00411234">
        <w:rPr>
          <w:rFonts w:ascii="Arial" w:hAnsi="Arial" w:cs="Arial"/>
        </w:rPr>
        <w:t>Linear regression was used to assess the association between cigarette smoking at age 15 and</w:t>
      </w:r>
      <w:r>
        <w:rPr>
          <w:rFonts w:ascii="Arial" w:hAnsi="Arial" w:cs="Arial"/>
        </w:rPr>
        <w:t xml:space="preserve"> both:</w:t>
      </w:r>
      <w:r w:rsidRPr="00411234">
        <w:rPr>
          <w:rFonts w:ascii="Arial" w:hAnsi="Arial" w:cs="Arial"/>
        </w:rPr>
        <w:t xml:space="preserve"> a) </w:t>
      </w:r>
      <w:r>
        <w:rPr>
          <w:rFonts w:ascii="Arial" w:hAnsi="Arial" w:cs="Arial"/>
        </w:rPr>
        <w:t>general cognitive ability</w:t>
      </w:r>
      <w:r w:rsidRPr="00411234">
        <w:rPr>
          <w:rFonts w:ascii="Arial" w:hAnsi="Arial" w:cs="Arial"/>
        </w:rPr>
        <w:t xml:space="preserve"> at age 15</w:t>
      </w:r>
      <w:r>
        <w:rPr>
          <w:rFonts w:ascii="Arial" w:hAnsi="Arial" w:cs="Arial"/>
        </w:rPr>
        <w:t>,</w:t>
      </w:r>
      <w:r w:rsidRPr="00411234">
        <w:rPr>
          <w:rFonts w:ascii="Arial" w:hAnsi="Arial" w:cs="Arial"/>
        </w:rPr>
        <w:t xml:space="preserve"> </w:t>
      </w:r>
      <w:r>
        <w:rPr>
          <w:rFonts w:ascii="Arial" w:hAnsi="Arial" w:cs="Arial"/>
        </w:rPr>
        <w:t>and</w:t>
      </w:r>
      <w:r w:rsidRPr="00411234">
        <w:rPr>
          <w:rFonts w:ascii="Arial" w:hAnsi="Arial" w:cs="Arial"/>
        </w:rPr>
        <w:t xml:space="preserve"> b) educational attainment at age 16, before and after </w:t>
      </w:r>
      <w:r>
        <w:rPr>
          <w:rFonts w:ascii="Arial" w:hAnsi="Arial" w:cs="Arial"/>
        </w:rPr>
        <w:t>adjustment for</w:t>
      </w:r>
      <w:r w:rsidRPr="00411234">
        <w:rPr>
          <w:rFonts w:ascii="Arial" w:hAnsi="Arial" w:cs="Arial"/>
        </w:rPr>
        <w:t xml:space="preserve"> potential confounders. </w:t>
      </w:r>
      <w:r>
        <w:rPr>
          <w:rFonts w:ascii="Arial" w:hAnsi="Arial" w:cs="Arial"/>
        </w:rPr>
        <w:t xml:space="preserve">Consistent with the work of Mokrysz and colleagues </w:t>
      </w:r>
      <w:r>
        <w:rPr>
          <w:rFonts w:ascii="Arial" w:hAnsi="Arial" w:cs="Arial"/>
          <w:noProof/>
        </w:rPr>
        <w:t>(Mokrysz et al., 2016)</w:t>
      </w:r>
      <w:r>
        <w:rPr>
          <w:rFonts w:ascii="Arial" w:hAnsi="Arial" w:cs="Arial"/>
        </w:rPr>
        <w:t xml:space="preserve"> w</w:t>
      </w:r>
      <w:r w:rsidRPr="00411234">
        <w:rPr>
          <w:rFonts w:ascii="Arial" w:hAnsi="Arial" w:cs="Arial"/>
        </w:rPr>
        <w:t xml:space="preserve">e excluded individuals who had maternal report of a head injury that </w:t>
      </w:r>
      <w:r w:rsidRPr="00411234">
        <w:rPr>
          <w:rFonts w:ascii="Arial" w:hAnsi="Arial" w:cs="Arial"/>
        </w:rPr>
        <w:lastRenderedPageBreak/>
        <w:t>resulted in unconsciousness</w:t>
      </w:r>
      <w:r>
        <w:rPr>
          <w:rFonts w:ascii="Arial" w:hAnsi="Arial" w:cs="Arial"/>
        </w:rPr>
        <w:t xml:space="preserve"> due to the likelihood of impact on cognitive development </w:t>
      </w:r>
      <w:r>
        <w:rPr>
          <w:rFonts w:ascii="Arial" w:hAnsi="Arial" w:cs="Arial"/>
          <w:noProof/>
        </w:rPr>
        <w:t>(Azouvi, Arnould, Dromer, &amp; Vallat-Azouvi, 2017)</w:t>
      </w:r>
      <w:r w:rsidRPr="00411234">
        <w:rPr>
          <w:rFonts w:ascii="Arial" w:hAnsi="Arial" w:cs="Arial"/>
        </w:rPr>
        <w:t xml:space="preserve">. Furthermore, we excluded any participant who responded ‘yes’ to the question ‘have you ever used </w:t>
      </w:r>
      <w:proofErr w:type="spellStart"/>
      <w:r w:rsidRPr="00411234">
        <w:rPr>
          <w:rFonts w:ascii="Arial" w:hAnsi="Arial" w:cs="Arial"/>
        </w:rPr>
        <w:t>spangle</w:t>
      </w:r>
      <w:r>
        <w:rPr>
          <w:rFonts w:ascii="Arial" w:hAnsi="Arial" w:cs="Arial"/>
        </w:rPr>
        <w:t>r</w:t>
      </w:r>
      <w:r w:rsidRPr="00411234">
        <w:rPr>
          <w:rFonts w:ascii="Arial" w:hAnsi="Arial" w:cs="Arial"/>
        </w:rPr>
        <w:t>s</w:t>
      </w:r>
      <w:proofErr w:type="spellEnd"/>
      <w:r w:rsidRPr="00411234">
        <w:rPr>
          <w:rFonts w:ascii="Arial" w:hAnsi="Arial" w:cs="Arial"/>
        </w:rPr>
        <w:t>’ (a fictitious recreational drug added to the questionnaire as a quality control</w:t>
      </w:r>
      <w:r>
        <w:rPr>
          <w:rFonts w:ascii="Arial" w:hAnsi="Arial" w:cs="Arial"/>
        </w:rPr>
        <w:t xml:space="preserve"> check</w:t>
      </w:r>
      <w:r w:rsidRPr="00411234">
        <w:rPr>
          <w:rFonts w:ascii="Arial" w:hAnsi="Arial" w:cs="Arial"/>
        </w:rPr>
        <w:t xml:space="preserve">). We attempted to minimise the impact of reverse causation by initially adjusting for pre-existing </w:t>
      </w:r>
      <w:r>
        <w:rPr>
          <w:rFonts w:ascii="Arial" w:hAnsi="Arial" w:cs="Arial"/>
        </w:rPr>
        <w:t>general cognitive ability</w:t>
      </w:r>
      <w:r w:rsidRPr="00411234">
        <w:rPr>
          <w:rFonts w:ascii="Arial" w:hAnsi="Arial" w:cs="Arial"/>
        </w:rPr>
        <w:t xml:space="preserve"> (in the </w:t>
      </w:r>
      <w:r>
        <w:rPr>
          <w:rFonts w:ascii="Arial" w:hAnsi="Arial" w:cs="Arial"/>
        </w:rPr>
        <w:t>general cognitive ability</w:t>
      </w:r>
      <w:r w:rsidRPr="00411234">
        <w:rPr>
          <w:rFonts w:ascii="Arial" w:hAnsi="Arial" w:cs="Arial"/>
        </w:rPr>
        <w:t xml:space="preserve"> analyses) or earlier educational attainment (in the education analyses) (model 2). We assessed the impact of confounding by comparing unadjusted estimates (model 1) to those adjusting for pre-birth confounders (model 3) and childhood confounders (model 4). We further adjusted for cannabis (model 5a), alcohol (5b) and illicit drugs (5c), before finally running a fully adjusted model</w:t>
      </w:r>
      <w:r>
        <w:rPr>
          <w:rFonts w:ascii="Arial" w:hAnsi="Arial" w:cs="Arial"/>
        </w:rPr>
        <w:t xml:space="preserve"> including cannabis, alcohol and illicit drugs together</w:t>
      </w:r>
      <w:r w:rsidRPr="00411234">
        <w:rPr>
          <w:rFonts w:ascii="Arial" w:hAnsi="Arial" w:cs="Arial"/>
        </w:rPr>
        <w:t xml:space="preserve"> (6). This approach was used to elucidate the specific impact of the </w:t>
      </w:r>
      <w:r>
        <w:rPr>
          <w:rFonts w:ascii="Arial" w:hAnsi="Arial" w:cs="Arial"/>
        </w:rPr>
        <w:t xml:space="preserve">covariates, given that in our previous work we have found that these variables are highly correlated with each other, and therefore that their individual impact on the strength of the association could be informative </w:t>
      </w:r>
      <w:r>
        <w:rPr>
          <w:rFonts w:ascii="Arial" w:hAnsi="Arial" w:cs="Arial"/>
          <w:noProof/>
        </w:rPr>
        <w:t>(e.g. Gage et al., 2015)</w:t>
      </w:r>
      <w:r w:rsidRPr="00411234">
        <w:rPr>
          <w:rFonts w:ascii="Arial" w:hAnsi="Arial" w:cs="Arial"/>
        </w:rPr>
        <w:t>. All analyses were conducted in Stata version 13 (</w:t>
      </w:r>
      <w:proofErr w:type="spellStart"/>
      <w:r w:rsidRPr="00411234">
        <w:rPr>
          <w:rFonts w:ascii="Arial" w:hAnsi="Arial" w:cs="Arial"/>
        </w:rPr>
        <w:t>StataCorp</w:t>
      </w:r>
      <w:proofErr w:type="spellEnd"/>
      <w:r w:rsidRPr="00411234">
        <w:rPr>
          <w:rFonts w:ascii="Arial" w:hAnsi="Arial" w:cs="Arial"/>
        </w:rPr>
        <w:t xml:space="preserve"> LP, College Station, TX). The complete case sample N for both analyses was 2</w:t>
      </w:r>
      <w:r>
        <w:rPr>
          <w:rFonts w:ascii="Arial" w:hAnsi="Arial" w:cs="Arial"/>
        </w:rPr>
        <w:t>,</w:t>
      </w:r>
      <w:r w:rsidRPr="00411234">
        <w:rPr>
          <w:rFonts w:ascii="Arial" w:hAnsi="Arial" w:cs="Arial"/>
        </w:rPr>
        <w:t>107.</w:t>
      </w:r>
    </w:p>
    <w:p w:rsidR="007368F5" w:rsidRDefault="007368F5" w:rsidP="0048042E">
      <w:pPr>
        <w:spacing w:after="0" w:line="480" w:lineRule="auto"/>
        <w:ind w:firstLine="720"/>
        <w:rPr>
          <w:rFonts w:ascii="Arial" w:hAnsi="Arial" w:cs="Arial"/>
        </w:rPr>
      </w:pPr>
      <w:r w:rsidRPr="0048042E">
        <w:rPr>
          <w:rFonts w:ascii="Arial" w:hAnsi="Arial" w:cs="Arial"/>
          <w:i/>
        </w:rPr>
        <w:t>Sensitivity Analyse</w:t>
      </w:r>
      <w:r>
        <w:rPr>
          <w:rFonts w:ascii="Arial" w:hAnsi="Arial" w:cs="Arial"/>
          <w:i/>
        </w:rPr>
        <w:t xml:space="preserve">s. </w:t>
      </w:r>
      <w:r w:rsidRPr="00411234">
        <w:rPr>
          <w:rFonts w:ascii="Arial" w:hAnsi="Arial" w:cs="Arial"/>
        </w:rPr>
        <w:t xml:space="preserve">In order to investigate whether selection bias due to attrition could be impacting on the complete case analysis, multiple imputation with chained equations up to the outcome </w:t>
      </w:r>
      <w:r>
        <w:rPr>
          <w:rFonts w:ascii="Arial" w:hAnsi="Arial" w:cs="Arial"/>
        </w:rPr>
        <w:t>sample size</w:t>
      </w:r>
      <w:r w:rsidRPr="00411234">
        <w:rPr>
          <w:rFonts w:ascii="Arial" w:hAnsi="Arial" w:cs="Arial"/>
        </w:rPr>
        <w:t xml:space="preserve"> was carried out for each analysis. An interaction term was included to allow us to account for earlier head injury </w:t>
      </w:r>
      <w:r>
        <w:rPr>
          <w:rFonts w:ascii="Arial" w:hAnsi="Arial" w:cs="Arial"/>
          <w:noProof/>
        </w:rPr>
        <w:t>(Gage et al., 2015)</w:t>
      </w:r>
      <w:r w:rsidRPr="00411234">
        <w:rPr>
          <w:rFonts w:ascii="Arial" w:hAnsi="Arial" w:cs="Arial"/>
        </w:rPr>
        <w:t>. We imputed up to 100 datasets, using approximately 50 auxiliary variables to predict missing values. These included further pre-birth and childhood variables, other measures of intelligence or cognition, and earlier substance use measures. The imputed sample N was 4</w:t>
      </w:r>
      <w:r>
        <w:rPr>
          <w:rFonts w:ascii="Arial" w:hAnsi="Arial" w:cs="Arial"/>
        </w:rPr>
        <w:t>,</w:t>
      </w:r>
      <w:r w:rsidRPr="00411234">
        <w:rPr>
          <w:rFonts w:ascii="Arial" w:hAnsi="Arial" w:cs="Arial"/>
        </w:rPr>
        <w:t xml:space="preserve">954 for the </w:t>
      </w:r>
      <w:r>
        <w:rPr>
          <w:rFonts w:ascii="Arial" w:hAnsi="Arial" w:cs="Arial"/>
        </w:rPr>
        <w:t>general cognitive ability</w:t>
      </w:r>
      <w:r w:rsidRPr="00411234">
        <w:rPr>
          <w:rFonts w:ascii="Arial" w:hAnsi="Arial" w:cs="Arial"/>
        </w:rPr>
        <w:t xml:space="preserve"> analysis, and 12</w:t>
      </w:r>
      <w:r>
        <w:rPr>
          <w:rFonts w:ascii="Arial" w:hAnsi="Arial" w:cs="Arial"/>
        </w:rPr>
        <w:t>,</w:t>
      </w:r>
      <w:r w:rsidRPr="00411234">
        <w:rPr>
          <w:rFonts w:ascii="Arial" w:hAnsi="Arial" w:cs="Arial"/>
        </w:rPr>
        <w:t>004 for the education analysis (as this variable was from linkage data and therefore available on many more individuals).</w:t>
      </w:r>
    </w:p>
    <w:p w:rsidR="007368F5" w:rsidRPr="00411234" w:rsidRDefault="007368F5" w:rsidP="00EC0AFE">
      <w:pPr>
        <w:spacing w:after="0" w:line="480" w:lineRule="auto"/>
        <w:rPr>
          <w:rFonts w:ascii="Arial" w:hAnsi="Arial" w:cs="Arial"/>
        </w:rPr>
      </w:pPr>
    </w:p>
    <w:p w:rsidR="007368F5" w:rsidRPr="00411234" w:rsidRDefault="007368F5" w:rsidP="00E750AA">
      <w:pPr>
        <w:spacing w:after="0" w:line="480" w:lineRule="auto"/>
        <w:rPr>
          <w:rFonts w:ascii="Arial" w:hAnsi="Arial" w:cs="Arial"/>
          <w:b/>
        </w:rPr>
      </w:pPr>
      <w:r w:rsidRPr="00411234">
        <w:rPr>
          <w:rFonts w:ascii="Arial" w:hAnsi="Arial" w:cs="Arial"/>
          <w:b/>
        </w:rPr>
        <w:t>Results</w:t>
      </w:r>
    </w:p>
    <w:p w:rsidR="007368F5" w:rsidRDefault="007368F5" w:rsidP="00E750AA">
      <w:pPr>
        <w:spacing w:after="0" w:line="480" w:lineRule="auto"/>
        <w:ind w:firstLine="720"/>
        <w:rPr>
          <w:rFonts w:ascii="Arial" w:hAnsi="Arial" w:cs="Arial"/>
        </w:rPr>
      </w:pPr>
      <w:r w:rsidRPr="00411234">
        <w:rPr>
          <w:rFonts w:ascii="Arial" w:hAnsi="Arial" w:cs="Arial"/>
        </w:rPr>
        <w:lastRenderedPageBreak/>
        <w:t xml:space="preserve">At age 15, 28.5% of the complete case sample </w:t>
      </w:r>
      <w:r>
        <w:rPr>
          <w:rFonts w:ascii="Arial" w:hAnsi="Arial" w:cs="Arial"/>
        </w:rPr>
        <w:t xml:space="preserve">of 2,107 individuals </w:t>
      </w:r>
      <w:r w:rsidRPr="00411234">
        <w:rPr>
          <w:rFonts w:ascii="Arial" w:hAnsi="Arial" w:cs="Arial"/>
        </w:rPr>
        <w:t xml:space="preserve">reported having smoked a cigarette, and 7.5% reported smoking more than 100 times. Table 1 shows the </w:t>
      </w:r>
      <w:r>
        <w:rPr>
          <w:rFonts w:ascii="Arial" w:hAnsi="Arial" w:cs="Arial"/>
        </w:rPr>
        <w:t>descriptive statistics of</w:t>
      </w:r>
      <w:r w:rsidRPr="00411234">
        <w:rPr>
          <w:rFonts w:ascii="Arial" w:hAnsi="Arial" w:cs="Arial"/>
        </w:rPr>
        <w:t xml:space="preserve"> the covariates included in the model</w:t>
      </w:r>
      <w:r>
        <w:rPr>
          <w:rFonts w:ascii="Arial" w:hAnsi="Arial" w:cs="Arial"/>
        </w:rPr>
        <w:t>, stratified by heaviness of smoking</w:t>
      </w:r>
      <w:r w:rsidRPr="00411234">
        <w:rPr>
          <w:rFonts w:ascii="Arial" w:hAnsi="Arial" w:cs="Arial"/>
        </w:rPr>
        <w:t xml:space="preserve">. </w:t>
      </w:r>
      <w:r>
        <w:rPr>
          <w:rFonts w:ascii="Arial" w:hAnsi="Arial" w:cs="Arial"/>
        </w:rPr>
        <w:t>S</w:t>
      </w:r>
      <w:r w:rsidRPr="00411234">
        <w:rPr>
          <w:rFonts w:ascii="Arial" w:hAnsi="Arial" w:cs="Arial"/>
        </w:rPr>
        <w:t>moking was associated with all co</w:t>
      </w:r>
      <w:r>
        <w:rPr>
          <w:rFonts w:ascii="Arial" w:hAnsi="Arial" w:cs="Arial"/>
        </w:rPr>
        <w:t>variates</w:t>
      </w:r>
      <w:r w:rsidRPr="00411234">
        <w:rPr>
          <w:rFonts w:ascii="Arial" w:hAnsi="Arial" w:cs="Arial"/>
        </w:rPr>
        <w:t xml:space="preserve"> other than maternal depressive symptoms.</w:t>
      </w:r>
    </w:p>
    <w:p w:rsidR="007368F5" w:rsidRDefault="007368F5" w:rsidP="00411234">
      <w:pPr>
        <w:spacing w:after="0" w:line="480" w:lineRule="auto"/>
        <w:ind w:firstLine="720"/>
        <w:rPr>
          <w:rFonts w:ascii="Arial" w:hAnsi="Arial" w:cs="Arial"/>
        </w:rPr>
      </w:pPr>
    </w:p>
    <w:p w:rsidR="007368F5" w:rsidRPr="00411234" w:rsidRDefault="007368F5" w:rsidP="00411234">
      <w:pPr>
        <w:spacing w:after="0" w:line="480" w:lineRule="auto"/>
        <w:ind w:firstLine="720"/>
        <w:rPr>
          <w:rFonts w:ascii="Arial" w:hAnsi="Arial" w:cs="Arial"/>
        </w:rPr>
      </w:pPr>
      <w:r>
        <w:rPr>
          <w:rFonts w:ascii="Arial" w:hAnsi="Arial" w:cs="Arial"/>
        </w:rPr>
        <w:t>Insert Table 1 about here.</w:t>
      </w:r>
    </w:p>
    <w:p w:rsidR="007368F5" w:rsidRDefault="007368F5" w:rsidP="00411234">
      <w:pPr>
        <w:spacing w:after="0" w:line="480" w:lineRule="auto"/>
        <w:rPr>
          <w:rFonts w:ascii="Arial" w:hAnsi="Arial" w:cs="Arial"/>
        </w:rPr>
      </w:pPr>
    </w:p>
    <w:p w:rsidR="007368F5" w:rsidRDefault="007368F5" w:rsidP="00EF0E82">
      <w:pPr>
        <w:spacing w:after="0" w:line="480" w:lineRule="auto"/>
        <w:rPr>
          <w:rFonts w:ascii="Arial" w:hAnsi="Arial" w:cs="Arial"/>
        </w:rPr>
      </w:pPr>
      <w:r w:rsidRPr="00E750AA">
        <w:rPr>
          <w:rFonts w:ascii="Arial" w:hAnsi="Arial" w:cs="Arial"/>
          <w:i/>
        </w:rPr>
        <w:t>General cognitive ability</w:t>
      </w:r>
      <w:r>
        <w:rPr>
          <w:rFonts w:ascii="Arial" w:hAnsi="Arial" w:cs="Arial"/>
        </w:rPr>
        <w:t xml:space="preserve"> </w:t>
      </w:r>
      <w:r w:rsidRPr="00823E78">
        <w:rPr>
          <w:rFonts w:ascii="Arial" w:hAnsi="Arial" w:cs="Arial"/>
          <w:i/>
          <w:iCs/>
        </w:rPr>
        <w:t>(observational analysis in ALSPAC)</w:t>
      </w:r>
    </w:p>
    <w:p w:rsidR="007368F5" w:rsidRDefault="007368F5" w:rsidP="00EF0E82">
      <w:pPr>
        <w:spacing w:after="0" w:line="480" w:lineRule="auto"/>
        <w:ind w:firstLine="720"/>
        <w:rPr>
          <w:rFonts w:ascii="Arial" w:hAnsi="Arial" w:cs="Arial"/>
        </w:rPr>
      </w:pPr>
      <w:r>
        <w:rPr>
          <w:rFonts w:ascii="Arial" w:hAnsi="Arial" w:cs="Arial"/>
        </w:rPr>
        <w:t>Heaviness of smoking</w:t>
      </w:r>
      <w:r w:rsidRPr="00411234">
        <w:rPr>
          <w:rFonts w:ascii="Arial" w:hAnsi="Arial" w:cs="Arial"/>
        </w:rPr>
        <w:t xml:space="preserve"> at age 15 was associated with </w:t>
      </w:r>
      <w:r>
        <w:rPr>
          <w:rFonts w:ascii="Arial" w:hAnsi="Arial" w:cs="Arial"/>
        </w:rPr>
        <w:t>a</w:t>
      </w:r>
      <w:r w:rsidRPr="00411234">
        <w:rPr>
          <w:rFonts w:ascii="Arial" w:hAnsi="Arial" w:cs="Arial"/>
        </w:rPr>
        <w:t xml:space="preserve"> reduction</w:t>
      </w:r>
      <w:r>
        <w:rPr>
          <w:rFonts w:ascii="Arial" w:hAnsi="Arial" w:cs="Arial"/>
        </w:rPr>
        <w:t xml:space="preserve"> in general cognitive ability</w:t>
      </w:r>
      <w:r w:rsidRPr="00411234">
        <w:rPr>
          <w:rFonts w:ascii="Arial" w:hAnsi="Arial" w:cs="Arial"/>
        </w:rPr>
        <w:t xml:space="preserve"> of 1.4 </w:t>
      </w:r>
      <w:r>
        <w:rPr>
          <w:rFonts w:ascii="Arial" w:hAnsi="Arial" w:cs="Arial"/>
        </w:rPr>
        <w:t xml:space="preserve">IQ </w:t>
      </w:r>
      <w:r w:rsidRPr="00411234">
        <w:rPr>
          <w:rFonts w:ascii="Arial" w:hAnsi="Arial" w:cs="Arial"/>
        </w:rPr>
        <w:t>points per increase in category of</w:t>
      </w:r>
      <w:r>
        <w:rPr>
          <w:rFonts w:ascii="Arial" w:hAnsi="Arial" w:cs="Arial"/>
        </w:rPr>
        <w:t xml:space="preserve"> smoking heaviness (95% CI -1.77 to</w:t>
      </w:r>
      <w:r w:rsidRPr="00411234">
        <w:rPr>
          <w:rFonts w:ascii="Arial" w:hAnsi="Arial" w:cs="Arial"/>
        </w:rPr>
        <w:t xml:space="preserve"> -</w:t>
      </w:r>
      <w:r>
        <w:rPr>
          <w:rFonts w:ascii="Arial" w:hAnsi="Arial" w:cs="Arial"/>
        </w:rPr>
        <w:t>0</w:t>
      </w:r>
      <w:r w:rsidRPr="00411234">
        <w:rPr>
          <w:rFonts w:ascii="Arial" w:hAnsi="Arial" w:cs="Arial"/>
        </w:rPr>
        <w:t>.</w:t>
      </w:r>
      <w:r>
        <w:rPr>
          <w:rFonts w:ascii="Arial" w:hAnsi="Arial" w:cs="Arial"/>
        </w:rPr>
        <w:t>95</w:t>
      </w:r>
      <w:r w:rsidRPr="00411234">
        <w:rPr>
          <w:rFonts w:ascii="Arial" w:hAnsi="Arial" w:cs="Arial"/>
        </w:rPr>
        <w:t>)</w:t>
      </w:r>
      <w:r>
        <w:rPr>
          <w:rFonts w:ascii="Arial" w:hAnsi="Arial" w:cs="Arial"/>
        </w:rPr>
        <w:t>, in an unadjusted analysis</w:t>
      </w:r>
      <w:r w:rsidRPr="00411234">
        <w:rPr>
          <w:rFonts w:ascii="Arial" w:hAnsi="Arial" w:cs="Arial"/>
        </w:rPr>
        <w:t xml:space="preserve">. After adjustment for earlier </w:t>
      </w:r>
      <w:r>
        <w:rPr>
          <w:rFonts w:ascii="Arial" w:hAnsi="Arial" w:cs="Arial"/>
        </w:rPr>
        <w:t>general cognitive ability</w:t>
      </w:r>
      <w:r w:rsidRPr="00411234">
        <w:rPr>
          <w:rFonts w:ascii="Arial" w:hAnsi="Arial" w:cs="Arial"/>
        </w:rPr>
        <w:t xml:space="preserve">, the </w:t>
      </w:r>
      <w:r>
        <w:rPr>
          <w:rFonts w:ascii="Arial" w:hAnsi="Arial" w:cs="Arial"/>
        </w:rPr>
        <w:t xml:space="preserve">magnitude of this </w:t>
      </w:r>
      <w:r w:rsidRPr="00411234">
        <w:rPr>
          <w:rFonts w:ascii="Arial" w:hAnsi="Arial" w:cs="Arial"/>
        </w:rPr>
        <w:t xml:space="preserve">association attenuated by over a third, </w:t>
      </w:r>
      <w:r>
        <w:rPr>
          <w:rFonts w:ascii="Arial" w:hAnsi="Arial" w:cs="Arial"/>
        </w:rPr>
        <w:t>although</w:t>
      </w:r>
      <w:r w:rsidRPr="00411234">
        <w:rPr>
          <w:rFonts w:ascii="Arial" w:hAnsi="Arial" w:cs="Arial"/>
        </w:rPr>
        <w:t xml:space="preserve"> </w:t>
      </w:r>
      <w:r>
        <w:rPr>
          <w:rFonts w:ascii="Arial" w:hAnsi="Arial" w:cs="Arial"/>
        </w:rPr>
        <w:t xml:space="preserve">evidence of an association </w:t>
      </w:r>
      <w:r w:rsidRPr="00411234">
        <w:rPr>
          <w:rFonts w:ascii="Arial" w:hAnsi="Arial" w:cs="Arial"/>
        </w:rPr>
        <w:t xml:space="preserve">remained strong. Further adjustment for pre-birth and childhood confounders attenuated the association slightly further, </w:t>
      </w:r>
      <w:r>
        <w:rPr>
          <w:rFonts w:ascii="Arial" w:hAnsi="Arial" w:cs="Arial"/>
        </w:rPr>
        <w:t>but again</w:t>
      </w:r>
      <w:r w:rsidRPr="00411234">
        <w:rPr>
          <w:rFonts w:ascii="Arial" w:hAnsi="Arial" w:cs="Arial"/>
        </w:rPr>
        <w:t xml:space="preserve"> strong evidence of an association remained. The addition of cannabis</w:t>
      </w:r>
      <w:r>
        <w:rPr>
          <w:rFonts w:ascii="Arial" w:hAnsi="Arial" w:cs="Arial"/>
        </w:rPr>
        <w:t>,</w:t>
      </w:r>
      <w:r w:rsidRPr="00411234">
        <w:rPr>
          <w:rFonts w:ascii="Arial" w:hAnsi="Arial" w:cs="Arial"/>
        </w:rPr>
        <w:t xml:space="preserve"> alcohol </w:t>
      </w:r>
      <w:r>
        <w:rPr>
          <w:rFonts w:ascii="Arial" w:hAnsi="Arial" w:cs="Arial"/>
        </w:rPr>
        <w:t>or</w:t>
      </w:r>
      <w:r w:rsidRPr="00411234">
        <w:rPr>
          <w:rFonts w:ascii="Arial" w:hAnsi="Arial" w:cs="Arial"/>
        </w:rPr>
        <w:t xml:space="preserve"> other illicit drugs slightly increased</w:t>
      </w:r>
      <w:r>
        <w:rPr>
          <w:rFonts w:ascii="Arial" w:hAnsi="Arial" w:cs="Arial"/>
        </w:rPr>
        <w:t xml:space="preserve"> (model 5a and 5b) or</w:t>
      </w:r>
      <w:r w:rsidRPr="00411234">
        <w:rPr>
          <w:rFonts w:ascii="Arial" w:hAnsi="Arial" w:cs="Arial"/>
        </w:rPr>
        <w:t xml:space="preserve"> decreased</w:t>
      </w:r>
      <w:r>
        <w:rPr>
          <w:rFonts w:ascii="Arial" w:hAnsi="Arial" w:cs="Arial"/>
        </w:rPr>
        <w:t xml:space="preserve"> (model 5c) </w:t>
      </w:r>
      <w:r w:rsidRPr="00411234">
        <w:rPr>
          <w:rFonts w:ascii="Arial" w:hAnsi="Arial" w:cs="Arial"/>
        </w:rPr>
        <w:t>the size of the association. The fu</w:t>
      </w:r>
      <w:r>
        <w:rPr>
          <w:rFonts w:ascii="Arial" w:hAnsi="Arial" w:cs="Arial"/>
        </w:rPr>
        <w:t xml:space="preserve">lly adjusted model suggested a </w:t>
      </w:r>
      <w:r w:rsidRPr="00411234">
        <w:rPr>
          <w:rFonts w:ascii="Arial" w:hAnsi="Arial" w:cs="Arial"/>
        </w:rPr>
        <w:t xml:space="preserve">reduction </w:t>
      </w:r>
      <w:r>
        <w:rPr>
          <w:rFonts w:ascii="Arial" w:hAnsi="Arial" w:cs="Arial"/>
        </w:rPr>
        <w:t>in general cognitive ability</w:t>
      </w:r>
      <w:r w:rsidRPr="00411234">
        <w:rPr>
          <w:rFonts w:ascii="Arial" w:hAnsi="Arial" w:cs="Arial"/>
        </w:rPr>
        <w:t xml:space="preserve"> of 0.7 </w:t>
      </w:r>
      <w:r>
        <w:rPr>
          <w:rFonts w:ascii="Arial" w:hAnsi="Arial" w:cs="Arial"/>
        </w:rPr>
        <w:t xml:space="preserve">IQ </w:t>
      </w:r>
      <w:r w:rsidRPr="00411234">
        <w:rPr>
          <w:rFonts w:ascii="Arial" w:hAnsi="Arial" w:cs="Arial"/>
        </w:rPr>
        <w:t>points per increase in category of</w:t>
      </w:r>
      <w:r>
        <w:rPr>
          <w:rFonts w:ascii="Arial" w:hAnsi="Arial" w:cs="Arial"/>
        </w:rPr>
        <w:t xml:space="preserve"> smoking heaviness (e.g., between those who responded ‘never’ and those who responded ‘1-4 times’). This equates to a difference of 3.5 IQ points between never smokers and those who had smoked 101+ cigarettes at the point the questionnaire was administered (95% CI -1.24 to</w:t>
      </w:r>
      <w:r w:rsidRPr="00411234">
        <w:rPr>
          <w:rFonts w:ascii="Arial" w:hAnsi="Arial" w:cs="Arial"/>
        </w:rPr>
        <w:t xml:space="preserve"> -0.2</w:t>
      </w:r>
      <w:r>
        <w:rPr>
          <w:rFonts w:ascii="Arial" w:hAnsi="Arial" w:cs="Arial"/>
        </w:rPr>
        <w:t>3</w:t>
      </w:r>
      <w:r w:rsidRPr="00411234">
        <w:rPr>
          <w:rFonts w:ascii="Arial" w:hAnsi="Arial" w:cs="Arial"/>
        </w:rPr>
        <w:t>).</w:t>
      </w:r>
      <w:r>
        <w:rPr>
          <w:rFonts w:ascii="Arial" w:hAnsi="Arial" w:cs="Arial"/>
        </w:rPr>
        <w:t xml:space="preserve"> The results are shown in T</w:t>
      </w:r>
      <w:r w:rsidRPr="00411234">
        <w:rPr>
          <w:rFonts w:ascii="Arial" w:hAnsi="Arial" w:cs="Arial"/>
        </w:rPr>
        <w:t>able 2.</w:t>
      </w:r>
    </w:p>
    <w:p w:rsidR="007368F5" w:rsidRDefault="007368F5" w:rsidP="00411234">
      <w:pPr>
        <w:spacing w:after="0" w:line="480" w:lineRule="auto"/>
        <w:ind w:firstLine="720"/>
        <w:rPr>
          <w:rFonts w:ascii="Arial" w:hAnsi="Arial" w:cs="Arial"/>
        </w:rPr>
      </w:pPr>
    </w:p>
    <w:p w:rsidR="007368F5" w:rsidRPr="00411234" w:rsidRDefault="007368F5" w:rsidP="00411234">
      <w:pPr>
        <w:spacing w:after="0" w:line="480" w:lineRule="auto"/>
        <w:ind w:firstLine="720"/>
        <w:rPr>
          <w:rFonts w:ascii="Arial" w:hAnsi="Arial" w:cs="Arial"/>
        </w:rPr>
      </w:pPr>
      <w:r>
        <w:rPr>
          <w:rFonts w:ascii="Arial" w:hAnsi="Arial" w:cs="Arial"/>
        </w:rPr>
        <w:t>Insert Table 2 about here.</w:t>
      </w:r>
    </w:p>
    <w:p w:rsidR="007368F5" w:rsidRDefault="007368F5" w:rsidP="00411234">
      <w:pPr>
        <w:spacing w:after="0" w:line="480" w:lineRule="auto"/>
        <w:rPr>
          <w:rFonts w:ascii="Arial" w:hAnsi="Arial" w:cs="Arial"/>
        </w:rPr>
      </w:pPr>
    </w:p>
    <w:p w:rsidR="007368F5" w:rsidRDefault="007368F5" w:rsidP="00EF0E82">
      <w:pPr>
        <w:spacing w:after="0" w:line="480" w:lineRule="auto"/>
        <w:rPr>
          <w:rFonts w:ascii="Arial" w:hAnsi="Arial" w:cs="Arial"/>
        </w:rPr>
      </w:pPr>
      <w:r w:rsidRPr="00E750AA">
        <w:rPr>
          <w:rFonts w:ascii="Arial" w:hAnsi="Arial" w:cs="Arial"/>
          <w:i/>
        </w:rPr>
        <w:t>Educational attainment</w:t>
      </w:r>
      <w:r>
        <w:rPr>
          <w:rFonts w:ascii="Arial" w:hAnsi="Arial" w:cs="Arial"/>
        </w:rPr>
        <w:t xml:space="preserve"> </w:t>
      </w:r>
      <w:r w:rsidRPr="00C24C95">
        <w:rPr>
          <w:rFonts w:ascii="Arial" w:hAnsi="Arial" w:cs="Arial"/>
          <w:i/>
          <w:iCs/>
        </w:rPr>
        <w:t>(observational analysis in ALSPAC)</w:t>
      </w:r>
    </w:p>
    <w:p w:rsidR="007368F5" w:rsidRDefault="007368F5" w:rsidP="00EF0E82">
      <w:pPr>
        <w:spacing w:after="0" w:line="480" w:lineRule="auto"/>
        <w:ind w:firstLine="720"/>
        <w:rPr>
          <w:rFonts w:ascii="Arial" w:hAnsi="Arial" w:cs="Arial"/>
        </w:rPr>
      </w:pPr>
      <w:r>
        <w:rPr>
          <w:rFonts w:ascii="Arial" w:hAnsi="Arial" w:cs="Arial"/>
        </w:rPr>
        <w:t>Heaviness of smoking</w:t>
      </w:r>
      <w:r w:rsidRPr="00411234">
        <w:rPr>
          <w:rFonts w:ascii="Arial" w:hAnsi="Arial" w:cs="Arial"/>
        </w:rPr>
        <w:t xml:space="preserve"> was associated with a 2.5 percentage point decrease in education</w:t>
      </w:r>
      <w:r>
        <w:rPr>
          <w:rFonts w:ascii="Arial" w:hAnsi="Arial" w:cs="Arial"/>
        </w:rPr>
        <w:t>al attainment</w:t>
      </w:r>
      <w:r w:rsidRPr="00411234">
        <w:rPr>
          <w:rFonts w:ascii="Arial" w:hAnsi="Arial" w:cs="Arial"/>
        </w:rPr>
        <w:t xml:space="preserve"> scor</w:t>
      </w:r>
      <w:r>
        <w:rPr>
          <w:rFonts w:ascii="Arial" w:hAnsi="Arial" w:cs="Arial"/>
        </w:rPr>
        <w:t>e per increase in category of smoking heaviness</w:t>
      </w:r>
      <w:r w:rsidRPr="00411234">
        <w:rPr>
          <w:rFonts w:ascii="Arial" w:hAnsi="Arial" w:cs="Arial"/>
        </w:rPr>
        <w:t xml:space="preserve"> in </w:t>
      </w:r>
      <w:r>
        <w:rPr>
          <w:rFonts w:ascii="Arial" w:hAnsi="Arial" w:cs="Arial"/>
        </w:rPr>
        <w:t>the</w:t>
      </w:r>
      <w:r w:rsidRPr="00411234">
        <w:rPr>
          <w:rFonts w:ascii="Arial" w:hAnsi="Arial" w:cs="Arial"/>
        </w:rPr>
        <w:t xml:space="preserve"> </w:t>
      </w:r>
      <w:r w:rsidRPr="00411234">
        <w:rPr>
          <w:rFonts w:ascii="Arial" w:hAnsi="Arial" w:cs="Arial"/>
        </w:rPr>
        <w:lastRenderedPageBreak/>
        <w:t>unad</w:t>
      </w:r>
      <w:r>
        <w:rPr>
          <w:rFonts w:ascii="Arial" w:hAnsi="Arial" w:cs="Arial"/>
        </w:rPr>
        <w:t>justed analysis. This equates to a 12.5 percentage point difference between never smokers and those who had smoked 101+ cigarettes (95% CI -2.87 to</w:t>
      </w:r>
      <w:r w:rsidRPr="00411234">
        <w:rPr>
          <w:rFonts w:ascii="Arial" w:hAnsi="Arial" w:cs="Arial"/>
        </w:rPr>
        <w:t xml:space="preserve"> -2.</w:t>
      </w:r>
      <w:r>
        <w:rPr>
          <w:rFonts w:ascii="Arial" w:hAnsi="Arial" w:cs="Arial"/>
        </w:rPr>
        <w:t>17</w:t>
      </w:r>
      <w:r w:rsidRPr="00411234">
        <w:rPr>
          <w:rFonts w:ascii="Arial" w:hAnsi="Arial" w:cs="Arial"/>
        </w:rPr>
        <w:t>).</w:t>
      </w:r>
      <w:r>
        <w:rPr>
          <w:rFonts w:ascii="Arial" w:hAnsi="Arial" w:cs="Arial"/>
        </w:rPr>
        <w:t xml:space="preserve"> A </w:t>
      </w:r>
      <w:proofErr w:type="gramStart"/>
      <w:r>
        <w:rPr>
          <w:rFonts w:ascii="Arial" w:hAnsi="Arial" w:cs="Arial"/>
        </w:rPr>
        <w:t>6 point</w:t>
      </w:r>
      <w:proofErr w:type="gramEnd"/>
      <w:r>
        <w:rPr>
          <w:rFonts w:ascii="Arial" w:hAnsi="Arial" w:cs="Arial"/>
        </w:rPr>
        <w:t xml:space="preserve"> change in score is roughly equivalent to one grade change in one GCSE examination </w:t>
      </w:r>
      <w:r>
        <w:rPr>
          <w:rFonts w:ascii="Arial" w:hAnsi="Arial" w:cs="Arial"/>
          <w:noProof/>
        </w:rPr>
        <w:t>(Lessof et al., 2018)</w:t>
      </w:r>
      <w:r>
        <w:rPr>
          <w:rFonts w:ascii="Arial" w:hAnsi="Arial" w:cs="Arial"/>
        </w:rPr>
        <w:t>.</w:t>
      </w:r>
      <w:r w:rsidRPr="00411234">
        <w:rPr>
          <w:rFonts w:ascii="Arial" w:hAnsi="Arial" w:cs="Arial"/>
        </w:rPr>
        <w:t xml:space="preserve"> </w:t>
      </w:r>
      <w:r>
        <w:rPr>
          <w:rFonts w:ascii="Arial" w:hAnsi="Arial" w:cs="Arial"/>
        </w:rPr>
        <w:t>As for</w:t>
      </w:r>
      <w:r w:rsidRPr="00411234">
        <w:rPr>
          <w:rFonts w:ascii="Arial" w:hAnsi="Arial" w:cs="Arial"/>
        </w:rPr>
        <w:t xml:space="preserve"> associations with </w:t>
      </w:r>
      <w:r>
        <w:rPr>
          <w:rFonts w:ascii="Arial" w:hAnsi="Arial" w:cs="Arial"/>
        </w:rPr>
        <w:t>general cognitive ability</w:t>
      </w:r>
      <w:r w:rsidRPr="00411234">
        <w:rPr>
          <w:rFonts w:ascii="Arial" w:hAnsi="Arial" w:cs="Arial"/>
        </w:rPr>
        <w:t>, the effect size attenuated substant</w:t>
      </w:r>
      <w:r>
        <w:rPr>
          <w:rFonts w:ascii="Arial" w:hAnsi="Arial" w:cs="Arial"/>
        </w:rPr>
        <w:t>ially after adjustment for earlier</w:t>
      </w:r>
      <w:r w:rsidRPr="00411234">
        <w:rPr>
          <w:rFonts w:ascii="Arial" w:hAnsi="Arial" w:cs="Arial"/>
        </w:rPr>
        <w:t xml:space="preserve"> educational attainment. </w:t>
      </w:r>
      <w:r>
        <w:rPr>
          <w:rFonts w:ascii="Arial" w:hAnsi="Arial" w:cs="Arial"/>
        </w:rPr>
        <w:t>A</w:t>
      </w:r>
      <w:r w:rsidRPr="00411234">
        <w:rPr>
          <w:rFonts w:ascii="Arial" w:hAnsi="Arial" w:cs="Arial"/>
        </w:rPr>
        <w:t xml:space="preserve">djustment for </w:t>
      </w:r>
      <w:r>
        <w:rPr>
          <w:rFonts w:ascii="Arial" w:hAnsi="Arial" w:cs="Arial"/>
        </w:rPr>
        <w:t xml:space="preserve">childhood covariates and </w:t>
      </w:r>
      <w:r w:rsidRPr="00411234">
        <w:rPr>
          <w:rFonts w:ascii="Arial" w:hAnsi="Arial" w:cs="Arial"/>
        </w:rPr>
        <w:t xml:space="preserve">substance use further attenuated the associations, although strong evidence of an association remained. </w:t>
      </w:r>
      <w:r>
        <w:rPr>
          <w:rFonts w:ascii="Arial" w:hAnsi="Arial" w:cs="Arial"/>
        </w:rPr>
        <w:t>T</w:t>
      </w:r>
      <w:r w:rsidRPr="00411234">
        <w:rPr>
          <w:rFonts w:ascii="Arial" w:hAnsi="Arial" w:cs="Arial"/>
        </w:rPr>
        <w:t>he fully adjusted model</w:t>
      </w:r>
      <w:r>
        <w:rPr>
          <w:rFonts w:ascii="Arial" w:hAnsi="Arial" w:cs="Arial"/>
        </w:rPr>
        <w:t xml:space="preserve"> (model 6) indicated </w:t>
      </w:r>
      <w:r w:rsidRPr="00411234">
        <w:rPr>
          <w:rFonts w:ascii="Arial" w:hAnsi="Arial" w:cs="Arial"/>
        </w:rPr>
        <w:t xml:space="preserve">a 1.3 percentage point decrease in education score associated with each increase in </w:t>
      </w:r>
      <w:r>
        <w:rPr>
          <w:rFonts w:ascii="Arial" w:hAnsi="Arial" w:cs="Arial"/>
        </w:rPr>
        <w:t>smoking heavin</w:t>
      </w:r>
      <w:r w:rsidRPr="00411234">
        <w:rPr>
          <w:rFonts w:ascii="Arial" w:hAnsi="Arial" w:cs="Arial"/>
        </w:rPr>
        <w:t>e</w:t>
      </w:r>
      <w:r>
        <w:rPr>
          <w:rFonts w:ascii="Arial" w:hAnsi="Arial" w:cs="Arial"/>
        </w:rPr>
        <w:t>ss</w:t>
      </w:r>
      <w:r w:rsidRPr="00411234">
        <w:rPr>
          <w:rFonts w:ascii="Arial" w:hAnsi="Arial" w:cs="Arial"/>
        </w:rPr>
        <w:t xml:space="preserve"> category (95% CI </w:t>
      </w:r>
      <w:r>
        <w:rPr>
          <w:rFonts w:ascii="Arial" w:hAnsi="Arial" w:cs="Arial"/>
        </w:rPr>
        <w:t>-1.60 to</w:t>
      </w:r>
      <w:r w:rsidRPr="00411234">
        <w:rPr>
          <w:rFonts w:ascii="Arial" w:hAnsi="Arial" w:cs="Arial"/>
        </w:rPr>
        <w:t xml:space="preserve"> -0.91).</w:t>
      </w:r>
      <w:r>
        <w:rPr>
          <w:rFonts w:ascii="Arial" w:hAnsi="Arial" w:cs="Arial"/>
        </w:rPr>
        <w:t xml:space="preserve"> These results are shown in T</w:t>
      </w:r>
      <w:r w:rsidRPr="00411234">
        <w:rPr>
          <w:rFonts w:ascii="Arial" w:hAnsi="Arial" w:cs="Arial"/>
        </w:rPr>
        <w:t>able 3.</w:t>
      </w:r>
    </w:p>
    <w:p w:rsidR="007368F5" w:rsidRDefault="007368F5" w:rsidP="00411234">
      <w:pPr>
        <w:spacing w:after="0" w:line="480" w:lineRule="auto"/>
        <w:ind w:firstLine="720"/>
        <w:rPr>
          <w:rFonts w:ascii="Arial" w:hAnsi="Arial" w:cs="Arial"/>
        </w:rPr>
      </w:pPr>
    </w:p>
    <w:p w:rsidR="007368F5" w:rsidRPr="00411234" w:rsidRDefault="007368F5" w:rsidP="00411234">
      <w:pPr>
        <w:spacing w:after="0" w:line="480" w:lineRule="auto"/>
        <w:ind w:firstLine="720"/>
        <w:rPr>
          <w:rFonts w:ascii="Arial" w:hAnsi="Arial" w:cs="Arial"/>
        </w:rPr>
      </w:pPr>
      <w:r>
        <w:rPr>
          <w:rFonts w:ascii="Arial" w:hAnsi="Arial" w:cs="Arial"/>
        </w:rPr>
        <w:t>Insert Table 3 about here.</w:t>
      </w:r>
    </w:p>
    <w:p w:rsidR="007368F5" w:rsidRDefault="007368F5" w:rsidP="00EF0E82">
      <w:pPr>
        <w:spacing w:after="0" w:line="480" w:lineRule="auto"/>
        <w:rPr>
          <w:rFonts w:ascii="Arial" w:hAnsi="Arial" w:cs="Arial"/>
        </w:rPr>
      </w:pPr>
    </w:p>
    <w:p w:rsidR="007368F5" w:rsidRDefault="007368F5" w:rsidP="00EF0E82">
      <w:pPr>
        <w:spacing w:after="0" w:line="480" w:lineRule="auto"/>
        <w:rPr>
          <w:rFonts w:ascii="Arial" w:hAnsi="Arial" w:cs="Arial"/>
        </w:rPr>
      </w:pPr>
      <w:r w:rsidRPr="00E750AA">
        <w:rPr>
          <w:rFonts w:ascii="Arial" w:hAnsi="Arial" w:cs="Arial"/>
          <w:i/>
        </w:rPr>
        <w:t>Multiple imputation.</w:t>
      </w:r>
      <w:r>
        <w:rPr>
          <w:rFonts w:ascii="Arial" w:hAnsi="Arial" w:cs="Arial"/>
        </w:rPr>
        <w:t xml:space="preserve"> </w:t>
      </w:r>
    </w:p>
    <w:p w:rsidR="007368F5" w:rsidRPr="00411234" w:rsidRDefault="007368F5" w:rsidP="00EF0E82">
      <w:pPr>
        <w:spacing w:after="0" w:line="480" w:lineRule="auto"/>
        <w:ind w:firstLine="720"/>
        <w:rPr>
          <w:rFonts w:ascii="Arial" w:hAnsi="Arial" w:cs="Arial"/>
        </w:rPr>
      </w:pPr>
      <w:r w:rsidRPr="00411234">
        <w:rPr>
          <w:rFonts w:ascii="Arial" w:hAnsi="Arial" w:cs="Arial"/>
        </w:rPr>
        <w:lastRenderedPageBreak/>
        <w:t xml:space="preserve">In the 100 imputed datasets, unadjusted associations between cigarette use </w:t>
      </w:r>
      <w:r>
        <w:rPr>
          <w:rFonts w:ascii="Arial" w:hAnsi="Arial" w:cs="Arial"/>
        </w:rPr>
        <w:t xml:space="preserve">and cognitive ability </w:t>
      </w:r>
      <w:r w:rsidRPr="00411234">
        <w:rPr>
          <w:rFonts w:ascii="Arial" w:hAnsi="Arial" w:cs="Arial"/>
        </w:rPr>
        <w:t xml:space="preserve">were </w:t>
      </w:r>
      <w:r>
        <w:rPr>
          <w:rFonts w:ascii="Arial" w:hAnsi="Arial" w:cs="Arial"/>
        </w:rPr>
        <w:t xml:space="preserve">somewhat </w:t>
      </w:r>
      <w:r w:rsidRPr="00411234">
        <w:rPr>
          <w:rFonts w:ascii="Arial" w:hAnsi="Arial" w:cs="Arial"/>
        </w:rPr>
        <w:t>smaller in magnitude than those seen in the complete case analysis (effe</w:t>
      </w:r>
      <w:r>
        <w:rPr>
          <w:rFonts w:ascii="Arial" w:hAnsi="Arial" w:cs="Arial"/>
        </w:rPr>
        <w:t>ct estimate -1.17, 95% CI -1.43 to</w:t>
      </w:r>
      <w:r w:rsidRPr="00411234">
        <w:rPr>
          <w:rFonts w:ascii="Arial" w:hAnsi="Arial" w:cs="Arial"/>
        </w:rPr>
        <w:t xml:space="preserve"> -0.92). Adjustment for </w:t>
      </w:r>
      <w:r>
        <w:rPr>
          <w:rFonts w:ascii="Arial" w:hAnsi="Arial" w:cs="Arial"/>
        </w:rPr>
        <w:t xml:space="preserve">pre-birth and childhood </w:t>
      </w:r>
      <w:r w:rsidRPr="00411234">
        <w:rPr>
          <w:rFonts w:ascii="Arial" w:hAnsi="Arial" w:cs="Arial"/>
        </w:rPr>
        <w:t>confounders led to further attenuation</w:t>
      </w:r>
      <w:r>
        <w:rPr>
          <w:rFonts w:ascii="Arial" w:hAnsi="Arial" w:cs="Arial"/>
        </w:rPr>
        <w:t>.</w:t>
      </w:r>
      <w:r w:rsidRPr="00411234">
        <w:rPr>
          <w:rFonts w:ascii="Arial" w:hAnsi="Arial" w:cs="Arial"/>
        </w:rPr>
        <w:t xml:space="preserve"> </w:t>
      </w:r>
      <w:r>
        <w:rPr>
          <w:rFonts w:ascii="Arial" w:hAnsi="Arial" w:cs="Arial"/>
        </w:rPr>
        <w:t>T</w:t>
      </w:r>
      <w:r w:rsidRPr="00411234">
        <w:rPr>
          <w:rFonts w:ascii="Arial" w:hAnsi="Arial" w:cs="Arial"/>
        </w:rPr>
        <w:t>h</w:t>
      </w:r>
      <w:r>
        <w:rPr>
          <w:rFonts w:ascii="Arial" w:hAnsi="Arial" w:cs="Arial"/>
        </w:rPr>
        <w:t xml:space="preserve">ere was a small attenuation </w:t>
      </w:r>
      <w:r w:rsidRPr="00411234">
        <w:rPr>
          <w:rFonts w:ascii="Arial" w:hAnsi="Arial" w:cs="Arial"/>
        </w:rPr>
        <w:t>after further adjustment for cannabis</w:t>
      </w:r>
      <w:r>
        <w:rPr>
          <w:rFonts w:ascii="Arial" w:hAnsi="Arial" w:cs="Arial"/>
        </w:rPr>
        <w:t>,</w:t>
      </w:r>
      <w:r w:rsidRPr="00411234">
        <w:rPr>
          <w:rFonts w:ascii="Arial" w:hAnsi="Arial" w:cs="Arial"/>
        </w:rPr>
        <w:t xml:space="preserve"> alcohol</w:t>
      </w:r>
      <w:r>
        <w:rPr>
          <w:rFonts w:ascii="Arial" w:hAnsi="Arial" w:cs="Arial"/>
        </w:rPr>
        <w:t xml:space="preserve"> or </w:t>
      </w:r>
      <w:proofErr w:type="gramStart"/>
      <w:r>
        <w:rPr>
          <w:rFonts w:ascii="Arial" w:hAnsi="Arial" w:cs="Arial"/>
        </w:rPr>
        <w:t>other</w:t>
      </w:r>
      <w:proofErr w:type="gramEnd"/>
      <w:r>
        <w:rPr>
          <w:rFonts w:ascii="Arial" w:hAnsi="Arial" w:cs="Arial"/>
        </w:rPr>
        <w:t xml:space="preserve"> illicit drug use</w:t>
      </w:r>
      <w:r w:rsidRPr="00411234">
        <w:rPr>
          <w:rFonts w:ascii="Arial" w:hAnsi="Arial" w:cs="Arial"/>
        </w:rPr>
        <w:t>. Although effect sizes were smaller, the confidence intervals were consistent with those from the complete case analysis.</w:t>
      </w:r>
      <w:r>
        <w:rPr>
          <w:rFonts w:ascii="Arial" w:hAnsi="Arial" w:cs="Arial"/>
        </w:rPr>
        <w:t xml:space="preserve"> </w:t>
      </w:r>
    </w:p>
    <w:p w:rsidR="007368F5" w:rsidRDefault="007368F5" w:rsidP="00411234">
      <w:pPr>
        <w:spacing w:after="0" w:line="480" w:lineRule="auto"/>
        <w:ind w:firstLine="720"/>
        <w:rPr>
          <w:rFonts w:ascii="Arial" w:hAnsi="Arial" w:cs="Arial"/>
        </w:rPr>
      </w:pPr>
      <w:r w:rsidRPr="00411234">
        <w:rPr>
          <w:rFonts w:ascii="Arial" w:hAnsi="Arial" w:cs="Arial"/>
        </w:rPr>
        <w:t xml:space="preserve">Conversely, the associations between cigarette use and educational </w:t>
      </w:r>
      <w:r>
        <w:rPr>
          <w:rFonts w:ascii="Arial" w:hAnsi="Arial" w:cs="Arial"/>
        </w:rPr>
        <w:t>attainment</w:t>
      </w:r>
      <w:r w:rsidRPr="00411234">
        <w:rPr>
          <w:rFonts w:ascii="Arial" w:hAnsi="Arial" w:cs="Arial"/>
        </w:rPr>
        <w:t xml:space="preserve"> were larger in the imputed analyses than the complete case analysis</w:t>
      </w:r>
      <w:r>
        <w:rPr>
          <w:rFonts w:ascii="Arial" w:hAnsi="Arial" w:cs="Arial"/>
        </w:rPr>
        <w:t xml:space="preserve"> </w:t>
      </w:r>
      <w:r w:rsidRPr="00411234">
        <w:rPr>
          <w:rFonts w:ascii="Arial" w:hAnsi="Arial" w:cs="Arial"/>
        </w:rPr>
        <w:t>(effe</w:t>
      </w:r>
      <w:r>
        <w:rPr>
          <w:rFonts w:ascii="Arial" w:hAnsi="Arial" w:cs="Arial"/>
        </w:rPr>
        <w:t>ct estimate -4.69, 95% CI -5.05 to -4.34)</w:t>
      </w:r>
      <w:r w:rsidRPr="00411234">
        <w:rPr>
          <w:rFonts w:ascii="Arial" w:hAnsi="Arial" w:cs="Arial"/>
        </w:rPr>
        <w:t xml:space="preserve">. The pattern of attenuation was similar to that seen in the complete case analyses, </w:t>
      </w:r>
      <w:r>
        <w:rPr>
          <w:rFonts w:ascii="Arial" w:hAnsi="Arial" w:cs="Arial"/>
        </w:rPr>
        <w:t>although</w:t>
      </w:r>
      <w:r w:rsidRPr="00411234">
        <w:rPr>
          <w:rFonts w:ascii="Arial" w:hAnsi="Arial" w:cs="Arial"/>
        </w:rPr>
        <w:t xml:space="preserve"> for the most part confidence intervals did not overlap</w:t>
      </w:r>
      <w:r>
        <w:rPr>
          <w:rFonts w:ascii="Arial" w:hAnsi="Arial" w:cs="Arial"/>
        </w:rPr>
        <w:t xml:space="preserve"> with the complete case analyses</w:t>
      </w:r>
      <w:r w:rsidRPr="00411234">
        <w:rPr>
          <w:rFonts w:ascii="Arial" w:hAnsi="Arial" w:cs="Arial"/>
        </w:rPr>
        <w:t>.</w:t>
      </w:r>
      <w:r>
        <w:rPr>
          <w:rFonts w:ascii="Arial" w:hAnsi="Arial" w:cs="Arial"/>
        </w:rPr>
        <w:t xml:space="preserve"> These results are shown in Supplementary Tables S1 and S2</w:t>
      </w:r>
      <w:r w:rsidRPr="00411234">
        <w:rPr>
          <w:rFonts w:ascii="Arial" w:hAnsi="Arial" w:cs="Arial"/>
        </w:rPr>
        <w:t>.</w:t>
      </w:r>
    </w:p>
    <w:p w:rsidR="007368F5" w:rsidRDefault="007368F5" w:rsidP="00910EC8">
      <w:pPr>
        <w:rPr>
          <w:rFonts w:ascii="Arial" w:hAnsi="Arial" w:cs="Arial"/>
        </w:rPr>
      </w:pPr>
      <w:r>
        <w:rPr>
          <w:rFonts w:ascii="Arial" w:hAnsi="Arial" w:cs="Arial"/>
        </w:rPr>
        <w:tab/>
      </w:r>
    </w:p>
    <w:p w:rsidR="007368F5" w:rsidRDefault="007368F5">
      <w:pPr>
        <w:rPr>
          <w:rFonts w:ascii="Arial" w:hAnsi="Arial" w:cs="Arial"/>
        </w:rPr>
      </w:pPr>
    </w:p>
    <w:p w:rsidR="007368F5" w:rsidRPr="00EC0AFE" w:rsidRDefault="007368F5" w:rsidP="00E750AA">
      <w:pPr>
        <w:spacing w:after="0" w:line="480" w:lineRule="auto"/>
        <w:rPr>
          <w:rFonts w:ascii="Arial" w:hAnsi="Arial" w:cs="Arial"/>
          <w:b/>
        </w:rPr>
      </w:pPr>
      <w:r w:rsidRPr="00EC0AFE">
        <w:rPr>
          <w:rFonts w:ascii="Arial" w:hAnsi="Arial" w:cs="Arial"/>
          <w:b/>
        </w:rPr>
        <w:t>Discussion</w:t>
      </w:r>
    </w:p>
    <w:p w:rsidR="007368F5" w:rsidRDefault="007368F5" w:rsidP="00643840">
      <w:pPr>
        <w:pStyle w:val="NormalWeb"/>
        <w:shd w:val="clear" w:color="auto" w:fill="FFFFFF"/>
        <w:spacing w:before="0" w:beforeAutospacing="0" w:after="0" w:afterAutospacing="0" w:line="480" w:lineRule="auto"/>
        <w:ind w:firstLine="720"/>
        <w:rPr>
          <w:rFonts w:ascii="Arial" w:hAnsi="Arial" w:cs="Arial"/>
          <w:sz w:val="22"/>
          <w:szCs w:val="22"/>
        </w:rPr>
      </w:pPr>
      <w:r>
        <w:rPr>
          <w:rFonts w:ascii="Arial" w:eastAsia="BSGulliver" w:hAnsi="Arial" w:cs="Arial"/>
          <w:sz w:val="22"/>
          <w:szCs w:val="22"/>
        </w:rPr>
        <w:t>Our results indicate</w:t>
      </w:r>
      <w:r>
        <w:rPr>
          <w:rFonts w:ascii="Arial" w:hAnsi="Arial" w:cs="Arial"/>
          <w:sz w:val="22"/>
          <w:szCs w:val="22"/>
        </w:rPr>
        <w:t xml:space="preserve"> that </w:t>
      </w:r>
      <w:r w:rsidRPr="00413F58">
        <w:rPr>
          <w:rFonts w:ascii="Arial" w:hAnsi="Arial" w:cs="Arial"/>
          <w:sz w:val="22"/>
          <w:szCs w:val="22"/>
        </w:rPr>
        <w:t>smoking</w:t>
      </w:r>
      <w:r>
        <w:rPr>
          <w:rFonts w:ascii="Arial" w:hAnsi="Arial" w:cs="Arial"/>
          <w:sz w:val="22"/>
          <w:szCs w:val="22"/>
        </w:rPr>
        <w:t xml:space="preserve"> c</w:t>
      </w:r>
      <w:r w:rsidRPr="00413F58">
        <w:rPr>
          <w:rFonts w:ascii="Arial" w:hAnsi="Arial" w:cs="Arial"/>
          <w:sz w:val="22"/>
          <w:szCs w:val="22"/>
        </w:rPr>
        <w:t>igarette</w:t>
      </w:r>
      <w:r>
        <w:rPr>
          <w:rFonts w:ascii="Arial" w:hAnsi="Arial" w:cs="Arial"/>
          <w:sz w:val="22"/>
          <w:szCs w:val="22"/>
        </w:rPr>
        <w:t>s</w:t>
      </w:r>
      <w:r w:rsidRPr="00413F58">
        <w:rPr>
          <w:rFonts w:ascii="Arial" w:hAnsi="Arial" w:cs="Arial"/>
          <w:sz w:val="22"/>
          <w:szCs w:val="22"/>
        </w:rPr>
        <w:t xml:space="preserve"> at age 15 </w:t>
      </w:r>
      <w:r>
        <w:rPr>
          <w:rFonts w:ascii="Arial" w:hAnsi="Arial" w:cs="Arial"/>
          <w:sz w:val="22"/>
          <w:szCs w:val="22"/>
        </w:rPr>
        <w:t>was associated with reduced</w:t>
      </w:r>
      <w:r w:rsidRPr="00413F58">
        <w:rPr>
          <w:rFonts w:ascii="Arial" w:hAnsi="Arial" w:cs="Arial"/>
          <w:sz w:val="22"/>
          <w:szCs w:val="22"/>
        </w:rPr>
        <w:t xml:space="preserve"> cognitive ability</w:t>
      </w:r>
      <w:r>
        <w:rPr>
          <w:rFonts w:ascii="Arial" w:hAnsi="Arial" w:cs="Arial"/>
          <w:sz w:val="22"/>
          <w:szCs w:val="22"/>
        </w:rPr>
        <w:t xml:space="preserve"> (i.e.,</w:t>
      </w:r>
      <w:r w:rsidRPr="00413F58">
        <w:rPr>
          <w:rFonts w:ascii="Arial" w:hAnsi="Arial" w:cs="Arial"/>
          <w:sz w:val="22"/>
          <w:szCs w:val="22"/>
        </w:rPr>
        <w:t xml:space="preserve"> vocabulary and reasoning</w:t>
      </w:r>
      <w:r>
        <w:rPr>
          <w:rFonts w:ascii="Arial" w:hAnsi="Arial" w:cs="Arial"/>
          <w:sz w:val="22"/>
          <w:szCs w:val="22"/>
        </w:rPr>
        <w:t>)</w:t>
      </w:r>
      <w:r w:rsidRPr="00413F58">
        <w:rPr>
          <w:rFonts w:ascii="Arial" w:hAnsi="Arial" w:cs="Arial"/>
          <w:sz w:val="22"/>
          <w:szCs w:val="22"/>
        </w:rPr>
        <w:t xml:space="preserve"> as measured </w:t>
      </w:r>
      <w:r>
        <w:rPr>
          <w:rFonts w:ascii="Arial" w:hAnsi="Arial" w:cs="Arial"/>
          <w:sz w:val="22"/>
          <w:szCs w:val="22"/>
        </w:rPr>
        <w:t xml:space="preserve">at age 15 </w:t>
      </w:r>
      <w:r w:rsidRPr="00413F58">
        <w:rPr>
          <w:rFonts w:ascii="Arial" w:hAnsi="Arial" w:cs="Arial"/>
          <w:sz w:val="22"/>
          <w:szCs w:val="22"/>
        </w:rPr>
        <w:t xml:space="preserve">by the WASI, and </w:t>
      </w:r>
      <w:r>
        <w:rPr>
          <w:rFonts w:ascii="Arial" w:hAnsi="Arial" w:cs="Arial"/>
          <w:sz w:val="22"/>
          <w:szCs w:val="22"/>
        </w:rPr>
        <w:t>with</w:t>
      </w:r>
      <w:r w:rsidRPr="00413F58">
        <w:rPr>
          <w:rFonts w:ascii="Arial" w:hAnsi="Arial" w:cs="Arial"/>
          <w:sz w:val="22"/>
          <w:szCs w:val="22"/>
        </w:rPr>
        <w:t xml:space="preserve"> </w:t>
      </w:r>
      <w:r>
        <w:rPr>
          <w:rFonts w:ascii="Arial" w:hAnsi="Arial" w:cs="Arial"/>
          <w:sz w:val="22"/>
          <w:szCs w:val="22"/>
        </w:rPr>
        <w:t>poorer</w:t>
      </w:r>
      <w:r w:rsidRPr="00413F58">
        <w:rPr>
          <w:rFonts w:ascii="Arial" w:hAnsi="Arial" w:cs="Arial"/>
          <w:sz w:val="22"/>
          <w:szCs w:val="22"/>
        </w:rPr>
        <w:t xml:space="preserve"> educational attainment</w:t>
      </w:r>
      <w:r>
        <w:rPr>
          <w:rFonts w:ascii="Arial" w:hAnsi="Arial" w:cs="Arial"/>
          <w:sz w:val="22"/>
          <w:szCs w:val="22"/>
        </w:rPr>
        <w:t xml:space="preserve"> (</w:t>
      </w:r>
      <w:r w:rsidRPr="00413F58">
        <w:rPr>
          <w:rFonts w:ascii="Arial" w:hAnsi="Arial" w:cs="Arial"/>
          <w:sz w:val="22"/>
          <w:szCs w:val="22"/>
        </w:rPr>
        <w:t>i.e.</w:t>
      </w:r>
      <w:r>
        <w:rPr>
          <w:rFonts w:ascii="Arial" w:hAnsi="Arial" w:cs="Arial"/>
          <w:sz w:val="22"/>
          <w:szCs w:val="22"/>
        </w:rPr>
        <w:t>,</w:t>
      </w:r>
      <w:r w:rsidRPr="00413F58">
        <w:rPr>
          <w:rFonts w:ascii="Arial" w:hAnsi="Arial" w:cs="Arial"/>
          <w:sz w:val="22"/>
          <w:szCs w:val="22"/>
        </w:rPr>
        <w:t xml:space="preserve"> grade</w:t>
      </w:r>
      <w:r>
        <w:rPr>
          <w:rFonts w:ascii="Arial" w:hAnsi="Arial" w:cs="Arial"/>
          <w:sz w:val="22"/>
          <w:szCs w:val="22"/>
        </w:rPr>
        <w:t>s in key stage 4 national tests)</w:t>
      </w:r>
      <w:r w:rsidRPr="00413F58">
        <w:rPr>
          <w:rFonts w:ascii="Arial" w:hAnsi="Arial" w:cs="Arial"/>
          <w:sz w:val="22"/>
          <w:szCs w:val="22"/>
        </w:rPr>
        <w:t xml:space="preserve"> at age</w:t>
      </w:r>
      <w:r>
        <w:rPr>
          <w:rFonts w:ascii="Arial" w:hAnsi="Arial" w:cs="Arial"/>
          <w:sz w:val="22"/>
          <w:szCs w:val="22"/>
        </w:rPr>
        <w:t xml:space="preserve"> </w:t>
      </w:r>
      <w:r w:rsidRPr="00413F58">
        <w:rPr>
          <w:rFonts w:ascii="Arial" w:hAnsi="Arial" w:cs="Arial"/>
          <w:sz w:val="22"/>
          <w:szCs w:val="22"/>
        </w:rPr>
        <w:t xml:space="preserve">16. In an attempt to minimize the possibility that our results were due to cognitive ability and educational attainment making individuals more </w:t>
      </w:r>
      <w:r>
        <w:rPr>
          <w:rFonts w:ascii="Arial" w:hAnsi="Arial" w:cs="Arial"/>
          <w:sz w:val="22"/>
          <w:szCs w:val="22"/>
        </w:rPr>
        <w:t>likely</w:t>
      </w:r>
      <w:r w:rsidRPr="00413F58">
        <w:rPr>
          <w:rFonts w:ascii="Arial" w:hAnsi="Arial" w:cs="Arial"/>
          <w:sz w:val="22"/>
          <w:szCs w:val="22"/>
        </w:rPr>
        <w:t xml:space="preserve"> to </w:t>
      </w:r>
      <w:r>
        <w:rPr>
          <w:rFonts w:ascii="Arial" w:hAnsi="Arial" w:cs="Arial"/>
          <w:sz w:val="22"/>
          <w:szCs w:val="22"/>
        </w:rPr>
        <w:t>smoke</w:t>
      </w:r>
      <w:r w:rsidRPr="00413F58">
        <w:rPr>
          <w:rFonts w:ascii="Arial" w:hAnsi="Arial" w:cs="Arial"/>
          <w:sz w:val="22"/>
          <w:szCs w:val="22"/>
        </w:rPr>
        <w:t xml:space="preserve">, we adjusted </w:t>
      </w:r>
      <w:r>
        <w:rPr>
          <w:rFonts w:ascii="Arial" w:hAnsi="Arial" w:cs="Arial"/>
          <w:sz w:val="22"/>
          <w:szCs w:val="22"/>
        </w:rPr>
        <w:t>our</w:t>
      </w:r>
      <w:r w:rsidRPr="00413F58">
        <w:rPr>
          <w:rFonts w:ascii="Arial" w:hAnsi="Arial" w:cs="Arial"/>
          <w:sz w:val="22"/>
          <w:szCs w:val="22"/>
        </w:rPr>
        <w:t xml:space="preserve"> </w:t>
      </w:r>
      <w:r>
        <w:rPr>
          <w:rFonts w:ascii="Arial" w:hAnsi="Arial" w:cs="Arial"/>
          <w:sz w:val="22"/>
          <w:szCs w:val="22"/>
        </w:rPr>
        <w:t>analyses</w:t>
      </w:r>
      <w:r w:rsidRPr="00413F58">
        <w:rPr>
          <w:rFonts w:ascii="Arial" w:hAnsi="Arial" w:cs="Arial"/>
          <w:sz w:val="22"/>
          <w:szCs w:val="22"/>
        </w:rPr>
        <w:t xml:space="preserve"> for pre-existing general cognitive ability </w:t>
      </w:r>
      <w:r>
        <w:rPr>
          <w:rFonts w:ascii="Arial" w:hAnsi="Arial" w:cs="Arial"/>
          <w:sz w:val="22"/>
          <w:szCs w:val="22"/>
        </w:rPr>
        <w:t>and</w:t>
      </w:r>
      <w:r w:rsidRPr="00413F58">
        <w:rPr>
          <w:rFonts w:ascii="Arial" w:hAnsi="Arial" w:cs="Arial"/>
          <w:sz w:val="22"/>
          <w:szCs w:val="22"/>
        </w:rPr>
        <w:t xml:space="preserve"> earlier educational attainment. T</w:t>
      </w:r>
      <w:r>
        <w:rPr>
          <w:rFonts w:ascii="Arial" w:hAnsi="Arial" w:cs="Arial"/>
          <w:sz w:val="22"/>
          <w:szCs w:val="22"/>
        </w:rPr>
        <w:t>his</w:t>
      </w:r>
      <w:r w:rsidRPr="00413F58">
        <w:rPr>
          <w:rFonts w:ascii="Arial" w:hAnsi="Arial" w:cs="Arial"/>
          <w:sz w:val="22"/>
          <w:szCs w:val="22"/>
        </w:rPr>
        <w:t xml:space="preserve"> attenuated</w:t>
      </w:r>
      <w:r>
        <w:rPr>
          <w:rFonts w:ascii="Arial" w:hAnsi="Arial" w:cs="Arial"/>
          <w:sz w:val="22"/>
          <w:szCs w:val="22"/>
        </w:rPr>
        <w:t xml:space="preserve"> the observed associations, although strong evidence of an association remained</w:t>
      </w:r>
      <w:r w:rsidRPr="00413F58">
        <w:rPr>
          <w:rFonts w:ascii="Arial" w:hAnsi="Arial" w:cs="Arial"/>
          <w:sz w:val="22"/>
          <w:szCs w:val="22"/>
        </w:rPr>
        <w:t>.</w:t>
      </w:r>
      <w:r>
        <w:rPr>
          <w:rFonts w:ascii="Arial" w:hAnsi="Arial" w:cs="Arial"/>
          <w:sz w:val="22"/>
          <w:szCs w:val="22"/>
        </w:rPr>
        <w:t xml:space="preserve"> However, it is important to note that this pattern of attenuation is also consistent with a null causal effect and measurement error being present </w:t>
      </w:r>
      <w:r>
        <w:rPr>
          <w:rFonts w:ascii="Arial" w:hAnsi="Arial" w:cs="Arial"/>
          <w:noProof/>
          <w:sz w:val="22"/>
          <w:szCs w:val="22"/>
        </w:rPr>
        <w:t>(Fewell, Davey Smith, &amp; Sterne, 2007)</w:t>
      </w:r>
      <w:r>
        <w:rPr>
          <w:rFonts w:ascii="Arial" w:hAnsi="Arial" w:cs="Arial"/>
          <w:sz w:val="22"/>
          <w:szCs w:val="22"/>
        </w:rPr>
        <w:t>.</w:t>
      </w:r>
    </w:p>
    <w:p w:rsidR="007368F5" w:rsidRDefault="007368F5" w:rsidP="00823E78">
      <w:pPr>
        <w:pStyle w:val="NormalWeb"/>
        <w:shd w:val="clear" w:color="auto" w:fill="FFFFFF"/>
        <w:spacing w:before="0" w:beforeAutospacing="0" w:after="0" w:afterAutospacing="0" w:line="480" w:lineRule="auto"/>
        <w:ind w:firstLine="720"/>
        <w:rPr>
          <w:rFonts w:ascii="Arial" w:hAnsi="Arial" w:cs="Arial"/>
          <w:sz w:val="22"/>
          <w:szCs w:val="22"/>
        </w:rPr>
      </w:pPr>
      <w:r w:rsidRPr="00413F58">
        <w:rPr>
          <w:rFonts w:ascii="Arial" w:hAnsi="Arial" w:cs="Arial"/>
          <w:sz w:val="22"/>
          <w:szCs w:val="22"/>
        </w:rPr>
        <w:t xml:space="preserve"> </w:t>
      </w:r>
      <w:r w:rsidRPr="00413F58">
        <w:rPr>
          <w:rFonts w:ascii="Arial" w:hAnsi="Arial" w:cs="Arial"/>
          <w:color w:val="000000"/>
          <w:sz w:val="22"/>
          <w:szCs w:val="22"/>
          <w:shd w:val="clear" w:color="auto" w:fill="FFFFFF"/>
        </w:rPr>
        <w:t xml:space="preserve">Associations </w:t>
      </w:r>
      <w:r>
        <w:rPr>
          <w:rFonts w:ascii="Arial" w:hAnsi="Arial" w:cs="Arial"/>
          <w:color w:val="000000"/>
          <w:sz w:val="22"/>
          <w:szCs w:val="22"/>
          <w:shd w:val="clear" w:color="auto" w:fill="FFFFFF"/>
        </w:rPr>
        <w:t xml:space="preserve">also </w:t>
      </w:r>
      <w:r w:rsidRPr="00413F58">
        <w:rPr>
          <w:rFonts w:ascii="Arial" w:hAnsi="Arial" w:cs="Arial"/>
          <w:color w:val="000000"/>
          <w:sz w:val="22"/>
          <w:szCs w:val="22"/>
          <w:shd w:val="clear" w:color="auto" w:fill="FFFFFF"/>
        </w:rPr>
        <w:t xml:space="preserve">remained </w:t>
      </w:r>
      <w:r>
        <w:rPr>
          <w:rFonts w:ascii="Arial" w:hAnsi="Arial" w:cs="Arial"/>
          <w:color w:val="000000"/>
          <w:sz w:val="22"/>
          <w:szCs w:val="22"/>
          <w:shd w:val="clear" w:color="auto" w:fill="FFFFFF"/>
        </w:rPr>
        <w:t>after adjustment</w:t>
      </w:r>
      <w:r w:rsidRPr="00413F58">
        <w:rPr>
          <w:rFonts w:ascii="Arial" w:hAnsi="Arial" w:cs="Arial"/>
          <w:color w:val="000000"/>
          <w:sz w:val="22"/>
          <w:szCs w:val="22"/>
          <w:shd w:val="clear" w:color="auto" w:fill="FFFFFF"/>
        </w:rPr>
        <w:t xml:space="preserve"> for substance use</w:t>
      </w:r>
      <w:r>
        <w:rPr>
          <w:rFonts w:ascii="Arial" w:hAnsi="Arial" w:cs="Arial"/>
          <w:color w:val="000000"/>
          <w:sz w:val="22"/>
          <w:szCs w:val="22"/>
          <w:shd w:val="clear" w:color="auto" w:fill="FFFFFF"/>
        </w:rPr>
        <w:t>, although we did observe some attenuation,</w:t>
      </w:r>
      <w:r w:rsidRPr="00413F5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consistent</w:t>
      </w:r>
      <w:r w:rsidRPr="00413F58">
        <w:rPr>
          <w:rFonts w:ascii="Arial" w:hAnsi="Arial" w:cs="Arial"/>
          <w:color w:val="000000"/>
          <w:sz w:val="22"/>
          <w:szCs w:val="22"/>
          <w:shd w:val="clear" w:color="auto" w:fill="FFFFFF"/>
        </w:rPr>
        <w:t xml:space="preserve"> with </w:t>
      </w:r>
      <w:r>
        <w:rPr>
          <w:rFonts w:ascii="Arial" w:hAnsi="Arial" w:cs="Arial"/>
          <w:color w:val="000000"/>
          <w:sz w:val="22"/>
          <w:szCs w:val="22"/>
          <w:shd w:val="clear" w:color="auto" w:fill="FFFFFF"/>
        </w:rPr>
        <w:t>evidence</w:t>
      </w:r>
      <w:r w:rsidRPr="00413F58">
        <w:rPr>
          <w:rFonts w:ascii="Arial" w:hAnsi="Arial" w:cs="Arial"/>
          <w:color w:val="000000"/>
          <w:sz w:val="22"/>
          <w:szCs w:val="22"/>
          <w:shd w:val="clear" w:color="auto" w:fill="FFFFFF"/>
        </w:rPr>
        <w:t xml:space="preserve"> that substance use is associated with poo</w:t>
      </w:r>
      <w:r>
        <w:rPr>
          <w:rFonts w:ascii="Arial" w:hAnsi="Arial" w:cs="Arial"/>
          <w:color w:val="000000"/>
          <w:sz w:val="22"/>
          <w:szCs w:val="22"/>
          <w:shd w:val="clear" w:color="auto" w:fill="FFFFFF"/>
        </w:rPr>
        <w:t xml:space="preserve">r cognitive performance and educational attainment </w:t>
      </w:r>
      <w:r>
        <w:rPr>
          <w:rFonts w:ascii="Arial" w:hAnsi="Arial" w:cs="Arial"/>
          <w:noProof/>
          <w:color w:val="000000"/>
          <w:sz w:val="22"/>
          <w:szCs w:val="22"/>
          <w:shd w:val="clear" w:color="auto" w:fill="FFFFFF"/>
        </w:rPr>
        <w:t>(Cox et al., 2007)</w:t>
      </w:r>
      <w:r w:rsidRPr="00413F58">
        <w:rPr>
          <w:rFonts w:ascii="Arial" w:hAnsi="Arial" w:cs="Arial"/>
          <w:color w:val="000000"/>
          <w:sz w:val="22"/>
          <w:szCs w:val="22"/>
          <w:shd w:val="clear" w:color="auto" w:fill="FFFFFF"/>
        </w:rPr>
        <w:t xml:space="preserve">. </w:t>
      </w:r>
      <w:r w:rsidRPr="00413F58">
        <w:rPr>
          <w:rFonts w:ascii="Arial" w:hAnsi="Arial" w:cs="Arial"/>
          <w:sz w:val="22"/>
          <w:szCs w:val="22"/>
        </w:rPr>
        <w:t xml:space="preserve">Multiple imputation of missing data allowed us to predict missing variables </w:t>
      </w:r>
      <w:r>
        <w:rPr>
          <w:rFonts w:ascii="Arial" w:hAnsi="Arial" w:cs="Arial"/>
          <w:sz w:val="22"/>
          <w:szCs w:val="22"/>
        </w:rPr>
        <w:t xml:space="preserve">and, consequently, </w:t>
      </w:r>
      <w:r w:rsidRPr="00413F58">
        <w:rPr>
          <w:rFonts w:ascii="Arial" w:hAnsi="Arial" w:cs="Arial"/>
          <w:sz w:val="22"/>
          <w:szCs w:val="22"/>
        </w:rPr>
        <w:t>to include a larger number of ALSPAC subjects in the analysis</w:t>
      </w:r>
      <w:r>
        <w:rPr>
          <w:rFonts w:ascii="Arial" w:hAnsi="Arial" w:cs="Arial"/>
          <w:sz w:val="22"/>
          <w:szCs w:val="22"/>
        </w:rPr>
        <w:t xml:space="preserve">. The results of imputation analyses for cognitive ability </w:t>
      </w:r>
      <w:r w:rsidRPr="00413F58">
        <w:rPr>
          <w:rFonts w:ascii="Arial" w:hAnsi="Arial" w:cs="Arial"/>
          <w:sz w:val="22"/>
          <w:szCs w:val="22"/>
        </w:rPr>
        <w:t xml:space="preserve">were </w:t>
      </w:r>
      <w:r>
        <w:rPr>
          <w:rFonts w:ascii="Arial" w:hAnsi="Arial" w:cs="Arial"/>
          <w:sz w:val="22"/>
          <w:szCs w:val="22"/>
        </w:rPr>
        <w:t xml:space="preserve">broadly </w:t>
      </w:r>
      <w:r w:rsidRPr="00413F58">
        <w:rPr>
          <w:rFonts w:ascii="Arial" w:hAnsi="Arial" w:cs="Arial"/>
          <w:sz w:val="22"/>
          <w:szCs w:val="22"/>
        </w:rPr>
        <w:t xml:space="preserve">consistent with those seen in the complete case analysis although </w:t>
      </w:r>
      <w:r>
        <w:rPr>
          <w:rFonts w:ascii="Arial" w:hAnsi="Arial" w:cs="Arial"/>
          <w:sz w:val="22"/>
          <w:szCs w:val="22"/>
        </w:rPr>
        <w:t>the strength of the associations was attenuated</w:t>
      </w:r>
      <w:r w:rsidRPr="00413F58">
        <w:rPr>
          <w:rFonts w:ascii="Arial" w:hAnsi="Arial" w:cs="Arial"/>
          <w:sz w:val="22"/>
          <w:szCs w:val="22"/>
        </w:rPr>
        <w:t>.</w:t>
      </w:r>
      <w:r>
        <w:rPr>
          <w:rFonts w:ascii="Arial" w:hAnsi="Arial" w:cs="Arial"/>
          <w:sz w:val="22"/>
          <w:szCs w:val="22"/>
        </w:rPr>
        <w:t xml:space="preserve"> Conversely, the coefficients from the imputed analyses for educational </w:t>
      </w:r>
      <w:r>
        <w:rPr>
          <w:rFonts w:ascii="Arial" w:hAnsi="Arial" w:cs="Arial"/>
          <w:sz w:val="22"/>
          <w:szCs w:val="22"/>
        </w:rPr>
        <w:lastRenderedPageBreak/>
        <w:t>attainment were much larger than for the complete case analysis, without overlapping confidence intervals, although the pattern of attenuation after adjustment for covariates was comparable. It is possible that this is due to the larger proportion of data being imputed or due to the larger sample size available for educational attainment compared to cognitive ability.</w:t>
      </w:r>
    </w:p>
    <w:p w:rsidR="007368F5" w:rsidRDefault="007368F5" w:rsidP="00E750AA">
      <w:pPr>
        <w:pStyle w:val="NormalWeb"/>
        <w:shd w:val="clear" w:color="auto" w:fill="FFFFFF"/>
        <w:spacing w:before="0" w:beforeAutospacing="0" w:after="0" w:afterAutospacing="0" w:line="480" w:lineRule="auto"/>
        <w:rPr>
          <w:rFonts w:ascii="Arial" w:hAnsi="Arial" w:cs="Arial"/>
          <w:sz w:val="22"/>
          <w:szCs w:val="22"/>
        </w:rPr>
      </w:pPr>
    </w:p>
    <w:p w:rsidR="007368F5" w:rsidRPr="00E750AA" w:rsidRDefault="007368F5" w:rsidP="00E750AA">
      <w:pPr>
        <w:pStyle w:val="NormalWeb"/>
        <w:shd w:val="clear" w:color="auto" w:fill="FFFFFF"/>
        <w:spacing w:before="0" w:beforeAutospacing="0" w:after="0" w:afterAutospacing="0" w:line="480" w:lineRule="auto"/>
        <w:jc w:val="center"/>
        <w:rPr>
          <w:rFonts w:ascii="Arial" w:hAnsi="Arial" w:cs="Arial"/>
          <w:b/>
          <w:sz w:val="22"/>
          <w:szCs w:val="22"/>
        </w:rPr>
      </w:pPr>
      <w:r w:rsidRPr="00E750AA">
        <w:rPr>
          <w:rFonts w:ascii="Arial" w:hAnsi="Arial" w:cs="Arial"/>
          <w:b/>
          <w:sz w:val="22"/>
          <w:szCs w:val="22"/>
        </w:rPr>
        <w:t>Study Two</w:t>
      </w:r>
    </w:p>
    <w:p w:rsidR="007368F5" w:rsidRPr="007B0F00" w:rsidRDefault="007368F5" w:rsidP="00E750AA">
      <w:pPr>
        <w:spacing w:after="0" w:line="480" w:lineRule="auto"/>
        <w:rPr>
          <w:rFonts w:ascii="Arial" w:hAnsi="Arial" w:cs="Arial"/>
          <w:b/>
        </w:rPr>
      </w:pPr>
      <w:r w:rsidRPr="007B0F00">
        <w:rPr>
          <w:rFonts w:ascii="Arial" w:hAnsi="Arial" w:cs="Arial"/>
          <w:b/>
        </w:rPr>
        <w:t>Method</w:t>
      </w:r>
      <w:r>
        <w:rPr>
          <w:rFonts w:ascii="Arial" w:hAnsi="Arial" w:cs="Arial"/>
          <w:b/>
        </w:rPr>
        <w:t>s</w:t>
      </w:r>
    </w:p>
    <w:p w:rsidR="007368F5" w:rsidRPr="007B0F00" w:rsidRDefault="007368F5" w:rsidP="007665AD">
      <w:pPr>
        <w:spacing w:after="0" w:line="480" w:lineRule="auto"/>
        <w:ind w:firstLine="720"/>
        <w:rPr>
          <w:rFonts w:ascii="Arial" w:hAnsi="Arial" w:cs="Arial"/>
        </w:rPr>
      </w:pPr>
      <w:r w:rsidRPr="00F90000">
        <w:rPr>
          <w:rFonts w:ascii="Arial" w:hAnsi="Arial" w:cs="Arial"/>
          <w:i/>
        </w:rPr>
        <w:t>Data sources.</w:t>
      </w:r>
      <w:r>
        <w:rPr>
          <w:rFonts w:ascii="Arial" w:hAnsi="Arial" w:cs="Arial"/>
        </w:rPr>
        <w:t xml:space="preserve"> </w:t>
      </w:r>
      <w:r w:rsidRPr="007B0F00">
        <w:rPr>
          <w:rFonts w:ascii="Arial" w:hAnsi="Arial" w:cs="Arial"/>
        </w:rPr>
        <w:t xml:space="preserve">We conducted two-sample </w:t>
      </w:r>
      <w:r>
        <w:rPr>
          <w:rFonts w:ascii="Arial" w:hAnsi="Arial" w:cs="Arial"/>
        </w:rPr>
        <w:t>MR</w:t>
      </w:r>
      <w:r w:rsidRPr="007B0F00">
        <w:rPr>
          <w:rFonts w:ascii="Arial" w:hAnsi="Arial" w:cs="Arial"/>
        </w:rPr>
        <w:t xml:space="preserve"> of </w:t>
      </w:r>
      <w:r>
        <w:rPr>
          <w:rFonts w:ascii="Arial" w:hAnsi="Arial" w:cs="Arial"/>
        </w:rPr>
        <w:t>two</w:t>
      </w:r>
      <w:r w:rsidRPr="007B0F00">
        <w:rPr>
          <w:rFonts w:ascii="Arial" w:hAnsi="Arial" w:cs="Arial"/>
        </w:rPr>
        <w:t xml:space="preserve"> smoking phenotypes (smoking initiation</w:t>
      </w:r>
      <w:r>
        <w:rPr>
          <w:rFonts w:ascii="Arial" w:hAnsi="Arial" w:cs="Arial"/>
        </w:rPr>
        <w:t xml:space="preserve"> and lifetime smoking</w:t>
      </w:r>
      <w:r w:rsidRPr="007B0F00">
        <w:rPr>
          <w:rFonts w:ascii="Arial" w:hAnsi="Arial" w:cs="Arial"/>
        </w:rPr>
        <w:t xml:space="preserve">) on </w:t>
      </w:r>
      <w:r>
        <w:rPr>
          <w:rFonts w:ascii="Arial" w:hAnsi="Arial" w:cs="Arial"/>
        </w:rPr>
        <w:t xml:space="preserve">cognitive ability and </w:t>
      </w:r>
      <w:r w:rsidRPr="007B0F00">
        <w:rPr>
          <w:rFonts w:ascii="Arial" w:hAnsi="Arial" w:cs="Arial"/>
        </w:rPr>
        <w:t xml:space="preserve">educational attainment. For </w:t>
      </w:r>
      <w:r>
        <w:rPr>
          <w:rFonts w:ascii="Arial" w:hAnsi="Arial" w:cs="Arial"/>
        </w:rPr>
        <w:t xml:space="preserve">the </w:t>
      </w:r>
      <w:r w:rsidRPr="007B0F00">
        <w:rPr>
          <w:rFonts w:ascii="Arial" w:hAnsi="Arial" w:cs="Arial"/>
        </w:rPr>
        <w:t>smoking initiation</w:t>
      </w:r>
      <w:r>
        <w:rPr>
          <w:rFonts w:ascii="Arial" w:hAnsi="Arial" w:cs="Arial"/>
        </w:rPr>
        <w:t xml:space="preserve"> instrument</w:t>
      </w:r>
      <w:r w:rsidRPr="007B0F00">
        <w:rPr>
          <w:rFonts w:ascii="Arial" w:hAnsi="Arial" w:cs="Arial"/>
        </w:rPr>
        <w:t xml:space="preserve">, we used summary data </w:t>
      </w:r>
      <w:r>
        <w:rPr>
          <w:rFonts w:ascii="Arial" w:hAnsi="Arial" w:cs="Arial"/>
        </w:rPr>
        <w:t>for</w:t>
      </w:r>
      <w:r w:rsidRPr="007B0F00">
        <w:rPr>
          <w:rFonts w:ascii="Arial" w:hAnsi="Arial" w:cs="Arial"/>
        </w:rPr>
        <w:t xml:space="preserve"> the</w:t>
      </w:r>
      <w:r>
        <w:rPr>
          <w:rFonts w:ascii="Arial" w:hAnsi="Arial" w:cs="Arial"/>
        </w:rPr>
        <w:t xml:space="preserve"> </w:t>
      </w:r>
      <w:proofErr w:type="gramStart"/>
      <w:r>
        <w:rPr>
          <w:rFonts w:ascii="Arial" w:hAnsi="Arial" w:cs="Arial"/>
        </w:rPr>
        <w:t>378 independent</w:t>
      </w:r>
      <w:proofErr w:type="gramEnd"/>
      <w:r>
        <w:rPr>
          <w:rFonts w:ascii="Arial" w:hAnsi="Arial" w:cs="Arial"/>
        </w:rPr>
        <w:t xml:space="preserve"> genome-wide significant SNPs identified by the</w:t>
      </w:r>
      <w:r w:rsidRPr="007B0F00">
        <w:rPr>
          <w:rFonts w:ascii="Arial" w:hAnsi="Arial" w:cs="Arial"/>
        </w:rPr>
        <w:t xml:space="preserve"> GSCAN consortium GWAS</w:t>
      </w:r>
      <w:r>
        <w:rPr>
          <w:rFonts w:ascii="Arial" w:hAnsi="Arial" w:cs="Arial"/>
        </w:rPr>
        <w:t xml:space="preserve"> </w:t>
      </w:r>
      <w:r>
        <w:rPr>
          <w:rFonts w:ascii="Arial" w:hAnsi="Arial" w:cs="Arial"/>
          <w:noProof/>
        </w:rPr>
        <w:t>(Liu et al., 2019)</w:t>
      </w:r>
      <w:r w:rsidRPr="007B0F00">
        <w:rPr>
          <w:rFonts w:ascii="Arial" w:hAnsi="Arial" w:cs="Arial"/>
        </w:rPr>
        <w:t>. For lifetime smoking</w:t>
      </w:r>
      <w:r>
        <w:rPr>
          <w:rFonts w:ascii="Arial" w:hAnsi="Arial" w:cs="Arial"/>
        </w:rPr>
        <w:t xml:space="preserve"> (combined smoking duration, cessation and heaviness)</w:t>
      </w:r>
      <w:r w:rsidRPr="007B0F00">
        <w:rPr>
          <w:rFonts w:ascii="Arial" w:hAnsi="Arial" w:cs="Arial"/>
        </w:rPr>
        <w:t xml:space="preserve">, we used summary statistics </w:t>
      </w:r>
      <w:r>
        <w:rPr>
          <w:rFonts w:ascii="Arial" w:hAnsi="Arial" w:cs="Arial"/>
        </w:rPr>
        <w:t xml:space="preserve">reported by Wootton and colleagues </w:t>
      </w:r>
      <w:r>
        <w:rPr>
          <w:rFonts w:ascii="Arial" w:hAnsi="Arial" w:cs="Arial"/>
          <w:noProof/>
        </w:rPr>
        <w:t>(Wootton et al., 2019</w:t>
      </w:r>
      <w:proofErr w:type="gramStart"/>
      <w:r>
        <w:rPr>
          <w:rFonts w:ascii="Arial" w:hAnsi="Arial" w:cs="Arial"/>
          <w:noProof/>
        </w:rPr>
        <w:t>)</w:t>
      </w:r>
      <w:r>
        <w:rPr>
          <w:rFonts w:ascii="Arial" w:hAnsi="Arial" w:cs="Arial"/>
        </w:rPr>
        <w:t xml:space="preserve"> </w:t>
      </w:r>
      <w:r w:rsidRPr="007B0F00">
        <w:rPr>
          <w:rFonts w:ascii="Arial" w:hAnsi="Arial" w:cs="Arial"/>
        </w:rPr>
        <w:t>.</w:t>
      </w:r>
      <w:proofErr w:type="gramEnd"/>
      <w:r w:rsidRPr="007B0F00">
        <w:rPr>
          <w:rFonts w:ascii="Arial" w:hAnsi="Arial" w:cs="Arial"/>
        </w:rPr>
        <w:t xml:space="preserve"> The instrumen</w:t>
      </w:r>
      <w:r>
        <w:rPr>
          <w:rFonts w:ascii="Arial" w:hAnsi="Arial" w:cs="Arial"/>
        </w:rPr>
        <w:t>t consisted of 126 independent SNPs</w:t>
      </w:r>
      <w:r w:rsidRPr="007B0F00">
        <w:rPr>
          <w:rFonts w:ascii="Arial" w:hAnsi="Arial" w:cs="Arial"/>
        </w:rPr>
        <w:t xml:space="preserve">. </w:t>
      </w:r>
      <w:r>
        <w:rPr>
          <w:rFonts w:ascii="Arial" w:hAnsi="Arial" w:cs="Arial"/>
        </w:rPr>
        <w:t>For cognitive ability we used</w:t>
      </w:r>
      <w:r w:rsidRPr="007B0F00">
        <w:rPr>
          <w:rFonts w:ascii="Arial" w:hAnsi="Arial" w:cs="Arial"/>
        </w:rPr>
        <w:t xml:space="preserve"> </w:t>
      </w:r>
      <w:r>
        <w:rPr>
          <w:rFonts w:ascii="Arial" w:hAnsi="Arial" w:cs="Arial"/>
        </w:rPr>
        <w:t>a GWAS of fluid intelligence conducted in the UK Biobank by the Neale lab (</w:t>
      </w:r>
      <w:r w:rsidRPr="000155B3">
        <w:rPr>
          <w:rFonts w:ascii="Arial" w:hAnsi="Arial" w:cs="Arial"/>
        </w:rPr>
        <w:t>http://www.nealelab.is/uk-biobank/</w:t>
      </w:r>
      <w:r>
        <w:rPr>
          <w:rFonts w:ascii="Arial" w:hAnsi="Arial" w:cs="Arial"/>
        </w:rPr>
        <w:t xml:space="preserve">). For the smoking initiation </w:t>
      </w:r>
      <w:proofErr w:type="gramStart"/>
      <w:r>
        <w:rPr>
          <w:rFonts w:ascii="Arial" w:hAnsi="Arial" w:cs="Arial"/>
        </w:rPr>
        <w:t>analysis</w:t>
      </w:r>
      <w:proofErr w:type="gramEnd"/>
      <w:r>
        <w:rPr>
          <w:rFonts w:ascii="Arial" w:hAnsi="Arial" w:cs="Arial"/>
        </w:rPr>
        <w:t xml:space="preserve"> we used betas from the GSCAN GWAS with UK Biobank removed to avoid sample overlap. This was not possible for the lifetime smoking GWAS so this analysis was not conducted. </w:t>
      </w:r>
      <w:r w:rsidRPr="007B0F00">
        <w:rPr>
          <w:rFonts w:ascii="Arial" w:hAnsi="Arial" w:cs="Arial"/>
        </w:rPr>
        <w:t>For educational attainment, we used the second GWAS from the SSGAC consortium</w:t>
      </w:r>
      <w:r>
        <w:rPr>
          <w:rFonts w:ascii="Arial" w:hAnsi="Arial" w:cs="Arial"/>
        </w:rPr>
        <w:t xml:space="preserve"> </w:t>
      </w:r>
      <w:r>
        <w:rPr>
          <w:rFonts w:ascii="Arial" w:hAnsi="Arial" w:cs="Arial"/>
          <w:noProof/>
        </w:rPr>
        <w:t>(Okbay et al., 2016)</w:t>
      </w:r>
      <w:r>
        <w:rPr>
          <w:rFonts w:ascii="Arial" w:hAnsi="Arial" w:cs="Arial"/>
        </w:rPr>
        <w:t xml:space="preserve"> discovery sample.</w:t>
      </w:r>
      <w:r w:rsidRPr="007B0F00">
        <w:rPr>
          <w:rFonts w:ascii="Arial" w:hAnsi="Arial" w:cs="Arial"/>
        </w:rPr>
        <w:t xml:space="preserve"> </w:t>
      </w:r>
      <w:r>
        <w:rPr>
          <w:rFonts w:ascii="Arial" w:hAnsi="Arial" w:cs="Arial"/>
        </w:rPr>
        <w:t xml:space="preserve">This GWAS was chosen rather than a more recently published GWAS </w:t>
      </w:r>
      <w:r>
        <w:rPr>
          <w:rFonts w:ascii="Arial" w:hAnsi="Arial" w:cs="Arial"/>
          <w:noProof/>
        </w:rPr>
        <w:t>(Lee et al., 2018)</w:t>
      </w:r>
      <w:r>
        <w:rPr>
          <w:rFonts w:ascii="Arial" w:hAnsi="Arial" w:cs="Arial"/>
        </w:rPr>
        <w:t xml:space="preserve"> as there was no </w:t>
      </w:r>
      <w:r w:rsidRPr="007B0F00">
        <w:rPr>
          <w:rFonts w:ascii="Arial" w:hAnsi="Arial" w:cs="Arial"/>
        </w:rPr>
        <w:t>sample overlap between exposure and outcome samples</w:t>
      </w:r>
      <w:r>
        <w:rPr>
          <w:rFonts w:ascii="Arial" w:hAnsi="Arial" w:cs="Arial"/>
        </w:rPr>
        <w:t xml:space="preserve"> (the more recent GWAS uses Biobank data, as does the smoking GWAS)</w:t>
      </w:r>
      <w:r w:rsidRPr="007B0F00">
        <w:rPr>
          <w:rFonts w:ascii="Arial" w:hAnsi="Arial" w:cs="Arial"/>
        </w:rPr>
        <w:t>.</w:t>
      </w:r>
      <w:r>
        <w:rPr>
          <w:rFonts w:ascii="Arial" w:hAnsi="Arial" w:cs="Arial"/>
        </w:rPr>
        <w:t xml:space="preserve"> Educational attainment was a harmonised measure defined as typical number of years of schooling to complete a given qualification.</w:t>
      </w:r>
    </w:p>
    <w:p w:rsidR="007368F5" w:rsidRDefault="007368F5" w:rsidP="00910EC8">
      <w:pPr>
        <w:spacing w:after="0" w:line="480" w:lineRule="auto"/>
        <w:ind w:firstLine="720"/>
        <w:rPr>
          <w:rFonts w:ascii="Arial" w:hAnsi="Arial" w:cs="Arial"/>
          <w:lang w:val="en-US"/>
        </w:rPr>
      </w:pPr>
      <w:r w:rsidRPr="0052025B">
        <w:rPr>
          <w:rFonts w:ascii="Arial" w:hAnsi="Arial" w:cs="Arial"/>
          <w:i/>
        </w:rPr>
        <w:t>Statistical analysis.</w:t>
      </w:r>
      <w:r>
        <w:rPr>
          <w:rFonts w:ascii="Arial" w:hAnsi="Arial" w:cs="Arial"/>
        </w:rPr>
        <w:t xml:space="preserve"> </w:t>
      </w:r>
      <w:r w:rsidRPr="007B0F00">
        <w:rPr>
          <w:rFonts w:ascii="Arial" w:hAnsi="Arial" w:cs="Arial"/>
        </w:rPr>
        <w:t xml:space="preserve">We conducted four methods of Mendelian randomisation: </w:t>
      </w:r>
      <w:r w:rsidRPr="007B0F00">
        <w:rPr>
          <w:rFonts w:ascii="Arial" w:hAnsi="Arial" w:cs="Arial"/>
          <w:color w:val="000000" w:themeColor="text1"/>
        </w:rPr>
        <w:t>inverse-variance weighted, MR Egger</w:t>
      </w:r>
      <w:r>
        <w:rPr>
          <w:rFonts w:ascii="Arial" w:hAnsi="Arial" w:cs="Arial"/>
          <w:color w:val="000000" w:themeColor="text1"/>
        </w:rPr>
        <w:t xml:space="preserve"> </w:t>
      </w:r>
      <w:r>
        <w:rPr>
          <w:rFonts w:ascii="Arial" w:hAnsi="Arial" w:cs="Arial"/>
          <w:noProof/>
          <w:color w:val="000000" w:themeColor="text1"/>
        </w:rPr>
        <w:t>(Bowden, Davey Smith, &amp; Burgess, 2015)</w:t>
      </w:r>
      <w:r w:rsidRPr="007B0F00">
        <w:rPr>
          <w:rFonts w:ascii="Arial" w:hAnsi="Arial" w:cs="Arial"/>
          <w:color w:val="000000" w:themeColor="text1"/>
        </w:rPr>
        <w:t xml:space="preserve">, </w:t>
      </w:r>
      <w:r w:rsidRPr="007B0F00">
        <w:rPr>
          <w:rFonts w:ascii="Arial" w:hAnsi="Arial" w:cs="Arial"/>
          <w:color w:val="000000" w:themeColor="text1"/>
        </w:rPr>
        <w:lastRenderedPageBreak/>
        <w:t>weighted median</w:t>
      </w:r>
      <w:r>
        <w:rPr>
          <w:rFonts w:ascii="Arial" w:hAnsi="Arial" w:cs="Arial"/>
          <w:color w:val="000000" w:themeColor="text1"/>
        </w:rPr>
        <w:t xml:space="preserve"> </w:t>
      </w:r>
      <w:r>
        <w:rPr>
          <w:rFonts w:ascii="Arial" w:hAnsi="Arial" w:cs="Arial"/>
          <w:noProof/>
          <w:color w:val="000000" w:themeColor="text1"/>
        </w:rPr>
        <w:t>(Bowden, Davey Smith, Haycock, &amp; Burgess, 2016)</w:t>
      </w:r>
      <w:r>
        <w:rPr>
          <w:rFonts w:ascii="Arial" w:hAnsi="Arial" w:cs="Arial"/>
          <w:color w:val="000000" w:themeColor="text1"/>
        </w:rPr>
        <w:t xml:space="preserve">, weighted mode </w:t>
      </w:r>
      <w:r>
        <w:rPr>
          <w:rFonts w:ascii="Arial" w:hAnsi="Arial" w:cs="Arial"/>
          <w:noProof/>
          <w:color w:val="000000" w:themeColor="text1"/>
        </w:rPr>
        <w:t>(Hartwig, Davey Smith, &amp; Bowden, 2017)</w:t>
      </w:r>
      <w:r w:rsidRPr="007B0F00">
        <w:rPr>
          <w:rFonts w:ascii="Arial" w:hAnsi="Arial" w:cs="Arial"/>
          <w:color w:val="000000" w:themeColor="text1"/>
        </w:rPr>
        <w:t xml:space="preserve">. Each makes different assumptions about the presence of pleiotropy. </w:t>
      </w:r>
      <w:r>
        <w:rPr>
          <w:rFonts w:ascii="Arial" w:hAnsi="Arial" w:cs="Arial"/>
          <w:color w:val="000000" w:themeColor="text1"/>
        </w:rPr>
        <w:t>A</w:t>
      </w:r>
      <w:r w:rsidRPr="007B0F00">
        <w:rPr>
          <w:rFonts w:ascii="Arial" w:hAnsi="Arial" w:cs="Arial"/>
          <w:color w:val="000000" w:themeColor="text1"/>
        </w:rPr>
        <w:t xml:space="preserve"> consistent direction of effect across all four methods provides the strongest evidence for a causal effect. We further calculated the MR Egger intercept, a</w:t>
      </w:r>
      <w:r>
        <w:rPr>
          <w:rFonts w:ascii="Arial" w:hAnsi="Arial" w:cs="Arial"/>
          <w:color w:val="000000" w:themeColor="text1"/>
        </w:rPr>
        <w:t xml:space="preserve">n indicator of directional pleiotropy </w:t>
      </w:r>
      <w:r>
        <w:rPr>
          <w:rFonts w:ascii="Arial" w:hAnsi="Arial" w:cs="Arial"/>
          <w:noProof/>
          <w:color w:val="000000" w:themeColor="text1"/>
        </w:rPr>
        <w:t>(Bowden et al., 2015)</w:t>
      </w:r>
      <w:r w:rsidRPr="007B0F00">
        <w:rPr>
          <w:rFonts w:ascii="Arial" w:hAnsi="Arial" w:cs="Arial"/>
          <w:color w:val="000000" w:themeColor="text1"/>
        </w:rPr>
        <w:t xml:space="preserve">. </w:t>
      </w:r>
      <w:r>
        <w:rPr>
          <w:rFonts w:ascii="Arial" w:hAnsi="Arial" w:cs="Arial"/>
          <w:color w:val="000000" w:themeColor="text1"/>
        </w:rPr>
        <w:t xml:space="preserve">Finally, </w:t>
      </w:r>
      <w:proofErr w:type="spellStart"/>
      <w:r>
        <w:rPr>
          <w:rFonts w:ascii="Arial" w:hAnsi="Arial" w:cs="Arial"/>
          <w:color w:val="000000" w:themeColor="text1"/>
        </w:rPr>
        <w:t>Steiger</w:t>
      </w:r>
      <w:proofErr w:type="spellEnd"/>
      <w:r>
        <w:rPr>
          <w:rFonts w:ascii="Arial" w:hAnsi="Arial" w:cs="Arial"/>
          <w:color w:val="000000" w:themeColor="text1"/>
        </w:rPr>
        <w:t xml:space="preserve"> filtering was used to confirm the hypothesised direction of effect </w:t>
      </w:r>
      <w:r>
        <w:rPr>
          <w:rFonts w:ascii="Arial" w:hAnsi="Arial" w:cs="Arial"/>
          <w:noProof/>
          <w:color w:val="000000" w:themeColor="text1"/>
        </w:rPr>
        <w:t>(Hemani, Tilling, &amp; Davey Smith, 2017)</w:t>
      </w:r>
      <w:r>
        <w:rPr>
          <w:rFonts w:ascii="Arial" w:hAnsi="Arial" w:cs="Arial"/>
          <w:color w:val="000000" w:themeColor="text1"/>
        </w:rPr>
        <w:t xml:space="preserve">. Here, each SNP is examined individually to ensure that it explains more variance in the exposure than outcome. If a SNP explains more variance in the outcome, this could indicate that the outcome actually precedes the exposure on the causal pathway. Where this occurs, all analyses are re-run with these SNPs removed. </w:t>
      </w:r>
      <w:r w:rsidRPr="007B0F00">
        <w:rPr>
          <w:rFonts w:ascii="Arial" w:hAnsi="Arial" w:cs="Arial"/>
          <w:lang w:val="en-US"/>
        </w:rPr>
        <w:t xml:space="preserve">All analyses were conducted using </w:t>
      </w:r>
      <w:r w:rsidRPr="007B0F00">
        <w:rPr>
          <w:rFonts w:ascii="Arial" w:hAnsi="Arial" w:cs="Arial"/>
          <w:color w:val="000000" w:themeColor="text1"/>
        </w:rPr>
        <w:t>MR Base, a package for two-sampl</w:t>
      </w:r>
      <w:r>
        <w:rPr>
          <w:rFonts w:ascii="Arial" w:hAnsi="Arial" w:cs="Arial"/>
          <w:color w:val="000000" w:themeColor="text1"/>
        </w:rPr>
        <w:t xml:space="preserve">e MR </w:t>
      </w:r>
      <w:r>
        <w:rPr>
          <w:rFonts w:ascii="Arial" w:hAnsi="Arial" w:cs="Arial"/>
          <w:noProof/>
          <w:color w:val="000000" w:themeColor="text1"/>
        </w:rPr>
        <w:t>(Hemani et al., 2018)</w:t>
      </w:r>
      <w:r w:rsidRPr="007B0F00">
        <w:rPr>
          <w:rFonts w:ascii="Arial" w:hAnsi="Arial" w:cs="Arial"/>
          <w:color w:val="000000" w:themeColor="text1"/>
        </w:rPr>
        <w:t xml:space="preserve"> in R (</w:t>
      </w:r>
      <w:r w:rsidRPr="007B0F00">
        <w:rPr>
          <w:rFonts w:ascii="Arial" w:hAnsi="Arial" w:cs="Arial"/>
          <w:lang w:val="en-US"/>
        </w:rPr>
        <w:t>R. Core Team., 2013).</w:t>
      </w:r>
      <w:r>
        <w:rPr>
          <w:rFonts w:ascii="Arial" w:hAnsi="Arial" w:cs="Arial"/>
          <w:lang w:val="en-US"/>
        </w:rPr>
        <w:t xml:space="preserve"> </w:t>
      </w:r>
    </w:p>
    <w:p w:rsidR="007368F5" w:rsidRDefault="007368F5" w:rsidP="00910EC8">
      <w:pPr>
        <w:spacing w:after="0" w:line="480" w:lineRule="auto"/>
        <w:ind w:firstLine="720"/>
        <w:rPr>
          <w:rFonts w:ascii="Arial" w:hAnsi="Arial" w:cs="Arial"/>
          <w:lang w:val="en-US"/>
        </w:rPr>
      </w:pPr>
      <w:r>
        <w:rPr>
          <w:rFonts w:ascii="Arial" w:hAnsi="Arial" w:cs="Arial"/>
          <w:lang w:val="en-US"/>
        </w:rPr>
        <w:t xml:space="preserve">As a sensitivity analysis, multivariable MR (MVMR) was performed to investigate the independent effects of genetic liability to ADHD and smoking on cognitive ability and educational attainment </w:t>
      </w:r>
      <w:r>
        <w:rPr>
          <w:rFonts w:ascii="Arial" w:hAnsi="Arial" w:cs="Arial"/>
          <w:noProof/>
          <w:lang w:val="en-US"/>
        </w:rPr>
        <w:t>(Burgess &amp; Thompson, 2015; Sanderson, Davey Smith, Windmeijer, &amp; Bowden, 2018)</w:t>
      </w:r>
      <w:r>
        <w:rPr>
          <w:rFonts w:ascii="Arial" w:hAnsi="Arial" w:cs="Arial"/>
          <w:lang w:val="en-US"/>
        </w:rPr>
        <w:t xml:space="preserve">. If genetic liability to smoking initiation includes elements of impulsivity, or other related (e.g., risk-taking) traits, simultaneously modelling genetic liability to ADHD (as a marker of impulsivity) and smoking should help to disentangle this relationship. MVMR is an extension of MR that uses genetic </w:t>
      </w:r>
      <w:r>
        <w:rPr>
          <w:rFonts w:ascii="Arial" w:hAnsi="Arial" w:cs="Arial"/>
          <w:lang w:val="en-US"/>
        </w:rPr>
        <w:lastRenderedPageBreak/>
        <w:t xml:space="preserve">variants associated with multiple exposures to simultaneously model the causal effect of each exposure on the outcome </w:t>
      </w:r>
      <w:r>
        <w:rPr>
          <w:rFonts w:ascii="Arial" w:hAnsi="Arial" w:cs="Arial"/>
          <w:noProof/>
          <w:lang w:val="en-US"/>
        </w:rPr>
        <w:t>(Burgess &amp; Thompson, 2015)</w:t>
      </w:r>
      <w:r>
        <w:rPr>
          <w:rFonts w:ascii="Arial" w:hAnsi="Arial" w:cs="Arial"/>
          <w:lang w:val="en-US"/>
        </w:rPr>
        <w:t>. These analyses were performed in the ALSPAC dataset from Study One.</w:t>
      </w:r>
    </w:p>
    <w:p w:rsidR="007368F5" w:rsidRPr="00411234" w:rsidRDefault="007368F5" w:rsidP="00D124EE">
      <w:pPr>
        <w:spacing w:after="0" w:line="480" w:lineRule="auto"/>
        <w:ind w:firstLine="720"/>
        <w:rPr>
          <w:rFonts w:ascii="Arial" w:hAnsi="Arial" w:cs="Arial"/>
        </w:rPr>
      </w:pPr>
      <w:r>
        <w:rPr>
          <w:rFonts w:ascii="Arial" w:hAnsi="Arial" w:cs="Arial"/>
        </w:rPr>
        <w:t xml:space="preserve">Further sensitivity analyses using the ALSPAC dataset investigated associations between a standardised polygenic risk score for lifetime smoking, and smoking initiation with IQ measured at age 8 using the WISC. This was to investigate the association between genetic variants associated with smoking and the outcome of interest prior to any smoking having occurred, as a negative control to test the assumption of MR that these genetic variants have no direct effect on general cognitive ability aside from via smoking. There was no appropriate educational attainment variable in ALSPAC at this age, therefore we were unable to do the same for this outcome. Polygenic risk scores were calculated using PLINK ‘score’ command. Genome-wide significant SNPs were identified in the previous GWAS of lifetime smoking (Wootton et al., 2018) and smoking initiation </w:t>
      </w:r>
      <w:r>
        <w:rPr>
          <w:rFonts w:ascii="Arial" w:hAnsi="Arial" w:cs="Arial"/>
          <w:noProof/>
        </w:rPr>
        <w:t>(Liu et al., 2019)</w:t>
      </w:r>
      <w:r>
        <w:rPr>
          <w:rFonts w:ascii="Arial" w:hAnsi="Arial" w:cs="Arial"/>
        </w:rPr>
        <w:t xml:space="preserve"> and weighted by the effect sizes found in these GWAS. The WISC continuous total score was used as the outcome. We also conducted MVMR on this negative control outcome of general cognitive ability at age 8 years, including the ADHD SNPs mentioned above, to explore the independent effects of genetic liability for smoking and impulsivity in our negative control design.</w:t>
      </w:r>
    </w:p>
    <w:p w:rsidR="007368F5" w:rsidRPr="007B0F00" w:rsidRDefault="007368F5" w:rsidP="00E750AA">
      <w:pPr>
        <w:spacing w:after="0" w:line="480" w:lineRule="auto"/>
        <w:rPr>
          <w:rFonts w:ascii="Arial" w:hAnsi="Arial" w:cs="Arial"/>
        </w:rPr>
      </w:pPr>
    </w:p>
    <w:p w:rsidR="007368F5" w:rsidRPr="00431F3E" w:rsidRDefault="007368F5" w:rsidP="00431F3E">
      <w:pPr>
        <w:spacing w:after="0" w:line="480" w:lineRule="auto"/>
        <w:rPr>
          <w:rFonts w:ascii="Arial" w:hAnsi="Arial" w:cs="Arial"/>
          <w:b/>
        </w:rPr>
      </w:pPr>
      <w:r>
        <w:rPr>
          <w:rFonts w:ascii="Arial" w:hAnsi="Arial" w:cs="Arial"/>
          <w:b/>
        </w:rPr>
        <w:t>Results</w:t>
      </w:r>
    </w:p>
    <w:p w:rsidR="007368F5" w:rsidRDefault="007368F5" w:rsidP="00E750AA">
      <w:pPr>
        <w:pStyle w:val="NormalWeb"/>
        <w:shd w:val="clear" w:color="auto" w:fill="FFFFFF"/>
        <w:spacing w:before="0" w:beforeAutospacing="0" w:after="0" w:afterAutospacing="0" w:line="480" w:lineRule="auto"/>
        <w:rPr>
          <w:rFonts w:ascii="Arial" w:hAnsi="Arial" w:cs="Arial"/>
          <w:sz w:val="22"/>
          <w:szCs w:val="22"/>
        </w:rPr>
      </w:pPr>
    </w:p>
    <w:p w:rsidR="007368F5" w:rsidRDefault="007368F5" w:rsidP="00823E78">
      <w:pPr>
        <w:spacing w:after="0" w:line="480" w:lineRule="auto"/>
        <w:rPr>
          <w:rFonts w:ascii="Arial" w:hAnsi="Arial" w:cs="Arial"/>
        </w:rPr>
      </w:pPr>
      <w:r w:rsidRPr="00F90000">
        <w:rPr>
          <w:rFonts w:ascii="Arial" w:hAnsi="Arial" w:cs="Arial"/>
          <w:i/>
        </w:rPr>
        <w:t>Educational attainment</w:t>
      </w:r>
      <w:r>
        <w:rPr>
          <w:rFonts w:ascii="Arial" w:hAnsi="Arial" w:cs="Arial"/>
          <w:i/>
        </w:rPr>
        <w:t xml:space="preserve"> (MR of summary data)</w:t>
      </w:r>
      <w:r w:rsidRPr="00F90000">
        <w:rPr>
          <w:rFonts w:ascii="Arial" w:hAnsi="Arial" w:cs="Arial"/>
          <w:i/>
        </w:rPr>
        <w:t>.</w:t>
      </w:r>
      <w:r>
        <w:rPr>
          <w:rFonts w:ascii="Arial" w:hAnsi="Arial" w:cs="Arial"/>
        </w:rPr>
        <w:t xml:space="preserve"> </w:t>
      </w:r>
    </w:p>
    <w:p w:rsidR="007368F5" w:rsidRDefault="007368F5" w:rsidP="00644B6D">
      <w:pPr>
        <w:spacing w:after="0" w:line="480" w:lineRule="auto"/>
        <w:ind w:firstLine="720"/>
        <w:rPr>
          <w:rFonts w:ascii="Arial" w:hAnsi="Arial" w:cs="Arial"/>
          <w:color w:val="000000" w:themeColor="text1"/>
        </w:rPr>
      </w:pPr>
      <w:r w:rsidRPr="00E6361B">
        <w:rPr>
          <w:rFonts w:ascii="Arial" w:hAnsi="Arial" w:cs="Arial"/>
          <w:i/>
          <w:iCs/>
          <w:color w:val="000000" w:themeColor="text1"/>
        </w:rPr>
        <w:t>Univariable MR.</w:t>
      </w:r>
      <w:r>
        <w:rPr>
          <w:rFonts w:ascii="Arial" w:hAnsi="Arial" w:cs="Arial"/>
          <w:color w:val="000000" w:themeColor="text1"/>
        </w:rPr>
        <w:t xml:space="preserve"> </w:t>
      </w:r>
      <w:r>
        <w:rPr>
          <w:rFonts w:ascii="Arial" w:hAnsi="Arial" w:cs="Arial"/>
        </w:rPr>
        <w:t xml:space="preserve">Of the 126 SNPs associated with lifetime smoking </w:t>
      </w:r>
      <w:r>
        <w:rPr>
          <w:rFonts w:ascii="Arial" w:hAnsi="Arial" w:cs="Arial"/>
          <w:noProof/>
        </w:rPr>
        <w:t>(Wootton et al., 2019</w:t>
      </w:r>
      <w:proofErr w:type="gramStart"/>
      <w:r>
        <w:rPr>
          <w:rFonts w:ascii="Arial" w:hAnsi="Arial" w:cs="Arial"/>
          <w:noProof/>
        </w:rPr>
        <w:t>)</w:t>
      </w:r>
      <w:r>
        <w:rPr>
          <w:rFonts w:ascii="Arial" w:hAnsi="Arial" w:cs="Arial"/>
        </w:rPr>
        <w:t xml:space="preserve"> ,</w:t>
      </w:r>
      <w:proofErr w:type="gramEnd"/>
      <w:r>
        <w:rPr>
          <w:rFonts w:ascii="Arial" w:hAnsi="Arial" w:cs="Arial"/>
        </w:rPr>
        <w:t xml:space="preserve"> </w:t>
      </w:r>
      <w:r>
        <w:rPr>
          <w:rFonts w:ascii="Arial" w:hAnsi="Arial" w:cs="Arial"/>
          <w:color w:val="000000" w:themeColor="text1"/>
        </w:rPr>
        <w:t>a</w:t>
      </w:r>
      <w:r w:rsidRPr="007B0F00">
        <w:rPr>
          <w:rFonts w:ascii="Arial" w:hAnsi="Arial" w:cs="Arial"/>
          <w:color w:val="000000" w:themeColor="text1"/>
        </w:rPr>
        <w:t xml:space="preserve">ll were available </w:t>
      </w:r>
      <w:r>
        <w:rPr>
          <w:rFonts w:ascii="Arial" w:hAnsi="Arial" w:cs="Arial"/>
          <w:color w:val="000000" w:themeColor="text1"/>
        </w:rPr>
        <w:t>in</w:t>
      </w:r>
      <w:r w:rsidRPr="007B0F00">
        <w:rPr>
          <w:rFonts w:ascii="Arial" w:hAnsi="Arial" w:cs="Arial"/>
          <w:color w:val="000000" w:themeColor="text1"/>
        </w:rPr>
        <w:t xml:space="preserve"> the GWAS of educati</w:t>
      </w:r>
      <w:r>
        <w:rPr>
          <w:rFonts w:ascii="Arial" w:hAnsi="Arial" w:cs="Arial"/>
          <w:color w:val="000000" w:themeColor="text1"/>
        </w:rPr>
        <w:t xml:space="preserve">onal attainment </w:t>
      </w:r>
      <w:r>
        <w:rPr>
          <w:rFonts w:ascii="Arial" w:hAnsi="Arial" w:cs="Arial"/>
          <w:noProof/>
          <w:color w:val="000000" w:themeColor="text1"/>
        </w:rPr>
        <w:t>(Okbay et al., 2016)</w:t>
      </w:r>
      <w:r>
        <w:rPr>
          <w:rFonts w:ascii="Arial" w:hAnsi="Arial" w:cs="Arial"/>
          <w:color w:val="000000" w:themeColor="text1"/>
        </w:rPr>
        <w:t xml:space="preserve"> and the GWAS of cognitive ability (</w:t>
      </w:r>
      <w:r w:rsidRPr="000155B3">
        <w:rPr>
          <w:rFonts w:ascii="Arial" w:hAnsi="Arial" w:cs="Arial"/>
          <w:color w:val="000000" w:themeColor="text1"/>
        </w:rPr>
        <w:t>http://www.nealelab.is/uk-biobank/</w:t>
      </w:r>
      <w:r>
        <w:rPr>
          <w:rFonts w:ascii="Arial" w:hAnsi="Arial" w:cs="Arial"/>
          <w:color w:val="000000" w:themeColor="text1"/>
        </w:rPr>
        <w:t>)</w:t>
      </w:r>
      <w:r w:rsidRPr="007B0F00">
        <w:rPr>
          <w:rFonts w:ascii="Arial" w:hAnsi="Arial" w:cs="Arial"/>
          <w:color w:val="000000" w:themeColor="text1"/>
        </w:rPr>
        <w:t xml:space="preserve">. Of the </w:t>
      </w:r>
      <w:r>
        <w:rPr>
          <w:rFonts w:ascii="Arial" w:hAnsi="Arial" w:cs="Arial"/>
          <w:color w:val="000000" w:themeColor="text1"/>
        </w:rPr>
        <w:t>378</w:t>
      </w:r>
      <w:r w:rsidRPr="007B0F00">
        <w:rPr>
          <w:rFonts w:ascii="Arial" w:hAnsi="Arial" w:cs="Arial"/>
          <w:color w:val="000000" w:themeColor="text1"/>
        </w:rPr>
        <w:t xml:space="preserve"> SNPs associated with smoking initiation </w:t>
      </w:r>
      <w:r>
        <w:rPr>
          <w:rFonts w:ascii="Arial" w:hAnsi="Arial" w:cs="Arial"/>
          <w:noProof/>
          <w:color w:val="000000" w:themeColor="text1"/>
        </w:rPr>
        <w:t>(Liu et al., 2019)</w:t>
      </w:r>
      <w:r w:rsidRPr="007B0F00">
        <w:rPr>
          <w:rFonts w:ascii="Arial" w:hAnsi="Arial" w:cs="Arial"/>
          <w:color w:val="000000" w:themeColor="text1"/>
        </w:rPr>
        <w:t xml:space="preserve">, </w:t>
      </w:r>
      <w:r>
        <w:rPr>
          <w:rFonts w:ascii="Arial" w:hAnsi="Arial" w:cs="Arial"/>
          <w:color w:val="000000" w:themeColor="text1"/>
        </w:rPr>
        <w:t>371</w:t>
      </w:r>
      <w:r w:rsidRPr="007B0F00">
        <w:rPr>
          <w:rFonts w:ascii="Arial" w:hAnsi="Arial" w:cs="Arial"/>
          <w:color w:val="000000" w:themeColor="text1"/>
        </w:rPr>
        <w:t xml:space="preserve"> were available in the </w:t>
      </w:r>
      <w:r>
        <w:rPr>
          <w:rFonts w:ascii="Arial" w:hAnsi="Arial" w:cs="Arial"/>
          <w:color w:val="000000" w:themeColor="text1"/>
        </w:rPr>
        <w:t xml:space="preserve">GWAS of educational attainment </w:t>
      </w:r>
      <w:r>
        <w:rPr>
          <w:rFonts w:ascii="Arial" w:hAnsi="Arial" w:cs="Arial"/>
          <w:noProof/>
          <w:color w:val="000000" w:themeColor="text1"/>
        </w:rPr>
        <w:t>(Okbay et al., 2016)</w:t>
      </w:r>
      <w:r>
        <w:rPr>
          <w:rFonts w:ascii="Arial" w:hAnsi="Arial" w:cs="Arial"/>
          <w:color w:val="000000" w:themeColor="text1"/>
        </w:rPr>
        <w:t xml:space="preserve"> and 376 were </w:t>
      </w:r>
      <w:r>
        <w:rPr>
          <w:rFonts w:ascii="Arial" w:hAnsi="Arial" w:cs="Arial"/>
          <w:color w:val="000000" w:themeColor="text1"/>
        </w:rPr>
        <w:lastRenderedPageBreak/>
        <w:t>available in the GWAS of cognitive ability (</w:t>
      </w:r>
      <w:r w:rsidRPr="000155B3">
        <w:rPr>
          <w:rFonts w:ascii="Arial" w:hAnsi="Arial" w:cs="Arial"/>
          <w:color w:val="000000" w:themeColor="text1"/>
        </w:rPr>
        <w:t>http://www.nealelab.is/uk-biobank/</w:t>
      </w:r>
      <w:r>
        <w:rPr>
          <w:rFonts w:ascii="Arial" w:hAnsi="Arial" w:cs="Arial"/>
          <w:color w:val="000000" w:themeColor="text1"/>
        </w:rPr>
        <w:t>)</w:t>
      </w:r>
      <w:r w:rsidRPr="007B0F00">
        <w:rPr>
          <w:rFonts w:ascii="Arial" w:hAnsi="Arial" w:cs="Arial"/>
          <w:color w:val="000000" w:themeColor="text1"/>
        </w:rPr>
        <w:t>.</w:t>
      </w:r>
      <w:r>
        <w:rPr>
          <w:rFonts w:ascii="Arial" w:hAnsi="Arial" w:cs="Arial"/>
          <w:color w:val="000000" w:themeColor="text1"/>
        </w:rPr>
        <w:t xml:space="preserve"> For both smoking phenotypes, there was a consistent adverse effect of smoking on educational attainment across all four MR methods (see Table 4). The evidence was strongest for the effect of smoking initiation on educational attainment with genetic risk for smoking initiation associated with a 0.39 SD decrease in years of schooling (equating to 1.4 years of schooling) </w:t>
      </w:r>
      <w:r w:rsidRPr="007B0F00">
        <w:rPr>
          <w:rFonts w:ascii="Arial" w:hAnsi="Arial" w:cs="Arial"/>
          <w:color w:val="000000" w:themeColor="text1"/>
        </w:rPr>
        <w:t>(</w:t>
      </w:r>
      <w:r>
        <w:rPr>
          <w:rFonts w:ascii="Arial" w:hAnsi="Arial" w:cs="Arial"/>
          <w:color w:val="000000" w:themeColor="text1"/>
        </w:rPr>
        <w:t xml:space="preserve">95% CI </w:t>
      </w:r>
      <w:r w:rsidRPr="00D96C42">
        <w:rPr>
          <w:rFonts w:ascii="Arial" w:hAnsi="Arial" w:cs="Arial"/>
          <w:color w:val="000000" w:themeColor="text1"/>
        </w:rPr>
        <w:t>-0.456</w:t>
      </w:r>
      <w:r>
        <w:rPr>
          <w:rFonts w:ascii="Arial" w:hAnsi="Arial" w:cs="Arial"/>
          <w:color w:val="000000" w:themeColor="text1"/>
        </w:rPr>
        <w:t xml:space="preserve"> to</w:t>
      </w:r>
      <w:r w:rsidRPr="00D96C42">
        <w:rPr>
          <w:rFonts w:ascii="Arial" w:hAnsi="Arial" w:cs="Arial"/>
          <w:color w:val="000000" w:themeColor="text1"/>
        </w:rPr>
        <w:t xml:space="preserve"> -0.330</w:t>
      </w:r>
      <w:r>
        <w:rPr>
          <w:rFonts w:ascii="Arial" w:hAnsi="Arial" w:cs="Arial"/>
          <w:color w:val="000000" w:themeColor="text1"/>
        </w:rPr>
        <w:t xml:space="preserve">, P = </w:t>
      </w:r>
      <w:r>
        <w:rPr>
          <w:rFonts w:ascii="Arial" w:hAnsi="Arial" w:cs="Arial"/>
          <w:color w:val="000000"/>
        </w:rPr>
        <w:t>1.35</w:t>
      </w:r>
      <w:r w:rsidRPr="007B0F00">
        <w:rPr>
          <w:rFonts w:ascii="Arial" w:hAnsi="Arial" w:cs="Arial"/>
          <w:color w:val="000000"/>
        </w:rPr>
        <w:t xml:space="preserve"> x 10</w:t>
      </w:r>
      <w:r w:rsidRPr="007B0F00">
        <w:rPr>
          <w:rFonts w:ascii="Arial" w:hAnsi="Arial" w:cs="Arial"/>
          <w:color w:val="000000"/>
          <w:vertAlign w:val="superscript"/>
        </w:rPr>
        <w:t>-</w:t>
      </w:r>
      <w:r>
        <w:rPr>
          <w:rFonts w:ascii="Arial" w:hAnsi="Arial" w:cs="Arial"/>
          <w:color w:val="000000"/>
          <w:vertAlign w:val="superscript"/>
        </w:rPr>
        <w:t>34</w:t>
      </w:r>
      <w:r w:rsidRPr="007B0F00">
        <w:rPr>
          <w:rFonts w:ascii="Arial" w:hAnsi="Arial" w:cs="Arial"/>
          <w:color w:val="000000" w:themeColor="text1"/>
        </w:rPr>
        <w:t>)</w:t>
      </w:r>
      <w:r>
        <w:rPr>
          <w:rFonts w:ascii="Arial" w:hAnsi="Arial" w:cs="Arial"/>
          <w:color w:val="000000" w:themeColor="text1"/>
        </w:rPr>
        <w:t xml:space="preserve">. Both MR Egger intercepts suggested weak evidence of directional pleiotropy. After </w:t>
      </w:r>
      <w:proofErr w:type="spellStart"/>
      <w:r>
        <w:rPr>
          <w:rFonts w:ascii="Arial" w:hAnsi="Arial" w:cs="Arial"/>
          <w:color w:val="000000" w:themeColor="text1"/>
        </w:rPr>
        <w:t>Steiger</w:t>
      </w:r>
      <w:proofErr w:type="spellEnd"/>
      <w:r>
        <w:rPr>
          <w:rFonts w:ascii="Arial" w:hAnsi="Arial" w:cs="Arial"/>
          <w:color w:val="000000" w:themeColor="text1"/>
        </w:rPr>
        <w:t xml:space="preserve"> filtering, 94% of SNPs were retained for the lifetime smoking analysis, and 75% of SNPs for the smoking initiation analysis (see Table 5), and the resultant analyses found strong evidence for an effect of smoking on educational attainment (e.g., for lifetime smoking, using 119 of the 126 original SNPs IVW MR </w:t>
      </w:r>
      <w:r w:rsidRPr="00D96C42">
        <w:rPr>
          <w:rFonts w:ascii="Arial" w:hAnsi="Arial" w:cs="Arial"/>
          <w:color w:val="000000" w:themeColor="text1"/>
        </w:rPr>
        <w:t>-0.359</w:t>
      </w:r>
      <w:r>
        <w:rPr>
          <w:rFonts w:ascii="Arial" w:hAnsi="Arial" w:cs="Arial"/>
          <w:color w:val="000000" w:themeColor="text1"/>
        </w:rPr>
        <w:t xml:space="preserve">, 95% CI </w:t>
      </w:r>
      <w:r w:rsidRPr="00D96C42">
        <w:rPr>
          <w:rFonts w:ascii="Arial" w:hAnsi="Arial" w:cs="Arial"/>
          <w:color w:val="000000" w:themeColor="text1"/>
        </w:rPr>
        <w:t>-0.418</w:t>
      </w:r>
      <w:r>
        <w:rPr>
          <w:rFonts w:ascii="Arial" w:hAnsi="Arial" w:cs="Arial"/>
          <w:color w:val="000000" w:themeColor="text1"/>
        </w:rPr>
        <w:t xml:space="preserve"> to</w:t>
      </w:r>
      <w:r w:rsidRPr="00D96C42">
        <w:rPr>
          <w:rFonts w:ascii="Arial" w:hAnsi="Arial" w:cs="Arial"/>
          <w:color w:val="000000" w:themeColor="text1"/>
        </w:rPr>
        <w:t xml:space="preserve"> -0.299</w:t>
      </w:r>
      <w:r>
        <w:rPr>
          <w:rFonts w:ascii="Arial" w:hAnsi="Arial" w:cs="Arial"/>
          <w:color w:val="000000" w:themeColor="text1"/>
        </w:rPr>
        <w:t>, P = 1.81 x 10</w:t>
      </w:r>
      <w:r>
        <w:rPr>
          <w:rFonts w:ascii="Arial" w:hAnsi="Arial" w:cs="Arial"/>
          <w:color w:val="000000" w:themeColor="text1"/>
          <w:vertAlign w:val="superscript"/>
        </w:rPr>
        <w:t>-32</w:t>
      </w:r>
      <w:r>
        <w:rPr>
          <w:rFonts w:ascii="Arial" w:hAnsi="Arial" w:cs="Arial"/>
          <w:color w:val="000000" w:themeColor="text1"/>
        </w:rPr>
        <w:t>).</w:t>
      </w:r>
    </w:p>
    <w:p w:rsidR="007368F5" w:rsidRDefault="007368F5" w:rsidP="00431F3E">
      <w:pPr>
        <w:spacing w:after="0" w:line="480" w:lineRule="auto"/>
        <w:ind w:firstLine="720"/>
        <w:rPr>
          <w:rFonts w:ascii="Arial" w:hAnsi="Arial" w:cs="Arial"/>
          <w:color w:val="000000" w:themeColor="text1"/>
        </w:rPr>
      </w:pPr>
      <w:r>
        <w:rPr>
          <w:rFonts w:ascii="Arial" w:hAnsi="Arial" w:cs="Arial"/>
          <w:i/>
          <w:color w:val="000000" w:themeColor="text1"/>
        </w:rPr>
        <w:t xml:space="preserve">Multivariable MR. </w:t>
      </w:r>
      <w:r>
        <w:rPr>
          <w:rFonts w:ascii="Arial" w:hAnsi="Arial" w:cs="Arial"/>
          <w:color w:val="000000" w:themeColor="text1"/>
        </w:rPr>
        <w:t>When estimating the independent causal effects of genetic liability to ADHD and smoking initiation, there was strong evidence of a negative effect of genetic liability to ADHD on educational attainment (-0.064, 95% CI: -0.088, -0.041, p=6.86x10</w:t>
      </w:r>
      <w:r w:rsidRPr="00D36D75">
        <w:rPr>
          <w:rFonts w:ascii="Arial" w:hAnsi="Arial" w:cs="Arial"/>
          <w:color w:val="000000" w:themeColor="text1"/>
          <w:vertAlign w:val="superscript"/>
        </w:rPr>
        <w:t>-8</w:t>
      </w:r>
      <w:r>
        <w:rPr>
          <w:rFonts w:ascii="Arial" w:hAnsi="Arial" w:cs="Arial"/>
          <w:color w:val="000000" w:themeColor="text1"/>
        </w:rPr>
        <w:t>). We also found strong evidence of a negative effect of genetic liability to smoking initiation on educational attainment (-0.288, 95% CI -0.375 to -0.20, P = 2.33 x 10</w:t>
      </w:r>
      <w:r w:rsidRPr="00D36D75">
        <w:rPr>
          <w:rFonts w:ascii="Arial" w:hAnsi="Arial" w:cs="Arial"/>
          <w:color w:val="000000" w:themeColor="text1"/>
          <w:vertAlign w:val="superscript"/>
        </w:rPr>
        <w:t>-10</w:t>
      </w:r>
      <w:r>
        <w:rPr>
          <w:rFonts w:ascii="Arial" w:hAnsi="Arial" w:cs="Arial"/>
          <w:color w:val="000000" w:themeColor="text1"/>
        </w:rPr>
        <w:t>). Similar effects were found when looking at ADHD and lifetime smoking, with strong evidence of a negative effect of genetic liability to both ADHD (-0.073, 95% CI -0.104 to -0.042, P = 2.41x10</w:t>
      </w:r>
      <w:r w:rsidRPr="002C7022">
        <w:rPr>
          <w:rFonts w:ascii="Arial" w:hAnsi="Arial" w:cs="Arial"/>
          <w:color w:val="000000" w:themeColor="text1"/>
          <w:vertAlign w:val="superscript"/>
        </w:rPr>
        <w:t>-6</w:t>
      </w:r>
      <w:r>
        <w:rPr>
          <w:rFonts w:ascii="Arial" w:hAnsi="Arial" w:cs="Arial"/>
          <w:color w:val="000000" w:themeColor="text1"/>
        </w:rPr>
        <w:t>) and lifetime smoking (-0.279, 95% CI -0.362 to -0.197, P = 1.93x10</w:t>
      </w:r>
      <w:r w:rsidRPr="002C7022">
        <w:rPr>
          <w:rFonts w:ascii="Arial" w:hAnsi="Arial" w:cs="Arial"/>
          <w:color w:val="000000" w:themeColor="text1"/>
          <w:vertAlign w:val="superscript"/>
        </w:rPr>
        <w:t>-11</w:t>
      </w:r>
      <w:r>
        <w:rPr>
          <w:rFonts w:ascii="Arial" w:hAnsi="Arial" w:cs="Arial"/>
          <w:color w:val="000000" w:themeColor="text1"/>
        </w:rPr>
        <w:t>) on educational attainment.</w:t>
      </w:r>
      <w:r w:rsidRPr="00662ADF">
        <w:rPr>
          <w:rFonts w:ascii="Arial" w:hAnsi="Arial" w:cs="Arial"/>
          <w:color w:val="000000" w:themeColor="text1"/>
        </w:rPr>
        <w:t xml:space="preserve"> </w:t>
      </w:r>
      <w:r>
        <w:rPr>
          <w:rFonts w:ascii="Arial" w:hAnsi="Arial" w:cs="Arial"/>
          <w:color w:val="000000" w:themeColor="text1"/>
        </w:rPr>
        <w:t xml:space="preserve">These results are shown in Table 6. However, in both analyses, there was evidence of pleiotropy and instrument strength was weak (Supplementary Table S3). </w:t>
      </w:r>
    </w:p>
    <w:p w:rsidR="007368F5" w:rsidRDefault="007368F5" w:rsidP="00431F3E">
      <w:pPr>
        <w:spacing w:after="0" w:line="480" w:lineRule="auto"/>
        <w:ind w:firstLine="720"/>
        <w:rPr>
          <w:rFonts w:ascii="Arial" w:hAnsi="Arial" w:cs="Arial"/>
          <w:color w:val="000000" w:themeColor="text1"/>
        </w:rPr>
      </w:pPr>
    </w:p>
    <w:p w:rsidR="007368F5" w:rsidRDefault="007368F5" w:rsidP="00431F3E">
      <w:pPr>
        <w:spacing w:after="0" w:line="480" w:lineRule="auto"/>
        <w:ind w:firstLine="720"/>
        <w:rPr>
          <w:rFonts w:ascii="Arial" w:hAnsi="Arial" w:cs="Arial"/>
          <w:color w:val="000000" w:themeColor="text1"/>
        </w:rPr>
      </w:pPr>
      <w:r>
        <w:rPr>
          <w:rFonts w:ascii="Arial" w:hAnsi="Arial" w:cs="Arial"/>
          <w:color w:val="000000" w:themeColor="text1"/>
        </w:rPr>
        <w:t>Insert Table 6 about here</w:t>
      </w:r>
    </w:p>
    <w:p w:rsidR="007368F5" w:rsidRDefault="007368F5" w:rsidP="00160A90">
      <w:pPr>
        <w:spacing w:line="480" w:lineRule="auto"/>
        <w:rPr>
          <w:rFonts w:ascii="Arial" w:hAnsi="Arial" w:cs="Arial"/>
        </w:rPr>
      </w:pPr>
    </w:p>
    <w:p w:rsidR="007368F5" w:rsidRPr="00576C33" w:rsidRDefault="007368F5" w:rsidP="00E750AA">
      <w:pPr>
        <w:pStyle w:val="NormalWeb"/>
        <w:shd w:val="clear" w:color="auto" w:fill="FFFFFF"/>
        <w:spacing w:before="0" w:beforeAutospacing="0" w:after="0" w:afterAutospacing="0" w:line="480" w:lineRule="auto"/>
        <w:rPr>
          <w:rFonts w:ascii="Arial" w:hAnsi="Arial" w:cs="Arial"/>
          <w:i/>
          <w:sz w:val="22"/>
          <w:szCs w:val="22"/>
        </w:rPr>
      </w:pPr>
      <w:r w:rsidRPr="00576C33">
        <w:rPr>
          <w:rFonts w:ascii="Arial" w:hAnsi="Arial" w:cs="Arial"/>
          <w:i/>
          <w:sz w:val="22"/>
          <w:szCs w:val="22"/>
        </w:rPr>
        <w:t>General Cognitive Ability</w:t>
      </w:r>
    </w:p>
    <w:p w:rsidR="007368F5" w:rsidRDefault="007368F5" w:rsidP="00E750AA">
      <w:pPr>
        <w:pStyle w:val="NormalWeb"/>
        <w:shd w:val="clear" w:color="auto" w:fill="FFFFFF"/>
        <w:spacing w:before="0" w:beforeAutospacing="0" w:after="0" w:afterAutospacing="0" w:line="480" w:lineRule="auto"/>
        <w:rPr>
          <w:rFonts w:ascii="Arial" w:hAnsi="Arial" w:cs="Arial"/>
          <w:sz w:val="22"/>
          <w:szCs w:val="22"/>
        </w:rPr>
      </w:pPr>
      <w:r>
        <w:rPr>
          <w:rFonts w:ascii="Arial" w:hAnsi="Arial" w:cs="Arial"/>
          <w:sz w:val="22"/>
          <w:szCs w:val="22"/>
        </w:rPr>
        <w:tab/>
        <w:t xml:space="preserve">Analyses exploring the association between smoking and general cognitive ability were inconsistent, and sensitivity analyses indicated potential pleiotropic effects of the </w:t>
      </w:r>
      <w:r>
        <w:rPr>
          <w:rFonts w:ascii="Arial" w:hAnsi="Arial" w:cs="Arial"/>
          <w:sz w:val="22"/>
          <w:szCs w:val="22"/>
        </w:rPr>
        <w:lastRenderedPageBreak/>
        <w:t>smoking SNPs. We found evidence of association of these with general cognitive ability at age 8 in ALSPAC, prior to smoking occurring, even after taking impulsive traits in to account (see Supplementary Results and Supplementary Table S6).</w:t>
      </w:r>
    </w:p>
    <w:p w:rsidR="007368F5" w:rsidRDefault="007368F5" w:rsidP="00E750AA">
      <w:pPr>
        <w:pStyle w:val="NormalWeb"/>
        <w:shd w:val="clear" w:color="auto" w:fill="FFFFFF"/>
        <w:spacing w:before="0" w:beforeAutospacing="0" w:after="0" w:afterAutospacing="0" w:line="480" w:lineRule="auto"/>
        <w:rPr>
          <w:rFonts w:ascii="Arial" w:hAnsi="Arial" w:cs="Arial"/>
          <w:sz w:val="22"/>
          <w:szCs w:val="22"/>
        </w:rPr>
      </w:pPr>
    </w:p>
    <w:p w:rsidR="007368F5" w:rsidRPr="00EF309C" w:rsidRDefault="007368F5" w:rsidP="00E750AA">
      <w:pPr>
        <w:pStyle w:val="NormalWeb"/>
        <w:shd w:val="clear" w:color="auto" w:fill="FFFFFF"/>
        <w:spacing w:before="0" w:beforeAutospacing="0" w:after="0" w:afterAutospacing="0" w:line="480" w:lineRule="auto"/>
        <w:rPr>
          <w:rFonts w:ascii="Arial" w:hAnsi="Arial" w:cs="Arial"/>
          <w:b/>
          <w:sz w:val="22"/>
          <w:szCs w:val="22"/>
        </w:rPr>
      </w:pPr>
      <w:r w:rsidRPr="00EF309C">
        <w:rPr>
          <w:rFonts w:ascii="Arial" w:hAnsi="Arial" w:cs="Arial"/>
          <w:b/>
          <w:sz w:val="22"/>
          <w:szCs w:val="22"/>
        </w:rPr>
        <w:t>Discussion</w:t>
      </w:r>
    </w:p>
    <w:p w:rsidR="007368F5" w:rsidRDefault="007368F5" w:rsidP="009974C2">
      <w:pPr>
        <w:pStyle w:val="NormalWeb"/>
        <w:shd w:val="clear" w:color="auto" w:fill="FFFFFF"/>
        <w:spacing w:before="0" w:beforeAutospacing="0" w:after="0" w:afterAutospacing="0" w:line="480" w:lineRule="auto"/>
        <w:ind w:firstLine="720"/>
        <w:rPr>
          <w:rFonts w:ascii="Arial" w:hAnsi="Arial" w:cs="Arial"/>
          <w:sz w:val="22"/>
          <w:szCs w:val="22"/>
        </w:rPr>
      </w:pPr>
      <w:r>
        <w:rPr>
          <w:rFonts w:ascii="Arial" w:hAnsi="Arial" w:cs="Arial"/>
          <w:sz w:val="22"/>
          <w:szCs w:val="22"/>
        </w:rPr>
        <w:t xml:space="preserve">These results provide some evidence for a causal effect of smoking on education. The results for cognitive ability are more mixed, but may indicate common genetic influence on both cognition and smoking. Interestingly, there was stronger evidence for pleiotropy in the analysis of lifetime smoking on educational attainment, compared with the analysis of smoking initiation on educational attainment. Given that educational attainment is largely realised by early adulthood, smoking initiation may be the more appropriate exposure to examine (unlike for most outcomes, where the effects of smoking develop over a lifetime of exposure). We have also previously shown that educational attainment impacts on smoking </w:t>
      </w:r>
      <w:r>
        <w:rPr>
          <w:rFonts w:ascii="Arial" w:hAnsi="Arial" w:cs="Arial"/>
          <w:noProof/>
          <w:sz w:val="22"/>
          <w:szCs w:val="22"/>
        </w:rPr>
        <w:t>(Davies et al., 2018; Gage et al., 2018; Sanderson et al., 2019)</w:t>
      </w:r>
      <w:r>
        <w:rPr>
          <w:rFonts w:ascii="Arial" w:hAnsi="Arial" w:cs="Arial"/>
          <w:sz w:val="22"/>
          <w:szCs w:val="22"/>
        </w:rPr>
        <w:t xml:space="preserve">, with these effects likely to continue to play out over the lifetime (e.g., via effects on heaviness of smoking and smoking cessation). Interestingly, multivariable MR analyses suggest that there is no independent effect of general cognitive ability on smoking when the effect of educational attainment is </w:t>
      </w:r>
      <w:proofErr w:type="gramStart"/>
      <w:r>
        <w:rPr>
          <w:rFonts w:ascii="Arial" w:hAnsi="Arial" w:cs="Arial"/>
          <w:sz w:val="22"/>
          <w:szCs w:val="22"/>
        </w:rPr>
        <w:t>taken into account</w:t>
      </w:r>
      <w:proofErr w:type="gramEnd"/>
      <w:r>
        <w:rPr>
          <w:rFonts w:ascii="Arial" w:hAnsi="Arial" w:cs="Arial"/>
          <w:sz w:val="22"/>
          <w:szCs w:val="22"/>
        </w:rPr>
        <w:t xml:space="preserve"> </w:t>
      </w:r>
      <w:r>
        <w:rPr>
          <w:rFonts w:ascii="Arial" w:hAnsi="Arial" w:cs="Arial"/>
          <w:noProof/>
          <w:sz w:val="22"/>
          <w:szCs w:val="22"/>
        </w:rPr>
        <w:t>(Sanderson et al., 2019)</w:t>
      </w:r>
      <w:r>
        <w:rPr>
          <w:rFonts w:ascii="Arial" w:hAnsi="Arial" w:cs="Arial"/>
          <w:sz w:val="22"/>
          <w:szCs w:val="22"/>
        </w:rPr>
        <w:t xml:space="preserve">. </w:t>
      </w:r>
    </w:p>
    <w:p w:rsidR="007368F5" w:rsidRDefault="007368F5" w:rsidP="00543999">
      <w:pPr>
        <w:pStyle w:val="NormalWeb"/>
        <w:shd w:val="clear" w:color="auto" w:fill="FFFFFF"/>
        <w:spacing w:before="0" w:beforeAutospacing="0" w:after="0" w:afterAutospacing="0" w:line="480" w:lineRule="auto"/>
        <w:ind w:firstLine="720"/>
        <w:rPr>
          <w:rFonts w:ascii="Arial" w:hAnsi="Arial" w:cs="Arial"/>
          <w:sz w:val="22"/>
          <w:szCs w:val="22"/>
        </w:rPr>
      </w:pPr>
      <w:r>
        <w:rPr>
          <w:rFonts w:ascii="Arial" w:hAnsi="Arial" w:cs="Arial"/>
          <w:sz w:val="22"/>
          <w:szCs w:val="22"/>
        </w:rPr>
        <w:t xml:space="preserve">Taken together, these results and our previous findings indicate the possibility of a complex, bidirectional causal relationship between smoking and educational attainment, which we explore further below, in the context of our findings in Study One. Evidence for the causal effect of smoking on cognition is more mixed. This is perhaps to be expected, as cognition is less susceptible to the impact of the environment than educational attainment is likely to be </w:t>
      </w:r>
      <w:r>
        <w:rPr>
          <w:rFonts w:ascii="Arial" w:hAnsi="Arial" w:cs="Arial"/>
          <w:noProof/>
          <w:sz w:val="22"/>
          <w:szCs w:val="22"/>
        </w:rPr>
        <w:t>(Ritchie &amp; Tucker-Drob, 2018)</w:t>
      </w:r>
      <w:r>
        <w:rPr>
          <w:rFonts w:ascii="Arial" w:hAnsi="Arial" w:cs="Arial"/>
          <w:sz w:val="22"/>
          <w:szCs w:val="22"/>
        </w:rPr>
        <w:t xml:space="preserve">. It is also important to bear in mind that MR analyses between lifetime smoking and cognitive ability were not possible due to the use of UK Biobank data in both the exposure and outcome GWAS. The implementation of </w:t>
      </w:r>
      <w:proofErr w:type="spellStart"/>
      <w:r>
        <w:rPr>
          <w:rFonts w:ascii="Arial" w:hAnsi="Arial" w:cs="Arial"/>
          <w:sz w:val="22"/>
          <w:szCs w:val="22"/>
        </w:rPr>
        <w:t>Steiger</w:t>
      </w:r>
      <w:proofErr w:type="spellEnd"/>
      <w:r>
        <w:rPr>
          <w:rFonts w:ascii="Arial" w:hAnsi="Arial" w:cs="Arial"/>
          <w:sz w:val="22"/>
          <w:szCs w:val="22"/>
        </w:rPr>
        <w:t xml:space="preserve"> filtering and subsequent removal of 86% of the 376 initial SNPs </w:t>
      </w:r>
      <w:r>
        <w:rPr>
          <w:rFonts w:ascii="Arial" w:hAnsi="Arial" w:cs="Arial"/>
          <w:sz w:val="22"/>
          <w:szCs w:val="22"/>
        </w:rPr>
        <w:lastRenderedPageBreak/>
        <w:t>may indicate evidence of reverse causality or a common biological cause, although power is reduced for these analyses due to the removal of identified SNPs.</w:t>
      </w:r>
      <w:r w:rsidRPr="009974C2">
        <w:rPr>
          <w:rFonts w:ascii="Arial" w:hAnsi="Arial" w:cs="Arial"/>
          <w:sz w:val="22"/>
          <w:szCs w:val="22"/>
        </w:rPr>
        <w:t xml:space="preserve"> </w:t>
      </w:r>
      <w:r>
        <w:rPr>
          <w:rFonts w:ascii="Arial" w:hAnsi="Arial" w:cs="Arial"/>
          <w:sz w:val="22"/>
          <w:szCs w:val="22"/>
        </w:rPr>
        <w:t xml:space="preserve">Critically, the results of our negative control analyses, which indicate that the genetic instruments for smoking are associated with general cognitive ability before individuals have begun smoking, suggests there may be direct effects of these variants on cognition. </w:t>
      </w:r>
      <w:bookmarkStart w:id="0" w:name="_Hlk42681710"/>
      <w:r>
        <w:rPr>
          <w:rFonts w:ascii="Arial" w:hAnsi="Arial" w:cs="Arial"/>
          <w:sz w:val="22"/>
          <w:szCs w:val="22"/>
        </w:rPr>
        <w:t>One possibility is that these variants capture a common mechanism (e.g., trait impulsivity) that has effects on both smoking and cognition. It is plausible that impulsivity during adolescence might impact on both educational attainment and likelihood of smoking directly. We explored this in our MVMR analysis, using variants associated with ADHD as a proxy for trait impulsivity. Whilst we found some evidence for independent effects of ADHD variants and smoking variants on the outcomes, there was also evidence of pleiotropy, and the instruments themselves were weak. We cannot exclude the possibility that variants associated with smoking initiation reflect a common mechanism (e.g. a broad impulsivity phenotype not adequately captured using ADHD), are predictive of maternal smoking during pregnancy, or that smoking could be on the causal pathway between trait impulsivity and educational attainment or cognition. It will be important to address these questions in future research.</w:t>
      </w:r>
      <w:bookmarkEnd w:id="0"/>
    </w:p>
    <w:p w:rsidR="007368F5" w:rsidRDefault="007368F5" w:rsidP="00E750AA">
      <w:pPr>
        <w:pStyle w:val="NormalWeb"/>
        <w:shd w:val="clear" w:color="auto" w:fill="FFFFFF"/>
        <w:spacing w:before="0" w:beforeAutospacing="0" w:after="0" w:afterAutospacing="0" w:line="480" w:lineRule="auto"/>
        <w:rPr>
          <w:rFonts w:ascii="Arial" w:hAnsi="Arial" w:cs="Arial"/>
          <w:sz w:val="22"/>
          <w:szCs w:val="22"/>
        </w:rPr>
      </w:pPr>
    </w:p>
    <w:p w:rsidR="007368F5" w:rsidRPr="00E750AA" w:rsidRDefault="007368F5" w:rsidP="00E750AA">
      <w:pPr>
        <w:pStyle w:val="NormalWeb"/>
        <w:shd w:val="clear" w:color="auto" w:fill="FFFFFF"/>
        <w:spacing w:before="0" w:beforeAutospacing="0" w:after="0" w:afterAutospacing="0" w:line="480" w:lineRule="auto"/>
        <w:jc w:val="center"/>
        <w:rPr>
          <w:rFonts w:ascii="Arial" w:hAnsi="Arial" w:cs="Arial"/>
          <w:b/>
          <w:sz w:val="22"/>
          <w:szCs w:val="22"/>
        </w:rPr>
      </w:pPr>
      <w:r w:rsidRPr="00E750AA">
        <w:rPr>
          <w:rFonts w:ascii="Arial" w:hAnsi="Arial" w:cs="Arial"/>
          <w:b/>
          <w:sz w:val="22"/>
          <w:szCs w:val="22"/>
        </w:rPr>
        <w:t>General Discussion</w:t>
      </w:r>
    </w:p>
    <w:p w:rsidR="007368F5" w:rsidRDefault="007368F5" w:rsidP="00EF309C">
      <w:pPr>
        <w:pStyle w:val="NormalWeb"/>
        <w:shd w:val="clear" w:color="auto" w:fill="FFFFFF"/>
        <w:spacing w:before="0" w:beforeAutospacing="0" w:after="0" w:afterAutospacing="0" w:line="480" w:lineRule="auto"/>
        <w:rPr>
          <w:rFonts w:ascii="Arial" w:hAnsi="Arial" w:cs="Arial"/>
          <w:sz w:val="22"/>
          <w:szCs w:val="22"/>
        </w:rPr>
      </w:pPr>
      <w:r>
        <w:rPr>
          <w:rFonts w:ascii="Arial" w:hAnsi="Arial" w:cs="Arial"/>
          <w:sz w:val="22"/>
          <w:szCs w:val="22"/>
        </w:rPr>
        <w:tab/>
        <w:t>Our study provides observational evidence that smoking is associated with reduced general cognitive ability and educational attainment (Study One), and MR evidence that smoking may have a causal effect on educational attainment (Study Two). This supports the importance of preventive interventions in schools to reduce the uptake of smoking in young people. The triangulation of results across different methods, each with their own strengths, limitations and sources of bias, is an important strength of our approach.</w:t>
      </w:r>
    </w:p>
    <w:p w:rsidR="007368F5" w:rsidRDefault="007368F5" w:rsidP="00E52348">
      <w:pPr>
        <w:pStyle w:val="NormalWeb"/>
        <w:shd w:val="clear" w:color="auto" w:fill="FFFFFF"/>
        <w:spacing w:before="0" w:beforeAutospacing="0" w:after="0" w:afterAutospacing="0" w:line="480" w:lineRule="auto"/>
        <w:ind w:firstLine="720"/>
        <w:rPr>
          <w:rFonts w:ascii="Arial" w:hAnsi="Arial" w:cs="Arial"/>
          <w:noProof/>
          <w:sz w:val="22"/>
          <w:szCs w:val="22"/>
        </w:rPr>
      </w:pPr>
      <w:r>
        <w:rPr>
          <w:rFonts w:ascii="Arial" w:hAnsi="Arial" w:cs="Arial"/>
          <w:sz w:val="22"/>
          <w:szCs w:val="22"/>
        </w:rPr>
        <w:t>However, there are</w:t>
      </w:r>
      <w:r w:rsidRPr="00413F58">
        <w:rPr>
          <w:rFonts w:ascii="Arial" w:hAnsi="Arial" w:cs="Arial"/>
          <w:sz w:val="22"/>
          <w:szCs w:val="22"/>
        </w:rPr>
        <w:t xml:space="preserve"> a number of limitations</w:t>
      </w:r>
      <w:r>
        <w:rPr>
          <w:rFonts w:ascii="Arial" w:hAnsi="Arial" w:cs="Arial"/>
          <w:sz w:val="22"/>
          <w:szCs w:val="22"/>
        </w:rPr>
        <w:t xml:space="preserve"> to this study that should be considered</w:t>
      </w:r>
      <w:r w:rsidRPr="00413F58">
        <w:rPr>
          <w:rFonts w:ascii="Arial" w:hAnsi="Arial" w:cs="Arial"/>
          <w:sz w:val="22"/>
          <w:szCs w:val="22"/>
        </w:rPr>
        <w:t xml:space="preserve">. </w:t>
      </w:r>
      <w:r>
        <w:rPr>
          <w:rFonts w:ascii="Arial" w:hAnsi="Arial" w:cs="Arial"/>
          <w:sz w:val="22"/>
          <w:szCs w:val="22"/>
        </w:rPr>
        <w:t>First</w:t>
      </w:r>
      <w:r w:rsidRPr="00413F58">
        <w:rPr>
          <w:rFonts w:ascii="Arial" w:hAnsi="Arial" w:cs="Arial"/>
          <w:sz w:val="22"/>
          <w:szCs w:val="22"/>
        </w:rPr>
        <w:t>, smo</w:t>
      </w:r>
      <w:r>
        <w:rPr>
          <w:rFonts w:ascii="Arial" w:hAnsi="Arial" w:cs="Arial"/>
          <w:sz w:val="22"/>
          <w:szCs w:val="22"/>
        </w:rPr>
        <w:t xml:space="preserve">king was based on self-report </w:t>
      </w:r>
      <w:r w:rsidRPr="00413F58">
        <w:rPr>
          <w:rFonts w:ascii="Arial" w:hAnsi="Arial" w:cs="Arial"/>
          <w:sz w:val="22"/>
          <w:szCs w:val="22"/>
        </w:rPr>
        <w:t>as there was no objective measure available</w:t>
      </w:r>
      <w:r>
        <w:rPr>
          <w:rFonts w:ascii="Arial" w:hAnsi="Arial" w:cs="Arial"/>
          <w:sz w:val="22"/>
          <w:szCs w:val="22"/>
        </w:rPr>
        <w:t xml:space="preserve"> in either our observational or MR analyses</w:t>
      </w:r>
      <w:r w:rsidRPr="00413F58">
        <w:rPr>
          <w:rFonts w:ascii="Arial" w:hAnsi="Arial" w:cs="Arial"/>
          <w:sz w:val="22"/>
          <w:szCs w:val="22"/>
        </w:rPr>
        <w:t xml:space="preserve">. </w:t>
      </w:r>
      <w:r>
        <w:rPr>
          <w:rFonts w:ascii="Arial" w:hAnsi="Arial" w:cs="Arial"/>
          <w:sz w:val="22"/>
          <w:szCs w:val="22"/>
        </w:rPr>
        <w:t>Second</w:t>
      </w:r>
      <w:r w:rsidRPr="00413F58">
        <w:rPr>
          <w:rFonts w:ascii="Arial" w:hAnsi="Arial" w:cs="Arial"/>
          <w:sz w:val="22"/>
          <w:szCs w:val="22"/>
        </w:rPr>
        <w:t xml:space="preserve">, </w:t>
      </w:r>
      <w:r>
        <w:rPr>
          <w:rFonts w:ascii="Arial" w:hAnsi="Arial" w:cs="Arial"/>
          <w:sz w:val="22"/>
          <w:szCs w:val="22"/>
        </w:rPr>
        <w:t xml:space="preserve">in our observational analyses, </w:t>
      </w:r>
      <w:r w:rsidRPr="00413F58">
        <w:rPr>
          <w:rFonts w:ascii="Arial" w:hAnsi="Arial" w:cs="Arial"/>
          <w:sz w:val="22"/>
          <w:szCs w:val="22"/>
        </w:rPr>
        <w:t xml:space="preserve">the WASI was not used in its entirety and therefore the estimated score was less reliable than a full IQ </w:t>
      </w:r>
      <w:r w:rsidRPr="00413F58">
        <w:rPr>
          <w:rFonts w:ascii="Arial" w:hAnsi="Arial" w:cs="Arial"/>
          <w:sz w:val="22"/>
          <w:szCs w:val="22"/>
        </w:rPr>
        <w:lastRenderedPageBreak/>
        <w:t>score (</w:t>
      </w:r>
      <w:r w:rsidRPr="00413F58">
        <w:rPr>
          <w:rFonts w:ascii="Arial" w:hAnsi="Arial" w:cs="Arial"/>
          <w:noProof/>
          <w:sz w:val="22"/>
          <w:szCs w:val="22"/>
        </w:rPr>
        <w:t xml:space="preserve">Mokrysz et al., 2016). </w:t>
      </w:r>
      <w:r>
        <w:rPr>
          <w:rFonts w:ascii="Arial" w:hAnsi="Arial" w:cs="Arial"/>
          <w:noProof/>
          <w:sz w:val="22"/>
          <w:szCs w:val="22"/>
        </w:rPr>
        <w:t>Third</w:t>
      </w:r>
      <w:r w:rsidRPr="00413F58">
        <w:rPr>
          <w:rFonts w:ascii="Arial" w:hAnsi="Arial" w:cs="Arial"/>
          <w:noProof/>
          <w:sz w:val="22"/>
          <w:szCs w:val="22"/>
        </w:rPr>
        <w:t xml:space="preserve">, our </w:t>
      </w:r>
      <w:r>
        <w:rPr>
          <w:rFonts w:ascii="Arial" w:hAnsi="Arial" w:cs="Arial"/>
          <w:noProof/>
          <w:sz w:val="22"/>
          <w:szCs w:val="22"/>
        </w:rPr>
        <w:t xml:space="preserve">observational </w:t>
      </w:r>
      <w:r w:rsidRPr="00413F58">
        <w:rPr>
          <w:rFonts w:ascii="Arial" w:hAnsi="Arial" w:cs="Arial"/>
          <w:noProof/>
          <w:sz w:val="22"/>
          <w:szCs w:val="22"/>
        </w:rPr>
        <w:t xml:space="preserve">analyses </w:t>
      </w:r>
      <w:r>
        <w:rPr>
          <w:rFonts w:ascii="Arial" w:hAnsi="Arial" w:cs="Arial"/>
          <w:noProof/>
          <w:sz w:val="22"/>
          <w:szCs w:val="22"/>
        </w:rPr>
        <w:t xml:space="preserve">are cross sectional, meaning reverse causality cannot be ruled out, although we attempt to minimise any impact by adjusting for earlier cognitive ability or educational attainment. Fourth, we </w:t>
      </w:r>
      <w:r w:rsidRPr="00413F58">
        <w:rPr>
          <w:rFonts w:ascii="Arial" w:hAnsi="Arial" w:cs="Arial"/>
          <w:noProof/>
          <w:sz w:val="22"/>
          <w:szCs w:val="22"/>
        </w:rPr>
        <w:t xml:space="preserve">cannot exclude </w:t>
      </w:r>
      <w:r>
        <w:rPr>
          <w:rFonts w:ascii="Arial" w:hAnsi="Arial" w:cs="Arial"/>
          <w:noProof/>
          <w:sz w:val="22"/>
          <w:szCs w:val="22"/>
        </w:rPr>
        <w:t xml:space="preserve">the possibility that </w:t>
      </w:r>
      <w:r w:rsidRPr="00413F58">
        <w:rPr>
          <w:rFonts w:ascii="Arial" w:hAnsi="Arial" w:cs="Arial"/>
          <w:noProof/>
          <w:sz w:val="22"/>
          <w:szCs w:val="22"/>
        </w:rPr>
        <w:t xml:space="preserve">a common risk factor </w:t>
      </w:r>
      <w:r>
        <w:rPr>
          <w:rFonts w:ascii="Arial" w:hAnsi="Arial" w:cs="Arial"/>
          <w:noProof/>
          <w:sz w:val="22"/>
          <w:szCs w:val="22"/>
        </w:rPr>
        <w:t>is operating that influences</w:t>
      </w:r>
      <w:r w:rsidRPr="00413F58">
        <w:rPr>
          <w:rFonts w:ascii="Arial" w:hAnsi="Arial" w:cs="Arial"/>
          <w:noProof/>
          <w:sz w:val="22"/>
          <w:szCs w:val="22"/>
        </w:rPr>
        <w:t xml:space="preserve"> both smoking and lower cognitive abilities and </w:t>
      </w:r>
      <w:r>
        <w:rPr>
          <w:rFonts w:ascii="Arial" w:hAnsi="Arial" w:cs="Arial"/>
          <w:noProof/>
          <w:sz w:val="22"/>
          <w:szCs w:val="22"/>
        </w:rPr>
        <w:t>educational</w:t>
      </w:r>
      <w:r w:rsidRPr="00413F58">
        <w:rPr>
          <w:rFonts w:ascii="Arial" w:hAnsi="Arial" w:cs="Arial"/>
          <w:noProof/>
          <w:sz w:val="22"/>
          <w:szCs w:val="22"/>
        </w:rPr>
        <w:t xml:space="preserve"> attainment</w:t>
      </w:r>
      <w:r>
        <w:rPr>
          <w:rFonts w:ascii="Arial" w:hAnsi="Arial" w:cs="Arial"/>
          <w:noProof/>
          <w:sz w:val="22"/>
          <w:szCs w:val="22"/>
        </w:rPr>
        <w:t>, for example impulsivity</w:t>
      </w:r>
      <w:r w:rsidRPr="00413F58">
        <w:rPr>
          <w:rFonts w:ascii="Arial" w:hAnsi="Arial" w:cs="Arial"/>
          <w:noProof/>
          <w:sz w:val="22"/>
          <w:szCs w:val="22"/>
        </w:rPr>
        <w:t>.</w:t>
      </w:r>
      <w:r>
        <w:rPr>
          <w:rFonts w:ascii="Arial" w:hAnsi="Arial" w:cs="Arial"/>
          <w:noProof/>
          <w:sz w:val="22"/>
          <w:szCs w:val="22"/>
        </w:rPr>
        <w:t xml:space="preserve"> </w:t>
      </w:r>
      <w:r>
        <w:rPr>
          <w:rFonts w:ascii="Arial" w:hAnsi="Arial" w:cs="Arial"/>
          <w:sz w:val="22"/>
          <w:szCs w:val="22"/>
        </w:rPr>
        <w:t xml:space="preserve">Fifth, whilst MR can in some circumstances provide more precise estimates of causal effects, this is not advisable when cigarette smoking is the exposure </w:t>
      </w:r>
      <w:r>
        <w:rPr>
          <w:rFonts w:ascii="Arial" w:hAnsi="Arial" w:cs="Arial"/>
          <w:noProof/>
          <w:sz w:val="22"/>
          <w:szCs w:val="22"/>
        </w:rPr>
        <w:t>(Taylor et al., 2014)</w:t>
      </w:r>
      <w:r>
        <w:rPr>
          <w:rFonts w:ascii="Arial" w:hAnsi="Arial" w:cs="Arial"/>
          <w:sz w:val="22"/>
          <w:szCs w:val="22"/>
        </w:rPr>
        <w:t xml:space="preserve">. Sixth, genetic variants exert their effects across the lifespan, but we were interested in an exposure during a particular developmental period. We therefore triangulated results of conventional observational analyses in a dataset that provided the temporal granularity to focus on this period with those of MR analyses, which in principle support stronger causal inference </w:t>
      </w:r>
      <w:r>
        <w:rPr>
          <w:rFonts w:ascii="Arial" w:hAnsi="Arial" w:cs="Arial"/>
          <w:noProof/>
          <w:sz w:val="22"/>
          <w:szCs w:val="22"/>
        </w:rPr>
        <w:t>(Holmes, Ala-Korpela, &amp; Smith, 2017)</w:t>
      </w:r>
      <w:r>
        <w:rPr>
          <w:rFonts w:ascii="Arial" w:hAnsi="Arial" w:cs="Arial"/>
          <w:sz w:val="22"/>
          <w:szCs w:val="22"/>
        </w:rPr>
        <w:t>.</w:t>
      </w:r>
    </w:p>
    <w:p w:rsidR="007368F5" w:rsidRDefault="007368F5" w:rsidP="00E52348">
      <w:pPr>
        <w:pStyle w:val="NormalWeb"/>
        <w:shd w:val="clear" w:color="auto" w:fill="FFFFFF"/>
        <w:spacing w:before="0" w:beforeAutospacing="0" w:after="0" w:afterAutospacing="0" w:line="480" w:lineRule="auto"/>
        <w:ind w:firstLine="720"/>
        <w:rPr>
          <w:rFonts w:ascii="Arial" w:hAnsi="Arial" w:cs="Arial"/>
          <w:noProof/>
          <w:sz w:val="22"/>
          <w:szCs w:val="22"/>
        </w:rPr>
      </w:pPr>
      <w:r>
        <w:rPr>
          <w:rFonts w:ascii="Arial" w:hAnsi="Arial" w:cs="Arial"/>
          <w:noProof/>
          <w:sz w:val="22"/>
          <w:szCs w:val="22"/>
        </w:rPr>
        <w:t xml:space="preserve">MR should in principle allow us to assess the potential causal pathway between smoking and education without confounding from socio-demographic factors, if the assumptions of MR have been met. However, if individuals who smoke are more likely to reproduce with other individuals who smoke, as some studies have indicated (Agrawal et al., 2006), the assumptions required by MR may not hold. Given the social patterning of smoking behaviour, cigarette use might be a marker for many aspects of deprivation that would likely impact on years of education (for example, the need to leave school to begin employment), an interpretation that cannot be ruled out by these data. </w:t>
      </w:r>
    </w:p>
    <w:p w:rsidR="007368F5" w:rsidRDefault="007368F5" w:rsidP="00E52348">
      <w:pPr>
        <w:pStyle w:val="NormalWeb"/>
        <w:shd w:val="clear" w:color="auto" w:fill="FFFFFF"/>
        <w:spacing w:before="0" w:beforeAutospacing="0" w:after="0" w:afterAutospacing="0" w:line="480" w:lineRule="auto"/>
        <w:ind w:firstLine="720"/>
        <w:rPr>
          <w:rFonts w:ascii="Arial" w:hAnsi="Arial" w:cs="Arial"/>
          <w:noProof/>
          <w:sz w:val="22"/>
          <w:szCs w:val="22"/>
        </w:rPr>
      </w:pPr>
      <w:r>
        <w:rPr>
          <w:rFonts w:ascii="Arial" w:hAnsi="Arial" w:cs="Arial"/>
          <w:noProof/>
          <w:sz w:val="22"/>
          <w:szCs w:val="22"/>
        </w:rPr>
        <w:t xml:space="preserve">Relatedly, it may be the case that the phenotypes used are capturing different phenotypes to those intended. Asking an individual whether they have ever tried smoking, for example, may capture traits such as impulsivity or risk-taking, rather than smoking itself (although in the GSCAN GWAS participants had to have smoked 100 cigarettes in their lifetime or been a regular smoker at some point). The results of our negative control analyses in ALSPAC provide some evidence for this possibility. Triangulation of results using Steiger filtering and negative control analyses indicated that the genetic variants associated with smoking initiation have pleiotropic effects, and MVMR analyses using genetic variants </w:t>
      </w:r>
      <w:r>
        <w:rPr>
          <w:rFonts w:ascii="Arial" w:hAnsi="Arial" w:cs="Arial"/>
          <w:noProof/>
          <w:sz w:val="22"/>
          <w:szCs w:val="22"/>
        </w:rPr>
        <w:lastRenderedPageBreak/>
        <w:t>associated with ADHD as a proxy for trait impulsivity was not sufficient to account for this. This highlights the importance of conducting and triangulating sensitivity analyses to test MR assumptions.</w:t>
      </w:r>
    </w:p>
    <w:p w:rsidR="007368F5" w:rsidRDefault="007368F5" w:rsidP="00AE43C0">
      <w:pPr>
        <w:pStyle w:val="NormalWeb"/>
        <w:shd w:val="clear" w:color="auto" w:fill="FFFFFF"/>
        <w:spacing w:before="0" w:beforeAutospacing="0" w:after="0" w:afterAutospacing="0" w:line="480" w:lineRule="auto"/>
        <w:ind w:firstLine="720"/>
        <w:rPr>
          <w:rFonts w:ascii="Arial" w:hAnsi="Arial" w:cs="Arial"/>
          <w:noProof/>
          <w:sz w:val="22"/>
          <w:szCs w:val="22"/>
        </w:rPr>
      </w:pPr>
      <w:r>
        <w:rPr>
          <w:rFonts w:ascii="Arial" w:hAnsi="Arial" w:cs="Arial"/>
          <w:noProof/>
          <w:sz w:val="22"/>
          <w:szCs w:val="22"/>
        </w:rPr>
        <w:t xml:space="preserve">Therefore, whilst our results suggest that smoking may have a causal effect on educational attainment above and beyond the effects of impulsivity (again using ADHD as a proxy for impulsivity), a more complex pattern is possible. Smoking may lie on the causal pathway between impulsive traits and cognition and education, or the genetic variants associated with smoking initiation may be pleiotropic, and directly influence cognition, which in turn influences educational outcomes (meaning that smoking does not play a causal role). This warrants further research, as it is not possible to resolve this uncertainty in our data. Crucially, there is evidence from other studies using different designs that do not have these limitations, which suggests that smoking might causally impact on educational attainment. This includes instrumental variable analyses in different cultural settings (Zhao, Konishi, &amp; Glewwe, 2010), allowing for further triangulation of results. </w:t>
      </w:r>
    </w:p>
    <w:p w:rsidR="007368F5" w:rsidRPr="00413F58" w:rsidRDefault="007368F5" w:rsidP="00FF06BF">
      <w:pPr>
        <w:pStyle w:val="NormalWeb"/>
        <w:shd w:val="clear" w:color="auto" w:fill="FFFFFF"/>
        <w:spacing w:before="0" w:beforeAutospacing="0" w:after="0" w:afterAutospacing="0" w:line="480" w:lineRule="auto"/>
        <w:ind w:firstLine="720"/>
        <w:rPr>
          <w:rFonts w:ascii="Arial" w:hAnsi="Arial" w:cs="Arial"/>
          <w:sz w:val="22"/>
          <w:szCs w:val="22"/>
        </w:rPr>
      </w:pPr>
      <w:r>
        <w:rPr>
          <w:rFonts w:ascii="Arial" w:hAnsi="Arial" w:cs="Arial"/>
          <w:noProof/>
          <w:sz w:val="22"/>
          <w:szCs w:val="22"/>
        </w:rPr>
        <w:t xml:space="preserve">It has long been suggested that nicotine may be a cognitive enhancer, which is apparently paradoxical given our results. The mechanisms by which cigarette use might impact on educational attainment are harder to elucidate. There is some evidence to suggest </w:t>
      </w:r>
      <w:r>
        <w:rPr>
          <w:rFonts w:ascii="Arial" w:hAnsi="Arial" w:cs="Arial"/>
          <w:noProof/>
          <w:sz w:val="22"/>
          <w:szCs w:val="22"/>
        </w:rPr>
        <w:lastRenderedPageBreak/>
        <w:t xml:space="preserve">that smoking may lead to adverse mental health outcomes, or externalising behaviours (Gage et al., 2017). It is possible that these, in turn, could influence educational outcomes and/or cognitive ability; alternatively, effects may be socially-mediated (for example, via peer groups where smoking </w:t>
      </w:r>
      <w:r>
        <w:rPr>
          <w:rFonts w:ascii="Arial" w:hAnsi="Arial" w:cs="Arial"/>
          <w:noProof/>
          <w:sz w:val="22"/>
          <w:szCs w:val="22"/>
        </w:rPr>
        <w:lastRenderedPageBreak/>
        <w:t xml:space="preserve">is common, leading in turn to other activities that impact on educational outcomes). However, our data cannot interrogate these possibilities directly. </w:t>
      </w:r>
    </w:p>
    <w:p w:rsidR="007368F5" w:rsidRDefault="007368F5" w:rsidP="001231BE">
      <w:pPr>
        <w:autoSpaceDE w:val="0"/>
        <w:autoSpaceDN w:val="0"/>
        <w:adjustRightInd w:val="0"/>
        <w:spacing w:after="0" w:line="480" w:lineRule="auto"/>
        <w:ind w:firstLine="720"/>
        <w:rPr>
          <w:rFonts w:ascii="Arial" w:hAnsi="Arial" w:cs="Arial"/>
        </w:rPr>
      </w:pPr>
      <w:r>
        <w:rPr>
          <w:rFonts w:ascii="Arial" w:hAnsi="Arial" w:cs="Arial"/>
        </w:rPr>
        <w:t>We used two different methodologies to investigate the link between smoking and education and cognitive ability. Results from both studies suggest that smoking may affect educational attainment as early in life as adolescence. While both methods used have limitations, they have different limitations, and therefore the consistency across both methods – together with evidence from other studies – provides greater confidence in our results. Future research should also explore the potentially complex causal pathways (and potentially non-causal associations) between cognitive ability, educational outcomes, smoking, and other phenotypes such as a general tendency to risk-taking or impulsivity. If smoking does have a causal effect on educational outcomes, it will be important to ascertain the mechanisms that underpin this. This, in turn, could inform early interventions aimed at preventing smoking uptake, for example within the school environment, as these could support higher educational attainment and, ultimately, reduce the health and social inequality that derives from both smoking and low education.</w:t>
      </w:r>
    </w:p>
    <w:p w:rsidR="007368F5" w:rsidRPr="00411234" w:rsidRDefault="007368F5" w:rsidP="001231BE">
      <w:pPr>
        <w:autoSpaceDE w:val="0"/>
        <w:autoSpaceDN w:val="0"/>
        <w:adjustRightInd w:val="0"/>
        <w:spacing w:after="0" w:line="480" w:lineRule="auto"/>
        <w:ind w:firstLine="720"/>
        <w:rPr>
          <w:rFonts w:ascii="Arial" w:hAnsi="Arial" w:cs="Arial"/>
        </w:rPr>
      </w:pPr>
    </w:p>
    <w:p w:rsidR="007368F5" w:rsidRDefault="007368F5">
      <w:pPr>
        <w:rPr>
          <w:rFonts w:ascii="Arial" w:hAnsi="Arial" w:cs="Arial"/>
          <w:b/>
        </w:rPr>
      </w:pPr>
      <w:r>
        <w:rPr>
          <w:rFonts w:ascii="Arial" w:hAnsi="Arial" w:cs="Arial"/>
          <w:b/>
        </w:rPr>
        <w:br w:type="page"/>
      </w:r>
    </w:p>
    <w:p w:rsidR="007368F5" w:rsidRDefault="007368F5" w:rsidP="00EC0AFE">
      <w:pPr>
        <w:jc w:val="center"/>
        <w:rPr>
          <w:rFonts w:ascii="Arial" w:hAnsi="Arial" w:cs="Arial"/>
          <w:b/>
        </w:rPr>
      </w:pPr>
      <w:r>
        <w:rPr>
          <w:rFonts w:ascii="Arial" w:hAnsi="Arial" w:cs="Arial"/>
          <w:b/>
        </w:rPr>
        <w:lastRenderedPageBreak/>
        <w:t>Acknowledgements</w:t>
      </w:r>
    </w:p>
    <w:p w:rsidR="007368F5" w:rsidRDefault="007368F5" w:rsidP="005716CD">
      <w:pPr>
        <w:autoSpaceDE w:val="0"/>
        <w:autoSpaceDN w:val="0"/>
        <w:adjustRightInd w:val="0"/>
        <w:spacing w:line="480" w:lineRule="auto"/>
        <w:ind w:firstLine="720"/>
        <w:rPr>
          <w:rFonts w:ascii="Arial" w:hAnsi="Arial" w:cs="Arial"/>
          <w:color w:val="000000" w:themeColor="text1"/>
        </w:rPr>
      </w:pPr>
      <w:r w:rsidRPr="005D0177">
        <w:rPr>
          <w:rFonts w:ascii="Arial" w:hAnsi="Arial" w:cs="Arial"/>
          <w:iCs/>
          <w:color w:val="000000"/>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The UK Medical Research Council and </w:t>
      </w:r>
      <w:proofErr w:type="spellStart"/>
      <w:r w:rsidRPr="005D0177">
        <w:rPr>
          <w:rFonts w:ascii="Arial" w:hAnsi="Arial" w:cs="Arial"/>
          <w:iCs/>
          <w:color w:val="000000"/>
        </w:rPr>
        <w:t>Wellcome</w:t>
      </w:r>
      <w:proofErr w:type="spellEnd"/>
      <w:r w:rsidRPr="005D0177">
        <w:rPr>
          <w:rFonts w:ascii="Arial" w:hAnsi="Arial" w:cs="Arial"/>
          <w:iCs/>
          <w:color w:val="000000"/>
        </w:rPr>
        <w:t xml:space="preserve"> </w:t>
      </w:r>
      <w:r>
        <w:rPr>
          <w:rFonts w:ascii="Arial" w:hAnsi="Arial" w:cs="Arial"/>
          <w:iCs/>
          <w:color w:val="000000"/>
        </w:rPr>
        <w:t xml:space="preserve">Trust </w:t>
      </w:r>
      <w:r w:rsidRPr="005D0177">
        <w:rPr>
          <w:rFonts w:ascii="Arial" w:hAnsi="Arial" w:cs="Arial"/>
          <w:iCs/>
          <w:color w:val="000000"/>
        </w:rPr>
        <w:t>(</w:t>
      </w:r>
      <w:r w:rsidRPr="00F11224">
        <w:rPr>
          <w:rFonts w:ascii="Arial" w:hAnsi="Arial" w:cs="Arial"/>
          <w:iCs/>
          <w:color w:val="000000"/>
        </w:rPr>
        <w:t>Grant ref: 102215/2/13/2) and the University of Bristol provide core support for ALSPAC.</w:t>
      </w:r>
      <w:r>
        <w:rPr>
          <w:rFonts w:ascii="Arial" w:hAnsi="Arial" w:cs="Arial"/>
          <w:iCs/>
          <w:color w:val="000000"/>
        </w:rPr>
        <w:t xml:space="preserve"> </w:t>
      </w:r>
      <w:r w:rsidRPr="00174112">
        <w:rPr>
          <w:rFonts w:ascii="Arial" w:hAnsi="Arial" w:cs="Arial"/>
          <w:iCs/>
          <w:color w:val="000000"/>
        </w:rPr>
        <w:t>MRM is a member of the UK Centre for Tobacco Control Studies, a UKCRC Public Health Research: Centre of Excellence. Funding from British Heart Foundation, Cancer Research UK, Economic and Social Research Council, Medical Research Council, and the National Institute for Health Research, under the auspices of the UK Clinical Research Collaboration, is gratefully acknowledged. This work was supported by the Medical Research Council (MC_UU_00011/</w:t>
      </w:r>
      <w:r>
        <w:rPr>
          <w:rFonts w:ascii="Arial" w:hAnsi="Arial" w:cs="Arial"/>
          <w:iCs/>
          <w:color w:val="000000"/>
        </w:rPr>
        <w:t xml:space="preserve">1, </w:t>
      </w:r>
      <w:r w:rsidRPr="00174112">
        <w:rPr>
          <w:rFonts w:ascii="Arial" w:hAnsi="Arial" w:cs="Arial"/>
          <w:iCs/>
          <w:color w:val="000000"/>
        </w:rPr>
        <w:t xml:space="preserve">MC_UU_00011/7), and the </w:t>
      </w:r>
      <w:r w:rsidRPr="00E522B7">
        <w:rPr>
          <w:rFonts w:ascii="Arial" w:hAnsi="Arial" w:cs="Arial"/>
          <w:color w:val="000000" w:themeColor="text1"/>
        </w:rPr>
        <w:t>NIHR Biomedical Research Centre at the University Hospitals Bristol NHS Foundation Trust and the University of Bristol. The views expressed in this publication are those of the authors and not necessarily those of the NHS, the National Institute for Health Research or the Department of Health and Social Care.</w:t>
      </w:r>
      <w:r>
        <w:rPr>
          <w:rFonts w:ascii="Arial" w:hAnsi="Arial" w:cs="Arial"/>
          <w:color w:val="000000" w:themeColor="text1"/>
        </w:rPr>
        <w:t xml:space="preserve"> The funders were not involved in any aspect of the study design, collection, analysis, interpretation of data, the writing of the report, or the submission to the journal.</w:t>
      </w:r>
      <w:r w:rsidRPr="00E522B7">
        <w:rPr>
          <w:rFonts w:ascii="Arial" w:hAnsi="Arial" w:cs="Arial"/>
          <w:color w:val="000000" w:themeColor="text1"/>
        </w:rPr>
        <w:t xml:space="preserve"> </w:t>
      </w:r>
    </w:p>
    <w:p w:rsidR="0021053D" w:rsidRDefault="0021053D" w:rsidP="005716CD">
      <w:pPr>
        <w:autoSpaceDE w:val="0"/>
        <w:autoSpaceDN w:val="0"/>
        <w:adjustRightInd w:val="0"/>
        <w:spacing w:line="480" w:lineRule="auto"/>
        <w:ind w:firstLine="720"/>
        <w:rPr>
          <w:rFonts w:ascii="Arial" w:hAnsi="Arial" w:cs="Arial"/>
          <w:iCs/>
          <w:color w:val="000000"/>
        </w:rPr>
      </w:pPr>
      <w:r>
        <w:rPr>
          <w:rFonts w:ascii="Arial" w:hAnsi="Arial" w:cs="Arial"/>
          <w:iCs/>
          <w:color w:val="000000"/>
        </w:rPr>
        <w:t>Conflicts of Interest: None</w:t>
      </w:r>
    </w:p>
    <w:p w:rsidR="007368F5" w:rsidRDefault="007368F5">
      <w:pPr>
        <w:rPr>
          <w:rFonts w:ascii="Arial" w:hAnsi="Arial" w:cs="Arial"/>
          <w:b/>
        </w:rPr>
      </w:pPr>
      <w:r>
        <w:rPr>
          <w:rFonts w:ascii="Arial" w:hAnsi="Arial" w:cs="Arial"/>
          <w:b/>
        </w:rPr>
        <w:br w:type="page"/>
      </w:r>
    </w:p>
    <w:p w:rsidR="007368F5" w:rsidRPr="000062F6" w:rsidRDefault="007368F5" w:rsidP="00EC0AFE">
      <w:pPr>
        <w:spacing w:after="0" w:line="480" w:lineRule="auto"/>
        <w:jc w:val="center"/>
        <w:rPr>
          <w:rFonts w:ascii="Arial" w:hAnsi="Arial" w:cs="Arial"/>
          <w:b/>
        </w:rPr>
      </w:pPr>
      <w:r w:rsidRPr="00644B6D">
        <w:rPr>
          <w:rFonts w:ascii="Arial" w:hAnsi="Arial" w:cs="Arial"/>
          <w:b/>
        </w:rPr>
        <w:lastRenderedPageBreak/>
        <w:t>References</w:t>
      </w:r>
    </w:p>
    <w:p w:rsidR="007368F5" w:rsidRPr="00514F7D" w:rsidRDefault="007368F5" w:rsidP="00514F7D">
      <w:pPr>
        <w:pStyle w:val="EndNoteBibliography"/>
        <w:spacing w:after="0"/>
        <w:ind w:left="720" w:hanging="720"/>
      </w:pPr>
      <w:r w:rsidRPr="00514F7D">
        <w:t xml:space="preserve">Agrawal, A., Heath, A. C., Grant, J. D., Pergadia, M. L., Statham, D. J., Bucholz, K. K., . . . Madden, P. A. (2006). Assortative mating for cigarette smoking and for alcohol consumption in female Australian twins and their spouses. </w:t>
      </w:r>
      <w:r w:rsidRPr="00514F7D">
        <w:rPr>
          <w:i/>
        </w:rPr>
        <w:t>Behav</w:t>
      </w:r>
      <w:r w:rsidR="001022D9">
        <w:rPr>
          <w:i/>
        </w:rPr>
        <w:t>ior</w:t>
      </w:r>
      <w:r w:rsidRPr="00514F7D">
        <w:rPr>
          <w:i/>
        </w:rPr>
        <w:t xml:space="preserve"> Genet</w:t>
      </w:r>
      <w:r w:rsidR="001022D9">
        <w:rPr>
          <w:i/>
        </w:rPr>
        <w:t>ics</w:t>
      </w:r>
      <w:r w:rsidRPr="00514F7D">
        <w:rPr>
          <w:i/>
        </w:rPr>
        <w:t>, 36</w:t>
      </w:r>
      <w:r w:rsidRPr="00514F7D">
        <w:t>(4), 553-566. doi:10.1007/s10519-006-9081-8</w:t>
      </w:r>
    </w:p>
    <w:p w:rsidR="007368F5" w:rsidRPr="00514F7D" w:rsidRDefault="007368F5" w:rsidP="00514F7D">
      <w:pPr>
        <w:pStyle w:val="EndNoteBibliography"/>
        <w:spacing w:after="0"/>
        <w:ind w:left="720" w:hanging="720"/>
      </w:pPr>
      <w:r w:rsidRPr="00514F7D">
        <w:t xml:space="preserve">Azouvi, P., Arnould, A., Dromer, E., &amp; Vallat-Azouvi, C. (2017). Neuropsychology of traumatic brain injury: An expert overview. </w:t>
      </w:r>
      <w:r w:rsidRPr="00514F7D">
        <w:rPr>
          <w:i/>
        </w:rPr>
        <w:t>Revue Neurologique (Paris), 173</w:t>
      </w:r>
      <w:r w:rsidRPr="00514F7D">
        <w:t>(7-8), 461-472. doi:10.1016/j.neurol.2017.07.006</w:t>
      </w:r>
    </w:p>
    <w:p w:rsidR="007368F5" w:rsidRPr="00514F7D" w:rsidRDefault="007368F5" w:rsidP="00514F7D">
      <w:pPr>
        <w:pStyle w:val="EndNoteBibliography"/>
        <w:spacing w:after="0"/>
        <w:ind w:left="720" w:hanging="720"/>
      </w:pPr>
      <w:r w:rsidRPr="00514F7D">
        <w:t xml:space="preserve">Beman, D. S. (1995). Risk factors leading to adolescent substance abuse. </w:t>
      </w:r>
      <w:r w:rsidRPr="00514F7D">
        <w:rPr>
          <w:i/>
        </w:rPr>
        <w:t>Journal of Adolescence, 30</w:t>
      </w:r>
      <w:r w:rsidRPr="00514F7D">
        <w:t xml:space="preserve">(117), 201-208. </w:t>
      </w:r>
    </w:p>
    <w:p w:rsidR="007368F5" w:rsidRPr="00514F7D" w:rsidRDefault="007368F5" w:rsidP="00514F7D">
      <w:pPr>
        <w:pStyle w:val="EndNoteBibliography"/>
        <w:spacing w:after="0"/>
        <w:ind w:left="720" w:hanging="720"/>
      </w:pPr>
      <w:r w:rsidRPr="00514F7D">
        <w:t xml:space="preserve">Bowden, J., Davey Smith, G., &amp; Burgess, S. (2015). Mendelian randomization with invalid instruments: effect estimation and bias detection through Egger regression. </w:t>
      </w:r>
      <w:r w:rsidRPr="00514F7D">
        <w:rPr>
          <w:i/>
        </w:rPr>
        <w:t>International Journal of Epidemiology, 44</w:t>
      </w:r>
      <w:r w:rsidRPr="00514F7D">
        <w:t>(2), 512-525. doi:10.1093/ije/dyv080</w:t>
      </w:r>
    </w:p>
    <w:p w:rsidR="007368F5" w:rsidRPr="00514F7D" w:rsidRDefault="007368F5" w:rsidP="00514F7D">
      <w:pPr>
        <w:pStyle w:val="EndNoteBibliography"/>
        <w:spacing w:after="0"/>
        <w:ind w:left="720" w:hanging="720"/>
      </w:pPr>
      <w:r w:rsidRPr="00514F7D">
        <w:t xml:space="preserve">Bowden, J., Davey Smith, G., Haycock, P. C., &amp; Burgess, S. (2016). Consistent Estimation in Mendelian Randomization with Some Invalid Instruments Using a Weighted Median Estimator. </w:t>
      </w:r>
      <w:r w:rsidRPr="00514F7D">
        <w:rPr>
          <w:i/>
        </w:rPr>
        <w:t>Genet</w:t>
      </w:r>
      <w:r w:rsidR="001022D9">
        <w:rPr>
          <w:i/>
        </w:rPr>
        <w:t>ic</w:t>
      </w:r>
      <w:r w:rsidRPr="00514F7D">
        <w:rPr>
          <w:i/>
        </w:rPr>
        <w:t xml:space="preserve"> Epidemiol</w:t>
      </w:r>
      <w:r w:rsidR="001022D9">
        <w:rPr>
          <w:i/>
        </w:rPr>
        <w:t>ogy</w:t>
      </w:r>
      <w:r w:rsidRPr="00514F7D">
        <w:rPr>
          <w:i/>
        </w:rPr>
        <w:t>, 40</w:t>
      </w:r>
      <w:r w:rsidRPr="00514F7D">
        <w:t>(4), 304-314. doi:10.1002/gepi.21965</w:t>
      </w:r>
    </w:p>
    <w:p w:rsidR="007368F5" w:rsidRPr="00514F7D" w:rsidRDefault="007368F5" w:rsidP="00514F7D">
      <w:pPr>
        <w:pStyle w:val="EndNoteBibliography"/>
        <w:spacing w:after="0"/>
        <w:ind w:left="720" w:hanging="720"/>
      </w:pPr>
      <w:r w:rsidRPr="00514F7D">
        <w:t xml:space="preserve">Boyd, A., Golding, J., Macleod, J., Lawlor, D. A., Fraser, A., Henderson, J., . . . Davey Smith, G. (2013). Cohort Profile: the 'children of the 90s'--the index offspring of the Avon Longitudinal Study of Parents and Children. </w:t>
      </w:r>
      <w:r w:rsidRPr="00514F7D">
        <w:rPr>
          <w:i/>
        </w:rPr>
        <w:t>International Journal of Epidemiology, 42</w:t>
      </w:r>
      <w:r w:rsidRPr="00514F7D">
        <w:t>(1), 111-127. doi:10.1093/ije/dys064</w:t>
      </w:r>
    </w:p>
    <w:p w:rsidR="007368F5" w:rsidRPr="00514F7D" w:rsidRDefault="007368F5" w:rsidP="00514F7D">
      <w:pPr>
        <w:pStyle w:val="EndNoteBibliography"/>
        <w:spacing w:after="0"/>
        <w:ind w:left="720" w:hanging="720"/>
      </w:pPr>
      <w:r w:rsidRPr="00514F7D">
        <w:t xml:space="preserve">Brunswick, A. F., &amp; Messeri, P. A. (1984). Origins of cigarette smoking in academic achievement, stress and social expectations: Does gender make a difference? </w:t>
      </w:r>
      <w:r w:rsidRPr="00514F7D">
        <w:rPr>
          <w:i/>
        </w:rPr>
        <w:t>The Journal of Early Adolescence, 4</w:t>
      </w:r>
      <w:r w:rsidRPr="00514F7D">
        <w:t>(4), 353-370. doi:</w:t>
      </w:r>
      <w:r w:rsidRPr="007368F5">
        <w:t>https://doi.org/10.1177/0272431684044006</w:t>
      </w:r>
    </w:p>
    <w:p w:rsidR="007368F5" w:rsidRPr="00514F7D" w:rsidRDefault="007368F5" w:rsidP="00514F7D">
      <w:pPr>
        <w:pStyle w:val="EndNoteBibliography"/>
        <w:spacing w:after="0"/>
        <w:ind w:left="720" w:hanging="720"/>
      </w:pPr>
      <w:r w:rsidRPr="00514F7D">
        <w:t xml:space="preserve">Burgess, S., &amp; Thompson, S. G. (2015). Multivariable Mendelian randomization: the use of pleiotropic genetic variants to estimate causal effects. </w:t>
      </w:r>
      <w:r w:rsidRPr="00514F7D">
        <w:rPr>
          <w:i/>
        </w:rPr>
        <w:t>Am</w:t>
      </w:r>
      <w:r w:rsidR="001022D9">
        <w:rPr>
          <w:i/>
        </w:rPr>
        <w:t>erican</w:t>
      </w:r>
      <w:r w:rsidRPr="00514F7D">
        <w:rPr>
          <w:i/>
        </w:rPr>
        <w:t xml:space="preserve"> J</w:t>
      </w:r>
      <w:r w:rsidR="001022D9">
        <w:rPr>
          <w:i/>
        </w:rPr>
        <w:t>ournal of</w:t>
      </w:r>
      <w:r w:rsidRPr="00514F7D">
        <w:rPr>
          <w:i/>
        </w:rPr>
        <w:t xml:space="preserve"> Epidemiol</w:t>
      </w:r>
      <w:r w:rsidR="001022D9">
        <w:rPr>
          <w:i/>
        </w:rPr>
        <w:t>ogy</w:t>
      </w:r>
      <w:r w:rsidRPr="00514F7D">
        <w:rPr>
          <w:i/>
        </w:rPr>
        <w:t>, 181</w:t>
      </w:r>
      <w:r w:rsidRPr="00514F7D">
        <w:t>(4), 251-260. doi:10.1093/aje/kwu283</w:t>
      </w:r>
    </w:p>
    <w:p w:rsidR="007368F5" w:rsidRPr="00514F7D" w:rsidRDefault="007368F5" w:rsidP="00514F7D">
      <w:pPr>
        <w:pStyle w:val="EndNoteBibliography"/>
        <w:spacing w:after="0"/>
        <w:ind w:left="720" w:hanging="720"/>
      </w:pPr>
      <w:r w:rsidRPr="00514F7D">
        <w:t xml:space="preserve">Chassin, L., Presson, C. C., Pitts, S. C., &amp; Sherman, S. J. (2000). The natural history of cigarette smoking from adolescence to adulthood in a midwestern community sample: multiple trajectories and their psychosocial correlates. </w:t>
      </w:r>
      <w:r w:rsidRPr="00514F7D">
        <w:rPr>
          <w:i/>
        </w:rPr>
        <w:t>Health Psychology, 19</w:t>
      </w:r>
      <w:r w:rsidRPr="00514F7D">
        <w:t xml:space="preserve">(3), 223-231. </w:t>
      </w:r>
    </w:p>
    <w:p w:rsidR="007368F5" w:rsidRPr="00514F7D" w:rsidRDefault="007368F5" w:rsidP="00514F7D">
      <w:pPr>
        <w:pStyle w:val="EndNoteBibliography"/>
        <w:spacing w:after="0"/>
        <w:ind w:left="720" w:hanging="720"/>
      </w:pPr>
      <w:r w:rsidRPr="00514F7D">
        <w:t xml:space="preserve">Costello, E. J., &amp; Angold, A. (1988). Scales to assess child and adolescent depression: checklists, screens, and nets. </w:t>
      </w:r>
      <w:r w:rsidRPr="00514F7D">
        <w:rPr>
          <w:i/>
        </w:rPr>
        <w:t>J</w:t>
      </w:r>
      <w:r w:rsidR="001022D9">
        <w:rPr>
          <w:i/>
        </w:rPr>
        <w:t>ournal of the</w:t>
      </w:r>
      <w:r w:rsidRPr="00514F7D">
        <w:rPr>
          <w:i/>
        </w:rPr>
        <w:t xml:space="preserve"> Am</w:t>
      </w:r>
      <w:r w:rsidR="001022D9">
        <w:rPr>
          <w:i/>
        </w:rPr>
        <w:t xml:space="preserve">erican </w:t>
      </w:r>
      <w:r w:rsidRPr="00514F7D">
        <w:rPr>
          <w:i/>
        </w:rPr>
        <w:t>Acad</w:t>
      </w:r>
      <w:r w:rsidR="001022D9">
        <w:rPr>
          <w:i/>
        </w:rPr>
        <w:t>emy of</w:t>
      </w:r>
      <w:r w:rsidRPr="00514F7D">
        <w:rPr>
          <w:i/>
        </w:rPr>
        <w:t xml:space="preserve"> Child</w:t>
      </w:r>
      <w:r w:rsidR="001022D9">
        <w:rPr>
          <w:i/>
        </w:rPr>
        <w:t xml:space="preserve"> and</w:t>
      </w:r>
      <w:r w:rsidRPr="00514F7D">
        <w:rPr>
          <w:i/>
        </w:rPr>
        <w:t xml:space="preserve"> Adolesc</w:t>
      </w:r>
      <w:r w:rsidR="001022D9">
        <w:rPr>
          <w:i/>
        </w:rPr>
        <w:t>ent</w:t>
      </w:r>
      <w:r w:rsidRPr="00514F7D">
        <w:rPr>
          <w:i/>
        </w:rPr>
        <w:t xml:space="preserve"> Psychiatry, 27</w:t>
      </w:r>
      <w:r w:rsidRPr="00514F7D">
        <w:t>(6), 726-737. doi:10.1097/00004583-198811000-00011</w:t>
      </w:r>
    </w:p>
    <w:p w:rsidR="007368F5" w:rsidRPr="00514F7D" w:rsidRDefault="007368F5" w:rsidP="00514F7D">
      <w:pPr>
        <w:pStyle w:val="EndNoteBibliography"/>
        <w:spacing w:after="0"/>
        <w:ind w:left="720" w:hanging="720"/>
      </w:pPr>
      <w:r w:rsidRPr="00514F7D">
        <w:t xml:space="preserve">Cox, R. G., Zhang, L., Johnson, W. D., &amp; Bender, D. R. (2007). Academic performance and substance use: findings from a state survey of public high school students. </w:t>
      </w:r>
      <w:r w:rsidRPr="00514F7D">
        <w:rPr>
          <w:i/>
        </w:rPr>
        <w:t>Journal of School Health, 77</w:t>
      </w:r>
      <w:r w:rsidRPr="00514F7D">
        <w:t>(3), 109-115. doi:10.1111/j.1746-1561.2007.00179.x</w:t>
      </w:r>
    </w:p>
    <w:p w:rsidR="007368F5" w:rsidRPr="00514F7D" w:rsidRDefault="007368F5" w:rsidP="00514F7D">
      <w:pPr>
        <w:pStyle w:val="EndNoteBibliography"/>
        <w:spacing w:after="0"/>
        <w:ind w:left="720" w:hanging="720"/>
      </w:pPr>
      <w:r w:rsidRPr="00514F7D">
        <w:t xml:space="preserve">Davey Smith, G., &amp; Ebrahim, S. (2003). 'Mendelian randomization': can genetic epidemiology contribute to understanding environmental determinants of disease? </w:t>
      </w:r>
      <w:r w:rsidRPr="00514F7D">
        <w:rPr>
          <w:i/>
        </w:rPr>
        <w:t>International Journal of Epidemiology, 32</w:t>
      </w:r>
      <w:r w:rsidRPr="00514F7D">
        <w:t xml:space="preserve">(1), 1-22. </w:t>
      </w:r>
    </w:p>
    <w:p w:rsidR="007368F5" w:rsidRPr="00514F7D" w:rsidRDefault="007368F5" w:rsidP="00514F7D">
      <w:pPr>
        <w:pStyle w:val="EndNoteBibliography"/>
        <w:spacing w:after="0"/>
        <w:ind w:left="720" w:hanging="720"/>
      </w:pPr>
      <w:r w:rsidRPr="00514F7D">
        <w:t xml:space="preserve">Davey Smith, G., &amp; Hemani, G. (2014). Mendelian randomization: genetic anchors for causal inference in epidemiological studies. </w:t>
      </w:r>
      <w:r w:rsidRPr="00514F7D">
        <w:rPr>
          <w:i/>
        </w:rPr>
        <w:t>Hum</w:t>
      </w:r>
      <w:r w:rsidR="001022D9">
        <w:rPr>
          <w:i/>
        </w:rPr>
        <w:t>an</w:t>
      </w:r>
      <w:r w:rsidRPr="00514F7D">
        <w:rPr>
          <w:i/>
        </w:rPr>
        <w:t xml:space="preserve"> Mol</w:t>
      </w:r>
      <w:r w:rsidR="001022D9">
        <w:rPr>
          <w:i/>
        </w:rPr>
        <w:t>ecular</w:t>
      </w:r>
      <w:r w:rsidRPr="00514F7D">
        <w:rPr>
          <w:i/>
        </w:rPr>
        <w:t xml:space="preserve"> Genet</w:t>
      </w:r>
      <w:r w:rsidR="001022D9">
        <w:rPr>
          <w:i/>
        </w:rPr>
        <w:t>ics</w:t>
      </w:r>
      <w:r w:rsidRPr="00514F7D">
        <w:rPr>
          <w:i/>
        </w:rPr>
        <w:t>, 23</w:t>
      </w:r>
      <w:r w:rsidRPr="00514F7D">
        <w:t>(R1), R89-98. doi:10.1093/hmg/ddu328</w:t>
      </w:r>
    </w:p>
    <w:p w:rsidR="007368F5" w:rsidRPr="00514F7D" w:rsidRDefault="007368F5" w:rsidP="00514F7D">
      <w:pPr>
        <w:pStyle w:val="EndNoteBibliography"/>
        <w:spacing w:after="0"/>
        <w:ind w:left="720" w:hanging="720"/>
      </w:pPr>
      <w:r w:rsidRPr="00514F7D">
        <w:t xml:space="preserve">Davies, N. M., Dickson, M., Davey Smith, G., van den Berg, G. J., &amp; Windmeijer, F. (2018). The causal effects of education on health outcomes in the UK Biobank. </w:t>
      </w:r>
      <w:r w:rsidRPr="00514F7D">
        <w:rPr>
          <w:i/>
        </w:rPr>
        <w:t>Nature Human Behaviour, 2</w:t>
      </w:r>
      <w:r w:rsidRPr="00514F7D">
        <w:t>(2), 117-125. doi:10.1038/s41562-017-0279-y</w:t>
      </w:r>
    </w:p>
    <w:p w:rsidR="007368F5" w:rsidRPr="00514F7D" w:rsidRDefault="007368F5" w:rsidP="00514F7D">
      <w:pPr>
        <w:pStyle w:val="EndNoteBibliography"/>
        <w:spacing w:after="0"/>
        <w:ind w:left="720" w:hanging="720"/>
      </w:pPr>
      <w:r w:rsidRPr="00514F7D">
        <w:t xml:space="preserve">Ellickson, P. L., Tucker, J. S., &amp; Klein, D. J. (2001). High-risk behaviors associated with early smoking: results from a 5-year follow-up. </w:t>
      </w:r>
      <w:r w:rsidRPr="00514F7D">
        <w:rPr>
          <w:i/>
        </w:rPr>
        <w:t>Journal of Adolescent Health, 28</w:t>
      </w:r>
      <w:r w:rsidRPr="00514F7D">
        <w:t xml:space="preserve">(6), 465-473. </w:t>
      </w:r>
    </w:p>
    <w:p w:rsidR="007368F5" w:rsidRPr="00514F7D" w:rsidRDefault="007368F5" w:rsidP="00514F7D">
      <w:pPr>
        <w:pStyle w:val="EndNoteBibliography"/>
        <w:spacing w:after="0"/>
        <w:ind w:left="720" w:hanging="720"/>
      </w:pPr>
      <w:r w:rsidRPr="00514F7D">
        <w:t xml:space="preserve">Fergusson, D. M., Horwood, L. J., &amp; Ridder, E. M. (2005). Show me the child at seven II: Childhood intelligence and later outcomes in adolescence and young adulthood. </w:t>
      </w:r>
      <w:r w:rsidRPr="00514F7D">
        <w:rPr>
          <w:i/>
        </w:rPr>
        <w:t>Journal of Child Psychology and Psychiatry, 46</w:t>
      </w:r>
      <w:r w:rsidRPr="00514F7D">
        <w:t>(8), 850-858. doi:10.1111/j.1469-7610.2005.01472.x</w:t>
      </w:r>
    </w:p>
    <w:p w:rsidR="007368F5" w:rsidRPr="00514F7D" w:rsidRDefault="007368F5" w:rsidP="00514F7D">
      <w:pPr>
        <w:pStyle w:val="EndNoteBibliography"/>
        <w:spacing w:after="0"/>
        <w:ind w:left="720" w:hanging="720"/>
      </w:pPr>
      <w:r w:rsidRPr="00514F7D">
        <w:t xml:space="preserve">Fewell, Z., Davey Smith, G., &amp; Sterne, J. A. (2007). The impact of residual and unmeasured confounding in epidemiologic studies: a simulation study. </w:t>
      </w:r>
      <w:r w:rsidRPr="00514F7D">
        <w:rPr>
          <w:i/>
        </w:rPr>
        <w:t>Am</w:t>
      </w:r>
      <w:r w:rsidR="001022D9">
        <w:rPr>
          <w:i/>
        </w:rPr>
        <w:t>erican</w:t>
      </w:r>
      <w:r w:rsidRPr="00514F7D">
        <w:rPr>
          <w:i/>
        </w:rPr>
        <w:t xml:space="preserve"> J</w:t>
      </w:r>
      <w:r w:rsidR="001022D9">
        <w:rPr>
          <w:i/>
        </w:rPr>
        <w:t>ournal of</w:t>
      </w:r>
      <w:r w:rsidRPr="00514F7D">
        <w:rPr>
          <w:i/>
        </w:rPr>
        <w:t xml:space="preserve"> Epidemiol</w:t>
      </w:r>
      <w:r w:rsidR="001022D9">
        <w:rPr>
          <w:i/>
        </w:rPr>
        <w:t>ogy</w:t>
      </w:r>
      <w:r w:rsidRPr="00514F7D">
        <w:rPr>
          <w:i/>
        </w:rPr>
        <w:t>, 166</w:t>
      </w:r>
      <w:r w:rsidRPr="00514F7D">
        <w:t>(6), 646-655. doi:10.1093/aje/kwm165</w:t>
      </w:r>
    </w:p>
    <w:p w:rsidR="007368F5" w:rsidRPr="00514F7D" w:rsidRDefault="007368F5" w:rsidP="00514F7D">
      <w:pPr>
        <w:pStyle w:val="EndNoteBibliography"/>
        <w:spacing w:after="0"/>
        <w:ind w:left="720" w:hanging="720"/>
      </w:pPr>
      <w:r w:rsidRPr="00514F7D">
        <w:t xml:space="preserve">Fraser, A., Macdonald-Wallis, C., Tilling, K., Boyd, A., Golding, J., Davey Smith, G., . . . Lawlor, D. A. (2013). Cohort Profile: the Avon Longitudinal Study of Parents and Children: ALSPAC mothers cohort. </w:t>
      </w:r>
      <w:r w:rsidRPr="00514F7D">
        <w:rPr>
          <w:i/>
        </w:rPr>
        <w:t>International Journal of Epidemiology, 42</w:t>
      </w:r>
      <w:r w:rsidRPr="00514F7D">
        <w:t>(1), 97-110. doi:10.1093/ije/dys066</w:t>
      </w:r>
    </w:p>
    <w:p w:rsidR="007368F5" w:rsidRPr="00514F7D" w:rsidRDefault="007368F5" w:rsidP="00514F7D">
      <w:pPr>
        <w:pStyle w:val="EndNoteBibliography"/>
        <w:spacing w:after="0"/>
        <w:ind w:left="720" w:hanging="720"/>
      </w:pPr>
      <w:r w:rsidRPr="00514F7D">
        <w:t xml:space="preserve">Gage, S. H., Bowden, J., Davey Smith, G., &amp; Munafo, M. R. (2018). Investigating causality in associations between education and smoking: a two-sample Mendelian randomization study. </w:t>
      </w:r>
      <w:r w:rsidRPr="00514F7D">
        <w:rPr>
          <w:i/>
        </w:rPr>
        <w:t>International Journal of Epidemiology</w:t>
      </w:r>
      <w:r w:rsidR="00B61E72">
        <w:rPr>
          <w:i/>
        </w:rPr>
        <w:t>, 47</w:t>
      </w:r>
      <w:r w:rsidR="00B61E72" w:rsidRPr="00B61E72">
        <w:t>(4), 1131-1140</w:t>
      </w:r>
      <w:r w:rsidRPr="00514F7D">
        <w:t>. doi:10.1093/ije/dyy131</w:t>
      </w:r>
    </w:p>
    <w:p w:rsidR="007368F5" w:rsidRPr="00514F7D" w:rsidRDefault="007368F5" w:rsidP="00514F7D">
      <w:pPr>
        <w:pStyle w:val="EndNoteBibliography"/>
        <w:spacing w:after="0"/>
        <w:ind w:left="720" w:hanging="720"/>
      </w:pPr>
      <w:r w:rsidRPr="00514F7D">
        <w:t xml:space="preserve">Gage, S. H., Hickman, M., Heron, J., Munafo, M. R., Lewis, G., Macleod, J., &amp; Zammit, S. (2015). Associations of cannabis and cigarette use with depression and anxiety at age 18: findings from the Avon Longitudinal Study of Parents and Children. </w:t>
      </w:r>
      <w:r w:rsidRPr="00514F7D">
        <w:rPr>
          <w:i/>
        </w:rPr>
        <w:t>PLoS One, 10</w:t>
      </w:r>
      <w:r w:rsidRPr="00514F7D">
        <w:t>(4), e0122896. doi:10.1371/journal.pone.0122896</w:t>
      </w:r>
    </w:p>
    <w:p w:rsidR="007368F5" w:rsidRPr="00514F7D" w:rsidRDefault="007368F5" w:rsidP="00514F7D">
      <w:pPr>
        <w:pStyle w:val="EndNoteBibliography"/>
        <w:spacing w:after="0"/>
        <w:ind w:left="720" w:hanging="720"/>
      </w:pPr>
      <w:r w:rsidRPr="00514F7D">
        <w:t xml:space="preserve">Gage, S. H., Jones, H. J., Taylor, A. E., Burgess, S., Zammit, S., &amp; Munafo, M. R. (2017). Investigating causality in associations between smoking initiation and schizophrenia using Mendelian randomization. </w:t>
      </w:r>
      <w:r w:rsidRPr="00514F7D">
        <w:rPr>
          <w:i/>
        </w:rPr>
        <w:t>Sci</w:t>
      </w:r>
      <w:r w:rsidR="001022D9">
        <w:rPr>
          <w:i/>
        </w:rPr>
        <w:t>entific</w:t>
      </w:r>
      <w:r w:rsidRPr="00514F7D">
        <w:rPr>
          <w:i/>
        </w:rPr>
        <w:t xml:space="preserve"> Rep</w:t>
      </w:r>
      <w:r w:rsidR="001022D9">
        <w:rPr>
          <w:i/>
        </w:rPr>
        <w:t>orts</w:t>
      </w:r>
      <w:r w:rsidRPr="00514F7D">
        <w:rPr>
          <w:i/>
        </w:rPr>
        <w:t>, 7</w:t>
      </w:r>
      <w:r w:rsidRPr="00514F7D">
        <w:t>, 40653. doi:10.1038/srep40653</w:t>
      </w:r>
    </w:p>
    <w:p w:rsidR="007368F5" w:rsidRPr="00514F7D" w:rsidRDefault="007368F5" w:rsidP="00514F7D">
      <w:pPr>
        <w:pStyle w:val="EndNoteBibliography"/>
        <w:spacing w:after="0"/>
        <w:ind w:left="720" w:hanging="720"/>
      </w:pPr>
      <w:r w:rsidRPr="00514F7D">
        <w:t xml:space="preserve">Gage, S. H., Munafo, M. R., &amp; Davey Smith, G. (2016). Causal Inference in Developmental Origins of Health and Disease (DOHaD) Research. </w:t>
      </w:r>
      <w:r w:rsidRPr="00514F7D">
        <w:rPr>
          <w:i/>
        </w:rPr>
        <w:t>Annu</w:t>
      </w:r>
      <w:r w:rsidR="001022D9">
        <w:rPr>
          <w:i/>
        </w:rPr>
        <w:t>al</w:t>
      </w:r>
      <w:r w:rsidRPr="00514F7D">
        <w:rPr>
          <w:i/>
        </w:rPr>
        <w:t xml:space="preserve"> Rev</w:t>
      </w:r>
      <w:r w:rsidR="001022D9">
        <w:rPr>
          <w:i/>
        </w:rPr>
        <w:t>iew of</w:t>
      </w:r>
      <w:r w:rsidRPr="00514F7D">
        <w:rPr>
          <w:i/>
        </w:rPr>
        <w:t xml:space="preserve"> Psychol</w:t>
      </w:r>
      <w:r w:rsidR="001022D9">
        <w:rPr>
          <w:i/>
        </w:rPr>
        <w:t>ogy</w:t>
      </w:r>
      <w:r w:rsidRPr="00514F7D">
        <w:rPr>
          <w:i/>
        </w:rPr>
        <w:t>, 67</w:t>
      </w:r>
      <w:r w:rsidRPr="00514F7D">
        <w:t>, 567-585. doi:10.1146/annurev-psych-122414-033352</w:t>
      </w:r>
    </w:p>
    <w:p w:rsidR="007368F5" w:rsidRPr="00514F7D" w:rsidRDefault="007368F5" w:rsidP="00514F7D">
      <w:pPr>
        <w:pStyle w:val="EndNoteBibliography"/>
        <w:spacing w:after="0"/>
        <w:ind w:left="720" w:hanging="720"/>
      </w:pPr>
      <w:r w:rsidRPr="00514F7D">
        <w:t xml:space="preserve">Goodman, R. (1997). The Strengths and Difficulties Questionnaire: a research note. </w:t>
      </w:r>
      <w:r w:rsidRPr="00514F7D">
        <w:rPr>
          <w:i/>
        </w:rPr>
        <w:t>Journal of Child Psychology and Psychiatry, 38</w:t>
      </w:r>
      <w:r w:rsidRPr="00514F7D">
        <w:t>(5), 581-586. doi:10.1111/j.1469-7610.1997.tb01545.x</w:t>
      </w:r>
    </w:p>
    <w:p w:rsidR="007368F5" w:rsidRPr="00514F7D" w:rsidRDefault="007368F5" w:rsidP="00514F7D">
      <w:pPr>
        <w:pStyle w:val="EndNoteBibliography"/>
        <w:spacing w:after="0"/>
        <w:ind w:left="720" w:hanging="720"/>
      </w:pPr>
      <w:r w:rsidRPr="00514F7D">
        <w:t xml:space="preserve">Hartwig, F. P., Davey Smith, G., &amp; Bowden, J. (2017). Robust inference in summary data Mendelian randomisation via the zero modal pleiotropy assumption. </w:t>
      </w:r>
      <w:r w:rsidRPr="00514F7D">
        <w:rPr>
          <w:i/>
        </w:rPr>
        <w:t>International Journal of Epidemiology</w:t>
      </w:r>
      <w:r w:rsidR="00B61E72">
        <w:rPr>
          <w:i/>
        </w:rPr>
        <w:t>, 46</w:t>
      </w:r>
      <w:r w:rsidR="00B61E72">
        <w:t>(6), 1985-1998. doi: 10.1093/ije/dyx102</w:t>
      </w:r>
      <w:r w:rsidRPr="00514F7D">
        <w:t xml:space="preserve"> </w:t>
      </w:r>
    </w:p>
    <w:p w:rsidR="007368F5" w:rsidRPr="00514F7D" w:rsidRDefault="007368F5" w:rsidP="00514F7D">
      <w:pPr>
        <w:pStyle w:val="EndNoteBibliography"/>
        <w:spacing w:after="0"/>
        <w:ind w:left="720" w:hanging="720"/>
      </w:pPr>
      <w:r w:rsidRPr="00514F7D">
        <w:t xml:space="preserve">Hemani, G., Tilling, K., &amp; Davey Smith, G. (2017). Orienting the causal relationship between imprecisely measured traits using GWAS summary data. </w:t>
      </w:r>
      <w:r w:rsidRPr="00514F7D">
        <w:rPr>
          <w:i/>
        </w:rPr>
        <w:t>PLoS Genet</w:t>
      </w:r>
      <w:r w:rsidR="001022D9">
        <w:rPr>
          <w:i/>
        </w:rPr>
        <w:t>ics</w:t>
      </w:r>
      <w:r w:rsidRPr="00514F7D">
        <w:rPr>
          <w:i/>
        </w:rPr>
        <w:t>, 13</w:t>
      </w:r>
      <w:r w:rsidRPr="00514F7D">
        <w:t>(11), e1007081. doi:10.1371/journal.pgen.1007081</w:t>
      </w:r>
    </w:p>
    <w:p w:rsidR="007368F5" w:rsidRPr="00514F7D" w:rsidRDefault="007368F5" w:rsidP="00514F7D">
      <w:pPr>
        <w:pStyle w:val="EndNoteBibliography"/>
        <w:spacing w:after="0"/>
        <w:ind w:left="720" w:hanging="720"/>
      </w:pPr>
      <w:r w:rsidRPr="00514F7D">
        <w:t xml:space="preserve">Hemani, G., Zheng, J., Elsworth, B., Wade, K. H., Haberland, V., Baird, D., . . . Haycock, P. C. (2018). The MR-Base platform supports systematic causal inference across the human phenome. </w:t>
      </w:r>
      <w:r w:rsidRPr="00514F7D">
        <w:rPr>
          <w:i/>
        </w:rPr>
        <w:t>Elife, 7</w:t>
      </w:r>
      <w:r w:rsidRPr="00514F7D">
        <w:t>. doi:10.7554/eLife.34408</w:t>
      </w:r>
    </w:p>
    <w:p w:rsidR="007368F5" w:rsidRPr="00514F7D" w:rsidRDefault="007368F5" w:rsidP="00514F7D">
      <w:pPr>
        <w:pStyle w:val="EndNoteBibliography"/>
        <w:spacing w:after="0"/>
        <w:ind w:left="720" w:hanging="720"/>
      </w:pPr>
      <w:r w:rsidRPr="00514F7D">
        <w:t xml:space="preserve">Holmes, M. V., Ala-Korpela, M., &amp; Smith, G. D. (2017). Mendelian randomization in cardiometabolic disease: challenges in evaluating causality. </w:t>
      </w:r>
      <w:r w:rsidRPr="00514F7D">
        <w:rPr>
          <w:i/>
        </w:rPr>
        <w:t>Nature Reviews Cardiology, 14</w:t>
      </w:r>
      <w:r w:rsidRPr="00514F7D">
        <w:t>(10), 577-590. doi:10.1038/nrcardio.2017.78</w:t>
      </w:r>
    </w:p>
    <w:p w:rsidR="007368F5" w:rsidRPr="00514F7D" w:rsidRDefault="007368F5" w:rsidP="00514F7D">
      <w:pPr>
        <w:pStyle w:val="EndNoteBibliography"/>
        <w:spacing w:after="0"/>
        <w:ind w:left="720" w:hanging="720"/>
      </w:pPr>
      <w:r w:rsidRPr="00514F7D">
        <w:t xml:space="preserve">Jefferis, B. J., Power, C., Graham, H., &amp; Manor, O. (2004). Changing social gradients in cigarette smoking and cessation over two decades of adult follow-up in a British birth cohort. </w:t>
      </w:r>
      <w:r w:rsidRPr="00514F7D">
        <w:rPr>
          <w:i/>
        </w:rPr>
        <w:t>Journal of Public Health (Oxford), 26</w:t>
      </w:r>
      <w:r w:rsidRPr="00514F7D">
        <w:t xml:space="preserve">(1), 13-18. </w:t>
      </w:r>
    </w:p>
    <w:p w:rsidR="007368F5" w:rsidRPr="00514F7D" w:rsidRDefault="007368F5" w:rsidP="00514F7D">
      <w:pPr>
        <w:pStyle w:val="EndNoteBibliography"/>
        <w:spacing w:after="0"/>
        <w:ind w:left="720" w:hanging="720"/>
      </w:pPr>
      <w:r w:rsidRPr="00514F7D">
        <w:t xml:space="preserve">Latvala, A., Rose, R. J., Pulkkinen, L., Dick, D. M., Korhonen, T., &amp; Kaprio, J. (2014). Drinking, smoking, and educational achievement: cross-lagged associations from adolescence to adulthood. </w:t>
      </w:r>
      <w:r w:rsidRPr="00514F7D">
        <w:rPr>
          <w:i/>
        </w:rPr>
        <w:t xml:space="preserve">Drug </w:t>
      </w:r>
      <w:r w:rsidR="001022D9">
        <w:rPr>
          <w:i/>
        </w:rPr>
        <w:t xml:space="preserve">and </w:t>
      </w:r>
      <w:r w:rsidRPr="00514F7D">
        <w:rPr>
          <w:i/>
        </w:rPr>
        <w:t>Alcohol Depend</w:t>
      </w:r>
      <w:r w:rsidR="001022D9">
        <w:rPr>
          <w:i/>
        </w:rPr>
        <w:t>ence</w:t>
      </w:r>
      <w:r w:rsidRPr="00514F7D">
        <w:rPr>
          <w:i/>
        </w:rPr>
        <w:t>, 137</w:t>
      </w:r>
      <w:r w:rsidRPr="00514F7D">
        <w:t>, 106-113. doi:10.1016/j.drugalcdep.2014.01.016</w:t>
      </w:r>
    </w:p>
    <w:p w:rsidR="007368F5" w:rsidRPr="00514F7D" w:rsidRDefault="007368F5" w:rsidP="00514F7D">
      <w:pPr>
        <w:pStyle w:val="EndNoteBibliography"/>
        <w:spacing w:after="0"/>
        <w:ind w:left="720" w:hanging="720"/>
      </w:pPr>
      <w:r w:rsidRPr="00514F7D">
        <w:t xml:space="preserve">Lawlor, D. A., Tilling, K., &amp; Davey Smith, G. (2016). Triangulation in aetiological epidemiology. </w:t>
      </w:r>
      <w:r w:rsidRPr="00514F7D">
        <w:rPr>
          <w:i/>
        </w:rPr>
        <w:t>International Journal of Epidemiology, 45</w:t>
      </w:r>
      <w:r w:rsidRPr="00514F7D">
        <w:t>(6), 1866-1886. doi:10.1093/ije/dyw314</w:t>
      </w:r>
    </w:p>
    <w:p w:rsidR="007368F5" w:rsidRPr="00514F7D" w:rsidRDefault="007368F5" w:rsidP="00514F7D">
      <w:pPr>
        <w:pStyle w:val="EndNoteBibliography"/>
        <w:spacing w:after="0"/>
        <w:ind w:left="720" w:hanging="720"/>
      </w:pPr>
      <w:r w:rsidRPr="00514F7D">
        <w:t xml:space="preserve">Lee, J. J., Wedow, R., Okbay, A., Kong, E., Maghzian, O., Zacher, M., . . . Cesarini, D. (2018). Gene discovery and polygenic prediction from a genome-wide association study of educational attainment in 1.1 million individuals. </w:t>
      </w:r>
      <w:r w:rsidRPr="00514F7D">
        <w:rPr>
          <w:i/>
        </w:rPr>
        <w:t>Nat</w:t>
      </w:r>
      <w:r w:rsidR="001022D9">
        <w:rPr>
          <w:i/>
        </w:rPr>
        <w:t>ure</w:t>
      </w:r>
      <w:r w:rsidRPr="00514F7D">
        <w:rPr>
          <w:i/>
        </w:rPr>
        <w:t xml:space="preserve"> Genet</w:t>
      </w:r>
      <w:r w:rsidR="001022D9">
        <w:rPr>
          <w:i/>
        </w:rPr>
        <w:t>ics</w:t>
      </w:r>
      <w:r w:rsidR="0024772C">
        <w:rPr>
          <w:i/>
        </w:rPr>
        <w:t>, 50</w:t>
      </w:r>
      <w:r w:rsidR="0024772C">
        <w:t>, 1112-1121</w:t>
      </w:r>
      <w:r w:rsidRPr="00514F7D">
        <w:t>. doi:10.1038/s41588-018-0147-3</w:t>
      </w:r>
    </w:p>
    <w:p w:rsidR="007368F5" w:rsidRPr="00514F7D" w:rsidRDefault="007368F5" w:rsidP="00514F7D">
      <w:pPr>
        <w:pStyle w:val="EndNoteBibliography"/>
        <w:spacing w:after="0"/>
        <w:ind w:left="720" w:hanging="720"/>
      </w:pPr>
      <w:r w:rsidRPr="00514F7D">
        <w:t xml:space="preserve">Lessof, C., Ross, A., Brind, B., Harding, C., Bell, E., &amp; Kyriakopoulos, G. (2018). </w:t>
      </w:r>
      <w:r w:rsidRPr="00514F7D">
        <w:rPr>
          <w:i/>
        </w:rPr>
        <w:t>Understanding KS4 attainment and progress: evidence from LSYPE2</w:t>
      </w:r>
      <w:r w:rsidRPr="00514F7D">
        <w:t xml:space="preserve">. UK: Government Social Research Retrieved from </w:t>
      </w:r>
      <w:r w:rsidRPr="007368F5">
        <w:t>https://assets.publishing.service.gov.uk/government/uploads/system/uploads/attachment_data/file/748514/Understanding_KS4_LSYPE2_research-report.pdf</w:t>
      </w:r>
      <w:r w:rsidRPr="00514F7D">
        <w:t>.</w:t>
      </w:r>
    </w:p>
    <w:p w:rsidR="007368F5" w:rsidRPr="00514F7D" w:rsidRDefault="007368F5" w:rsidP="00514F7D">
      <w:pPr>
        <w:pStyle w:val="EndNoteBibliography"/>
        <w:spacing w:after="0"/>
        <w:ind w:left="720" w:hanging="720"/>
      </w:pPr>
      <w:r w:rsidRPr="00514F7D">
        <w:t xml:space="preserve">Liu, M., Jiang, Y., Wedow, R., Li, Y., Brazel, D. M., Chen, F., . . . Vrieze, S. (2019). Association studies of up to 1.2 million individuals yield new insights into the genetic etiology of tobacco and alcohol use. </w:t>
      </w:r>
      <w:r w:rsidRPr="00514F7D">
        <w:rPr>
          <w:i/>
        </w:rPr>
        <w:t>Nat</w:t>
      </w:r>
      <w:r w:rsidR="001022D9">
        <w:rPr>
          <w:i/>
        </w:rPr>
        <w:t>ure</w:t>
      </w:r>
      <w:r w:rsidRPr="00514F7D">
        <w:rPr>
          <w:i/>
        </w:rPr>
        <w:t xml:space="preserve"> Genet</w:t>
      </w:r>
      <w:r w:rsidR="001022D9">
        <w:rPr>
          <w:i/>
        </w:rPr>
        <w:t>ics</w:t>
      </w:r>
      <w:r w:rsidRPr="00514F7D">
        <w:rPr>
          <w:i/>
        </w:rPr>
        <w:t>, 51</w:t>
      </w:r>
      <w:r w:rsidRPr="00514F7D">
        <w:t>(2), 237-244. doi:10.1038/s41588-018-0307-5</w:t>
      </w:r>
    </w:p>
    <w:p w:rsidR="007368F5" w:rsidRPr="00514F7D" w:rsidRDefault="007368F5" w:rsidP="00514F7D">
      <w:pPr>
        <w:pStyle w:val="EndNoteBibliography"/>
        <w:spacing w:after="0"/>
        <w:ind w:left="720" w:hanging="720"/>
      </w:pPr>
      <w:r w:rsidRPr="00514F7D">
        <w:t xml:space="preserve">Maralani, V. (2014). Understanding the links between education and smoking. </w:t>
      </w:r>
      <w:r w:rsidRPr="00514F7D">
        <w:rPr>
          <w:i/>
        </w:rPr>
        <w:t>Social Science Research, 48</w:t>
      </w:r>
      <w:r w:rsidRPr="00514F7D">
        <w:t>, 20-34. doi:10.1016/j.ssresearch.2014.05.007</w:t>
      </w:r>
    </w:p>
    <w:p w:rsidR="007368F5" w:rsidRPr="00514F7D" w:rsidRDefault="007368F5" w:rsidP="00514F7D">
      <w:pPr>
        <w:pStyle w:val="EndNoteBibliography"/>
        <w:spacing w:after="0"/>
        <w:ind w:left="720" w:hanging="720"/>
      </w:pPr>
      <w:r w:rsidRPr="00514F7D">
        <w:t xml:space="preserve">Mokrysz, C., Landy, R., Gage, S. H., Munafo, M. R., Roiser, J. P., &amp; Curran, H. V. (2016). Are IQ and educational outcomes in teenagers related to their cannabis use? A prospective cohort study. </w:t>
      </w:r>
      <w:r w:rsidRPr="00514F7D">
        <w:rPr>
          <w:i/>
        </w:rPr>
        <w:t>Journal of Psychopharmacology, 30</w:t>
      </w:r>
      <w:r w:rsidRPr="00514F7D">
        <w:t>(2), 159-168. doi:10.1177/0269881115622241</w:t>
      </w:r>
    </w:p>
    <w:p w:rsidR="007368F5" w:rsidRPr="00514F7D" w:rsidRDefault="007368F5" w:rsidP="00514F7D">
      <w:pPr>
        <w:pStyle w:val="EndNoteBibliography"/>
        <w:spacing w:after="0"/>
        <w:ind w:left="720" w:hanging="720"/>
      </w:pPr>
      <w:r w:rsidRPr="00514F7D">
        <w:t xml:space="preserve">Munafo, M. R., &amp; Davey Smith, G. (2018). Robust research needs many lines of evidence. </w:t>
      </w:r>
      <w:r w:rsidRPr="00514F7D">
        <w:rPr>
          <w:i/>
        </w:rPr>
        <w:t>Nature, 553</w:t>
      </w:r>
      <w:r w:rsidRPr="00514F7D">
        <w:t>(7689), 399-401. doi:10.1038/d41586-018-01023-3</w:t>
      </w:r>
    </w:p>
    <w:p w:rsidR="007368F5" w:rsidRPr="00514F7D" w:rsidRDefault="007368F5" w:rsidP="00514F7D">
      <w:pPr>
        <w:pStyle w:val="EndNoteBibliography"/>
        <w:spacing w:after="0"/>
        <w:ind w:left="720" w:hanging="720"/>
      </w:pPr>
      <w:r w:rsidRPr="00514F7D">
        <w:t xml:space="preserve">Okbay, A., Beauchamp, J. P., Fontana, M. A., Lee, J. J., Pers, T. H., Rietveld, C. A., . . . Benjamin, D. J. (2016). Genome-wide association study identifies 74 loci associated with educational attainment. </w:t>
      </w:r>
      <w:r w:rsidRPr="00514F7D">
        <w:rPr>
          <w:i/>
        </w:rPr>
        <w:t>Nature, 533</w:t>
      </w:r>
      <w:r w:rsidRPr="00514F7D">
        <w:t>(7604), 539-542. doi:10.1038/nature17671</w:t>
      </w:r>
    </w:p>
    <w:p w:rsidR="007368F5" w:rsidRPr="00514F7D" w:rsidRDefault="007368F5" w:rsidP="00514F7D">
      <w:pPr>
        <w:pStyle w:val="EndNoteBibliography"/>
        <w:spacing w:after="0"/>
        <w:ind w:left="720" w:hanging="720"/>
      </w:pPr>
      <w:r w:rsidRPr="00514F7D">
        <w:t xml:space="preserve">Orlando, M., Tucker, J. S., Ellickson, P. L., &amp; Klein, D. J. (2004). Developmental trajectories of cigarette smoking and their correlates from early adolescence to young adulthood. </w:t>
      </w:r>
      <w:r w:rsidRPr="00514F7D">
        <w:rPr>
          <w:i/>
        </w:rPr>
        <w:t>Journal of Consulting and Clinical Psychology, 72</w:t>
      </w:r>
      <w:r w:rsidRPr="00514F7D">
        <w:t>(3), 400-410. doi:10.1037/0022-006X.72.3.400</w:t>
      </w:r>
    </w:p>
    <w:p w:rsidR="007368F5" w:rsidRPr="00514F7D" w:rsidRDefault="007368F5" w:rsidP="00514F7D">
      <w:pPr>
        <w:pStyle w:val="EndNoteBibliography"/>
        <w:spacing w:after="0"/>
        <w:ind w:left="720" w:hanging="720"/>
      </w:pPr>
      <w:r w:rsidRPr="00514F7D">
        <w:t xml:space="preserve">Orpinas, P., Lacy, B., Nahapetyan, L., Dube, S. R., &amp; Song, X. (2016). Cigarette Smoking Trajectories From Sixth to Twelfth Grade: Associated Substance Use and High School Dropout. </w:t>
      </w:r>
      <w:r w:rsidRPr="00514F7D">
        <w:rPr>
          <w:i/>
        </w:rPr>
        <w:t>Nicotine and Tobacco Research, 18</w:t>
      </w:r>
      <w:r w:rsidRPr="00514F7D">
        <w:t>(2), 156-162. doi:10.1093/ntr/ntv040</w:t>
      </w:r>
    </w:p>
    <w:p w:rsidR="007368F5" w:rsidRPr="00514F7D" w:rsidRDefault="007368F5" w:rsidP="00514F7D">
      <w:pPr>
        <w:pStyle w:val="EndNoteBibliography"/>
        <w:spacing w:after="0"/>
        <w:ind w:left="720" w:hanging="720"/>
      </w:pPr>
      <w:r w:rsidRPr="00514F7D">
        <w:t xml:space="preserve">Peretti-Watel, P., Seror, V., Constance, J., &amp; Beck, F. (2009). Poverty as a smoking trap. </w:t>
      </w:r>
      <w:r w:rsidRPr="00514F7D">
        <w:rPr>
          <w:i/>
        </w:rPr>
        <w:t>International Journal on Drug Policy, 20</w:t>
      </w:r>
      <w:r w:rsidRPr="00514F7D">
        <w:t>(3), 230-236. doi:10.1016/j.drugpo.2008.10.001</w:t>
      </w:r>
    </w:p>
    <w:p w:rsidR="007368F5" w:rsidRPr="00514F7D" w:rsidRDefault="007368F5" w:rsidP="00514F7D">
      <w:pPr>
        <w:pStyle w:val="EndNoteBibliography"/>
        <w:spacing w:after="0"/>
        <w:ind w:left="720" w:hanging="720"/>
      </w:pPr>
      <w:r w:rsidRPr="00514F7D">
        <w:t xml:space="preserve">Ritchie, S. J., &amp; Tucker-Drob, E. M. (2018). How Much Does Education Improve Intelligence? A Meta-Analysis. </w:t>
      </w:r>
      <w:r w:rsidRPr="00514F7D">
        <w:rPr>
          <w:i/>
        </w:rPr>
        <w:t>Psychol</w:t>
      </w:r>
      <w:r w:rsidR="001022D9">
        <w:rPr>
          <w:i/>
        </w:rPr>
        <w:t>ogical</w:t>
      </w:r>
      <w:r w:rsidRPr="00514F7D">
        <w:rPr>
          <w:i/>
        </w:rPr>
        <w:t xml:space="preserve"> Sci</w:t>
      </w:r>
      <w:r w:rsidR="001022D9">
        <w:rPr>
          <w:i/>
        </w:rPr>
        <w:t>ence</w:t>
      </w:r>
      <w:r w:rsidRPr="00514F7D">
        <w:rPr>
          <w:i/>
        </w:rPr>
        <w:t>, 29</w:t>
      </w:r>
      <w:r w:rsidRPr="00514F7D">
        <w:t>(8), 1358-1369. doi:10.1177/0956797618774253</w:t>
      </w:r>
    </w:p>
    <w:p w:rsidR="007368F5" w:rsidRPr="00514F7D" w:rsidRDefault="007368F5" w:rsidP="00514F7D">
      <w:pPr>
        <w:pStyle w:val="EndNoteBibliography"/>
        <w:spacing w:after="0"/>
        <w:ind w:left="720" w:hanging="720"/>
      </w:pPr>
      <w:r w:rsidRPr="00514F7D">
        <w:t xml:space="preserve">Sanderson, E., Davey Smith, G., Bowden, J., &amp; Munafo, M. R. (2019). Mendelian randomisation analysis of the effect of educational attainment and cognitive ability on smoking behaviour. </w:t>
      </w:r>
      <w:r w:rsidRPr="00514F7D">
        <w:rPr>
          <w:i/>
        </w:rPr>
        <w:t>Nat</w:t>
      </w:r>
      <w:r w:rsidR="001022D9">
        <w:rPr>
          <w:i/>
        </w:rPr>
        <w:t>ure</w:t>
      </w:r>
      <w:r w:rsidRPr="00514F7D">
        <w:rPr>
          <w:i/>
        </w:rPr>
        <w:t xml:space="preserve"> Commun</w:t>
      </w:r>
      <w:r w:rsidR="001022D9">
        <w:rPr>
          <w:i/>
        </w:rPr>
        <w:t>ications</w:t>
      </w:r>
      <w:r w:rsidRPr="00514F7D">
        <w:rPr>
          <w:i/>
        </w:rPr>
        <w:t>, 10</w:t>
      </w:r>
      <w:r w:rsidRPr="00514F7D">
        <w:t>(1), 2949. doi:10.1038/s41467-019-10679-y</w:t>
      </w:r>
    </w:p>
    <w:p w:rsidR="007368F5" w:rsidRPr="00514F7D" w:rsidRDefault="007368F5" w:rsidP="00514F7D">
      <w:pPr>
        <w:pStyle w:val="EndNoteBibliography"/>
        <w:spacing w:after="0"/>
        <w:ind w:left="720" w:hanging="720"/>
      </w:pPr>
      <w:r w:rsidRPr="00514F7D">
        <w:t xml:space="preserve">Sanderson, E., Davey Smith, G., Windmeijer, F., &amp; Bowden, J. (2018). An examination of multivariable Mendelian randomization in the single-sample and two-sample summary data settings. </w:t>
      </w:r>
      <w:r w:rsidRPr="00514F7D">
        <w:rPr>
          <w:i/>
        </w:rPr>
        <w:t>International Journal of Epidemiology</w:t>
      </w:r>
      <w:r w:rsidR="0024772C">
        <w:rPr>
          <w:i/>
        </w:rPr>
        <w:t>. 48</w:t>
      </w:r>
      <w:r w:rsidR="0024772C">
        <w:t>(3), 713-</w:t>
      </w:r>
      <w:bookmarkStart w:id="1" w:name="_GoBack"/>
      <w:bookmarkEnd w:id="1"/>
      <w:r w:rsidR="0024772C">
        <w:t>727</w:t>
      </w:r>
      <w:r w:rsidRPr="00514F7D">
        <w:t>. doi:10.1093/ije/dyy262</w:t>
      </w:r>
    </w:p>
    <w:p w:rsidR="007368F5" w:rsidRPr="00514F7D" w:rsidRDefault="007368F5" w:rsidP="00514F7D">
      <w:pPr>
        <w:pStyle w:val="EndNoteBibliography"/>
        <w:spacing w:after="0"/>
        <w:ind w:left="720" w:hanging="720"/>
      </w:pPr>
      <w:r w:rsidRPr="00514F7D">
        <w:t xml:space="preserve">Taylor, A. E., Davies, N. M., Ware, J. J., VanderWeele, T., Smith, G. D., &amp; Munafo, M. R. (2014). Mendelian randomization in health research: using appropriate genetic variants and avoiding biased estimates. </w:t>
      </w:r>
      <w:r w:rsidRPr="00514F7D">
        <w:rPr>
          <w:i/>
        </w:rPr>
        <w:t>Economics and Human Biology, 13</w:t>
      </w:r>
      <w:r w:rsidRPr="00514F7D">
        <w:t>, 99-106. doi:10.1016/j.ehb.2013.12.002</w:t>
      </w:r>
    </w:p>
    <w:p w:rsidR="007368F5" w:rsidRPr="00514F7D" w:rsidRDefault="007368F5" w:rsidP="00514F7D">
      <w:pPr>
        <w:pStyle w:val="EndNoteBibliography"/>
        <w:spacing w:after="0"/>
        <w:ind w:left="720" w:hanging="720"/>
      </w:pPr>
      <w:r w:rsidRPr="00514F7D">
        <w:t xml:space="preserve">Tillmann, T., Vaucher, J., Okbay, A., Pikhart, H., Peasey, A., Kubinova, R., . . . Holmes, M. V. (2017). Education and coronary heart disease: mendelian randomisation study. </w:t>
      </w:r>
      <w:r w:rsidRPr="00514F7D">
        <w:rPr>
          <w:i/>
        </w:rPr>
        <w:t>British Medical Journal, 358</w:t>
      </w:r>
      <w:r w:rsidRPr="00514F7D">
        <w:t>, j3542. doi:10.1136/bmj.j3542</w:t>
      </w:r>
    </w:p>
    <w:p w:rsidR="007368F5" w:rsidRPr="00514F7D" w:rsidRDefault="007368F5" w:rsidP="00514F7D">
      <w:pPr>
        <w:pStyle w:val="EndNoteBibliography"/>
        <w:spacing w:after="0"/>
        <w:ind w:left="720" w:hanging="720"/>
      </w:pPr>
      <w:r w:rsidRPr="00514F7D">
        <w:t xml:space="preserve">Wechsler, D. (1999). </w:t>
      </w:r>
      <w:r w:rsidRPr="00514F7D">
        <w:rPr>
          <w:i/>
        </w:rPr>
        <w:t>Wechsler Abbreviated Scale of Intelligence</w:t>
      </w:r>
      <w:r w:rsidRPr="00514F7D">
        <w:t>. San Antonio, TX: Psychological Corporation.</w:t>
      </w:r>
    </w:p>
    <w:p w:rsidR="007368F5" w:rsidRPr="00514F7D" w:rsidRDefault="007368F5" w:rsidP="00514F7D">
      <w:pPr>
        <w:pStyle w:val="EndNoteBibliography"/>
        <w:spacing w:after="0"/>
        <w:ind w:left="720" w:hanging="720"/>
      </w:pPr>
      <w:r w:rsidRPr="00514F7D">
        <w:t xml:space="preserve">Wechsler, D., Golombok, J., &amp; Rust, J. (1992). </w:t>
      </w:r>
      <w:r w:rsidRPr="00514F7D">
        <w:rPr>
          <w:i/>
        </w:rPr>
        <w:t xml:space="preserve">Wechsler Intelligence Scale for Children </w:t>
      </w:r>
      <w:r w:rsidRPr="00514F7D">
        <w:t>Sidcup, United Kingdom: The Psychological Corporation.</w:t>
      </w:r>
    </w:p>
    <w:p w:rsidR="007368F5" w:rsidRPr="00514F7D" w:rsidRDefault="007368F5" w:rsidP="00514F7D">
      <w:pPr>
        <w:pStyle w:val="EndNoteBibliography"/>
        <w:spacing w:after="0"/>
        <w:ind w:left="720" w:hanging="720"/>
      </w:pPr>
      <w:r w:rsidRPr="00514F7D">
        <w:t xml:space="preserve">Wootton, R. E., Richmond, R. C., Stuijfzand, B. G., Lawn, R. B., Sallis, H. M., Taylor, G. M. J., . . . Munafo, M. R. (2019). Evidence for causal effects of lifetime smoking on risk for depression and schizophrenia: a Mendelian randomisation study. </w:t>
      </w:r>
      <w:r w:rsidRPr="00514F7D">
        <w:rPr>
          <w:i/>
        </w:rPr>
        <w:t>Psychol</w:t>
      </w:r>
      <w:r w:rsidR="001022D9">
        <w:rPr>
          <w:i/>
        </w:rPr>
        <w:t>ogical</w:t>
      </w:r>
      <w:r w:rsidRPr="00514F7D">
        <w:rPr>
          <w:i/>
        </w:rPr>
        <w:t xml:space="preserve"> Med</w:t>
      </w:r>
      <w:r w:rsidR="001022D9">
        <w:rPr>
          <w:i/>
        </w:rPr>
        <w:t>icine</w:t>
      </w:r>
      <w:r w:rsidRPr="00514F7D">
        <w:t>, 1-9. doi:10.1017/S0033291719002678</w:t>
      </w:r>
    </w:p>
    <w:p w:rsidR="007368F5" w:rsidRPr="00514F7D" w:rsidRDefault="007368F5" w:rsidP="00514F7D">
      <w:pPr>
        <w:pStyle w:val="EndNoteBibliography"/>
        <w:spacing w:after="0"/>
        <w:ind w:left="720" w:hanging="720"/>
      </w:pPr>
      <w:r w:rsidRPr="00514F7D">
        <w:t xml:space="preserve">Zammit, S., Odd, D., Horwood, J., Thompson, A., Thomas, K., Menezes, P., . . . Harrison, G. (2009). Investigating whether adverse prenatal and perinatal events are associated with non-clinical psychotic symptoms at age 12 years in the ALSPAC birth cohort. </w:t>
      </w:r>
      <w:r w:rsidRPr="00514F7D">
        <w:rPr>
          <w:i/>
        </w:rPr>
        <w:t>Psychol</w:t>
      </w:r>
      <w:r w:rsidR="001022D9">
        <w:rPr>
          <w:i/>
        </w:rPr>
        <w:t>ogical</w:t>
      </w:r>
      <w:r w:rsidRPr="00514F7D">
        <w:rPr>
          <w:i/>
        </w:rPr>
        <w:t xml:space="preserve"> Med</w:t>
      </w:r>
      <w:r w:rsidR="001022D9">
        <w:rPr>
          <w:i/>
        </w:rPr>
        <w:t>icine</w:t>
      </w:r>
      <w:r w:rsidRPr="00514F7D">
        <w:rPr>
          <w:i/>
        </w:rPr>
        <w:t>, 39</w:t>
      </w:r>
      <w:r w:rsidRPr="00514F7D">
        <w:t>(9), 1457-1467. doi:10.1017/S0033291708005126</w:t>
      </w:r>
    </w:p>
    <w:p w:rsidR="007368F5" w:rsidRPr="00514F7D" w:rsidRDefault="007368F5" w:rsidP="00514F7D">
      <w:pPr>
        <w:pStyle w:val="EndNoteBibliography"/>
        <w:ind w:left="720" w:hanging="720"/>
      </w:pPr>
      <w:r w:rsidRPr="00514F7D">
        <w:t xml:space="preserve">Zhao, M., Konishi, Y., &amp; Glewwe, P. (2010). Does smoking make one dumber? Evidence from teenagers in rural China. </w:t>
      </w:r>
      <w:r w:rsidRPr="00514F7D">
        <w:rPr>
          <w:i/>
        </w:rPr>
        <w:t>Gansu Survey of Children and Families Papers, 37</w:t>
      </w:r>
      <w:r w:rsidRPr="00514F7D">
        <w:t xml:space="preserve">. </w:t>
      </w:r>
    </w:p>
    <w:p w:rsidR="007368F5" w:rsidRPr="00644B6D" w:rsidRDefault="007368F5" w:rsidP="00C76E71">
      <w:pPr>
        <w:spacing w:after="0" w:line="480" w:lineRule="auto"/>
        <w:rPr>
          <w:rFonts w:ascii="Arial" w:hAnsi="Arial" w:cs="Arial"/>
        </w:rPr>
      </w:pPr>
    </w:p>
    <w:p w:rsidR="007368F5" w:rsidRPr="00411234" w:rsidRDefault="007368F5" w:rsidP="00C76E71">
      <w:pPr>
        <w:spacing w:after="0" w:line="480" w:lineRule="auto"/>
        <w:rPr>
          <w:rFonts w:ascii="Arial" w:hAnsi="Arial" w:cs="Arial"/>
        </w:rPr>
        <w:sectPr w:rsidR="007368F5" w:rsidRPr="00411234">
          <w:headerReference w:type="default" r:id="rId11"/>
          <w:footerReference w:type="even" r:id="rId12"/>
          <w:footerReference w:type="default" r:id="rId13"/>
          <w:pgSz w:w="11906" w:h="16838"/>
          <w:pgMar w:top="1440" w:right="1440" w:bottom="1440" w:left="1440" w:header="708" w:footer="708" w:gutter="0"/>
          <w:cols w:space="708"/>
          <w:docGrid w:linePitch="360"/>
        </w:sectPr>
      </w:pPr>
    </w:p>
    <w:p w:rsidR="007368F5" w:rsidRPr="00EC0AFE" w:rsidRDefault="007368F5" w:rsidP="008B6222">
      <w:pPr>
        <w:spacing w:after="0" w:line="240" w:lineRule="auto"/>
        <w:rPr>
          <w:rFonts w:ascii="Arial" w:hAnsi="Arial" w:cs="Arial"/>
          <w:b/>
        </w:rPr>
      </w:pPr>
      <w:r w:rsidRPr="00EC0AFE">
        <w:rPr>
          <w:rFonts w:ascii="Arial" w:hAnsi="Arial" w:cs="Arial"/>
          <w:b/>
        </w:rPr>
        <w:lastRenderedPageBreak/>
        <w:t>Table 1</w:t>
      </w:r>
      <w:r>
        <w:rPr>
          <w:rFonts w:ascii="Arial" w:hAnsi="Arial" w:cs="Arial"/>
          <w:b/>
        </w:rPr>
        <w:t>.</w:t>
      </w:r>
      <w:r w:rsidRPr="00EC0AFE">
        <w:rPr>
          <w:rFonts w:ascii="Arial" w:hAnsi="Arial" w:cs="Arial"/>
          <w:b/>
        </w:rPr>
        <w:t xml:space="preserve"> Descriptive statistics for covariates by smoking heaviness group</w:t>
      </w:r>
      <w:r>
        <w:rPr>
          <w:rFonts w:ascii="Arial" w:hAnsi="Arial" w:cs="Arial"/>
          <w:b/>
        </w:rPr>
        <w:t xml:space="preserve"> in the ALSPAC cohort</w:t>
      </w:r>
      <w:r w:rsidRPr="00EC0AFE">
        <w:rPr>
          <w:rFonts w:ascii="Arial" w:hAnsi="Arial" w:cs="Arial"/>
          <w:b/>
        </w:rPr>
        <w:t>.</w:t>
      </w:r>
    </w:p>
    <w:p w:rsidR="007368F5" w:rsidRPr="00411234" w:rsidRDefault="007368F5" w:rsidP="008B6222">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403"/>
        <w:gridCol w:w="1281"/>
        <w:gridCol w:w="1403"/>
        <w:gridCol w:w="1281"/>
        <w:gridCol w:w="1281"/>
        <w:gridCol w:w="1281"/>
        <w:gridCol w:w="896"/>
      </w:tblGrid>
      <w:tr w:rsidR="007368F5" w:rsidRPr="00411234" w:rsidTr="00644B6D">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Smoking</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Never</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1-4</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5-20</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21-60</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61-100</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101+</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p</w:t>
            </w:r>
          </w:p>
        </w:tc>
      </w:tr>
      <w:tr w:rsidR="007368F5" w:rsidRPr="00411234" w:rsidTr="00644B6D">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Sample (CCA) % (N)</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71.5 (1</w:t>
            </w:r>
            <w:r>
              <w:rPr>
                <w:rFonts w:ascii="Arial" w:hAnsi="Arial" w:cs="Arial"/>
              </w:rPr>
              <w:t>,</w:t>
            </w:r>
            <w:r w:rsidRPr="00411234">
              <w:rPr>
                <w:rFonts w:ascii="Arial" w:hAnsi="Arial" w:cs="Arial"/>
              </w:rPr>
              <w:t>507)</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6.7 (141)</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6.6 (139)</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5.1 (107)</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2.7 (56)</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7.4 (157)</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r>
      <w:tr w:rsidR="007368F5" w:rsidRPr="00411234" w:rsidTr="00644B6D">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Female</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48.6 (733)</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64.5 (91)</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67.6 (94)</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67.3 (72)</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55.4 (31)</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61.2 (96)</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No higher maternal education</w:t>
            </w:r>
          </w:p>
        </w:tc>
        <w:tc>
          <w:tcPr>
            <w:tcW w:w="0" w:type="auto"/>
          </w:tcPr>
          <w:p w:rsidR="007368F5" w:rsidRPr="00411234" w:rsidRDefault="007368F5" w:rsidP="00644B6D">
            <w:pPr>
              <w:rPr>
                <w:rFonts w:ascii="Arial" w:hAnsi="Arial" w:cs="Arial"/>
              </w:rPr>
            </w:pPr>
            <w:r w:rsidRPr="00411234">
              <w:rPr>
                <w:rFonts w:ascii="Arial" w:hAnsi="Arial" w:cs="Arial"/>
              </w:rPr>
              <w:t>13.6 (205)</w:t>
            </w:r>
          </w:p>
        </w:tc>
        <w:tc>
          <w:tcPr>
            <w:tcW w:w="0" w:type="auto"/>
          </w:tcPr>
          <w:p w:rsidR="007368F5" w:rsidRPr="00411234" w:rsidRDefault="007368F5" w:rsidP="00644B6D">
            <w:pPr>
              <w:rPr>
                <w:rFonts w:ascii="Arial" w:hAnsi="Arial" w:cs="Arial"/>
              </w:rPr>
            </w:pPr>
            <w:r w:rsidRPr="00411234">
              <w:rPr>
                <w:rFonts w:ascii="Arial" w:hAnsi="Arial" w:cs="Arial"/>
              </w:rPr>
              <w:t>17.0 (24)</w:t>
            </w:r>
          </w:p>
        </w:tc>
        <w:tc>
          <w:tcPr>
            <w:tcW w:w="0" w:type="auto"/>
          </w:tcPr>
          <w:p w:rsidR="007368F5" w:rsidRPr="00411234" w:rsidRDefault="007368F5" w:rsidP="00644B6D">
            <w:pPr>
              <w:rPr>
                <w:rFonts w:ascii="Arial" w:hAnsi="Arial" w:cs="Arial"/>
              </w:rPr>
            </w:pPr>
            <w:r w:rsidRPr="00411234">
              <w:rPr>
                <w:rFonts w:ascii="Arial" w:hAnsi="Arial" w:cs="Arial"/>
              </w:rPr>
              <w:t>17.3 (24)</w:t>
            </w:r>
          </w:p>
        </w:tc>
        <w:tc>
          <w:tcPr>
            <w:tcW w:w="0" w:type="auto"/>
          </w:tcPr>
          <w:p w:rsidR="007368F5" w:rsidRPr="00411234" w:rsidRDefault="007368F5" w:rsidP="00644B6D">
            <w:pPr>
              <w:rPr>
                <w:rFonts w:ascii="Arial" w:hAnsi="Arial" w:cs="Arial"/>
              </w:rPr>
            </w:pPr>
            <w:r w:rsidRPr="00411234">
              <w:rPr>
                <w:rFonts w:ascii="Arial" w:hAnsi="Arial" w:cs="Arial"/>
              </w:rPr>
              <w:t>15.0 (16)</w:t>
            </w:r>
          </w:p>
        </w:tc>
        <w:tc>
          <w:tcPr>
            <w:tcW w:w="0" w:type="auto"/>
          </w:tcPr>
          <w:p w:rsidR="007368F5" w:rsidRPr="00411234" w:rsidRDefault="007368F5" w:rsidP="00644B6D">
            <w:pPr>
              <w:rPr>
                <w:rFonts w:ascii="Arial" w:hAnsi="Arial" w:cs="Arial"/>
              </w:rPr>
            </w:pPr>
            <w:r w:rsidRPr="00411234">
              <w:rPr>
                <w:rFonts w:ascii="Arial" w:hAnsi="Arial" w:cs="Arial"/>
              </w:rPr>
              <w:t>21.4 (12)</w:t>
            </w:r>
          </w:p>
        </w:tc>
        <w:tc>
          <w:tcPr>
            <w:tcW w:w="0" w:type="auto"/>
          </w:tcPr>
          <w:p w:rsidR="007368F5" w:rsidRPr="00411234" w:rsidRDefault="007368F5" w:rsidP="00644B6D">
            <w:pPr>
              <w:rPr>
                <w:rFonts w:ascii="Arial" w:hAnsi="Arial" w:cs="Arial"/>
              </w:rPr>
            </w:pPr>
            <w:r w:rsidRPr="00411234">
              <w:rPr>
                <w:rFonts w:ascii="Arial" w:hAnsi="Arial" w:cs="Arial"/>
              </w:rPr>
              <w:t>24.2 (38)</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Smoking during pregnancy</w:t>
            </w:r>
          </w:p>
        </w:tc>
        <w:tc>
          <w:tcPr>
            <w:tcW w:w="0" w:type="auto"/>
          </w:tcPr>
          <w:p w:rsidR="007368F5" w:rsidRPr="00411234" w:rsidRDefault="007368F5" w:rsidP="00644B6D">
            <w:pPr>
              <w:rPr>
                <w:rFonts w:ascii="Arial" w:hAnsi="Arial" w:cs="Arial"/>
              </w:rPr>
            </w:pPr>
            <w:r w:rsidRPr="00411234">
              <w:rPr>
                <w:rFonts w:ascii="Arial" w:hAnsi="Arial" w:cs="Arial"/>
              </w:rPr>
              <w:t>10.4 (156)</w:t>
            </w:r>
          </w:p>
        </w:tc>
        <w:tc>
          <w:tcPr>
            <w:tcW w:w="0" w:type="auto"/>
          </w:tcPr>
          <w:p w:rsidR="007368F5" w:rsidRPr="00411234" w:rsidRDefault="007368F5" w:rsidP="00644B6D">
            <w:pPr>
              <w:rPr>
                <w:rFonts w:ascii="Arial" w:hAnsi="Arial" w:cs="Arial"/>
              </w:rPr>
            </w:pPr>
            <w:r w:rsidRPr="00411234">
              <w:rPr>
                <w:rFonts w:ascii="Arial" w:hAnsi="Arial" w:cs="Arial"/>
              </w:rPr>
              <w:t>18.4 (26)</w:t>
            </w:r>
          </w:p>
        </w:tc>
        <w:tc>
          <w:tcPr>
            <w:tcW w:w="0" w:type="auto"/>
          </w:tcPr>
          <w:p w:rsidR="007368F5" w:rsidRPr="00411234" w:rsidRDefault="007368F5" w:rsidP="00644B6D">
            <w:pPr>
              <w:rPr>
                <w:rFonts w:ascii="Arial" w:hAnsi="Arial" w:cs="Arial"/>
              </w:rPr>
            </w:pPr>
            <w:r w:rsidRPr="00411234">
              <w:rPr>
                <w:rFonts w:ascii="Arial" w:hAnsi="Arial" w:cs="Arial"/>
              </w:rPr>
              <w:t>19.4 (27)</w:t>
            </w:r>
          </w:p>
        </w:tc>
        <w:tc>
          <w:tcPr>
            <w:tcW w:w="0" w:type="auto"/>
          </w:tcPr>
          <w:p w:rsidR="007368F5" w:rsidRPr="00411234" w:rsidRDefault="007368F5" w:rsidP="00644B6D">
            <w:pPr>
              <w:rPr>
                <w:rFonts w:ascii="Arial" w:hAnsi="Arial" w:cs="Arial"/>
              </w:rPr>
            </w:pPr>
            <w:r w:rsidRPr="00411234">
              <w:rPr>
                <w:rFonts w:ascii="Arial" w:hAnsi="Arial" w:cs="Arial"/>
              </w:rPr>
              <w:t>15.0 (16)</w:t>
            </w:r>
          </w:p>
        </w:tc>
        <w:tc>
          <w:tcPr>
            <w:tcW w:w="0" w:type="auto"/>
          </w:tcPr>
          <w:p w:rsidR="007368F5" w:rsidRPr="00411234" w:rsidRDefault="007368F5" w:rsidP="00644B6D">
            <w:pPr>
              <w:rPr>
                <w:rFonts w:ascii="Arial" w:hAnsi="Arial" w:cs="Arial"/>
              </w:rPr>
            </w:pPr>
            <w:r w:rsidRPr="00411234">
              <w:rPr>
                <w:rFonts w:ascii="Arial" w:hAnsi="Arial" w:cs="Arial"/>
              </w:rPr>
              <w:t>12.5 (7)</w:t>
            </w:r>
          </w:p>
        </w:tc>
        <w:tc>
          <w:tcPr>
            <w:tcW w:w="0" w:type="auto"/>
          </w:tcPr>
          <w:p w:rsidR="007368F5" w:rsidRPr="00411234" w:rsidRDefault="007368F5" w:rsidP="00644B6D">
            <w:pPr>
              <w:rPr>
                <w:rFonts w:ascii="Arial" w:hAnsi="Arial" w:cs="Arial"/>
              </w:rPr>
            </w:pPr>
            <w:r w:rsidRPr="00411234">
              <w:rPr>
                <w:rFonts w:ascii="Arial" w:hAnsi="Arial" w:cs="Arial"/>
              </w:rPr>
              <w:t>28.7 (45)</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Weekly alcohol use during pregnancy</w:t>
            </w:r>
          </w:p>
        </w:tc>
        <w:tc>
          <w:tcPr>
            <w:tcW w:w="0" w:type="auto"/>
          </w:tcPr>
          <w:p w:rsidR="007368F5" w:rsidRPr="00411234" w:rsidRDefault="007368F5" w:rsidP="00644B6D">
            <w:pPr>
              <w:rPr>
                <w:rFonts w:ascii="Arial" w:hAnsi="Arial" w:cs="Arial"/>
              </w:rPr>
            </w:pPr>
            <w:r w:rsidRPr="00411234">
              <w:rPr>
                <w:rFonts w:ascii="Arial" w:hAnsi="Arial" w:cs="Arial"/>
              </w:rPr>
              <w:t>12.1 (182)</w:t>
            </w:r>
          </w:p>
        </w:tc>
        <w:tc>
          <w:tcPr>
            <w:tcW w:w="0" w:type="auto"/>
          </w:tcPr>
          <w:p w:rsidR="007368F5" w:rsidRPr="00411234" w:rsidRDefault="007368F5" w:rsidP="00644B6D">
            <w:pPr>
              <w:rPr>
                <w:rFonts w:ascii="Arial" w:hAnsi="Arial" w:cs="Arial"/>
              </w:rPr>
            </w:pPr>
            <w:r w:rsidRPr="00411234">
              <w:rPr>
                <w:rFonts w:ascii="Arial" w:hAnsi="Arial" w:cs="Arial"/>
              </w:rPr>
              <w:t>22.0 (31)</w:t>
            </w:r>
          </w:p>
        </w:tc>
        <w:tc>
          <w:tcPr>
            <w:tcW w:w="0" w:type="auto"/>
          </w:tcPr>
          <w:p w:rsidR="007368F5" w:rsidRPr="00411234" w:rsidRDefault="007368F5" w:rsidP="00644B6D">
            <w:pPr>
              <w:rPr>
                <w:rFonts w:ascii="Arial" w:hAnsi="Arial" w:cs="Arial"/>
              </w:rPr>
            </w:pPr>
            <w:r w:rsidRPr="00411234">
              <w:rPr>
                <w:rFonts w:ascii="Arial" w:hAnsi="Arial" w:cs="Arial"/>
              </w:rPr>
              <w:t>21.6 (30)</w:t>
            </w:r>
          </w:p>
        </w:tc>
        <w:tc>
          <w:tcPr>
            <w:tcW w:w="0" w:type="auto"/>
          </w:tcPr>
          <w:p w:rsidR="007368F5" w:rsidRPr="00411234" w:rsidRDefault="007368F5" w:rsidP="00644B6D">
            <w:pPr>
              <w:rPr>
                <w:rFonts w:ascii="Arial" w:hAnsi="Arial" w:cs="Arial"/>
              </w:rPr>
            </w:pPr>
            <w:r w:rsidRPr="00411234">
              <w:rPr>
                <w:rFonts w:ascii="Arial" w:hAnsi="Arial" w:cs="Arial"/>
              </w:rPr>
              <w:t>11.2 (12)</w:t>
            </w:r>
          </w:p>
        </w:tc>
        <w:tc>
          <w:tcPr>
            <w:tcW w:w="0" w:type="auto"/>
          </w:tcPr>
          <w:p w:rsidR="007368F5" w:rsidRPr="00411234" w:rsidRDefault="007368F5" w:rsidP="00644B6D">
            <w:pPr>
              <w:rPr>
                <w:rFonts w:ascii="Arial" w:hAnsi="Arial" w:cs="Arial"/>
              </w:rPr>
            </w:pPr>
            <w:r w:rsidRPr="00411234">
              <w:rPr>
                <w:rFonts w:ascii="Arial" w:hAnsi="Arial" w:cs="Arial"/>
              </w:rPr>
              <w:t>21.4 (12)</w:t>
            </w:r>
          </w:p>
        </w:tc>
        <w:tc>
          <w:tcPr>
            <w:tcW w:w="0" w:type="auto"/>
          </w:tcPr>
          <w:p w:rsidR="007368F5" w:rsidRPr="00411234" w:rsidRDefault="007368F5" w:rsidP="00644B6D">
            <w:pPr>
              <w:rPr>
                <w:rFonts w:ascii="Arial" w:hAnsi="Arial" w:cs="Arial"/>
              </w:rPr>
            </w:pPr>
            <w:r w:rsidRPr="00411234">
              <w:rPr>
                <w:rFonts w:ascii="Arial" w:hAnsi="Arial" w:cs="Arial"/>
              </w:rPr>
              <w:t>15.9 (25)</w:t>
            </w:r>
          </w:p>
        </w:tc>
        <w:tc>
          <w:tcPr>
            <w:tcW w:w="0" w:type="auto"/>
          </w:tcPr>
          <w:p w:rsidR="007368F5" w:rsidRPr="00411234" w:rsidRDefault="007368F5" w:rsidP="00644B6D">
            <w:pPr>
              <w:rPr>
                <w:rFonts w:ascii="Arial" w:hAnsi="Arial" w:cs="Arial"/>
              </w:rPr>
            </w:pPr>
            <w:r w:rsidRPr="00411234">
              <w:rPr>
                <w:rFonts w:ascii="Arial" w:hAnsi="Arial" w:cs="Arial"/>
              </w:rPr>
              <w:t>0.02</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Cannabis use during pregnancy</w:t>
            </w:r>
          </w:p>
        </w:tc>
        <w:tc>
          <w:tcPr>
            <w:tcW w:w="0" w:type="auto"/>
          </w:tcPr>
          <w:p w:rsidR="007368F5" w:rsidRPr="00411234" w:rsidRDefault="007368F5" w:rsidP="00644B6D">
            <w:pPr>
              <w:rPr>
                <w:rFonts w:ascii="Arial" w:hAnsi="Arial" w:cs="Arial"/>
              </w:rPr>
            </w:pPr>
            <w:r w:rsidRPr="00411234">
              <w:rPr>
                <w:rFonts w:ascii="Arial" w:hAnsi="Arial" w:cs="Arial"/>
              </w:rPr>
              <w:t>1.0 (15)</w:t>
            </w:r>
          </w:p>
        </w:tc>
        <w:tc>
          <w:tcPr>
            <w:tcW w:w="0" w:type="auto"/>
          </w:tcPr>
          <w:p w:rsidR="007368F5" w:rsidRPr="00411234" w:rsidRDefault="007368F5" w:rsidP="00644B6D">
            <w:pPr>
              <w:rPr>
                <w:rFonts w:ascii="Arial" w:hAnsi="Arial" w:cs="Arial"/>
              </w:rPr>
            </w:pPr>
            <w:r w:rsidRPr="00411234">
              <w:rPr>
                <w:rFonts w:ascii="Arial" w:hAnsi="Arial" w:cs="Arial"/>
              </w:rPr>
              <w:t>2.8 (</w:t>
            </w:r>
            <w:r>
              <w:rPr>
                <w:rFonts w:ascii="Arial" w:hAnsi="Arial" w:cs="Arial"/>
              </w:rPr>
              <w:t>&lt;5</w:t>
            </w:r>
            <w:r w:rsidRPr="00411234">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3.6 (5)</w:t>
            </w:r>
          </w:p>
        </w:tc>
        <w:tc>
          <w:tcPr>
            <w:tcW w:w="0" w:type="auto"/>
          </w:tcPr>
          <w:p w:rsidR="007368F5" w:rsidRPr="00411234" w:rsidRDefault="007368F5" w:rsidP="00644B6D">
            <w:pPr>
              <w:rPr>
                <w:rFonts w:ascii="Arial" w:hAnsi="Arial" w:cs="Arial"/>
              </w:rPr>
            </w:pPr>
            <w:r w:rsidRPr="00411234">
              <w:rPr>
                <w:rFonts w:ascii="Arial" w:hAnsi="Arial" w:cs="Arial"/>
              </w:rPr>
              <w:t>5.6 (6)</w:t>
            </w:r>
          </w:p>
        </w:tc>
        <w:tc>
          <w:tcPr>
            <w:tcW w:w="0" w:type="auto"/>
          </w:tcPr>
          <w:p w:rsidR="007368F5" w:rsidRPr="00411234" w:rsidRDefault="007368F5" w:rsidP="00644B6D">
            <w:pPr>
              <w:rPr>
                <w:rFonts w:ascii="Arial" w:hAnsi="Arial" w:cs="Arial"/>
              </w:rPr>
            </w:pPr>
            <w:r w:rsidRPr="00411234">
              <w:rPr>
                <w:rFonts w:ascii="Arial" w:hAnsi="Arial" w:cs="Arial"/>
              </w:rPr>
              <w:t>0</w:t>
            </w:r>
          </w:p>
        </w:tc>
        <w:tc>
          <w:tcPr>
            <w:tcW w:w="0" w:type="auto"/>
          </w:tcPr>
          <w:p w:rsidR="007368F5" w:rsidRPr="00411234" w:rsidRDefault="007368F5" w:rsidP="00644B6D">
            <w:pPr>
              <w:rPr>
                <w:rFonts w:ascii="Arial" w:hAnsi="Arial" w:cs="Arial"/>
              </w:rPr>
            </w:pPr>
            <w:r w:rsidRPr="00411234">
              <w:rPr>
                <w:rFonts w:ascii="Arial" w:hAnsi="Arial" w:cs="Arial"/>
              </w:rPr>
              <w:t>2.6 (</w:t>
            </w:r>
            <w:r>
              <w:rPr>
                <w:rFonts w:ascii="Arial" w:hAnsi="Arial" w:cs="Arial"/>
              </w:rPr>
              <w:t>&lt;5</w:t>
            </w:r>
            <w:r w:rsidRPr="00411234">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Truancy from school (age 14)</w:t>
            </w:r>
          </w:p>
        </w:tc>
        <w:tc>
          <w:tcPr>
            <w:tcW w:w="0" w:type="auto"/>
          </w:tcPr>
          <w:p w:rsidR="007368F5" w:rsidRPr="00411234" w:rsidRDefault="007368F5" w:rsidP="00644B6D">
            <w:pPr>
              <w:rPr>
                <w:rFonts w:ascii="Arial" w:hAnsi="Arial" w:cs="Arial"/>
              </w:rPr>
            </w:pPr>
            <w:r w:rsidRPr="00411234">
              <w:rPr>
                <w:rFonts w:ascii="Arial" w:hAnsi="Arial" w:cs="Arial"/>
              </w:rPr>
              <w:t>0.7 (10)</w:t>
            </w:r>
          </w:p>
        </w:tc>
        <w:tc>
          <w:tcPr>
            <w:tcW w:w="0" w:type="auto"/>
          </w:tcPr>
          <w:p w:rsidR="007368F5" w:rsidRPr="00411234" w:rsidRDefault="007368F5" w:rsidP="00644B6D">
            <w:pPr>
              <w:rPr>
                <w:rFonts w:ascii="Arial" w:hAnsi="Arial" w:cs="Arial"/>
              </w:rPr>
            </w:pPr>
            <w:r w:rsidRPr="00411234">
              <w:rPr>
                <w:rFonts w:ascii="Arial" w:hAnsi="Arial" w:cs="Arial"/>
              </w:rPr>
              <w:t>0.7 (</w:t>
            </w:r>
            <w:r>
              <w:rPr>
                <w:rFonts w:ascii="Arial" w:hAnsi="Arial" w:cs="Arial"/>
              </w:rPr>
              <w:t>&lt;5</w:t>
            </w:r>
            <w:r w:rsidRPr="00411234">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2.2 (</w:t>
            </w:r>
            <w:r>
              <w:rPr>
                <w:rFonts w:ascii="Arial" w:hAnsi="Arial" w:cs="Arial"/>
              </w:rPr>
              <w:t>&lt;5</w:t>
            </w:r>
            <w:r w:rsidRPr="00411234">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3.7 (</w:t>
            </w:r>
            <w:r>
              <w:rPr>
                <w:rFonts w:ascii="Arial" w:hAnsi="Arial" w:cs="Arial"/>
              </w:rPr>
              <w:t>&lt;5</w:t>
            </w:r>
            <w:r w:rsidRPr="00411234">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1.8 (</w:t>
            </w:r>
            <w:r>
              <w:rPr>
                <w:rFonts w:ascii="Arial" w:hAnsi="Arial" w:cs="Arial"/>
              </w:rPr>
              <w:t>&lt;5</w:t>
            </w:r>
            <w:r w:rsidRPr="00411234">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8.3 (13)</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Hyperactivity &gt;3 (age 11)</w:t>
            </w:r>
          </w:p>
        </w:tc>
        <w:tc>
          <w:tcPr>
            <w:tcW w:w="0" w:type="auto"/>
          </w:tcPr>
          <w:p w:rsidR="007368F5" w:rsidRPr="00411234" w:rsidRDefault="007368F5" w:rsidP="00644B6D">
            <w:pPr>
              <w:rPr>
                <w:rFonts w:ascii="Arial" w:hAnsi="Arial" w:cs="Arial"/>
              </w:rPr>
            </w:pPr>
            <w:r w:rsidRPr="00411234">
              <w:rPr>
                <w:rFonts w:ascii="Arial" w:hAnsi="Arial" w:cs="Arial"/>
              </w:rPr>
              <w:t>39.8 (600)</w:t>
            </w:r>
          </w:p>
        </w:tc>
        <w:tc>
          <w:tcPr>
            <w:tcW w:w="0" w:type="auto"/>
          </w:tcPr>
          <w:p w:rsidR="007368F5" w:rsidRPr="00411234" w:rsidRDefault="007368F5" w:rsidP="00644B6D">
            <w:pPr>
              <w:rPr>
                <w:rFonts w:ascii="Arial" w:hAnsi="Arial" w:cs="Arial"/>
              </w:rPr>
            </w:pPr>
            <w:r w:rsidRPr="00411234">
              <w:rPr>
                <w:rFonts w:ascii="Arial" w:hAnsi="Arial" w:cs="Arial"/>
              </w:rPr>
              <w:t>47.5 (67)</w:t>
            </w:r>
          </w:p>
        </w:tc>
        <w:tc>
          <w:tcPr>
            <w:tcW w:w="0" w:type="auto"/>
          </w:tcPr>
          <w:p w:rsidR="007368F5" w:rsidRPr="00411234" w:rsidRDefault="007368F5" w:rsidP="00644B6D">
            <w:pPr>
              <w:rPr>
                <w:rFonts w:ascii="Arial" w:hAnsi="Arial" w:cs="Arial"/>
              </w:rPr>
            </w:pPr>
            <w:r w:rsidRPr="00411234">
              <w:rPr>
                <w:rFonts w:ascii="Arial" w:hAnsi="Arial" w:cs="Arial"/>
              </w:rPr>
              <w:t>38.1 (53)</w:t>
            </w:r>
          </w:p>
        </w:tc>
        <w:tc>
          <w:tcPr>
            <w:tcW w:w="0" w:type="auto"/>
          </w:tcPr>
          <w:p w:rsidR="007368F5" w:rsidRPr="00411234" w:rsidRDefault="007368F5" w:rsidP="00644B6D">
            <w:pPr>
              <w:rPr>
                <w:rFonts w:ascii="Arial" w:hAnsi="Arial" w:cs="Arial"/>
              </w:rPr>
            </w:pPr>
            <w:r w:rsidRPr="00411234">
              <w:rPr>
                <w:rFonts w:ascii="Arial" w:hAnsi="Arial" w:cs="Arial"/>
              </w:rPr>
              <w:t>54.2 (58)</w:t>
            </w:r>
          </w:p>
        </w:tc>
        <w:tc>
          <w:tcPr>
            <w:tcW w:w="0" w:type="auto"/>
          </w:tcPr>
          <w:p w:rsidR="007368F5" w:rsidRPr="00411234" w:rsidRDefault="007368F5" w:rsidP="00644B6D">
            <w:pPr>
              <w:rPr>
                <w:rFonts w:ascii="Arial" w:hAnsi="Arial" w:cs="Arial"/>
              </w:rPr>
            </w:pPr>
            <w:r w:rsidRPr="00411234">
              <w:rPr>
                <w:rFonts w:ascii="Arial" w:hAnsi="Arial" w:cs="Arial"/>
              </w:rPr>
              <w:t>50.0 (28)</w:t>
            </w:r>
          </w:p>
        </w:tc>
        <w:tc>
          <w:tcPr>
            <w:tcW w:w="0" w:type="auto"/>
          </w:tcPr>
          <w:p w:rsidR="007368F5" w:rsidRPr="00411234" w:rsidRDefault="007368F5" w:rsidP="00644B6D">
            <w:pPr>
              <w:rPr>
                <w:rFonts w:ascii="Arial" w:hAnsi="Arial" w:cs="Arial"/>
              </w:rPr>
            </w:pPr>
            <w:r w:rsidRPr="00411234">
              <w:rPr>
                <w:rFonts w:ascii="Arial" w:hAnsi="Arial" w:cs="Arial"/>
              </w:rPr>
              <w:t>59.9 (94)</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Conduct problems &gt;3 (age 11)</w:t>
            </w:r>
          </w:p>
        </w:tc>
        <w:tc>
          <w:tcPr>
            <w:tcW w:w="0" w:type="auto"/>
          </w:tcPr>
          <w:p w:rsidR="007368F5" w:rsidRPr="00411234" w:rsidRDefault="007368F5" w:rsidP="00644B6D">
            <w:pPr>
              <w:rPr>
                <w:rFonts w:ascii="Arial" w:hAnsi="Arial" w:cs="Arial"/>
              </w:rPr>
            </w:pPr>
            <w:r w:rsidRPr="00411234">
              <w:rPr>
                <w:rFonts w:ascii="Arial" w:hAnsi="Arial" w:cs="Arial"/>
              </w:rPr>
              <w:t>11.0 (165)</w:t>
            </w:r>
          </w:p>
        </w:tc>
        <w:tc>
          <w:tcPr>
            <w:tcW w:w="0" w:type="auto"/>
          </w:tcPr>
          <w:p w:rsidR="007368F5" w:rsidRPr="00411234" w:rsidRDefault="007368F5" w:rsidP="00644B6D">
            <w:pPr>
              <w:rPr>
                <w:rFonts w:ascii="Arial" w:hAnsi="Arial" w:cs="Arial"/>
              </w:rPr>
            </w:pPr>
            <w:r w:rsidRPr="00411234">
              <w:rPr>
                <w:rFonts w:ascii="Arial" w:hAnsi="Arial" w:cs="Arial"/>
              </w:rPr>
              <w:t>14.9 (21)</w:t>
            </w:r>
          </w:p>
        </w:tc>
        <w:tc>
          <w:tcPr>
            <w:tcW w:w="0" w:type="auto"/>
          </w:tcPr>
          <w:p w:rsidR="007368F5" w:rsidRPr="00411234" w:rsidRDefault="007368F5" w:rsidP="00644B6D">
            <w:pPr>
              <w:rPr>
                <w:rFonts w:ascii="Arial" w:hAnsi="Arial" w:cs="Arial"/>
              </w:rPr>
            </w:pPr>
            <w:r w:rsidRPr="00411234">
              <w:rPr>
                <w:rFonts w:ascii="Arial" w:hAnsi="Arial" w:cs="Arial"/>
              </w:rPr>
              <w:t>13.7 (19)</w:t>
            </w:r>
          </w:p>
        </w:tc>
        <w:tc>
          <w:tcPr>
            <w:tcW w:w="0" w:type="auto"/>
          </w:tcPr>
          <w:p w:rsidR="007368F5" w:rsidRPr="00411234" w:rsidRDefault="007368F5" w:rsidP="00644B6D">
            <w:pPr>
              <w:rPr>
                <w:rFonts w:ascii="Arial" w:hAnsi="Arial" w:cs="Arial"/>
              </w:rPr>
            </w:pPr>
            <w:r w:rsidRPr="00411234">
              <w:rPr>
                <w:rFonts w:ascii="Arial" w:hAnsi="Arial" w:cs="Arial"/>
              </w:rPr>
              <w:t>21.5 (23)</w:t>
            </w:r>
          </w:p>
        </w:tc>
        <w:tc>
          <w:tcPr>
            <w:tcW w:w="0" w:type="auto"/>
          </w:tcPr>
          <w:p w:rsidR="007368F5" w:rsidRPr="00411234" w:rsidRDefault="007368F5" w:rsidP="00644B6D">
            <w:pPr>
              <w:rPr>
                <w:rFonts w:ascii="Arial" w:hAnsi="Arial" w:cs="Arial"/>
              </w:rPr>
            </w:pPr>
            <w:r w:rsidRPr="00411234">
              <w:rPr>
                <w:rFonts w:ascii="Arial" w:hAnsi="Arial" w:cs="Arial"/>
              </w:rPr>
              <w:t>25.0 (23)</w:t>
            </w:r>
          </w:p>
        </w:tc>
        <w:tc>
          <w:tcPr>
            <w:tcW w:w="0" w:type="auto"/>
          </w:tcPr>
          <w:p w:rsidR="007368F5" w:rsidRPr="00411234" w:rsidRDefault="007368F5" w:rsidP="00644B6D">
            <w:pPr>
              <w:rPr>
                <w:rFonts w:ascii="Arial" w:hAnsi="Arial" w:cs="Arial"/>
              </w:rPr>
            </w:pPr>
            <w:r w:rsidRPr="00411234">
              <w:rPr>
                <w:rFonts w:ascii="Arial" w:hAnsi="Arial" w:cs="Arial"/>
              </w:rPr>
              <w:t>22.3 (35)</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Psychotic-like experiences (age 12)</w:t>
            </w:r>
          </w:p>
        </w:tc>
        <w:tc>
          <w:tcPr>
            <w:tcW w:w="0" w:type="auto"/>
          </w:tcPr>
          <w:p w:rsidR="007368F5" w:rsidRPr="00411234" w:rsidRDefault="007368F5" w:rsidP="00644B6D">
            <w:pPr>
              <w:rPr>
                <w:rFonts w:ascii="Arial" w:hAnsi="Arial" w:cs="Arial"/>
              </w:rPr>
            </w:pPr>
            <w:r w:rsidRPr="00411234">
              <w:rPr>
                <w:rFonts w:ascii="Arial" w:hAnsi="Arial" w:cs="Arial"/>
              </w:rPr>
              <w:t>10.0 (150)</w:t>
            </w:r>
          </w:p>
        </w:tc>
        <w:tc>
          <w:tcPr>
            <w:tcW w:w="0" w:type="auto"/>
          </w:tcPr>
          <w:p w:rsidR="007368F5" w:rsidRPr="00411234" w:rsidRDefault="007368F5" w:rsidP="00644B6D">
            <w:pPr>
              <w:rPr>
                <w:rFonts w:ascii="Arial" w:hAnsi="Arial" w:cs="Arial"/>
              </w:rPr>
            </w:pPr>
            <w:r w:rsidRPr="00411234">
              <w:rPr>
                <w:rFonts w:ascii="Arial" w:hAnsi="Arial" w:cs="Arial"/>
              </w:rPr>
              <w:t>9.9 (14)</w:t>
            </w:r>
          </w:p>
        </w:tc>
        <w:tc>
          <w:tcPr>
            <w:tcW w:w="0" w:type="auto"/>
          </w:tcPr>
          <w:p w:rsidR="007368F5" w:rsidRPr="00411234" w:rsidRDefault="007368F5" w:rsidP="00644B6D">
            <w:pPr>
              <w:rPr>
                <w:rFonts w:ascii="Arial" w:hAnsi="Arial" w:cs="Arial"/>
              </w:rPr>
            </w:pPr>
            <w:r w:rsidRPr="00411234">
              <w:rPr>
                <w:rFonts w:ascii="Arial" w:hAnsi="Arial" w:cs="Arial"/>
              </w:rPr>
              <w:t>13.0 (18)</w:t>
            </w:r>
          </w:p>
        </w:tc>
        <w:tc>
          <w:tcPr>
            <w:tcW w:w="0" w:type="auto"/>
          </w:tcPr>
          <w:p w:rsidR="007368F5" w:rsidRPr="00411234" w:rsidRDefault="007368F5" w:rsidP="00644B6D">
            <w:pPr>
              <w:rPr>
                <w:rFonts w:ascii="Arial" w:hAnsi="Arial" w:cs="Arial"/>
              </w:rPr>
            </w:pPr>
            <w:r w:rsidRPr="00411234">
              <w:rPr>
                <w:rFonts w:ascii="Arial" w:hAnsi="Arial" w:cs="Arial"/>
              </w:rPr>
              <w:t>12.2 (13)</w:t>
            </w:r>
          </w:p>
        </w:tc>
        <w:tc>
          <w:tcPr>
            <w:tcW w:w="0" w:type="auto"/>
          </w:tcPr>
          <w:p w:rsidR="007368F5" w:rsidRPr="00411234" w:rsidRDefault="007368F5" w:rsidP="00644B6D">
            <w:pPr>
              <w:rPr>
                <w:rFonts w:ascii="Arial" w:hAnsi="Arial" w:cs="Arial"/>
              </w:rPr>
            </w:pPr>
            <w:r w:rsidRPr="00411234">
              <w:rPr>
                <w:rFonts w:ascii="Arial" w:hAnsi="Arial" w:cs="Arial"/>
              </w:rPr>
              <w:t>19.6 (11)</w:t>
            </w:r>
          </w:p>
        </w:tc>
        <w:tc>
          <w:tcPr>
            <w:tcW w:w="0" w:type="auto"/>
          </w:tcPr>
          <w:p w:rsidR="007368F5" w:rsidRPr="00411234" w:rsidRDefault="007368F5" w:rsidP="00644B6D">
            <w:pPr>
              <w:rPr>
                <w:rFonts w:ascii="Arial" w:hAnsi="Arial" w:cs="Arial"/>
              </w:rPr>
            </w:pPr>
            <w:r w:rsidRPr="00411234">
              <w:rPr>
                <w:rFonts w:ascii="Arial" w:hAnsi="Arial" w:cs="Arial"/>
              </w:rPr>
              <w:t>18.5 (29)</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Lifetime cannabis use &gt;20 times (age 15)</w:t>
            </w:r>
          </w:p>
        </w:tc>
        <w:tc>
          <w:tcPr>
            <w:tcW w:w="0" w:type="auto"/>
          </w:tcPr>
          <w:p w:rsidR="007368F5" w:rsidRPr="00411234" w:rsidRDefault="007368F5" w:rsidP="00644B6D">
            <w:pPr>
              <w:rPr>
                <w:rFonts w:ascii="Arial" w:hAnsi="Arial" w:cs="Arial"/>
              </w:rPr>
            </w:pPr>
            <w:r w:rsidRPr="00411234">
              <w:rPr>
                <w:rFonts w:ascii="Arial" w:hAnsi="Arial" w:cs="Arial"/>
              </w:rPr>
              <w:t>1.0 (15)</w:t>
            </w:r>
          </w:p>
        </w:tc>
        <w:tc>
          <w:tcPr>
            <w:tcW w:w="0" w:type="auto"/>
          </w:tcPr>
          <w:p w:rsidR="007368F5" w:rsidRPr="00411234" w:rsidRDefault="007368F5" w:rsidP="00644B6D">
            <w:pPr>
              <w:rPr>
                <w:rFonts w:ascii="Arial" w:hAnsi="Arial" w:cs="Arial"/>
              </w:rPr>
            </w:pPr>
            <w:r w:rsidRPr="00411234">
              <w:rPr>
                <w:rFonts w:ascii="Arial" w:hAnsi="Arial" w:cs="Arial"/>
              </w:rPr>
              <w:t>2.1 (</w:t>
            </w:r>
            <w:r>
              <w:rPr>
                <w:rFonts w:ascii="Arial" w:hAnsi="Arial" w:cs="Arial"/>
              </w:rPr>
              <w:t>&lt;5</w:t>
            </w:r>
            <w:r w:rsidRPr="00411234">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7.2 (10)</w:t>
            </w:r>
          </w:p>
        </w:tc>
        <w:tc>
          <w:tcPr>
            <w:tcW w:w="0" w:type="auto"/>
          </w:tcPr>
          <w:p w:rsidR="007368F5" w:rsidRPr="00411234" w:rsidRDefault="007368F5" w:rsidP="00644B6D">
            <w:pPr>
              <w:rPr>
                <w:rFonts w:ascii="Arial" w:hAnsi="Arial" w:cs="Arial"/>
              </w:rPr>
            </w:pPr>
            <w:r w:rsidRPr="00411234">
              <w:rPr>
                <w:rFonts w:ascii="Arial" w:hAnsi="Arial" w:cs="Arial"/>
              </w:rPr>
              <w:t>10.3 (11)</w:t>
            </w:r>
          </w:p>
        </w:tc>
        <w:tc>
          <w:tcPr>
            <w:tcW w:w="0" w:type="auto"/>
          </w:tcPr>
          <w:p w:rsidR="007368F5" w:rsidRPr="00411234" w:rsidRDefault="007368F5" w:rsidP="00644B6D">
            <w:pPr>
              <w:rPr>
                <w:rFonts w:ascii="Arial" w:hAnsi="Arial" w:cs="Arial"/>
              </w:rPr>
            </w:pPr>
            <w:r w:rsidRPr="00411234">
              <w:rPr>
                <w:rFonts w:ascii="Arial" w:hAnsi="Arial" w:cs="Arial"/>
              </w:rPr>
              <w:t>32.1 (18)</w:t>
            </w:r>
          </w:p>
        </w:tc>
        <w:tc>
          <w:tcPr>
            <w:tcW w:w="0" w:type="auto"/>
          </w:tcPr>
          <w:p w:rsidR="007368F5" w:rsidRPr="00411234" w:rsidRDefault="007368F5" w:rsidP="00644B6D">
            <w:pPr>
              <w:rPr>
                <w:rFonts w:ascii="Arial" w:hAnsi="Arial" w:cs="Arial"/>
              </w:rPr>
            </w:pPr>
            <w:r w:rsidRPr="00411234">
              <w:rPr>
                <w:rFonts w:ascii="Arial" w:hAnsi="Arial" w:cs="Arial"/>
              </w:rPr>
              <w:t>47.1 (74)</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Lifetime alcohol use &gt;20 times (age 15)</w:t>
            </w:r>
          </w:p>
        </w:tc>
        <w:tc>
          <w:tcPr>
            <w:tcW w:w="0" w:type="auto"/>
          </w:tcPr>
          <w:p w:rsidR="007368F5" w:rsidRPr="00411234" w:rsidRDefault="007368F5" w:rsidP="00644B6D">
            <w:pPr>
              <w:rPr>
                <w:rFonts w:ascii="Arial" w:hAnsi="Arial" w:cs="Arial"/>
              </w:rPr>
            </w:pPr>
            <w:r w:rsidRPr="00411234">
              <w:rPr>
                <w:rFonts w:ascii="Arial" w:hAnsi="Arial" w:cs="Arial"/>
              </w:rPr>
              <w:t>24.6 (370)</w:t>
            </w:r>
          </w:p>
        </w:tc>
        <w:tc>
          <w:tcPr>
            <w:tcW w:w="0" w:type="auto"/>
          </w:tcPr>
          <w:p w:rsidR="007368F5" w:rsidRPr="00411234" w:rsidRDefault="007368F5" w:rsidP="00644B6D">
            <w:pPr>
              <w:rPr>
                <w:rFonts w:ascii="Arial" w:hAnsi="Arial" w:cs="Arial"/>
              </w:rPr>
            </w:pPr>
            <w:r w:rsidRPr="00411234">
              <w:rPr>
                <w:rFonts w:ascii="Arial" w:hAnsi="Arial" w:cs="Arial"/>
              </w:rPr>
              <w:t>49.7 (70)</w:t>
            </w:r>
          </w:p>
        </w:tc>
        <w:tc>
          <w:tcPr>
            <w:tcW w:w="0" w:type="auto"/>
          </w:tcPr>
          <w:p w:rsidR="007368F5" w:rsidRPr="00411234" w:rsidRDefault="007368F5" w:rsidP="00644B6D">
            <w:pPr>
              <w:rPr>
                <w:rFonts w:ascii="Arial" w:hAnsi="Arial" w:cs="Arial"/>
              </w:rPr>
            </w:pPr>
            <w:r w:rsidRPr="00411234">
              <w:rPr>
                <w:rFonts w:ascii="Arial" w:hAnsi="Arial" w:cs="Arial"/>
              </w:rPr>
              <w:t>63.3 (88)</w:t>
            </w:r>
          </w:p>
        </w:tc>
        <w:tc>
          <w:tcPr>
            <w:tcW w:w="0" w:type="auto"/>
          </w:tcPr>
          <w:p w:rsidR="007368F5" w:rsidRPr="00411234" w:rsidRDefault="007368F5" w:rsidP="00644B6D">
            <w:pPr>
              <w:rPr>
                <w:rFonts w:ascii="Arial" w:hAnsi="Arial" w:cs="Arial"/>
              </w:rPr>
            </w:pPr>
            <w:r w:rsidRPr="00411234">
              <w:rPr>
                <w:rFonts w:ascii="Arial" w:hAnsi="Arial" w:cs="Arial"/>
              </w:rPr>
              <w:t>72.0 (77)</w:t>
            </w:r>
          </w:p>
        </w:tc>
        <w:tc>
          <w:tcPr>
            <w:tcW w:w="0" w:type="auto"/>
          </w:tcPr>
          <w:p w:rsidR="007368F5" w:rsidRPr="00411234" w:rsidRDefault="007368F5" w:rsidP="00644B6D">
            <w:pPr>
              <w:rPr>
                <w:rFonts w:ascii="Arial" w:hAnsi="Arial" w:cs="Arial"/>
              </w:rPr>
            </w:pPr>
            <w:r w:rsidRPr="00411234">
              <w:rPr>
                <w:rFonts w:ascii="Arial" w:hAnsi="Arial" w:cs="Arial"/>
              </w:rPr>
              <w:t>87.5 (49)</w:t>
            </w:r>
          </w:p>
        </w:tc>
        <w:tc>
          <w:tcPr>
            <w:tcW w:w="0" w:type="auto"/>
          </w:tcPr>
          <w:p w:rsidR="007368F5" w:rsidRPr="00411234" w:rsidRDefault="007368F5" w:rsidP="00644B6D">
            <w:pPr>
              <w:rPr>
                <w:rFonts w:ascii="Arial" w:hAnsi="Arial" w:cs="Arial"/>
              </w:rPr>
            </w:pPr>
            <w:r w:rsidRPr="00411234">
              <w:rPr>
                <w:rFonts w:ascii="Arial" w:hAnsi="Arial" w:cs="Arial"/>
              </w:rPr>
              <w:t>88.5 (139)</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Illicit drug use since 15</w:t>
            </w:r>
            <w:r w:rsidRPr="00411234">
              <w:rPr>
                <w:rFonts w:ascii="Arial" w:hAnsi="Arial" w:cs="Arial"/>
                <w:vertAlign w:val="superscript"/>
              </w:rPr>
              <w:t>th</w:t>
            </w:r>
            <w:r w:rsidRPr="00411234">
              <w:rPr>
                <w:rFonts w:ascii="Arial" w:hAnsi="Arial" w:cs="Arial"/>
              </w:rPr>
              <w:t xml:space="preserve"> birthday</w:t>
            </w:r>
          </w:p>
        </w:tc>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6.1 (92)</w:t>
            </w:r>
          </w:p>
        </w:tc>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14.9 (21)</w:t>
            </w:r>
          </w:p>
        </w:tc>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28.1 (39)</w:t>
            </w:r>
          </w:p>
        </w:tc>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33.6 (36)</w:t>
            </w:r>
          </w:p>
        </w:tc>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35.7 (20)</w:t>
            </w:r>
          </w:p>
        </w:tc>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56.1 (88)</w:t>
            </w:r>
          </w:p>
        </w:tc>
        <w:tc>
          <w:tcPr>
            <w:tcW w:w="0" w:type="auto"/>
            <w:tcBorders>
              <w:bottom w:val="single" w:sz="4" w:space="0" w:color="auto"/>
            </w:tcBorders>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Mean (</w:t>
            </w:r>
            <w:r>
              <w:rPr>
                <w:rFonts w:ascii="Arial" w:hAnsi="Arial" w:cs="Arial"/>
              </w:rPr>
              <w:t>SD</w:t>
            </w:r>
            <w:r w:rsidRPr="00411234">
              <w:rPr>
                <w:rFonts w:ascii="Arial" w:hAnsi="Arial" w:cs="Arial"/>
              </w:rPr>
              <w:t>)</w:t>
            </w: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c>
          <w:tcPr>
            <w:tcW w:w="0" w:type="auto"/>
            <w:tcBorders>
              <w:top w:val="single" w:sz="4" w:space="0" w:color="auto"/>
              <w:bottom w:val="single" w:sz="4" w:space="0" w:color="auto"/>
            </w:tcBorders>
          </w:tcPr>
          <w:p w:rsidR="007368F5" w:rsidRPr="00411234" w:rsidRDefault="007368F5" w:rsidP="00644B6D">
            <w:pPr>
              <w:rPr>
                <w:rFonts w:ascii="Arial" w:hAnsi="Arial" w:cs="Arial"/>
              </w:rPr>
            </w:pPr>
          </w:p>
        </w:tc>
      </w:tr>
      <w:tr w:rsidR="007368F5" w:rsidRPr="00411234" w:rsidTr="00644B6D">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Maternal depressive symptoms</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3.28 (2.23)</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3.52 (2.25)</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3.71 (2.26)</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3.80 (2.13)</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3.83 (2.93)</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3.70 (2.16)</w:t>
            </w:r>
          </w:p>
        </w:tc>
        <w:tc>
          <w:tcPr>
            <w:tcW w:w="0" w:type="auto"/>
            <w:tcBorders>
              <w:top w:val="single" w:sz="4" w:space="0" w:color="auto"/>
            </w:tcBorders>
          </w:tcPr>
          <w:p w:rsidR="007368F5" w:rsidRPr="00411234" w:rsidRDefault="007368F5" w:rsidP="00644B6D">
            <w:pPr>
              <w:rPr>
                <w:rFonts w:ascii="Arial" w:hAnsi="Arial" w:cs="Arial"/>
              </w:rPr>
            </w:pPr>
            <w:r w:rsidRPr="00411234">
              <w:rPr>
                <w:rFonts w:ascii="Arial" w:hAnsi="Arial" w:cs="Arial"/>
              </w:rPr>
              <w:t>0.221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Depressive symptoms (age 12)</w:t>
            </w:r>
          </w:p>
        </w:tc>
        <w:tc>
          <w:tcPr>
            <w:tcW w:w="0" w:type="auto"/>
          </w:tcPr>
          <w:p w:rsidR="007368F5" w:rsidRPr="00411234" w:rsidRDefault="007368F5" w:rsidP="00644B6D">
            <w:pPr>
              <w:rPr>
                <w:rFonts w:ascii="Arial" w:hAnsi="Arial" w:cs="Arial"/>
              </w:rPr>
            </w:pPr>
            <w:r w:rsidRPr="00411234">
              <w:rPr>
                <w:rFonts w:ascii="Arial" w:hAnsi="Arial" w:cs="Arial"/>
              </w:rPr>
              <w:t>3.86 (1.80)</w:t>
            </w:r>
          </w:p>
        </w:tc>
        <w:tc>
          <w:tcPr>
            <w:tcW w:w="0" w:type="auto"/>
          </w:tcPr>
          <w:p w:rsidR="007368F5" w:rsidRPr="00411234" w:rsidRDefault="007368F5" w:rsidP="00644B6D">
            <w:pPr>
              <w:rPr>
                <w:rFonts w:ascii="Arial" w:hAnsi="Arial" w:cs="Arial"/>
              </w:rPr>
            </w:pPr>
            <w:r w:rsidRPr="00411234">
              <w:rPr>
                <w:rFonts w:ascii="Arial" w:hAnsi="Arial" w:cs="Arial"/>
              </w:rPr>
              <w:t>3.96 (1.76)</w:t>
            </w:r>
          </w:p>
        </w:tc>
        <w:tc>
          <w:tcPr>
            <w:tcW w:w="0" w:type="auto"/>
          </w:tcPr>
          <w:p w:rsidR="007368F5" w:rsidRPr="00411234" w:rsidRDefault="007368F5" w:rsidP="00644B6D">
            <w:pPr>
              <w:rPr>
                <w:rFonts w:ascii="Arial" w:hAnsi="Arial" w:cs="Arial"/>
              </w:rPr>
            </w:pPr>
            <w:r w:rsidRPr="00411234">
              <w:rPr>
                <w:rFonts w:ascii="Arial" w:hAnsi="Arial" w:cs="Arial"/>
              </w:rPr>
              <w:t>4.22 (1.80)</w:t>
            </w:r>
          </w:p>
        </w:tc>
        <w:tc>
          <w:tcPr>
            <w:tcW w:w="0" w:type="auto"/>
          </w:tcPr>
          <w:p w:rsidR="007368F5" w:rsidRPr="00411234" w:rsidRDefault="007368F5" w:rsidP="00644B6D">
            <w:pPr>
              <w:rPr>
                <w:rFonts w:ascii="Arial" w:hAnsi="Arial" w:cs="Arial"/>
              </w:rPr>
            </w:pPr>
            <w:r w:rsidRPr="00411234">
              <w:rPr>
                <w:rFonts w:ascii="Arial" w:hAnsi="Arial" w:cs="Arial"/>
              </w:rPr>
              <w:t>4.36 (1.76)</w:t>
            </w:r>
          </w:p>
        </w:tc>
        <w:tc>
          <w:tcPr>
            <w:tcW w:w="0" w:type="auto"/>
          </w:tcPr>
          <w:p w:rsidR="007368F5" w:rsidRPr="00411234" w:rsidRDefault="007368F5" w:rsidP="00644B6D">
            <w:pPr>
              <w:rPr>
                <w:rFonts w:ascii="Arial" w:hAnsi="Arial" w:cs="Arial"/>
              </w:rPr>
            </w:pPr>
            <w:r w:rsidRPr="00411234">
              <w:rPr>
                <w:rFonts w:ascii="Arial" w:hAnsi="Arial" w:cs="Arial"/>
              </w:rPr>
              <w:t>4.41 (1.94)</w:t>
            </w:r>
          </w:p>
        </w:tc>
        <w:tc>
          <w:tcPr>
            <w:tcW w:w="0" w:type="auto"/>
          </w:tcPr>
          <w:p w:rsidR="007368F5" w:rsidRPr="00411234" w:rsidRDefault="007368F5" w:rsidP="00644B6D">
            <w:pPr>
              <w:rPr>
                <w:rFonts w:ascii="Arial" w:hAnsi="Arial" w:cs="Arial"/>
              </w:rPr>
            </w:pPr>
            <w:r w:rsidRPr="00411234">
              <w:rPr>
                <w:rFonts w:ascii="Arial" w:hAnsi="Arial" w:cs="Arial"/>
              </w:rPr>
              <w:t>4.54 (1.77)</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Pr>
                <w:rFonts w:ascii="Arial" w:hAnsi="Arial" w:cs="Arial"/>
              </w:rPr>
              <w:t>General cognitive ability</w:t>
            </w:r>
            <w:r w:rsidRPr="00411234">
              <w:rPr>
                <w:rFonts w:ascii="Arial" w:hAnsi="Arial" w:cs="Arial"/>
              </w:rPr>
              <w:t xml:space="preserve"> </w:t>
            </w:r>
            <w:r>
              <w:rPr>
                <w:rFonts w:ascii="Arial" w:hAnsi="Arial" w:cs="Arial"/>
              </w:rPr>
              <w:t>(</w:t>
            </w:r>
            <w:r w:rsidRPr="00411234">
              <w:rPr>
                <w:rFonts w:ascii="Arial" w:hAnsi="Arial" w:cs="Arial"/>
              </w:rPr>
              <w:t>age 8</w:t>
            </w:r>
            <w:r>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100.7 (15.3)</w:t>
            </w:r>
          </w:p>
        </w:tc>
        <w:tc>
          <w:tcPr>
            <w:tcW w:w="0" w:type="auto"/>
          </w:tcPr>
          <w:p w:rsidR="007368F5" w:rsidRPr="00411234" w:rsidRDefault="007368F5" w:rsidP="00644B6D">
            <w:pPr>
              <w:rPr>
                <w:rFonts w:ascii="Arial" w:hAnsi="Arial" w:cs="Arial"/>
              </w:rPr>
            </w:pPr>
            <w:r w:rsidRPr="00411234">
              <w:rPr>
                <w:rFonts w:ascii="Arial" w:hAnsi="Arial" w:cs="Arial"/>
              </w:rPr>
              <w:t>96.2 (14.2)</w:t>
            </w:r>
          </w:p>
        </w:tc>
        <w:tc>
          <w:tcPr>
            <w:tcW w:w="0" w:type="auto"/>
          </w:tcPr>
          <w:p w:rsidR="007368F5" w:rsidRPr="00411234" w:rsidRDefault="007368F5" w:rsidP="00644B6D">
            <w:pPr>
              <w:rPr>
                <w:rFonts w:ascii="Arial" w:hAnsi="Arial" w:cs="Arial"/>
              </w:rPr>
            </w:pPr>
            <w:r w:rsidRPr="00411234">
              <w:rPr>
                <w:rFonts w:ascii="Arial" w:hAnsi="Arial" w:cs="Arial"/>
              </w:rPr>
              <w:t>100.5 (13.6)</w:t>
            </w:r>
          </w:p>
        </w:tc>
        <w:tc>
          <w:tcPr>
            <w:tcW w:w="0" w:type="auto"/>
          </w:tcPr>
          <w:p w:rsidR="007368F5" w:rsidRPr="00411234" w:rsidRDefault="007368F5" w:rsidP="00644B6D">
            <w:pPr>
              <w:rPr>
                <w:rFonts w:ascii="Arial" w:hAnsi="Arial" w:cs="Arial"/>
              </w:rPr>
            </w:pPr>
            <w:r w:rsidRPr="00411234">
              <w:rPr>
                <w:rFonts w:ascii="Arial" w:hAnsi="Arial" w:cs="Arial"/>
              </w:rPr>
              <w:t>98.2 (15.3)</w:t>
            </w:r>
          </w:p>
        </w:tc>
        <w:tc>
          <w:tcPr>
            <w:tcW w:w="0" w:type="auto"/>
          </w:tcPr>
          <w:p w:rsidR="007368F5" w:rsidRPr="00411234" w:rsidRDefault="007368F5" w:rsidP="00644B6D">
            <w:pPr>
              <w:rPr>
                <w:rFonts w:ascii="Arial" w:hAnsi="Arial" w:cs="Arial"/>
              </w:rPr>
            </w:pPr>
            <w:r w:rsidRPr="00411234">
              <w:rPr>
                <w:rFonts w:ascii="Arial" w:hAnsi="Arial" w:cs="Arial"/>
              </w:rPr>
              <w:t>96.6 (16.1)</w:t>
            </w:r>
          </w:p>
        </w:tc>
        <w:tc>
          <w:tcPr>
            <w:tcW w:w="0" w:type="auto"/>
          </w:tcPr>
          <w:p w:rsidR="007368F5" w:rsidRPr="00411234" w:rsidRDefault="007368F5" w:rsidP="00644B6D">
            <w:pPr>
              <w:rPr>
                <w:rFonts w:ascii="Arial" w:hAnsi="Arial" w:cs="Arial"/>
              </w:rPr>
            </w:pPr>
            <w:r w:rsidRPr="00411234">
              <w:rPr>
                <w:rFonts w:ascii="Arial" w:hAnsi="Arial" w:cs="Arial"/>
              </w:rPr>
              <w:t>96.5 (13.8)</w:t>
            </w:r>
          </w:p>
        </w:tc>
        <w:tc>
          <w:tcPr>
            <w:tcW w:w="0" w:type="auto"/>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0" w:type="auto"/>
          </w:tcPr>
          <w:p w:rsidR="007368F5" w:rsidRPr="00411234" w:rsidRDefault="007368F5" w:rsidP="00644B6D">
            <w:pPr>
              <w:rPr>
                <w:rFonts w:ascii="Arial" w:hAnsi="Arial" w:cs="Arial"/>
              </w:rPr>
            </w:pPr>
            <w:r w:rsidRPr="00411234">
              <w:rPr>
                <w:rFonts w:ascii="Arial" w:hAnsi="Arial" w:cs="Arial"/>
              </w:rPr>
              <w:t xml:space="preserve">Educational performance </w:t>
            </w:r>
            <w:r>
              <w:rPr>
                <w:rFonts w:ascii="Arial" w:hAnsi="Arial" w:cs="Arial"/>
              </w:rPr>
              <w:t>(</w:t>
            </w:r>
            <w:r w:rsidRPr="00411234">
              <w:rPr>
                <w:rFonts w:ascii="Arial" w:hAnsi="Arial" w:cs="Arial"/>
              </w:rPr>
              <w:t>age 10/11</w:t>
            </w:r>
            <w:r>
              <w:rPr>
                <w:rFonts w:ascii="Arial" w:hAnsi="Arial" w:cs="Arial"/>
              </w:rPr>
              <w:t>)</w:t>
            </w:r>
          </w:p>
        </w:tc>
        <w:tc>
          <w:tcPr>
            <w:tcW w:w="0" w:type="auto"/>
          </w:tcPr>
          <w:p w:rsidR="007368F5" w:rsidRPr="00411234" w:rsidRDefault="007368F5" w:rsidP="00644B6D">
            <w:pPr>
              <w:rPr>
                <w:rFonts w:ascii="Arial" w:hAnsi="Arial" w:cs="Arial"/>
              </w:rPr>
            </w:pPr>
            <w:r w:rsidRPr="00411234">
              <w:rPr>
                <w:rFonts w:ascii="Arial" w:hAnsi="Arial" w:cs="Arial"/>
              </w:rPr>
              <w:t>74.0 (12.6)</w:t>
            </w:r>
          </w:p>
        </w:tc>
        <w:tc>
          <w:tcPr>
            <w:tcW w:w="0" w:type="auto"/>
          </w:tcPr>
          <w:p w:rsidR="007368F5" w:rsidRPr="00411234" w:rsidRDefault="007368F5" w:rsidP="00644B6D">
            <w:pPr>
              <w:rPr>
                <w:rFonts w:ascii="Arial" w:hAnsi="Arial" w:cs="Arial"/>
              </w:rPr>
            </w:pPr>
            <w:r w:rsidRPr="00411234">
              <w:rPr>
                <w:rFonts w:ascii="Arial" w:hAnsi="Arial" w:cs="Arial"/>
              </w:rPr>
              <w:t>69.1 (13.3)</w:t>
            </w:r>
          </w:p>
        </w:tc>
        <w:tc>
          <w:tcPr>
            <w:tcW w:w="0" w:type="auto"/>
          </w:tcPr>
          <w:p w:rsidR="007368F5" w:rsidRPr="00411234" w:rsidRDefault="007368F5" w:rsidP="00644B6D">
            <w:pPr>
              <w:rPr>
                <w:rFonts w:ascii="Arial" w:hAnsi="Arial" w:cs="Arial"/>
              </w:rPr>
            </w:pPr>
            <w:r w:rsidRPr="00411234">
              <w:rPr>
                <w:rFonts w:ascii="Arial" w:hAnsi="Arial" w:cs="Arial"/>
              </w:rPr>
              <w:t>72.3 (12.0)</w:t>
            </w:r>
          </w:p>
        </w:tc>
        <w:tc>
          <w:tcPr>
            <w:tcW w:w="0" w:type="auto"/>
          </w:tcPr>
          <w:p w:rsidR="007368F5" w:rsidRPr="00411234" w:rsidRDefault="007368F5" w:rsidP="00644B6D">
            <w:pPr>
              <w:rPr>
                <w:rFonts w:ascii="Arial" w:hAnsi="Arial" w:cs="Arial"/>
              </w:rPr>
            </w:pPr>
            <w:r w:rsidRPr="00411234">
              <w:rPr>
                <w:rFonts w:ascii="Arial" w:hAnsi="Arial" w:cs="Arial"/>
              </w:rPr>
              <w:t>70.3 (13.8)</w:t>
            </w:r>
          </w:p>
        </w:tc>
        <w:tc>
          <w:tcPr>
            <w:tcW w:w="0" w:type="auto"/>
          </w:tcPr>
          <w:p w:rsidR="007368F5" w:rsidRPr="00411234" w:rsidRDefault="007368F5" w:rsidP="00644B6D">
            <w:pPr>
              <w:rPr>
                <w:rFonts w:ascii="Arial" w:hAnsi="Arial" w:cs="Arial"/>
              </w:rPr>
            </w:pPr>
            <w:r w:rsidRPr="00411234">
              <w:rPr>
                <w:rFonts w:ascii="Arial" w:hAnsi="Arial" w:cs="Arial"/>
              </w:rPr>
              <w:t>68.9 (14.0)</w:t>
            </w:r>
          </w:p>
        </w:tc>
        <w:tc>
          <w:tcPr>
            <w:tcW w:w="0" w:type="auto"/>
          </w:tcPr>
          <w:p w:rsidR="007368F5" w:rsidRPr="00411234" w:rsidRDefault="007368F5" w:rsidP="00644B6D">
            <w:pPr>
              <w:rPr>
                <w:rFonts w:ascii="Arial" w:hAnsi="Arial" w:cs="Arial"/>
              </w:rPr>
            </w:pPr>
            <w:r w:rsidRPr="00411234">
              <w:rPr>
                <w:rFonts w:ascii="Arial" w:hAnsi="Arial" w:cs="Arial"/>
              </w:rPr>
              <w:t>68.9 (13.0)</w:t>
            </w:r>
          </w:p>
        </w:tc>
        <w:tc>
          <w:tcPr>
            <w:tcW w:w="0" w:type="auto"/>
          </w:tcPr>
          <w:p w:rsidR="007368F5" w:rsidRPr="00411234" w:rsidRDefault="007368F5" w:rsidP="00644B6D">
            <w:pPr>
              <w:rPr>
                <w:rFonts w:ascii="Arial" w:hAnsi="Arial" w:cs="Arial"/>
              </w:rPr>
            </w:pPr>
            <w:r w:rsidRPr="00411234">
              <w:rPr>
                <w:rFonts w:ascii="Arial" w:hAnsi="Arial" w:cs="Arial"/>
              </w:rPr>
              <w:t>&lt;0.001</w:t>
            </w:r>
          </w:p>
        </w:tc>
      </w:tr>
    </w:tbl>
    <w:p w:rsidR="007368F5" w:rsidRDefault="007368F5" w:rsidP="008B6222">
      <w:pPr>
        <w:spacing w:after="0" w:line="240" w:lineRule="auto"/>
        <w:rPr>
          <w:rFonts w:ascii="Arial" w:hAnsi="Arial" w:cs="Arial"/>
        </w:rPr>
      </w:pPr>
    </w:p>
    <w:p w:rsidR="007368F5" w:rsidRPr="00411234" w:rsidRDefault="007368F5" w:rsidP="008B6222">
      <w:pPr>
        <w:spacing w:after="0" w:line="240" w:lineRule="auto"/>
        <w:rPr>
          <w:rFonts w:ascii="Arial" w:hAnsi="Arial" w:cs="Arial"/>
        </w:rPr>
      </w:pPr>
      <w:r>
        <w:rPr>
          <w:rFonts w:ascii="Arial" w:hAnsi="Arial" w:cs="Arial"/>
        </w:rPr>
        <w:t>CCA: Complete case analysis.</w:t>
      </w:r>
    </w:p>
    <w:p w:rsidR="007368F5" w:rsidRDefault="007368F5" w:rsidP="008B6222">
      <w:pPr>
        <w:spacing w:after="0" w:line="240" w:lineRule="auto"/>
        <w:rPr>
          <w:rFonts w:ascii="Arial" w:hAnsi="Arial" w:cs="Arial"/>
        </w:rPr>
      </w:pPr>
    </w:p>
    <w:p w:rsidR="007368F5" w:rsidRPr="00411234" w:rsidRDefault="007368F5" w:rsidP="008B6222">
      <w:pPr>
        <w:spacing w:after="0" w:line="240" w:lineRule="auto"/>
        <w:rPr>
          <w:rFonts w:ascii="Arial" w:hAnsi="Arial" w:cs="Arial"/>
        </w:rPr>
      </w:pPr>
      <w:r w:rsidRPr="00411234">
        <w:rPr>
          <w:rFonts w:ascii="Arial" w:hAnsi="Arial" w:cs="Arial"/>
        </w:rPr>
        <w:br w:type="page"/>
      </w:r>
    </w:p>
    <w:p w:rsidR="007368F5" w:rsidRPr="00EC0AFE" w:rsidRDefault="007368F5" w:rsidP="008B6222">
      <w:pPr>
        <w:spacing w:after="0" w:line="240" w:lineRule="auto"/>
        <w:rPr>
          <w:rFonts w:ascii="Arial" w:hAnsi="Arial" w:cs="Arial"/>
          <w:b/>
        </w:rPr>
      </w:pPr>
      <w:r w:rsidRPr="00EC0AFE">
        <w:rPr>
          <w:rFonts w:ascii="Arial" w:hAnsi="Arial" w:cs="Arial"/>
          <w:b/>
        </w:rPr>
        <w:lastRenderedPageBreak/>
        <w:t>Table 2</w:t>
      </w:r>
      <w:r>
        <w:rPr>
          <w:rFonts w:ascii="Arial" w:hAnsi="Arial" w:cs="Arial"/>
          <w:b/>
        </w:rPr>
        <w:t>.</w:t>
      </w:r>
      <w:r w:rsidRPr="00EC0AFE">
        <w:rPr>
          <w:rFonts w:ascii="Arial" w:hAnsi="Arial" w:cs="Arial"/>
          <w:b/>
        </w:rPr>
        <w:t xml:space="preserve"> Linear regression analysis of smoking heaviness </w:t>
      </w:r>
      <w:r>
        <w:rPr>
          <w:rFonts w:ascii="Arial" w:hAnsi="Arial" w:cs="Arial"/>
          <w:b/>
        </w:rPr>
        <w:t xml:space="preserve">at age 15 </w:t>
      </w:r>
      <w:r w:rsidRPr="00EC0AFE">
        <w:rPr>
          <w:rFonts w:ascii="Arial" w:hAnsi="Arial" w:cs="Arial"/>
          <w:b/>
        </w:rPr>
        <w:t>and general cognitive ability at age 15, before and after adjustment for potential confounders</w:t>
      </w:r>
      <w:r>
        <w:rPr>
          <w:rFonts w:ascii="Arial" w:hAnsi="Arial" w:cs="Arial"/>
          <w:b/>
        </w:rPr>
        <w:t xml:space="preserve"> in ALSPAC</w:t>
      </w:r>
      <w:r w:rsidRPr="00EC0AFE">
        <w:rPr>
          <w:rFonts w:ascii="Arial" w:hAnsi="Arial" w:cs="Arial"/>
          <w:b/>
        </w:rPr>
        <w:t xml:space="preserve"> (N=2,107).</w:t>
      </w:r>
    </w:p>
    <w:p w:rsidR="007368F5" w:rsidRDefault="007368F5" w:rsidP="008B6222">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7368F5" w:rsidRPr="00411234" w:rsidTr="00644B6D">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Model</w:t>
            </w:r>
          </w:p>
        </w:tc>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Beta coefficient</w:t>
            </w:r>
          </w:p>
        </w:tc>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95% CI</w:t>
            </w:r>
          </w:p>
        </w:tc>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P value</w:t>
            </w:r>
          </w:p>
        </w:tc>
      </w:tr>
      <w:tr w:rsidR="007368F5" w:rsidRPr="00411234" w:rsidTr="00644B6D">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1</w:t>
            </w:r>
          </w:p>
        </w:tc>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-1.362</w:t>
            </w:r>
          </w:p>
        </w:tc>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-1.773, -0.950</w:t>
            </w:r>
          </w:p>
        </w:tc>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2</w:t>
            </w:r>
          </w:p>
        </w:tc>
        <w:tc>
          <w:tcPr>
            <w:tcW w:w="2254" w:type="dxa"/>
          </w:tcPr>
          <w:p w:rsidR="007368F5" w:rsidRPr="00411234" w:rsidRDefault="007368F5" w:rsidP="00644B6D">
            <w:pPr>
              <w:rPr>
                <w:rFonts w:ascii="Arial" w:hAnsi="Arial" w:cs="Arial"/>
              </w:rPr>
            </w:pPr>
            <w:r w:rsidRPr="00411234">
              <w:rPr>
                <w:rFonts w:ascii="Arial" w:hAnsi="Arial" w:cs="Arial"/>
              </w:rPr>
              <w:t>-0.882</w:t>
            </w:r>
          </w:p>
        </w:tc>
        <w:tc>
          <w:tcPr>
            <w:tcW w:w="2254" w:type="dxa"/>
          </w:tcPr>
          <w:p w:rsidR="007368F5" w:rsidRPr="00411234" w:rsidRDefault="007368F5" w:rsidP="00644B6D">
            <w:pPr>
              <w:rPr>
                <w:rFonts w:ascii="Arial" w:hAnsi="Arial" w:cs="Arial"/>
              </w:rPr>
            </w:pPr>
            <w:r w:rsidRPr="00411234">
              <w:rPr>
                <w:rFonts w:ascii="Arial" w:hAnsi="Arial" w:cs="Arial"/>
              </w:rPr>
              <w:t>-1.220, -0.544</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3</w:t>
            </w:r>
          </w:p>
        </w:tc>
        <w:tc>
          <w:tcPr>
            <w:tcW w:w="2254" w:type="dxa"/>
          </w:tcPr>
          <w:p w:rsidR="007368F5" w:rsidRPr="00411234" w:rsidRDefault="007368F5" w:rsidP="00644B6D">
            <w:pPr>
              <w:rPr>
                <w:rFonts w:ascii="Arial" w:hAnsi="Arial" w:cs="Arial"/>
              </w:rPr>
            </w:pPr>
            <w:r w:rsidRPr="00411234">
              <w:rPr>
                <w:rFonts w:ascii="Arial" w:hAnsi="Arial" w:cs="Arial"/>
              </w:rPr>
              <w:t>-0.721</w:t>
            </w:r>
          </w:p>
        </w:tc>
        <w:tc>
          <w:tcPr>
            <w:tcW w:w="2254" w:type="dxa"/>
          </w:tcPr>
          <w:p w:rsidR="007368F5" w:rsidRPr="00411234" w:rsidRDefault="007368F5" w:rsidP="00644B6D">
            <w:pPr>
              <w:rPr>
                <w:rFonts w:ascii="Arial" w:hAnsi="Arial" w:cs="Arial"/>
              </w:rPr>
            </w:pPr>
            <w:r w:rsidRPr="00411234">
              <w:rPr>
                <w:rFonts w:ascii="Arial" w:hAnsi="Arial" w:cs="Arial"/>
              </w:rPr>
              <w:t>-1.059, -0.384</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4</w:t>
            </w:r>
          </w:p>
        </w:tc>
        <w:tc>
          <w:tcPr>
            <w:tcW w:w="2254" w:type="dxa"/>
          </w:tcPr>
          <w:p w:rsidR="007368F5" w:rsidRPr="00411234" w:rsidRDefault="007368F5" w:rsidP="00644B6D">
            <w:pPr>
              <w:rPr>
                <w:rFonts w:ascii="Arial" w:hAnsi="Arial" w:cs="Arial"/>
              </w:rPr>
            </w:pPr>
            <w:r w:rsidRPr="00411234">
              <w:rPr>
                <w:rFonts w:ascii="Arial" w:hAnsi="Arial" w:cs="Arial"/>
              </w:rPr>
              <w:t>-0.674</w:t>
            </w:r>
          </w:p>
        </w:tc>
        <w:tc>
          <w:tcPr>
            <w:tcW w:w="2254" w:type="dxa"/>
          </w:tcPr>
          <w:p w:rsidR="007368F5" w:rsidRPr="00411234" w:rsidRDefault="007368F5" w:rsidP="00644B6D">
            <w:pPr>
              <w:rPr>
                <w:rFonts w:ascii="Arial" w:hAnsi="Arial" w:cs="Arial"/>
              </w:rPr>
            </w:pPr>
            <w:r w:rsidRPr="00411234">
              <w:rPr>
                <w:rFonts w:ascii="Arial" w:hAnsi="Arial" w:cs="Arial"/>
              </w:rPr>
              <w:t>-1.021, -0.327</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5a</w:t>
            </w:r>
          </w:p>
        </w:tc>
        <w:tc>
          <w:tcPr>
            <w:tcW w:w="2254" w:type="dxa"/>
          </w:tcPr>
          <w:p w:rsidR="007368F5" w:rsidRPr="00411234" w:rsidRDefault="007368F5" w:rsidP="00644B6D">
            <w:pPr>
              <w:rPr>
                <w:rFonts w:ascii="Arial" w:hAnsi="Arial" w:cs="Arial"/>
              </w:rPr>
            </w:pPr>
            <w:r w:rsidRPr="00411234">
              <w:rPr>
                <w:rFonts w:ascii="Arial" w:hAnsi="Arial" w:cs="Arial"/>
              </w:rPr>
              <w:t>-0.728</w:t>
            </w:r>
          </w:p>
        </w:tc>
        <w:tc>
          <w:tcPr>
            <w:tcW w:w="2254" w:type="dxa"/>
          </w:tcPr>
          <w:p w:rsidR="007368F5" w:rsidRPr="00411234" w:rsidRDefault="007368F5" w:rsidP="00644B6D">
            <w:pPr>
              <w:rPr>
                <w:rFonts w:ascii="Arial" w:hAnsi="Arial" w:cs="Arial"/>
              </w:rPr>
            </w:pPr>
            <w:r w:rsidRPr="00411234">
              <w:rPr>
                <w:rFonts w:ascii="Arial" w:hAnsi="Arial" w:cs="Arial"/>
              </w:rPr>
              <w:t>-1.199, -0.257</w:t>
            </w:r>
          </w:p>
        </w:tc>
        <w:tc>
          <w:tcPr>
            <w:tcW w:w="2254" w:type="dxa"/>
          </w:tcPr>
          <w:p w:rsidR="007368F5" w:rsidRPr="00411234" w:rsidRDefault="007368F5" w:rsidP="00644B6D">
            <w:pPr>
              <w:rPr>
                <w:rFonts w:ascii="Arial" w:hAnsi="Arial" w:cs="Arial"/>
              </w:rPr>
            </w:pPr>
            <w:r w:rsidRPr="00411234">
              <w:rPr>
                <w:rFonts w:ascii="Arial" w:hAnsi="Arial" w:cs="Arial"/>
              </w:rPr>
              <w:t>0.002</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5b</w:t>
            </w:r>
          </w:p>
        </w:tc>
        <w:tc>
          <w:tcPr>
            <w:tcW w:w="2254" w:type="dxa"/>
          </w:tcPr>
          <w:p w:rsidR="007368F5" w:rsidRPr="00411234" w:rsidRDefault="007368F5" w:rsidP="00644B6D">
            <w:pPr>
              <w:rPr>
                <w:rFonts w:ascii="Arial" w:hAnsi="Arial" w:cs="Arial"/>
              </w:rPr>
            </w:pPr>
            <w:r w:rsidRPr="00411234">
              <w:rPr>
                <w:rFonts w:ascii="Arial" w:hAnsi="Arial" w:cs="Arial"/>
              </w:rPr>
              <w:t>-0.722</w:t>
            </w:r>
          </w:p>
        </w:tc>
        <w:tc>
          <w:tcPr>
            <w:tcW w:w="2254" w:type="dxa"/>
          </w:tcPr>
          <w:p w:rsidR="007368F5" w:rsidRPr="00411234" w:rsidRDefault="007368F5" w:rsidP="00644B6D">
            <w:pPr>
              <w:rPr>
                <w:rFonts w:ascii="Arial" w:hAnsi="Arial" w:cs="Arial"/>
              </w:rPr>
            </w:pPr>
            <w:r w:rsidRPr="00411234">
              <w:rPr>
                <w:rFonts w:ascii="Arial" w:hAnsi="Arial" w:cs="Arial"/>
              </w:rPr>
              <w:t>-1.139, -0.304</w:t>
            </w:r>
          </w:p>
        </w:tc>
        <w:tc>
          <w:tcPr>
            <w:tcW w:w="2254" w:type="dxa"/>
          </w:tcPr>
          <w:p w:rsidR="007368F5" w:rsidRPr="00411234" w:rsidRDefault="007368F5" w:rsidP="00644B6D">
            <w:pPr>
              <w:rPr>
                <w:rFonts w:ascii="Arial" w:hAnsi="Arial" w:cs="Arial"/>
              </w:rPr>
            </w:pPr>
            <w:r w:rsidRPr="00411234">
              <w:rPr>
                <w:rFonts w:ascii="Arial" w:hAnsi="Arial" w:cs="Arial"/>
              </w:rPr>
              <w: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5c</w:t>
            </w:r>
          </w:p>
        </w:tc>
        <w:tc>
          <w:tcPr>
            <w:tcW w:w="2254" w:type="dxa"/>
          </w:tcPr>
          <w:p w:rsidR="007368F5" w:rsidRPr="00411234" w:rsidRDefault="007368F5" w:rsidP="00644B6D">
            <w:pPr>
              <w:rPr>
                <w:rFonts w:ascii="Arial" w:hAnsi="Arial" w:cs="Arial"/>
              </w:rPr>
            </w:pPr>
            <w:r w:rsidRPr="00411234">
              <w:rPr>
                <w:rFonts w:ascii="Arial" w:hAnsi="Arial" w:cs="Arial"/>
              </w:rPr>
              <w:t>-0.618</w:t>
            </w:r>
          </w:p>
        </w:tc>
        <w:tc>
          <w:tcPr>
            <w:tcW w:w="2254" w:type="dxa"/>
          </w:tcPr>
          <w:p w:rsidR="007368F5" w:rsidRPr="00411234" w:rsidRDefault="007368F5" w:rsidP="00644B6D">
            <w:pPr>
              <w:rPr>
                <w:rFonts w:ascii="Arial" w:hAnsi="Arial" w:cs="Arial"/>
              </w:rPr>
            </w:pPr>
            <w:r w:rsidRPr="00411234">
              <w:rPr>
                <w:rFonts w:ascii="Arial" w:hAnsi="Arial" w:cs="Arial"/>
              </w:rPr>
              <w:t>-1.007, -0.229</w:t>
            </w:r>
          </w:p>
        </w:tc>
        <w:tc>
          <w:tcPr>
            <w:tcW w:w="2254" w:type="dxa"/>
          </w:tcPr>
          <w:p w:rsidR="007368F5" w:rsidRPr="00411234" w:rsidRDefault="007368F5" w:rsidP="00644B6D">
            <w:pPr>
              <w:rPr>
                <w:rFonts w:ascii="Arial" w:hAnsi="Arial" w:cs="Arial"/>
              </w:rPr>
            </w:pPr>
            <w:r w:rsidRPr="00411234">
              <w:rPr>
                <w:rFonts w:ascii="Arial" w:hAnsi="Arial" w:cs="Arial"/>
              </w:rPr>
              <w:t>0.002</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6</w:t>
            </w:r>
          </w:p>
        </w:tc>
        <w:tc>
          <w:tcPr>
            <w:tcW w:w="2254" w:type="dxa"/>
          </w:tcPr>
          <w:p w:rsidR="007368F5" w:rsidRPr="00411234" w:rsidRDefault="007368F5" w:rsidP="00644B6D">
            <w:pPr>
              <w:rPr>
                <w:rFonts w:ascii="Arial" w:hAnsi="Arial" w:cs="Arial"/>
              </w:rPr>
            </w:pPr>
            <w:r w:rsidRPr="00411234">
              <w:rPr>
                <w:rFonts w:ascii="Arial" w:hAnsi="Arial" w:cs="Arial"/>
              </w:rPr>
              <w:t>-0.736</w:t>
            </w:r>
          </w:p>
        </w:tc>
        <w:tc>
          <w:tcPr>
            <w:tcW w:w="2254" w:type="dxa"/>
          </w:tcPr>
          <w:p w:rsidR="007368F5" w:rsidRPr="00411234" w:rsidRDefault="007368F5" w:rsidP="00644B6D">
            <w:pPr>
              <w:rPr>
                <w:rFonts w:ascii="Arial" w:hAnsi="Arial" w:cs="Arial"/>
              </w:rPr>
            </w:pPr>
            <w:r w:rsidRPr="00411234">
              <w:rPr>
                <w:rFonts w:ascii="Arial" w:hAnsi="Arial" w:cs="Arial"/>
              </w:rPr>
              <w:t>-1.238, -0.233</w:t>
            </w:r>
          </w:p>
        </w:tc>
        <w:tc>
          <w:tcPr>
            <w:tcW w:w="2254" w:type="dxa"/>
          </w:tcPr>
          <w:p w:rsidR="007368F5" w:rsidRPr="00411234" w:rsidRDefault="007368F5" w:rsidP="00644B6D">
            <w:pPr>
              <w:rPr>
                <w:rFonts w:ascii="Arial" w:hAnsi="Arial" w:cs="Arial"/>
              </w:rPr>
            </w:pPr>
            <w:r w:rsidRPr="00411234">
              <w:rPr>
                <w:rFonts w:ascii="Arial" w:hAnsi="Arial" w:cs="Arial"/>
              </w:rPr>
              <w:t>0.004</w:t>
            </w:r>
          </w:p>
        </w:tc>
      </w:tr>
    </w:tbl>
    <w:p w:rsidR="007368F5" w:rsidRDefault="007368F5" w:rsidP="008B6222">
      <w:pPr>
        <w:spacing w:after="0" w:line="240" w:lineRule="auto"/>
        <w:rPr>
          <w:rFonts w:ascii="Arial" w:hAnsi="Arial" w:cs="Arial"/>
        </w:rPr>
      </w:pPr>
    </w:p>
    <w:p w:rsidR="007368F5" w:rsidRPr="00411234" w:rsidRDefault="007368F5" w:rsidP="008B6222">
      <w:pPr>
        <w:spacing w:after="0" w:line="240" w:lineRule="auto"/>
        <w:rPr>
          <w:rFonts w:ascii="Arial" w:hAnsi="Arial" w:cs="Arial"/>
        </w:rPr>
      </w:pPr>
      <w:r w:rsidRPr="00411234">
        <w:rPr>
          <w:rFonts w:ascii="Arial" w:hAnsi="Arial" w:cs="Arial"/>
        </w:rPr>
        <w:t xml:space="preserve">Model 1 – Standardized </w:t>
      </w:r>
      <w:r>
        <w:rPr>
          <w:rFonts w:ascii="Arial" w:hAnsi="Arial" w:cs="Arial"/>
        </w:rPr>
        <w:t>general cognitive</w:t>
      </w:r>
      <w:r w:rsidRPr="00411234">
        <w:rPr>
          <w:rFonts w:ascii="Arial" w:hAnsi="Arial" w:cs="Arial"/>
        </w:rPr>
        <w:t xml:space="preserve"> score at age 15 by unit increase of 5-level smoki</w:t>
      </w:r>
      <w:r>
        <w:rPr>
          <w:rFonts w:ascii="Arial" w:hAnsi="Arial" w:cs="Arial"/>
        </w:rPr>
        <w:t xml:space="preserve">ng heaviness category at age 15; </w:t>
      </w:r>
      <w:r w:rsidRPr="00411234">
        <w:rPr>
          <w:rFonts w:ascii="Arial" w:hAnsi="Arial" w:cs="Arial"/>
        </w:rPr>
        <w:t xml:space="preserve">Model 2 – as model 1 with additional adjustment for </w:t>
      </w:r>
      <w:r>
        <w:rPr>
          <w:rFonts w:ascii="Arial" w:hAnsi="Arial" w:cs="Arial"/>
        </w:rPr>
        <w:t>general cognitive ability</w:t>
      </w:r>
      <w:r w:rsidRPr="00411234">
        <w:rPr>
          <w:rFonts w:ascii="Arial" w:hAnsi="Arial" w:cs="Arial"/>
        </w:rPr>
        <w:t xml:space="preserve"> at age 8</w:t>
      </w:r>
      <w:r>
        <w:rPr>
          <w:rFonts w:ascii="Arial" w:hAnsi="Arial" w:cs="Arial"/>
        </w:rPr>
        <w:t xml:space="preserve">; </w:t>
      </w:r>
      <w:r w:rsidRPr="00411234">
        <w:rPr>
          <w:rFonts w:ascii="Arial" w:hAnsi="Arial" w:cs="Arial"/>
        </w:rPr>
        <w:t>Model 3 – as model 2 with additional adjustment for pre-birth confounders (gender, maternal education, maternal smoking, alcohol and cannabis use during pregnancy, maternal depression)</w:t>
      </w:r>
      <w:r>
        <w:rPr>
          <w:rFonts w:ascii="Arial" w:hAnsi="Arial" w:cs="Arial"/>
        </w:rPr>
        <w:t xml:space="preserve">; </w:t>
      </w:r>
      <w:r w:rsidRPr="00411234">
        <w:rPr>
          <w:rFonts w:ascii="Arial" w:hAnsi="Arial" w:cs="Arial"/>
        </w:rPr>
        <w:t>Model 4 – as model 3 with additional adjustment for childhood confounders (truancy, hyperactivity, conduct problems, psychotic-like experiences, depression)</w:t>
      </w:r>
      <w:r>
        <w:rPr>
          <w:rFonts w:ascii="Arial" w:hAnsi="Arial" w:cs="Arial"/>
        </w:rPr>
        <w:t xml:space="preserve">; </w:t>
      </w:r>
      <w:r w:rsidRPr="00411234">
        <w:rPr>
          <w:rFonts w:ascii="Arial" w:hAnsi="Arial" w:cs="Arial"/>
        </w:rPr>
        <w:t>Model 5a – as model 4 with additional adjustment for cannabis use at age 15</w:t>
      </w:r>
      <w:r>
        <w:rPr>
          <w:rFonts w:ascii="Arial" w:hAnsi="Arial" w:cs="Arial"/>
        </w:rPr>
        <w:t xml:space="preserve">; </w:t>
      </w:r>
      <w:r w:rsidRPr="00411234">
        <w:rPr>
          <w:rFonts w:ascii="Arial" w:hAnsi="Arial" w:cs="Arial"/>
        </w:rPr>
        <w:t>Model 5b – as model 4 with additional adjustment for alcohol use at age 15</w:t>
      </w:r>
      <w:r>
        <w:rPr>
          <w:rFonts w:ascii="Arial" w:hAnsi="Arial" w:cs="Arial"/>
        </w:rPr>
        <w:t xml:space="preserve">; </w:t>
      </w:r>
      <w:r w:rsidRPr="00411234">
        <w:rPr>
          <w:rFonts w:ascii="Arial" w:hAnsi="Arial" w:cs="Arial"/>
        </w:rPr>
        <w:t>Model 5c – as model 4 with additional adjustment for illicit drug use at age 15</w:t>
      </w:r>
      <w:r>
        <w:rPr>
          <w:rFonts w:ascii="Arial" w:hAnsi="Arial" w:cs="Arial"/>
        </w:rPr>
        <w:t xml:space="preserve">; </w:t>
      </w:r>
      <w:r w:rsidRPr="00411234">
        <w:rPr>
          <w:rFonts w:ascii="Arial" w:hAnsi="Arial" w:cs="Arial"/>
        </w:rPr>
        <w:t>Model 6 – as model 4 with additional adjustment for cannabis, alcohol and other illicit drug use at age 15</w:t>
      </w:r>
      <w:r>
        <w:rPr>
          <w:rFonts w:ascii="Arial" w:hAnsi="Arial" w:cs="Arial"/>
        </w:rPr>
        <w:t>.</w:t>
      </w:r>
    </w:p>
    <w:p w:rsidR="007368F5" w:rsidRDefault="007368F5" w:rsidP="008B6222">
      <w:pPr>
        <w:spacing w:after="0" w:line="240" w:lineRule="auto"/>
        <w:rPr>
          <w:rFonts w:ascii="Arial" w:hAnsi="Arial" w:cs="Arial"/>
        </w:rPr>
      </w:pPr>
      <w:r>
        <w:rPr>
          <w:rFonts w:ascii="Arial" w:hAnsi="Arial" w:cs="Arial"/>
        </w:rPr>
        <w:br w:type="page"/>
      </w:r>
    </w:p>
    <w:p w:rsidR="007368F5" w:rsidRPr="00EC0AFE" w:rsidRDefault="007368F5" w:rsidP="008B6222">
      <w:pPr>
        <w:spacing w:after="0" w:line="240" w:lineRule="auto"/>
        <w:rPr>
          <w:rFonts w:ascii="Arial" w:hAnsi="Arial" w:cs="Arial"/>
          <w:b/>
        </w:rPr>
      </w:pPr>
      <w:r w:rsidRPr="00EC0AFE">
        <w:rPr>
          <w:rFonts w:ascii="Arial" w:hAnsi="Arial" w:cs="Arial"/>
          <w:b/>
        </w:rPr>
        <w:lastRenderedPageBreak/>
        <w:t>Table 3</w:t>
      </w:r>
      <w:r>
        <w:rPr>
          <w:rFonts w:ascii="Arial" w:hAnsi="Arial" w:cs="Arial"/>
          <w:b/>
        </w:rPr>
        <w:t>.</w:t>
      </w:r>
      <w:r w:rsidRPr="00EC0AFE">
        <w:rPr>
          <w:rFonts w:ascii="Arial" w:hAnsi="Arial" w:cs="Arial"/>
          <w:b/>
        </w:rPr>
        <w:t xml:space="preserve"> Linear regression of smoking heaviness at age 15 and educational attainment at age 16, before and after adjustment for potential confounders</w:t>
      </w:r>
      <w:r>
        <w:rPr>
          <w:rFonts w:ascii="Arial" w:hAnsi="Arial" w:cs="Arial"/>
          <w:b/>
        </w:rPr>
        <w:t xml:space="preserve"> in ALSPAC</w:t>
      </w:r>
      <w:r w:rsidRPr="00EC0AFE">
        <w:rPr>
          <w:rFonts w:ascii="Arial" w:hAnsi="Arial" w:cs="Arial"/>
          <w:b/>
        </w:rPr>
        <w:t xml:space="preserve"> (N=2,017).</w:t>
      </w:r>
    </w:p>
    <w:p w:rsidR="007368F5" w:rsidRPr="00411234" w:rsidRDefault="007368F5" w:rsidP="008B6222">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7368F5" w:rsidRPr="00411234" w:rsidTr="00644B6D">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Model</w:t>
            </w:r>
          </w:p>
        </w:tc>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Beta coefficient</w:t>
            </w:r>
          </w:p>
        </w:tc>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95% CI</w:t>
            </w:r>
          </w:p>
        </w:tc>
        <w:tc>
          <w:tcPr>
            <w:tcW w:w="2254" w:type="dxa"/>
            <w:tcBorders>
              <w:top w:val="single" w:sz="4" w:space="0" w:color="auto"/>
              <w:bottom w:val="single" w:sz="4" w:space="0" w:color="auto"/>
            </w:tcBorders>
          </w:tcPr>
          <w:p w:rsidR="007368F5" w:rsidRPr="00411234" w:rsidRDefault="007368F5" w:rsidP="00644B6D">
            <w:pPr>
              <w:rPr>
                <w:rFonts w:ascii="Arial" w:hAnsi="Arial" w:cs="Arial"/>
              </w:rPr>
            </w:pPr>
            <w:r w:rsidRPr="00411234">
              <w:rPr>
                <w:rFonts w:ascii="Arial" w:hAnsi="Arial" w:cs="Arial"/>
              </w:rPr>
              <w:t>P value</w:t>
            </w:r>
          </w:p>
        </w:tc>
      </w:tr>
      <w:tr w:rsidR="007368F5" w:rsidRPr="00411234" w:rsidTr="00644B6D">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1</w:t>
            </w:r>
          </w:p>
        </w:tc>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-2.517</w:t>
            </w:r>
          </w:p>
        </w:tc>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-2.868, -2.166</w:t>
            </w:r>
          </w:p>
        </w:tc>
        <w:tc>
          <w:tcPr>
            <w:tcW w:w="2254" w:type="dxa"/>
            <w:tcBorders>
              <w:top w:val="single" w:sz="4" w:space="0" w:color="auto"/>
            </w:tcBorders>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2</w:t>
            </w:r>
          </w:p>
        </w:tc>
        <w:tc>
          <w:tcPr>
            <w:tcW w:w="2254" w:type="dxa"/>
          </w:tcPr>
          <w:p w:rsidR="007368F5" w:rsidRPr="00411234" w:rsidRDefault="007368F5" w:rsidP="00644B6D">
            <w:pPr>
              <w:rPr>
                <w:rFonts w:ascii="Arial" w:hAnsi="Arial" w:cs="Arial"/>
              </w:rPr>
            </w:pPr>
            <w:r w:rsidRPr="00411234">
              <w:rPr>
                <w:rFonts w:ascii="Arial" w:hAnsi="Arial" w:cs="Arial"/>
              </w:rPr>
              <w:t>-1.725</w:t>
            </w:r>
          </w:p>
        </w:tc>
        <w:tc>
          <w:tcPr>
            <w:tcW w:w="2254" w:type="dxa"/>
          </w:tcPr>
          <w:p w:rsidR="007368F5" w:rsidRPr="00411234" w:rsidRDefault="007368F5" w:rsidP="00644B6D">
            <w:pPr>
              <w:rPr>
                <w:rFonts w:ascii="Arial" w:hAnsi="Arial" w:cs="Arial"/>
              </w:rPr>
            </w:pPr>
            <w:r w:rsidRPr="00411234">
              <w:rPr>
                <w:rFonts w:ascii="Arial" w:hAnsi="Arial" w:cs="Arial"/>
              </w:rPr>
              <w:t>-1.969, -1.482</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3</w:t>
            </w:r>
          </w:p>
        </w:tc>
        <w:tc>
          <w:tcPr>
            <w:tcW w:w="2254" w:type="dxa"/>
          </w:tcPr>
          <w:p w:rsidR="007368F5" w:rsidRPr="00411234" w:rsidRDefault="007368F5" w:rsidP="00644B6D">
            <w:pPr>
              <w:rPr>
                <w:rFonts w:ascii="Arial" w:hAnsi="Arial" w:cs="Arial"/>
              </w:rPr>
            </w:pPr>
            <w:r w:rsidRPr="00411234">
              <w:rPr>
                <w:rFonts w:ascii="Arial" w:hAnsi="Arial" w:cs="Arial"/>
              </w:rPr>
              <w:t>-1.749</w:t>
            </w:r>
          </w:p>
        </w:tc>
        <w:tc>
          <w:tcPr>
            <w:tcW w:w="2254" w:type="dxa"/>
          </w:tcPr>
          <w:p w:rsidR="007368F5" w:rsidRPr="00411234" w:rsidRDefault="007368F5" w:rsidP="00644B6D">
            <w:pPr>
              <w:rPr>
                <w:rFonts w:ascii="Arial" w:hAnsi="Arial" w:cs="Arial"/>
              </w:rPr>
            </w:pPr>
            <w:r w:rsidRPr="00411234">
              <w:rPr>
                <w:rFonts w:ascii="Arial" w:hAnsi="Arial" w:cs="Arial"/>
              </w:rPr>
              <w:t>-1.986, -1.512</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4</w:t>
            </w:r>
          </w:p>
        </w:tc>
        <w:tc>
          <w:tcPr>
            <w:tcW w:w="2254" w:type="dxa"/>
          </w:tcPr>
          <w:p w:rsidR="007368F5" w:rsidRPr="00411234" w:rsidRDefault="007368F5" w:rsidP="00644B6D">
            <w:pPr>
              <w:rPr>
                <w:rFonts w:ascii="Arial" w:hAnsi="Arial" w:cs="Arial"/>
              </w:rPr>
            </w:pPr>
            <w:r w:rsidRPr="00411234">
              <w:rPr>
                <w:rFonts w:ascii="Arial" w:hAnsi="Arial" w:cs="Arial"/>
              </w:rPr>
              <w:t>-1.561</w:t>
            </w:r>
          </w:p>
        </w:tc>
        <w:tc>
          <w:tcPr>
            <w:tcW w:w="2254" w:type="dxa"/>
          </w:tcPr>
          <w:p w:rsidR="007368F5" w:rsidRPr="00411234" w:rsidRDefault="007368F5" w:rsidP="00644B6D">
            <w:pPr>
              <w:rPr>
                <w:rFonts w:ascii="Arial" w:hAnsi="Arial" w:cs="Arial"/>
              </w:rPr>
            </w:pPr>
            <w:r w:rsidRPr="00411234">
              <w:rPr>
                <w:rFonts w:ascii="Arial" w:hAnsi="Arial" w:cs="Arial"/>
              </w:rPr>
              <w:t>-1.800, -1.321</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5a</w:t>
            </w:r>
          </w:p>
        </w:tc>
        <w:tc>
          <w:tcPr>
            <w:tcW w:w="2254" w:type="dxa"/>
          </w:tcPr>
          <w:p w:rsidR="007368F5" w:rsidRPr="00411234" w:rsidRDefault="007368F5" w:rsidP="00644B6D">
            <w:pPr>
              <w:rPr>
                <w:rFonts w:ascii="Arial" w:hAnsi="Arial" w:cs="Arial"/>
              </w:rPr>
            </w:pPr>
            <w:r w:rsidRPr="00411234">
              <w:rPr>
                <w:rFonts w:ascii="Arial" w:hAnsi="Arial" w:cs="Arial"/>
              </w:rPr>
              <w:t>-1.322</w:t>
            </w:r>
          </w:p>
        </w:tc>
        <w:tc>
          <w:tcPr>
            <w:tcW w:w="2254" w:type="dxa"/>
          </w:tcPr>
          <w:p w:rsidR="007368F5" w:rsidRPr="00411234" w:rsidRDefault="007368F5" w:rsidP="00644B6D">
            <w:pPr>
              <w:rPr>
                <w:rFonts w:ascii="Arial" w:hAnsi="Arial" w:cs="Arial"/>
              </w:rPr>
            </w:pPr>
            <w:r w:rsidRPr="00411234">
              <w:rPr>
                <w:rFonts w:ascii="Arial" w:hAnsi="Arial" w:cs="Arial"/>
              </w:rPr>
              <w:t>-1.645, -0.999</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5b</w:t>
            </w:r>
          </w:p>
        </w:tc>
        <w:tc>
          <w:tcPr>
            <w:tcW w:w="2254" w:type="dxa"/>
          </w:tcPr>
          <w:p w:rsidR="007368F5" w:rsidRPr="00411234" w:rsidRDefault="007368F5" w:rsidP="00644B6D">
            <w:pPr>
              <w:rPr>
                <w:rFonts w:ascii="Arial" w:hAnsi="Arial" w:cs="Arial"/>
              </w:rPr>
            </w:pPr>
            <w:r w:rsidRPr="00411234">
              <w:rPr>
                <w:rFonts w:ascii="Arial" w:hAnsi="Arial" w:cs="Arial"/>
              </w:rPr>
              <w:t>-1.464</w:t>
            </w:r>
          </w:p>
        </w:tc>
        <w:tc>
          <w:tcPr>
            <w:tcW w:w="2254" w:type="dxa"/>
          </w:tcPr>
          <w:p w:rsidR="007368F5" w:rsidRPr="00411234" w:rsidRDefault="007368F5" w:rsidP="00644B6D">
            <w:pPr>
              <w:rPr>
                <w:rFonts w:ascii="Arial" w:hAnsi="Arial" w:cs="Arial"/>
              </w:rPr>
            </w:pPr>
            <w:r w:rsidRPr="00411234">
              <w:rPr>
                <w:rFonts w:ascii="Arial" w:hAnsi="Arial" w:cs="Arial"/>
              </w:rPr>
              <w:t>-1.751, -1.176</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5c</w:t>
            </w:r>
          </w:p>
        </w:tc>
        <w:tc>
          <w:tcPr>
            <w:tcW w:w="2254" w:type="dxa"/>
          </w:tcPr>
          <w:p w:rsidR="007368F5" w:rsidRPr="00411234" w:rsidRDefault="007368F5" w:rsidP="00644B6D">
            <w:pPr>
              <w:rPr>
                <w:rFonts w:ascii="Arial" w:hAnsi="Arial" w:cs="Arial"/>
              </w:rPr>
            </w:pPr>
            <w:r w:rsidRPr="00411234">
              <w:rPr>
                <w:rFonts w:ascii="Arial" w:hAnsi="Arial" w:cs="Arial"/>
              </w:rPr>
              <w:t>-1.396</w:t>
            </w:r>
          </w:p>
        </w:tc>
        <w:tc>
          <w:tcPr>
            <w:tcW w:w="2254" w:type="dxa"/>
          </w:tcPr>
          <w:p w:rsidR="007368F5" w:rsidRPr="00411234" w:rsidRDefault="007368F5" w:rsidP="00644B6D">
            <w:pPr>
              <w:rPr>
                <w:rFonts w:ascii="Arial" w:hAnsi="Arial" w:cs="Arial"/>
              </w:rPr>
            </w:pPr>
            <w:r w:rsidRPr="00411234">
              <w:rPr>
                <w:rFonts w:ascii="Arial" w:hAnsi="Arial" w:cs="Arial"/>
              </w:rPr>
              <w:t>-1.664, -1.129</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r w:rsidR="007368F5" w:rsidRPr="00411234" w:rsidTr="00644B6D">
        <w:tc>
          <w:tcPr>
            <w:tcW w:w="2254" w:type="dxa"/>
          </w:tcPr>
          <w:p w:rsidR="007368F5" w:rsidRPr="00411234" w:rsidRDefault="007368F5" w:rsidP="00644B6D">
            <w:pPr>
              <w:rPr>
                <w:rFonts w:ascii="Arial" w:hAnsi="Arial" w:cs="Arial"/>
              </w:rPr>
            </w:pPr>
            <w:r w:rsidRPr="00411234">
              <w:rPr>
                <w:rFonts w:ascii="Arial" w:hAnsi="Arial" w:cs="Arial"/>
              </w:rPr>
              <w:t>6</w:t>
            </w:r>
          </w:p>
        </w:tc>
        <w:tc>
          <w:tcPr>
            <w:tcW w:w="2254" w:type="dxa"/>
          </w:tcPr>
          <w:p w:rsidR="007368F5" w:rsidRPr="00411234" w:rsidRDefault="007368F5" w:rsidP="00644B6D">
            <w:pPr>
              <w:rPr>
                <w:rFonts w:ascii="Arial" w:hAnsi="Arial" w:cs="Arial"/>
              </w:rPr>
            </w:pPr>
            <w:r w:rsidRPr="00411234">
              <w:rPr>
                <w:rFonts w:ascii="Arial" w:hAnsi="Arial" w:cs="Arial"/>
              </w:rPr>
              <w:t>-1.254</w:t>
            </w:r>
          </w:p>
        </w:tc>
        <w:tc>
          <w:tcPr>
            <w:tcW w:w="2254" w:type="dxa"/>
          </w:tcPr>
          <w:p w:rsidR="007368F5" w:rsidRPr="00411234" w:rsidRDefault="007368F5" w:rsidP="00644B6D">
            <w:pPr>
              <w:rPr>
                <w:rFonts w:ascii="Arial" w:hAnsi="Arial" w:cs="Arial"/>
              </w:rPr>
            </w:pPr>
            <w:r w:rsidRPr="00411234">
              <w:rPr>
                <w:rFonts w:ascii="Arial" w:hAnsi="Arial" w:cs="Arial"/>
              </w:rPr>
              <w:t>-1.597, -0.911</w:t>
            </w:r>
          </w:p>
        </w:tc>
        <w:tc>
          <w:tcPr>
            <w:tcW w:w="2254" w:type="dxa"/>
          </w:tcPr>
          <w:p w:rsidR="007368F5" w:rsidRPr="00411234" w:rsidRDefault="007368F5" w:rsidP="00644B6D">
            <w:pPr>
              <w:rPr>
                <w:rFonts w:ascii="Arial" w:hAnsi="Arial" w:cs="Arial"/>
              </w:rPr>
            </w:pPr>
            <w:r w:rsidRPr="00411234">
              <w:rPr>
                <w:rFonts w:ascii="Arial" w:hAnsi="Arial" w:cs="Arial"/>
              </w:rPr>
              <w:t>&lt;0.001</w:t>
            </w:r>
          </w:p>
        </w:tc>
      </w:tr>
    </w:tbl>
    <w:p w:rsidR="007368F5" w:rsidRDefault="007368F5" w:rsidP="008B6222">
      <w:pPr>
        <w:spacing w:after="0" w:line="240" w:lineRule="auto"/>
        <w:rPr>
          <w:rFonts w:ascii="Arial" w:hAnsi="Arial" w:cs="Arial"/>
        </w:rPr>
      </w:pPr>
    </w:p>
    <w:p w:rsidR="007368F5" w:rsidRPr="00411234" w:rsidRDefault="007368F5" w:rsidP="008B6222">
      <w:pPr>
        <w:spacing w:after="0" w:line="240" w:lineRule="auto"/>
        <w:rPr>
          <w:rFonts w:ascii="Arial" w:hAnsi="Arial" w:cs="Arial"/>
        </w:rPr>
      </w:pPr>
      <w:r w:rsidRPr="00411234">
        <w:rPr>
          <w:rFonts w:ascii="Arial" w:hAnsi="Arial" w:cs="Arial"/>
        </w:rPr>
        <w:t>Model 1 – Educational performance score (as % of total possible) at age 16 by unit increase of 5-level smoki</w:t>
      </w:r>
      <w:r>
        <w:rPr>
          <w:rFonts w:ascii="Arial" w:hAnsi="Arial" w:cs="Arial"/>
        </w:rPr>
        <w:t xml:space="preserve">ng heaviness category at age 15; </w:t>
      </w:r>
      <w:r w:rsidRPr="00411234">
        <w:rPr>
          <w:rFonts w:ascii="Arial" w:hAnsi="Arial" w:cs="Arial"/>
        </w:rPr>
        <w:t>Model 2 – as model 1 with additional adjustment for educational attainment at age 11</w:t>
      </w:r>
      <w:r>
        <w:rPr>
          <w:rFonts w:ascii="Arial" w:hAnsi="Arial" w:cs="Arial"/>
        </w:rPr>
        <w:t xml:space="preserve">; </w:t>
      </w:r>
      <w:r w:rsidRPr="00411234">
        <w:rPr>
          <w:rFonts w:ascii="Arial" w:hAnsi="Arial" w:cs="Arial"/>
        </w:rPr>
        <w:t>Model 3 – as model 2 with additional adjustment for pre-birth confounders (gender, maternal education, maternal smoking, alcohol and cannabis use during pregnancy, maternal depression)</w:t>
      </w:r>
      <w:r>
        <w:rPr>
          <w:rFonts w:ascii="Arial" w:hAnsi="Arial" w:cs="Arial"/>
        </w:rPr>
        <w:t xml:space="preserve">; </w:t>
      </w:r>
      <w:r w:rsidRPr="00411234">
        <w:rPr>
          <w:rFonts w:ascii="Arial" w:hAnsi="Arial" w:cs="Arial"/>
        </w:rPr>
        <w:t>Model 4 – as model 3 with additional adjustment for childhood confounders (truancy, hyperactivity, conduct problems, psychotic-like experiences, depression)</w:t>
      </w:r>
      <w:r>
        <w:rPr>
          <w:rFonts w:ascii="Arial" w:hAnsi="Arial" w:cs="Arial"/>
        </w:rPr>
        <w:t xml:space="preserve">; </w:t>
      </w:r>
      <w:r w:rsidRPr="00411234">
        <w:rPr>
          <w:rFonts w:ascii="Arial" w:hAnsi="Arial" w:cs="Arial"/>
        </w:rPr>
        <w:t>Model 5a – as model 4 with additional adjustment for cannabis use at age 15</w:t>
      </w:r>
      <w:r>
        <w:rPr>
          <w:rFonts w:ascii="Arial" w:hAnsi="Arial" w:cs="Arial"/>
        </w:rPr>
        <w:t xml:space="preserve">; </w:t>
      </w:r>
      <w:r w:rsidRPr="00411234">
        <w:rPr>
          <w:rFonts w:ascii="Arial" w:hAnsi="Arial" w:cs="Arial"/>
        </w:rPr>
        <w:t>Model 5b – as model 4 with additional adjustment for alcohol use at age 15</w:t>
      </w:r>
      <w:r>
        <w:rPr>
          <w:rFonts w:ascii="Arial" w:hAnsi="Arial" w:cs="Arial"/>
        </w:rPr>
        <w:t xml:space="preserve">; </w:t>
      </w:r>
      <w:r w:rsidRPr="00411234">
        <w:rPr>
          <w:rFonts w:ascii="Arial" w:hAnsi="Arial" w:cs="Arial"/>
        </w:rPr>
        <w:t>Model 5c – as model 4 with additional adjustment for illicit drug use at age 15</w:t>
      </w:r>
      <w:r>
        <w:rPr>
          <w:rFonts w:ascii="Arial" w:hAnsi="Arial" w:cs="Arial"/>
        </w:rPr>
        <w:t xml:space="preserve"> </w:t>
      </w:r>
      <w:r w:rsidRPr="00411234">
        <w:rPr>
          <w:rFonts w:ascii="Arial" w:hAnsi="Arial" w:cs="Arial"/>
        </w:rPr>
        <w:t>Model 6 – as model 4 with additional adjustment for cannabis, alcohol and other illicit drug use at age 15</w:t>
      </w:r>
      <w:r>
        <w:rPr>
          <w:rFonts w:ascii="Arial" w:hAnsi="Arial" w:cs="Arial"/>
        </w:rPr>
        <w:t>.</w:t>
      </w:r>
    </w:p>
    <w:p w:rsidR="007368F5" w:rsidRPr="00411234" w:rsidRDefault="007368F5" w:rsidP="008B6222">
      <w:pPr>
        <w:spacing w:after="0" w:line="240" w:lineRule="auto"/>
        <w:rPr>
          <w:rFonts w:ascii="Arial" w:hAnsi="Arial" w:cs="Arial"/>
        </w:rPr>
      </w:pPr>
    </w:p>
    <w:p w:rsidR="007368F5" w:rsidRDefault="007368F5" w:rsidP="008B6222">
      <w:pPr>
        <w:spacing w:after="0" w:line="240" w:lineRule="auto"/>
        <w:rPr>
          <w:rFonts w:ascii="Arial" w:hAnsi="Arial" w:cs="Arial"/>
        </w:rPr>
      </w:pPr>
      <w:r>
        <w:rPr>
          <w:rFonts w:ascii="Arial" w:hAnsi="Arial" w:cs="Arial"/>
        </w:rPr>
        <w:br w:type="page"/>
      </w:r>
    </w:p>
    <w:p w:rsidR="007368F5" w:rsidRPr="00EF309C" w:rsidRDefault="007368F5" w:rsidP="008B6222">
      <w:pPr>
        <w:spacing w:after="0" w:line="240" w:lineRule="auto"/>
        <w:outlineLvl w:val="0"/>
        <w:rPr>
          <w:rFonts w:ascii="Arial" w:hAnsi="Arial" w:cs="Arial"/>
          <w:b/>
          <w:color w:val="000000" w:themeColor="text1"/>
        </w:rPr>
      </w:pPr>
      <w:r w:rsidRPr="00EF309C">
        <w:rPr>
          <w:rFonts w:ascii="Arial" w:hAnsi="Arial" w:cs="Arial"/>
          <w:b/>
        </w:rPr>
        <w:lastRenderedPageBreak/>
        <w:t xml:space="preserve">Table </w:t>
      </w:r>
      <w:r>
        <w:rPr>
          <w:rFonts w:ascii="Arial" w:hAnsi="Arial" w:cs="Arial"/>
          <w:b/>
        </w:rPr>
        <w:t>4</w:t>
      </w:r>
      <w:r w:rsidRPr="00EF309C">
        <w:rPr>
          <w:rFonts w:ascii="Arial" w:hAnsi="Arial" w:cs="Arial"/>
          <w:b/>
        </w:rPr>
        <w:t>.</w:t>
      </w:r>
      <w:r>
        <w:rPr>
          <w:rFonts w:ascii="Arial" w:hAnsi="Arial" w:cs="Arial"/>
        </w:rPr>
        <w:t xml:space="preserve"> </w:t>
      </w:r>
      <w:r w:rsidRPr="007B0F00">
        <w:rPr>
          <w:rFonts w:ascii="Arial" w:hAnsi="Arial" w:cs="Arial"/>
          <w:b/>
          <w:color w:val="000000" w:themeColor="text1"/>
        </w:rPr>
        <w:t>Two-sample Mendelian randomisation analyses</w:t>
      </w:r>
      <w:r>
        <w:rPr>
          <w:rFonts w:ascii="Arial" w:hAnsi="Arial" w:cs="Arial"/>
          <w:b/>
          <w:color w:val="000000" w:themeColor="text1"/>
        </w:rPr>
        <w:t xml:space="preserve"> using summary statistics</w:t>
      </w:r>
      <w:r w:rsidRPr="007B0F00">
        <w:rPr>
          <w:rFonts w:ascii="Arial" w:hAnsi="Arial" w:cs="Arial"/>
          <w:b/>
          <w:color w:val="000000" w:themeColor="text1"/>
        </w:rPr>
        <w:t xml:space="preserve"> of the effect of smoking on educational attainment</w:t>
      </w:r>
      <w:r>
        <w:rPr>
          <w:rFonts w:ascii="Arial" w:hAnsi="Arial" w:cs="Arial"/>
          <w:b/>
          <w:color w:val="000000" w:themeColor="text1"/>
        </w:rPr>
        <w:t xml:space="preserve"> and cognitive ability</w:t>
      </w:r>
      <w:r w:rsidRPr="007B0F00">
        <w:rPr>
          <w:rFonts w:ascii="Arial" w:hAnsi="Arial" w:cs="Arial"/>
          <w:b/>
          <w:color w:val="000000" w:themeColor="text1"/>
        </w:rPr>
        <w:t>.</w:t>
      </w:r>
    </w:p>
    <w:p w:rsidR="007368F5" w:rsidRDefault="007368F5" w:rsidP="008B6222">
      <w:pPr>
        <w:spacing w:after="0" w:line="240" w:lineRule="auto"/>
        <w:rPr>
          <w:rFonts w:ascii="Arial" w:hAnsi="Arial" w:cs="Arial"/>
        </w:rPr>
      </w:pPr>
    </w:p>
    <w:tbl>
      <w:tblPr>
        <w:tblStyle w:val="TableGrid"/>
        <w:tblpPr w:leftFromText="180" w:rightFromText="180" w:vertAnchor="text" w:horzAnchor="margin" w:tblpX="80" w:tblpY="22"/>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94"/>
        <w:gridCol w:w="2694"/>
        <w:gridCol w:w="3115"/>
        <w:gridCol w:w="1133"/>
        <w:gridCol w:w="2694"/>
        <w:gridCol w:w="1628"/>
      </w:tblGrid>
      <w:tr w:rsidR="007368F5" w:rsidRPr="003974B6" w:rsidTr="008B6222">
        <w:tc>
          <w:tcPr>
            <w:tcW w:w="965"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Exposure</w:t>
            </w:r>
          </w:p>
        </w:tc>
        <w:tc>
          <w:tcPr>
            <w:tcW w:w="965"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Outcome</w:t>
            </w:r>
          </w:p>
        </w:tc>
        <w:tc>
          <w:tcPr>
            <w:tcW w:w="1116"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sidRPr="003974B6">
              <w:rPr>
                <w:rFonts w:ascii="Arial" w:hAnsi="Arial" w:cs="Arial"/>
                <w:b/>
                <w:color w:val="000000" w:themeColor="text1"/>
              </w:rPr>
              <w:t>Method</w:t>
            </w:r>
          </w:p>
        </w:tc>
        <w:tc>
          <w:tcPr>
            <w:tcW w:w="406" w:type="pct"/>
            <w:tcBorders>
              <w:bottom w:val="single" w:sz="4" w:space="0" w:color="auto"/>
            </w:tcBorders>
          </w:tcPr>
          <w:p w:rsidR="007368F5"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N SNPs</w:t>
            </w:r>
          </w:p>
        </w:tc>
        <w:tc>
          <w:tcPr>
            <w:tcW w:w="965"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Beta</w:t>
            </w:r>
            <w:r w:rsidRPr="003974B6">
              <w:rPr>
                <w:rFonts w:ascii="Arial" w:hAnsi="Arial" w:cs="Arial"/>
                <w:b/>
                <w:color w:val="000000" w:themeColor="text1"/>
              </w:rPr>
              <w:t xml:space="preserve"> (95% CI)</w:t>
            </w:r>
          </w:p>
        </w:tc>
        <w:tc>
          <w:tcPr>
            <w:tcW w:w="583"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sidRPr="003974B6">
              <w:rPr>
                <w:rFonts w:ascii="Arial" w:hAnsi="Arial" w:cs="Arial"/>
                <w:b/>
                <w:color w:val="000000" w:themeColor="text1"/>
              </w:rPr>
              <w:t>P-value</w:t>
            </w:r>
          </w:p>
        </w:tc>
      </w:tr>
      <w:tr w:rsidR="007368F5" w:rsidRPr="003974B6" w:rsidTr="008B6222">
        <w:tc>
          <w:tcPr>
            <w:tcW w:w="965"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Smoking Initiation (GSCAN)</w:t>
            </w:r>
          </w:p>
        </w:tc>
        <w:tc>
          <w:tcPr>
            <w:tcW w:w="965"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Cognitive ability</w:t>
            </w:r>
          </w:p>
        </w:tc>
        <w:tc>
          <w:tcPr>
            <w:tcW w:w="1116" w:type="pct"/>
            <w:tcBorders>
              <w:top w:val="single" w:sz="4" w:space="0" w:color="auto"/>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Inverse-Variance Weighted</w:t>
            </w:r>
          </w:p>
        </w:tc>
        <w:tc>
          <w:tcPr>
            <w:tcW w:w="406" w:type="pct"/>
            <w:tcBorders>
              <w:top w:val="single" w:sz="4" w:space="0" w:color="auto"/>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376</w:t>
            </w:r>
          </w:p>
        </w:tc>
        <w:tc>
          <w:tcPr>
            <w:tcW w:w="965" w:type="pct"/>
            <w:tcBorders>
              <w:top w:val="single" w:sz="4" w:space="0" w:color="auto"/>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-0.817 (</w:t>
            </w:r>
            <w:r>
              <w:t xml:space="preserve"> </w:t>
            </w:r>
            <w:r w:rsidRPr="000B743F">
              <w:rPr>
                <w:rFonts w:ascii="Arial" w:hAnsi="Arial" w:cs="Arial"/>
                <w:color w:val="000000" w:themeColor="text1"/>
              </w:rPr>
              <w:t>-1.038</w:t>
            </w:r>
            <w:r>
              <w:rPr>
                <w:rFonts w:ascii="Arial" w:hAnsi="Arial" w:cs="Arial"/>
                <w:color w:val="000000" w:themeColor="text1"/>
              </w:rPr>
              <w:t>,</w:t>
            </w:r>
            <w:r>
              <w:t xml:space="preserve"> </w:t>
            </w:r>
            <w:r>
              <w:rPr>
                <w:rFonts w:ascii="Arial" w:hAnsi="Arial" w:cs="Arial"/>
                <w:color w:val="000000" w:themeColor="text1"/>
              </w:rPr>
              <w:t>-0.595)</w:t>
            </w:r>
          </w:p>
        </w:tc>
        <w:tc>
          <w:tcPr>
            <w:tcW w:w="583" w:type="pct"/>
            <w:tcBorders>
              <w:top w:val="single" w:sz="4" w:space="0" w:color="auto"/>
              <w:bottom w:val="nil"/>
            </w:tcBorders>
          </w:tcPr>
          <w:p w:rsidR="007368F5" w:rsidRPr="00AC25D4" w:rsidRDefault="007368F5" w:rsidP="00644B6D">
            <w:pPr>
              <w:rPr>
                <w:rFonts w:ascii="Arial" w:hAnsi="Arial" w:cs="Arial"/>
                <w:color w:val="000000"/>
              </w:rPr>
            </w:pPr>
            <w:r>
              <w:rPr>
                <w:rFonts w:ascii="Arial" w:hAnsi="Arial" w:cs="Arial"/>
                <w:color w:val="000000"/>
              </w:rPr>
              <w:t xml:space="preserve">5.36 </w:t>
            </w:r>
            <w:r w:rsidRPr="00AC25D4">
              <w:rPr>
                <w:rFonts w:ascii="Arial" w:hAnsi="Arial" w:cs="Arial"/>
                <w:color w:val="000000"/>
              </w:rPr>
              <w:t>x 10</w:t>
            </w:r>
            <w:r w:rsidRPr="00AC25D4">
              <w:rPr>
                <w:rFonts w:ascii="Arial" w:hAnsi="Arial" w:cs="Arial"/>
                <w:color w:val="000000"/>
                <w:vertAlign w:val="superscript"/>
              </w:rPr>
              <w:t>-</w:t>
            </w:r>
            <w:r>
              <w:rPr>
                <w:rFonts w:ascii="Arial" w:hAnsi="Arial" w:cs="Arial"/>
                <w:color w:val="000000"/>
                <w:vertAlign w:val="superscript"/>
              </w:rPr>
              <w:t>13</w:t>
            </w:r>
          </w:p>
        </w:tc>
      </w:tr>
      <w:tr w:rsidR="007368F5" w:rsidRPr="003974B6" w:rsidTr="008B6222">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11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MR Egger</w:t>
            </w:r>
          </w:p>
        </w:tc>
        <w:tc>
          <w:tcPr>
            <w:tcW w:w="406" w:type="pct"/>
            <w:tcBorders>
              <w:top w:val="nil"/>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376</w:t>
            </w:r>
          </w:p>
        </w:tc>
        <w:tc>
          <w:tcPr>
            <w:tcW w:w="965" w:type="pct"/>
            <w:tcBorders>
              <w:top w:val="nil"/>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w:t>
            </w:r>
            <w:r w:rsidRPr="000B743F">
              <w:rPr>
                <w:rFonts w:ascii="Arial" w:hAnsi="Arial" w:cs="Arial"/>
                <w:color w:val="000000" w:themeColor="text1"/>
              </w:rPr>
              <w:t>0.469</w:t>
            </w:r>
            <w:r>
              <w:rPr>
                <w:rFonts w:ascii="Arial" w:hAnsi="Arial" w:cs="Arial"/>
                <w:color w:val="000000" w:themeColor="text1"/>
              </w:rPr>
              <w:t xml:space="preserve"> (</w:t>
            </w:r>
            <w:r>
              <w:t xml:space="preserve"> </w:t>
            </w:r>
            <w:r>
              <w:rPr>
                <w:rFonts w:ascii="Arial" w:hAnsi="Arial" w:cs="Arial"/>
                <w:color w:val="000000" w:themeColor="text1"/>
              </w:rPr>
              <w:t>-0.952,</w:t>
            </w:r>
            <w:r>
              <w:t xml:space="preserve"> </w:t>
            </w:r>
            <w:r w:rsidRPr="000B743F">
              <w:rPr>
                <w:rFonts w:ascii="Arial" w:hAnsi="Arial" w:cs="Arial"/>
                <w:color w:val="000000" w:themeColor="text1"/>
              </w:rPr>
              <w:t>0.013</w:t>
            </w:r>
            <w:r>
              <w:rPr>
                <w:rFonts w:ascii="Arial" w:hAnsi="Arial" w:cs="Arial"/>
                <w:color w:val="000000" w:themeColor="text1"/>
              </w:rPr>
              <w:t>)</w:t>
            </w:r>
          </w:p>
        </w:tc>
        <w:tc>
          <w:tcPr>
            <w:tcW w:w="583" w:type="pct"/>
            <w:tcBorders>
              <w:top w:val="nil"/>
              <w:bottom w:val="nil"/>
            </w:tcBorders>
          </w:tcPr>
          <w:p w:rsidR="007368F5" w:rsidRPr="00AC25D4" w:rsidRDefault="007368F5" w:rsidP="00644B6D">
            <w:pPr>
              <w:rPr>
                <w:rFonts w:ascii="Arial" w:hAnsi="Arial" w:cs="Arial"/>
                <w:color w:val="000000"/>
              </w:rPr>
            </w:pPr>
            <w:r>
              <w:rPr>
                <w:rFonts w:ascii="Arial" w:hAnsi="Arial" w:cs="Arial"/>
                <w:color w:val="000000"/>
              </w:rPr>
              <w:t>0.057</w:t>
            </w:r>
          </w:p>
        </w:tc>
      </w:tr>
      <w:tr w:rsidR="007368F5" w:rsidRPr="003974B6" w:rsidTr="008B6222">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11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Median</w:t>
            </w:r>
          </w:p>
        </w:tc>
        <w:tc>
          <w:tcPr>
            <w:tcW w:w="406" w:type="pct"/>
            <w:tcBorders>
              <w:top w:val="nil"/>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376</w:t>
            </w:r>
          </w:p>
        </w:tc>
        <w:tc>
          <w:tcPr>
            <w:tcW w:w="965" w:type="pct"/>
            <w:tcBorders>
              <w:top w:val="nil"/>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w:t>
            </w:r>
            <w:r w:rsidRPr="000B743F">
              <w:rPr>
                <w:rFonts w:ascii="Arial" w:hAnsi="Arial" w:cs="Arial"/>
                <w:color w:val="000000" w:themeColor="text1"/>
              </w:rPr>
              <w:t>0.597</w:t>
            </w:r>
            <w:r>
              <w:rPr>
                <w:rFonts w:ascii="Arial" w:hAnsi="Arial" w:cs="Arial"/>
                <w:color w:val="000000" w:themeColor="text1"/>
              </w:rPr>
              <w:t xml:space="preserve"> </w:t>
            </w:r>
            <w:r>
              <w:t>(</w:t>
            </w:r>
            <w:r w:rsidRPr="000B743F">
              <w:rPr>
                <w:rFonts w:ascii="Arial" w:hAnsi="Arial" w:cs="Arial"/>
                <w:color w:val="000000" w:themeColor="text1"/>
              </w:rPr>
              <w:t>-0.854</w:t>
            </w:r>
            <w:r>
              <w:rPr>
                <w:rFonts w:ascii="Arial" w:hAnsi="Arial" w:cs="Arial"/>
                <w:color w:val="000000" w:themeColor="text1"/>
              </w:rPr>
              <w:t>,</w:t>
            </w:r>
            <w:r>
              <w:t xml:space="preserve"> </w:t>
            </w:r>
            <w:r w:rsidRPr="000B743F">
              <w:rPr>
                <w:rFonts w:ascii="Arial" w:hAnsi="Arial" w:cs="Arial"/>
                <w:color w:val="000000" w:themeColor="text1"/>
              </w:rPr>
              <w:t>-0.340</w:t>
            </w:r>
            <w:r>
              <w:rPr>
                <w:rFonts w:ascii="Arial" w:hAnsi="Arial" w:cs="Arial"/>
                <w:color w:val="000000" w:themeColor="text1"/>
              </w:rPr>
              <w:t>)</w:t>
            </w:r>
          </w:p>
        </w:tc>
        <w:tc>
          <w:tcPr>
            <w:tcW w:w="583" w:type="pct"/>
            <w:tcBorders>
              <w:top w:val="nil"/>
              <w:bottom w:val="nil"/>
            </w:tcBorders>
          </w:tcPr>
          <w:p w:rsidR="007368F5" w:rsidRPr="00AC25D4" w:rsidRDefault="007368F5" w:rsidP="00644B6D">
            <w:pPr>
              <w:rPr>
                <w:rFonts w:ascii="Arial" w:hAnsi="Arial" w:cs="Arial"/>
                <w:color w:val="000000"/>
              </w:rPr>
            </w:pPr>
            <w:r>
              <w:rPr>
                <w:rFonts w:ascii="Arial" w:hAnsi="Arial" w:cs="Arial"/>
                <w:color w:val="000000"/>
              </w:rPr>
              <w:t xml:space="preserve">5.22 </w:t>
            </w:r>
            <w:r w:rsidRPr="00AC25D4">
              <w:rPr>
                <w:rFonts w:ascii="Arial" w:hAnsi="Arial" w:cs="Arial"/>
                <w:color w:val="000000"/>
              </w:rPr>
              <w:t>x 10</w:t>
            </w:r>
            <w:r w:rsidRPr="00AC25D4">
              <w:rPr>
                <w:rFonts w:ascii="Arial" w:hAnsi="Arial" w:cs="Arial"/>
                <w:color w:val="000000"/>
                <w:vertAlign w:val="superscript"/>
              </w:rPr>
              <w:t>-0</w:t>
            </w:r>
            <w:r>
              <w:rPr>
                <w:rFonts w:ascii="Arial" w:hAnsi="Arial" w:cs="Arial"/>
                <w:color w:val="000000"/>
                <w:vertAlign w:val="superscript"/>
              </w:rPr>
              <w:t>6</w:t>
            </w:r>
          </w:p>
        </w:tc>
      </w:tr>
      <w:tr w:rsidR="007368F5" w:rsidRPr="003974B6" w:rsidTr="008B6222">
        <w:tc>
          <w:tcPr>
            <w:tcW w:w="965"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1116" w:type="pct"/>
            <w:tcBorders>
              <w:top w:val="nil"/>
              <w:bottom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Mode</w:t>
            </w:r>
          </w:p>
        </w:tc>
        <w:tc>
          <w:tcPr>
            <w:tcW w:w="406" w:type="pct"/>
            <w:tcBorders>
              <w:top w:val="nil"/>
              <w:bottom w:val="single" w:sz="4" w:space="0" w:color="auto"/>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376</w:t>
            </w:r>
          </w:p>
        </w:tc>
        <w:tc>
          <w:tcPr>
            <w:tcW w:w="965" w:type="pct"/>
            <w:tcBorders>
              <w:top w:val="nil"/>
              <w:bottom w:val="single" w:sz="4" w:space="0" w:color="auto"/>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w:t>
            </w:r>
            <w:r w:rsidRPr="000B743F">
              <w:rPr>
                <w:rFonts w:ascii="Arial" w:hAnsi="Arial" w:cs="Arial"/>
                <w:color w:val="000000" w:themeColor="text1"/>
              </w:rPr>
              <w:t>0.469</w:t>
            </w:r>
            <w:r>
              <w:rPr>
                <w:rFonts w:ascii="Arial" w:hAnsi="Arial" w:cs="Arial"/>
                <w:color w:val="000000" w:themeColor="text1"/>
              </w:rPr>
              <w:t xml:space="preserve"> (</w:t>
            </w:r>
            <w:r w:rsidRPr="000B743F">
              <w:rPr>
                <w:rFonts w:ascii="Arial" w:hAnsi="Arial" w:cs="Arial"/>
                <w:color w:val="000000" w:themeColor="text1"/>
              </w:rPr>
              <w:t>-1.274</w:t>
            </w:r>
            <w:r>
              <w:rPr>
                <w:rFonts w:ascii="Arial" w:hAnsi="Arial" w:cs="Arial"/>
                <w:color w:val="000000" w:themeColor="text1"/>
              </w:rPr>
              <w:t>,</w:t>
            </w:r>
            <w:r>
              <w:t xml:space="preserve"> </w:t>
            </w:r>
            <w:r w:rsidRPr="000B743F">
              <w:rPr>
                <w:rFonts w:ascii="Arial" w:hAnsi="Arial" w:cs="Arial"/>
                <w:color w:val="000000" w:themeColor="text1"/>
              </w:rPr>
              <w:t>0.33</w:t>
            </w:r>
            <w:r>
              <w:rPr>
                <w:rFonts w:ascii="Arial" w:hAnsi="Arial" w:cs="Arial"/>
                <w:color w:val="000000" w:themeColor="text1"/>
              </w:rPr>
              <w:t>6)</w:t>
            </w:r>
          </w:p>
        </w:tc>
        <w:tc>
          <w:tcPr>
            <w:tcW w:w="583" w:type="pct"/>
            <w:tcBorders>
              <w:top w:val="nil"/>
              <w:bottom w:val="single" w:sz="4" w:space="0" w:color="auto"/>
            </w:tcBorders>
          </w:tcPr>
          <w:p w:rsidR="007368F5" w:rsidRPr="00AC25D4" w:rsidRDefault="007368F5" w:rsidP="00644B6D">
            <w:pPr>
              <w:rPr>
                <w:rFonts w:ascii="Arial" w:hAnsi="Arial" w:cs="Arial"/>
                <w:color w:val="000000"/>
              </w:rPr>
            </w:pPr>
            <w:r>
              <w:rPr>
                <w:rFonts w:ascii="Arial" w:hAnsi="Arial" w:cs="Arial"/>
                <w:color w:val="000000"/>
              </w:rPr>
              <w:t>0.254</w:t>
            </w:r>
          </w:p>
        </w:tc>
      </w:tr>
      <w:tr w:rsidR="007368F5" w:rsidRPr="003974B6" w:rsidTr="008B6222">
        <w:tc>
          <w:tcPr>
            <w:tcW w:w="965"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Smoking Initiation (GSCAN)</w:t>
            </w:r>
          </w:p>
        </w:tc>
        <w:tc>
          <w:tcPr>
            <w:tcW w:w="965"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Educational Attainment</w:t>
            </w:r>
          </w:p>
        </w:tc>
        <w:tc>
          <w:tcPr>
            <w:tcW w:w="1116" w:type="pct"/>
            <w:tcBorders>
              <w:top w:val="single" w:sz="4" w:space="0" w:color="auto"/>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Inverse-Variance Weighted</w:t>
            </w:r>
          </w:p>
        </w:tc>
        <w:tc>
          <w:tcPr>
            <w:tcW w:w="406" w:type="pct"/>
            <w:tcBorders>
              <w:top w:val="single" w:sz="4" w:space="0" w:color="auto"/>
              <w:bottom w:val="nil"/>
            </w:tcBorders>
          </w:tcPr>
          <w:p w:rsidR="007368F5" w:rsidRPr="00775DC0"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371</w:t>
            </w:r>
          </w:p>
        </w:tc>
        <w:tc>
          <w:tcPr>
            <w:tcW w:w="965" w:type="pct"/>
            <w:tcBorders>
              <w:top w:val="single" w:sz="4" w:space="0" w:color="auto"/>
              <w:bottom w:val="nil"/>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-0.197 (-0.223, -0.171)</w:t>
            </w:r>
          </w:p>
        </w:tc>
        <w:tc>
          <w:tcPr>
            <w:tcW w:w="583" w:type="pct"/>
            <w:tcBorders>
              <w:top w:val="single" w:sz="4" w:space="0" w:color="auto"/>
              <w:bottom w:val="nil"/>
            </w:tcBorders>
          </w:tcPr>
          <w:p w:rsidR="007368F5" w:rsidRPr="00AC25D4" w:rsidRDefault="007368F5" w:rsidP="00644B6D">
            <w:pPr>
              <w:rPr>
                <w:rFonts w:ascii="Arial" w:eastAsia="Times New Roman" w:hAnsi="Arial" w:cs="Arial"/>
                <w:color w:val="000000"/>
              </w:rPr>
            </w:pPr>
            <w:r>
              <w:rPr>
                <w:rFonts w:ascii="Arial" w:hAnsi="Arial" w:cs="Arial"/>
                <w:color w:val="000000"/>
              </w:rPr>
              <w:t>1.78</w:t>
            </w:r>
            <w:r w:rsidRPr="00AC25D4">
              <w:rPr>
                <w:rFonts w:ascii="Arial" w:hAnsi="Arial" w:cs="Arial"/>
                <w:color w:val="000000"/>
              </w:rPr>
              <w:t xml:space="preserve"> x 10</w:t>
            </w:r>
            <w:r w:rsidRPr="00AC25D4">
              <w:rPr>
                <w:rFonts w:ascii="Arial" w:hAnsi="Arial" w:cs="Arial"/>
                <w:color w:val="000000"/>
                <w:vertAlign w:val="superscript"/>
              </w:rPr>
              <w:t>-</w:t>
            </w:r>
            <w:r>
              <w:rPr>
                <w:rFonts w:ascii="Arial" w:hAnsi="Arial" w:cs="Arial"/>
                <w:color w:val="000000"/>
                <w:vertAlign w:val="superscript"/>
              </w:rPr>
              <w:t>49</w:t>
            </w:r>
          </w:p>
        </w:tc>
      </w:tr>
      <w:tr w:rsidR="007368F5" w:rsidRPr="003974B6" w:rsidTr="008B6222">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11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MR Egger</w:t>
            </w:r>
          </w:p>
        </w:tc>
        <w:tc>
          <w:tcPr>
            <w:tcW w:w="406" w:type="pct"/>
            <w:tcBorders>
              <w:top w:val="nil"/>
              <w:bottom w:val="nil"/>
            </w:tcBorders>
          </w:tcPr>
          <w:p w:rsidR="007368F5" w:rsidRPr="00775DC0"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371</w:t>
            </w:r>
          </w:p>
        </w:tc>
        <w:tc>
          <w:tcPr>
            <w:tcW w:w="965"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-0.145 (</w:t>
            </w:r>
            <w:r w:rsidRPr="00775DC0">
              <w:rPr>
                <w:rFonts w:ascii="Arial" w:hAnsi="Arial" w:cs="Arial"/>
                <w:color w:val="000000" w:themeColor="text1"/>
              </w:rPr>
              <w:t>-0.254</w:t>
            </w:r>
            <w:r>
              <w:rPr>
                <w:rFonts w:ascii="Arial" w:hAnsi="Arial" w:cs="Arial"/>
                <w:color w:val="000000" w:themeColor="text1"/>
              </w:rPr>
              <w:t xml:space="preserve">, </w:t>
            </w:r>
            <w:r w:rsidRPr="00775DC0">
              <w:rPr>
                <w:rFonts w:ascii="Arial" w:hAnsi="Arial" w:cs="Arial"/>
                <w:color w:val="000000" w:themeColor="text1"/>
              </w:rPr>
              <w:t>-0.035</w:t>
            </w:r>
            <w:r>
              <w:rPr>
                <w:rFonts w:ascii="Arial" w:hAnsi="Arial" w:cs="Arial"/>
                <w:color w:val="000000" w:themeColor="text1"/>
              </w:rPr>
              <w:t>)</w:t>
            </w:r>
          </w:p>
        </w:tc>
        <w:tc>
          <w:tcPr>
            <w:tcW w:w="583" w:type="pct"/>
            <w:tcBorders>
              <w:top w:val="nil"/>
              <w:bottom w:val="nil"/>
            </w:tcBorders>
          </w:tcPr>
          <w:p w:rsidR="007368F5" w:rsidRPr="00AC25D4" w:rsidRDefault="007368F5" w:rsidP="00644B6D">
            <w:pPr>
              <w:rPr>
                <w:rFonts w:ascii="Arial" w:hAnsi="Arial" w:cs="Arial"/>
                <w:color w:val="000000"/>
              </w:rPr>
            </w:pPr>
            <w:r>
              <w:rPr>
                <w:rFonts w:ascii="Arial" w:hAnsi="Arial" w:cs="Arial"/>
                <w:color w:val="000000"/>
              </w:rPr>
              <w:t>0.009</w:t>
            </w:r>
          </w:p>
        </w:tc>
      </w:tr>
      <w:tr w:rsidR="007368F5" w:rsidRPr="003974B6" w:rsidTr="008B6222">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11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Median</w:t>
            </w:r>
          </w:p>
        </w:tc>
        <w:tc>
          <w:tcPr>
            <w:tcW w:w="406" w:type="pct"/>
            <w:tcBorders>
              <w:top w:val="nil"/>
              <w:bottom w:val="nil"/>
            </w:tcBorders>
          </w:tcPr>
          <w:p w:rsidR="007368F5" w:rsidRPr="00775DC0"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371</w:t>
            </w:r>
          </w:p>
        </w:tc>
        <w:tc>
          <w:tcPr>
            <w:tcW w:w="965"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-0.159 (</w:t>
            </w:r>
            <w:r w:rsidRPr="00775DC0">
              <w:rPr>
                <w:rFonts w:ascii="Arial" w:hAnsi="Arial" w:cs="Arial"/>
                <w:color w:val="000000" w:themeColor="text1"/>
              </w:rPr>
              <w:t>-0.185</w:t>
            </w:r>
            <w:r>
              <w:rPr>
                <w:rFonts w:ascii="Arial" w:hAnsi="Arial" w:cs="Arial"/>
                <w:color w:val="000000" w:themeColor="text1"/>
              </w:rPr>
              <w:t xml:space="preserve">, </w:t>
            </w:r>
            <w:r w:rsidRPr="00775DC0">
              <w:rPr>
                <w:rFonts w:ascii="Arial" w:hAnsi="Arial" w:cs="Arial"/>
                <w:color w:val="000000" w:themeColor="text1"/>
              </w:rPr>
              <w:t>-0.132</w:t>
            </w:r>
            <w:r>
              <w:rPr>
                <w:rFonts w:ascii="Arial" w:hAnsi="Arial" w:cs="Arial"/>
                <w:color w:val="000000" w:themeColor="text1"/>
              </w:rPr>
              <w:t>)</w:t>
            </w:r>
          </w:p>
        </w:tc>
        <w:tc>
          <w:tcPr>
            <w:tcW w:w="583" w:type="pct"/>
            <w:tcBorders>
              <w:top w:val="nil"/>
              <w:bottom w:val="nil"/>
            </w:tcBorders>
          </w:tcPr>
          <w:p w:rsidR="007368F5" w:rsidRPr="00AC25D4" w:rsidRDefault="007368F5" w:rsidP="00644B6D">
            <w:pPr>
              <w:rPr>
                <w:rFonts w:ascii="Arial" w:hAnsi="Arial" w:cs="Arial"/>
                <w:color w:val="000000"/>
              </w:rPr>
            </w:pPr>
            <w:r w:rsidRPr="00AC25D4">
              <w:rPr>
                <w:rFonts w:ascii="Arial" w:hAnsi="Arial" w:cs="Arial"/>
                <w:color w:val="000000"/>
              </w:rPr>
              <w:t>1.0</w:t>
            </w:r>
            <w:r>
              <w:rPr>
                <w:rFonts w:ascii="Arial" w:hAnsi="Arial" w:cs="Arial"/>
                <w:color w:val="000000"/>
              </w:rPr>
              <w:t>7</w:t>
            </w:r>
            <w:r w:rsidRPr="00AC25D4">
              <w:rPr>
                <w:rFonts w:ascii="Arial" w:hAnsi="Arial" w:cs="Arial"/>
                <w:color w:val="000000"/>
              </w:rPr>
              <w:t xml:space="preserve"> x 10</w:t>
            </w:r>
            <w:r w:rsidRPr="00AC25D4">
              <w:rPr>
                <w:rFonts w:ascii="Arial" w:hAnsi="Arial" w:cs="Arial"/>
                <w:color w:val="000000"/>
                <w:vertAlign w:val="superscript"/>
              </w:rPr>
              <w:t>-</w:t>
            </w:r>
            <w:r>
              <w:rPr>
                <w:rFonts w:ascii="Arial" w:hAnsi="Arial" w:cs="Arial"/>
                <w:color w:val="000000"/>
                <w:vertAlign w:val="superscript"/>
              </w:rPr>
              <w:t>31</w:t>
            </w:r>
          </w:p>
        </w:tc>
      </w:tr>
      <w:tr w:rsidR="007368F5" w:rsidRPr="003974B6" w:rsidTr="008B6222">
        <w:tc>
          <w:tcPr>
            <w:tcW w:w="965"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1116" w:type="pct"/>
            <w:tcBorders>
              <w:top w:val="nil"/>
              <w:bottom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Mode</w:t>
            </w:r>
          </w:p>
        </w:tc>
        <w:tc>
          <w:tcPr>
            <w:tcW w:w="406" w:type="pct"/>
            <w:tcBorders>
              <w:top w:val="nil"/>
              <w:bottom w:val="single" w:sz="4" w:space="0" w:color="auto"/>
            </w:tcBorders>
          </w:tcPr>
          <w:p w:rsidR="007368F5" w:rsidRPr="00775DC0"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371</w:t>
            </w:r>
          </w:p>
        </w:tc>
        <w:tc>
          <w:tcPr>
            <w:tcW w:w="965" w:type="pct"/>
            <w:tcBorders>
              <w:top w:val="nil"/>
              <w:bottom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-0.162 (-0.251, -0.073)</w:t>
            </w:r>
          </w:p>
        </w:tc>
        <w:tc>
          <w:tcPr>
            <w:tcW w:w="583" w:type="pct"/>
            <w:tcBorders>
              <w:top w:val="nil"/>
              <w:bottom w:val="single" w:sz="4" w:space="0" w:color="auto"/>
            </w:tcBorders>
          </w:tcPr>
          <w:p w:rsidR="007368F5" w:rsidRPr="00AC25D4" w:rsidRDefault="007368F5" w:rsidP="00644B6D">
            <w:pPr>
              <w:rPr>
                <w:rFonts w:ascii="Arial" w:hAnsi="Arial" w:cs="Arial"/>
                <w:color w:val="000000"/>
              </w:rPr>
            </w:pPr>
            <w:r>
              <w:rPr>
                <w:rFonts w:ascii="Arial" w:hAnsi="Arial" w:cs="Arial"/>
                <w:color w:val="000000"/>
              </w:rPr>
              <w:t>4.15</w:t>
            </w:r>
            <w:r w:rsidRPr="00AC25D4">
              <w:rPr>
                <w:rFonts w:ascii="Arial" w:hAnsi="Arial" w:cs="Arial"/>
                <w:color w:val="000000"/>
              </w:rPr>
              <w:t xml:space="preserve"> x 10</w:t>
            </w:r>
            <w:r w:rsidRPr="00AC25D4">
              <w:rPr>
                <w:rFonts w:ascii="Arial" w:hAnsi="Arial" w:cs="Arial"/>
                <w:color w:val="000000"/>
                <w:vertAlign w:val="superscript"/>
              </w:rPr>
              <w:t>-0</w:t>
            </w:r>
            <w:r>
              <w:rPr>
                <w:rFonts w:ascii="Arial" w:hAnsi="Arial" w:cs="Arial"/>
                <w:color w:val="000000"/>
                <w:vertAlign w:val="superscript"/>
              </w:rPr>
              <w:t>4</w:t>
            </w:r>
          </w:p>
        </w:tc>
      </w:tr>
      <w:tr w:rsidR="007368F5" w:rsidRPr="003974B6" w:rsidTr="008B6222">
        <w:tc>
          <w:tcPr>
            <w:tcW w:w="965" w:type="pct"/>
            <w:tcBorders>
              <w:top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Lifetime Smoking</w:t>
            </w:r>
          </w:p>
        </w:tc>
        <w:tc>
          <w:tcPr>
            <w:tcW w:w="965" w:type="pct"/>
            <w:tcBorders>
              <w:top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Educational Attainment</w:t>
            </w:r>
          </w:p>
        </w:tc>
        <w:tc>
          <w:tcPr>
            <w:tcW w:w="1116" w:type="pct"/>
            <w:tcBorders>
              <w:top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Inverse-Variance Weighted</w:t>
            </w:r>
          </w:p>
        </w:tc>
        <w:tc>
          <w:tcPr>
            <w:tcW w:w="406" w:type="pct"/>
            <w:tcBorders>
              <w:top w:val="single" w:sz="4" w:space="0" w:color="auto"/>
            </w:tcBorders>
          </w:tcPr>
          <w:p w:rsidR="007368F5" w:rsidRDefault="007368F5" w:rsidP="00644B6D">
            <w:pPr>
              <w:rPr>
                <w:rFonts w:ascii="Arial" w:hAnsi="Arial" w:cs="Arial"/>
                <w:color w:val="000000"/>
              </w:rPr>
            </w:pPr>
            <w:r>
              <w:rPr>
                <w:rFonts w:ascii="Arial" w:hAnsi="Arial" w:cs="Arial"/>
                <w:color w:val="000000"/>
              </w:rPr>
              <w:t>126</w:t>
            </w:r>
          </w:p>
        </w:tc>
        <w:tc>
          <w:tcPr>
            <w:tcW w:w="965" w:type="pct"/>
            <w:tcBorders>
              <w:top w:val="single" w:sz="4" w:space="0" w:color="auto"/>
            </w:tcBorders>
          </w:tcPr>
          <w:p w:rsidR="007368F5" w:rsidRPr="0092795C" w:rsidRDefault="007368F5" w:rsidP="00644B6D">
            <w:pPr>
              <w:rPr>
                <w:rFonts w:ascii="Arial" w:eastAsia="Times New Roman" w:hAnsi="Arial" w:cs="Arial"/>
                <w:color w:val="000000"/>
              </w:rPr>
            </w:pPr>
            <w:r>
              <w:rPr>
                <w:rFonts w:ascii="Arial" w:hAnsi="Arial" w:cs="Arial"/>
                <w:color w:val="000000"/>
              </w:rPr>
              <w:t>-</w:t>
            </w:r>
            <w:r>
              <w:t xml:space="preserve"> </w:t>
            </w:r>
            <w:r w:rsidRPr="00D470D8">
              <w:rPr>
                <w:rFonts w:ascii="Arial" w:hAnsi="Arial" w:cs="Arial"/>
                <w:color w:val="000000"/>
              </w:rPr>
              <w:t>0.39</w:t>
            </w:r>
            <w:r>
              <w:rPr>
                <w:rFonts w:ascii="Arial" w:hAnsi="Arial" w:cs="Arial"/>
                <w:color w:val="000000"/>
              </w:rPr>
              <w:t>3</w:t>
            </w:r>
            <w:r w:rsidRPr="0092795C">
              <w:rPr>
                <w:rFonts w:ascii="Arial" w:hAnsi="Arial" w:cs="Arial"/>
                <w:color w:val="000000"/>
              </w:rPr>
              <w:t xml:space="preserve"> (-0</w:t>
            </w:r>
            <w:r>
              <w:rPr>
                <w:rFonts w:ascii="Arial" w:hAnsi="Arial" w:cs="Arial"/>
                <w:color w:val="000000"/>
              </w:rPr>
              <w:t>.456</w:t>
            </w:r>
            <w:r w:rsidRPr="0092795C">
              <w:rPr>
                <w:rFonts w:ascii="Arial" w:hAnsi="Arial" w:cs="Arial"/>
                <w:color w:val="000000"/>
              </w:rPr>
              <w:t>, -0.</w:t>
            </w:r>
            <w:r>
              <w:rPr>
                <w:rFonts w:ascii="Arial" w:hAnsi="Arial" w:cs="Arial"/>
                <w:color w:val="000000"/>
              </w:rPr>
              <w:t>330</w:t>
            </w:r>
            <w:r w:rsidRPr="0092795C">
              <w:rPr>
                <w:rFonts w:ascii="Arial" w:hAnsi="Arial" w:cs="Arial"/>
                <w:color w:val="000000"/>
              </w:rPr>
              <w:t>)</w:t>
            </w:r>
          </w:p>
        </w:tc>
        <w:tc>
          <w:tcPr>
            <w:tcW w:w="583" w:type="pct"/>
            <w:tcBorders>
              <w:top w:val="single" w:sz="4" w:space="0" w:color="auto"/>
            </w:tcBorders>
          </w:tcPr>
          <w:p w:rsidR="007368F5" w:rsidRPr="0092795C" w:rsidRDefault="007368F5" w:rsidP="00644B6D">
            <w:pPr>
              <w:rPr>
                <w:rFonts w:ascii="Arial" w:eastAsia="Times New Roman" w:hAnsi="Arial" w:cs="Arial"/>
                <w:color w:val="000000"/>
              </w:rPr>
            </w:pPr>
            <w:r w:rsidRPr="0092795C">
              <w:rPr>
                <w:rFonts w:ascii="Arial" w:hAnsi="Arial" w:cs="Arial"/>
                <w:color w:val="000000"/>
              </w:rPr>
              <w:t>1.</w:t>
            </w:r>
            <w:r>
              <w:rPr>
                <w:rFonts w:ascii="Arial" w:hAnsi="Arial" w:cs="Arial"/>
                <w:color w:val="000000"/>
              </w:rPr>
              <w:t>35</w:t>
            </w:r>
            <w:r w:rsidRPr="0092795C">
              <w:rPr>
                <w:rFonts w:ascii="Arial" w:hAnsi="Arial" w:cs="Arial"/>
                <w:color w:val="000000"/>
              </w:rPr>
              <w:t xml:space="preserve"> x 10</w:t>
            </w:r>
            <w:r w:rsidRPr="0092795C">
              <w:rPr>
                <w:rFonts w:ascii="Arial" w:hAnsi="Arial" w:cs="Arial"/>
                <w:color w:val="000000"/>
                <w:vertAlign w:val="superscript"/>
              </w:rPr>
              <w:t>-34</w:t>
            </w:r>
          </w:p>
        </w:tc>
      </w:tr>
      <w:tr w:rsidR="007368F5" w:rsidRPr="003974B6" w:rsidTr="008B6222">
        <w:tc>
          <w:tcPr>
            <w:tcW w:w="965" w:type="pct"/>
          </w:tcPr>
          <w:p w:rsidR="007368F5" w:rsidRPr="000F56FA" w:rsidRDefault="007368F5" w:rsidP="00644B6D">
            <w:pPr>
              <w:autoSpaceDE w:val="0"/>
              <w:autoSpaceDN w:val="0"/>
              <w:adjustRightInd w:val="0"/>
              <w:rPr>
                <w:rFonts w:ascii="Arial" w:hAnsi="Arial" w:cs="Arial"/>
                <w:color w:val="000000" w:themeColor="text1"/>
              </w:rPr>
            </w:pPr>
          </w:p>
        </w:tc>
        <w:tc>
          <w:tcPr>
            <w:tcW w:w="965" w:type="pct"/>
          </w:tcPr>
          <w:p w:rsidR="007368F5" w:rsidRPr="000F56FA" w:rsidRDefault="007368F5" w:rsidP="00644B6D">
            <w:pPr>
              <w:autoSpaceDE w:val="0"/>
              <w:autoSpaceDN w:val="0"/>
              <w:adjustRightInd w:val="0"/>
              <w:rPr>
                <w:rFonts w:ascii="Arial" w:hAnsi="Arial" w:cs="Arial"/>
                <w:color w:val="000000" w:themeColor="text1"/>
              </w:rPr>
            </w:pPr>
          </w:p>
        </w:tc>
        <w:tc>
          <w:tcPr>
            <w:tcW w:w="1116" w:type="pct"/>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MR Egger</w:t>
            </w:r>
          </w:p>
        </w:tc>
        <w:tc>
          <w:tcPr>
            <w:tcW w:w="406" w:type="pct"/>
          </w:tcPr>
          <w:p w:rsidR="007368F5" w:rsidRDefault="007368F5" w:rsidP="00644B6D">
            <w:pPr>
              <w:rPr>
                <w:rFonts w:ascii="Arial" w:hAnsi="Arial" w:cs="Arial"/>
                <w:color w:val="000000"/>
              </w:rPr>
            </w:pPr>
            <w:r>
              <w:rPr>
                <w:rFonts w:ascii="Arial" w:hAnsi="Arial" w:cs="Arial"/>
                <w:color w:val="000000"/>
              </w:rPr>
              <w:t>126</w:t>
            </w:r>
          </w:p>
        </w:tc>
        <w:tc>
          <w:tcPr>
            <w:tcW w:w="965" w:type="pct"/>
          </w:tcPr>
          <w:p w:rsidR="007368F5" w:rsidRPr="0092795C" w:rsidRDefault="007368F5" w:rsidP="00644B6D">
            <w:pPr>
              <w:rPr>
                <w:rFonts w:ascii="Arial" w:hAnsi="Arial" w:cs="Arial"/>
                <w:color w:val="000000"/>
              </w:rPr>
            </w:pPr>
            <w:r>
              <w:rPr>
                <w:rFonts w:ascii="Arial" w:hAnsi="Arial" w:cs="Arial"/>
                <w:color w:val="000000"/>
              </w:rPr>
              <w:t>-</w:t>
            </w:r>
            <w:r>
              <w:t xml:space="preserve"> </w:t>
            </w:r>
            <w:r w:rsidRPr="00B72255">
              <w:rPr>
                <w:rFonts w:ascii="Arial" w:hAnsi="Arial" w:cs="Arial"/>
                <w:color w:val="000000"/>
              </w:rPr>
              <w:t>0.0</w:t>
            </w:r>
            <w:r>
              <w:rPr>
                <w:rFonts w:ascii="Arial" w:hAnsi="Arial" w:cs="Arial"/>
                <w:color w:val="000000"/>
              </w:rPr>
              <w:t>84</w:t>
            </w:r>
            <w:r w:rsidRPr="0092795C">
              <w:rPr>
                <w:rFonts w:ascii="Arial" w:hAnsi="Arial" w:cs="Arial"/>
                <w:color w:val="000000"/>
              </w:rPr>
              <w:t xml:space="preserve"> (-</w:t>
            </w:r>
            <w:r>
              <w:rPr>
                <w:rFonts w:ascii="Arial" w:hAnsi="Arial" w:cs="Arial"/>
                <w:color w:val="000000"/>
              </w:rPr>
              <w:t>0.333</w:t>
            </w:r>
            <w:r w:rsidRPr="0092795C">
              <w:rPr>
                <w:rFonts w:ascii="Arial" w:hAnsi="Arial" w:cs="Arial"/>
                <w:color w:val="000000"/>
              </w:rPr>
              <w:t>, 0.</w:t>
            </w:r>
            <w:r>
              <w:rPr>
                <w:rFonts w:ascii="Arial" w:hAnsi="Arial" w:cs="Arial"/>
                <w:color w:val="000000"/>
              </w:rPr>
              <w:t>165</w:t>
            </w:r>
            <w:r w:rsidRPr="0092795C">
              <w:rPr>
                <w:rFonts w:ascii="Arial" w:hAnsi="Arial" w:cs="Arial"/>
                <w:color w:val="000000"/>
              </w:rPr>
              <w:t>)</w:t>
            </w:r>
          </w:p>
        </w:tc>
        <w:tc>
          <w:tcPr>
            <w:tcW w:w="583" w:type="pct"/>
          </w:tcPr>
          <w:p w:rsidR="007368F5" w:rsidRPr="0092795C" w:rsidRDefault="007368F5" w:rsidP="00644B6D">
            <w:pPr>
              <w:rPr>
                <w:rFonts w:ascii="Arial" w:hAnsi="Arial" w:cs="Arial"/>
                <w:color w:val="000000"/>
              </w:rPr>
            </w:pPr>
            <w:r w:rsidRPr="0092795C">
              <w:rPr>
                <w:rFonts w:ascii="Arial" w:hAnsi="Arial" w:cs="Arial"/>
                <w:color w:val="000000"/>
              </w:rPr>
              <w:t>0.</w:t>
            </w:r>
            <w:r>
              <w:rPr>
                <w:rFonts w:ascii="Arial" w:hAnsi="Arial" w:cs="Arial"/>
                <w:color w:val="000000"/>
              </w:rPr>
              <w:t>509</w:t>
            </w:r>
          </w:p>
        </w:tc>
      </w:tr>
      <w:tr w:rsidR="007368F5" w:rsidRPr="003974B6" w:rsidTr="008B6222">
        <w:tc>
          <w:tcPr>
            <w:tcW w:w="965" w:type="pct"/>
          </w:tcPr>
          <w:p w:rsidR="007368F5" w:rsidRPr="0080040C" w:rsidRDefault="007368F5" w:rsidP="00644B6D">
            <w:pPr>
              <w:autoSpaceDE w:val="0"/>
              <w:autoSpaceDN w:val="0"/>
              <w:adjustRightInd w:val="0"/>
              <w:rPr>
                <w:rFonts w:ascii="Arial" w:hAnsi="Arial" w:cs="Arial"/>
                <w:color w:val="000000" w:themeColor="text1"/>
              </w:rPr>
            </w:pPr>
          </w:p>
        </w:tc>
        <w:tc>
          <w:tcPr>
            <w:tcW w:w="965" w:type="pct"/>
          </w:tcPr>
          <w:p w:rsidR="007368F5" w:rsidRPr="003974B6" w:rsidRDefault="007368F5" w:rsidP="00644B6D">
            <w:pPr>
              <w:autoSpaceDE w:val="0"/>
              <w:autoSpaceDN w:val="0"/>
              <w:adjustRightInd w:val="0"/>
              <w:rPr>
                <w:rFonts w:ascii="Arial" w:hAnsi="Arial" w:cs="Arial"/>
                <w:color w:val="000000" w:themeColor="text1"/>
              </w:rPr>
            </w:pPr>
          </w:p>
        </w:tc>
        <w:tc>
          <w:tcPr>
            <w:tcW w:w="1116" w:type="pct"/>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Median</w:t>
            </w:r>
          </w:p>
        </w:tc>
        <w:tc>
          <w:tcPr>
            <w:tcW w:w="406" w:type="pct"/>
          </w:tcPr>
          <w:p w:rsidR="007368F5" w:rsidRPr="0092795C" w:rsidRDefault="007368F5" w:rsidP="00644B6D">
            <w:pPr>
              <w:rPr>
                <w:rFonts w:ascii="Arial" w:hAnsi="Arial" w:cs="Arial"/>
                <w:color w:val="000000"/>
              </w:rPr>
            </w:pPr>
            <w:r>
              <w:rPr>
                <w:rFonts w:ascii="Arial" w:hAnsi="Arial" w:cs="Arial"/>
                <w:color w:val="000000"/>
              </w:rPr>
              <w:t>126</w:t>
            </w:r>
          </w:p>
        </w:tc>
        <w:tc>
          <w:tcPr>
            <w:tcW w:w="965" w:type="pct"/>
          </w:tcPr>
          <w:p w:rsidR="007368F5" w:rsidRPr="0092795C" w:rsidRDefault="007368F5" w:rsidP="00644B6D">
            <w:pPr>
              <w:rPr>
                <w:rFonts w:ascii="Arial" w:hAnsi="Arial" w:cs="Arial"/>
                <w:color w:val="000000"/>
              </w:rPr>
            </w:pPr>
            <w:r w:rsidRPr="0092795C">
              <w:rPr>
                <w:rFonts w:ascii="Arial" w:hAnsi="Arial" w:cs="Arial"/>
                <w:color w:val="000000"/>
              </w:rPr>
              <w:t>-</w:t>
            </w:r>
            <w:r>
              <w:t xml:space="preserve"> </w:t>
            </w:r>
            <w:r>
              <w:rPr>
                <w:rFonts w:ascii="Arial" w:hAnsi="Arial" w:cs="Arial"/>
                <w:color w:val="000000"/>
              </w:rPr>
              <w:t>0.254</w:t>
            </w:r>
            <w:r w:rsidRPr="0092795C">
              <w:rPr>
                <w:rFonts w:ascii="Arial" w:hAnsi="Arial" w:cs="Arial"/>
                <w:color w:val="000000"/>
              </w:rPr>
              <w:t xml:space="preserve"> (-0.</w:t>
            </w:r>
            <w:r>
              <w:rPr>
                <w:rFonts w:ascii="Arial" w:hAnsi="Arial" w:cs="Arial"/>
                <w:color w:val="000000"/>
              </w:rPr>
              <w:t>321</w:t>
            </w:r>
            <w:r w:rsidRPr="0092795C">
              <w:rPr>
                <w:rFonts w:ascii="Arial" w:hAnsi="Arial" w:cs="Arial"/>
                <w:color w:val="000000"/>
              </w:rPr>
              <w:t>, -0.</w:t>
            </w:r>
            <w:r>
              <w:rPr>
                <w:rFonts w:ascii="Arial" w:hAnsi="Arial" w:cs="Arial"/>
                <w:color w:val="000000"/>
              </w:rPr>
              <w:t>188</w:t>
            </w:r>
            <w:r w:rsidRPr="0092795C">
              <w:rPr>
                <w:rFonts w:ascii="Arial" w:hAnsi="Arial" w:cs="Arial"/>
                <w:color w:val="000000"/>
              </w:rPr>
              <w:t>)</w:t>
            </w:r>
          </w:p>
        </w:tc>
        <w:tc>
          <w:tcPr>
            <w:tcW w:w="583" w:type="pct"/>
          </w:tcPr>
          <w:p w:rsidR="007368F5" w:rsidRPr="0092795C" w:rsidRDefault="007368F5" w:rsidP="00644B6D">
            <w:pPr>
              <w:rPr>
                <w:rFonts w:ascii="Arial" w:hAnsi="Arial" w:cs="Arial"/>
                <w:color w:val="000000"/>
              </w:rPr>
            </w:pPr>
            <w:r>
              <w:rPr>
                <w:rFonts w:ascii="Arial" w:hAnsi="Arial" w:cs="Arial"/>
                <w:color w:val="000000"/>
              </w:rPr>
              <w:t>4.84</w:t>
            </w:r>
            <w:r w:rsidRPr="0092795C">
              <w:rPr>
                <w:rFonts w:ascii="Arial" w:hAnsi="Arial" w:cs="Arial"/>
                <w:color w:val="000000"/>
              </w:rPr>
              <w:t xml:space="preserve"> x 10</w:t>
            </w:r>
            <w:r w:rsidRPr="0092795C">
              <w:rPr>
                <w:rFonts w:ascii="Arial" w:hAnsi="Arial" w:cs="Arial"/>
                <w:color w:val="000000"/>
                <w:vertAlign w:val="superscript"/>
              </w:rPr>
              <w:t>-1</w:t>
            </w:r>
            <w:r>
              <w:rPr>
                <w:rFonts w:ascii="Arial" w:hAnsi="Arial" w:cs="Arial"/>
                <w:color w:val="000000"/>
                <w:vertAlign w:val="superscript"/>
              </w:rPr>
              <w:t>4</w:t>
            </w:r>
          </w:p>
        </w:tc>
      </w:tr>
      <w:tr w:rsidR="007368F5" w:rsidRPr="003974B6" w:rsidTr="008B6222">
        <w:tc>
          <w:tcPr>
            <w:tcW w:w="965" w:type="pct"/>
          </w:tcPr>
          <w:p w:rsidR="007368F5" w:rsidRPr="0080040C" w:rsidRDefault="007368F5" w:rsidP="00644B6D">
            <w:pPr>
              <w:autoSpaceDE w:val="0"/>
              <w:autoSpaceDN w:val="0"/>
              <w:adjustRightInd w:val="0"/>
              <w:rPr>
                <w:rFonts w:ascii="Arial" w:hAnsi="Arial" w:cs="Arial"/>
                <w:color w:val="000000" w:themeColor="text1"/>
              </w:rPr>
            </w:pPr>
          </w:p>
        </w:tc>
        <w:tc>
          <w:tcPr>
            <w:tcW w:w="965" w:type="pct"/>
          </w:tcPr>
          <w:p w:rsidR="007368F5" w:rsidRPr="003974B6" w:rsidRDefault="007368F5" w:rsidP="00644B6D">
            <w:pPr>
              <w:autoSpaceDE w:val="0"/>
              <w:autoSpaceDN w:val="0"/>
              <w:adjustRightInd w:val="0"/>
              <w:rPr>
                <w:rFonts w:ascii="Arial" w:hAnsi="Arial" w:cs="Arial"/>
                <w:color w:val="000000" w:themeColor="text1"/>
              </w:rPr>
            </w:pPr>
          </w:p>
        </w:tc>
        <w:tc>
          <w:tcPr>
            <w:tcW w:w="1116" w:type="pct"/>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Mode</w:t>
            </w:r>
          </w:p>
        </w:tc>
        <w:tc>
          <w:tcPr>
            <w:tcW w:w="406" w:type="pct"/>
          </w:tcPr>
          <w:p w:rsidR="007368F5" w:rsidRPr="0092795C" w:rsidRDefault="007368F5" w:rsidP="00644B6D">
            <w:pPr>
              <w:rPr>
                <w:rFonts w:ascii="Arial" w:hAnsi="Arial" w:cs="Arial"/>
                <w:color w:val="000000"/>
              </w:rPr>
            </w:pPr>
            <w:r>
              <w:rPr>
                <w:rFonts w:ascii="Arial" w:hAnsi="Arial" w:cs="Arial"/>
                <w:color w:val="000000"/>
              </w:rPr>
              <w:t>126</w:t>
            </w:r>
          </w:p>
        </w:tc>
        <w:tc>
          <w:tcPr>
            <w:tcW w:w="965" w:type="pct"/>
          </w:tcPr>
          <w:p w:rsidR="007368F5" w:rsidRPr="0092795C" w:rsidRDefault="007368F5" w:rsidP="00644B6D">
            <w:pPr>
              <w:rPr>
                <w:rFonts w:ascii="Arial" w:hAnsi="Arial" w:cs="Arial"/>
                <w:color w:val="000000"/>
              </w:rPr>
            </w:pPr>
            <w:r w:rsidRPr="0092795C">
              <w:rPr>
                <w:rFonts w:ascii="Arial" w:hAnsi="Arial" w:cs="Arial"/>
                <w:color w:val="000000"/>
              </w:rPr>
              <w:t>-</w:t>
            </w:r>
            <w:r>
              <w:t xml:space="preserve"> </w:t>
            </w:r>
            <w:r w:rsidRPr="00B72255">
              <w:rPr>
                <w:rFonts w:ascii="Arial" w:hAnsi="Arial" w:cs="Arial"/>
                <w:color w:val="000000"/>
              </w:rPr>
              <w:t>0.1</w:t>
            </w:r>
            <w:r>
              <w:rPr>
                <w:rFonts w:ascii="Arial" w:hAnsi="Arial" w:cs="Arial"/>
                <w:color w:val="000000"/>
              </w:rPr>
              <w:t xml:space="preserve">63 </w:t>
            </w:r>
            <w:r w:rsidRPr="0092795C">
              <w:rPr>
                <w:rFonts w:ascii="Arial" w:hAnsi="Arial" w:cs="Arial"/>
                <w:color w:val="000000"/>
              </w:rPr>
              <w:t>(-0.</w:t>
            </w:r>
            <w:r>
              <w:rPr>
                <w:rFonts w:ascii="Arial" w:hAnsi="Arial" w:cs="Arial"/>
                <w:color w:val="000000"/>
              </w:rPr>
              <w:t>334</w:t>
            </w:r>
            <w:r w:rsidRPr="0092795C">
              <w:rPr>
                <w:rFonts w:ascii="Arial" w:hAnsi="Arial" w:cs="Arial"/>
                <w:color w:val="000000"/>
              </w:rPr>
              <w:t>, -0.0</w:t>
            </w:r>
            <w:r>
              <w:rPr>
                <w:rFonts w:ascii="Arial" w:hAnsi="Arial" w:cs="Arial"/>
                <w:color w:val="000000"/>
              </w:rPr>
              <w:t>09</w:t>
            </w:r>
            <w:r w:rsidRPr="0092795C">
              <w:rPr>
                <w:rFonts w:ascii="Arial" w:hAnsi="Arial" w:cs="Arial"/>
                <w:color w:val="000000"/>
              </w:rPr>
              <w:t>)</w:t>
            </w:r>
          </w:p>
        </w:tc>
        <w:tc>
          <w:tcPr>
            <w:tcW w:w="583" w:type="pct"/>
          </w:tcPr>
          <w:p w:rsidR="007368F5" w:rsidRPr="0092795C" w:rsidRDefault="007368F5" w:rsidP="00644B6D">
            <w:pPr>
              <w:rPr>
                <w:rFonts w:ascii="Arial" w:hAnsi="Arial" w:cs="Arial"/>
                <w:color w:val="000000"/>
              </w:rPr>
            </w:pPr>
            <w:r w:rsidRPr="0092795C">
              <w:rPr>
                <w:rFonts w:ascii="Arial" w:hAnsi="Arial" w:cs="Arial"/>
                <w:color w:val="000000"/>
              </w:rPr>
              <w:t>0.0</w:t>
            </w:r>
            <w:r>
              <w:rPr>
                <w:rFonts w:ascii="Arial" w:hAnsi="Arial" w:cs="Arial"/>
                <w:color w:val="000000"/>
              </w:rPr>
              <w:t>65</w:t>
            </w:r>
          </w:p>
        </w:tc>
      </w:tr>
    </w:tbl>
    <w:p w:rsidR="007368F5" w:rsidRDefault="007368F5" w:rsidP="008B6222">
      <w:pPr>
        <w:spacing w:after="0" w:line="240" w:lineRule="auto"/>
        <w:rPr>
          <w:rFonts w:ascii="Arial" w:hAnsi="Arial" w:cs="Arial"/>
        </w:rPr>
      </w:pPr>
    </w:p>
    <w:p w:rsidR="007368F5" w:rsidRDefault="007368F5" w:rsidP="008B6222">
      <w:pPr>
        <w:spacing w:after="0" w:line="240" w:lineRule="auto"/>
        <w:rPr>
          <w:rFonts w:ascii="Arial" w:hAnsi="Arial" w:cs="Arial"/>
        </w:rPr>
      </w:pPr>
    </w:p>
    <w:p w:rsidR="007368F5" w:rsidRDefault="007368F5" w:rsidP="008B6222">
      <w:pPr>
        <w:rPr>
          <w:rFonts w:ascii="Arial" w:hAnsi="Arial" w:cs="Arial"/>
          <w:b/>
        </w:rPr>
      </w:pPr>
      <w:r>
        <w:rPr>
          <w:rFonts w:ascii="Arial" w:hAnsi="Arial" w:cs="Arial"/>
          <w:b/>
        </w:rPr>
        <w:br w:type="page"/>
      </w:r>
    </w:p>
    <w:p w:rsidR="007368F5" w:rsidRDefault="007368F5" w:rsidP="008B6222">
      <w:pPr>
        <w:spacing w:after="0" w:line="240" w:lineRule="auto"/>
        <w:rPr>
          <w:rFonts w:ascii="Arial" w:hAnsi="Arial" w:cs="Arial"/>
          <w:b/>
          <w:color w:val="000000" w:themeColor="text1"/>
        </w:rPr>
      </w:pPr>
      <w:r w:rsidRPr="00897A0C">
        <w:rPr>
          <w:rFonts w:ascii="Arial" w:hAnsi="Arial" w:cs="Arial"/>
          <w:b/>
        </w:rPr>
        <w:lastRenderedPageBreak/>
        <w:t xml:space="preserve">Table </w:t>
      </w:r>
      <w:r>
        <w:rPr>
          <w:rFonts w:ascii="Arial" w:hAnsi="Arial" w:cs="Arial"/>
          <w:b/>
        </w:rPr>
        <w:t>5</w:t>
      </w:r>
      <w:r w:rsidRPr="00897A0C">
        <w:rPr>
          <w:rFonts w:ascii="Arial" w:hAnsi="Arial" w:cs="Arial"/>
          <w:b/>
        </w:rPr>
        <w:t>.</w:t>
      </w:r>
      <w:r>
        <w:rPr>
          <w:rFonts w:ascii="Arial" w:hAnsi="Arial" w:cs="Arial"/>
        </w:rPr>
        <w:t xml:space="preserve"> </w:t>
      </w:r>
      <w:r w:rsidRPr="003974B6">
        <w:rPr>
          <w:rFonts w:ascii="Arial" w:hAnsi="Arial" w:cs="Arial"/>
          <w:b/>
          <w:color w:val="000000" w:themeColor="text1"/>
        </w:rPr>
        <w:t>Two-sample Mendelian randomisation analyses</w:t>
      </w:r>
      <w:r>
        <w:rPr>
          <w:rFonts w:ascii="Arial" w:hAnsi="Arial" w:cs="Arial"/>
          <w:b/>
          <w:color w:val="000000" w:themeColor="text1"/>
        </w:rPr>
        <w:t xml:space="preserve"> using summary statistics</w:t>
      </w:r>
      <w:r w:rsidRPr="003974B6">
        <w:rPr>
          <w:rFonts w:ascii="Arial" w:hAnsi="Arial" w:cs="Arial"/>
          <w:b/>
          <w:color w:val="000000" w:themeColor="text1"/>
        </w:rPr>
        <w:t xml:space="preserve"> of the effect of </w:t>
      </w:r>
      <w:r>
        <w:rPr>
          <w:rFonts w:ascii="Arial" w:hAnsi="Arial" w:cs="Arial"/>
          <w:b/>
          <w:color w:val="000000" w:themeColor="text1"/>
        </w:rPr>
        <w:t>s</w:t>
      </w:r>
      <w:r w:rsidRPr="003974B6">
        <w:rPr>
          <w:rFonts w:ascii="Arial" w:hAnsi="Arial" w:cs="Arial"/>
          <w:b/>
          <w:color w:val="000000" w:themeColor="text1"/>
        </w:rPr>
        <w:t xml:space="preserve">moking on </w:t>
      </w:r>
      <w:r>
        <w:rPr>
          <w:rFonts w:ascii="Arial" w:hAnsi="Arial" w:cs="Arial"/>
          <w:b/>
          <w:color w:val="000000" w:themeColor="text1"/>
        </w:rPr>
        <w:t xml:space="preserve">educational attainment and cognitive ability after </w:t>
      </w:r>
      <w:proofErr w:type="spellStart"/>
      <w:r>
        <w:rPr>
          <w:rFonts w:ascii="Arial" w:hAnsi="Arial" w:cs="Arial"/>
          <w:b/>
          <w:color w:val="000000" w:themeColor="text1"/>
        </w:rPr>
        <w:t>Steiger</w:t>
      </w:r>
      <w:proofErr w:type="spellEnd"/>
      <w:r>
        <w:rPr>
          <w:rFonts w:ascii="Arial" w:hAnsi="Arial" w:cs="Arial"/>
          <w:b/>
          <w:color w:val="000000" w:themeColor="text1"/>
        </w:rPr>
        <w:t xml:space="preserve"> filtering</w:t>
      </w:r>
      <w:r w:rsidRPr="003974B6">
        <w:rPr>
          <w:rFonts w:ascii="Arial" w:hAnsi="Arial" w:cs="Arial"/>
          <w:b/>
          <w:color w:val="000000" w:themeColor="text1"/>
        </w:rPr>
        <w:t>.</w:t>
      </w:r>
    </w:p>
    <w:p w:rsidR="007368F5" w:rsidRDefault="007368F5" w:rsidP="008B6222">
      <w:pPr>
        <w:spacing w:after="0" w:line="240" w:lineRule="auto"/>
        <w:rPr>
          <w:rFonts w:ascii="Arial" w:hAnsi="Arial" w:cs="Arial"/>
          <w:b/>
          <w:color w:val="000000" w:themeColor="text1"/>
        </w:rPr>
      </w:pPr>
    </w:p>
    <w:tbl>
      <w:tblPr>
        <w:tblStyle w:val="TableGrid"/>
        <w:tblpPr w:leftFromText="180" w:rightFromText="180" w:vertAnchor="text" w:horzAnchor="margin" w:tblpX="80" w:tblpY="22"/>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6"/>
        <w:gridCol w:w="2694"/>
        <w:gridCol w:w="2976"/>
        <w:gridCol w:w="1700"/>
        <w:gridCol w:w="2694"/>
        <w:gridCol w:w="1628"/>
      </w:tblGrid>
      <w:tr w:rsidR="007368F5" w:rsidRPr="003974B6" w:rsidTr="00644B6D">
        <w:tc>
          <w:tcPr>
            <w:tcW w:w="812"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Exposure</w:t>
            </w:r>
          </w:p>
        </w:tc>
        <w:tc>
          <w:tcPr>
            <w:tcW w:w="965"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Outcome</w:t>
            </w:r>
          </w:p>
        </w:tc>
        <w:tc>
          <w:tcPr>
            <w:tcW w:w="1066"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sidRPr="003974B6">
              <w:rPr>
                <w:rFonts w:ascii="Arial" w:hAnsi="Arial" w:cs="Arial"/>
                <w:b/>
                <w:color w:val="000000" w:themeColor="text1"/>
              </w:rPr>
              <w:t>Method</w:t>
            </w:r>
          </w:p>
        </w:tc>
        <w:tc>
          <w:tcPr>
            <w:tcW w:w="609" w:type="pct"/>
            <w:tcBorders>
              <w:bottom w:val="single" w:sz="4" w:space="0" w:color="auto"/>
            </w:tcBorders>
          </w:tcPr>
          <w:p w:rsidR="007368F5"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N SNPs</w:t>
            </w:r>
          </w:p>
        </w:tc>
        <w:tc>
          <w:tcPr>
            <w:tcW w:w="965"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Beta</w:t>
            </w:r>
            <w:r w:rsidRPr="003974B6">
              <w:rPr>
                <w:rFonts w:ascii="Arial" w:hAnsi="Arial" w:cs="Arial"/>
                <w:b/>
                <w:color w:val="000000" w:themeColor="text1"/>
              </w:rPr>
              <w:t xml:space="preserve"> (95% CI)</w:t>
            </w:r>
          </w:p>
        </w:tc>
        <w:tc>
          <w:tcPr>
            <w:tcW w:w="583" w:type="pct"/>
            <w:tcBorders>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sidRPr="003974B6">
              <w:rPr>
                <w:rFonts w:ascii="Arial" w:hAnsi="Arial" w:cs="Arial"/>
                <w:b/>
                <w:color w:val="000000" w:themeColor="text1"/>
              </w:rPr>
              <w:t>P-value</w:t>
            </w:r>
          </w:p>
        </w:tc>
      </w:tr>
      <w:tr w:rsidR="007368F5" w:rsidRPr="003974B6" w:rsidTr="00644B6D">
        <w:tc>
          <w:tcPr>
            <w:tcW w:w="812"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Smoking Initiation (GSCAN)</w:t>
            </w:r>
          </w:p>
        </w:tc>
        <w:tc>
          <w:tcPr>
            <w:tcW w:w="965"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Cognitive ability</w:t>
            </w:r>
          </w:p>
        </w:tc>
        <w:tc>
          <w:tcPr>
            <w:tcW w:w="1066" w:type="pct"/>
            <w:tcBorders>
              <w:top w:val="single" w:sz="4" w:space="0" w:color="auto"/>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Inverse-Variance Weighted</w:t>
            </w:r>
          </w:p>
        </w:tc>
        <w:tc>
          <w:tcPr>
            <w:tcW w:w="609" w:type="pct"/>
            <w:tcBorders>
              <w:top w:val="single" w:sz="4" w:space="0" w:color="auto"/>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52/376 (14%)</w:t>
            </w:r>
          </w:p>
        </w:tc>
        <w:tc>
          <w:tcPr>
            <w:tcW w:w="965" w:type="pct"/>
            <w:tcBorders>
              <w:top w:val="single" w:sz="4" w:space="0" w:color="auto"/>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0.042 (</w:t>
            </w:r>
            <w:r w:rsidRPr="00B461FF">
              <w:rPr>
                <w:rFonts w:ascii="Arial" w:hAnsi="Arial" w:cs="Arial"/>
                <w:color w:val="000000" w:themeColor="text1"/>
              </w:rPr>
              <w:t>-0.293</w:t>
            </w:r>
            <w:r>
              <w:rPr>
                <w:rFonts w:ascii="Arial" w:hAnsi="Arial" w:cs="Arial"/>
                <w:color w:val="000000" w:themeColor="text1"/>
              </w:rPr>
              <w:t>, 0.377)</w:t>
            </w:r>
          </w:p>
        </w:tc>
        <w:tc>
          <w:tcPr>
            <w:tcW w:w="583" w:type="pct"/>
            <w:tcBorders>
              <w:top w:val="single" w:sz="4" w:space="0" w:color="auto"/>
              <w:bottom w:val="nil"/>
            </w:tcBorders>
          </w:tcPr>
          <w:p w:rsidR="007368F5" w:rsidRPr="00AC25D4" w:rsidRDefault="007368F5" w:rsidP="00644B6D">
            <w:pPr>
              <w:rPr>
                <w:rFonts w:ascii="Arial" w:hAnsi="Arial" w:cs="Arial"/>
                <w:color w:val="000000"/>
              </w:rPr>
            </w:pPr>
            <w:r>
              <w:rPr>
                <w:rFonts w:ascii="Arial" w:hAnsi="Arial" w:cs="Arial"/>
                <w:color w:val="000000"/>
              </w:rPr>
              <w:t>0.81</w:t>
            </w:r>
          </w:p>
        </w:tc>
      </w:tr>
      <w:tr w:rsidR="007368F5" w:rsidRPr="003974B6" w:rsidTr="00644B6D">
        <w:tc>
          <w:tcPr>
            <w:tcW w:w="812"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06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MR Egger</w:t>
            </w:r>
          </w:p>
        </w:tc>
        <w:tc>
          <w:tcPr>
            <w:tcW w:w="609" w:type="pct"/>
            <w:tcBorders>
              <w:top w:val="nil"/>
              <w:bottom w:val="nil"/>
            </w:tcBorders>
          </w:tcPr>
          <w:p w:rsidR="007368F5"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Default="007368F5" w:rsidP="00644B6D">
            <w:pPr>
              <w:autoSpaceDE w:val="0"/>
              <w:autoSpaceDN w:val="0"/>
              <w:adjustRightInd w:val="0"/>
              <w:rPr>
                <w:rFonts w:ascii="Arial" w:hAnsi="Arial" w:cs="Arial"/>
                <w:color w:val="000000" w:themeColor="text1"/>
              </w:rPr>
            </w:pPr>
            <w:r w:rsidRPr="00B461FF">
              <w:rPr>
                <w:rFonts w:ascii="Arial" w:hAnsi="Arial" w:cs="Arial"/>
                <w:color w:val="000000" w:themeColor="text1"/>
              </w:rPr>
              <w:t>0.249</w:t>
            </w:r>
            <w:r>
              <w:rPr>
                <w:rFonts w:ascii="Arial" w:hAnsi="Arial" w:cs="Arial"/>
                <w:color w:val="000000" w:themeColor="text1"/>
              </w:rPr>
              <w:t xml:space="preserve"> (</w:t>
            </w:r>
            <w:r w:rsidRPr="00B461FF">
              <w:rPr>
                <w:rFonts w:ascii="Arial" w:hAnsi="Arial" w:cs="Arial"/>
                <w:color w:val="000000" w:themeColor="text1"/>
              </w:rPr>
              <w:t>-0.749</w:t>
            </w:r>
            <w:r>
              <w:rPr>
                <w:rFonts w:ascii="Arial" w:hAnsi="Arial" w:cs="Arial"/>
                <w:color w:val="000000" w:themeColor="text1"/>
              </w:rPr>
              <w:t>, 1.248)</w:t>
            </w:r>
          </w:p>
        </w:tc>
        <w:tc>
          <w:tcPr>
            <w:tcW w:w="583" w:type="pct"/>
            <w:tcBorders>
              <w:top w:val="nil"/>
              <w:bottom w:val="nil"/>
            </w:tcBorders>
          </w:tcPr>
          <w:p w:rsidR="007368F5" w:rsidRPr="00AC25D4" w:rsidRDefault="007368F5" w:rsidP="00644B6D">
            <w:pPr>
              <w:rPr>
                <w:rFonts w:ascii="Arial" w:hAnsi="Arial" w:cs="Arial"/>
                <w:color w:val="000000"/>
              </w:rPr>
            </w:pPr>
            <w:r>
              <w:rPr>
                <w:rFonts w:ascii="Arial" w:hAnsi="Arial" w:cs="Arial"/>
                <w:color w:val="000000"/>
              </w:rPr>
              <w:t>0.63</w:t>
            </w:r>
          </w:p>
        </w:tc>
      </w:tr>
      <w:tr w:rsidR="007368F5" w:rsidRPr="003974B6" w:rsidTr="00644B6D">
        <w:tc>
          <w:tcPr>
            <w:tcW w:w="812"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06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Median</w:t>
            </w:r>
          </w:p>
        </w:tc>
        <w:tc>
          <w:tcPr>
            <w:tcW w:w="609" w:type="pct"/>
            <w:tcBorders>
              <w:top w:val="nil"/>
              <w:bottom w:val="nil"/>
            </w:tcBorders>
          </w:tcPr>
          <w:p w:rsidR="007368F5"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 xml:space="preserve">0.093 (-0.346, </w:t>
            </w:r>
            <w:r w:rsidRPr="00B461FF">
              <w:rPr>
                <w:rFonts w:ascii="Arial" w:hAnsi="Arial" w:cs="Arial"/>
                <w:color w:val="000000" w:themeColor="text1"/>
              </w:rPr>
              <w:t>0.531</w:t>
            </w:r>
            <w:r>
              <w:rPr>
                <w:rFonts w:ascii="Arial" w:hAnsi="Arial" w:cs="Arial"/>
                <w:color w:val="000000" w:themeColor="text1"/>
              </w:rPr>
              <w:t>)</w:t>
            </w:r>
          </w:p>
        </w:tc>
        <w:tc>
          <w:tcPr>
            <w:tcW w:w="583" w:type="pct"/>
            <w:tcBorders>
              <w:top w:val="nil"/>
              <w:bottom w:val="nil"/>
            </w:tcBorders>
          </w:tcPr>
          <w:p w:rsidR="007368F5" w:rsidRPr="00AC25D4" w:rsidRDefault="007368F5" w:rsidP="00644B6D">
            <w:pPr>
              <w:rPr>
                <w:rFonts w:ascii="Arial" w:hAnsi="Arial" w:cs="Arial"/>
                <w:color w:val="000000"/>
              </w:rPr>
            </w:pPr>
            <w:r>
              <w:rPr>
                <w:rFonts w:ascii="Arial" w:hAnsi="Arial" w:cs="Arial"/>
                <w:color w:val="000000"/>
              </w:rPr>
              <w:t>0.68</w:t>
            </w:r>
          </w:p>
        </w:tc>
      </w:tr>
      <w:tr w:rsidR="007368F5" w:rsidRPr="003974B6" w:rsidTr="00644B6D">
        <w:tc>
          <w:tcPr>
            <w:tcW w:w="812"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1066" w:type="pct"/>
            <w:tcBorders>
              <w:top w:val="nil"/>
              <w:bottom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Mode</w:t>
            </w:r>
          </w:p>
        </w:tc>
        <w:tc>
          <w:tcPr>
            <w:tcW w:w="609" w:type="pct"/>
            <w:tcBorders>
              <w:top w:val="nil"/>
              <w:bottom w:val="single" w:sz="4" w:space="0" w:color="auto"/>
            </w:tcBorders>
          </w:tcPr>
          <w:p w:rsidR="007368F5" w:rsidRDefault="007368F5" w:rsidP="00644B6D">
            <w:pPr>
              <w:autoSpaceDE w:val="0"/>
              <w:autoSpaceDN w:val="0"/>
              <w:adjustRightInd w:val="0"/>
              <w:rPr>
                <w:rFonts w:ascii="Arial" w:hAnsi="Arial" w:cs="Arial"/>
                <w:color w:val="000000" w:themeColor="text1"/>
              </w:rPr>
            </w:pPr>
          </w:p>
        </w:tc>
        <w:tc>
          <w:tcPr>
            <w:tcW w:w="965" w:type="pct"/>
            <w:tcBorders>
              <w:top w:val="nil"/>
              <w:bottom w:val="single" w:sz="4" w:space="0" w:color="auto"/>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0.226 (</w:t>
            </w:r>
            <w:r w:rsidRPr="00B461FF">
              <w:rPr>
                <w:rFonts w:ascii="Arial" w:hAnsi="Arial" w:cs="Arial"/>
                <w:color w:val="000000" w:themeColor="text1"/>
              </w:rPr>
              <w:t>-0.446</w:t>
            </w:r>
            <w:r>
              <w:rPr>
                <w:rFonts w:ascii="Arial" w:hAnsi="Arial" w:cs="Arial"/>
                <w:color w:val="000000" w:themeColor="text1"/>
              </w:rPr>
              <w:t>, 0.898)</w:t>
            </w:r>
          </w:p>
        </w:tc>
        <w:tc>
          <w:tcPr>
            <w:tcW w:w="583" w:type="pct"/>
            <w:tcBorders>
              <w:top w:val="nil"/>
              <w:bottom w:val="single" w:sz="4" w:space="0" w:color="auto"/>
            </w:tcBorders>
          </w:tcPr>
          <w:p w:rsidR="007368F5" w:rsidRPr="00AC25D4" w:rsidRDefault="007368F5" w:rsidP="00644B6D">
            <w:pPr>
              <w:rPr>
                <w:rFonts w:ascii="Arial" w:hAnsi="Arial" w:cs="Arial"/>
                <w:color w:val="000000"/>
              </w:rPr>
            </w:pPr>
            <w:r>
              <w:rPr>
                <w:rFonts w:ascii="Arial" w:hAnsi="Arial" w:cs="Arial"/>
                <w:color w:val="000000"/>
              </w:rPr>
              <w:t>0.51</w:t>
            </w:r>
          </w:p>
        </w:tc>
      </w:tr>
      <w:tr w:rsidR="007368F5" w:rsidRPr="003974B6" w:rsidTr="00644B6D">
        <w:tc>
          <w:tcPr>
            <w:tcW w:w="812"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Smoking Initiation (GSCAN)</w:t>
            </w:r>
          </w:p>
        </w:tc>
        <w:tc>
          <w:tcPr>
            <w:tcW w:w="965"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Educational Attainment</w:t>
            </w:r>
          </w:p>
        </w:tc>
        <w:tc>
          <w:tcPr>
            <w:tcW w:w="1066" w:type="pct"/>
            <w:tcBorders>
              <w:top w:val="single" w:sz="4" w:space="0" w:color="auto"/>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Inverse-Variance Weighted</w:t>
            </w:r>
          </w:p>
        </w:tc>
        <w:tc>
          <w:tcPr>
            <w:tcW w:w="609" w:type="pct"/>
            <w:tcBorders>
              <w:top w:val="single" w:sz="4" w:space="0" w:color="auto"/>
              <w:bottom w:val="nil"/>
            </w:tcBorders>
          </w:tcPr>
          <w:p w:rsidR="007368F5" w:rsidRPr="00775DC0"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277/371 (75%)</w:t>
            </w:r>
          </w:p>
        </w:tc>
        <w:tc>
          <w:tcPr>
            <w:tcW w:w="965" w:type="pct"/>
            <w:tcBorders>
              <w:top w:val="single" w:sz="4" w:space="0" w:color="auto"/>
              <w:bottom w:val="nil"/>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w:t>
            </w:r>
            <w:r w:rsidRPr="00546E16">
              <w:rPr>
                <w:rFonts w:ascii="Arial" w:hAnsi="Arial" w:cs="Arial"/>
                <w:color w:val="000000" w:themeColor="text1"/>
              </w:rPr>
              <w:t>0.109</w:t>
            </w:r>
            <w:r>
              <w:rPr>
                <w:rFonts w:ascii="Arial" w:hAnsi="Arial" w:cs="Arial"/>
                <w:color w:val="000000" w:themeColor="text1"/>
              </w:rPr>
              <w:t xml:space="preserve"> (</w:t>
            </w:r>
            <w:r w:rsidRPr="00546E16">
              <w:rPr>
                <w:rFonts w:ascii="Arial" w:hAnsi="Arial" w:cs="Arial"/>
                <w:color w:val="000000" w:themeColor="text1"/>
              </w:rPr>
              <w:t>-0.128</w:t>
            </w:r>
            <w:r>
              <w:rPr>
                <w:rFonts w:ascii="Arial" w:hAnsi="Arial" w:cs="Arial"/>
                <w:color w:val="000000" w:themeColor="text1"/>
              </w:rPr>
              <w:t xml:space="preserve">, </w:t>
            </w:r>
            <w:r w:rsidRPr="00546E16">
              <w:rPr>
                <w:rFonts w:ascii="Arial" w:hAnsi="Arial" w:cs="Arial"/>
                <w:color w:val="000000" w:themeColor="text1"/>
              </w:rPr>
              <w:t>-0.09</w:t>
            </w:r>
            <w:r>
              <w:rPr>
                <w:rFonts w:ascii="Arial" w:hAnsi="Arial" w:cs="Arial"/>
                <w:color w:val="000000" w:themeColor="text1"/>
              </w:rPr>
              <w:t>1)</w:t>
            </w:r>
          </w:p>
        </w:tc>
        <w:tc>
          <w:tcPr>
            <w:tcW w:w="583" w:type="pct"/>
            <w:tcBorders>
              <w:top w:val="single" w:sz="4" w:space="0" w:color="auto"/>
              <w:bottom w:val="nil"/>
            </w:tcBorders>
          </w:tcPr>
          <w:p w:rsidR="007368F5" w:rsidRPr="00AC25D4" w:rsidRDefault="007368F5" w:rsidP="00644B6D">
            <w:pPr>
              <w:rPr>
                <w:rFonts w:ascii="Arial" w:eastAsia="Times New Roman" w:hAnsi="Arial" w:cs="Arial"/>
                <w:color w:val="000000"/>
              </w:rPr>
            </w:pPr>
            <w:r w:rsidRPr="00546E16">
              <w:rPr>
                <w:rFonts w:ascii="Arial" w:eastAsia="Times New Roman" w:hAnsi="Arial" w:cs="Arial"/>
                <w:color w:val="000000"/>
              </w:rPr>
              <w:t>1.85</w:t>
            </w:r>
            <w:r w:rsidRPr="00AC25D4">
              <w:rPr>
                <w:rFonts w:ascii="Arial" w:hAnsi="Arial" w:cs="Arial"/>
                <w:color w:val="000000"/>
              </w:rPr>
              <w:t xml:space="preserve"> x 10</w:t>
            </w:r>
            <w:r w:rsidRPr="00AC25D4">
              <w:rPr>
                <w:rFonts w:ascii="Arial" w:hAnsi="Arial" w:cs="Arial"/>
                <w:color w:val="000000"/>
                <w:vertAlign w:val="superscript"/>
              </w:rPr>
              <w:t>-</w:t>
            </w:r>
            <w:r>
              <w:rPr>
                <w:rFonts w:ascii="Arial" w:hAnsi="Arial" w:cs="Arial"/>
                <w:color w:val="000000"/>
                <w:vertAlign w:val="superscript"/>
              </w:rPr>
              <w:t>30</w:t>
            </w:r>
          </w:p>
        </w:tc>
      </w:tr>
      <w:tr w:rsidR="007368F5" w:rsidRPr="003974B6" w:rsidTr="00644B6D">
        <w:tc>
          <w:tcPr>
            <w:tcW w:w="812"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06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MR Egger</w:t>
            </w:r>
          </w:p>
        </w:tc>
        <w:tc>
          <w:tcPr>
            <w:tcW w:w="609" w:type="pct"/>
            <w:tcBorders>
              <w:top w:val="nil"/>
              <w:bottom w:val="nil"/>
            </w:tcBorders>
          </w:tcPr>
          <w:p w:rsidR="007368F5" w:rsidRPr="00775DC0"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w:t>
            </w:r>
            <w:r w:rsidRPr="00546E16">
              <w:rPr>
                <w:rFonts w:ascii="Arial" w:hAnsi="Arial" w:cs="Arial"/>
                <w:color w:val="000000" w:themeColor="text1"/>
              </w:rPr>
              <w:t>0.149</w:t>
            </w:r>
            <w:r>
              <w:rPr>
                <w:rFonts w:ascii="Arial" w:hAnsi="Arial" w:cs="Arial"/>
                <w:color w:val="000000" w:themeColor="text1"/>
              </w:rPr>
              <w:t xml:space="preserve"> (</w:t>
            </w:r>
            <w:r w:rsidRPr="00546E16">
              <w:rPr>
                <w:rFonts w:ascii="Arial" w:hAnsi="Arial" w:cs="Arial"/>
                <w:color w:val="000000" w:themeColor="text1"/>
              </w:rPr>
              <w:t>-0.22</w:t>
            </w:r>
            <w:r>
              <w:rPr>
                <w:rFonts w:ascii="Arial" w:hAnsi="Arial" w:cs="Arial"/>
                <w:color w:val="000000" w:themeColor="text1"/>
              </w:rPr>
              <w:t>4, -0.075)</w:t>
            </w:r>
          </w:p>
        </w:tc>
        <w:tc>
          <w:tcPr>
            <w:tcW w:w="583" w:type="pct"/>
            <w:tcBorders>
              <w:top w:val="nil"/>
              <w:bottom w:val="nil"/>
            </w:tcBorders>
          </w:tcPr>
          <w:p w:rsidR="007368F5" w:rsidRPr="00AC25D4" w:rsidRDefault="007368F5" w:rsidP="00644B6D">
            <w:pPr>
              <w:rPr>
                <w:rFonts w:ascii="Arial" w:hAnsi="Arial" w:cs="Arial"/>
                <w:color w:val="000000"/>
              </w:rPr>
            </w:pPr>
            <w:r>
              <w:rPr>
                <w:rFonts w:ascii="Arial" w:hAnsi="Arial" w:cs="Arial"/>
                <w:color w:val="000000"/>
              </w:rPr>
              <w:t>1.12</w:t>
            </w:r>
            <w:r w:rsidRPr="00AC25D4">
              <w:rPr>
                <w:rFonts w:ascii="Arial" w:hAnsi="Arial" w:cs="Arial"/>
                <w:color w:val="000000"/>
              </w:rPr>
              <w:t xml:space="preserve"> x 10</w:t>
            </w:r>
            <w:r w:rsidRPr="00AC25D4">
              <w:rPr>
                <w:rFonts w:ascii="Arial" w:hAnsi="Arial" w:cs="Arial"/>
                <w:color w:val="000000"/>
                <w:vertAlign w:val="superscript"/>
              </w:rPr>
              <w:t>-</w:t>
            </w:r>
            <w:r>
              <w:rPr>
                <w:rFonts w:ascii="Arial" w:hAnsi="Arial" w:cs="Arial"/>
                <w:color w:val="000000"/>
                <w:vertAlign w:val="superscript"/>
              </w:rPr>
              <w:t>04</w:t>
            </w:r>
          </w:p>
        </w:tc>
      </w:tr>
      <w:tr w:rsidR="007368F5" w:rsidRPr="003974B6" w:rsidTr="00644B6D">
        <w:tc>
          <w:tcPr>
            <w:tcW w:w="812"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0F56FA" w:rsidRDefault="007368F5" w:rsidP="00644B6D">
            <w:pPr>
              <w:autoSpaceDE w:val="0"/>
              <w:autoSpaceDN w:val="0"/>
              <w:adjustRightInd w:val="0"/>
              <w:rPr>
                <w:rFonts w:ascii="Arial" w:hAnsi="Arial" w:cs="Arial"/>
                <w:color w:val="000000" w:themeColor="text1"/>
              </w:rPr>
            </w:pPr>
          </w:p>
        </w:tc>
        <w:tc>
          <w:tcPr>
            <w:tcW w:w="1066"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Median</w:t>
            </w:r>
          </w:p>
        </w:tc>
        <w:tc>
          <w:tcPr>
            <w:tcW w:w="609" w:type="pct"/>
            <w:tcBorders>
              <w:top w:val="nil"/>
              <w:bottom w:val="nil"/>
            </w:tcBorders>
          </w:tcPr>
          <w:p w:rsidR="007368F5" w:rsidRPr="00775DC0" w:rsidRDefault="007368F5" w:rsidP="00644B6D">
            <w:pPr>
              <w:autoSpaceDE w:val="0"/>
              <w:autoSpaceDN w:val="0"/>
              <w:adjustRightInd w:val="0"/>
              <w:rPr>
                <w:rFonts w:ascii="Arial" w:hAnsi="Arial" w:cs="Arial"/>
                <w:color w:val="000000" w:themeColor="text1"/>
              </w:rPr>
            </w:pPr>
          </w:p>
        </w:tc>
        <w:tc>
          <w:tcPr>
            <w:tcW w:w="965" w:type="pct"/>
            <w:tcBorders>
              <w:top w:val="nil"/>
              <w:bottom w:val="nil"/>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w:t>
            </w:r>
            <w:r w:rsidRPr="00546E16">
              <w:rPr>
                <w:rFonts w:ascii="Arial" w:hAnsi="Arial" w:cs="Arial"/>
                <w:color w:val="000000" w:themeColor="text1"/>
              </w:rPr>
              <w:t>0.129</w:t>
            </w:r>
            <w:r>
              <w:rPr>
                <w:rFonts w:ascii="Arial" w:hAnsi="Arial" w:cs="Arial"/>
                <w:color w:val="000000" w:themeColor="text1"/>
              </w:rPr>
              <w:t xml:space="preserve"> (-0.156, -0.103)</w:t>
            </w:r>
          </w:p>
        </w:tc>
        <w:tc>
          <w:tcPr>
            <w:tcW w:w="583" w:type="pct"/>
            <w:tcBorders>
              <w:top w:val="nil"/>
              <w:bottom w:val="nil"/>
            </w:tcBorders>
          </w:tcPr>
          <w:p w:rsidR="007368F5" w:rsidRPr="00AC25D4" w:rsidRDefault="007368F5" w:rsidP="00644B6D">
            <w:pPr>
              <w:rPr>
                <w:rFonts w:ascii="Arial" w:hAnsi="Arial" w:cs="Arial"/>
                <w:color w:val="000000"/>
              </w:rPr>
            </w:pPr>
            <w:r>
              <w:rPr>
                <w:rFonts w:ascii="Arial" w:hAnsi="Arial" w:cs="Arial"/>
                <w:color w:val="000000"/>
              </w:rPr>
              <w:t>1.62</w:t>
            </w:r>
            <w:r w:rsidRPr="00AC25D4">
              <w:rPr>
                <w:rFonts w:ascii="Arial" w:hAnsi="Arial" w:cs="Arial"/>
                <w:color w:val="000000"/>
              </w:rPr>
              <w:t xml:space="preserve"> x 10</w:t>
            </w:r>
            <w:r w:rsidRPr="00AC25D4">
              <w:rPr>
                <w:rFonts w:ascii="Arial" w:hAnsi="Arial" w:cs="Arial"/>
                <w:color w:val="000000"/>
                <w:vertAlign w:val="superscript"/>
              </w:rPr>
              <w:t>-</w:t>
            </w:r>
            <w:r>
              <w:rPr>
                <w:rFonts w:ascii="Arial" w:hAnsi="Arial" w:cs="Arial"/>
                <w:color w:val="000000"/>
                <w:vertAlign w:val="superscript"/>
              </w:rPr>
              <w:t>21</w:t>
            </w:r>
          </w:p>
        </w:tc>
      </w:tr>
      <w:tr w:rsidR="007368F5" w:rsidRPr="003974B6" w:rsidTr="00644B6D">
        <w:tc>
          <w:tcPr>
            <w:tcW w:w="812"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965"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1066" w:type="pct"/>
            <w:tcBorders>
              <w:top w:val="nil"/>
              <w:bottom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Mode</w:t>
            </w:r>
          </w:p>
        </w:tc>
        <w:tc>
          <w:tcPr>
            <w:tcW w:w="609" w:type="pct"/>
            <w:tcBorders>
              <w:top w:val="nil"/>
              <w:bottom w:val="single" w:sz="4" w:space="0" w:color="auto"/>
            </w:tcBorders>
          </w:tcPr>
          <w:p w:rsidR="007368F5" w:rsidRPr="00775DC0" w:rsidRDefault="007368F5" w:rsidP="00644B6D">
            <w:pPr>
              <w:autoSpaceDE w:val="0"/>
              <w:autoSpaceDN w:val="0"/>
              <w:adjustRightInd w:val="0"/>
              <w:rPr>
                <w:rFonts w:ascii="Arial" w:hAnsi="Arial" w:cs="Arial"/>
                <w:color w:val="000000" w:themeColor="text1"/>
              </w:rPr>
            </w:pPr>
          </w:p>
        </w:tc>
        <w:tc>
          <w:tcPr>
            <w:tcW w:w="965" w:type="pct"/>
            <w:tcBorders>
              <w:top w:val="nil"/>
              <w:bottom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w:t>
            </w:r>
            <w:r w:rsidRPr="00546E16">
              <w:rPr>
                <w:rFonts w:ascii="Arial" w:hAnsi="Arial" w:cs="Arial"/>
                <w:color w:val="000000" w:themeColor="text1"/>
              </w:rPr>
              <w:t>0.162</w:t>
            </w:r>
            <w:r>
              <w:rPr>
                <w:rFonts w:ascii="Arial" w:hAnsi="Arial" w:cs="Arial"/>
                <w:color w:val="000000" w:themeColor="text1"/>
              </w:rPr>
              <w:t xml:space="preserve"> (-0.265, </w:t>
            </w:r>
            <w:r w:rsidRPr="00546E16">
              <w:rPr>
                <w:rFonts w:ascii="Arial" w:hAnsi="Arial" w:cs="Arial"/>
                <w:color w:val="000000" w:themeColor="text1"/>
              </w:rPr>
              <w:t>-0.0</w:t>
            </w:r>
            <w:r>
              <w:rPr>
                <w:rFonts w:ascii="Arial" w:hAnsi="Arial" w:cs="Arial"/>
                <w:color w:val="000000" w:themeColor="text1"/>
              </w:rPr>
              <w:t>60)</w:t>
            </w:r>
          </w:p>
        </w:tc>
        <w:tc>
          <w:tcPr>
            <w:tcW w:w="583" w:type="pct"/>
            <w:tcBorders>
              <w:top w:val="nil"/>
              <w:bottom w:val="single" w:sz="4" w:space="0" w:color="auto"/>
            </w:tcBorders>
          </w:tcPr>
          <w:p w:rsidR="007368F5" w:rsidRPr="00AC25D4" w:rsidRDefault="007368F5" w:rsidP="00644B6D">
            <w:pPr>
              <w:rPr>
                <w:rFonts w:ascii="Arial" w:hAnsi="Arial" w:cs="Arial"/>
                <w:color w:val="000000"/>
              </w:rPr>
            </w:pPr>
            <w:r>
              <w:rPr>
                <w:rFonts w:ascii="Arial" w:hAnsi="Arial" w:cs="Arial"/>
                <w:color w:val="000000"/>
              </w:rPr>
              <w:t>0.002</w:t>
            </w:r>
          </w:p>
        </w:tc>
      </w:tr>
      <w:tr w:rsidR="007368F5" w:rsidRPr="003974B6" w:rsidTr="00644B6D">
        <w:tc>
          <w:tcPr>
            <w:tcW w:w="812" w:type="pct"/>
            <w:tcBorders>
              <w:top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Lifetime Smoking</w:t>
            </w:r>
          </w:p>
        </w:tc>
        <w:tc>
          <w:tcPr>
            <w:tcW w:w="965" w:type="pct"/>
            <w:tcBorders>
              <w:top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Educational Attainment</w:t>
            </w:r>
          </w:p>
        </w:tc>
        <w:tc>
          <w:tcPr>
            <w:tcW w:w="1066" w:type="pct"/>
            <w:tcBorders>
              <w:top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Inverse-Variance Weighted</w:t>
            </w:r>
          </w:p>
        </w:tc>
        <w:tc>
          <w:tcPr>
            <w:tcW w:w="609" w:type="pct"/>
            <w:tcBorders>
              <w:top w:val="single" w:sz="4" w:space="0" w:color="auto"/>
            </w:tcBorders>
          </w:tcPr>
          <w:p w:rsidR="007368F5" w:rsidRDefault="007368F5" w:rsidP="00644B6D">
            <w:pPr>
              <w:rPr>
                <w:rFonts w:ascii="Arial" w:hAnsi="Arial" w:cs="Arial"/>
                <w:color w:val="000000"/>
              </w:rPr>
            </w:pPr>
            <w:r>
              <w:rPr>
                <w:rFonts w:ascii="Arial" w:hAnsi="Arial" w:cs="Arial"/>
                <w:color w:val="000000"/>
              </w:rPr>
              <w:t>119/126 (94%)</w:t>
            </w:r>
          </w:p>
        </w:tc>
        <w:tc>
          <w:tcPr>
            <w:tcW w:w="965" w:type="pct"/>
            <w:tcBorders>
              <w:top w:val="single" w:sz="4" w:space="0" w:color="auto"/>
            </w:tcBorders>
          </w:tcPr>
          <w:p w:rsidR="007368F5" w:rsidRPr="0092795C" w:rsidRDefault="007368F5" w:rsidP="00644B6D">
            <w:pPr>
              <w:rPr>
                <w:rFonts w:ascii="Arial" w:eastAsia="Times New Roman" w:hAnsi="Arial" w:cs="Arial"/>
                <w:color w:val="000000"/>
              </w:rPr>
            </w:pPr>
            <w:r>
              <w:rPr>
                <w:rFonts w:ascii="Arial" w:eastAsia="Times New Roman" w:hAnsi="Arial" w:cs="Arial"/>
                <w:color w:val="000000"/>
              </w:rPr>
              <w:t>-0.359 (-0.418, -0.299)</w:t>
            </w:r>
          </w:p>
        </w:tc>
        <w:tc>
          <w:tcPr>
            <w:tcW w:w="583" w:type="pct"/>
            <w:tcBorders>
              <w:top w:val="single" w:sz="4" w:space="0" w:color="auto"/>
            </w:tcBorders>
          </w:tcPr>
          <w:p w:rsidR="007368F5" w:rsidRPr="0092795C" w:rsidRDefault="007368F5" w:rsidP="00644B6D">
            <w:pPr>
              <w:rPr>
                <w:rFonts w:ascii="Arial" w:eastAsia="Times New Roman" w:hAnsi="Arial" w:cs="Arial"/>
                <w:color w:val="000000"/>
              </w:rPr>
            </w:pPr>
            <w:r>
              <w:rPr>
                <w:rFonts w:ascii="Arial" w:eastAsia="Times New Roman" w:hAnsi="Arial" w:cs="Arial"/>
                <w:color w:val="000000"/>
              </w:rPr>
              <w:t>1.81</w:t>
            </w:r>
            <w:r w:rsidRPr="00AC25D4">
              <w:rPr>
                <w:rFonts w:ascii="Arial" w:hAnsi="Arial" w:cs="Arial"/>
                <w:color w:val="000000"/>
              </w:rPr>
              <w:t xml:space="preserve"> x 10</w:t>
            </w:r>
            <w:r w:rsidRPr="00AC25D4">
              <w:rPr>
                <w:rFonts w:ascii="Arial" w:hAnsi="Arial" w:cs="Arial"/>
                <w:color w:val="000000"/>
                <w:vertAlign w:val="superscript"/>
              </w:rPr>
              <w:t>-</w:t>
            </w:r>
            <w:r>
              <w:rPr>
                <w:rFonts w:ascii="Arial" w:hAnsi="Arial" w:cs="Arial"/>
                <w:color w:val="000000"/>
                <w:vertAlign w:val="superscript"/>
              </w:rPr>
              <w:t>32</w:t>
            </w:r>
          </w:p>
        </w:tc>
      </w:tr>
      <w:tr w:rsidR="007368F5" w:rsidRPr="003974B6" w:rsidTr="00644B6D">
        <w:tc>
          <w:tcPr>
            <w:tcW w:w="812" w:type="pct"/>
          </w:tcPr>
          <w:p w:rsidR="007368F5" w:rsidRPr="000F56FA" w:rsidRDefault="007368F5" w:rsidP="00644B6D">
            <w:pPr>
              <w:autoSpaceDE w:val="0"/>
              <w:autoSpaceDN w:val="0"/>
              <w:adjustRightInd w:val="0"/>
              <w:rPr>
                <w:rFonts w:ascii="Arial" w:hAnsi="Arial" w:cs="Arial"/>
                <w:color w:val="000000" w:themeColor="text1"/>
              </w:rPr>
            </w:pPr>
          </w:p>
        </w:tc>
        <w:tc>
          <w:tcPr>
            <w:tcW w:w="965" w:type="pct"/>
          </w:tcPr>
          <w:p w:rsidR="007368F5" w:rsidRPr="000F56FA" w:rsidRDefault="007368F5" w:rsidP="00644B6D">
            <w:pPr>
              <w:autoSpaceDE w:val="0"/>
              <w:autoSpaceDN w:val="0"/>
              <w:adjustRightInd w:val="0"/>
              <w:rPr>
                <w:rFonts w:ascii="Arial" w:hAnsi="Arial" w:cs="Arial"/>
                <w:color w:val="000000" w:themeColor="text1"/>
              </w:rPr>
            </w:pPr>
          </w:p>
        </w:tc>
        <w:tc>
          <w:tcPr>
            <w:tcW w:w="1066" w:type="pct"/>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MR Egger</w:t>
            </w:r>
          </w:p>
        </w:tc>
        <w:tc>
          <w:tcPr>
            <w:tcW w:w="609" w:type="pct"/>
          </w:tcPr>
          <w:p w:rsidR="007368F5" w:rsidRDefault="007368F5" w:rsidP="00644B6D">
            <w:pPr>
              <w:rPr>
                <w:rFonts w:ascii="Arial" w:hAnsi="Arial" w:cs="Arial"/>
                <w:color w:val="000000"/>
              </w:rPr>
            </w:pPr>
          </w:p>
        </w:tc>
        <w:tc>
          <w:tcPr>
            <w:tcW w:w="965" w:type="pct"/>
          </w:tcPr>
          <w:p w:rsidR="007368F5" w:rsidRPr="0092795C" w:rsidRDefault="007368F5" w:rsidP="00644B6D">
            <w:pPr>
              <w:rPr>
                <w:rFonts w:ascii="Arial" w:hAnsi="Arial" w:cs="Arial"/>
                <w:color w:val="000000"/>
              </w:rPr>
            </w:pPr>
            <w:r>
              <w:rPr>
                <w:rFonts w:ascii="Arial" w:hAnsi="Arial" w:cs="Arial"/>
                <w:color w:val="000000"/>
              </w:rPr>
              <w:t>-</w:t>
            </w:r>
            <w:r w:rsidRPr="00903A92">
              <w:rPr>
                <w:rFonts w:ascii="Arial" w:hAnsi="Arial" w:cs="Arial"/>
                <w:color w:val="000000"/>
              </w:rPr>
              <w:t>0.0</w:t>
            </w:r>
            <w:r>
              <w:rPr>
                <w:rFonts w:ascii="Arial" w:hAnsi="Arial" w:cs="Arial"/>
                <w:color w:val="000000"/>
              </w:rPr>
              <w:t>92 (</w:t>
            </w:r>
            <w:r w:rsidRPr="00903A92">
              <w:rPr>
                <w:rFonts w:ascii="Arial" w:hAnsi="Arial" w:cs="Arial"/>
                <w:color w:val="000000"/>
              </w:rPr>
              <w:t>-0.3</w:t>
            </w:r>
            <w:r>
              <w:rPr>
                <w:rFonts w:ascii="Arial" w:hAnsi="Arial" w:cs="Arial"/>
                <w:color w:val="000000"/>
              </w:rPr>
              <w:t xml:space="preserve">29, </w:t>
            </w:r>
            <w:r w:rsidRPr="00903A92">
              <w:rPr>
                <w:rFonts w:ascii="Arial" w:hAnsi="Arial" w:cs="Arial"/>
                <w:color w:val="000000"/>
              </w:rPr>
              <w:t>0.1</w:t>
            </w:r>
            <w:r>
              <w:rPr>
                <w:rFonts w:ascii="Arial" w:hAnsi="Arial" w:cs="Arial"/>
                <w:color w:val="000000"/>
              </w:rPr>
              <w:t>44)</w:t>
            </w:r>
          </w:p>
        </w:tc>
        <w:tc>
          <w:tcPr>
            <w:tcW w:w="583" w:type="pct"/>
          </w:tcPr>
          <w:p w:rsidR="007368F5" w:rsidRPr="0092795C" w:rsidRDefault="007368F5" w:rsidP="00644B6D">
            <w:pPr>
              <w:rPr>
                <w:rFonts w:ascii="Arial" w:hAnsi="Arial" w:cs="Arial"/>
                <w:color w:val="000000"/>
              </w:rPr>
            </w:pPr>
            <w:r>
              <w:rPr>
                <w:rFonts w:ascii="Arial" w:hAnsi="Arial" w:cs="Arial"/>
                <w:color w:val="000000"/>
              </w:rPr>
              <w:t>0.44</w:t>
            </w:r>
          </w:p>
        </w:tc>
      </w:tr>
      <w:tr w:rsidR="007368F5" w:rsidRPr="003974B6" w:rsidTr="00644B6D">
        <w:tc>
          <w:tcPr>
            <w:tcW w:w="812" w:type="pct"/>
          </w:tcPr>
          <w:p w:rsidR="007368F5" w:rsidRPr="0080040C" w:rsidRDefault="007368F5" w:rsidP="00644B6D">
            <w:pPr>
              <w:autoSpaceDE w:val="0"/>
              <w:autoSpaceDN w:val="0"/>
              <w:adjustRightInd w:val="0"/>
              <w:rPr>
                <w:rFonts w:ascii="Arial" w:hAnsi="Arial" w:cs="Arial"/>
                <w:color w:val="000000" w:themeColor="text1"/>
              </w:rPr>
            </w:pPr>
          </w:p>
        </w:tc>
        <w:tc>
          <w:tcPr>
            <w:tcW w:w="965" w:type="pct"/>
          </w:tcPr>
          <w:p w:rsidR="007368F5" w:rsidRPr="003974B6" w:rsidRDefault="007368F5" w:rsidP="00644B6D">
            <w:pPr>
              <w:autoSpaceDE w:val="0"/>
              <w:autoSpaceDN w:val="0"/>
              <w:adjustRightInd w:val="0"/>
              <w:rPr>
                <w:rFonts w:ascii="Arial" w:hAnsi="Arial" w:cs="Arial"/>
                <w:color w:val="000000" w:themeColor="text1"/>
              </w:rPr>
            </w:pPr>
          </w:p>
        </w:tc>
        <w:tc>
          <w:tcPr>
            <w:tcW w:w="1066" w:type="pct"/>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Median</w:t>
            </w:r>
          </w:p>
        </w:tc>
        <w:tc>
          <w:tcPr>
            <w:tcW w:w="609" w:type="pct"/>
          </w:tcPr>
          <w:p w:rsidR="007368F5" w:rsidRPr="0092795C" w:rsidRDefault="007368F5" w:rsidP="00644B6D">
            <w:pPr>
              <w:rPr>
                <w:rFonts w:ascii="Arial" w:hAnsi="Arial" w:cs="Arial"/>
                <w:color w:val="000000"/>
              </w:rPr>
            </w:pPr>
          </w:p>
        </w:tc>
        <w:tc>
          <w:tcPr>
            <w:tcW w:w="965" w:type="pct"/>
          </w:tcPr>
          <w:p w:rsidR="007368F5" w:rsidRPr="00605C8C" w:rsidRDefault="007368F5" w:rsidP="00644B6D">
            <w:r>
              <w:rPr>
                <w:rFonts w:ascii="Arial" w:hAnsi="Arial" w:cs="Arial"/>
                <w:color w:val="000000"/>
              </w:rPr>
              <w:t>-</w:t>
            </w:r>
            <w:r w:rsidRPr="00903A92">
              <w:rPr>
                <w:rFonts w:ascii="Arial" w:hAnsi="Arial" w:cs="Arial"/>
                <w:color w:val="000000"/>
              </w:rPr>
              <w:t>0.25</w:t>
            </w:r>
            <w:r>
              <w:rPr>
                <w:rFonts w:ascii="Arial" w:hAnsi="Arial" w:cs="Arial"/>
                <w:color w:val="000000"/>
              </w:rPr>
              <w:t>2</w:t>
            </w:r>
            <w:r>
              <w:t xml:space="preserve"> (-0.315, -0.189)</w:t>
            </w:r>
          </w:p>
        </w:tc>
        <w:tc>
          <w:tcPr>
            <w:tcW w:w="583" w:type="pct"/>
          </w:tcPr>
          <w:p w:rsidR="007368F5" w:rsidRPr="0092795C" w:rsidRDefault="007368F5" w:rsidP="00644B6D">
            <w:pPr>
              <w:rPr>
                <w:rFonts w:ascii="Arial" w:hAnsi="Arial" w:cs="Arial"/>
                <w:color w:val="000000"/>
              </w:rPr>
            </w:pPr>
            <w:r>
              <w:rPr>
                <w:rFonts w:ascii="Arial" w:hAnsi="Arial" w:cs="Arial"/>
                <w:color w:val="000000"/>
              </w:rPr>
              <w:t>1.21</w:t>
            </w:r>
            <w:r w:rsidRPr="00AC25D4">
              <w:rPr>
                <w:rFonts w:ascii="Arial" w:hAnsi="Arial" w:cs="Arial"/>
                <w:color w:val="000000"/>
              </w:rPr>
              <w:t xml:space="preserve"> x 10</w:t>
            </w:r>
            <w:r w:rsidRPr="00AC25D4">
              <w:rPr>
                <w:rFonts w:ascii="Arial" w:hAnsi="Arial" w:cs="Arial"/>
                <w:color w:val="000000"/>
                <w:vertAlign w:val="superscript"/>
              </w:rPr>
              <w:t>-</w:t>
            </w:r>
            <w:r>
              <w:rPr>
                <w:rFonts w:ascii="Arial" w:hAnsi="Arial" w:cs="Arial"/>
                <w:color w:val="000000"/>
                <w:vertAlign w:val="superscript"/>
              </w:rPr>
              <w:t>15</w:t>
            </w:r>
          </w:p>
        </w:tc>
      </w:tr>
      <w:tr w:rsidR="007368F5" w:rsidRPr="003974B6" w:rsidTr="00644B6D">
        <w:tc>
          <w:tcPr>
            <w:tcW w:w="812" w:type="pct"/>
          </w:tcPr>
          <w:p w:rsidR="007368F5" w:rsidRPr="0080040C" w:rsidRDefault="007368F5" w:rsidP="00644B6D">
            <w:pPr>
              <w:autoSpaceDE w:val="0"/>
              <w:autoSpaceDN w:val="0"/>
              <w:adjustRightInd w:val="0"/>
              <w:rPr>
                <w:rFonts w:ascii="Arial" w:hAnsi="Arial" w:cs="Arial"/>
                <w:color w:val="000000" w:themeColor="text1"/>
              </w:rPr>
            </w:pPr>
          </w:p>
        </w:tc>
        <w:tc>
          <w:tcPr>
            <w:tcW w:w="965" w:type="pct"/>
          </w:tcPr>
          <w:p w:rsidR="007368F5" w:rsidRPr="003974B6" w:rsidRDefault="007368F5" w:rsidP="00644B6D">
            <w:pPr>
              <w:autoSpaceDE w:val="0"/>
              <w:autoSpaceDN w:val="0"/>
              <w:adjustRightInd w:val="0"/>
              <w:rPr>
                <w:rFonts w:ascii="Arial" w:hAnsi="Arial" w:cs="Arial"/>
                <w:color w:val="000000" w:themeColor="text1"/>
              </w:rPr>
            </w:pPr>
          </w:p>
        </w:tc>
        <w:tc>
          <w:tcPr>
            <w:tcW w:w="1066" w:type="pct"/>
          </w:tcPr>
          <w:p w:rsidR="007368F5" w:rsidRPr="003974B6" w:rsidRDefault="007368F5" w:rsidP="00644B6D">
            <w:pPr>
              <w:autoSpaceDE w:val="0"/>
              <w:autoSpaceDN w:val="0"/>
              <w:adjustRightInd w:val="0"/>
              <w:rPr>
                <w:rFonts w:ascii="Arial" w:hAnsi="Arial" w:cs="Arial"/>
                <w:color w:val="000000" w:themeColor="text1"/>
              </w:rPr>
            </w:pPr>
            <w:r w:rsidRPr="003974B6">
              <w:rPr>
                <w:rFonts w:ascii="Arial" w:hAnsi="Arial" w:cs="Arial"/>
                <w:color w:val="000000" w:themeColor="text1"/>
              </w:rPr>
              <w:t>Weighted Mode</w:t>
            </w:r>
          </w:p>
        </w:tc>
        <w:tc>
          <w:tcPr>
            <w:tcW w:w="609" w:type="pct"/>
          </w:tcPr>
          <w:p w:rsidR="007368F5" w:rsidRPr="0092795C" w:rsidRDefault="007368F5" w:rsidP="00644B6D">
            <w:pPr>
              <w:rPr>
                <w:rFonts w:ascii="Arial" w:hAnsi="Arial" w:cs="Arial"/>
                <w:color w:val="000000"/>
              </w:rPr>
            </w:pPr>
          </w:p>
        </w:tc>
        <w:tc>
          <w:tcPr>
            <w:tcW w:w="965" w:type="pct"/>
          </w:tcPr>
          <w:p w:rsidR="007368F5" w:rsidRPr="0092795C" w:rsidRDefault="007368F5" w:rsidP="00644B6D">
            <w:pPr>
              <w:rPr>
                <w:rFonts w:ascii="Arial" w:hAnsi="Arial" w:cs="Arial"/>
                <w:color w:val="000000"/>
              </w:rPr>
            </w:pPr>
            <w:r>
              <w:rPr>
                <w:rFonts w:ascii="Arial" w:hAnsi="Arial" w:cs="Arial"/>
                <w:color w:val="000000"/>
              </w:rPr>
              <w:t xml:space="preserve">-0.158 (-0.338, </w:t>
            </w:r>
            <w:r w:rsidRPr="00903A92">
              <w:rPr>
                <w:rFonts w:ascii="Arial" w:hAnsi="Arial" w:cs="Arial"/>
                <w:color w:val="000000"/>
              </w:rPr>
              <w:t>-0.0</w:t>
            </w:r>
            <w:r>
              <w:rPr>
                <w:rFonts w:ascii="Arial" w:hAnsi="Arial" w:cs="Arial"/>
                <w:color w:val="000000"/>
              </w:rPr>
              <w:t>23)</w:t>
            </w:r>
          </w:p>
        </w:tc>
        <w:tc>
          <w:tcPr>
            <w:tcW w:w="583" w:type="pct"/>
          </w:tcPr>
          <w:p w:rsidR="007368F5" w:rsidRPr="0092795C" w:rsidRDefault="007368F5" w:rsidP="00644B6D">
            <w:pPr>
              <w:rPr>
                <w:rFonts w:ascii="Arial" w:hAnsi="Arial" w:cs="Arial"/>
                <w:color w:val="000000"/>
              </w:rPr>
            </w:pPr>
            <w:r>
              <w:rPr>
                <w:rFonts w:ascii="Arial" w:hAnsi="Arial" w:cs="Arial"/>
                <w:color w:val="000000"/>
              </w:rPr>
              <w:t>0.09</w:t>
            </w:r>
          </w:p>
        </w:tc>
      </w:tr>
    </w:tbl>
    <w:p w:rsidR="007368F5" w:rsidRDefault="007368F5" w:rsidP="008B6222">
      <w:pPr>
        <w:spacing w:after="0" w:line="240" w:lineRule="auto"/>
        <w:rPr>
          <w:rFonts w:ascii="Arial" w:hAnsi="Arial" w:cs="Arial"/>
        </w:rPr>
      </w:pPr>
    </w:p>
    <w:p w:rsidR="007368F5" w:rsidRDefault="007368F5" w:rsidP="008B6222">
      <w:pPr>
        <w:spacing w:after="0" w:line="240" w:lineRule="auto"/>
        <w:rPr>
          <w:rFonts w:ascii="Arial" w:hAnsi="Arial" w:cs="Arial"/>
          <w:b/>
          <w:color w:val="000000" w:themeColor="text1"/>
        </w:rPr>
      </w:pPr>
      <w:r>
        <w:rPr>
          <w:rFonts w:ascii="Arial" w:hAnsi="Arial" w:cs="Arial"/>
        </w:rPr>
        <w:br w:type="page"/>
      </w:r>
      <w:r w:rsidRPr="00897A0C">
        <w:rPr>
          <w:rFonts w:ascii="Arial" w:hAnsi="Arial" w:cs="Arial"/>
          <w:b/>
        </w:rPr>
        <w:lastRenderedPageBreak/>
        <w:t xml:space="preserve">Table </w:t>
      </w:r>
      <w:r>
        <w:rPr>
          <w:rFonts w:ascii="Arial" w:hAnsi="Arial" w:cs="Arial"/>
          <w:b/>
        </w:rPr>
        <w:t>6</w:t>
      </w:r>
      <w:r w:rsidRPr="00897A0C">
        <w:rPr>
          <w:rFonts w:ascii="Arial" w:hAnsi="Arial" w:cs="Arial"/>
          <w:b/>
        </w:rPr>
        <w:t>.</w:t>
      </w:r>
      <w:r>
        <w:rPr>
          <w:rFonts w:ascii="Arial" w:hAnsi="Arial" w:cs="Arial"/>
        </w:rPr>
        <w:t xml:space="preserve"> </w:t>
      </w:r>
      <w:r>
        <w:rPr>
          <w:rFonts w:ascii="Arial" w:hAnsi="Arial" w:cs="Arial"/>
          <w:b/>
          <w:color w:val="000000" w:themeColor="text1"/>
        </w:rPr>
        <w:t>Multivariable Mendelian randomization analyses using summary statistics simultaneously modelling genetic liability to ADHD and smoking on educational attainment or cognitive ability</w:t>
      </w:r>
      <w:r w:rsidRPr="003974B6">
        <w:rPr>
          <w:rFonts w:ascii="Arial" w:hAnsi="Arial" w:cs="Arial"/>
          <w:b/>
          <w:color w:val="000000" w:themeColor="text1"/>
        </w:rPr>
        <w:t>.</w:t>
      </w:r>
    </w:p>
    <w:p w:rsidR="007368F5" w:rsidRDefault="007368F5" w:rsidP="008B6222">
      <w:pPr>
        <w:spacing w:after="0" w:line="240" w:lineRule="auto"/>
        <w:rPr>
          <w:rFonts w:ascii="Arial" w:hAnsi="Arial" w:cs="Arial"/>
          <w:b/>
          <w:color w:val="000000" w:themeColor="text1"/>
        </w:rPr>
      </w:pPr>
    </w:p>
    <w:tbl>
      <w:tblPr>
        <w:tblStyle w:val="TableGrid"/>
        <w:tblpPr w:leftFromText="180" w:rightFromText="180" w:vertAnchor="text" w:horzAnchor="margin" w:tblpX="80" w:tblpY="22"/>
        <w:tblW w:w="4268"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99"/>
        <w:gridCol w:w="2696"/>
        <w:gridCol w:w="1700"/>
        <w:gridCol w:w="2695"/>
        <w:gridCol w:w="1625"/>
      </w:tblGrid>
      <w:tr w:rsidR="007368F5" w:rsidRPr="003974B6" w:rsidTr="00644B6D">
        <w:tc>
          <w:tcPr>
            <w:tcW w:w="1342" w:type="pct"/>
            <w:tcBorders>
              <w:top w:val="single" w:sz="4" w:space="0" w:color="auto"/>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Exposure</w:t>
            </w:r>
          </w:p>
        </w:tc>
        <w:tc>
          <w:tcPr>
            <w:tcW w:w="1131" w:type="pct"/>
            <w:tcBorders>
              <w:top w:val="single" w:sz="4" w:space="0" w:color="auto"/>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Outcome</w:t>
            </w:r>
          </w:p>
        </w:tc>
        <w:tc>
          <w:tcPr>
            <w:tcW w:w="713" w:type="pct"/>
            <w:tcBorders>
              <w:top w:val="single" w:sz="4" w:space="0" w:color="auto"/>
              <w:bottom w:val="single" w:sz="4" w:space="0" w:color="auto"/>
            </w:tcBorders>
          </w:tcPr>
          <w:p w:rsidR="007368F5"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N SNPs</w:t>
            </w:r>
          </w:p>
        </w:tc>
        <w:tc>
          <w:tcPr>
            <w:tcW w:w="1131" w:type="pct"/>
            <w:tcBorders>
              <w:top w:val="single" w:sz="4" w:space="0" w:color="auto"/>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Pr>
                <w:rFonts w:ascii="Arial" w:hAnsi="Arial" w:cs="Arial"/>
                <w:b/>
                <w:color w:val="000000" w:themeColor="text1"/>
              </w:rPr>
              <w:t>Beta</w:t>
            </w:r>
            <w:r w:rsidRPr="003974B6">
              <w:rPr>
                <w:rFonts w:ascii="Arial" w:hAnsi="Arial" w:cs="Arial"/>
                <w:b/>
                <w:color w:val="000000" w:themeColor="text1"/>
              </w:rPr>
              <w:t xml:space="preserve"> (95% CI)</w:t>
            </w:r>
          </w:p>
        </w:tc>
        <w:tc>
          <w:tcPr>
            <w:tcW w:w="682" w:type="pct"/>
            <w:tcBorders>
              <w:top w:val="single" w:sz="4" w:space="0" w:color="auto"/>
              <w:bottom w:val="single" w:sz="4" w:space="0" w:color="auto"/>
            </w:tcBorders>
          </w:tcPr>
          <w:p w:rsidR="007368F5" w:rsidRPr="003974B6" w:rsidRDefault="007368F5" w:rsidP="00644B6D">
            <w:pPr>
              <w:autoSpaceDE w:val="0"/>
              <w:autoSpaceDN w:val="0"/>
              <w:adjustRightInd w:val="0"/>
              <w:rPr>
                <w:rFonts w:ascii="Arial" w:hAnsi="Arial" w:cs="Arial"/>
                <w:b/>
                <w:color w:val="000000" w:themeColor="text1"/>
              </w:rPr>
            </w:pPr>
            <w:r w:rsidRPr="003974B6">
              <w:rPr>
                <w:rFonts w:ascii="Arial" w:hAnsi="Arial" w:cs="Arial"/>
                <w:b/>
                <w:color w:val="000000" w:themeColor="text1"/>
              </w:rPr>
              <w:t>P-value</w:t>
            </w:r>
          </w:p>
        </w:tc>
      </w:tr>
      <w:tr w:rsidR="007368F5" w:rsidRPr="003974B6" w:rsidTr="00644B6D">
        <w:tc>
          <w:tcPr>
            <w:tcW w:w="1342"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Smoking Initiation (GSCAN)</w:t>
            </w:r>
          </w:p>
        </w:tc>
        <w:tc>
          <w:tcPr>
            <w:tcW w:w="1131"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Cognitive ability</w:t>
            </w:r>
          </w:p>
        </w:tc>
        <w:tc>
          <w:tcPr>
            <w:tcW w:w="713" w:type="pct"/>
            <w:tcBorders>
              <w:top w:val="single" w:sz="4" w:space="0" w:color="auto"/>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322</w:t>
            </w:r>
          </w:p>
        </w:tc>
        <w:tc>
          <w:tcPr>
            <w:tcW w:w="1131" w:type="pct"/>
            <w:tcBorders>
              <w:top w:val="single" w:sz="4" w:space="0" w:color="auto"/>
              <w:bottom w:val="nil"/>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-0.405 (-0.721, -0.089)</w:t>
            </w:r>
          </w:p>
        </w:tc>
        <w:tc>
          <w:tcPr>
            <w:tcW w:w="682" w:type="pct"/>
            <w:tcBorders>
              <w:top w:val="single" w:sz="4" w:space="0" w:color="auto"/>
              <w:bottom w:val="nil"/>
            </w:tcBorders>
          </w:tcPr>
          <w:p w:rsidR="007368F5" w:rsidRPr="00AC25D4" w:rsidRDefault="007368F5" w:rsidP="00644B6D">
            <w:pPr>
              <w:rPr>
                <w:rFonts w:ascii="Arial" w:hAnsi="Arial" w:cs="Arial"/>
                <w:color w:val="000000"/>
              </w:rPr>
            </w:pPr>
            <w:r>
              <w:rPr>
                <w:rFonts w:ascii="Arial" w:hAnsi="Arial" w:cs="Arial"/>
                <w:color w:val="000000"/>
              </w:rPr>
              <w:t>0.012</w:t>
            </w:r>
          </w:p>
        </w:tc>
      </w:tr>
      <w:tr w:rsidR="007368F5" w:rsidRPr="003974B6" w:rsidTr="00644B6D">
        <w:tc>
          <w:tcPr>
            <w:tcW w:w="1342"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ADHD</w:t>
            </w:r>
          </w:p>
        </w:tc>
        <w:tc>
          <w:tcPr>
            <w:tcW w:w="1131"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713" w:type="pct"/>
            <w:tcBorders>
              <w:top w:val="nil"/>
              <w:bottom w:val="single" w:sz="4" w:space="0" w:color="auto"/>
            </w:tcBorders>
          </w:tcPr>
          <w:p w:rsidR="007368F5" w:rsidRDefault="007368F5" w:rsidP="00644B6D">
            <w:pPr>
              <w:autoSpaceDE w:val="0"/>
              <w:autoSpaceDN w:val="0"/>
              <w:adjustRightInd w:val="0"/>
              <w:rPr>
                <w:rFonts w:ascii="Arial" w:hAnsi="Arial" w:cs="Arial"/>
                <w:color w:val="000000" w:themeColor="text1"/>
              </w:rPr>
            </w:pPr>
          </w:p>
        </w:tc>
        <w:tc>
          <w:tcPr>
            <w:tcW w:w="1131" w:type="pct"/>
            <w:tcBorders>
              <w:top w:val="nil"/>
              <w:bottom w:val="single" w:sz="4" w:space="0" w:color="auto"/>
            </w:tcBorders>
          </w:tcPr>
          <w:p w:rsidR="007368F5"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-0.171 (-0.257, -0.085)</w:t>
            </w:r>
          </w:p>
        </w:tc>
        <w:tc>
          <w:tcPr>
            <w:tcW w:w="682" w:type="pct"/>
            <w:tcBorders>
              <w:top w:val="nil"/>
              <w:bottom w:val="single" w:sz="4" w:space="0" w:color="auto"/>
            </w:tcBorders>
          </w:tcPr>
          <w:p w:rsidR="007368F5" w:rsidRPr="00AC25D4" w:rsidRDefault="007368F5" w:rsidP="00644B6D">
            <w:pPr>
              <w:rPr>
                <w:rFonts w:ascii="Arial" w:hAnsi="Arial" w:cs="Arial"/>
                <w:color w:val="000000"/>
              </w:rPr>
            </w:pPr>
            <w:r>
              <w:rPr>
                <w:rFonts w:ascii="Arial" w:hAnsi="Arial" w:cs="Arial"/>
                <w:color w:val="000000"/>
              </w:rPr>
              <w:t>5.63x10</w:t>
            </w:r>
            <w:r w:rsidRPr="00A73FEA">
              <w:rPr>
                <w:rFonts w:ascii="Arial" w:hAnsi="Arial" w:cs="Arial"/>
                <w:color w:val="000000"/>
                <w:vertAlign w:val="superscript"/>
              </w:rPr>
              <w:t>-5</w:t>
            </w:r>
          </w:p>
        </w:tc>
      </w:tr>
      <w:tr w:rsidR="007368F5" w:rsidRPr="003974B6" w:rsidTr="00644B6D">
        <w:tc>
          <w:tcPr>
            <w:tcW w:w="1342"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Smoking Initiation (GSCAN)</w:t>
            </w:r>
          </w:p>
        </w:tc>
        <w:tc>
          <w:tcPr>
            <w:tcW w:w="1131" w:type="pct"/>
            <w:tcBorders>
              <w:top w:val="single" w:sz="4" w:space="0" w:color="auto"/>
              <w:bottom w:val="nil"/>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Educational Attainment</w:t>
            </w:r>
          </w:p>
        </w:tc>
        <w:tc>
          <w:tcPr>
            <w:tcW w:w="713" w:type="pct"/>
            <w:tcBorders>
              <w:top w:val="single" w:sz="4" w:space="0" w:color="auto"/>
              <w:bottom w:val="nil"/>
            </w:tcBorders>
          </w:tcPr>
          <w:p w:rsidR="007368F5" w:rsidRPr="00775DC0"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320</w:t>
            </w:r>
          </w:p>
        </w:tc>
        <w:tc>
          <w:tcPr>
            <w:tcW w:w="1131" w:type="pct"/>
            <w:tcBorders>
              <w:top w:val="single" w:sz="4" w:space="0" w:color="auto"/>
              <w:bottom w:val="nil"/>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-0.288 (-0.375, -0.200)</w:t>
            </w:r>
          </w:p>
        </w:tc>
        <w:tc>
          <w:tcPr>
            <w:tcW w:w="682" w:type="pct"/>
            <w:tcBorders>
              <w:top w:val="single" w:sz="4" w:space="0" w:color="auto"/>
              <w:bottom w:val="nil"/>
            </w:tcBorders>
          </w:tcPr>
          <w:p w:rsidR="007368F5" w:rsidRPr="00AC25D4" w:rsidRDefault="007368F5" w:rsidP="00644B6D">
            <w:pPr>
              <w:rPr>
                <w:rFonts w:ascii="Arial" w:eastAsia="Times New Roman" w:hAnsi="Arial" w:cs="Arial"/>
                <w:color w:val="000000"/>
              </w:rPr>
            </w:pPr>
            <w:r>
              <w:rPr>
                <w:rFonts w:ascii="Arial" w:eastAsia="Times New Roman" w:hAnsi="Arial" w:cs="Arial"/>
                <w:color w:val="000000"/>
              </w:rPr>
              <w:t>2.33x10</w:t>
            </w:r>
            <w:r w:rsidRPr="00A73FEA">
              <w:rPr>
                <w:rFonts w:ascii="Arial" w:eastAsia="Times New Roman" w:hAnsi="Arial" w:cs="Arial"/>
                <w:color w:val="000000"/>
                <w:vertAlign w:val="superscript"/>
              </w:rPr>
              <w:t>-10</w:t>
            </w:r>
          </w:p>
        </w:tc>
      </w:tr>
      <w:tr w:rsidR="007368F5" w:rsidRPr="003974B6" w:rsidTr="00644B6D">
        <w:tc>
          <w:tcPr>
            <w:tcW w:w="1342"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ADHD</w:t>
            </w:r>
          </w:p>
        </w:tc>
        <w:tc>
          <w:tcPr>
            <w:tcW w:w="1131" w:type="pct"/>
            <w:tcBorders>
              <w:top w:val="nil"/>
              <w:bottom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p>
        </w:tc>
        <w:tc>
          <w:tcPr>
            <w:tcW w:w="713" w:type="pct"/>
            <w:tcBorders>
              <w:top w:val="nil"/>
              <w:bottom w:val="single" w:sz="4" w:space="0" w:color="auto"/>
            </w:tcBorders>
          </w:tcPr>
          <w:p w:rsidR="007368F5" w:rsidRPr="00775DC0" w:rsidRDefault="007368F5" w:rsidP="00644B6D">
            <w:pPr>
              <w:autoSpaceDE w:val="0"/>
              <w:autoSpaceDN w:val="0"/>
              <w:adjustRightInd w:val="0"/>
              <w:rPr>
                <w:rFonts w:ascii="Arial" w:hAnsi="Arial" w:cs="Arial"/>
                <w:color w:val="000000" w:themeColor="text1"/>
              </w:rPr>
            </w:pPr>
          </w:p>
        </w:tc>
        <w:tc>
          <w:tcPr>
            <w:tcW w:w="1131" w:type="pct"/>
            <w:tcBorders>
              <w:top w:val="nil"/>
              <w:bottom w:val="single" w:sz="4" w:space="0" w:color="auto"/>
            </w:tcBorders>
          </w:tcPr>
          <w:p w:rsidR="007368F5" w:rsidRPr="003974B6" w:rsidRDefault="007368F5" w:rsidP="00644B6D">
            <w:pPr>
              <w:autoSpaceDE w:val="0"/>
              <w:autoSpaceDN w:val="0"/>
              <w:adjustRightInd w:val="0"/>
              <w:rPr>
                <w:rFonts w:ascii="Arial" w:hAnsi="Arial" w:cs="Arial"/>
                <w:color w:val="000000" w:themeColor="text1"/>
              </w:rPr>
            </w:pPr>
            <w:r>
              <w:rPr>
                <w:rFonts w:ascii="Arial" w:hAnsi="Arial" w:cs="Arial"/>
                <w:color w:val="000000" w:themeColor="text1"/>
              </w:rPr>
              <w:t>-0.064 (-0.088, -0.041)</w:t>
            </w:r>
          </w:p>
        </w:tc>
        <w:tc>
          <w:tcPr>
            <w:tcW w:w="682" w:type="pct"/>
            <w:tcBorders>
              <w:top w:val="nil"/>
              <w:bottom w:val="single" w:sz="4" w:space="0" w:color="auto"/>
            </w:tcBorders>
          </w:tcPr>
          <w:p w:rsidR="007368F5" w:rsidRPr="00AC25D4" w:rsidRDefault="007368F5" w:rsidP="00644B6D">
            <w:pPr>
              <w:rPr>
                <w:rFonts w:ascii="Arial" w:hAnsi="Arial" w:cs="Arial"/>
                <w:color w:val="000000"/>
              </w:rPr>
            </w:pPr>
            <w:r>
              <w:rPr>
                <w:rFonts w:ascii="Arial" w:hAnsi="Arial" w:cs="Arial"/>
                <w:color w:val="000000"/>
              </w:rPr>
              <w:t>6.83x10</w:t>
            </w:r>
            <w:r w:rsidRPr="00A73FEA">
              <w:rPr>
                <w:rFonts w:ascii="Arial" w:hAnsi="Arial" w:cs="Arial"/>
                <w:color w:val="000000"/>
                <w:vertAlign w:val="superscript"/>
              </w:rPr>
              <w:t>-8</w:t>
            </w:r>
          </w:p>
        </w:tc>
      </w:tr>
      <w:tr w:rsidR="007368F5" w:rsidRPr="003974B6" w:rsidTr="00644B6D">
        <w:tc>
          <w:tcPr>
            <w:tcW w:w="1342" w:type="pct"/>
            <w:tcBorders>
              <w:top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Lifetime Smoking</w:t>
            </w:r>
          </w:p>
        </w:tc>
        <w:tc>
          <w:tcPr>
            <w:tcW w:w="1131" w:type="pct"/>
            <w:tcBorders>
              <w:top w:val="single" w:sz="4" w:space="0" w:color="auto"/>
            </w:tcBorders>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Educational Attainment</w:t>
            </w:r>
          </w:p>
        </w:tc>
        <w:tc>
          <w:tcPr>
            <w:tcW w:w="713" w:type="pct"/>
            <w:tcBorders>
              <w:top w:val="single" w:sz="4" w:space="0" w:color="auto"/>
            </w:tcBorders>
          </w:tcPr>
          <w:p w:rsidR="007368F5" w:rsidRDefault="007368F5" w:rsidP="00644B6D">
            <w:pPr>
              <w:rPr>
                <w:rFonts w:ascii="Arial" w:hAnsi="Arial" w:cs="Arial"/>
                <w:color w:val="000000"/>
              </w:rPr>
            </w:pPr>
            <w:r>
              <w:rPr>
                <w:rFonts w:ascii="Arial" w:hAnsi="Arial" w:cs="Arial"/>
                <w:color w:val="000000"/>
              </w:rPr>
              <w:t>114</w:t>
            </w:r>
          </w:p>
        </w:tc>
        <w:tc>
          <w:tcPr>
            <w:tcW w:w="1131" w:type="pct"/>
            <w:tcBorders>
              <w:top w:val="single" w:sz="4" w:space="0" w:color="auto"/>
            </w:tcBorders>
          </w:tcPr>
          <w:p w:rsidR="007368F5" w:rsidRPr="0092795C" w:rsidRDefault="007368F5" w:rsidP="00644B6D">
            <w:pPr>
              <w:rPr>
                <w:rFonts w:ascii="Arial" w:eastAsia="Times New Roman" w:hAnsi="Arial" w:cs="Arial"/>
                <w:color w:val="000000"/>
              </w:rPr>
            </w:pPr>
            <w:r>
              <w:rPr>
                <w:rFonts w:ascii="Arial" w:eastAsia="Times New Roman" w:hAnsi="Arial" w:cs="Arial"/>
                <w:color w:val="000000"/>
              </w:rPr>
              <w:t>-0.279 (-0.362, -0.197)</w:t>
            </w:r>
          </w:p>
        </w:tc>
        <w:tc>
          <w:tcPr>
            <w:tcW w:w="682" w:type="pct"/>
            <w:tcBorders>
              <w:top w:val="single" w:sz="4" w:space="0" w:color="auto"/>
            </w:tcBorders>
          </w:tcPr>
          <w:p w:rsidR="007368F5" w:rsidRPr="0092795C" w:rsidRDefault="007368F5" w:rsidP="00644B6D">
            <w:pPr>
              <w:rPr>
                <w:rFonts w:ascii="Arial" w:eastAsia="Times New Roman" w:hAnsi="Arial" w:cs="Arial"/>
                <w:color w:val="000000"/>
              </w:rPr>
            </w:pPr>
            <w:r>
              <w:rPr>
                <w:rFonts w:ascii="Arial" w:eastAsia="Times New Roman" w:hAnsi="Arial" w:cs="Arial"/>
                <w:color w:val="000000"/>
              </w:rPr>
              <w:t>4.06x10</w:t>
            </w:r>
            <w:r w:rsidRPr="00A73FEA">
              <w:rPr>
                <w:rFonts w:ascii="Arial" w:eastAsia="Times New Roman" w:hAnsi="Arial" w:cs="Arial"/>
                <w:color w:val="000000"/>
                <w:vertAlign w:val="superscript"/>
              </w:rPr>
              <w:t>-1</w:t>
            </w:r>
            <w:r>
              <w:rPr>
                <w:rFonts w:ascii="Arial" w:eastAsia="Times New Roman" w:hAnsi="Arial" w:cs="Arial"/>
                <w:color w:val="000000"/>
                <w:vertAlign w:val="superscript"/>
              </w:rPr>
              <w:t>0</w:t>
            </w:r>
          </w:p>
        </w:tc>
      </w:tr>
      <w:tr w:rsidR="007368F5" w:rsidRPr="003974B6" w:rsidTr="00644B6D">
        <w:tc>
          <w:tcPr>
            <w:tcW w:w="1342" w:type="pct"/>
          </w:tcPr>
          <w:p w:rsidR="007368F5" w:rsidRPr="000F56FA" w:rsidRDefault="007368F5" w:rsidP="00644B6D">
            <w:pPr>
              <w:autoSpaceDE w:val="0"/>
              <w:autoSpaceDN w:val="0"/>
              <w:adjustRightInd w:val="0"/>
              <w:rPr>
                <w:rFonts w:ascii="Arial" w:hAnsi="Arial" w:cs="Arial"/>
                <w:color w:val="000000" w:themeColor="text1"/>
              </w:rPr>
            </w:pPr>
            <w:r w:rsidRPr="000F56FA">
              <w:rPr>
                <w:rFonts w:ascii="Arial" w:hAnsi="Arial" w:cs="Arial"/>
                <w:color w:val="000000" w:themeColor="text1"/>
              </w:rPr>
              <w:t>ADHD</w:t>
            </w:r>
          </w:p>
        </w:tc>
        <w:tc>
          <w:tcPr>
            <w:tcW w:w="1131" w:type="pct"/>
          </w:tcPr>
          <w:p w:rsidR="007368F5" w:rsidRPr="000F56FA" w:rsidRDefault="007368F5" w:rsidP="00644B6D">
            <w:pPr>
              <w:autoSpaceDE w:val="0"/>
              <w:autoSpaceDN w:val="0"/>
              <w:adjustRightInd w:val="0"/>
              <w:rPr>
                <w:rFonts w:ascii="Arial" w:hAnsi="Arial" w:cs="Arial"/>
                <w:color w:val="000000" w:themeColor="text1"/>
              </w:rPr>
            </w:pPr>
          </w:p>
        </w:tc>
        <w:tc>
          <w:tcPr>
            <w:tcW w:w="713" w:type="pct"/>
          </w:tcPr>
          <w:p w:rsidR="007368F5" w:rsidRDefault="007368F5" w:rsidP="00644B6D">
            <w:pPr>
              <w:rPr>
                <w:rFonts w:ascii="Arial" w:hAnsi="Arial" w:cs="Arial"/>
                <w:color w:val="000000"/>
              </w:rPr>
            </w:pPr>
          </w:p>
        </w:tc>
        <w:tc>
          <w:tcPr>
            <w:tcW w:w="1131" w:type="pct"/>
          </w:tcPr>
          <w:p w:rsidR="007368F5" w:rsidRPr="0092795C" w:rsidRDefault="007368F5" w:rsidP="00644B6D">
            <w:pPr>
              <w:rPr>
                <w:rFonts w:ascii="Arial" w:hAnsi="Arial" w:cs="Arial"/>
                <w:color w:val="000000"/>
              </w:rPr>
            </w:pPr>
            <w:r>
              <w:rPr>
                <w:rFonts w:ascii="Arial" w:hAnsi="Arial" w:cs="Arial"/>
                <w:color w:val="000000"/>
              </w:rPr>
              <w:t>-0.073 (-0.104, -0.042)</w:t>
            </w:r>
          </w:p>
        </w:tc>
        <w:tc>
          <w:tcPr>
            <w:tcW w:w="682" w:type="pct"/>
          </w:tcPr>
          <w:p w:rsidR="007368F5" w:rsidRPr="0092795C" w:rsidRDefault="007368F5" w:rsidP="00644B6D">
            <w:pPr>
              <w:rPr>
                <w:rFonts w:ascii="Arial" w:hAnsi="Arial" w:cs="Arial"/>
                <w:color w:val="000000"/>
              </w:rPr>
            </w:pPr>
            <w:r>
              <w:rPr>
                <w:rFonts w:ascii="Arial" w:eastAsia="Times New Roman" w:hAnsi="Arial" w:cs="Arial"/>
                <w:color w:val="000000"/>
              </w:rPr>
              <w:t>3.41x10</w:t>
            </w:r>
            <w:r w:rsidRPr="00A73FEA">
              <w:rPr>
                <w:rFonts w:ascii="Arial" w:eastAsia="Times New Roman" w:hAnsi="Arial" w:cs="Arial"/>
                <w:color w:val="000000"/>
                <w:vertAlign w:val="superscript"/>
              </w:rPr>
              <w:t>-6</w:t>
            </w:r>
          </w:p>
        </w:tc>
      </w:tr>
    </w:tbl>
    <w:p w:rsidR="007368F5" w:rsidRDefault="007368F5" w:rsidP="008B6222">
      <w:pPr>
        <w:spacing w:after="0" w:line="240" w:lineRule="auto"/>
        <w:rPr>
          <w:rFonts w:ascii="Arial" w:hAnsi="Arial" w:cs="Arial"/>
        </w:rPr>
      </w:pPr>
    </w:p>
    <w:p w:rsidR="007368F5" w:rsidRDefault="007368F5" w:rsidP="008B6222">
      <w:pPr>
        <w:spacing w:after="0" w:line="240" w:lineRule="auto"/>
        <w:rPr>
          <w:rFonts w:ascii="Arial" w:hAnsi="Arial" w:cs="Arial"/>
        </w:rPr>
      </w:pPr>
    </w:p>
    <w:p w:rsidR="007368F5" w:rsidRDefault="007368F5" w:rsidP="008B6222">
      <w:pPr>
        <w:spacing w:after="0" w:line="240" w:lineRule="auto"/>
        <w:rPr>
          <w:rFonts w:ascii="Arial" w:hAnsi="Arial" w:cs="Arial"/>
        </w:rPr>
      </w:pPr>
    </w:p>
    <w:p w:rsidR="007368F5" w:rsidRDefault="007368F5" w:rsidP="008B6222">
      <w:pPr>
        <w:spacing w:after="0" w:line="240" w:lineRule="auto"/>
        <w:rPr>
          <w:rFonts w:ascii="Arial" w:hAnsi="Arial" w:cs="Arial"/>
        </w:rPr>
      </w:pPr>
    </w:p>
    <w:p w:rsidR="007368F5" w:rsidRDefault="007368F5" w:rsidP="008B6222">
      <w:pPr>
        <w:spacing w:after="0" w:line="240" w:lineRule="auto"/>
        <w:rPr>
          <w:rFonts w:ascii="Arial" w:hAnsi="Arial" w:cs="Arial"/>
        </w:rPr>
      </w:pPr>
    </w:p>
    <w:p w:rsidR="007368F5" w:rsidRDefault="007368F5" w:rsidP="00644B6D">
      <w:pPr>
        <w:spacing w:after="0" w:line="240" w:lineRule="auto"/>
        <w:rPr>
          <w:rFonts w:ascii="Arial" w:hAnsi="Arial" w:cs="Arial"/>
          <w:b/>
          <w:color w:val="000000" w:themeColor="text1"/>
        </w:rPr>
      </w:pPr>
    </w:p>
    <w:p w:rsidR="007368F5" w:rsidRDefault="007368F5" w:rsidP="000062F6">
      <w:pPr>
        <w:spacing w:after="0" w:line="240" w:lineRule="auto"/>
        <w:rPr>
          <w:rFonts w:ascii="Arial" w:hAnsi="Arial" w:cs="Arial"/>
          <w:b/>
          <w:color w:val="000000" w:themeColor="text1"/>
        </w:rPr>
      </w:pPr>
    </w:p>
    <w:p w:rsidR="007368F5" w:rsidRDefault="007368F5">
      <w:pPr>
        <w:spacing w:after="0" w:line="240" w:lineRule="auto"/>
        <w:rPr>
          <w:rFonts w:ascii="Arial" w:hAnsi="Arial" w:cs="Arial"/>
          <w:b/>
          <w:color w:val="000000" w:themeColor="text1"/>
        </w:rPr>
      </w:pPr>
    </w:p>
    <w:p w:rsidR="007368F5" w:rsidRDefault="007368F5">
      <w:pPr>
        <w:spacing w:after="0" w:line="240" w:lineRule="auto"/>
        <w:rPr>
          <w:rFonts w:ascii="Arial" w:hAnsi="Arial" w:cs="Arial"/>
          <w:b/>
          <w:color w:val="000000" w:themeColor="text1"/>
        </w:rPr>
      </w:pPr>
    </w:p>
    <w:p w:rsidR="007368F5" w:rsidRDefault="007368F5">
      <w:pPr>
        <w:spacing w:after="0" w:line="240" w:lineRule="auto"/>
        <w:rPr>
          <w:rFonts w:ascii="Arial" w:hAnsi="Arial" w:cs="Arial"/>
          <w:b/>
          <w:color w:val="000000" w:themeColor="text1"/>
        </w:rPr>
      </w:pPr>
    </w:p>
    <w:p w:rsidR="007368F5" w:rsidRDefault="007368F5">
      <w:pPr>
        <w:spacing w:after="0" w:line="240" w:lineRule="auto"/>
        <w:rPr>
          <w:rFonts w:ascii="Arial" w:hAnsi="Arial" w:cs="Arial"/>
          <w:b/>
          <w:color w:val="000000" w:themeColor="text1"/>
        </w:rPr>
      </w:pPr>
    </w:p>
    <w:p w:rsidR="007368F5" w:rsidRPr="006604E2" w:rsidRDefault="007368F5" w:rsidP="007D178A">
      <w:pPr>
        <w:spacing w:after="0" w:line="240" w:lineRule="auto"/>
        <w:rPr>
          <w:rFonts w:ascii="Arial" w:hAnsi="Arial" w:cs="Arial"/>
          <w:b/>
          <w:color w:val="000000" w:themeColor="text1"/>
        </w:rPr>
      </w:pPr>
      <w:r>
        <w:rPr>
          <w:rFonts w:ascii="Arial" w:hAnsi="Arial" w:cs="Arial"/>
        </w:rPr>
        <w:br w:type="page"/>
      </w:r>
    </w:p>
    <w:p w:rsidR="007368F5" w:rsidRPr="000062F6" w:rsidRDefault="007368F5" w:rsidP="00644B6D">
      <w:pPr>
        <w:spacing w:after="0" w:line="240" w:lineRule="auto"/>
        <w:rPr>
          <w:rFonts w:ascii="Arial" w:hAnsi="Arial" w:cs="Arial"/>
        </w:rPr>
      </w:pPr>
    </w:p>
    <w:p w:rsidR="007368F5" w:rsidRPr="007D178A" w:rsidRDefault="007368F5" w:rsidP="007D178A">
      <w:pPr>
        <w:spacing w:after="0" w:line="240" w:lineRule="auto"/>
        <w:rPr>
          <w:rFonts w:ascii="Arial" w:hAnsi="Arial" w:cs="Arial"/>
        </w:rPr>
      </w:pPr>
    </w:p>
    <w:p w:rsidR="007368F5" w:rsidRPr="00411234" w:rsidRDefault="007368F5" w:rsidP="008B6222">
      <w:pPr>
        <w:spacing w:after="0" w:line="240" w:lineRule="auto"/>
        <w:rPr>
          <w:rFonts w:ascii="Arial" w:hAnsi="Arial" w:cs="Arial"/>
        </w:rPr>
      </w:pPr>
    </w:p>
    <w:p w:rsidR="00491061" w:rsidRDefault="0024772C"/>
    <w:sectPr w:rsidR="00491061" w:rsidSect="00740D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SGulliver">
    <w:altName w:val="MS Mincho"/>
    <w:panose1 w:val="00000000000000000000"/>
    <w:charset w:val="80"/>
    <w:family w:val="auto"/>
    <w:notTrueType/>
    <w:pitch w:val="default"/>
    <w:sig w:usb0="00000001" w:usb1="08070000" w:usb2="00000010" w:usb3="00000000" w:csb0="00020000" w:csb1="00000000"/>
  </w:font>
  <w:font w:name="TimesNewRomanPSMT">
    <w:altName w:val="Yu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8AC" w:rsidRDefault="0024772C" w:rsidP="007A4A5A">
    <w:pPr>
      <w:pStyle w:val="Footer"/>
      <w:framePr w:wrap="around" w:vAnchor="text" w:hAnchor="margin" w:xAlign="right"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1A58AC" w:rsidRDefault="0024772C" w:rsidP="007A4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8AC" w:rsidRPr="007A4A5A" w:rsidRDefault="0024772C" w:rsidP="007A4A5A">
    <w:pPr>
      <w:pStyle w:val="Footer"/>
      <w:framePr w:wrap="around" w:vAnchor="text" w:hAnchor="margin" w:xAlign="right" w:y="1"/>
      <w:rPr>
        <w:rStyle w:val="PageNumber"/>
        <w:rFonts w:ascii="Arial" w:hAnsi="Arial" w:cs="Arial"/>
      </w:rPr>
    </w:pPr>
    <w:r w:rsidRPr="007A4A5A">
      <w:rPr>
        <w:rStyle w:val="PageNumber"/>
        <w:rFonts w:ascii="Arial" w:hAnsi="Arial" w:cs="Arial"/>
      </w:rPr>
      <w:fldChar w:fldCharType="begin"/>
    </w:r>
    <w:r w:rsidRPr="007A4A5A">
      <w:rPr>
        <w:rStyle w:val="PageNumber"/>
        <w:rFonts w:ascii="Arial" w:hAnsi="Arial" w:cs="Arial"/>
      </w:rPr>
      <w:instrText xml:space="preserve">PAGE  </w:instrText>
    </w:r>
    <w:r w:rsidRPr="007A4A5A">
      <w:rPr>
        <w:rStyle w:val="PageNumber"/>
        <w:rFonts w:ascii="Arial" w:hAnsi="Arial" w:cs="Arial"/>
      </w:rPr>
      <w:fldChar w:fldCharType="separate"/>
    </w:r>
    <w:r>
      <w:rPr>
        <w:rStyle w:val="PageNumber"/>
        <w:rFonts w:ascii="Arial" w:hAnsi="Arial" w:cs="Arial"/>
        <w:noProof/>
      </w:rPr>
      <w:t>28</w:t>
    </w:r>
    <w:r w:rsidRPr="007A4A5A">
      <w:rPr>
        <w:rStyle w:val="PageNumber"/>
        <w:rFonts w:ascii="Arial" w:hAnsi="Arial" w:cs="Arial"/>
      </w:rPr>
      <w:fldChar w:fldCharType="end"/>
    </w:r>
  </w:p>
  <w:p w:rsidR="001A58AC" w:rsidRDefault="0024772C" w:rsidP="007A4A5A">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8AC" w:rsidRDefault="0024772C" w:rsidP="004112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28F"/>
    <w:multiLevelType w:val="hybridMultilevel"/>
    <w:tmpl w:val="F654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F606F"/>
    <w:multiLevelType w:val="hybridMultilevel"/>
    <w:tmpl w:val="9DF8C1D8"/>
    <w:lvl w:ilvl="0" w:tplc="F0A47554">
      <w:start w:val="1"/>
      <w:numFmt w:val="decimal"/>
      <w:lvlText w:val="(%1)."/>
      <w:lvlJc w:val="left"/>
      <w:pPr>
        <w:ind w:left="502"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368F5"/>
    <w:rsid w:val="001022D9"/>
    <w:rsid w:val="0021053D"/>
    <w:rsid w:val="0024772C"/>
    <w:rsid w:val="007368F5"/>
    <w:rsid w:val="00813DA0"/>
    <w:rsid w:val="00986F97"/>
    <w:rsid w:val="00B6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196D"/>
  <w15:chartTrackingRefBased/>
  <w15:docId w15:val="{87EA457F-85A8-4EF0-AF71-23804E3A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8F5"/>
  </w:style>
  <w:style w:type="paragraph" w:styleId="Heading1">
    <w:name w:val="heading 1"/>
    <w:basedOn w:val="Normal"/>
    <w:link w:val="Heading1Char"/>
    <w:uiPriority w:val="9"/>
    <w:qFormat/>
    <w:rsid w:val="00736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7">
    <w:name w:val="heading 7"/>
    <w:basedOn w:val="Normal"/>
    <w:next w:val="Normal"/>
    <w:link w:val="Heading7Char"/>
    <w:uiPriority w:val="9"/>
    <w:semiHidden/>
    <w:unhideWhenUsed/>
    <w:qFormat/>
    <w:rsid w:val="007368F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rsid w:val="007368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8F5"/>
  </w:style>
  <w:style w:type="character" w:customStyle="1" w:styleId="Heading1Char">
    <w:name w:val="Heading 1 Char"/>
    <w:basedOn w:val="DefaultParagraphFont"/>
    <w:link w:val="Heading1"/>
    <w:uiPriority w:val="9"/>
    <w:rsid w:val="007368F5"/>
    <w:rPr>
      <w:rFonts w:ascii="Times New Roman" w:eastAsia="Times New Roman" w:hAnsi="Times New Roman" w:cs="Times New Roman"/>
      <w:b/>
      <w:bCs/>
      <w:kern w:val="36"/>
      <w:sz w:val="48"/>
      <w:szCs w:val="48"/>
      <w:lang w:eastAsia="en-GB"/>
    </w:rPr>
  </w:style>
  <w:style w:type="character" w:customStyle="1" w:styleId="Heading7Char">
    <w:name w:val="Heading 7 Char"/>
    <w:basedOn w:val="DefaultParagraphFont"/>
    <w:link w:val="Heading7"/>
    <w:uiPriority w:val="9"/>
    <w:rsid w:val="007368F5"/>
    <w:rPr>
      <w:rFonts w:asciiTheme="majorHAnsi" w:eastAsiaTheme="majorEastAsia" w:hAnsiTheme="majorHAnsi" w:cstheme="majorBidi"/>
      <w:i/>
      <w:iCs/>
      <w:color w:val="1F3763" w:themeColor="accent1" w:themeShade="7F"/>
    </w:rPr>
  </w:style>
  <w:style w:type="paragraph" w:styleId="NormalWeb">
    <w:name w:val="Normal (Web)"/>
    <w:basedOn w:val="Normal"/>
    <w:uiPriority w:val="99"/>
    <w:unhideWhenUsed/>
    <w:rsid w:val="00736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68F5"/>
    <w:rPr>
      <w:color w:val="0563C1" w:themeColor="hyperlink"/>
      <w:u w:val="single"/>
    </w:rPr>
  </w:style>
  <w:style w:type="paragraph" w:customStyle="1" w:styleId="EndNoteBibliographyTitle">
    <w:name w:val="EndNote Bibliography Title"/>
    <w:basedOn w:val="Normal"/>
    <w:link w:val="EndNoteBibliographyTitleChar"/>
    <w:rsid w:val="007368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68F5"/>
    <w:rPr>
      <w:rFonts w:ascii="Calibri" w:hAnsi="Calibri" w:cs="Calibri"/>
      <w:noProof/>
      <w:lang w:val="en-US"/>
    </w:rPr>
  </w:style>
  <w:style w:type="paragraph" w:customStyle="1" w:styleId="EndNoteBibliography">
    <w:name w:val="EndNote Bibliography"/>
    <w:basedOn w:val="Normal"/>
    <w:link w:val="EndNoteBibliographyChar"/>
    <w:rsid w:val="007368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68F5"/>
    <w:rPr>
      <w:rFonts w:ascii="Calibri" w:hAnsi="Calibri" w:cs="Calibri"/>
      <w:noProof/>
      <w:lang w:val="en-US"/>
    </w:rPr>
  </w:style>
  <w:style w:type="table" w:styleId="TableGrid">
    <w:name w:val="Table Grid"/>
    <w:basedOn w:val="TableNormal"/>
    <w:uiPriority w:val="39"/>
    <w:rsid w:val="007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8F5"/>
  </w:style>
  <w:style w:type="paragraph" w:styleId="Footer">
    <w:name w:val="footer"/>
    <w:basedOn w:val="Normal"/>
    <w:link w:val="FooterChar"/>
    <w:uiPriority w:val="99"/>
    <w:unhideWhenUsed/>
    <w:rsid w:val="007368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8F5"/>
  </w:style>
  <w:style w:type="character" w:styleId="PageNumber">
    <w:name w:val="page number"/>
    <w:basedOn w:val="DefaultParagraphFont"/>
    <w:uiPriority w:val="99"/>
    <w:semiHidden/>
    <w:unhideWhenUsed/>
    <w:rsid w:val="007368F5"/>
  </w:style>
  <w:style w:type="character" w:styleId="CommentReference">
    <w:name w:val="annotation reference"/>
    <w:basedOn w:val="DefaultParagraphFont"/>
    <w:uiPriority w:val="99"/>
    <w:semiHidden/>
    <w:unhideWhenUsed/>
    <w:rsid w:val="007368F5"/>
    <w:rPr>
      <w:sz w:val="18"/>
      <w:szCs w:val="18"/>
    </w:rPr>
  </w:style>
  <w:style w:type="paragraph" w:styleId="CommentText">
    <w:name w:val="annotation text"/>
    <w:basedOn w:val="Normal"/>
    <w:link w:val="CommentTextChar"/>
    <w:uiPriority w:val="99"/>
    <w:semiHidden/>
    <w:unhideWhenUsed/>
    <w:rsid w:val="007368F5"/>
    <w:pPr>
      <w:spacing w:line="240" w:lineRule="auto"/>
    </w:pPr>
    <w:rPr>
      <w:sz w:val="24"/>
      <w:szCs w:val="24"/>
    </w:rPr>
  </w:style>
  <w:style w:type="character" w:customStyle="1" w:styleId="CommentTextChar">
    <w:name w:val="Comment Text Char"/>
    <w:basedOn w:val="DefaultParagraphFont"/>
    <w:link w:val="CommentText"/>
    <w:uiPriority w:val="99"/>
    <w:semiHidden/>
    <w:rsid w:val="007368F5"/>
    <w:rPr>
      <w:sz w:val="24"/>
      <w:szCs w:val="24"/>
    </w:rPr>
  </w:style>
  <w:style w:type="paragraph" w:styleId="CommentSubject">
    <w:name w:val="annotation subject"/>
    <w:basedOn w:val="CommentText"/>
    <w:next w:val="CommentText"/>
    <w:link w:val="CommentSubjectChar"/>
    <w:uiPriority w:val="99"/>
    <w:semiHidden/>
    <w:unhideWhenUsed/>
    <w:rsid w:val="007368F5"/>
    <w:rPr>
      <w:b/>
      <w:bCs/>
      <w:sz w:val="20"/>
      <w:szCs w:val="20"/>
    </w:rPr>
  </w:style>
  <w:style w:type="character" w:customStyle="1" w:styleId="CommentSubjectChar">
    <w:name w:val="Comment Subject Char"/>
    <w:basedOn w:val="CommentTextChar"/>
    <w:link w:val="CommentSubject"/>
    <w:uiPriority w:val="99"/>
    <w:semiHidden/>
    <w:rsid w:val="007368F5"/>
    <w:rPr>
      <w:b/>
      <w:bCs/>
      <w:sz w:val="20"/>
      <w:szCs w:val="20"/>
    </w:rPr>
  </w:style>
  <w:style w:type="paragraph" w:styleId="BalloonText">
    <w:name w:val="Balloon Text"/>
    <w:basedOn w:val="Normal"/>
    <w:link w:val="BalloonTextChar"/>
    <w:uiPriority w:val="99"/>
    <w:semiHidden/>
    <w:unhideWhenUsed/>
    <w:rsid w:val="007368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8F5"/>
    <w:rPr>
      <w:rFonts w:ascii="Lucida Grande" w:hAnsi="Lucida Grande" w:cs="Lucida Grande"/>
      <w:sz w:val="18"/>
      <w:szCs w:val="18"/>
    </w:rPr>
  </w:style>
  <w:style w:type="character" w:customStyle="1" w:styleId="highlight">
    <w:name w:val="highlight"/>
    <w:basedOn w:val="DefaultParagraphFont"/>
    <w:rsid w:val="007368F5"/>
  </w:style>
  <w:style w:type="paragraph" w:styleId="Bibliography">
    <w:name w:val="Bibliography"/>
    <w:basedOn w:val="Normal"/>
    <w:next w:val="Normal"/>
    <w:uiPriority w:val="37"/>
    <w:unhideWhenUsed/>
    <w:rsid w:val="007368F5"/>
    <w:pPr>
      <w:spacing w:after="0" w:line="240" w:lineRule="auto"/>
    </w:pPr>
    <w:rPr>
      <w:rFonts w:eastAsiaTheme="minorEastAsia"/>
      <w:sz w:val="24"/>
      <w:szCs w:val="24"/>
    </w:rPr>
  </w:style>
  <w:style w:type="character" w:customStyle="1" w:styleId="UnresolvedMention1">
    <w:name w:val="Unresolved Mention1"/>
    <w:basedOn w:val="DefaultParagraphFont"/>
    <w:uiPriority w:val="99"/>
    <w:semiHidden/>
    <w:unhideWhenUsed/>
    <w:rsid w:val="007368F5"/>
    <w:rPr>
      <w:color w:val="605E5C"/>
      <w:shd w:val="clear" w:color="auto" w:fill="E1DFDD"/>
    </w:rPr>
  </w:style>
  <w:style w:type="character" w:customStyle="1" w:styleId="UnresolvedMention2">
    <w:name w:val="Unresolved Mention2"/>
    <w:basedOn w:val="DefaultParagraphFont"/>
    <w:uiPriority w:val="99"/>
    <w:semiHidden/>
    <w:unhideWhenUsed/>
    <w:rsid w:val="007368F5"/>
    <w:rPr>
      <w:color w:val="808080"/>
      <w:shd w:val="clear" w:color="auto" w:fill="E6E6E6"/>
    </w:rPr>
  </w:style>
  <w:style w:type="paragraph" w:customStyle="1" w:styleId="Normaltext">
    <w:name w:val="Normal text"/>
    <w:basedOn w:val="Normal"/>
    <w:rsid w:val="007368F5"/>
    <w:pPr>
      <w:spacing w:after="0" w:line="240" w:lineRule="auto"/>
    </w:pPr>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7368F5"/>
    <w:rPr>
      <w:color w:val="954F72" w:themeColor="followedHyperlink"/>
      <w:u w:val="single"/>
    </w:rPr>
  </w:style>
  <w:style w:type="character" w:styleId="UnresolvedMention">
    <w:name w:val="Unresolved Mention"/>
    <w:basedOn w:val="DefaultParagraphFont"/>
    <w:uiPriority w:val="99"/>
    <w:semiHidden/>
    <w:unhideWhenUsed/>
    <w:rsid w:val="007368F5"/>
    <w:rPr>
      <w:color w:val="605E5C"/>
      <w:shd w:val="clear" w:color="auto" w:fill="E1DFDD"/>
    </w:rPr>
  </w:style>
  <w:style w:type="paragraph" w:styleId="PlainText">
    <w:name w:val="Plain Text"/>
    <w:basedOn w:val="Normal"/>
    <w:link w:val="PlainTextChar"/>
    <w:uiPriority w:val="99"/>
    <w:unhideWhenUsed/>
    <w:rsid w:val="007368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68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national-curriculum/overvie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hyperlink" Target="http://www.bris.ac.uk/alspac/researchers/our-data" TargetMode="Externa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age@liverpool.ac.uk"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tionalpupildatabase.wikispaces.com/KS4" TargetMode="External"/><Relationship Id="rId4" Type="http://schemas.openxmlformats.org/officeDocument/2006/relationships/settings" Target="settings.xml"/><Relationship Id="rId9" Type="http://schemas.openxmlformats.org/officeDocument/2006/relationships/hyperlink" Target="http://www.bristol.ac.uk/alspac/researchers/our-data/link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1EE2-524F-431F-8D9D-51B7616C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8367</Words>
  <Characters>47692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Suzanne</dc:creator>
  <cp:keywords/>
  <dc:description/>
  <cp:lastModifiedBy>Gage, Suzanne</cp:lastModifiedBy>
  <cp:revision>4</cp:revision>
  <dcterms:created xsi:type="dcterms:W3CDTF">2020-08-27T09:34:00Z</dcterms:created>
  <dcterms:modified xsi:type="dcterms:W3CDTF">2020-08-27T09:55:00Z</dcterms:modified>
</cp:coreProperties>
</file>