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ECF1" w14:textId="77777777" w:rsidR="00CA04C0" w:rsidRPr="0005005C" w:rsidRDefault="00CA04C0">
      <w:pPr>
        <w:rPr>
          <w:b/>
          <w:bCs/>
        </w:rPr>
      </w:pPr>
    </w:p>
    <w:p w14:paraId="4A55738D" w14:textId="41BD4A45" w:rsidR="00CA45CA" w:rsidRPr="0005005C" w:rsidRDefault="00960C7F">
      <w:pPr>
        <w:rPr>
          <w:b/>
          <w:bCs/>
        </w:rPr>
      </w:pPr>
      <w:r w:rsidRPr="0005005C">
        <w:rPr>
          <w:b/>
          <w:bCs/>
        </w:rPr>
        <w:t>Title</w:t>
      </w:r>
    </w:p>
    <w:p w14:paraId="5AB87A6C" w14:textId="604EBC0B" w:rsidR="00810460" w:rsidRPr="0005005C" w:rsidRDefault="00B0695C">
      <w:r w:rsidRPr="0005005C">
        <w:t xml:space="preserve">The SGLT2 inhibitor </w:t>
      </w:r>
      <w:r w:rsidR="007B5B9C" w:rsidRPr="0005005C">
        <w:t xml:space="preserve">empagliflozin does not stimulate compensatory </w:t>
      </w:r>
      <w:r w:rsidR="00905305" w:rsidRPr="0005005C">
        <w:t xml:space="preserve">appetite responses in patients with </w:t>
      </w:r>
      <w:r w:rsidR="007A373F" w:rsidRPr="0005005C">
        <w:t xml:space="preserve">excess adiposity and </w:t>
      </w:r>
      <w:r w:rsidR="0087067C" w:rsidRPr="0005005C">
        <w:t>type 2 diabetes</w:t>
      </w:r>
    </w:p>
    <w:p w14:paraId="4EE5E847" w14:textId="77777777" w:rsidR="00012D1D" w:rsidRPr="0005005C" w:rsidRDefault="00012D1D">
      <w:pPr>
        <w:rPr>
          <w:b/>
          <w:bCs/>
        </w:rPr>
      </w:pPr>
    </w:p>
    <w:p w14:paraId="420C2DE2" w14:textId="15D7045F" w:rsidR="00960C7F" w:rsidRPr="0005005C" w:rsidRDefault="00F5202F">
      <w:r w:rsidRPr="0005005C">
        <w:rPr>
          <w:b/>
          <w:bCs/>
        </w:rPr>
        <w:t xml:space="preserve">Authors </w:t>
      </w:r>
    </w:p>
    <w:p w14:paraId="2A6B3C7B" w14:textId="539A32C1" w:rsidR="0091486A" w:rsidRPr="0005005C" w:rsidRDefault="00FD3997" w:rsidP="00E965D6">
      <w:pPr>
        <w:pStyle w:val="ListParagraph"/>
        <w:numPr>
          <w:ilvl w:val="0"/>
          <w:numId w:val="5"/>
        </w:numPr>
      </w:pPr>
      <w:r w:rsidRPr="0005005C">
        <w:t>Melanie J Davies</w:t>
      </w:r>
    </w:p>
    <w:p w14:paraId="3F1D8C42" w14:textId="478A4B23" w:rsidR="00FD3997" w:rsidRPr="0005005C" w:rsidRDefault="00702C3C" w:rsidP="00E965D6">
      <w:pPr>
        <w:pStyle w:val="ListParagraph"/>
        <w:numPr>
          <w:ilvl w:val="0"/>
          <w:numId w:val="5"/>
        </w:numPr>
      </w:pPr>
      <w:r w:rsidRPr="0005005C">
        <w:t xml:space="preserve">Emma </w:t>
      </w:r>
      <w:r w:rsidR="00420936" w:rsidRPr="0005005C">
        <w:t xml:space="preserve">L </w:t>
      </w:r>
      <w:r w:rsidRPr="0005005C">
        <w:t>Baldry</w:t>
      </w:r>
    </w:p>
    <w:p w14:paraId="68BBAC6A" w14:textId="29D59475" w:rsidR="007558FD" w:rsidRPr="0005005C" w:rsidRDefault="007558FD" w:rsidP="00E965D6">
      <w:pPr>
        <w:pStyle w:val="ListParagraph"/>
        <w:numPr>
          <w:ilvl w:val="0"/>
          <w:numId w:val="5"/>
        </w:numPr>
      </w:pPr>
      <w:r w:rsidRPr="0005005C">
        <w:t xml:space="preserve">Danielle </w:t>
      </w:r>
      <w:r w:rsidR="00FE0DA7" w:rsidRPr="0005005C">
        <w:t xml:space="preserve">H </w:t>
      </w:r>
      <w:r w:rsidRPr="0005005C">
        <w:t>Bod</w:t>
      </w:r>
      <w:r w:rsidR="002D591F" w:rsidRPr="0005005C">
        <w:t>ic</w:t>
      </w:r>
      <w:r w:rsidR="00F52EDF" w:rsidRPr="0005005C">
        <w:t>oat</w:t>
      </w:r>
    </w:p>
    <w:p w14:paraId="14080B02" w14:textId="4DA6ADB5" w:rsidR="001D19DA" w:rsidRPr="0005005C" w:rsidRDefault="00711F90" w:rsidP="00E965D6">
      <w:pPr>
        <w:pStyle w:val="ListParagraph"/>
        <w:numPr>
          <w:ilvl w:val="0"/>
          <w:numId w:val="5"/>
        </w:numPr>
      </w:pPr>
      <w:r w:rsidRPr="0005005C">
        <w:t xml:space="preserve">Sudesna </w:t>
      </w:r>
      <w:r w:rsidR="00B21A25" w:rsidRPr="0005005C">
        <w:t>Chatterjee</w:t>
      </w:r>
    </w:p>
    <w:p w14:paraId="57706497" w14:textId="49AA5402" w:rsidR="00C81ED3" w:rsidRPr="0005005C" w:rsidRDefault="00C81ED3" w:rsidP="00E965D6">
      <w:pPr>
        <w:pStyle w:val="ListParagraph"/>
        <w:numPr>
          <w:ilvl w:val="0"/>
          <w:numId w:val="5"/>
        </w:numPr>
      </w:pPr>
      <w:r w:rsidRPr="0005005C">
        <w:t xml:space="preserve">Charlotte </w:t>
      </w:r>
      <w:r w:rsidR="00623566" w:rsidRPr="0005005C">
        <w:t xml:space="preserve">L </w:t>
      </w:r>
      <w:r w:rsidRPr="0005005C">
        <w:t>Edwardson</w:t>
      </w:r>
    </w:p>
    <w:p w14:paraId="76F3BE93" w14:textId="6E63CBF5" w:rsidR="00C81ED3" w:rsidRPr="0005005C" w:rsidRDefault="00C81ED3" w:rsidP="00E965D6">
      <w:pPr>
        <w:pStyle w:val="ListParagraph"/>
        <w:numPr>
          <w:ilvl w:val="0"/>
          <w:numId w:val="5"/>
        </w:numPr>
      </w:pPr>
      <w:r w:rsidRPr="0005005C">
        <w:t xml:space="preserve">Laura </w:t>
      </w:r>
      <w:r w:rsidR="00FE0DA7" w:rsidRPr="0005005C">
        <w:t xml:space="preserve">J </w:t>
      </w:r>
      <w:r w:rsidRPr="0005005C">
        <w:t>Gray</w:t>
      </w:r>
    </w:p>
    <w:p w14:paraId="3C046616" w14:textId="6A66072A" w:rsidR="00C81ED3" w:rsidRPr="0005005C" w:rsidRDefault="005D5658" w:rsidP="00E965D6">
      <w:pPr>
        <w:pStyle w:val="ListParagraph"/>
        <w:numPr>
          <w:ilvl w:val="0"/>
          <w:numId w:val="5"/>
        </w:numPr>
      </w:pPr>
      <w:r w:rsidRPr="0005005C">
        <w:t>Kamlesh Khunti</w:t>
      </w:r>
    </w:p>
    <w:p w14:paraId="1E0D14FE" w14:textId="287AC9C0" w:rsidR="0061344D" w:rsidRPr="0005005C" w:rsidRDefault="0061344D" w:rsidP="00E965D6">
      <w:pPr>
        <w:pStyle w:val="ListParagraph"/>
        <w:numPr>
          <w:ilvl w:val="0"/>
          <w:numId w:val="5"/>
        </w:numPr>
      </w:pPr>
      <w:r w:rsidRPr="0005005C">
        <w:t xml:space="preserve">Jack </w:t>
      </w:r>
      <w:r w:rsidR="00623566" w:rsidRPr="0005005C">
        <w:t xml:space="preserve">A </w:t>
      </w:r>
      <w:r w:rsidRPr="0005005C">
        <w:t>Sargeant</w:t>
      </w:r>
    </w:p>
    <w:p w14:paraId="51D2B28C" w14:textId="0A4A81D2" w:rsidR="0061344D" w:rsidRPr="0005005C" w:rsidRDefault="0061344D" w:rsidP="00E965D6">
      <w:pPr>
        <w:pStyle w:val="ListParagraph"/>
        <w:numPr>
          <w:ilvl w:val="0"/>
          <w:numId w:val="5"/>
        </w:numPr>
      </w:pPr>
      <w:r w:rsidRPr="0005005C">
        <w:t xml:space="preserve">David </w:t>
      </w:r>
      <w:r w:rsidR="00623566" w:rsidRPr="0005005C">
        <w:t xml:space="preserve">J </w:t>
      </w:r>
      <w:r w:rsidRPr="0005005C">
        <w:t>Stensel</w:t>
      </w:r>
    </w:p>
    <w:p w14:paraId="67C656CD" w14:textId="55FD86C9" w:rsidR="008F5929" w:rsidRPr="0005005C" w:rsidRDefault="00BB4B8B" w:rsidP="00E965D6">
      <w:pPr>
        <w:pStyle w:val="ListParagraph"/>
        <w:numPr>
          <w:ilvl w:val="0"/>
          <w:numId w:val="5"/>
        </w:numPr>
      </w:pPr>
      <w:r w:rsidRPr="0005005C">
        <w:t xml:space="preserve">David </w:t>
      </w:r>
      <w:r w:rsidR="00623566" w:rsidRPr="0005005C">
        <w:t xml:space="preserve">R </w:t>
      </w:r>
      <w:r w:rsidRPr="0005005C">
        <w:t>Webb</w:t>
      </w:r>
    </w:p>
    <w:p w14:paraId="7A28C2CE" w14:textId="3D929B3C" w:rsidR="00BE594B" w:rsidRPr="0005005C" w:rsidRDefault="00BE594B" w:rsidP="00E965D6">
      <w:pPr>
        <w:pStyle w:val="ListParagraph"/>
        <w:numPr>
          <w:ilvl w:val="0"/>
          <w:numId w:val="5"/>
        </w:numPr>
      </w:pPr>
      <w:r w:rsidRPr="0005005C">
        <w:t xml:space="preserve">John </w:t>
      </w:r>
      <w:r w:rsidR="00A31286" w:rsidRPr="0005005C">
        <w:t xml:space="preserve">P H </w:t>
      </w:r>
      <w:r w:rsidRPr="0005005C">
        <w:t>Wilding</w:t>
      </w:r>
    </w:p>
    <w:p w14:paraId="3C5A1541" w14:textId="4704D430" w:rsidR="00775593" w:rsidRPr="0005005C" w:rsidRDefault="00775593" w:rsidP="00E965D6">
      <w:pPr>
        <w:pStyle w:val="ListParagraph"/>
        <w:numPr>
          <w:ilvl w:val="0"/>
          <w:numId w:val="5"/>
        </w:numPr>
      </w:pPr>
      <w:r w:rsidRPr="0005005C">
        <w:t xml:space="preserve">Scott </w:t>
      </w:r>
      <w:r w:rsidR="003C0403" w:rsidRPr="0005005C">
        <w:t xml:space="preserve">A </w:t>
      </w:r>
      <w:r w:rsidR="008C5263" w:rsidRPr="0005005C">
        <w:t>Willis</w:t>
      </w:r>
    </w:p>
    <w:p w14:paraId="2AC7DA93" w14:textId="5652FE00" w:rsidR="00BB4B8B" w:rsidRPr="0005005C" w:rsidRDefault="00BB4B8B" w:rsidP="00E965D6">
      <w:pPr>
        <w:pStyle w:val="ListParagraph"/>
        <w:numPr>
          <w:ilvl w:val="0"/>
          <w:numId w:val="5"/>
        </w:numPr>
      </w:pPr>
      <w:r w:rsidRPr="0005005C">
        <w:t>T</w:t>
      </w:r>
      <w:r w:rsidR="00623566" w:rsidRPr="0005005C">
        <w:t>homas</w:t>
      </w:r>
      <w:r w:rsidRPr="0005005C">
        <w:t xml:space="preserve"> Yates</w:t>
      </w:r>
    </w:p>
    <w:p w14:paraId="48E73186" w14:textId="49FC3777" w:rsidR="00F25F6B" w:rsidRPr="0005005C" w:rsidRDefault="00F25F6B" w:rsidP="00E965D6">
      <w:pPr>
        <w:pStyle w:val="ListParagraph"/>
        <w:numPr>
          <w:ilvl w:val="0"/>
          <w:numId w:val="5"/>
        </w:numPr>
      </w:pPr>
      <w:r w:rsidRPr="0005005C">
        <w:t>James A King</w:t>
      </w:r>
    </w:p>
    <w:p w14:paraId="08501D5E" w14:textId="74CF790A" w:rsidR="00A9631E" w:rsidRPr="0005005C" w:rsidRDefault="00AE68C9">
      <w:pPr>
        <w:rPr>
          <w:b/>
          <w:bCs/>
        </w:rPr>
      </w:pPr>
      <w:r w:rsidRPr="0005005C">
        <w:rPr>
          <w:b/>
          <w:bCs/>
        </w:rPr>
        <w:t xml:space="preserve">Keyword </w:t>
      </w:r>
      <w:r w:rsidR="00A9631E" w:rsidRPr="0005005C">
        <w:t>SGLT inhibitors (</w:t>
      </w:r>
      <w:r w:rsidR="008E301D" w:rsidRPr="0005005C">
        <w:t>Group 5</w:t>
      </w:r>
      <w:r w:rsidR="00A9631E" w:rsidRPr="0005005C">
        <w:t xml:space="preserve"> Clinical Science 1)</w:t>
      </w:r>
    </w:p>
    <w:p w14:paraId="745227D0" w14:textId="3F747453" w:rsidR="00F5202F" w:rsidRPr="0005005C" w:rsidRDefault="00E0327F">
      <w:pPr>
        <w:rPr>
          <w:b/>
          <w:bCs/>
        </w:rPr>
      </w:pPr>
      <w:r w:rsidRPr="0005005C">
        <w:rPr>
          <w:b/>
          <w:bCs/>
        </w:rPr>
        <w:t xml:space="preserve">Clinical trials number: </w:t>
      </w:r>
      <w:r w:rsidRPr="0005005C">
        <w:t>NCT02798744</w:t>
      </w:r>
      <w:r w:rsidR="00AE68C9" w:rsidRPr="0005005C">
        <w:rPr>
          <w:b/>
          <w:bCs/>
        </w:rPr>
        <w:t xml:space="preserve"> </w:t>
      </w:r>
    </w:p>
    <w:p w14:paraId="719F60CD" w14:textId="1280F914" w:rsidR="00E0327F" w:rsidRPr="0005005C" w:rsidRDefault="00206576">
      <w:r w:rsidRPr="0005005C">
        <w:rPr>
          <w:b/>
          <w:bCs/>
        </w:rPr>
        <w:t>Grant support (100 characters</w:t>
      </w:r>
      <w:r w:rsidR="001333FB" w:rsidRPr="0005005C">
        <w:rPr>
          <w:b/>
          <w:bCs/>
        </w:rPr>
        <w:t xml:space="preserve"> max</w:t>
      </w:r>
      <w:r w:rsidRPr="0005005C">
        <w:rPr>
          <w:b/>
          <w:bCs/>
        </w:rPr>
        <w:t xml:space="preserve">): </w:t>
      </w:r>
      <w:r w:rsidR="00D51F60" w:rsidRPr="0005005C">
        <w:t>Funded</w:t>
      </w:r>
      <w:r w:rsidR="001A2F49" w:rsidRPr="0005005C">
        <w:t xml:space="preserve"> by Boehringer Ingelheim (</w:t>
      </w:r>
      <w:r w:rsidR="00027D6B" w:rsidRPr="0005005C">
        <w:t>investigator-initiated</w:t>
      </w:r>
      <w:r w:rsidR="001A2F49" w:rsidRPr="0005005C">
        <w:t xml:space="preserve"> </w:t>
      </w:r>
      <w:r w:rsidR="00027D6B" w:rsidRPr="0005005C">
        <w:t xml:space="preserve">grant) </w:t>
      </w:r>
      <w:r w:rsidR="001A2F49" w:rsidRPr="0005005C">
        <w:t xml:space="preserve">and supported </w:t>
      </w:r>
      <w:r w:rsidR="00233D29" w:rsidRPr="0005005C">
        <w:t xml:space="preserve">in-kind </w:t>
      </w:r>
      <w:r w:rsidR="001A2F49" w:rsidRPr="0005005C">
        <w:t xml:space="preserve">by the NIHR Leicester </w:t>
      </w:r>
      <w:r w:rsidR="008E1065" w:rsidRPr="0005005C">
        <w:t>BRC</w:t>
      </w:r>
    </w:p>
    <w:p w14:paraId="38881B8F" w14:textId="77777777" w:rsidR="00BD0749" w:rsidRPr="0005005C" w:rsidRDefault="00BD0749" w:rsidP="000B437C">
      <w:pPr>
        <w:pBdr>
          <w:top w:val="single" w:sz="4" w:space="1" w:color="auto"/>
        </w:pBdr>
        <w:rPr>
          <w:b/>
          <w:bCs/>
        </w:rPr>
      </w:pPr>
    </w:p>
    <w:p w14:paraId="0D3D569D" w14:textId="3F8912DF" w:rsidR="009C1DBA" w:rsidRPr="0005005C" w:rsidRDefault="009C1DBA" w:rsidP="000B437C">
      <w:pPr>
        <w:pBdr>
          <w:top w:val="single" w:sz="4" w:space="1" w:color="auto"/>
        </w:pBdr>
        <w:rPr>
          <w:b/>
          <w:bCs/>
        </w:rPr>
      </w:pPr>
      <w:r w:rsidRPr="0005005C">
        <w:rPr>
          <w:b/>
          <w:bCs/>
        </w:rPr>
        <w:t>Abstract</w:t>
      </w:r>
      <w:bookmarkStart w:id="0" w:name="_GoBack"/>
      <w:bookmarkEnd w:id="0"/>
      <w:r w:rsidRPr="0005005C">
        <w:rPr>
          <w:b/>
          <w:bCs/>
        </w:rPr>
        <w:t xml:space="preserve"> </w:t>
      </w:r>
    </w:p>
    <w:p w14:paraId="1C4E309E" w14:textId="04339599" w:rsidR="00E05202" w:rsidRPr="0005005C" w:rsidRDefault="00785958" w:rsidP="004360B9">
      <w:pPr>
        <w:spacing w:after="0" w:line="480" w:lineRule="auto"/>
        <w:jc w:val="both"/>
      </w:pPr>
      <w:r w:rsidRPr="0005005C">
        <w:rPr>
          <w:b/>
          <w:bCs/>
        </w:rPr>
        <w:t>Background and aims</w:t>
      </w:r>
      <w:r w:rsidR="009D04CE" w:rsidRPr="0005005C">
        <w:rPr>
          <w:b/>
          <w:bCs/>
        </w:rPr>
        <w:t xml:space="preserve">: </w:t>
      </w:r>
      <w:r w:rsidR="008B3283" w:rsidRPr="0005005C">
        <w:t>In patients with type 2 diabetes</w:t>
      </w:r>
      <w:r w:rsidR="00F25F6B" w:rsidRPr="0005005C">
        <w:t xml:space="preserve"> (T2D)</w:t>
      </w:r>
      <w:r w:rsidR="006D0D45" w:rsidRPr="0005005C">
        <w:t>,</w:t>
      </w:r>
      <w:r w:rsidR="008B3283" w:rsidRPr="0005005C">
        <w:rPr>
          <w:b/>
          <w:bCs/>
        </w:rPr>
        <w:t xml:space="preserve"> </w:t>
      </w:r>
      <w:r w:rsidR="001115E8" w:rsidRPr="0005005C">
        <w:t>SGLT</w:t>
      </w:r>
      <w:r w:rsidR="00042863" w:rsidRPr="0005005C">
        <w:t xml:space="preserve">2 inhibitors </w:t>
      </w:r>
      <w:r w:rsidR="00625BB5" w:rsidRPr="0005005C">
        <w:t>(SGLT2i</w:t>
      </w:r>
      <w:r w:rsidR="00962444" w:rsidRPr="0005005C">
        <w:t>s</w:t>
      </w:r>
      <w:r w:rsidR="00625BB5" w:rsidRPr="0005005C">
        <w:t xml:space="preserve">) </w:t>
      </w:r>
      <w:r w:rsidR="00830E02" w:rsidRPr="0005005C">
        <w:t xml:space="preserve">lower </w:t>
      </w:r>
      <w:r w:rsidR="00230D95" w:rsidRPr="0005005C">
        <w:t xml:space="preserve">HbA1c </w:t>
      </w:r>
      <w:r w:rsidR="002D0D42" w:rsidRPr="0005005C">
        <w:t xml:space="preserve">and </w:t>
      </w:r>
      <w:r w:rsidR="0057036E" w:rsidRPr="0005005C">
        <w:t>cause</w:t>
      </w:r>
      <w:r w:rsidR="002D0D42" w:rsidRPr="0005005C">
        <w:t xml:space="preserve"> weight loss; however, </w:t>
      </w:r>
      <w:r w:rsidR="00CA2911" w:rsidRPr="0005005C">
        <w:t xml:space="preserve">observed weight </w:t>
      </w:r>
      <w:r w:rsidR="001D4444" w:rsidRPr="0005005C">
        <w:t>change</w:t>
      </w:r>
      <w:r w:rsidR="00CA2911" w:rsidRPr="0005005C">
        <w:t xml:space="preserve"> is less than predicted </w:t>
      </w:r>
      <w:r w:rsidR="004F4E02" w:rsidRPr="0005005C">
        <w:t xml:space="preserve">by </w:t>
      </w:r>
      <w:r w:rsidR="00215BCF" w:rsidRPr="0005005C">
        <w:t>modelling</w:t>
      </w:r>
      <w:r w:rsidR="001D4444" w:rsidRPr="0005005C">
        <w:t>.</w:t>
      </w:r>
      <w:r w:rsidR="0057036E" w:rsidRPr="0005005C">
        <w:t xml:space="preserve"> </w:t>
      </w:r>
      <w:r w:rsidR="0030319B" w:rsidRPr="0005005C">
        <w:t xml:space="preserve">This study tested the hypothesis that </w:t>
      </w:r>
      <w:r w:rsidR="00F72EF6" w:rsidRPr="0005005C">
        <w:t xml:space="preserve">compensatory changes </w:t>
      </w:r>
      <w:r w:rsidR="00F93245" w:rsidRPr="0005005C">
        <w:t>in appetite</w:t>
      </w:r>
      <w:r w:rsidR="006D1A71" w:rsidRPr="0005005C">
        <w:t>,</w:t>
      </w:r>
      <w:r w:rsidR="00F93245" w:rsidRPr="0005005C">
        <w:t xml:space="preserve"> and appetite-related hormones</w:t>
      </w:r>
      <w:r w:rsidR="006D1A71" w:rsidRPr="0005005C">
        <w:t xml:space="preserve">, </w:t>
      </w:r>
      <w:r w:rsidR="00DF0C55" w:rsidRPr="0005005C">
        <w:t xml:space="preserve">explain </w:t>
      </w:r>
      <w:r w:rsidR="005116B5" w:rsidRPr="0005005C">
        <w:t xml:space="preserve">this less-than-expected </w:t>
      </w:r>
      <w:r w:rsidR="007A187A" w:rsidRPr="0005005C">
        <w:t xml:space="preserve">weight loss </w:t>
      </w:r>
      <w:r w:rsidR="008A0DC0" w:rsidRPr="0005005C">
        <w:t>with</w:t>
      </w:r>
      <w:r w:rsidR="005116B5" w:rsidRPr="0005005C">
        <w:t xml:space="preserve"> SGLT2is</w:t>
      </w:r>
      <w:r w:rsidR="0065639C" w:rsidRPr="0005005C">
        <w:t>.</w:t>
      </w:r>
    </w:p>
    <w:p w14:paraId="207EE766" w14:textId="77777777" w:rsidR="007003A6" w:rsidRPr="0005005C" w:rsidRDefault="007003A6" w:rsidP="004360B9">
      <w:pPr>
        <w:spacing w:after="0" w:line="480" w:lineRule="auto"/>
        <w:jc w:val="both"/>
      </w:pPr>
    </w:p>
    <w:p w14:paraId="5F0A0556" w14:textId="493AF770" w:rsidR="001F3A98" w:rsidRPr="0005005C" w:rsidRDefault="009C1DBA" w:rsidP="002A6C0A">
      <w:pPr>
        <w:spacing w:after="0" w:line="480" w:lineRule="auto"/>
        <w:jc w:val="both"/>
        <w:rPr>
          <w:b/>
          <w:bCs/>
        </w:rPr>
      </w:pPr>
      <w:r w:rsidRPr="0005005C">
        <w:rPr>
          <w:b/>
          <w:bCs/>
        </w:rPr>
        <w:t>Materials and methods</w:t>
      </w:r>
      <w:r w:rsidR="00BC731C" w:rsidRPr="0005005C">
        <w:rPr>
          <w:b/>
          <w:bCs/>
        </w:rPr>
        <w:t xml:space="preserve">: </w:t>
      </w:r>
      <w:r w:rsidR="006A3127" w:rsidRPr="0005005C">
        <w:t>In</w:t>
      </w:r>
      <w:r w:rsidR="00986239" w:rsidRPr="0005005C">
        <w:t xml:space="preserve"> a </w:t>
      </w:r>
      <w:r w:rsidR="00E139E9" w:rsidRPr="0005005C">
        <w:t>24-week</w:t>
      </w:r>
      <w:r w:rsidR="00707C23" w:rsidRPr="0005005C">
        <w:t xml:space="preserve"> </w:t>
      </w:r>
      <w:r w:rsidR="00986239" w:rsidRPr="0005005C">
        <w:t>prospective, double-blind placebo-controlled trial</w:t>
      </w:r>
      <w:r w:rsidR="006A3127" w:rsidRPr="0005005C">
        <w:t xml:space="preserve">, </w:t>
      </w:r>
      <w:r w:rsidR="00C62C43" w:rsidRPr="0005005C">
        <w:t xml:space="preserve">patients with overweight / obesity </w:t>
      </w:r>
      <w:r w:rsidR="006C3187" w:rsidRPr="0005005C">
        <w:t xml:space="preserve">and </w:t>
      </w:r>
      <w:r w:rsidR="005116B5" w:rsidRPr="0005005C">
        <w:t>T2D</w:t>
      </w:r>
      <w:r w:rsidR="006C3187" w:rsidRPr="0005005C">
        <w:t xml:space="preserve"> </w:t>
      </w:r>
      <w:r w:rsidR="00DE0AEB" w:rsidRPr="0005005C">
        <w:t>(age</w:t>
      </w:r>
      <w:r w:rsidR="00186715" w:rsidRPr="0005005C">
        <w:t xml:space="preserve"> 30 – 7</w:t>
      </w:r>
      <w:r w:rsidR="003E7E76" w:rsidRPr="0005005C">
        <w:t>5</w:t>
      </w:r>
      <w:r w:rsidR="00186715" w:rsidRPr="0005005C">
        <w:t xml:space="preserve"> years, BM</w:t>
      </w:r>
      <w:r w:rsidR="00740926" w:rsidRPr="0005005C">
        <w:t xml:space="preserve">I </w:t>
      </w:r>
      <w:r w:rsidR="00740926" w:rsidRPr="0005005C">
        <w:rPr>
          <w:rFonts w:cstheme="minorHAnsi"/>
        </w:rPr>
        <w:t>≥</w:t>
      </w:r>
      <w:r w:rsidR="00740926" w:rsidRPr="0005005C">
        <w:t xml:space="preserve"> 25kg/m</w:t>
      </w:r>
      <w:r w:rsidR="00740926" w:rsidRPr="0005005C">
        <w:rPr>
          <w:vertAlign w:val="superscript"/>
        </w:rPr>
        <w:t xml:space="preserve">2 </w:t>
      </w:r>
      <w:r w:rsidR="00740926" w:rsidRPr="0005005C">
        <w:t xml:space="preserve">) </w:t>
      </w:r>
      <w:r w:rsidR="006C3187" w:rsidRPr="0005005C">
        <w:t xml:space="preserve">were randomised </w:t>
      </w:r>
      <w:r w:rsidR="00644DC7" w:rsidRPr="0005005C">
        <w:t xml:space="preserve">(1:1:1:1) </w:t>
      </w:r>
      <w:r w:rsidR="006C3187" w:rsidRPr="0005005C">
        <w:t>to one of four treatment arms: 1) placebo</w:t>
      </w:r>
      <w:r w:rsidR="005116B5" w:rsidRPr="0005005C">
        <w:t xml:space="preserve"> </w:t>
      </w:r>
      <w:r w:rsidR="006756FE" w:rsidRPr="0005005C">
        <w:t>[</w:t>
      </w:r>
      <w:r w:rsidR="005116B5" w:rsidRPr="0005005C">
        <w:t>PLA</w:t>
      </w:r>
      <w:r w:rsidR="006756FE" w:rsidRPr="0005005C">
        <w:t>]</w:t>
      </w:r>
      <w:r w:rsidR="006C3187" w:rsidRPr="0005005C">
        <w:t xml:space="preserve">; 2) empagliflozin 25mg/day [EMPA]; 3) diet-induced weight loss [DIET]; 4) empagliflozin 25mg/day plus diet-induced weight loss </w:t>
      </w:r>
      <w:r w:rsidR="006756FE" w:rsidRPr="0005005C">
        <w:t>[</w:t>
      </w:r>
      <w:r w:rsidR="006C3187" w:rsidRPr="0005005C">
        <w:t>EMPA</w:t>
      </w:r>
      <w:r w:rsidR="00ED0398" w:rsidRPr="0005005C">
        <w:t>+</w:t>
      </w:r>
      <w:r w:rsidR="006C3187" w:rsidRPr="0005005C">
        <w:t>DIET</w:t>
      </w:r>
      <w:r w:rsidR="006756FE" w:rsidRPr="0005005C">
        <w:t>]</w:t>
      </w:r>
      <w:r w:rsidR="00744A6A" w:rsidRPr="0005005C">
        <w:t>;</w:t>
      </w:r>
      <w:r w:rsidR="009A4657" w:rsidRPr="0005005C">
        <w:t xml:space="preserve"> and assessed at 0, </w:t>
      </w:r>
      <w:r w:rsidR="009A4657" w:rsidRPr="0005005C">
        <w:lastRenderedPageBreak/>
        <w:t>2, 6, 12 and 24 weeks</w:t>
      </w:r>
      <w:r w:rsidR="006C3187" w:rsidRPr="0005005C">
        <w:t xml:space="preserve">. </w:t>
      </w:r>
      <w:r w:rsidR="006756FE" w:rsidRPr="0005005C">
        <w:t xml:space="preserve">DIET </w:t>
      </w:r>
      <w:r w:rsidR="009A4657" w:rsidRPr="0005005C">
        <w:t>and</w:t>
      </w:r>
      <w:r w:rsidR="006756FE" w:rsidRPr="0005005C">
        <w:t xml:space="preserve"> EMPA+DIET</w:t>
      </w:r>
      <w:r w:rsidR="005E0939" w:rsidRPr="0005005C">
        <w:t xml:space="preserve"> </w:t>
      </w:r>
      <w:r w:rsidR="009A4657" w:rsidRPr="0005005C">
        <w:t xml:space="preserve">groups </w:t>
      </w:r>
      <w:r w:rsidR="005E0939" w:rsidRPr="0005005C">
        <w:t xml:space="preserve">were supported to </w:t>
      </w:r>
      <w:r w:rsidR="00CD533B" w:rsidRPr="0005005C">
        <w:t>reduce</w:t>
      </w:r>
      <w:r w:rsidR="005E0939" w:rsidRPr="0005005C">
        <w:t xml:space="preserve"> energy intake </w:t>
      </w:r>
      <w:r w:rsidR="00E56BA3" w:rsidRPr="0005005C">
        <w:t xml:space="preserve">by </w:t>
      </w:r>
      <w:r w:rsidR="00600541" w:rsidRPr="0005005C">
        <w:t>1500kJ</w:t>
      </w:r>
      <w:r w:rsidR="0072407E" w:rsidRPr="0005005C">
        <w:t xml:space="preserve">/day. </w:t>
      </w:r>
      <w:r w:rsidR="00585991" w:rsidRPr="0005005C">
        <w:t>The primary</w:t>
      </w:r>
      <w:r w:rsidR="00F86BA2" w:rsidRPr="0005005C">
        <w:t xml:space="preserve"> outcome was </w:t>
      </w:r>
      <w:r w:rsidR="00A6129C" w:rsidRPr="0005005C">
        <w:t xml:space="preserve">circulating total peptide-YY </w:t>
      </w:r>
      <w:r w:rsidR="00746B24" w:rsidRPr="0005005C">
        <w:t xml:space="preserve">(PYY) </w:t>
      </w:r>
      <w:r w:rsidR="00DC3070" w:rsidRPr="0005005C">
        <w:t>concentrations</w:t>
      </w:r>
      <w:r w:rsidR="00746B24" w:rsidRPr="0005005C">
        <w:t xml:space="preserve"> </w:t>
      </w:r>
      <w:r w:rsidR="00E2002C" w:rsidRPr="0005005C">
        <w:t>over</w:t>
      </w:r>
      <w:r w:rsidR="00237D1D" w:rsidRPr="0005005C">
        <w:t xml:space="preserve"> a </w:t>
      </w:r>
      <w:r w:rsidR="005116B5" w:rsidRPr="0005005C">
        <w:t>3</w:t>
      </w:r>
      <w:r w:rsidR="002B12A6" w:rsidRPr="0005005C">
        <w:t>-hour mixed meal tolerance test</w:t>
      </w:r>
      <w:r w:rsidR="00E2002C" w:rsidRPr="0005005C">
        <w:t xml:space="preserve"> </w:t>
      </w:r>
      <w:r w:rsidR="00D06C94" w:rsidRPr="0005005C">
        <w:t>(33</w:t>
      </w:r>
      <w:r w:rsidR="006E591B" w:rsidRPr="0005005C">
        <w:t>% of estimated daily energy requirements)</w:t>
      </w:r>
      <w:r w:rsidR="009059F8" w:rsidRPr="0005005C">
        <w:t xml:space="preserve"> at 24 weeks</w:t>
      </w:r>
      <w:r w:rsidR="006E591B" w:rsidRPr="0005005C">
        <w:t xml:space="preserve">. </w:t>
      </w:r>
      <w:r w:rsidR="0075182B" w:rsidRPr="0005005C">
        <w:t>Secondary</w:t>
      </w:r>
      <w:r w:rsidR="004675C0" w:rsidRPr="0005005C">
        <w:t xml:space="preserve"> outcomes included </w:t>
      </w:r>
      <w:r w:rsidR="000236A9" w:rsidRPr="0005005C">
        <w:t xml:space="preserve">circulating </w:t>
      </w:r>
      <w:r w:rsidR="0063216A" w:rsidRPr="0005005C">
        <w:t xml:space="preserve">concentrations of </w:t>
      </w:r>
      <w:r w:rsidR="007003A6" w:rsidRPr="0005005C">
        <w:t>acyl</w:t>
      </w:r>
      <w:r w:rsidR="00F04296" w:rsidRPr="0005005C">
        <w:t xml:space="preserve"> ghrelin, GLP-1</w:t>
      </w:r>
      <w:r w:rsidR="00E73015" w:rsidRPr="0005005C">
        <w:t xml:space="preserve">, </w:t>
      </w:r>
      <w:r w:rsidR="000C20A9" w:rsidRPr="0005005C">
        <w:t>leptin (fasted)</w:t>
      </w:r>
      <w:r w:rsidR="00C009C3" w:rsidRPr="0005005C">
        <w:t>,</w:t>
      </w:r>
      <w:r w:rsidR="0063216A" w:rsidRPr="0005005C">
        <w:t xml:space="preserve"> subjective appetite perceptions</w:t>
      </w:r>
      <w:r w:rsidR="007847DF" w:rsidRPr="0005005C">
        <w:t xml:space="preserve"> (100 mm </w:t>
      </w:r>
      <w:r w:rsidR="006C1F23" w:rsidRPr="0005005C">
        <w:t>visual analogue scales)</w:t>
      </w:r>
      <w:r w:rsidR="002A27F4" w:rsidRPr="0005005C">
        <w:t>,</w:t>
      </w:r>
      <w:r w:rsidR="009A4657" w:rsidRPr="0005005C">
        <w:t xml:space="preserve"> body composition (DEXA) and physical activity (</w:t>
      </w:r>
      <w:r w:rsidR="00F23F10" w:rsidRPr="0005005C">
        <w:t>waist</w:t>
      </w:r>
      <w:r w:rsidR="009A4657" w:rsidRPr="0005005C">
        <w:t xml:space="preserve">-worn </w:t>
      </w:r>
      <w:proofErr w:type="spellStart"/>
      <w:r w:rsidR="009D131F" w:rsidRPr="0005005C">
        <w:t>accelerometry</w:t>
      </w:r>
      <w:proofErr w:type="spellEnd"/>
      <w:r w:rsidR="009A4657" w:rsidRPr="0005005C">
        <w:t>)</w:t>
      </w:r>
      <w:r w:rsidR="00DC3070" w:rsidRPr="0005005C">
        <w:t xml:space="preserve">. </w:t>
      </w:r>
      <w:r w:rsidR="005116B5" w:rsidRPr="0005005C">
        <w:t>D</w:t>
      </w:r>
      <w:r w:rsidR="001E15A5" w:rsidRPr="0005005C">
        <w:t xml:space="preserve">ata were analysed using </w:t>
      </w:r>
      <w:r w:rsidR="00F725C2" w:rsidRPr="0005005C">
        <w:t xml:space="preserve">generalised linear models </w:t>
      </w:r>
      <w:r w:rsidR="005A42E0" w:rsidRPr="0005005C">
        <w:t xml:space="preserve">at each time-point </w:t>
      </w:r>
      <w:r w:rsidR="005116B5" w:rsidRPr="0005005C">
        <w:t>comparing each group with PLA</w:t>
      </w:r>
      <w:r w:rsidR="00551484" w:rsidRPr="0005005C">
        <w:t>;</w:t>
      </w:r>
      <w:r w:rsidR="005116B5" w:rsidRPr="0005005C">
        <w:t xml:space="preserve"> </w:t>
      </w:r>
      <w:r w:rsidR="005E6E89" w:rsidRPr="0005005C">
        <w:t>adjusting for baseline</w:t>
      </w:r>
      <w:r w:rsidR="00496981" w:rsidRPr="0005005C">
        <w:t>, age</w:t>
      </w:r>
      <w:r w:rsidR="003D69A5" w:rsidRPr="0005005C">
        <w:t xml:space="preserve"> and BMI</w:t>
      </w:r>
      <w:r w:rsidR="00843B53" w:rsidRPr="0005005C">
        <w:t>.</w:t>
      </w:r>
      <w:r w:rsidR="00E80EC3" w:rsidRPr="0005005C">
        <w:t xml:space="preserve"> </w:t>
      </w:r>
      <w:r w:rsidR="0003544D" w:rsidRPr="0005005C">
        <w:t>G</w:t>
      </w:r>
      <w:r w:rsidR="00425BB2" w:rsidRPr="0005005C">
        <w:t xml:space="preserve">eneralised estimating equations </w:t>
      </w:r>
      <w:r w:rsidR="00346D34" w:rsidRPr="0005005C">
        <w:t xml:space="preserve">(GEE) </w:t>
      </w:r>
      <w:r w:rsidR="001D0A31" w:rsidRPr="0005005C">
        <w:t xml:space="preserve">examined </w:t>
      </w:r>
      <w:r w:rsidR="004C399B" w:rsidRPr="0005005C">
        <w:t xml:space="preserve">overall treatment effects </w:t>
      </w:r>
      <w:r w:rsidR="00A479AD" w:rsidRPr="0005005C">
        <w:t>irrespective of time-point.</w:t>
      </w:r>
    </w:p>
    <w:p w14:paraId="67F806D3" w14:textId="77777777" w:rsidR="002A6C0A" w:rsidRPr="0005005C" w:rsidRDefault="002A6C0A" w:rsidP="002A6C0A">
      <w:pPr>
        <w:spacing w:after="0" w:line="480" w:lineRule="auto"/>
        <w:jc w:val="both"/>
        <w:rPr>
          <w:b/>
          <w:bCs/>
        </w:rPr>
      </w:pPr>
    </w:p>
    <w:p w14:paraId="0DF9FF0E" w14:textId="0053CCFE" w:rsidR="00343582" w:rsidRPr="0005005C" w:rsidRDefault="009C1DBA" w:rsidP="00A55C29">
      <w:pPr>
        <w:spacing w:after="0" w:line="480" w:lineRule="auto"/>
        <w:jc w:val="both"/>
      </w:pPr>
      <w:r w:rsidRPr="0005005C">
        <w:rPr>
          <w:b/>
          <w:bCs/>
        </w:rPr>
        <w:t>Results</w:t>
      </w:r>
      <w:r w:rsidR="00EE4223" w:rsidRPr="0005005C">
        <w:rPr>
          <w:b/>
          <w:bCs/>
        </w:rPr>
        <w:t xml:space="preserve">: </w:t>
      </w:r>
      <w:r w:rsidR="005116B5" w:rsidRPr="0005005C">
        <w:t>68</w:t>
      </w:r>
      <w:r w:rsidR="001C6C42" w:rsidRPr="0005005C">
        <w:t xml:space="preserve"> participants</w:t>
      </w:r>
      <w:r w:rsidR="000F7855" w:rsidRPr="0005005C">
        <w:t xml:space="preserve"> </w:t>
      </w:r>
      <w:r w:rsidR="001C6C42" w:rsidRPr="0005005C">
        <w:t xml:space="preserve">were randomised </w:t>
      </w:r>
      <w:r w:rsidR="001E63A5" w:rsidRPr="0005005C">
        <w:t>(</w:t>
      </w:r>
      <w:r w:rsidR="00F337F1" w:rsidRPr="0005005C">
        <w:t>med</w:t>
      </w:r>
      <w:r w:rsidR="000201CF" w:rsidRPr="0005005C">
        <w:t>ian [IQR]</w:t>
      </w:r>
      <w:r w:rsidR="008A1796" w:rsidRPr="0005005C">
        <w:t xml:space="preserve">; age </w:t>
      </w:r>
      <w:r w:rsidR="005F145F" w:rsidRPr="0005005C">
        <w:t xml:space="preserve">63 </w:t>
      </w:r>
      <w:r w:rsidR="00002E69" w:rsidRPr="0005005C">
        <w:t>[</w:t>
      </w:r>
      <w:r w:rsidR="0087338D" w:rsidRPr="0005005C">
        <w:t>57, 69</w:t>
      </w:r>
      <w:r w:rsidR="00002E69" w:rsidRPr="0005005C">
        <w:t>]</w:t>
      </w:r>
      <w:r w:rsidR="009B5D45" w:rsidRPr="0005005C">
        <w:t xml:space="preserve"> years</w:t>
      </w:r>
      <w:r w:rsidR="00002E69" w:rsidRPr="0005005C">
        <w:t>;</w:t>
      </w:r>
      <w:r w:rsidR="00CC6373" w:rsidRPr="0005005C">
        <w:t xml:space="preserve"> </w:t>
      </w:r>
      <w:r w:rsidR="00C44515" w:rsidRPr="0005005C">
        <w:t>BMI</w:t>
      </w:r>
      <w:r w:rsidR="00002E69" w:rsidRPr="0005005C">
        <w:t xml:space="preserve"> </w:t>
      </w:r>
      <w:r w:rsidR="000E5334" w:rsidRPr="0005005C">
        <w:t>31.8 [</w:t>
      </w:r>
      <w:r w:rsidR="00073CC5" w:rsidRPr="0005005C">
        <w:t>29.2, 35.1]</w:t>
      </w:r>
      <w:r w:rsidR="00C44515" w:rsidRPr="0005005C">
        <w:t xml:space="preserve"> </w:t>
      </w:r>
      <w:r w:rsidR="009B5D45" w:rsidRPr="0005005C">
        <w:t>kg/m</w:t>
      </w:r>
      <w:r w:rsidR="009B5D45" w:rsidRPr="0005005C">
        <w:rPr>
          <w:vertAlign w:val="superscript"/>
        </w:rPr>
        <w:t>2</w:t>
      </w:r>
      <w:r w:rsidR="009B5D45" w:rsidRPr="0005005C">
        <w:t xml:space="preserve">; </w:t>
      </w:r>
      <w:r w:rsidR="00FE5376" w:rsidRPr="0005005C">
        <w:t xml:space="preserve">HbA1c </w:t>
      </w:r>
      <w:r w:rsidR="008D088E" w:rsidRPr="0005005C">
        <w:t>6.8 [</w:t>
      </w:r>
      <w:r w:rsidR="004913C9" w:rsidRPr="0005005C">
        <w:t>6.6 -7.</w:t>
      </w:r>
      <w:proofErr w:type="gramStart"/>
      <w:r w:rsidR="004913C9" w:rsidRPr="0005005C">
        <w:t>2</w:t>
      </w:r>
      <w:r w:rsidR="008D088E" w:rsidRPr="0005005C">
        <w:t>]</w:t>
      </w:r>
      <w:r w:rsidR="00137318" w:rsidRPr="0005005C">
        <w:t>%</w:t>
      </w:r>
      <w:proofErr w:type="gramEnd"/>
      <w:r w:rsidR="00D743FB" w:rsidRPr="0005005C">
        <w:t xml:space="preserve"> 51 (49-55mmol/mol)</w:t>
      </w:r>
      <w:r w:rsidR="00137318" w:rsidRPr="0005005C">
        <w:t xml:space="preserve">; </w:t>
      </w:r>
      <w:r w:rsidR="00CC6373" w:rsidRPr="0005005C">
        <w:t>diabetes duration</w:t>
      </w:r>
      <w:r w:rsidR="00073CC5" w:rsidRPr="0005005C">
        <w:t xml:space="preserve"> 6 [4,10]</w:t>
      </w:r>
      <w:r w:rsidR="009B5D45" w:rsidRPr="0005005C">
        <w:t xml:space="preserve"> years</w:t>
      </w:r>
      <w:r w:rsidR="00491D3A" w:rsidRPr="0005005C">
        <w:t xml:space="preserve">; </w:t>
      </w:r>
      <w:r w:rsidR="00391F3A" w:rsidRPr="0005005C">
        <w:t>35% female</w:t>
      </w:r>
      <w:r w:rsidR="00E453C8" w:rsidRPr="0005005C">
        <w:t>;</w:t>
      </w:r>
      <w:r w:rsidR="00D944CF" w:rsidRPr="0005005C">
        <w:t xml:space="preserve"> with </w:t>
      </w:r>
      <w:r w:rsidR="00F03B79" w:rsidRPr="0005005C">
        <w:t>primary outcome data available for 61</w:t>
      </w:r>
      <w:r w:rsidR="008432F5" w:rsidRPr="0005005C">
        <w:t xml:space="preserve">. </w:t>
      </w:r>
      <w:r w:rsidR="00466C45" w:rsidRPr="0005005C">
        <w:t>C</w:t>
      </w:r>
      <w:r w:rsidR="00D7271E" w:rsidRPr="0005005C">
        <w:t xml:space="preserve">irculating concentrations of PYY </w:t>
      </w:r>
      <w:r w:rsidR="0072688C" w:rsidRPr="0005005C">
        <w:t xml:space="preserve">were </w:t>
      </w:r>
      <w:r w:rsidR="00CE692A" w:rsidRPr="0005005C">
        <w:t>no different vs PLA in any treatment arm at 24</w:t>
      </w:r>
      <w:r w:rsidR="003A376A" w:rsidRPr="0005005C">
        <w:t xml:space="preserve"> weeks</w:t>
      </w:r>
      <w:r w:rsidR="00EE3CA9" w:rsidRPr="0005005C">
        <w:t xml:space="preserve">; but were elevated </w:t>
      </w:r>
      <w:r w:rsidR="00DE08CD" w:rsidRPr="0005005C">
        <w:t>in EMPA at 12</w:t>
      </w:r>
      <w:r w:rsidR="003515E3" w:rsidRPr="0005005C">
        <w:t xml:space="preserve"> </w:t>
      </w:r>
      <w:r w:rsidR="00DE08CD" w:rsidRPr="0005005C">
        <w:t xml:space="preserve">weeks </w:t>
      </w:r>
      <w:r w:rsidR="00FB4D76" w:rsidRPr="0005005C">
        <w:t>(</w:t>
      </w:r>
      <w:r w:rsidR="00FB4D76" w:rsidRPr="0005005C">
        <w:rPr>
          <w:i/>
          <w:iCs/>
        </w:rPr>
        <w:t>P</w:t>
      </w:r>
      <w:r w:rsidR="00FB4D76" w:rsidRPr="0005005C">
        <w:t xml:space="preserve"> </w:t>
      </w:r>
      <w:r w:rsidR="00A7774B" w:rsidRPr="0005005C">
        <w:t>= 0.003).</w:t>
      </w:r>
      <w:r w:rsidR="00E16A41" w:rsidRPr="0005005C">
        <w:t xml:space="preserve"> </w:t>
      </w:r>
      <w:r w:rsidR="0090448C" w:rsidRPr="0005005C">
        <w:t xml:space="preserve">Circulating </w:t>
      </w:r>
      <w:r w:rsidR="0010234C" w:rsidRPr="0005005C">
        <w:t xml:space="preserve">acyl ghrelin and GLP-1 </w:t>
      </w:r>
      <w:r w:rsidR="007331AA" w:rsidRPr="0005005C">
        <w:t xml:space="preserve">remained </w:t>
      </w:r>
      <w:r w:rsidR="00C03090" w:rsidRPr="0005005C">
        <w:t xml:space="preserve">unchanged at </w:t>
      </w:r>
      <w:r w:rsidR="00846912" w:rsidRPr="0005005C">
        <w:t>all time-points; however</w:t>
      </w:r>
      <w:r w:rsidR="002D274B" w:rsidRPr="0005005C">
        <w:t>,</w:t>
      </w:r>
      <w:r w:rsidR="00846912" w:rsidRPr="0005005C">
        <w:t xml:space="preserve"> </w:t>
      </w:r>
      <w:r w:rsidR="00E438CF" w:rsidRPr="0005005C">
        <w:t xml:space="preserve">GEE </w:t>
      </w:r>
      <w:r w:rsidR="00ED59D6" w:rsidRPr="0005005C">
        <w:t xml:space="preserve">showed that </w:t>
      </w:r>
      <w:r w:rsidR="008010B5" w:rsidRPr="0005005C">
        <w:t>GLP-1 was</w:t>
      </w:r>
      <w:r w:rsidR="005705F6" w:rsidRPr="0005005C">
        <w:t xml:space="preserve"> </w:t>
      </w:r>
      <w:r w:rsidR="007A65D3" w:rsidRPr="0005005C">
        <w:t>generally</w:t>
      </w:r>
      <w:r w:rsidR="008010B5" w:rsidRPr="0005005C">
        <w:t xml:space="preserve"> </w:t>
      </w:r>
      <w:r w:rsidR="007A65D3" w:rsidRPr="0005005C">
        <w:t>higher</w:t>
      </w:r>
      <w:r w:rsidR="002D274B" w:rsidRPr="0005005C">
        <w:t xml:space="preserve"> </w:t>
      </w:r>
      <w:r w:rsidR="0020648A" w:rsidRPr="0005005C">
        <w:t xml:space="preserve">in EMPA </w:t>
      </w:r>
      <w:r w:rsidR="0094648C" w:rsidRPr="0005005C">
        <w:t>vs PLA</w:t>
      </w:r>
      <w:r w:rsidR="002D274B" w:rsidRPr="0005005C">
        <w:t xml:space="preserve"> (</w:t>
      </w:r>
      <w:r w:rsidR="002D274B" w:rsidRPr="0005005C">
        <w:rPr>
          <w:i/>
          <w:iCs/>
        </w:rPr>
        <w:t>P</w:t>
      </w:r>
      <w:r w:rsidR="002D274B" w:rsidRPr="0005005C">
        <w:t xml:space="preserve"> = 0.016)</w:t>
      </w:r>
      <w:r w:rsidR="00C8244F" w:rsidRPr="0005005C">
        <w:t>.</w:t>
      </w:r>
      <w:r w:rsidR="007B5C46" w:rsidRPr="0005005C">
        <w:t xml:space="preserve"> </w:t>
      </w:r>
      <w:r w:rsidR="008A52C5" w:rsidRPr="0005005C">
        <w:t xml:space="preserve">Body mass and HbA1c were reduced in EMPA; with greater effects seen in EMPA+DIET (Table 1). </w:t>
      </w:r>
      <w:r w:rsidR="00F519A0" w:rsidRPr="0005005C">
        <w:t>Study</w:t>
      </w:r>
      <w:r w:rsidR="00143AED" w:rsidRPr="0005005C">
        <w:t xml:space="preserve"> treatments had no effects on </w:t>
      </w:r>
      <w:r w:rsidR="00B35C18" w:rsidRPr="0005005C">
        <w:t xml:space="preserve">perceived </w:t>
      </w:r>
      <w:r w:rsidR="00D443B5" w:rsidRPr="0005005C">
        <w:t>hu</w:t>
      </w:r>
      <w:r w:rsidR="00B1710F" w:rsidRPr="0005005C">
        <w:t>n</w:t>
      </w:r>
      <w:r w:rsidR="00D443B5" w:rsidRPr="0005005C">
        <w:t>ger o</w:t>
      </w:r>
      <w:r w:rsidR="00B35C18" w:rsidRPr="0005005C">
        <w:t>r</w:t>
      </w:r>
      <w:r w:rsidR="00D443B5" w:rsidRPr="0005005C">
        <w:t xml:space="preserve"> </w:t>
      </w:r>
      <w:r w:rsidR="00B35C18" w:rsidRPr="0005005C">
        <w:t>fullness</w:t>
      </w:r>
      <w:r w:rsidR="007669A6" w:rsidRPr="0005005C">
        <w:t>.</w:t>
      </w:r>
      <w:r w:rsidR="00BE616D" w:rsidRPr="0005005C">
        <w:t xml:space="preserve"> </w:t>
      </w:r>
      <w:r w:rsidR="00D476E1" w:rsidRPr="0005005C">
        <w:t>Lean mass was reduced in EMPA and EMPA+DIET vs PLA at 24 weeks (</w:t>
      </w:r>
      <w:r w:rsidR="00D476E1" w:rsidRPr="0005005C">
        <w:rPr>
          <w:i/>
          <w:iCs/>
        </w:rPr>
        <w:t xml:space="preserve">P </w:t>
      </w:r>
      <w:r w:rsidR="00D476E1" w:rsidRPr="0005005C">
        <w:sym w:font="Symbol" w:char="F0A3"/>
      </w:r>
      <w:r w:rsidR="00D476E1" w:rsidRPr="0005005C">
        <w:t xml:space="preserve"> 0.001), with accordant nominal (but not significant) reductions in resting metabolic rate. </w:t>
      </w:r>
      <w:r w:rsidR="00B162A7" w:rsidRPr="0005005C">
        <w:t xml:space="preserve"> </w:t>
      </w:r>
      <w:r w:rsidR="00420D0E" w:rsidRPr="0005005C">
        <w:t xml:space="preserve">GEE </w:t>
      </w:r>
      <w:r w:rsidR="00533EAB" w:rsidRPr="0005005C">
        <w:t>highlighted</w:t>
      </w:r>
      <w:r w:rsidR="00CE692A" w:rsidRPr="0005005C">
        <w:t xml:space="preserve"> </w:t>
      </w:r>
      <w:r w:rsidR="003A376A" w:rsidRPr="0005005C">
        <w:t>a reduction in daily steps with</w:t>
      </w:r>
      <w:r w:rsidR="00F33A7C" w:rsidRPr="0005005C">
        <w:t xml:space="preserve"> EMPA vs PLA</w:t>
      </w:r>
      <w:r w:rsidR="003A376A" w:rsidRPr="0005005C">
        <w:t xml:space="preserve"> (</w:t>
      </w:r>
      <w:r w:rsidR="003A376A" w:rsidRPr="0005005C">
        <w:rPr>
          <w:i/>
          <w:iCs/>
        </w:rPr>
        <w:t>P</w:t>
      </w:r>
      <w:r w:rsidR="003A376A" w:rsidRPr="0005005C">
        <w:t xml:space="preserve"> = 0.038; non-sig after adjustment for multiple comparisons)</w:t>
      </w:r>
      <w:r w:rsidR="00ED55C7" w:rsidRPr="0005005C">
        <w:t xml:space="preserve">; but not </w:t>
      </w:r>
      <w:r w:rsidR="00BD5442" w:rsidRPr="0005005C">
        <w:t>in the other treatment arms.</w:t>
      </w:r>
    </w:p>
    <w:p w14:paraId="6CCAE33B" w14:textId="77777777" w:rsidR="00AE2180" w:rsidRPr="0005005C" w:rsidRDefault="00AE2180" w:rsidP="00C06E3D">
      <w:pPr>
        <w:spacing w:after="0" w:line="480" w:lineRule="auto"/>
        <w:jc w:val="both"/>
        <w:rPr>
          <w:b/>
          <w:bCs/>
        </w:rPr>
      </w:pPr>
    </w:p>
    <w:p w14:paraId="2EFFC8BE" w14:textId="392B6F31" w:rsidR="009C1DBA" w:rsidRPr="0005005C" w:rsidRDefault="009C1DBA" w:rsidP="00C06E3D">
      <w:pPr>
        <w:spacing w:after="0" w:line="480" w:lineRule="auto"/>
        <w:jc w:val="both"/>
      </w:pPr>
      <w:r w:rsidRPr="0005005C">
        <w:rPr>
          <w:b/>
          <w:bCs/>
        </w:rPr>
        <w:t>Conclusions</w:t>
      </w:r>
      <w:r w:rsidR="00A55C29" w:rsidRPr="0005005C">
        <w:rPr>
          <w:b/>
          <w:bCs/>
        </w:rPr>
        <w:t xml:space="preserve">: </w:t>
      </w:r>
      <w:r w:rsidR="0094648C" w:rsidRPr="0005005C">
        <w:t>E</w:t>
      </w:r>
      <w:r w:rsidR="00C06E3D" w:rsidRPr="0005005C">
        <w:t xml:space="preserve">mpagliflozin </w:t>
      </w:r>
      <w:r w:rsidR="00684CD3" w:rsidRPr="0005005C">
        <w:t xml:space="preserve">does </w:t>
      </w:r>
      <w:r w:rsidR="00A65D11" w:rsidRPr="0005005C">
        <w:t xml:space="preserve">not provoke </w:t>
      </w:r>
      <w:r w:rsidR="0061631A" w:rsidRPr="0005005C">
        <w:t xml:space="preserve">obvious </w:t>
      </w:r>
      <w:r w:rsidR="0069328D" w:rsidRPr="0005005C">
        <w:t xml:space="preserve">compensatory changes in appetite or </w:t>
      </w:r>
      <w:r w:rsidR="0061631A" w:rsidRPr="0005005C">
        <w:t xml:space="preserve">appetite-related hormones </w:t>
      </w:r>
      <w:r w:rsidR="000B514F" w:rsidRPr="0005005C">
        <w:t xml:space="preserve">in patients with excess adiposity and </w:t>
      </w:r>
      <w:r w:rsidR="005116B5" w:rsidRPr="0005005C">
        <w:t>T2D</w:t>
      </w:r>
      <w:r w:rsidR="00B82BE0" w:rsidRPr="0005005C">
        <w:t>; but was linked with lower physical activity levels</w:t>
      </w:r>
      <w:r w:rsidR="00455443" w:rsidRPr="0005005C">
        <w:t>.</w:t>
      </w:r>
      <w:r w:rsidR="00290345" w:rsidRPr="0005005C">
        <w:t xml:space="preserve"> </w:t>
      </w:r>
      <w:r w:rsidR="00897A60" w:rsidRPr="0005005C">
        <w:t>Additional studies are needed to scrutinise the effects of SGLT2i</w:t>
      </w:r>
      <w:r w:rsidR="003515E3" w:rsidRPr="0005005C">
        <w:t>s</w:t>
      </w:r>
      <w:r w:rsidR="00897A60" w:rsidRPr="0005005C">
        <w:t xml:space="preserve"> on reward-related</w:t>
      </w:r>
      <w:r w:rsidR="0046726D" w:rsidRPr="0005005C">
        <w:t xml:space="preserve"> (hedonic)</w:t>
      </w:r>
      <w:r w:rsidR="00897A60" w:rsidRPr="0005005C">
        <w:t xml:space="preserve"> </w:t>
      </w:r>
      <w:r w:rsidR="00AA248C" w:rsidRPr="0005005C">
        <w:t>drivers of eati</w:t>
      </w:r>
      <w:r w:rsidR="00466E49" w:rsidRPr="0005005C">
        <w:t xml:space="preserve">ng </w:t>
      </w:r>
      <w:r w:rsidR="0046726D" w:rsidRPr="0005005C">
        <w:t>behaviour.</w:t>
      </w:r>
    </w:p>
    <w:p w14:paraId="1EA49A68" w14:textId="2BC45BED" w:rsidR="00A55C29" w:rsidRPr="0005005C" w:rsidRDefault="00A55C29">
      <w:pPr>
        <w:rPr>
          <w:b/>
          <w:bCs/>
        </w:rPr>
      </w:pPr>
    </w:p>
    <w:p w14:paraId="27076C44" w14:textId="77777777" w:rsidR="00A55C29" w:rsidRPr="0005005C" w:rsidRDefault="00A55C29">
      <w:pPr>
        <w:rPr>
          <w:b/>
          <w:bCs/>
        </w:rPr>
      </w:pPr>
    </w:p>
    <w:p w14:paraId="4785C9B7" w14:textId="462DED48" w:rsidR="00CA04C0" w:rsidRPr="0005005C" w:rsidRDefault="00CA04C0" w:rsidP="00CA04C0">
      <w:pPr>
        <w:rPr>
          <w:b/>
          <w:bCs/>
        </w:rPr>
      </w:pPr>
      <w:r w:rsidRPr="0005005C">
        <w:rPr>
          <w:b/>
          <w:bCs/>
        </w:rPr>
        <w:t xml:space="preserve">Table 1 – treatment effects on clinical and appetite-related </w:t>
      </w:r>
      <w:r w:rsidR="00F30FF1" w:rsidRPr="0005005C">
        <w:rPr>
          <w:b/>
          <w:bCs/>
        </w:rPr>
        <w:t>hormones</w:t>
      </w:r>
      <w:r w:rsidRPr="0005005C">
        <w:rPr>
          <w:b/>
          <w:bCs/>
        </w:rPr>
        <w:t xml:space="preserve"> at 24 weeks (vs placebo)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1418"/>
        <w:gridCol w:w="850"/>
        <w:gridCol w:w="1559"/>
        <w:gridCol w:w="993"/>
      </w:tblGrid>
      <w:tr w:rsidR="00CA04C0" w:rsidRPr="0005005C" w14:paraId="0D9A0FA6" w14:textId="77777777" w:rsidTr="000E30A5">
        <w:tc>
          <w:tcPr>
            <w:tcW w:w="1696" w:type="dxa"/>
          </w:tcPr>
          <w:p w14:paraId="7298453F" w14:textId="77777777" w:rsidR="00CA04C0" w:rsidRPr="0005005C" w:rsidRDefault="00CA04C0" w:rsidP="00C53DA4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56A584EF" w14:textId="526ADB2A" w:rsidR="00CA04C0" w:rsidRPr="0005005C" w:rsidRDefault="001B3EE5" w:rsidP="00C53DA4">
            <w:pPr>
              <w:jc w:val="center"/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DIET</w:t>
            </w:r>
          </w:p>
        </w:tc>
        <w:tc>
          <w:tcPr>
            <w:tcW w:w="2268" w:type="dxa"/>
            <w:gridSpan w:val="2"/>
          </w:tcPr>
          <w:p w14:paraId="26E9B931" w14:textId="7A721FC4" w:rsidR="00CA04C0" w:rsidRPr="0005005C" w:rsidRDefault="001B3EE5" w:rsidP="00C53DA4">
            <w:pPr>
              <w:jc w:val="center"/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EMPA</w:t>
            </w:r>
          </w:p>
        </w:tc>
        <w:tc>
          <w:tcPr>
            <w:tcW w:w="2552" w:type="dxa"/>
            <w:gridSpan w:val="2"/>
          </w:tcPr>
          <w:p w14:paraId="6F7243A5" w14:textId="6D63A82E" w:rsidR="00CA04C0" w:rsidRPr="0005005C" w:rsidRDefault="001B3EE5" w:rsidP="00C53DA4">
            <w:pPr>
              <w:jc w:val="center"/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EMPA + DIET</w:t>
            </w:r>
          </w:p>
        </w:tc>
      </w:tr>
      <w:tr w:rsidR="00CA04C0" w:rsidRPr="0005005C" w14:paraId="19AEB80C" w14:textId="77777777" w:rsidTr="000E30A5">
        <w:tc>
          <w:tcPr>
            <w:tcW w:w="1696" w:type="dxa"/>
          </w:tcPr>
          <w:p w14:paraId="6A570CC6" w14:textId="77777777" w:rsidR="00CA04C0" w:rsidRPr="0005005C" w:rsidRDefault="00CA04C0" w:rsidP="00C53D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2891EDFC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Coefficient</w:t>
            </w:r>
          </w:p>
          <w:p w14:paraId="01639F2A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(95% CI)</w:t>
            </w:r>
          </w:p>
        </w:tc>
        <w:tc>
          <w:tcPr>
            <w:tcW w:w="850" w:type="dxa"/>
          </w:tcPr>
          <w:p w14:paraId="65DDADBA" w14:textId="77777777" w:rsidR="00CA04C0" w:rsidRPr="0005005C" w:rsidRDefault="00CA04C0" w:rsidP="00C53DA4">
            <w:pPr>
              <w:jc w:val="center"/>
              <w:rPr>
                <w:i/>
                <w:iCs/>
                <w:sz w:val="21"/>
                <w:szCs w:val="21"/>
              </w:rPr>
            </w:pPr>
            <w:r w:rsidRPr="0005005C">
              <w:rPr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1418" w:type="dxa"/>
          </w:tcPr>
          <w:p w14:paraId="045E9D81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Coefficient</w:t>
            </w:r>
          </w:p>
          <w:p w14:paraId="3CCD1024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(95% CI)</w:t>
            </w:r>
          </w:p>
        </w:tc>
        <w:tc>
          <w:tcPr>
            <w:tcW w:w="850" w:type="dxa"/>
          </w:tcPr>
          <w:p w14:paraId="21F10A59" w14:textId="77777777" w:rsidR="00CA04C0" w:rsidRPr="0005005C" w:rsidRDefault="00CA04C0" w:rsidP="00C53DA4">
            <w:pPr>
              <w:jc w:val="center"/>
              <w:rPr>
                <w:b/>
                <w:bCs/>
                <w:sz w:val="21"/>
                <w:szCs w:val="21"/>
              </w:rPr>
            </w:pPr>
            <w:r w:rsidRPr="0005005C">
              <w:rPr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1559" w:type="dxa"/>
          </w:tcPr>
          <w:p w14:paraId="3726C6EF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Coefficient</w:t>
            </w:r>
          </w:p>
          <w:p w14:paraId="65AA870E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(95% CI)</w:t>
            </w:r>
          </w:p>
        </w:tc>
        <w:tc>
          <w:tcPr>
            <w:tcW w:w="993" w:type="dxa"/>
          </w:tcPr>
          <w:p w14:paraId="5A0C01D2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i/>
                <w:iCs/>
                <w:sz w:val="21"/>
                <w:szCs w:val="21"/>
              </w:rPr>
              <w:t>P</w:t>
            </w:r>
          </w:p>
        </w:tc>
      </w:tr>
      <w:tr w:rsidR="00CA04C0" w:rsidRPr="0005005C" w14:paraId="513B3087" w14:textId="77777777" w:rsidTr="000E30A5">
        <w:tc>
          <w:tcPr>
            <w:tcW w:w="1696" w:type="dxa"/>
          </w:tcPr>
          <w:p w14:paraId="5ED76745" w14:textId="77777777" w:rsidR="00CA04C0" w:rsidRPr="0005005C" w:rsidRDefault="00CA04C0" w:rsidP="00C53DA4">
            <w:pPr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Body mass (kg)</w:t>
            </w:r>
          </w:p>
        </w:tc>
        <w:tc>
          <w:tcPr>
            <w:tcW w:w="1560" w:type="dxa"/>
          </w:tcPr>
          <w:p w14:paraId="08A1A3C7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-1.52</w:t>
            </w:r>
          </w:p>
          <w:p w14:paraId="3C14B760" w14:textId="1A97A854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(-3.79,</w:t>
            </w:r>
            <w:r w:rsidR="003A376A" w:rsidRPr="0005005C">
              <w:rPr>
                <w:sz w:val="21"/>
                <w:szCs w:val="21"/>
              </w:rPr>
              <w:t xml:space="preserve"> </w:t>
            </w:r>
            <w:r w:rsidRPr="0005005C">
              <w:rPr>
                <w:sz w:val="21"/>
                <w:szCs w:val="21"/>
              </w:rPr>
              <w:t>0.76)</w:t>
            </w:r>
          </w:p>
        </w:tc>
        <w:tc>
          <w:tcPr>
            <w:tcW w:w="850" w:type="dxa"/>
          </w:tcPr>
          <w:p w14:paraId="01CBAC8E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0.191</w:t>
            </w:r>
          </w:p>
        </w:tc>
        <w:tc>
          <w:tcPr>
            <w:tcW w:w="1418" w:type="dxa"/>
          </w:tcPr>
          <w:p w14:paraId="7DA76C6B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-2.23</w:t>
            </w:r>
          </w:p>
          <w:p w14:paraId="1AF744DB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(-4.45, -0.01)</w:t>
            </w:r>
          </w:p>
        </w:tc>
        <w:tc>
          <w:tcPr>
            <w:tcW w:w="850" w:type="dxa"/>
          </w:tcPr>
          <w:p w14:paraId="1B19330B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0.049</w:t>
            </w:r>
          </w:p>
        </w:tc>
        <w:tc>
          <w:tcPr>
            <w:tcW w:w="1559" w:type="dxa"/>
          </w:tcPr>
          <w:p w14:paraId="30C7EA4A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-5.62</w:t>
            </w:r>
          </w:p>
          <w:p w14:paraId="0073E2B1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(-7.79, -3.44)</w:t>
            </w:r>
          </w:p>
        </w:tc>
        <w:tc>
          <w:tcPr>
            <w:tcW w:w="993" w:type="dxa"/>
          </w:tcPr>
          <w:p w14:paraId="78CC508D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&lt;0.001</w:t>
            </w:r>
            <w:r w:rsidRPr="0005005C">
              <w:rPr>
                <w:sz w:val="21"/>
                <w:szCs w:val="21"/>
                <w:vertAlign w:val="superscript"/>
              </w:rPr>
              <w:t>#</w:t>
            </w:r>
          </w:p>
        </w:tc>
      </w:tr>
      <w:tr w:rsidR="00CA04C0" w:rsidRPr="0005005C" w14:paraId="78A82707" w14:textId="77777777" w:rsidTr="000E30A5">
        <w:tc>
          <w:tcPr>
            <w:tcW w:w="1696" w:type="dxa"/>
          </w:tcPr>
          <w:p w14:paraId="66C1816F" w14:textId="77777777" w:rsidR="00CA04C0" w:rsidRPr="0005005C" w:rsidRDefault="00CA04C0" w:rsidP="00C53DA4">
            <w:pPr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HbA1c (%)</w:t>
            </w:r>
          </w:p>
        </w:tc>
        <w:tc>
          <w:tcPr>
            <w:tcW w:w="1560" w:type="dxa"/>
          </w:tcPr>
          <w:p w14:paraId="288F69B9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-0.09</w:t>
            </w:r>
          </w:p>
          <w:p w14:paraId="20D7B55A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(-0.47, 0.28)</w:t>
            </w:r>
          </w:p>
        </w:tc>
        <w:tc>
          <w:tcPr>
            <w:tcW w:w="850" w:type="dxa"/>
          </w:tcPr>
          <w:p w14:paraId="0E54FAB1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0.626</w:t>
            </w:r>
          </w:p>
        </w:tc>
        <w:tc>
          <w:tcPr>
            <w:tcW w:w="1418" w:type="dxa"/>
          </w:tcPr>
          <w:p w14:paraId="6D22063B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-0.38</w:t>
            </w:r>
          </w:p>
          <w:p w14:paraId="4D55EC89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(0.74, -0.02)</w:t>
            </w:r>
          </w:p>
        </w:tc>
        <w:tc>
          <w:tcPr>
            <w:tcW w:w="850" w:type="dxa"/>
          </w:tcPr>
          <w:p w14:paraId="74601B35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0.041</w:t>
            </w:r>
          </w:p>
        </w:tc>
        <w:tc>
          <w:tcPr>
            <w:tcW w:w="1559" w:type="dxa"/>
          </w:tcPr>
          <w:p w14:paraId="2600BF7C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-0.42</w:t>
            </w:r>
          </w:p>
          <w:p w14:paraId="05BEBC03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(-0.78, -0.06)</w:t>
            </w:r>
          </w:p>
        </w:tc>
        <w:tc>
          <w:tcPr>
            <w:tcW w:w="993" w:type="dxa"/>
          </w:tcPr>
          <w:p w14:paraId="013F68E7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0.021</w:t>
            </w:r>
          </w:p>
        </w:tc>
      </w:tr>
      <w:tr w:rsidR="00CA04C0" w:rsidRPr="0005005C" w14:paraId="660AFEE7" w14:textId="77777777" w:rsidTr="000E30A5">
        <w:tc>
          <w:tcPr>
            <w:tcW w:w="1696" w:type="dxa"/>
          </w:tcPr>
          <w:p w14:paraId="65EE31D3" w14:textId="77777777" w:rsidR="00CA04C0" w:rsidRPr="0005005C" w:rsidRDefault="00CA04C0" w:rsidP="00C53DA4">
            <w:pPr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PYY (</w:t>
            </w:r>
            <w:proofErr w:type="spellStart"/>
            <w:r w:rsidRPr="0005005C">
              <w:rPr>
                <w:b/>
                <w:bCs/>
                <w:sz w:val="21"/>
                <w:szCs w:val="21"/>
              </w:rPr>
              <w:t>pg</w:t>
            </w:r>
            <w:proofErr w:type="spellEnd"/>
            <w:r w:rsidRPr="0005005C">
              <w:rPr>
                <w:b/>
                <w:bCs/>
                <w:sz w:val="21"/>
                <w:szCs w:val="21"/>
              </w:rPr>
              <w:t>/mL)*</w:t>
            </w:r>
          </w:p>
        </w:tc>
        <w:tc>
          <w:tcPr>
            <w:tcW w:w="1560" w:type="dxa"/>
          </w:tcPr>
          <w:p w14:paraId="7DFA61D0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-8.59</w:t>
            </w:r>
          </w:p>
          <w:p w14:paraId="09875390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(-28.58, 11.40)</w:t>
            </w:r>
          </w:p>
        </w:tc>
        <w:tc>
          <w:tcPr>
            <w:tcW w:w="850" w:type="dxa"/>
          </w:tcPr>
          <w:p w14:paraId="279D7D7A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0.400</w:t>
            </w:r>
          </w:p>
        </w:tc>
        <w:tc>
          <w:tcPr>
            <w:tcW w:w="1418" w:type="dxa"/>
          </w:tcPr>
          <w:p w14:paraId="5FE373B5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13.42</w:t>
            </w:r>
          </w:p>
          <w:p w14:paraId="33DABE0C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(-6.13, 32.97)</w:t>
            </w:r>
          </w:p>
        </w:tc>
        <w:tc>
          <w:tcPr>
            <w:tcW w:w="850" w:type="dxa"/>
          </w:tcPr>
          <w:p w14:paraId="69B99D49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0.179</w:t>
            </w:r>
          </w:p>
        </w:tc>
        <w:tc>
          <w:tcPr>
            <w:tcW w:w="1559" w:type="dxa"/>
          </w:tcPr>
          <w:p w14:paraId="10D3EBF0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0.97</w:t>
            </w:r>
          </w:p>
          <w:p w14:paraId="2D0F17AD" w14:textId="4B1DC2AA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(-18.01,</w:t>
            </w:r>
            <w:r w:rsidR="00074A9B" w:rsidRPr="0005005C">
              <w:rPr>
                <w:sz w:val="21"/>
                <w:szCs w:val="21"/>
              </w:rPr>
              <w:t xml:space="preserve"> </w:t>
            </w:r>
            <w:r w:rsidRPr="0005005C">
              <w:rPr>
                <w:sz w:val="21"/>
                <w:szCs w:val="21"/>
              </w:rPr>
              <w:t>19.95)</w:t>
            </w:r>
          </w:p>
        </w:tc>
        <w:tc>
          <w:tcPr>
            <w:tcW w:w="993" w:type="dxa"/>
          </w:tcPr>
          <w:p w14:paraId="370C183F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0.920</w:t>
            </w:r>
          </w:p>
        </w:tc>
      </w:tr>
      <w:tr w:rsidR="00CA04C0" w:rsidRPr="0005005C" w14:paraId="614A7333" w14:textId="77777777" w:rsidTr="000E30A5">
        <w:tc>
          <w:tcPr>
            <w:tcW w:w="1696" w:type="dxa"/>
          </w:tcPr>
          <w:p w14:paraId="4EE1D1D6" w14:textId="77777777" w:rsidR="00CA04C0" w:rsidRPr="0005005C" w:rsidRDefault="00CA04C0" w:rsidP="00C53DA4">
            <w:pPr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Acyl Ghrelin* (</w:t>
            </w:r>
            <w:proofErr w:type="spellStart"/>
            <w:r w:rsidRPr="0005005C">
              <w:rPr>
                <w:b/>
                <w:bCs/>
                <w:sz w:val="21"/>
                <w:szCs w:val="21"/>
              </w:rPr>
              <w:t>pg</w:t>
            </w:r>
            <w:proofErr w:type="spellEnd"/>
            <w:r w:rsidRPr="0005005C">
              <w:rPr>
                <w:b/>
                <w:bCs/>
                <w:sz w:val="21"/>
                <w:szCs w:val="21"/>
              </w:rPr>
              <w:t>/mL)</w:t>
            </w:r>
          </w:p>
        </w:tc>
        <w:tc>
          <w:tcPr>
            <w:tcW w:w="1560" w:type="dxa"/>
          </w:tcPr>
          <w:p w14:paraId="483BEA7D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3.19</w:t>
            </w:r>
          </w:p>
          <w:p w14:paraId="3D9F9EE4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(-17.69, 24.06)</w:t>
            </w:r>
          </w:p>
        </w:tc>
        <w:tc>
          <w:tcPr>
            <w:tcW w:w="850" w:type="dxa"/>
          </w:tcPr>
          <w:p w14:paraId="2F9F76BB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0.765</w:t>
            </w:r>
          </w:p>
        </w:tc>
        <w:tc>
          <w:tcPr>
            <w:tcW w:w="1418" w:type="dxa"/>
          </w:tcPr>
          <w:p w14:paraId="139ABEF9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-13.79</w:t>
            </w:r>
          </w:p>
          <w:p w14:paraId="329D2489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(-34.26,6.68)</w:t>
            </w:r>
          </w:p>
        </w:tc>
        <w:tc>
          <w:tcPr>
            <w:tcW w:w="850" w:type="dxa"/>
          </w:tcPr>
          <w:p w14:paraId="518F5996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0.187</w:t>
            </w:r>
          </w:p>
        </w:tc>
        <w:tc>
          <w:tcPr>
            <w:tcW w:w="1559" w:type="dxa"/>
          </w:tcPr>
          <w:p w14:paraId="036CA3B7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-13.50</w:t>
            </w:r>
          </w:p>
          <w:p w14:paraId="79D15D3F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(-33.47, 6.47)</w:t>
            </w:r>
          </w:p>
        </w:tc>
        <w:tc>
          <w:tcPr>
            <w:tcW w:w="993" w:type="dxa"/>
          </w:tcPr>
          <w:p w14:paraId="6FF33BCF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0.185</w:t>
            </w:r>
          </w:p>
        </w:tc>
      </w:tr>
      <w:tr w:rsidR="00CA04C0" w:rsidRPr="0005005C" w14:paraId="0D54D068" w14:textId="77777777" w:rsidTr="000E30A5">
        <w:tc>
          <w:tcPr>
            <w:tcW w:w="1696" w:type="dxa"/>
          </w:tcPr>
          <w:p w14:paraId="0032673D" w14:textId="77777777" w:rsidR="00CA04C0" w:rsidRPr="0005005C" w:rsidRDefault="00CA04C0" w:rsidP="00C53DA4">
            <w:pPr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GLP-1 (</w:t>
            </w:r>
            <w:proofErr w:type="spellStart"/>
            <w:r w:rsidRPr="0005005C">
              <w:rPr>
                <w:b/>
                <w:bCs/>
                <w:sz w:val="21"/>
                <w:szCs w:val="21"/>
              </w:rPr>
              <w:t>pmol</w:t>
            </w:r>
            <w:proofErr w:type="spellEnd"/>
            <w:r w:rsidRPr="0005005C">
              <w:rPr>
                <w:b/>
                <w:bCs/>
                <w:sz w:val="21"/>
                <w:szCs w:val="21"/>
              </w:rPr>
              <w:t>/L)*</w:t>
            </w:r>
          </w:p>
        </w:tc>
        <w:tc>
          <w:tcPr>
            <w:tcW w:w="1560" w:type="dxa"/>
          </w:tcPr>
          <w:p w14:paraId="28AF3E5E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1.21</w:t>
            </w:r>
          </w:p>
          <w:p w14:paraId="65F86042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(-4.14, 6.56)</w:t>
            </w:r>
          </w:p>
        </w:tc>
        <w:tc>
          <w:tcPr>
            <w:tcW w:w="850" w:type="dxa"/>
          </w:tcPr>
          <w:p w14:paraId="0491B07A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0.657</w:t>
            </w:r>
          </w:p>
        </w:tc>
        <w:tc>
          <w:tcPr>
            <w:tcW w:w="1418" w:type="dxa"/>
          </w:tcPr>
          <w:p w14:paraId="642BEC65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3.08</w:t>
            </w:r>
          </w:p>
          <w:p w14:paraId="0418C1C0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(-2.17, 8.32)</w:t>
            </w:r>
          </w:p>
        </w:tc>
        <w:tc>
          <w:tcPr>
            <w:tcW w:w="850" w:type="dxa"/>
          </w:tcPr>
          <w:p w14:paraId="44CD9B2C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0.250</w:t>
            </w:r>
          </w:p>
        </w:tc>
        <w:tc>
          <w:tcPr>
            <w:tcW w:w="1559" w:type="dxa"/>
          </w:tcPr>
          <w:p w14:paraId="1EC6B836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0.34</w:t>
            </w:r>
          </w:p>
          <w:p w14:paraId="48959F32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(-4.77, 5.45)</w:t>
            </w:r>
          </w:p>
        </w:tc>
        <w:tc>
          <w:tcPr>
            <w:tcW w:w="993" w:type="dxa"/>
          </w:tcPr>
          <w:p w14:paraId="2F09281E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0.896</w:t>
            </w:r>
          </w:p>
        </w:tc>
      </w:tr>
      <w:tr w:rsidR="00CA04C0" w:rsidRPr="0005005C" w14:paraId="7E3D2058" w14:textId="77777777" w:rsidTr="000E30A5">
        <w:tc>
          <w:tcPr>
            <w:tcW w:w="1696" w:type="dxa"/>
          </w:tcPr>
          <w:p w14:paraId="09CBE087" w14:textId="77777777" w:rsidR="00CA04C0" w:rsidRPr="0005005C" w:rsidRDefault="00CA04C0" w:rsidP="00C53DA4">
            <w:pPr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Leptin (ng/mL)</w:t>
            </w:r>
          </w:p>
        </w:tc>
        <w:tc>
          <w:tcPr>
            <w:tcW w:w="1560" w:type="dxa"/>
          </w:tcPr>
          <w:p w14:paraId="6D715E1A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-1.2</w:t>
            </w:r>
          </w:p>
          <w:p w14:paraId="3133FB17" w14:textId="5707EEA0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(-5.5,</w:t>
            </w:r>
            <w:r w:rsidR="00074A9B" w:rsidRPr="0005005C">
              <w:rPr>
                <w:sz w:val="21"/>
                <w:szCs w:val="21"/>
              </w:rPr>
              <w:t xml:space="preserve"> </w:t>
            </w:r>
            <w:r w:rsidRPr="0005005C">
              <w:rPr>
                <w:sz w:val="21"/>
                <w:szCs w:val="21"/>
              </w:rPr>
              <w:t>3.1)</w:t>
            </w:r>
          </w:p>
        </w:tc>
        <w:tc>
          <w:tcPr>
            <w:tcW w:w="850" w:type="dxa"/>
          </w:tcPr>
          <w:p w14:paraId="32346DB5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0.588</w:t>
            </w:r>
          </w:p>
        </w:tc>
        <w:tc>
          <w:tcPr>
            <w:tcW w:w="1418" w:type="dxa"/>
          </w:tcPr>
          <w:p w14:paraId="2061961E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0.6</w:t>
            </w:r>
          </w:p>
          <w:p w14:paraId="5AC8BCD0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(-3.6, 4.9)</w:t>
            </w:r>
          </w:p>
        </w:tc>
        <w:tc>
          <w:tcPr>
            <w:tcW w:w="850" w:type="dxa"/>
          </w:tcPr>
          <w:p w14:paraId="62004F14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0.774</w:t>
            </w:r>
          </w:p>
        </w:tc>
        <w:tc>
          <w:tcPr>
            <w:tcW w:w="1559" w:type="dxa"/>
          </w:tcPr>
          <w:p w14:paraId="40E69219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-4.8</w:t>
            </w:r>
          </w:p>
          <w:p w14:paraId="687FAF22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(-8.9, 0.7)</w:t>
            </w:r>
          </w:p>
        </w:tc>
        <w:tc>
          <w:tcPr>
            <w:tcW w:w="993" w:type="dxa"/>
          </w:tcPr>
          <w:p w14:paraId="056E9454" w14:textId="77777777" w:rsidR="00CA04C0" w:rsidRPr="0005005C" w:rsidRDefault="00CA04C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0.022</w:t>
            </w:r>
          </w:p>
        </w:tc>
      </w:tr>
      <w:tr w:rsidR="00CA04C0" w:rsidRPr="0005005C" w14:paraId="7E1B0C1C" w14:textId="77777777" w:rsidTr="000E30A5">
        <w:tc>
          <w:tcPr>
            <w:tcW w:w="1696" w:type="dxa"/>
          </w:tcPr>
          <w:p w14:paraId="0A0EDB44" w14:textId="0E34F993" w:rsidR="00CA04C0" w:rsidRPr="0005005C" w:rsidRDefault="008E43B0" w:rsidP="00C53DA4">
            <w:pPr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Fat mass</w:t>
            </w:r>
            <w:r w:rsidR="00EB04FB" w:rsidRPr="0005005C">
              <w:rPr>
                <w:b/>
                <w:bCs/>
                <w:sz w:val="21"/>
                <w:szCs w:val="21"/>
              </w:rPr>
              <w:t xml:space="preserve"> (kg)</w:t>
            </w:r>
          </w:p>
        </w:tc>
        <w:tc>
          <w:tcPr>
            <w:tcW w:w="1560" w:type="dxa"/>
          </w:tcPr>
          <w:p w14:paraId="73458D29" w14:textId="77777777" w:rsidR="00CA04C0" w:rsidRPr="0005005C" w:rsidRDefault="00CC33A9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-1.94</w:t>
            </w:r>
          </w:p>
          <w:p w14:paraId="18B2931D" w14:textId="47573C64" w:rsidR="00CC33A9" w:rsidRPr="0005005C" w:rsidRDefault="00CC33A9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</w:t>
            </w:r>
            <w:r w:rsidR="00742CB0" w:rsidRPr="0005005C">
              <w:rPr>
                <w:sz w:val="21"/>
                <w:szCs w:val="21"/>
              </w:rPr>
              <w:t>-3.72, -0.16)</w:t>
            </w:r>
          </w:p>
        </w:tc>
        <w:tc>
          <w:tcPr>
            <w:tcW w:w="850" w:type="dxa"/>
          </w:tcPr>
          <w:p w14:paraId="15C27483" w14:textId="334A7C94" w:rsidR="00CA04C0" w:rsidRPr="0005005C" w:rsidRDefault="00822D89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0.033</w:t>
            </w:r>
          </w:p>
        </w:tc>
        <w:tc>
          <w:tcPr>
            <w:tcW w:w="1418" w:type="dxa"/>
          </w:tcPr>
          <w:p w14:paraId="40808C87" w14:textId="77777777" w:rsidR="00CA04C0" w:rsidRPr="0005005C" w:rsidRDefault="00A51FC2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</w:t>
            </w:r>
            <w:r w:rsidR="00645ABA" w:rsidRPr="0005005C">
              <w:rPr>
                <w:sz w:val="21"/>
                <w:szCs w:val="21"/>
              </w:rPr>
              <w:t>0.98</w:t>
            </w:r>
          </w:p>
          <w:p w14:paraId="7627570A" w14:textId="0811E8FA" w:rsidR="00645ABA" w:rsidRPr="0005005C" w:rsidRDefault="00645ABA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(-2.71</w:t>
            </w:r>
            <w:r w:rsidR="00157277" w:rsidRPr="0005005C">
              <w:rPr>
                <w:sz w:val="21"/>
                <w:szCs w:val="21"/>
              </w:rPr>
              <w:t>, 0.74)</w:t>
            </w:r>
          </w:p>
        </w:tc>
        <w:tc>
          <w:tcPr>
            <w:tcW w:w="850" w:type="dxa"/>
          </w:tcPr>
          <w:p w14:paraId="5E4316B6" w14:textId="701F3803" w:rsidR="00CA04C0" w:rsidRPr="0005005C" w:rsidRDefault="00A267A3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0.264</w:t>
            </w:r>
          </w:p>
        </w:tc>
        <w:tc>
          <w:tcPr>
            <w:tcW w:w="1559" w:type="dxa"/>
          </w:tcPr>
          <w:p w14:paraId="69B9ED68" w14:textId="77777777" w:rsidR="00CA04C0" w:rsidRPr="0005005C" w:rsidRDefault="00A267A3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-4.06</w:t>
            </w:r>
          </w:p>
          <w:p w14:paraId="65DDDCE9" w14:textId="4B32B983" w:rsidR="004C2145" w:rsidRPr="0005005C" w:rsidRDefault="004C2145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</w:t>
            </w:r>
            <w:r w:rsidR="005E472E" w:rsidRPr="0005005C">
              <w:rPr>
                <w:sz w:val="21"/>
                <w:szCs w:val="21"/>
              </w:rPr>
              <w:t>-5.76, -2.36)</w:t>
            </w:r>
          </w:p>
        </w:tc>
        <w:tc>
          <w:tcPr>
            <w:tcW w:w="993" w:type="dxa"/>
          </w:tcPr>
          <w:p w14:paraId="0B70B6A2" w14:textId="7881E09D" w:rsidR="00CA04C0" w:rsidRPr="0005005C" w:rsidRDefault="002367DE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&lt;0.001</w:t>
            </w:r>
            <w:r w:rsidR="00500922" w:rsidRPr="0005005C">
              <w:rPr>
                <w:sz w:val="21"/>
                <w:szCs w:val="21"/>
                <w:vertAlign w:val="superscript"/>
              </w:rPr>
              <w:t>#</w:t>
            </w:r>
          </w:p>
        </w:tc>
      </w:tr>
      <w:tr w:rsidR="00CA04C0" w:rsidRPr="0005005C" w14:paraId="534B42FA" w14:textId="77777777" w:rsidTr="000E30A5">
        <w:tc>
          <w:tcPr>
            <w:tcW w:w="1696" w:type="dxa"/>
          </w:tcPr>
          <w:p w14:paraId="6EAC9544" w14:textId="050880CE" w:rsidR="00CA04C0" w:rsidRPr="0005005C" w:rsidRDefault="0067624E" w:rsidP="00C53DA4">
            <w:pPr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Lean</w:t>
            </w:r>
            <w:r w:rsidR="008E43B0" w:rsidRPr="0005005C">
              <w:rPr>
                <w:b/>
                <w:bCs/>
                <w:sz w:val="21"/>
                <w:szCs w:val="21"/>
              </w:rPr>
              <w:t xml:space="preserve"> mass</w:t>
            </w:r>
            <w:r w:rsidR="00EB04FB" w:rsidRPr="0005005C">
              <w:rPr>
                <w:b/>
                <w:bCs/>
                <w:sz w:val="21"/>
                <w:szCs w:val="21"/>
              </w:rPr>
              <w:t xml:space="preserve"> (kg)</w:t>
            </w:r>
          </w:p>
        </w:tc>
        <w:tc>
          <w:tcPr>
            <w:tcW w:w="1560" w:type="dxa"/>
          </w:tcPr>
          <w:p w14:paraId="33EEB4A5" w14:textId="77777777" w:rsidR="00CA04C0" w:rsidRPr="0005005C" w:rsidRDefault="00F75178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0.34</w:t>
            </w:r>
          </w:p>
          <w:p w14:paraId="5B5E2422" w14:textId="3E104170" w:rsidR="00F75178" w:rsidRPr="0005005C" w:rsidRDefault="00F75178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</w:t>
            </w:r>
            <w:r w:rsidR="00F72566" w:rsidRPr="0005005C">
              <w:rPr>
                <w:sz w:val="21"/>
                <w:szCs w:val="21"/>
              </w:rPr>
              <w:t>-0.5</w:t>
            </w:r>
            <w:r w:rsidR="0070487D" w:rsidRPr="0005005C">
              <w:rPr>
                <w:sz w:val="21"/>
                <w:szCs w:val="21"/>
              </w:rPr>
              <w:t xml:space="preserve">0, </w:t>
            </w:r>
            <w:r w:rsidR="000664FA" w:rsidRPr="0005005C">
              <w:rPr>
                <w:sz w:val="21"/>
                <w:szCs w:val="21"/>
              </w:rPr>
              <w:t>1.18)</w:t>
            </w:r>
          </w:p>
        </w:tc>
        <w:tc>
          <w:tcPr>
            <w:tcW w:w="850" w:type="dxa"/>
          </w:tcPr>
          <w:p w14:paraId="459D1FF7" w14:textId="6D3FFACB" w:rsidR="00CA04C0" w:rsidRPr="0005005C" w:rsidRDefault="00EA54D6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0.428</w:t>
            </w:r>
          </w:p>
        </w:tc>
        <w:tc>
          <w:tcPr>
            <w:tcW w:w="1418" w:type="dxa"/>
          </w:tcPr>
          <w:p w14:paraId="36A2A444" w14:textId="77777777" w:rsidR="00CA04C0" w:rsidRPr="0005005C" w:rsidRDefault="00105E62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-1.41</w:t>
            </w:r>
          </w:p>
          <w:p w14:paraId="2DDDE0BC" w14:textId="1C91C1ED" w:rsidR="00105E62" w:rsidRPr="0005005C" w:rsidRDefault="00105E62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</w:t>
            </w:r>
            <w:r w:rsidR="00142BAB" w:rsidRPr="0005005C">
              <w:rPr>
                <w:sz w:val="21"/>
                <w:szCs w:val="21"/>
              </w:rPr>
              <w:t>-2.23, -0.</w:t>
            </w:r>
            <w:r w:rsidR="0028452C" w:rsidRPr="0005005C">
              <w:rPr>
                <w:sz w:val="21"/>
                <w:szCs w:val="21"/>
              </w:rPr>
              <w:t>60</w:t>
            </w:r>
            <w:r w:rsidR="009A5564" w:rsidRPr="0005005C">
              <w:rPr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14:paraId="3403684F" w14:textId="29E2DB7F" w:rsidR="00CA04C0" w:rsidRPr="0005005C" w:rsidRDefault="0078179E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0.001</w:t>
            </w:r>
            <w:r w:rsidR="000E30A5" w:rsidRPr="0005005C">
              <w:rPr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559" w:type="dxa"/>
          </w:tcPr>
          <w:p w14:paraId="1A3B3CC8" w14:textId="3EB5CA3D" w:rsidR="00CA04C0" w:rsidRPr="0005005C" w:rsidRDefault="00161742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-1.6</w:t>
            </w:r>
            <w:r w:rsidR="00CE554D" w:rsidRPr="0005005C">
              <w:rPr>
                <w:sz w:val="21"/>
                <w:szCs w:val="21"/>
              </w:rPr>
              <w:t>0</w:t>
            </w:r>
          </w:p>
          <w:p w14:paraId="0FFE9430" w14:textId="5620346B" w:rsidR="00161742" w:rsidRPr="0005005C" w:rsidRDefault="00161742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(-2.4</w:t>
            </w:r>
            <w:r w:rsidR="00C37B68" w:rsidRPr="0005005C">
              <w:rPr>
                <w:sz w:val="21"/>
                <w:szCs w:val="21"/>
              </w:rPr>
              <w:t xml:space="preserve">0, </w:t>
            </w:r>
            <w:r w:rsidR="005103EA" w:rsidRPr="0005005C">
              <w:rPr>
                <w:sz w:val="21"/>
                <w:szCs w:val="21"/>
              </w:rPr>
              <w:t>-0.80)</w:t>
            </w:r>
          </w:p>
        </w:tc>
        <w:tc>
          <w:tcPr>
            <w:tcW w:w="993" w:type="dxa"/>
          </w:tcPr>
          <w:p w14:paraId="3487A82B" w14:textId="2992EBF6" w:rsidR="00CA04C0" w:rsidRPr="0005005C" w:rsidRDefault="00F00A5A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&lt;0.001</w:t>
            </w:r>
            <w:r w:rsidR="00500922" w:rsidRPr="0005005C">
              <w:rPr>
                <w:sz w:val="21"/>
                <w:szCs w:val="21"/>
                <w:vertAlign w:val="superscript"/>
              </w:rPr>
              <w:t>#</w:t>
            </w:r>
          </w:p>
        </w:tc>
      </w:tr>
      <w:tr w:rsidR="00A32C22" w:rsidRPr="0005005C" w14:paraId="74A7A741" w14:textId="77777777" w:rsidTr="000E30A5">
        <w:tc>
          <w:tcPr>
            <w:tcW w:w="1696" w:type="dxa"/>
          </w:tcPr>
          <w:p w14:paraId="50DA066D" w14:textId="715DB4BE" w:rsidR="00A32C22" w:rsidRPr="0005005C" w:rsidRDefault="0067624E" w:rsidP="00C53DA4">
            <w:pPr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RMR (kcal/d)</w:t>
            </w:r>
          </w:p>
        </w:tc>
        <w:tc>
          <w:tcPr>
            <w:tcW w:w="1560" w:type="dxa"/>
          </w:tcPr>
          <w:p w14:paraId="38C88DB5" w14:textId="77777777" w:rsidR="00A32C22" w:rsidRPr="0005005C" w:rsidRDefault="00BD3E4A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-59</w:t>
            </w:r>
          </w:p>
          <w:p w14:paraId="57355CFC" w14:textId="2A49EC96" w:rsidR="00BD3E4A" w:rsidRPr="0005005C" w:rsidRDefault="00BD3E4A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</w:t>
            </w:r>
            <w:r w:rsidR="003C779D" w:rsidRPr="0005005C">
              <w:rPr>
                <w:sz w:val="21"/>
                <w:szCs w:val="21"/>
              </w:rPr>
              <w:t>-249, 132)</w:t>
            </w:r>
          </w:p>
        </w:tc>
        <w:tc>
          <w:tcPr>
            <w:tcW w:w="850" w:type="dxa"/>
          </w:tcPr>
          <w:p w14:paraId="353D2423" w14:textId="58AE6FD0" w:rsidR="00A32C22" w:rsidRPr="0005005C" w:rsidRDefault="003C779D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0.545</w:t>
            </w:r>
          </w:p>
        </w:tc>
        <w:tc>
          <w:tcPr>
            <w:tcW w:w="1418" w:type="dxa"/>
          </w:tcPr>
          <w:p w14:paraId="3818E1F2" w14:textId="77777777" w:rsidR="00A32C22" w:rsidRPr="0005005C" w:rsidRDefault="00E2137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-133</w:t>
            </w:r>
          </w:p>
          <w:p w14:paraId="05A01E79" w14:textId="5C12CB81" w:rsidR="00E21370" w:rsidRPr="0005005C" w:rsidRDefault="00E2137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(-3</w:t>
            </w:r>
            <w:r w:rsidR="009D56AD" w:rsidRPr="0005005C">
              <w:rPr>
                <w:sz w:val="21"/>
                <w:szCs w:val="21"/>
              </w:rPr>
              <w:t>11, 45)</w:t>
            </w:r>
          </w:p>
        </w:tc>
        <w:tc>
          <w:tcPr>
            <w:tcW w:w="850" w:type="dxa"/>
          </w:tcPr>
          <w:p w14:paraId="6ABDAD92" w14:textId="5D0CCFE9" w:rsidR="00A32C22" w:rsidRPr="0005005C" w:rsidRDefault="00AD04E6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0.143</w:t>
            </w:r>
          </w:p>
        </w:tc>
        <w:tc>
          <w:tcPr>
            <w:tcW w:w="1559" w:type="dxa"/>
          </w:tcPr>
          <w:p w14:paraId="53C136F9" w14:textId="77777777" w:rsidR="00A32C22" w:rsidRPr="0005005C" w:rsidRDefault="00AD04E6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-176</w:t>
            </w:r>
          </w:p>
          <w:p w14:paraId="09B89AED" w14:textId="00DC3970" w:rsidR="00AD04E6" w:rsidRPr="0005005C" w:rsidRDefault="00AD04E6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</w:t>
            </w:r>
            <w:r w:rsidR="004729BB" w:rsidRPr="0005005C">
              <w:rPr>
                <w:sz w:val="21"/>
                <w:szCs w:val="21"/>
              </w:rPr>
              <w:t xml:space="preserve">-352, </w:t>
            </w:r>
            <w:r w:rsidR="008264B8" w:rsidRPr="0005005C">
              <w:rPr>
                <w:sz w:val="21"/>
                <w:szCs w:val="21"/>
              </w:rPr>
              <w:t>0)</w:t>
            </w:r>
          </w:p>
        </w:tc>
        <w:tc>
          <w:tcPr>
            <w:tcW w:w="993" w:type="dxa"/>
          </w:tcPr>
          <w:p w14:paraId="0A1C2442" w14:textId="28BC2472" w:rsidR="00A32C22" w:rsidRPr="0005005C" w:rsidRDefault="00253AC7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0.050</w:t>
            </w:r>
          </w:p>
        </w:tc>
      </w:tr>
      <w:tr w:rsidR="00A32C22" w:rsidRPr="0005005C" w14:paraId="0D52B429" w14:textId="77777777" w:rsidTr="000E30A5">
        <w:tc>
          <w:tcPr>
            <w:tcW w:w="1696" w:type="dxa"/>
          </w:tcPr>
          <w:p w14:paraId="5EC85A0E" w14:textId="75AA999E" w:rsidR="00A32C22" w:rsidRPr="0005005C" w:rsidRDefault="007808B8" w:rsidP="00C53DA4">
            <w:pPr>
              <w:rPr>
                <w:b/>
                <w:bCs/>
                <w:sz w:val="21"/>
                <w:szCs w:val="21"/>
              </w:rPr>
            </w:pPr>
            <w:r w:rsidRPr="0005005C">
              <w:rPr>
                <w:b/>
                <w:bCs/>
                <w:sz w:val="21"/>
                <w:szCs w:val="21"/>
              </w:rPr>
              <w:t>Steps (per day)</w:t>
            </w:r>
          </w:p>
        </w:tc>
        <w:tc>
          <w:tcPr>
            <w:tcW w:w="1560" w:type="dxa"/>
          </w:tcPr>
          <w:p w14:paraId="707A478B" w14:textId="77777777" w:rsidR="00A32C22" w:rsidRPr="0005005C" w:rsidRDefault="00994CD3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604</w:t>
            </w:r>
          </w:p>
          <w:p w14:paraId="4733A539" w14:textId="114904BD" w:rsidR="00994CD3" w:rsidRPr="0005005C" w:rsidRDefault="00994CD3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(</w:t>
            </w:r>
            <w:r w:rsidR="00BB072C" w:rsidRPr="0005005C">
              <w:rPr>
                <w:sz w:val="21"/>
                <w:szCs w:val="21"/>
              </w:rPr>
              <w:t>-698, 1906)</w:t>
            </w:r>
          </w:p>
        </w:tc>
        <w:tc>
          <w:tcPr>
            <w:tcW w:w="850" w:type="dxa"/>
          </w:tcPr>
          <w:p w14:paraId="23566941" w14:textId="26621706" w:rsidR="00A32C22" w:rsidRPr="0005005C" w:rsidRDefault="00BB072C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0.363</w:t>
            </w:r>
          </w:p>
        </w:tc>
        <w:tc>
          <w:tcPr>
            <w:tcW w:w="1418" w:type="dxa"/>
          </w:tcPr>
          <w:p w14:paraId="700355E9" w14:textId="77777777" w:rsidR="00A32C22" w:rsidRPr="0005005C" w:rsidRDefault="00B15DE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-800</w:t>
            </w:r>
          </w:p>
          <w:p w14:paraId="4510AB85" w14:textId="40115A28" w:rsidR="00B15DE0" w:rsidRPr="0005005C" w:rsidRDefault="00B15DE0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 xml:space="preserve">(-2047, </w:t>
            </w:r>
            <w:r w:rsidR="00264D0E" w:rsidRPr="0005005C">
              <w:rPr>
                <w:sz w:val="21"/>
                <w:szCs w:val="21"/>
              </w:rPr>
              <w:t>447)</w:t>
            </w:r>
          </w:p>
        </w:tc>
        <w:tc>
          <w:tcPr>
            <w:tcW w:w="850" w:type="dxa"/>
          </w:tcPr>
          <w:p w14:paraId="2B90DD0B" w14:textId="550A6254" w:rsidR="00A32C22" w:rsidRPr="0005005C" w:rsidRDefault="00264D0E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0.209</w:t>
            </w:r>
          </w:p>
        </w:tc>
        <w:tc>
          <w:tcPr>
            <w:tcW w:w="1559" w:type="dxa"/>
          </w:tcPr>
          <w:p w14:paraId="69C11D35" w14:textId="77777777" w:rsidR="00A32C22" w:rsidRPr="0005005C" w:rsidRDefault="00E76A8B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574</w:t>
            </w:r>
          </w:p>
          <w:p w14:paraId="6F7CACA9" w14:textId="0E114527" w:rsidR="00E76A8B" w:rsidRPr="0005005C" w:rsidRDefault="00E76A8B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 xml:space="preserve">(-695, </w:t>
            </w:r>
            <w:r w:rsidR="00DC0C68" w:rsidRPr="0005005C">
              <w:rPr>
                <w:sz w:val="21"/>
                <w:szCs w:val="21"/>
              </w:rPr>
              <w:t>1843)</w:t>
            </w:r>
          </w:p>
        </w:tc>
        <w:tc>
          <w:tcPr>
            <w:tcW w:w="993" w:type="dxa"/>
          </w:tcPr>
          <w:p w14:paraId="1CF8BC0B" w14:textId="7F3EE9A7" w:rsidR="00A32C22" w:rsidRPr="0005005C" w:rsidRDefault="00DC0C68" w:rsidP="00C53DA4">
            <w:pPr>
              <w:jc w:val="center"/>
              <w:rPr>
                <w:sz w:val="21"/>
                <w:szCs w:val="21"/>
              </w:rPr>
            </w:pPr>
            <w:r w:rsidRPr="0005005C">
              <w:rPr>
                <w:sz w:val="21"/>
                <w:szCs w:val="21"/>
              </w:rPr>
              <w:t>0.375</w:t>
            </w:r>
          </w:p>
        </w:tc>
      </w:tr>
    </w:tbl>
    <w:p w14:paraId="271E3294" w14:textId="5377D2EE" w:rsidR="00CA04C0" w:rsidRPr="00635FC9" w:rsidRDefault="00CA04C0" w:rsidP="00CA04C0">
      <w:pPr>
        <w:rPr>
          <w:sz w:val="21"/>
          <w:szCs w:val="21"/>
        </w:rPr>
      </w:pPr>
      <w:r w:rsidRPr="0005005C">
        <w:rPr>
          <w:sz w:val="21"/>
          <w:szCs w:val="21"/>
        </w:rPr>
        <w:t xml:space="preserve">*Time averaged response during a 3 h mixed-meal tolerance test; </w:t>
      </w:r>
      <w:r w:rsidRPr="0005005C">
        <w:rPr>
          <w:sz w:val="21"/>
          <w:szCs w:val="21"/>
          <w:vertAlign w:val="superscript"/>
        </w:rPr>
        <w:t>#</w:t>
      </w:r>
      <w:r w:rsidRPr="0005005C">
        <w:rPr>
          <w:sz w:val="21"/>
          <w:szCs w:val="21"/>
        </w:rPr>
        <w:t>Significant after sequential Holm Bonferroni correction.</w:t>
      </w:r>
    </w:p>
    <w:p w14:paraId="643E9243" w14:textId="5EF3AA1A" w:rsidR="009C1DBA" w:rsidRDefault="009C1DBA"/>
    <w:p w14:paraId="44D192D1" w14:textId="5A321979" w:rsidR="00250816" w:rsidRDefault="00250816"/>
    <w:p w14:paraId="4F0816A4" w14:textId="045969B3" w:rsidR="00250816" w:rsidRDefault="00250816"/>
    <w:p w14:paraId="75389C84" w14:textId="17D95F67" w:rsidR="00250816" w:rsidRDefault="00250816"/>
    <w:sectPr w:rsidR="00250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F8B"/>
    <w:multiLevelType w:val="hybridMultilevel"/>
    <w:tmpl w:val="696AA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5121"/>
    <w:multiLevelType w:val="hybridMultilevel"/>
    <w:tmpl w:val="667E89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24B57"/>
    <w:multiLevelType w:val="hybridMultilevel"/>
    <w:tmpl w:val="3688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03B2D"/>
    <w:multiLevelType w:val="hybridMultilevel"/>
    <w:tmpl w:val="EE12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57E3"/>
    <w:multiLevelType w:val="hybridMultilevel"/>
    <w:tmpl w:val="B51687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AA"/>
    <w:rsid w:val="00000C71"/>
    <w:rsid w:val="00000FB3"/>
    <w:rsid w:val="00002E69"/>
    <w:rsid w:val="00003817"/>
    <w:rsid w:val="000053C1"/>
    <w:rsid w:val="000075E0"/>
    <w:rsid w:val="00012D1D"/>
    <w:rsid w:val="000167C5"/>
    <w:rsid w:val="000201CF"/>
    <w:rsid w:val="000236A9"/>
    <w:rsid w:val="0002651C"/>
    <w:rsid w:val="00026DDF"/>
    <w:rsid w:val="000276E5"/>
    <w:rsid w:val="00027C32"/>
    <w:rsid w:val="00027D6B"/>
    <w:rsid w:val="00034170"/>
    <w:rsid w:val="0003544D"/>
    <w:rsid w:val="00040793"/>
    <w:rsid w:val="00041C9C"/>
    <w:rsid w:val="00042863"/>
    <w:rsid w:val="000441A9"/>
    <w:rsid w:val="0005005C"/>
    <w:rsid w:val="000517B1"/>
    <w:rsid w:val="000559D5"/>
    <w:rsid w:val="00056263"/>
    <w:rsid w:val="00060940"/>
    <w:rsid w:val="000615BE"/>
    <w:rsid w:val="00064982"/>
    <w:rsid w:val="000664FA"/>
    <w:rsid w:val="00067A2B"/>
    <w:rsid w:val="000700E7"/>
    <w:rsid w:val="00070549"/>
    <w:rsid w:val="00073CC5"/>
    <w:rsid w:val="00074A9B"/>
    <w:rsid w:val="00075E1E"/>
    <w:rsid w:val="00077444"/>
    <w:rsid w:val="0008336F"/>
    <w:rsid w:val="00085BDE"/>
    <w:rsid w:val="000867C6"/>
    <w:rsid w:val="00087B24"/>
    <w:rsid w:val="00087DB1"/>
    <w:rsid w:val="0009344D"/>
    <w:rsid w:val="00097720"/>
    <w:rsid w:val="000B29EA"/>
    <w:rsid w:val="000B437C"/>
    <w:rsid w:val="000B4F55"/>
    <w:rsid w:val="000B514F"/>
    <w:rsid w:val="000B5782"/>
    <w:rsid w:val="000C1040"/>
    <w:rsid w:val="000C20A9"/>
    <w:rsid w:val="000C2112"/>
    <w:rsid w:val="000C47B9"/>
    <w:rsid w:val="000C5CD1"/>
    <w:rsid w:val="000D33C1"/>
    <w:rsid w:val="000D4270"/>
    <w:rsid w:val="000D6C77"/>
    <w:rsid w:val="000E218E"/>
    <w:rsid w:val="000E30A5"/>
    <w:rsid w:val="000E5334"/>
    <w:rsid w:val="000F160C"/>
    <w:rsid w:val="000F7855"/>
    <w:rsid w:val="0010234C"/>
    <w:rsid w:val="001044C6"/>
    <w:rsid w:val="00105E62"/>
    <w:rsid w:val="001115E8"/>
    <w:rsid w:val="00114A89"/>
    <w:rsid w:val="0012035A"/>
    <w:rsid w:val="00124C34"/>
    <w:rsid w:val="001331D3"/>
    <w:rsid w:val="001333FB"/>
    <w:rsid w:val="001358D0"/>
    <w:rsid w:val="00137318"/>
    <w:rsid w:val="00142BAB"/>
    <w:rsid w:val="00143AED"/>
    <w:rsid w:val="00147210"/>
    <w:rsid w:val="00147941"/>
    <w:rsid w:val="00150487"/>
    <w:rsid w:val="0015083C"/>
    <w:rsid w:val="00156AC2"/>
    <w:rsid w:val="00156F3B"/>
    <w:rsid w:val="00157277"/>
    <w:rsid w:val="00161742"/>
    <w:rsid w:val="00161FE1"/>
    <w:rsid w:val="00171205"/>
    <w:rsid w:val="00183115"/>
    <w:rsid w:val="00185A99"/>
    <w:rsid w:val="00186715"/>
    <w:rsid w:val="001869B0"/>
    <w:rsid w:val="001875DB"/>
    <w:rsid w:val="0018781E"/>
    <w:rsid w:val="001A2F49"/>
    <w:rsid w:val="001A4DE6"/>
    <w:rsid w:val="001B1418"/>
    <w:rsid w:val="001B3EE5"/>
    <w:rsid w:val="001B7D37"/>
    <w:rsid w:val="001C18F1"/>
    <w:rsid w:val="001C1D07"/>
    <w:rsid w:val="001C4EE6"/>
    <w:rsid w:val="001C6C42"/>
    <w:rsid w:val="001D0A31"/>
    <w:rsid w:val="001D182C"/>
    <w:rsid w:val="001D19DA"/>
    <w:rsid w:val="001D3667"/>
    <w:rsid w:val="001D4444"/>
    <w:rsid w:val="001D6B56"/>
    <w:rsid w:val="001E15A5"/>
    <w:rsid w:val="001E63A5"/>
    <w:rsid w:val="001F1BB1"/>
    <w:rsid w:val="001F3A98"/>
    <w:rsid w:val="0020648A"/>
    <w:rsid w:val="00206576"/>
    <w:rsid w:val="00212360"/>
    <w:rsid w:val="00212366"/>
    <w:rsid w:val="002157D0"/>
    <w:rsid w:val="00215BCF"/>
    <w:rsid w:val="00215F2D"/>
    <w:rsid w:val="00230D95"/>
    <w:rsid w:val="00233D29"/>
    <w:rsid w:val="00234C6E"/>
    <w:rsid w:val="0023586A"/>
    <w:rsid w:val="00235FAD"/>
    <w:rsid w:val="002361C0"/>
    <w:rsid w:val="002367DE"/>
    <w:rsid w:val="00237D1D"/>
    <w:rsid w:val="00243D1A"/>
    <w:rsid w:val="002503ED"/>
    <w:rsid w:val="00250816"/>
    <w:rsid w:val="00253AC7"/>
    <w:rsid w:val="00264D0E"/>
    <w:rsid w:val="00266910"/>
    <w:rsid w:val="00267375"/>
    <w:rsid w:val="002706D8"/>
    <w:rsid w:val="00274A48"/>
    <w:rsid w:val="002776EF"/>
    <w:rsid w:val="00281A06"/>
    <w:rsid w:val="002836FD"/>
    <w:rsid w:val="0028452C"/>
    <w:rsid w:val="00290345"/>
    <w:rsid w:val="0029082E"/>
    <w:rsid w:val="00295EE4"/>
    <w:rsid w:val="0029752F"/>
    <w:rsid w:val="002A1CCD"/>
    <w:rsid w:val="002A27F4"/>
    <w:rsid w:val="002A6258"/>
    <w:rsid w:val="002A6C0A"/>
    <w:rsid w:val="002B0C04"/>
    <w:rsid w:val="002B12A6"/>
    <w:rsid w:val="002B33F0"/>
    <w:rsid w:val="002B4677"/>
    <w:rsid w:val="002B4C6F"/>
    <w:rsid w:val="002D0D42"/>
    <w:rsid w:val="002D274B"/>
    <w:rsid w:val="002D529C"/>
    <w:rsid w:val="002D591F"/>
    <w:rsid w:val="002E4F7D"/>
    <w:rsid w:val="002F75B0"/>
    <w:rsid w:val="0030319B"/>
    <w:rsid w:val="0031251F"/>
    <w:rsid w:val="00314FCF"/>
    <w:rsid w:val="003153F0"/>
    <w:rsid w:val="00315942"/>
    <w:rsid w:val="00321C1A"/>
    <w:rsid w:val="003237A4"/>
    <w:rsid w:val="00340554"/>
    <w:rsid w:val="003416C6"/>
    <w:rsid w:val="00343582"/>
    <w:rsid w:val="00343AB4"/>
    <w:rsid w:val="00343B17"/>
    <w:rsid w:val="00344348"/>
    <w:rsid w:val="00346D34"/>
    <w:rsid w:val="003515E3"/>
    <w:rsid w:val="00357A51"/>
    <w:rsid w:val="003604D7"/>
    <w:rsid w:val="00373A37"/>
    <w:rsid w:val="00373BAA"/>
    <w:rsid w:val="00390B17"/>
    <w:rsid w:val="00390B5D"/>
    <w:rsid w:val="00390C82"/>
    <w:rsid w:val="00391F3A"/>
    <w:rsid w:val="00394970"/>
    <w:rsid w:val="00397CD2"/>
    <w:rsid w:val="003A376A"/>
    <w:rsid w:val="003A4271"/>
    <w:rsid w:val="003A443B"/>
    <w:rsid w:val="003B342D"/>
    <w:rsid w:val="003B502D"/>
    <w:rsid w:val="003B5264"/>
    <w:rsid w:val="003B767C"/>
    <w:rsid w:val="003C0403"/>
    <w:rsid w:val="003C0DA7"/>
    <w:rsid w:val="003C4DD1"/>
    <w:rsid w:val="003C779D"/>
    <w:rsid w:val="003D5ABF"/>
    <w:rsid w:val="003D6364"/>
    <w:rsid w:val="003D69A5"/>
    <w:rsid w:val="003E41AA"/>
    <w:rsid w:val="003E7E76"/>
    <w:rsid w:val="003F0294"/>
    <w:rsid w:val="003F0665"/>
    <w:rsid w:val="003F41B9"/>
    <w:rsid w:val="00400DBA"/>
    <w:rsid w:val="00400FD6"/>
    <w:rsid w:val="004019F1"/>
    <w:rsid w:val="00402D00"/>
    <w:rsid w:val="00404DAF"/>
    <w:rsid w:val="00420936"/>
    <w:rsid w:val="00420D0E"/>
    <w:rsid w:val="00425BB2"/>
    <w:rsid w:val="0043164C"/>
    <w:rsid w:val="00431873"/>
    <w:rsid w:val="00432B62"/>
    <w:rsid w:val="0043423B"/>
    <w:rsid w:val="004360B9"/>
    <w:rsid w:val="00437529"/>
    <w:rsid w:val="00437631"/>
    <w:rsid w:val="00454B06"/>
    <w:rsid w:val="00455443"/>
    <w:rsid w:val="00461FD9"/>
    <w:rsid w:val="00464A11"/>
    <w:rsid w:val="00466C45"/>
    <w:rsid w:val="00466E49"/>
    <w:rsid w:val="0046726D"/>
    <w:rsid w:val="004675C0"/>
    <w:rsid w:val="00472297"/>
    <w:rsid w:val="004729BB"/>
    <w:rsid w:val="00475F59"/>
    <w:rsid w:val="004834BB"/>
    <w:rsid w:val="00487DCA"/>
    <w:rsid w:val="004913C9"/>
    <w:rsid w:val="00491D3A"/>
    <w:rsid w:val="00496981"/>
    <w:rsid w:val="004A19A7"/>
    <w:rsid w:val="004A2D23"/>
    <w:rsid w:val="004A4594"/>
    <w:rsid w:val="004B6B18"/>
    <w:rsid w:val="004C2145"/>
    <w:rsid w:val="004C28DA"/>
    <w:rsid w:val="004C399B"/>
    <w:rsid w:val="004C3CE5"/>
    <w:rsid w:val="004D0236"/>
    <w:rsid w:val="004E46BE"/>
    <w:rsid w:val="004F4E02"/>
    <w:rsid w:val="00500637"/>
    <w:rsid w:val="00500922"/>
    <w:rsid w:val="005010CE"/>
    <w:rsid w:val="00505C22"/>
    <w:rsid w:val="005103EA"/>
    <w:rsid w:val="005116B5"/>
    <w:rsid w:val="00512E7B"/>
    <w:rsid w:val="0051500A"/>
    <w:rsid w:val="00533EAB"/>
    <w:rsid w:val="0053477E"/>
    <w:rsid w:val="00544C58"/>
    <w:rsid w:val="00551484"/>
    <w:rsid w:val="005548E2"/>
    <w:rsid w:val="00556385"/>
    <w:rsid w:val="005626AC"/>
    <w:rsid w:val="0057036E"/>
    <w:rsid w:val="005705F6"/>
    <w:rsid w:val="00572A73"/>
    <w:rsid w:val="00580CEC"/>
    <w:rsid w:val="00582750"/>
    <w:rsid w:val="00582DC6"/>
    <w:rsid w:val="00583B07"/>
    <w:rsid w:val="00585991"/>
    <w:rsid w:val="0058794B"/>
    <w:rsid w:val="00596F72"/>
    <w:rsid w:val="005A42E0"/>
    <w:rsid w:val="005B1243"/>
    <w:rsid w:val="005B7908"/>
    <w:rsid w:val="005C5FE3"/>
    <w:rsid w:val="005C7A58"/>
    <w:rsid w:val="005D4AD4"/>
    <w:rsid w:val="005D5658"/>
    <w:rsid w:val="005E0939"/>
    <w:rsid w:val="005E472E"/>
    <w:rsid w:val="005E6E89"/>
    <w:rsid w:val="005F145F"/>
    <w:rsid w:val="005F3E4C"/>
    <w:rsid w:val="00600541"/>
    <w:rsid w:val="00607102"/>
    <w:rsid w:val="006120FD"/>
    <w:rsid w:val="0061344D"/>
    <w:rsid w:val="00613EAA"/>
    <w:rsid w:val="0061631A"/>
    <w:rsid w:val="00622BF4"/>
    <w:rsid w:val="00623566"/>
    <w:rsid w:val="00624E3C"/>
    <w:rsid w:val="00625BB5"/>
    <w:rsid w:val="00631D3F"/>
    <w:rsid w:val="0063216A"/>
    <w:rsid w:val="00632F91"/>
    <w:rsid w:val="00634E21"/>
    <w:rsid w:val="00635FC9"/>
    <w:rsid w:val="0064159F"/>
    <w:rsid w:val="00644DC7"/>
    <w:rsid w:val="00645665"/>
    <w:rsid w:val="00645796"/>
    <w:rsid w:val="00645ABA"/>
    <w:rsid w:val="00650F9F"/>
    <w:rsid w:val="00651F5F"/>
    <w:rsid w:val="00655D54"/>
    <w:rsid w:val="0065639C"/>
    <w:rsid w:val="00673D0E"/>
    <w:rsid w:val="006756FE"/>
    <w:rsid w:val="0067624E"/>
    <w:rsid w:val="00677840"/>
    <w:rsid w:val="006830C9"/>
    <w:rsid w:val="006838DC"/>
    <w:rsid w:val="00684CD3"/>
    <w:rsid w:val="00686D8A"/>
    <w:rsid w:val="00690804"/>
    <w:rsid w:val="0069328D"/>
    <w:rsid w:val="00695D27"/>
    <w:rsid w:val="006A2773"/>
    <w:rsid w:val="006A3127"/>
    <w:rsid w:val="006B07EE"/>
    <w:rsid w:val="006B371F"/>
    <w:rsid w:val="006B42F3"/>
    <w:rsid w:val="006B4311"/>
    <w:rsid w:val="006B4557"/>
    <w:rsid w:val="006B6AA2"/>
    <w:rsid w:val="006C1F23"/>
    <w:rsid w:val="006C3187"/>
    <w:rsid w:val="006D0D45"/>
    <w:rsid w:val="006D1A71"/>
    <w:rsid w:val="006E591B"/>
    <w:rsid w:val="006F23DB"/>
    <w:rsid w:val="006F3244"/>
    <w:rsid w:val="006F3AEC"/>
    <w:rsid w:val="006F77E5"/>
    <w:rsid w:val="00700071"/>
    <w:rsid w:val="007003A6"/>
    <w:rsid w:val="00702C3C"/>
    <w:rsid w:val="0070487D"/>
    <w:rsid w:val="00706570"/>
    <w:rsid w:val="00707C23"/>
    <w:rsid w:val="007108CB"/>
    <w:rsid w:val="00711F90"/>
    <w:rsid w:val="0072407E"/>
    <w:rsid w:val="0072688C"/>
    <w:rsid w:val="00726CA3"/>
    <w:rsid w:val="007277B3"/>
    <w:rsid w:val="007331AA"/>
    <w:rsid w:val="00733296"/>
    <w:rsid w:val="007404BF"/>
    <w:rsid w:val="00740926"/>
    <w:rsid w:val="007417DF"/>
    <w:rsid w:val="00742CB0"/>
    <w:rsid w:val="00744A6A"/>
    <w:rsid w:val="00746B24"/>
    <w:rsid w:val="0074729D"/>
    <w:rsid w:val="00747DBE"/>
    <w:rsid w:val="0075182B"/>
    <w:rsid w:val="007545B1"/>
    <w:rsid w:val="007558FD"/>
    <w:rsid w:val="00762088"/>
    <w:rsid w:val="00763B59"/>
    <w:rsid w:val="007669A6"/>
    <w:rsid w:val="00766FCC"/>
    <w:rsid w:val="00775593"/>
    <w:rsid w:val="00777B59"/>
    <w:rsid w:val="007808B8"/>
    <w:rsid w:val="0078179E"/>
    <w:rsid w:val="0078189C"/>
    <w:rsid w:val="00783124"/>
    <w:rsid w:val="007847DF"/>
    <w:rsid w:val="00785958"/>
    <w:rsid w:val="00793C94"/>
    <w:rsid w:val="007A187A"/>
    <w:rsid w:val="007A373F"/>
    <w:rsid w:val="007A3DEF"/>
    <w:rsid w:val="007A65D3"/>
    <w:rsid w:val="007B268E"/>
    <w:rsid w:val="007B5B9C"/>
    <w:rsid w:val="007B5C46"/>
    <w:rsid w:val="007B61DB"/>
    <w:rsid w:val="007C1328"/>
    <w:rsid w:val="007C43CD"/>
    <w:rsid w:val="007D3D62"/>
    <w:rsid w:val="007D6ED9"/>
    <w:rsid w:val="007E2CC3"/>
    <w:rsid w:val="007F09CA"/>
    <w:rsid w:val="007F0EE4"/>
    <w:rsid w:val="007F33E7"/>
    <w:rsid w:val="007F4520"/>
    <w:rsid w:val="008001AD"/>
    <w:rsid w:val="008005DC"/>
    <w:rsid w:val="008010B5"/>
    <w:rsid w:val="00807E2E"/>
    <w:rsid w:val="00810460"/>
    <w:rsid w:val="008114FD"/>
    <w:rsid w:val="00822D89"/>
    <w:rsid w:val="008264B8"/>
    <w:rsid w:val="00826D25"/>
    <w:rsid w:val="008278A4"/>
    <w:rsid w:val="00830E02"/>
    <w:rsid w:val="008372C7"/>
    <w:rsid w:val="00840528"/>
    <w:rsid w:val="00841433"/>
    <w:rsid w:val="008432F5"/>
    <w:rsid w:val="00843B53"/>
    <w:rsid w:val="00845AF5"/>
    <w:rsid w:val="00846912"/>
    <w:rsid w:val="0085039A"/>
    <w:rsid w:val="00851AA4"/>
    <w:rsid w:val="008544D9"/>
    <w:rsid w:val="0086550F"/>
    <w:rsid w:val="0087067C"/>
    <w:rsid w:val="00871E30"/>
    <w:rsid w:val="00872388"/>
    <w:rsid w:val="0087338D"/>
    <w:rsid w:val="00875964"/>
    <w:rsid w:val="00880929"/>
    <w:rsid w:val="00896BB6"/>
    <w:rsid w:val="00897A60"/>
    <w:rsid w:val="008A0DC0"/>
    <w:rsid w:val="008A1796"/>
    <w:rsid w:val="008A52C5"/>
    <w:rsid w:val="008B1643"/>
    <w:rsid w:val="008B3283"/>
    <w:rsid w:val="008B54EB"/>
    <w:rsid w:val="008C5263"/>
    <w:rsid w:val="008D088E"/>
    <w:rsid w:val="008E1065"/>
    <w:rsid w:val="008E301D"/>
    <w:rsid w:val="008E43B0"/>
    <w:rsid w:val="008F08C3"/>
    <w:rsid w:val="008F3FC3"/>
    <w:rsid w:val="008F5929"/>
    <w:rsid w:val="0090448C"/>
    <w:rsid w:val="00905305"/>
    <w:rsid w:val="009059F8"/>
    <w:rsid w:val="009062C2"/>
    <w:rsid w:val="00911BA8"/>
    <w:rsid w:val="0091232D"/>
    <w:rsid w:val="0091486A"/>
    <w:rsid w:val="00922996"/>
    <w:rsid w:val="00923427"/>
    <w:rsid w:val="0092403C"/>
    <w:rsid w:val="00941646"/>
    <w:rsid w:val="009419F4"/>
    <w:rsid w:val="0094648C"/>
    <w:rsid w:val="009522B7"/>
    <w:rsid w:val="009601A6"/>
    <w:rsid w:val="00960C7F"/>
    <w:rsid w:val="00962444"/>
    <w:rsid w:val="009650D7"/>
    <w:rsid w:val="00965BF7"/>
    <w:rsid w:val="009663F5"/>
    <w:rsid w:val="00970C3F"/>
    <w:rsid w:val="00975513"/>
    <w:rsid w:val="00976E45"/>
    <w:rsid w:val="00980560"/>
    <w:rsid w:val="00984DEE"/>
    <w:rsid w:val="00986239"/>
    <w:rsid w:val="00987B0A"/>
    <w:rsid w:val="00992430"/>
    <w:rsid w:val="00994183"/>
    <w:rsid w:val="00994CD3"/>
    <w:rsid w:val="00996D8C"/>
    <w:rsid w:val="009A02D6"/>
    <w:rsid w:val="009A1F89"/>
    <w:rsid w:val="009A2AB2"/>
    <w:rsid w:val="009A3418"/>
    <w:rsid w:val="009A4657"/>
    <w:rsid w:val="009A5564"/>
    <w:rsid w:val="009B2CB9"/>
    <w:rsid w:val="009B3EDC"/>
    <w:rsid w:val="009B5665"/>
    <w:rsid w:val="009B5D45"/>
    <w:rsid w:val="009B7728"/>
    <w:rsid w:val="009B7CCB"/>
    <w:rsid w:val="009C1DBA"/>
    <w:rsid w:val="009C2A8C"/>
    <w:rsid w:val="009C540F"/>
    <w:rsid w:val="009D04CE"/>
    <w:rsid w:val="009D131F"/>
    <w:rsid w:val="009D56AD"/>
    <w:rsid w:val="009D6378"/>
    <w:rsid w:val="009E4FFD"/>
    <w:rsid w:val="009E7EEA"/>
    <w:rsid w:val="009F01BB"/>
    <w:rsid w:val="009F4A15"/>
    <w:rsid w:val="009F5C27"/>
    <w:rsid w:val="009F63FB"/>
    <w:rsid w:val="00A0316D"/>
    <w:rsid w:val="00A04F05"/>
    <w:rsid w:val="00A13565"/>
    <w:rsid w:val="00A1360D"/>
    <w:rsid w:val="00A219DF"/>
    <w:rsid w:val="00A242CD"/>
    <w:rsid w:val="00A267A3"/>
    <w:rsid w:val="00A31286"/>
    <w:rsid w:val="00A32C22"/>
    <w:rsid w:val="00A34890"/>
    <w:rsid w:val="00A357B1"/>
    <w:rsid w:val="00A479AD"/>
    <w:rsid w:val="00A51F27"/>
    <w:rsid w:val="00A51FC2"/>
    <w:rsid w:val="00A527B6"/>
    <w:rsid w:val="00A55C29"/>
    <w:rsid w:val="00A6129C"/>
    <w:rsid w:val="00A6477A"/>
    <w:rsid w:val="00A65857"/>
    <w:rsid w:val="00A65D11"/>
    <w:rsid w:val="00A70CFF"/>
    <w:rsid w:val="00A71E3F"/>
    <w:rsid w:val="00A75FE2"/>
    <w:rsid w:val="00A76C17"/>
    <w:rsid w:val="00A7774B"/>
    <w:rsid w:val="00A800A6"/>
    <w:rsid w:val="00A86EBD"/>
    <w:rsid w:val="00A93753"/>
    <w:rsid w:val="00A9631E"/>
    <w:rsid w:val="00AA1136"/>
    <w:rsid w:val="00AA248C"/>
    <w:rsid w:val="00AA5D51"/>
    <w:rsid w:val="00AA7306"/>
    <w:rsid w:val="00AA7554"/>
    <w:rsid w:val="00AB3460"/>
    <w:rsid w:val="00AC07E8"/>
    <w:rsid w:val="00AC42E3"/>
    <w:rsid w:val="00AC6154"/>
    <w:rsid w:val="00AC627F"/>
    <w:rsid w:val="00AC75EA"/>
    <w:rsid w:val="00AD04E6"/>
    <w:rsid w:val="00AD681D"/>
    <w:rsid w:val="00AE2180"/>
    <w:rsid w:val="00AE4A3A"/>
    <w:rsid w:val="00AE68C9"/>
    <w:rsid w:val="00AF6340"/>
    <w:rsid w:val="00B057EE"/>
    <w:rsid w:val="00B0695C"/>
    <w:rsid w:val="00B11818"/>
    <w:rsid w:val="00B15DE0"/>
    <w:rsid w:val="00B162A7"/>
    <w:rsid w:val="00B1710F"/>
    <w:rsid w:val="00B21A25"/>
    <w:rsid w:val="00B223F7"/>
    <w:rsid w:val="00B27310"/>
    <w:rsid w:val="00B33486"/>
    <w:rsid w:val="00B34C62"/>
    <w:rsid w:val="00B35C18"/>
    <w:rsid w:val="00B36076"/>
    <w:rsid w:val="00B40685"/>
    <w:rsid w:val="00B4361A"/>
    <w:rsid w:val="00B459FF"/>
    <w:rsid w:val="00B51F1E"/>
    <w:rsid w:val="00B5649E"/>
    <w:rsid w:val="00B61252"/>
    <w:rsid w:val="00B6784F"/>
    <w:rsid w:val="00B7279F"/>
    <w:rsid w:val="00B74548"/>
    <w:rsid w:val="00B75E34"/>
    <w:rsid w:val="00B774B2"/>
    <w:rsid w:val="00B81B00"/>
    <w:rsid w:val="00B82BE0"/>
    <w:rsid w:val="00B8387C"/>
    <w:rsid w:val="00B86E7F"/>
    <w:rsid w:val="00B87610"/>
    <w:rsid w:val="00B9724D"/>
    <w:rsid w:val="00BA4BF2"/>
    <w:rsid w:val="00BB072C"/>
    <w:rsid w:val="00BB2699"/>
    <w:rsid w:val="00BB4B8B"/>
    <w:rsid w:val="00BC352F"/>
    <w:rsid w:val="00BC731C"/>
    <w:rsid w:val="00BD0749"/>
    <w:rsid w:val="00BD3E4A"/>
    <w:rsid w:val="00BD5442"/>
    <w:rsid w:val="00BE15AC"/>
    <w:rsid w:val="00BE2796"/>
    <w:rsid w:val="00BE594B"/>
    <w:rsid w:val="00BE616D"/>
    <w:rsid w:val="00BF4256"/>
    <w:rsid w:val="00C009C3"/>
    <w:rsid w:val="00C00A4C"/>
    <w:rsid w:val="00C03090"/>
    <w:rsid w:val="00C035F2"/>
    <w:rsid w:val="00C06E3D"/>
    <w:rsid w:val="00C07975"/>
    <w:rsid w:val="00C07D10"/>
    <w:rsid w:val="00C07DAD"/>
    <w:rsid w:val="00C1129E"/>
    <w:rsid w:val="00C12823"/>
    <w:rsid w:val="00C14AF8"/>
    <w:rsid w:val="00C15B59"/>
    <w:rsid w:val="00C21F44"/>
    <w:rsid w:val="00C308C8"/>
    <w:rsid w:val="00C31A5A"/>
    <w:rsid w:val="00C36827"/>
    <w:rsid w:val="00C37B68"/>
    <w:rsid w:val="00C44515"/>
    <w:rsid w:val="00C5062C"/>
    <w:rsid w:val="00C518F3"/>
    <w:rsid w:val="00C53DA4"/>
    <w:rsid w:val="00C545F8"/>
    <w:rsid w:val="00C609E6"/>
    <w:rsid w:val="00C62C43"/>
    <w:rsid w:val="00C665CC"/>
    <w:rsid w:val="00C81ED3"/>
    <w:rsid w:val="00C8244F"/>
    <w:rsid w:val="00C86944"/>
    <w:rsid w:val="00CA04C0"/>
    <w:rsid w:val="00CA2911"/>
    <w:rsid w:val="00CA3201"/>
    <w:rsid w:val="00CA45CA"/>
    <w:rsid w:val="00CB101B"/>
    <w:rsid w:val="00CB3020"/>
    <w:rsid w:val="00CB6079"/>
    <w:rsid w:val="00CB7DDB"/>
    <w:rsid w:val="00CC33A9"/>
    <w:rsid w:val="00CC6373"/>
    <w:rsid w:val="00CC66E4"/>
    <w:rsid w:val="00CD533B"/>
    <w:rsid w:val="00CE2564"/>
    <w:rsid w:val="00CE4956"/>
    <w:rsid w:val="00CE554D"/>
    <w:rsid w:val="00CE692A"/>
    <w:rsid w:val="00D06C94"/>
    <w:rsid w:val="00D06CE1"/>
    <w:rsid w:val="00D06CF2"/>
    <w:rsid w:val="00D06F1E"/>
    <w:rsid w:val="00D12A3D"/>
    <w:rsid w:val="00D1401C"/>
    <w:rsid w:val="00D15AB5"/>
    <w:rsid w:val="00D325D5"/>
    <w:rsid w:val="00D333E6"/>
    <w:rsid w:val="00D342F4"/>
    <w:rsid w:val="00D43E01"/>
    <w:rsid w:val="00D443B5"/>
    <w:rsid w:val="00D476E1"/>
    <w:rsid w:val="00D51F60"/>
    <w:rsid w:val="00D5501B"/>
    <w:rsid w:val="00D56E9B"/>
    <w:rsid w:val="00D570DD"/>
    <w:rsid w:val="00D640B0"/>
    <w:rsid w:val="00D656C2"/>
    <w:rsid w:val="00D67263"/>
    <w:rsid w:val="00D7059F"/>
    <w:rsid w:val="00D7271E"/>
    <w:rsid w:val="00D743FB"/>
    <w:rsid w:val="00D7521A"/>
    <w:rsid w:val="00D85487"/>
    <w:rsid w:val="00D90F53"/>
    <w:rsid w:val="00D9111E"/>
    <w:rsid w:val="00D944CF"/>
    <w:rsid w:val="00D97823"/>
    <w:rsid w:val="00DB0C07"/>
    <w:rsid w:val="00DC0C68"/>
    <w:rsid w:val="00DC3070"/>
    <w:rsid w:val="00DC5A1B"/>
    <w:rsid w:val="00DD2985"/>
    <w:rsid w:val="00DD3213"/>
    <w:rsid w:val="00DD46AB"/>
    <w:rsid w:val="00DE08CD"/>
    <w:rsid w:val="00DE0AEB"/>
    <w:rsid w:val="00DE63FD"/>
    <w:rsid w:val="00DF0BEC"/>
    <w:rsid w:val="00DF0C55"/>
    <w:rsid w:val="00DF5200"/>
    <w:rsid w:val="00DF5420"/>
    <w:rsid w:val="00E0327F"/>
    <w:rsid w:val="00E03CC9"/>
    <w:rsid w:val="00E05202"/>
    <w:rsid w:val="00E053FF"/>
    <w:rsid w:val="00E139E9"/>
    <w:rsid w:val="00E15B8E"/>
    <w:rsid w:val="00E15F73"/>
    <w:rsid w:val="00E16A41"/>
    <w:rsid w:val="00E17E50"/>
    <w:rsid w:val="00E2000B"/>
    <w:rsid w:val="00E2002C"/>
    <w:rsid w:val="00E21370"/>
    <w:rsid w:val="00E308E1"/>
    <w:rsid w:val="00E313B2"/>
    <w:rsid w:val="00E354DA"/>
    <w:rsid w:val="00E438CF"/>
    <w:rsid w:val="00E44017"/>
    <w:rsid w:val="00E453C8"/>
    <w:rsid w:val="00E46D77"/>
    <w:rsid w:val="00E532C7"/>
    <w:rsid w:val="00E56BA3"/>
    <w:rsid w:val="00E56EC4"/>
    <w:rsid w:val="00E604CB"/>
    <w:rsid w:val="00E646EE"/>
    <w:rsid w:val="00E65971"/>
    <w:rsid w:val="00E67BEC"/>
    <w:rsid w:val="00E72DA8"/>
    <w:rsid w:val="00E73015"/>
    <w:rsid w:val="00E74883"/>
    <w:rsid w:val="00E76A8B"/>
    <w:rsid w:val="00E76D7E"/>
    <w:rsid w:val="00E80EC3"/>
    <w:rsid w:val="00E81AAF"/>
    <w:rsid w:val="00E81D2C"/>
    <w:rsid w:val="00E90654"/>
    <w:rsid w:val="00E93C06"/>
    <w:rsid w:val="00E94A75"/>
    <w:rsid w:val="00E965D6"/>
    <w:rsid w:val="00E9738E"/>
    <w:rsid w:val="00EA15FE"/>
    <w:rsid w:val="00EA4653"/>
    <w:rsid w:val="00EA54D6"/>
    <w:rsid w:val="00EB04FB"/>
    <w:rsid w:val="00EC241D"/>
    <w:rsid w:val="00EC29CB"/>
    <w:rsid w:val="00ED0398"/>
    <w:rsid w:val="00ED08DD"/>
    <w:rsid w:val="00ED55C7"/>
    <w:rsid w:val="00ED59D6"/>
    <w:rsid w:val="00ED7988"/>
    <w:rsid w:val="00EE3CA9"/>
    <w:rsid w:val="00EE4223"/>
    <w:rsid w:val="00EE6B19"/>
    <w:rsid w:val="00EF0022"/>
    <w:rsid w:val="00EF4D4E"/>
    <w:rsid w:val="00F00A5A"/>
    <w:rsid w:val="00F03847"/>
    <w:rsid w:val="00F03B79"/>
    <w:rsid w:val="00F04296"/>
    <w:rsid w:val="00F05B67"/>
    <w:rsid w:val="00F2284E"/>
    <w:rsid w:val="00F23F10"/>
    <w:rsid w:val="00F25F6B"/>
    <w:rsid w:val="00F30FF1"/>
    <w:rsid w:val="00F334DD"/>
    <w:rsid w:val="00F33514"/>
    <w:rsid w:val="00F337F1"/>
    <w:rsid w:val="00F33A7C"/>
    <w:rsid w:val="00F34F41"/>
    <w:rsid w:val="00F356BE"/>
    <w:rsid w:val="00F40995"/>
    <w:rsid w:val="00F41989"/>
    <w:rsid w:val="00F519A0"/>
    <w:rsid w:val="00F5202F"/>
    <w:rsid w:val="00F52EDF"/>
    <w:rsid w:val="00F54B20"/>
    <w:rsid w:val="00F62265"/>
    <w:rsid w:val="00F72566"/>
    <w:rsid w:val="00F725C2"/>
    <w:rsid w:val="00F72EF6"/>
    <w:rsid w:val="00F73386"/>
    <w:rsid w:val="00F745EE"/>
    <w:rsid w:val="00F75178"/>
    <w:rsid w:val="00F86BA2"/>
    <w:rsid w:val="00F92368"/>
    <w:rsid w:val="00F93245"/>
    <w:rsid w:val="00FA2276"/>
    <w:rsid w:val="00FB4D76"/>
    <w:rsid w:val="00FD0A2E"/>
    <w:rsid w:val="00FD3997"/>
    <w:rsid w:val="00FE0DA7"/>
    <w:rsid w:val="00FE31DA"/>
    <w:rsid w:val="00FE5376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0522"/>
  <w15:docId w15:val="{E0AE666A-6187-4DBE-BDF0-272C8A5C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997"/>
    <w:pPr>
      <w:ind w:left="720"/>
      <w:contextualSpacing/>
    </w:pPr>
  </w:style>
  <w:style w:type="paragraph" w:customStyle="1" w:styleId="Default">
    <w:name w:val="Default"/>
    <w:rsid w:val="00BD0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D591F"/>
    <w:pPr>
      <w:spacing w:after="0" w:line="240" w:lineRule="auto"/>
    </w:pPr>
  </w:style>
  <w:style w:type="table" w:styleId="TableGrid">
    <w:name w:val="Table Grid"/>
    <w:basedOn w:val="TableNormal"/>
    <w:uiPriority w:val="3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5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5DD9-9D38-4319-9729-53BBFF51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King</dc:creator>
  <cp:lastModifiedBy>Wilding, John</cp:lastModifiedBy>
  <cp:revision>2</cp:revision>
  <dcterms:created xsi:type="dcterms:W3CDTF">2020-10-15T08:15:00Z</dcterms:created>
  <dcterms:modified xsi:type="dcterms:W3CDTF">2020-10-15T08:15:00Z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http://www.zotero.org/styles/appetite</vt:lpwstr>
  </property>
  <property fmtid="{D5CDD505-2E9C-101B-9397-08002B2CF9AE}" pid="11" name="Mendeley Recent Style Name 4_1">
    <vt:lpwstr>Appetite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