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E31E" w14:textId="77777777" w:rsidR="00166C49" w:rsidRPr="007C39F0" w:rsidRDefault="00454F47" w:rsidP="00675EB5">
      <w:pPr>
        <w:spacing w:line="480" w:lineRule="auto"/>
        <w:rPr>
          <w:rFonts w:cs="Times New Roman"/>
          <w:b/>
          <w:sz w:val="24"/>
          <w:szCs w:val="24"/>
        </w:rPr>
      </w:pPr>
      <w:r w:rsidRPr="007C39F0">
        <w:rPr>
          <w:rFonts w:cs="Times New Roman"/>
          <w:b/>
          <w:sz w:val="24"/>
          <w:szCs w:val="24"/>
        </w:rPr>
        <w:t>Introduction</w:t>
      </w:r>
    </w:p>
    <w:p w14:paraId="6744FC8B" w14:textId="4EE617B3" w:rsidR="00454F47" w:rsidRPr="002759E1" w:rsidRDefault="006076FD" w:rsidP="00675EB5">
      <w:pPr>
        <w:spacing w:line="480" w:lineRule="auto"/>
        <w:rPr>
          <w:rFonts w:cs="Times New Roman"/>
          <w:sz w:val="24"/>
          <w:szCs w:val="24"/>
          <w:lang w:val="es-ES"/>
        </w:rPr>
      </w:pPr>
      <w:r>
        <w:rPr>
          <w:rFonts w:cs="Times New Roman"/>
          <w:sz w:val="24"/>
          <w:szCs w:val="24"/>
        </w:rPr>
        <w:t>Increasing</w:t>
      </w:r>
      <w:r w:rsidR="00A84772" w:rsidRPr="007C39F0">
        <w:rPr>
          <w:rFonts w:cs="Times New Roman"/>
          <w:sz w:val="24"/>
          <w:szCs w:val="24"/>
        </w:rPr>
        <w:t xml:space="preserve"> trend</w:t>
      </w:r>
      <w:r>
        <w:rPr>
          <w:rFonts w:cs="Times New Roman"/>
          <w:sz w:val="24"/>
          <w:szCs w:val="24"/>
        </w:rPr>
        <w:t>s</w:t>
      </w:r>
      <w:r w:rsidR="00A84772" w:rsidRPr="007C39F0">
        <w:rPr>
          <w:rFonts w:cs="Times New Roman"/>
          <w:sz w:val="24"/>
          <w:szCs w:val="24"/>
        </w:rPr>
        <w:t xml:space="preserve"> in</w:t>
      </w:r>
      <w:r w:rsidR="00454F47" w:rsidRPr="007C39F0">
        <w:rPr>
          <w:rFonts w:cs="Times New Roman"/>
          <w:sz w:val="24"/>
          <w:szCs w:val="24"/>
        </w:rPr>
        <w:t xml:space="preserve"> obesity</w:t>
      </w:r>
      <w:r w:rsidR="00E54CEA" w:rsidRPr="007C39F0">
        <w:rPr>
          <w:rFonts w:cs="Times New Roman"/>
          <w:sz w:val="24"/>
          <w:szCs w:val="24"/>
        </w:rPr>
        <w:t xml:space="preserve"> prevalence</w:t>
      </w:r>
      <w:r w:rsidR="00A84772" w:rsidRPr="007C39F0">
        <w:rPr>
          <w:rFonts w:cs="Times New Roman"/>
          <w:sz w:val="24"/>
          <w:szCs w:val="24"/>
        </w:rPr>
        <w:t xml:space="preserve"> </w:t>
      </w:r>
      <w:r>
        <w:rPr>
          <w:rFonts w:cs="Times New Roman"/>
          <w:sz w:val="24"/>
          <w:szCs w:val="24"/>
        </w:rPr>
        <w:t xml:space="preserve">has </w:t>
      </w:r>
      <w:r w:rsidR="00A84772" w:rsidRPr="007C39F0">
        <w:rPr>
          <w:rFonts w:cs="Times New Roman"/>
          <w:sz w:val="24"/>
          <w:szCs w:val="24"/>
        </w:rPr>
        <w:t>le</w:t>
      </w:r>
      <w:r>
        <w:rPr>
          <w:rFonts w:cs="Times New Roman"/>
          <w:sz w:val="24"/>
          <w:szCs w:val="24"/>
        </w:rPr>
        <w:t>d</w:t>
      </w:r>
      <w:r w:rsidR="00A84772" w:rsidRPr="007C39F0">
        <w:rPr>
          <w:rFonts w:cs="Times New Roman"/>
          <w:sz w:val="24"/>
          <w:szCs w:val="24"/>
        </w:rPr>
        <w:t xml:space="preserve"> to </w:t>
      </w:r>
      <w:r w:rsidR="005C6FF1">
        <w:rPr>
          <w:rFonts w:cs="Times New Roman"/>
          <w:sz w:val="24"/>
          <w:szCs w:val="24"/>
        </w:rPr>
        <w:t>29% of</w:t>
      </w:r>
      <w:r w:rsidR="00454F47" w:rsidRPr="007C39F0">
        <w:rPr>
          <w:rFonts w:cs="Times New Roman"/>
          <w:sz w:val="24"/>
          <w:szCs w:val="24"/>
        </w:rPr>
        <w:t xml:space="preserve"> adults </w:t>
      </w:r>
      <w:r w:rsidR="000A0CE0" w:rsidRPr="007C39F0">
        <w:rPr>
          <w:rFonts w:cs="Times New Roman"/>
          <w:sz w:val="24"/>
          <w:szCs w:val="24"/>
        </w:rPr>
        <w:t xml:space="preserve">in England </w:t>
      </w:r>
      <w:r>
        <w:rPr>
          <w:rFonts w:cs="Times New Roman"/>
          <w:sz w:val="24"/>
          <w:szCs w:val="24"/>
        </w:rPr>
        <w:t>being</w:t>
      </w:r>
      <w:r w:rsidRPr="007C39F0">
        <w:rPr>
          <w:rFonts w:cs="Times New Roman"/>
          <w:sz w:val="24"/>
          <w:szCs w:val="24"/>
        </w:rPr>
        <w:t xml:space="preserve"> </w:t>
      </w:r>
      <w:r w:rsidR="000A0CE0" w:rsidRPr="007C39F0">
        <w:rPr>
          <w:rFonts w:cs="Times New Roman"/>
          <w:sz w:val="24"/>
          <w:szCs w:val="24"/>
        </w:rPr>
        <w:t xml:space="preserve">classified as </w:t>
      </w:r>
      <w:r w:rsidR="00D051FF" w:rsidRPr="007C39F0">
        <w:rPr>
          <w:rFonts w:cs="Times New Roman"/>
          <w:sz w:val="24"/>
          <w:szCs w:val="24"/>
        </w:rPr>
        <w:t>obese</w:t>
      </w:r>
      <w:r w:rsidR="00976980">
        <w:rPr>
          <w:rFonts w:cs="Times New Roman"/>
          <w:sz w:val="24"/>
          <w:szCs w:val="24"/>
        </w:rPr>
        <w:t xml:space="preserve"> </w:t>
      </w:r>
      <w:r w:rsidR="00501FAC" w:rsidRPr="007C39F0">
        <w:rPr>
          <w:rFonts w:cs="Times New Roman"/>
          <w:sz w:val="24"/>
          <w:szCs w:val="24"/>
        </w:rPr>
        <w:fldChar w:fldCharType="begin" w:fldLock="1"/>
      </w:r>
      <w:r w:rsidR="005C6FF1">
        <w:rPr>
          <w:rFonts w:cs="Times New Roman"/>
          <w:sz w:val="24"/>
          <w:szCs w:val="24"/>
        </w:rPr>
        <w:instrText>ADDIN CSL_CITATION {"citationItems":[{"id":"ITEM-1","itemData":{"URL":"https://digital.nhs.uk/data-and-information/publications/statistical/statistics-on-obesity-physical-activity-and-diet/statistics-on-obesity-physical-activity-and-diet-england-2019","author":[{"dropping-particle":"","family":"NHS","given":"","non-dropping-particle":"","parse-names":false,"suffix":""}],"id":"ITEM-1","issued":{"date-parts":[["2019"]]},"title":"Statistics on Obesity, Physical Activity and Diet, England, 2019","type":"webpage"},"uris":["http://www.mendeley.com/documents/?uuid=6a75a8c1-f673-4518-b312-f4df12107e66"]}],"mendeley":{"formattedCitation":"(NHS, 2019)","plainTextFormattedCitation":"(NHS, 2019)","previouslyFormattedCitation":"(NHS, 2019)"},"properties":{"noteIndex":0},"schema":"https://github.com/citation-style-language/schema/raw/master/csl-citation.json"}</w:instrText>
      </w:r>
      <w:r w:rsidR="00501FAC" w:rsidRPr="007C39F0">
        <w:rPr>
          <w:rFonts w:cs="Times New Roman"/>
          <w:sz w:val="24"/>
          <w:szCs w:val="24"/>
        </w:rPr>
        <w:fldChar w:fldCharType="separate"/>
      </w:r>
      <w:r w:rsidR="00EA5FCF" w:rsidRPr="00EA5FCF">
        <w:rPr>
          <w:rFonts w:cs="Times New Roman"/>
          <w:noProof/>
          <w:sz w:val="24"/>
          <w:szCs w:val="24"/>
        </w:rPr>
        <w:t>(NHS, 2019)</w:t>
      </w:r>
      <w:r w:rsidR="00501FAC" w:rsidRPr="007C39F0">
        <w:rPr>
          <w:rFonts w:cs="Times New Roman"/>
          <w:sz w:val="24"/>
          <w:szCs w:val="24"/>
        </w:rPr>
        <w:fldChar w:fldCharType="end"/>
      </w:r>
      <w:r w:rsidR="00976980">
        <w:rPr>
          <w:rFonts w:cs="Times New Roman"/>
          <w:sz w:val="24"/>
          <w:szCs w:val="24"/>
        </w:rPr>
        <w:t>.</w:t>
      </w:r>
      <w:r w:rsidR="00454F47" w:rsidRPr="007C39F0">
        <w:rPr>
          <w:rFonts w:cs="Times New Roman"/>
          <w:sz w:val="24"/>
          <w:szCs w:val="24"/>
        </w:rPr>
        <w:t xml:space="preserve"> </w:t>
      </w:r>
      <w:r w:rsidR="00A84772" w:rsidRPr="007C39F0">
        <w:rPr>
          <w:rFonts w:cs="Times New Roman"/>
          <w:sz w:val="24"/>
          <w:szCs w:val="24"/>
        </w:rPr>
        <w:t>The</w:t>
      </w:r>
      <w:r w:rsidR="00454F47" w:rsidRPr="007C39F0">
        <w:rPr>
          <w:rFonts w:cs="Times New Roman"/>
          <w:sz w:val="24"/>
          <w:szCs w:val="24"/>
        </w:rPr>
        <w:t xml:space="preserve"> shift towards higher </w:t>
      </w:r>
      <w:r w:rsidR="00E54CEA" w:rsidRPr="007C39F0">
        <w:rPr>
          <w:rFonts w:cs="Times New Roman"/>
          <w:sz w:val="24"/>
          <w:szCs w:val="24"/>
        </w:rPr>
        <w:t>body weights</w:t>
      </w:r>
      <w:r w:rsidR="00454F47" w:rsidRPr="007C39F0">
        <w:rPr>
          <w:rFonts w:cs="Times New Roman"/>
          <w:sz w:val="24"/>
          <w:szCs w:val="24"/>
        </w:rPr>
        <w:t xml:space="preserve"> has not occurred evenly across the </w:t>
      </w:r>
      <w:r w:rsidR="005E5F7B" w:rsidRPr="007C39F0">
        <w:rPr>
          <w:rFonts w:cs="Times New Roman"/>
          <w:sz w:val="24"/>
          <w:szCs w:val="24"/>
        </w:rPr>
        <w:t>population</w:t>
      </w:r>
      <w:r w:rsidR="00454F47" w:rsidRPr="007C39F0">
        <w:rPr>
          <w:rFonts w:cs="Times New Roman"/>
          <w:sz w:val="24"/>
          <w:szCs w:val="24"/>
        </w:rPr>
        <w:t xml:space="preserve">. </w:t>
      </w:r>
      <w:r w:rsidR="00E54CEA" w:rsidRPr="007C39F0">
        <w:rPr>
          <w:rFonts w:cs="Times New Roman"/>
          <w:sz w:val="24"/>
          <w:szCs w:val="24"/>
        </w:rPr>
        <w:t>M</w:t>
      </w:r>
      <w:r w:rsidR="00454F47" w:rsidRPr="007C39F0">
        <w:rPr>
          <w:rFonts w:cs="Times New Roman"/>
          <w:sz w:val="24"/>
          <w:szCs w:val="24"/>
        </w:rPr>
        <w:t>edian</w:t>
      </w:r>
      <w:r w:rsidR="00E54CEA" w:rsidRPr="007C39F0">
        <w:rPr>
          <w:rFonts w:cs="Times New Roman"/>
          <w:sz w:val="24"/>
          <w:szCs w:val="24"/>
        </w:rPr>
        <w:t xml:space="preserve"> body mass index</w:t>
      </w:r>
      <w:r w:rsidR="00454F47" w:rsidRPr="007C39F0">
        <w:rPr>
          <w:rFonts w:cs="Times New Roman"/>
          <w:sz w:val="24"/>
          <w:szCs w:val="24"/>
        </w:rPr>
        <w:t xml:space="preserve"> </w:t>
      </w:r>
      <w:r w:rsidR="00E54CEA" w:rsidRPr="007C39F0">
        <w:rPr>
          <w:rFonts w:cs="Times New Roman"/>
          <w:sz w:val="24"/>
          <w:szCs w:val="24"/>
        </w:rPr>
        <w:t>(</w:t>
      </w:r>
      <w:r w:rsidR="00454F47" w:rsidRPr="007C39F0">
        <w:rPr>
          <w:rFonts w:cs="Times New Roman"/>
          <w:sz w:val="24"/>
          <w:szCs w:val="24"/>
        </w:rPr>
        <w:t>BMI</w:t>
      </w:r>
      <w:r w:rsidR="00E54CEA" w:rsidRPr="007C39F0">
        <w:rPr>
          <w:rFonts w:cs="Times New Roman"/>
          <w:sz w:val="24"/>
          <w:szCs w:val="24"/>
        </w:rPr>
        <w:t>)</w:t>
      </w:r>
      <w:r w:rsidR="00454F47" w:rsidRPr="007C39F0">
        <w:rPr>
          <w:rFonts w:cs="Times New Roman"/>
          <w:sz w:val="24"/>
          <w:szCs w:val="24"/>
        </w:rPr>
        <w:t xml:space="preserve"> </w:t>
      </w:r>
      <w:r w:rsidR="00E54CEA" w:rsidRPr="007C39F0">
        <w:rPr>
          <w:rFonts w:cs="Times New Roman"/>
          <w:sz w:val="24"/>
          <w:szCs w:val="24"/>
        </w:rPr>
        <w:t xml:space="preserve">rose sharply during the 1990s, only for the rate of increase to slow throughout the 2000s. </w:t>
      </w:r>
      <w:r w:rsidR="00A61B17">
        <w:rPr>
          <w:rFonts w:cs="Times New Roman"/>
          <w:sz w:val="24"/>
          <w:szCs w:val="24"/>
        </w:rPr>
        <w:t>This contrasts to both t</w:t>
      </w:r>
      <w:r w:rsidR="000A0CE0" w:rsidRPr="007C39F0">
        <w:rPr>
          <w:rFonts w:cs="Times New Roman"/>
          <w:sz w:val="24"/>
          <w:szCs w:val="24"/>
        </w:rPr>
        <w:t xml:space="preserve">he </w:t>
      </w:r>
      <w:r w:rsidR="00C435D6" w:rsidRPr="007C39F0">
        <w:rPr>
          <w:rFonts w:cs="Times New Roman"/>
          <w:sz w:val="24"/>
          <w:szCs w:val="24"/>
        </w:rPr>
        <w:t xml:space="preserve">left </w:t>
      </w:r>
      <w:r w:rsidR="000969D0" w:rsidRPr="007C39F0">
        <w:rPr>
          <w:rFonts w:cs="Times New Roman"/>
          <w:sz w:val="24"/>
          <w:szCs w:val="24"/>
        </w:rPr>
        <w:t>tail</w:t>
      </w:r>
      <w:r w:rsidR="000A0CE0" w:rsidRPr="007C39F0">
        <w:rPr>
          <w:rFonts w:cs="Times New Roman"/>
          <w:sz w:val="24"/>
          <w:szCs w:val="24"/>
        </w:rPr>
        <w:t xml:space="preserve"> of the </w:t>
      </w:r>
      <w:r w:rsidR="00E54CEA" w:rsidRPr="007C39F0">
        <w:rPr>
          <w:rFonts w:cs="Times New Roman"/>
          <w:sz w:val="24"/>
          <w:szCs w:val="24"/>
        </w:rPr>
        <w:t xml:space="preserve">BMI </w:t>
      </w:r>
      <w:r w:rsidR="000A0CE0" w:rsidRPr="007C39F0">
        <w:rPr>
          <w:rFonts w:cs="Times New Roman"/>
          <w:sz w:val="24"/>
          <w:szCs w:val="24"/>
        </w:rPr>
        <w:t xml:space="preserve">distribution </w:t>
      </w:r>
      <w:r w:rsidR="00A61B17">
        <w:rPr>
          <w:rFonts w:cs="Times New Roman"/>
          <w:sz w:val="24"/>
          <w:szCs w:val="24"/>
        </w:rPr>
        <w:t xml:space="preserve">which </w:t>
      </w:r>
      <w:r w:rsidR="000A0CE0" w:rsidRPr="007C39F0">
        <w:rPr>
          <w:rFonts w:cs="Times New Roman"/>
          <w:sz w:val="24"/>
          <w:szCs w:val="24"/>
        </w:rPr>
        <w:t xml:space="preserve">has remained </w:t>
      </w:r>
      <w:r w:rsidR="00BF03D4" w:rsidRPr="007C39F0">
        <w:rPr>
          <w:rFonts w:cs="Times New Roman"/>
          <w:sz w:val="24"/>
          <w:szCs w:val="24"/>
        </w:rPr>
        <w:t>virtually unchanged</w:t>
      </w:r>
      <w:r w:rsidR="00E54CEA" w:rsidRPr="007C39F0">
        <w:rPr>
          <w:rFonts w:cs="Times New Roman"/>
          <w:sz w:val="24"/>
          <w:szCs w:val="24"/>
        </w:rPr>
        <w:t xml:space="preserve"> since 1992</w:t>
      </w:r>
      <w:r w:rsidR="000A0CE0" w:rsidRPr="007C39F0">
        <w:rPr>
          <w:rFonts w:cs="Times New Roman"/>
          <w:sz w:val="24"/>
          <w:szCs w:val="24"/>
        </w:rPr>
        <w:t xml:space="preserve">, </w:t>
      </w:r>
      <w:r w:rsidR="00A61B17">
        <w:rPr>
          <w:rFonts w:cs="Times New Roman"/>
          <w:sz w:val="24"/>
          <w:szCs w:val="24"/>
        </w:rPr>
        <w:t>as well as</w:t>
      </w:r>
      <w:r w:rsidR="000A0CE0" w:rsidRPr="007C39F0">
        <w:rPr>
          <w:rFonts w:cs="Times New Roman"/>
          <w:sz w:val="24"/>
          <w:szCs w:val="24"/>
        </w:rPr>
        <w:t xml:space="preserve"> the </w:t>
      </w:r>
      <w:r w:rsidR="00C435D6" w:rsidRPr="007C39F0">
        <w:rPr>
          <w:rFonts w:cs="Times New Roman"/>
          <w:sz w:val="24"/>
          <w:szCs w:val="24"/>
        </w:rPr>
        <w:t xml:space="preserve">right </w:t>
      </w:r>
      <w:r w:rsidR="000969D0" w:rsidRPr="007C39F0">
        <w:rPr>
          <w:rFonts w:cs="Times New Roman"/>
          <w:sz w:val="24"/>
          <w:szCs w:val="24"/>
        </w:rPr>
        <w:t>tail</w:t>
      </w:r>
      <w:r w:rsidR="000A0CE0" w:rsidRPr="007C39F0">
        <w:rPr>
          <w:rFonts w:cs="Times New Roman"/>
          <w:sz w:val="24"/>
          <w:szCs w:val="24"/>
        </w:rPr>
        <w:t xml:space="preserve"> </w:t>
      </w:r>
      <w:r w:rsidR="00E54CEA" w:rsidRPr="007C39F0">
        <w:rPr>
          <w:rFonts w:cs="Times New Roman"/>
          <w:sz w:val="24"/>
          <w:szCs w:val="24"/>
        </w:rPr>
        <w:t xml:space="preserve">of the distribution which has increased consistently </w:t>
      </w:r>
      <w:r w:rsidR="00AD71A2" w:rsidRPr="007C39F0">
        <w:rPr>
          <w:rFonts w:cs="Times New Roman"/>
          <w:sz w:val="24"/>
          <w:szCs w:val="24"/>
        </w:rPr>
        <w:t>resulting</w:t>
      </w:r>
      <w:r w:rsidR="00E54CEA" w:rsidRPr="007C39F0">
        <w:rPr>
          <w:rFonts w:cs="Times New Roman"/>
          <w:sz w:val="24"/>
          <w:szCs w:val="24"/>
        </w:rPr>
        <w:t xml:space="preserve"> in a widening of the BMI distribution</w:t>
      </w:r>
      <w:r w:rsidR="00C4663E">
        <w:rPr>
          <w:rFonts w:cs="Times New Roman"/>
          <w:sz w:val="24"/>
          <w:szCs w:val="24"/>
        </w:rPr>
        <w:t xml:space="preserve"> </w:t>
      </w:r>
      <w:r w:rsidR="00C4663E">
        <w:rPr>
          <w:rFonts w:cs="Times New Roman"/>
          <w:sz w:val="24"/>
          <w:szCs w:val="24"/>
        </w:rPr>
        <w:fldChar w:fldCharType="begin" w:fldLock="1"/>
      </w:r>
      <w:r w:rsidR="005C071B">
        <w:rPr>
          <w:rFonts w:cs="Times New Roman"/>
          <w:sz w:val="24"/>
          <w:szCs w:val="24"/>
        </w:rPr>
        <w:instrText>ADDIN CSL_CITATION {"citationItems":[{"id":"ITEM-1","itemData":{"DOI":"10.1136/jech-2015-206468","author":[{"dropping-particle":"","family":"Green","given":"M A","non-dropping-particle":"","parse-names":false,"suffix":""},{"dropping-particle":"V","family":"Subramanian","given":"S","non-dropping-particle":"","parse-names":false,"suffix":""},{"dropping-particle":"","family":"Razak","given":"F","non-dropping-particle":"","parse-names":false,"suffix":""}],"container-title":"Journal of Epidemiology &amp; Community Health","id":"ITEM-1","issued":{"date-parts":[["2016"]]},"page":"832-835","title":"Population-level trends in the distribution of body mass index in England, 1992 – 2013","type":"article-journal","volume":"70"},"uris":["http://www.mendeley.com/documents/?uuid=57f0556b-ffe9-4bcc-95d6-1aa5c21c575a"]},{"id":"ITEM-2","itemData":{"DOI":"10.1371/journal.pmed.1001828","author":[{"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PLoS Medicine","id":"ITEM-2","issue":"5","issued":{"date-parts":[["2015"]]},"page":"e1001828","title":"How Has the Age-Related Process of Overweight or Obesity Development Changed over Time? Co-ordinated Analyses of Individual Participant Data from Five United Kingdom Birth Cohorts","type":"article-journal","volume":"12"},"uris":["http://www.mendeley.com/documents/?uuid=738495f1-3cad-4009-8d34-980f1efd1c41"]}],"mendeley":{"formattedCitation":"(Green, Subramanian, &amp; Razak, 2016; Johnson, Li, Kuh, &amp; Hardy, 2015)","plainTextFormattedCitation":"(Green, Subramanian, &amp; Razak, 2016; Johnson, Li, Kuh, &amp; Hardy, 2015)","previouslyFormattedCitation":"(Green, Subramanian, &amp; Razak, 2016; Johnson, Li, Kuh, &amp; Hardy, 2015)"},"properties":{"noteIndex":0},"schema":"https://github.com/citation-style-language/schema/raw/master/csl-citation.json"}</w:instrText>
      </w:r>
      <w:r w:rsidR="00C4663E">
        <w:rPr>
          <w:rFonts w:cs="Times New Roman"/>
          <w:sz w:val="24"/>
          <w:szCs w:val="24"/>
        </w:rPr>
        <w:fldChar w:fldCharType="separate"/>
      </w:r>
      <w:r w:rsidR="005C071B" w:rsidRPr="005C071B">
        <w:rPr>
          <w:rFonts w:cs="Times New Roman"/>
          <w:noProof/>
          <w:sz w:val="24"/>
          <w:szCs w:val="24"/>
        </w:rPr>
        <w:t>(Green, Subramanian, &amp; Razak, 2016; Johnson, Li, Kuh, &amp; Hardy, 2015)</w:t>
      </w:r>
      <w:r w:rsidR="00C4663E">
        <w:rPr>
          <w:rFonts w:cs="Times New Roman"/>
          <w:sz w:val="24"/>
          <w:szCs w:val="24"/>
        </w:rPr>
        <w:fldChar w:fldCharType="end"/>
      </w:r>
      <w:r w:rsidR="00E54CEA" w:rsidRPr="007C39F0">
        <w:rPr>
          <w:rFonts w:cs="Times New Roman"/>
          <w:sz w:val="24"/>
          <w:szCs w:val="24"/>
        </w:rPr>
        <w:t>.</w:t>
      </w:r>
      <w:r w:rsidR="000A0CE0" w:rsidRPr="007C39F0">
        <w:rPr>
          <w:rFonts w:cs="Times New Roman"/>
          <w:sz w:val="24"/>
          <w:szCs w:val="24"/>
        </w:rPr>
        <w:t xml:space="preserve"> These trends are consistent by sex and socioeconomic status</w:t>
      </w:r>
      <w:r w:rsidR="00976980">
        <w:rPr>
          <w:rFonts w:cs="Times New Roman"/>
          <w:sz w:val="24"/>
          <w:szCs w:val="24"/>
        </w:rPr>
        <w:t xml:space="preserve"> </w:t>
      </w:r>
      <w:r w:rsidR="00D011C6" w:rsidRPr="007C39F0">
        <w:rPr>
          <w:rFonts w:cs="Times New Roman"/>
          <w:sz w:val="24"/>
          <w:szCs w:val="24"/>
        </w:rPr>
        <w:fldChar w:fldCharType="begin" w:fldLock="1"/>
      </w:r>
      <w:r w:rsidR="006821DC">
        <w:rPr>
          <w:rFonts w:cs="Times New Roman"/>
          <w:sz w:val="24"/>
          <w:szCs w:val="24"/>
        </w:rPr>
        <w:instrText>ADDIN CSL_CITATION {"citationItems":[{"id":"ITEM-1","itemData":{"DOI":"10.1136/jech-2015-206468","author":[{"dropping-particle":"","family":"Green","given":"M A","non-dropping-particle":"","parse-names":false,"suffix":""},{"dropping-particle":"V","family":"Subramanian","given":"S","non-dropping-particle":"","parse-names":false,"suffix":""},{"dropping-particle":"","family":"Razak","given":"F","non-dropping-particle":"","parse-names":false,"suffix":""}],"container-title":"Journal of Epidemiology &amp; Community Health","id":"ITEM-1","issued":{"date-parts":[["2016"]]},"page":"832-835","title":"Population-level trends in the distribution of body mass index in England, 1992 – 2013","type":"article-journal","volume":"70"},"uris":["http://www.mendeley.com/documents/?uuid=57f0556b-ffe9-4bcc-95d6-1aa5c21c575a","http://www.mendeley.com/documents/?uuid=d3dc1a55-29bf-478b-a91e-426b600b76a0"]}],"mendeley":{"formattedCitation":"(Green et al., 2016)","plainTextFormattedCitation":"(Green et al., 2016)","previouslyFormattedCitation":"(Green et al., 2016)"},"properties":{"noteIndex":0},"schema":"https://github.com/citation-style-language/schema/raw/master/csl-citation.json"}</w:instrText>
      </w:r>
      <w:r w:rsidR="00D011C6" w:rsidRPr="007C39F0">
        <w:rPr>
          <w:rFonts w:cs="Times New Roman"/>
          <w:sz w:val="24"/>
          <w:szCs w:val="24"/>
        </w:rPr>
        <w:fldChar w:fldCharType="separate"/>
      </w:r>
      <w:r w:rsidR="0097206D" w:rsidRPr="0097206D">
        <w:rPr>
          <w:rFonts w:cs="Times New Roman"/>
          <w:noProof/>
          <w:sz w:val="24"/>
          <w:szCs w:val="24"/>
        </w:rPr>
        <w:t>(Green et al., 2016)</w:t>
      </w:r>
      <w:r w:rsidR="00D011C6" w:rsidRPr="007C39F0">
        <w:rPr>
          <w:rFonts w:cs="Times New Roman"/>
          <w:sz w:val="24"/>
          <w:szCs w:val="24"/>
        </w:rPr>
        <w:fldChar w:fldCharType="end"/>
      </w:r>
      <w:r w:rsidR="00976980">
        <w:rPr>
          <w:rFonts w:cs="Times New Roman"/>
          <w:sz w:val="24"/>
          <w:szCs w:val="24"/>
        </w:rPr>
        <w:t>.</w:t>
      </w:r>
      <w:r w:rsidR="000A0CE0" w:rsidRPr="007C39F0">
        <w:rPr>
          <w:rFonts w:cs="Times New Roman"/>
          <w:sz w:val="24"/>
          <w:szCs w:val="24"/>
        </w:rPr>
        <w:t xml:space="preserve"> Similar trends have also been observed </w:t>
      </w:r>
      <w:r w:rsidR="00DB1C27">
        <w:rPr>
          <w:rFonts w:cs="Times New Roman"/>
          <w:sz w:val="24"/>
          <w:szCs w:val="24"/>
        </w:rPr>
        <w:t xml:space="preserve">internationally </w:t>
      </w:r>
      <w:r w:rsidR="00501FAC" w:rsidRPr="007C39F0">
        <w:rPr>
          <w:rFonts w:cs="Times New Roman"/>
          <w:sz w:val="24"/>
          <w:szCs w:val="24"/>
        </w:rPr>
        <w:fldChar w:fldCharType="begin" w:fldLock="1"/>
      </w:r>
      <w:r w:rsidR="005C071B">
        <w:rPr>
          <w:rFonts w:cs="Times New Roman"/>
          <w:sz w:val="24"/>
          <w:szCs w:val="24"/>
        </w:rPr>
        <w:instrText>ADDIN CSL_CITATION {"citationItems":[{"id":"ITEM-1","itemData":{"DOI":"10.1186/s12889-015-1606-8","author":[{"dropping-particle":"","family":"Ouyang","given":"Yifei","non-dropping-particle":"","parse-names":false,"suffix":""},{"dropping-particle":"","family":"Wang","given":"Huijun","non-dropping-particle":"","parse-names":false,"suffix":""},{"dropping-particle":"","family":"Su","given":"Chang","non-dropping-particle":"","parse-names":false,"suffix":""},{"dropping-particle":"","family":"Wang","given":"Zhihong","non-dropping-particle":"","parse-names":false,"suffix":""},{"dropping-particle":"","family":"Song","given":"Yiqi","non-dropping-particle":"","parse-names":false,"suffix":""},{"dropping-particle":"","family":"Xiao","given":"Yingting","non-dropping-particle":"","parse-names":false,"suffix":""},{"dropping-particle":"","family":"Du","given":"Wenwen","non-dropping-particle":"","parse-names":false,"suffix":""},{"dropping-particle":"","family":"Zhang","given":"Bing","non-dropping-particle":"","parse-names":false,"suffix":""}],"container-title":"BMC Public Health","id":"ITEM-1","issued":{"date-parts":[["2015"]]},"page":"278","title":"Use of quantile regression to investigate changes in the body mass index distribution of Chinese adults aged 18 – 60 years: a longitudinal study","type":"article-journal","volume":"15"},"uris":["http://www.mendeley.com/documents/?uuid=3fb66a6d-0873-4672-84f6-3ef5c44407f6","http://www.mendeley.com/documents/?uuid=ab3277e1-ee3d-4b61-8da9-d6639914e273","http://www.mendeley.com/documents/?uuid=0cf0d779-ec47-4c0c-b389-11352c8b0beb"]},{"id":"ITEM-2","itemData":{"DOI":"10.1038/s41430-019-0479-9","ISSN":"1476-5640","abstract":"Previous studies about obesity and its associated factors in low- and middle-income countries have been based mostly on women of reproductive age. Furthermore, disproportionally changing BMI distributions have been a challenge for its appropriate modeling. In this context, we assessed the magnitude and rate of change in BMI distribution by socioeconomic and geographic factors in both sexes in Latin American countries, modeling the shape of BMI distributions.","author":[{"dropping-particle":"","family":"Yamada","given":"Goro","non-dropping-particle":"","parse-names":false,"suffix":""},{"dropping-particle":"","family":"Jones-Smith","given":"Jessica C","non-dropping-particle":"","parse-names":false,"suffix":""},{"dropping-particle":"","family":"Castillo-Salgado","given":"Carlos","non-dropping-particle":"","parse-names":false,"suffix":""},{"dropping-particle":"","family":"Moulton","given":"Lawrence H","non-dropping-particle":"","parse-names":false,"suffix":""}],"container-title":"European Journal of Clinical Nutrition","id":"ITEM-2","issue":"3","issued":{"date-parts":[["2020"]]},"page":"472-480","title":"Differences in magnitude and rates of change in BMI distributions by socioeconomic and geographic factors in Mexico, Colombia, and Peru, 2005–2010","type":"article-journal","volume":"74"},"uris":["http://www.mendeley.com/documents/?uuid=f3f32d2f-bbc8-4644-a0c3-a91cb87c1697"]},{"id":"ITEM-3","itemData":{"DOI":"10.1136/jech-2018-211664","abstract":"Background Brazil is among the 10 countries with the highest prevalence of overweight in the world. The aim was to analyse the changes in the dispersion of body mass index (BMI) in the Brazilian population from the 1970s to 2013 in specific population groups.Methods Data were extracted from five national household surveys between 1974–1975 and 2013, including adults aged 20 to 64. We calculated SD, median, fifth and 95th percentiles of BMI for each sociodemographic category (sex, age, schooling) and survey year in order to explore whether changes in mean BMI are followed by changes in dispersion.Results During the period the mean BMI ranged from 22.7 kg/m2 to 26.6 kg/m2, with a much higher variation in the 95th percentile (+6.1 kg/m2) when compared with the fifth percentile (+1.8 kg/m2). The within-group differences increased over time. The SD increased in all categories analysed and was higher among women, lower schooling groups and the oldest group. An increase of 1.0 kg/m2 in the BMI mean was associated with an increase of 0.32 kg/m2 in the SD, 0.45 kg/m2 in the fifth percentile and 1.50 kg/m2 in the 95th percentile of BMI.Conclusions Population changes occurred in BMI are more complex than the simple increase of its average. Concomitant to the increase in BMI, there was an increase in the within-group differences, showing that growing inequalities are not driven solely by sociodemographic factors.","author":[{"dropping-particle":"","family":"Wagner","given":"Katia Jakovljevic Pudla","non-dropping-particle":"","parse-names":false,"suffix":""},{"dropping-particle":"","family":"Boing","given":"Antonio Fernando","non-dropping-particle":"","parse-names":false,"suffix":""},{"dropping-particle":"","family":"Cembranel","given":"Francieli","non-dropping-particle":"","parse-names":false,"suffix":""},{"dropping-particle":"","family":"Boing","given":"Alexandra Crispim da Silva","non-dropping-particle":"","parse-names":false,"suffix":""},{"dropping-particle":"V","family":"Subramanian","given":"S","non-dropping-particle":"","parse-names":false,"suffix":""}],"container-title":"Journal of Epidemiology and Community Health","id":"ITEM-3","issue":"6","issued":{"date-parts":[["2019","6","1"]]},"page":"544 LP  - 548","title":"Change in the distribution of body mass index in Brazil: analysing the interindividual inequality between 1974 and 2013","type":"article-journal","volume":"73"},"uris":["http://www.mendeley.com/documents/?uuid=869e61a7-0c19-4d82-b622-ceeca7b5bf2b"]},{"id":"ITEM-4","itemData":{"author":[{"dropping-particle":"","family":"Krishna","given":"A","non-dropping-particle":"","parse-names":false,"suffix":""},{"dropping-particle":"","family":"Razak","given":"Fahad","non-dropping-particle":"","parse-names":false,"suffix":""},{"dropping-particle":"","family":"Lebel","given":"A","non-dropping-particle":"","parse-names":false,"suffix":""},{"dropping-particle":"","family":"Smith","given":"George Davey","non-dropping-particle":"","parse-names":false,"suffix":""},{"dropping-particle":"V","family":"Subramanian","given":"S","non-dropping-particle":"","parse-names":false,"suffix":""}],"container-title":"American Journal of Clinical Nutrition","id":"ITEM-4","issue":"3","issued":{"date-parts":[["2015"]]},"page":"598-605","title":"Trends in group inequalities and interindividual inequalities in BMI in the United States, 1993-2012","type":"article-journal","volume":"101"},"uris":["http://www.mendeley.com/documents/?uuid=25c23a0c-4a57-44f8-8fd7-a4a4bf974dfd"]},{"id":"ITEM-5","itemData":{"DOI":"10.1038/ijo.2016.165","ISSN":"0307-0565","author":[{"dropping-particle":"","family":"Hayes","given":"A J","non-dropping-particle":"","parse-names":false,"suffix":""},{"dropping-particle":"","family":"Lung","given":"T W C","non-dropping-particle":"","parse-names":false,"suffix":""},{"dropping-particle":"","family":"Bauman","given":"A","non-dropping-particle":"","parse-names":false,"suffix":""},{"dropping-particle":"","family":"Howard","given":"K","non-dropping-particle":"","parse-names":false,"suffix":""}],"container-title":"International Journal of Obesity","id":"ITEM-5","issued":{"date-parts":[["2017"]]},"page":"178-185","publisher":"Nature Publishing Group","title":"Modelling obesity trends in Australia: unravelling the past and predicting the future","type":"article-journal","volume":"41"},"uris":["http://www.mendeley.com/documents/?uuid=ee4ee38f-6029-4623-acbb-8767681bd71f"]}],"mendeley":{"formattedCitation":"(Hayes, Lung, Bauman, &amp; Howard, 2017; Krishna, Razak, Lebel, Smith, &amp; Subramanian, 2015; Ouyang et al., 2015; Wagner, Boing, Cembranel, Boing, &amp; Subramanian, 2019; Yamada, Jones-Smith, Castillo-Salgado, &amp; Moulton, 2020)","manualFormatting":"(Hayes et al., 2017; Krishna et al., 2015; Ouyang et al., 2015; Wagner et al., 2019; Yamada et al., 2020)","plainTextFormattedCitation":"(Hayes, Lung, Bauman, &amp; Howard, 2017; Krishna, Razak, Lebel, Smith, &amp; Subramanian, 2015; Ouyang et al., 2015; Wagner, Boing, Cembranel, Boing, &amp; Subramanian, 2019; Yamada, Jones-Smith, Castillo-Salgado, &amp; Moulton, 2020)","previouslyFormattedCitation":"(Hayes, Lung, Bauman, &amp; Howard, 2017; Krishna, Razak, Lebel, Smith, &amp; Subramanian, 2015; Ouyang et al., 2015; Wagner, Boing, Cembranel, Boing, &amp; Subramanian, 2019; Yamada, Jones-Smith, Castillo-Salgado, &amp; Moulton, 2020)"},"properties":{"noteIndex":0},"schema":"https://github.com/citation-style-language/schema/raw/master/csl-citation.json"}</w:instrText>
      </w:r>
      <w:r w:rsidR="00501FAC" w:rsidRPr="007C39F0">
        <w:rPr>
          <w:rFonts w:cs="Times New Roman"/>
          <w:sz w:val="24"/>
          <w:szCs w:val="24"/>
        </w:rPr>
        <w:fldChar w:fldCharType="separate"/>
      </w:r>
      <w:r w:rsidR="00DB1C27" w:rsidRPr="002759E1">
        <w:rPr>
          <w:rFonts w:cs="Times New Roman"/>
          <w:noProof/>
          <w:sz w:val="24"/>
          <w:szCs w:val="24"/>
          <w:lang w:val="es-ES"/>
        </w:rPr>
        <w:t>(Hayes et al., 2017; Krishna et al., 2015; Ouyang et al., 2015; Wagner et al., 2019; Yamada et al., 2020)</w:t>
      </w:r>
      <w:r w:rsidR="00501FAC" w:rsidRPr="007C39F0">
        <w:rPr>
          <w:rFonts w:cs="Times New Roman"/>
          <w:sz w:val="24"/>
          <w:szCs w:val="24"/>
        </w:rPr>
        <w:fldChar w:fldCharType="end"/>
      </w:r>
      <w:r w:rsidR="00976980" w:rsidRPr="002759E1">
        <w:rPr>
          <w:rFonts w:cs="Times New Roman"/>
          <w:sz w:val="24"/>
          <w:szCs w:val="24"/>
          <w:lang w:val="es-ES"/>
        </w:rPr>
        <w:t>.</w:t>
      </w:r>
    </w:p>
    <w:p w14:paraId="5C994A12" w14:textId="2599D2AE" w:rsidR="00F91714" w:rsidRPr="007C39F0" w:rsidRDefault="000A0CE0" w:rsidP="00675EB5">
      <w:pPr>
        <w:spacing w:line="480" w:lineRule="auto"/>
        <w:rPr>
          <w:rFonts w:cs="Times New Roman"/>
          <w:sz w:val="24"/>
          <w:szCs w:val="24"/>
        </w:rPr>
      </w:pPr>
      <w:r w:rsidRPr="007C39F0">
        <w:rPr>
          <w:rFonts w:cs="Times New Roman"/>
          <w:sz w:val="24"/>
          <w:szCs w:val="24"/>
        </w:rPr>
        <w:t xml:space="preserve">The widening distribution of BMI </w:t>
      </w:r>
      <w:r w:rsidR="00D15E01" w:rsidRPr="007C39F0">
        <w:rPr>
          <w:rFonts w:cs="Times New Roman"/>
          <w:sz w:val="24"/>
          <w:szCs w:val="24"/>
        </w:rPr>
        <w:t>ha</w:t>
      </w:r>
      <w:r w:rsidR="0020759A" w:rsidRPr="007C39F0">
        <w:rPr>
          <w:rFonts w:cs="Times New Roman"/>
          <w:sz w:val="24"/>
          <w:szCs w:val="24"/>
        </w:rPr>
        <w:t xml:space="preserve">s </w:t>
      </w:r>
      <w:r w:rsidR="005C6FF1">
        <w:rPr>
          <w:rFonts w:cs="Times New Roman"/>
          <w:sz w:val="24"/>
          <w:szCs w:val="24"/>
        </w:rPr>
        <w:t>important</w:t>
      </w:r>
      <w:r w:rsidR="00D15E01" w:rsidRPr="007C39F0">
        <w:rPr>
          <w:rFonts w:cs="Times New Roman"/>
          <w:sz w:val="24"/>
          <w:szCs w:val="24"/>
        </w:rPr>
        <w:t xml:space="preserve"> implications</w:t>
      </w:r>
      <w:r w:rsidR="0020759A" w:rsidRPr="007C39F0">
        <w:rPr>
          <w:rFonts w:cs="Times New Roman"/>
          <w:sz w:val="24"/>
          <w:szCs w:val="24"/>
        </w:rPr>
        <w:t xml:space="preserve">. The </w:t>
      </w:r>
      <w:r w:rsidR="008A5C0B" w:rsidRPr="007C39F0">
        <w:rPr>
          <w:rFonts w:cs="Times New Roman"/>
          <w:sz w:val="24"/>
          <w:szCs w:val="24"/>
        </w:rPr>
        <w:t xml:space="preserve">j-shaped curve </w:t>
      </w:r>
      <w:r w:rsidR="005D3D6D" w:rsidRPr="007C39F0">
        <w:rPr>
          <w:rFonts w:cs="Times New Roman"/>
          <w:sz w:val="24"/>
          <w:szCs w:val="24"/>
        </w:rPr>
        <w:t xml:space="preserve">in </w:t>
      </w:r>
      <w:r w:rsidR="0020759A" w:rsidRPr="007C39F0">
        <w:rPr>
          <w:rFonts w:cs="Times New Roman"/>
          <w:sz w:val="24"/>
          <w:szCs w:val="24"/>
        </w:rPr>
        <w:t xml:space="preserve">the risk of </w:t>
      </w:r>
      <w:r w:rsidR="005D3D6D" w:rsidRPr="007C39F0">
        <w:rPr>
          <w:rFonts w:cs="Times New Roman"/>
          <w:sz w:val="24"/>
          <w:szCs w:val="24"/>
        </w:rPr>
        <w:t xml:space="preserve">multiple </w:t>
      </w:r>
      <w:r w:rsidR="008A5C0B" w:rsidRPr="007C39F0">
        <w:rPr>
          <w:rFonts w:cs="Times New Roman"/>
          <w:sz w:val="24"/>
          <w:szCs w:val="24"/>
        </w:rPr>
        <w:t>health con</w:t>
      </w:r>
      <w:r w:rsidR="0020759A" w:rsidRPr="007C39F0">
        <w:rPr>
          <w:rFonts w:cs="Times New Roman"/>
          <w:sz w:val="24"/>
          <w:szCs w:val="24"/>
        </w:rPr>
        <w:t>ditions across</w:t>
      </w:r>
      <w:r w:rsidR="008A5C0B" w:rsidRPr="007C39F0">
        <w:rPr>
          <w:rFonts w:cs="Times New Roman"/>
          <w:sz w:val="24"/>
          <w:szCs w:val="24"/>
        </w:rPr>
        <w:t xml:space="preserve"> BMI</w:t>
      </w:r>
      <w:r w:rsidR="005D3D6D" w:rsidRPr="007C39F0">
        <w:rPr>
          <w:rFonts w:cs="Times New Roman"/>
          <w:sz w:val="24"/>
          <w:szCs w:val="24"/>
        </w:rPr>
        <w:t xml:space="preserve"> results in an</w:t>
      </w:r>
      <w:r w:rsidR="0020759A" w:rsidRPr="007C39F0">
        <w:rPr>
          <w:rFonts w:cs="Times New Roman"/>
          <w:sz w:val="24"/>
          <w:szCs w:val="24"/>
        </w:rPr>
        <w:t xml:space="preserve"> </w:t>
      </w:r>
      <w:r w:rsidR="002041D2" w:rsidRPr="007C39F0">
        <w:rPr>
          <w:rFonts w:cs="Times New Roman"/>
          <w:sz w:val="24"/>
          <w:szCs w:val="24"/>
        </w:rPr>
        <w:t>exponential</w:t>
      </w:r>
      <w:r w:rsidR="005D3D6D" w:rsidRPr="007C39F0">
        <w:rPr>
          <w:rFonts w:cs="Times New Roman"/>
          <w:sz w:val="24"/>
          <w:szCs w:val="24"/>
        </w:rPr>
        <w:t xml:space="preserve"> increase in risk with</w:t>
      </w:r>
      <w:r w:rsidR="0020759A" w:rsidRPr="007C39F0">
        <w:rPr>
          <w:rFonts w:cs="Times New Roman"/>
          <w:sz w:val="24"/>
          <w:szCs w:val="24"/>
        </w:rPr>
        <w:t xml:space="preserve"> </w:t>
      </w:r>
      <w:r w:rsidR="002041D2" w:rsidRPr="007C39F0">
        <w:rPr>
          <w:rFonts w:cs="Times New Roman"/>
          <w:sz w:val="24"/>
          <w:szCs w:val="24"/>
        </w:rPr>
        <w:t xml:space="preserve">increasing </w:t>
      </w:r>
      <w:r w:rsidR="0020759A" w:rsidRPr="007C39F0">
        <w:rPr>
          <w:rFonts w:cs="Times New Roman"/>
          <w:sz w:val="24"/>
          <w:szCs w:val="24"/>
        </w:rPr>
        <w:t>BMI</w:t>
      </w:r>
      <w:r w:rsidR="00976980">
        <w:rPr>
          <w:rFonts w:cs="Times New Roman"/>
          <w:sz w:val="24"/>
          <w:szCs w:val="24"/>
        </w:rPr>
        <w:t xml:space="preserve"> </w:t>
      </w:r>
      <w:r w:rsidR="005E5F7B" w:rsidRPr="007C39F0">
        <w:rPr>
          <w:rFonts w:cs="Times New Roman"/>
          <w:sz w:val="24"/>
          <w:szCs w:val="24"/>
        </w:rPr>
        <w:fldChar w:fldCharType="begin" w:fldLock="1"/>
      </w:r>
      <w:r w:rsidR="006821DC">
        <w:rPr>
          <w:rFonts w:cs="Times New Roman"/>
          <w:sz w:val="24"/>
          <w:szCs w:val="24"/>
        </w:rPr>
        <w:instrText>ADDIN CSL_CITATION {"citationItems":[{"id":"ITEM-1","itemData":{"DOI":"10.1136/bmj.i2156","ISBN":"1756-1833 (Electronic)\\r0959-535X (Linking)","ISSN":"1756-1833","PMID":"27146380","abstract":"OBJECTIVE To conduct a systematic review and meta-analysis of cohort studies of body mass index (BMI) and the risk of all cause mortality, and to clarify the shape and the nadir of the dose-response curve, and the influence on the results of confounding from smoking, weight loss associated with disease, and preclinical disease. DATA SOURCES PubMed and Embase databases searched up to 23 September 2015. STUDY SELECTION Cohort studies that reported adjusted risk estimates for at least three categories of BMI in relation to all cause mortality. DATA SYNTHESIS Summary relative risks were calculated with random effects models. Non-linear associations were explored with fractional polynomial models. RESULTS 230 cohort studies (207 publications) were included. The analysis of never smokers included 53 cohort studies (44 risk estimates) with &gt;738 144 deaths and &gt;9 976 077 participants. The analysis of all participants included 228 cohort studies (198 risk estimates) with &gt;3 744 722 deaths among 30 233 329 participants. The summary relative risk for a 5 unit increment in BMI was 1.18 (95% confidence interval 1.15 to 1.21; I(2)=95%, n=44) among never smokers, 1.21 (1.18 to 1.25; I(2)=93%, n=25) among healthy never smokers, 1.27 (1.21 to 1.33; I(2)=89%, n=11) among healthy never smokers with exclusion of early follow-up, and 1.05 (1.04 to 1.07; I(2)=97%, n=198) among all participants. There was a J shaped dose-response relation in never smokers (Pnon-linearity &lt;0.001), and the lowest risk was observed at BMI 23-24 in never smokers, 22-23 in healthy never smokers, and 20-22 in studies of never smokers with ≥20 years' follow-up. In contrast there was a U shaped association between BMI and mortality in analyses with a greater potential for bias including all participants, current, former, or ever smokers, and in studies with a short duration of follow-up (&lt;5 years or &lt;10 years), or with moderate study quality scores. CONCLUSION Overweight and obesity is associated with increased risk of all cause mortality and the nadir of the curve was observed at BMI 23-24 among never smokers, 22-23 among healthy never smokers, and 20-22 with longer durations of follow-up. The increased risk of mortality observed in underweight people could at least partly be caused by residual confounding from prediagnostic disease. Lack of exclusion of ever smokers, people with prevalent and preclinical disease, and early follow-up could bias the results towards a more U shaped association.","author":[{"dropping-particle":"","family":"Aune","given":"Dagfinn","non-dropping-particle":"","parse-names":false,"suffix":""},{"dropping-particle":"","family":"Sen","given":"Abhijit","non-dropping-particle":"","parse-names":false,"suffix":""},{"dropping-particle":"","family":"Prasad","given":"Manya","non-dropping-particle":"","parse-names":false,"suffix":""},{"dropping-particle":"","family":"Norat","given":"Teresa","non-dropping-particle":"","parse-names":false,"suffix":""},{"dropping-particle":"","family":"Janszky","given":"Imre","non-dropping-particle":"","parse-names":false,"suffix":""},{"dropping-particle":"","family":"Tonstad","given":"Serena","non-dropping-particle":"","parse-names":false,"suffix":""},{"dropping-particle":"","family":"Romundstad","given":"Pål","non-dropping-particle":"","parse-names":false,"suffix":""},{"dropping-particle":"","family":"Vatten","given":"Lars J","non-dropping-particle":"","parse-names":false,"suffix":""}],"container-title":"BMJ (Clinical research ed.)","id":"ITEM-1","issued":{"date-parts":[["2016"]]},"page":"i2156","title":"BMI and all cause mortality: systematic review and non-linear dose-response meta-analysis of 230 cohort studies with 3.74 million deaths among 30.3 million participants.","type":"article-journal","volume":"353"},"uris":["http://www.mendeley.com/documents/?uuid=2a48adda-e480-492c-ae92-0bb59b47ee2c","http://www.mendeley.com/documents/?uuid=672a060a-ade7-4bd9-9ba4-fc56193f3b13","http://www.mendeley.com/documents/?uuid=33d9fe41-7619-456a-9969-47da5d2c0c4e"]}],"mendeley":{"formattedCitation":"(Aune et al., 2016)","plainTextFormattedCitation":"(Aune et al., 2016)","previouslyFormattedCitation":"(Aune et al., 2016)"},"properties":{"noteIndex":0},"schema":"https://github.com/citation-style-language/schema/raw/master/csl-citation.json"}</w:instrText>
      </w:r>
      <w:r w:rsidR="005E5F7B" w:rsidRPr="007C39F0">
        <w:rPr>
          <w:rFonts w:cs="Times New Roman"/>
          <w:sz w:val="24"/>
          <w:szCs w:val="24"/>
        </w:rPr>
        <w:fldChar w:fldCharType="separate"/>
      </w:r>
      <w:r w:rsidR="0097206D" w:rsidRPr="0097206D">
        <w:rPr>
          <w:rFonts w:cs="Times New Roman"/>
          <w:noProof/>
          <w:sz w:val="24"/>
          <w:szCs w:val="24"/>
        </w:rPr>
        <w:t>(Aune et al., 2016)</w:t>
      </w:r>
      <w:r w:rsidR="005E5F7B" w:rsidRPr="007C39F0">
        <w:rPr>
          <w:rFonts w:cs="Times New Roman"/>
          <w:sz w:val="24"/>
          <w:szCs w:val="24"/>
        </w:rPr>
        <w:fldChar w:fldCharType="end"/>
      </w:r>
      <w:r w:rsidR="00976980">
        <w:rPr>
          <w:rFonts w:cs="Times New Roman"/>
          <w:sz w:val="24"/>
          <w:szCs w:val="24"/>
        </w:rPr>
        <w:t>.</w:t>
      </w:r>
      <w:r w:rsidR="008A5C0B" w:rsidRPr="007C39F0">
        <w:rPr>
          <w:rFonts w:cs="Times New Roman"/>
          <w:sz w:val="24"/>
          <w:szCs w:val="24"/>
        </w:rPr>
        <w:t xml:space="preserve"> </w:t>
      </w:r>
      <w:r w:rsidR="0020759A" w:rsidRPr="007C39F0">
        <w:rPr>
          <w:rFonts w:cs="Times New Roman"/>
          <w:sz w:val="24"/>
          <w:szCs w:val="24"/>
        </w:rPr>
        <w:t>I</w:t>
      </w:r>
      <w:r w:rsidR="008A5C0B" w:rsidRPr="007C39F0">
        <w:rPr>
          <w:rFonts w:cs="Times New Roman"/>
          <w:sz w:val="24"/>
          <w:szCs w:val="24"/>
        </w:rPr>
        <w:t>f the distribution becom</w:t>
      </w:r>
      <w:r w:rsidR="00D96200">
        <w:rPr>
          <w:rFonts w:cs="Times New Roman"/>
          <w:sz w:val="24"/>
          <w:szCs w:val="24"/>
        </w:rPr>
        <w:t>es increasingly</w:t>
      </w:r>
      <w:r w:rsidR="008A5C0B" w:rsidRPr="007C39F0">
        <w:rPr>
          <w:rFonts w:cs="Times New Roman"/>
          <w:sz w:val="24"/>
          <w:szCs w:val="24"/>
        </w:rPr>
        <w:t xml:space="preserve"> </w:t>
      </w:r>
      <w:r w:rsidR="0020759A" w:rsidRPr="007C39F0">
        <w:rPr>
          <w:rFonts w:cs="Times New Roman"/>
          <w:sz w:val="24"/>
          <w:szCs w:val="24"/>
        </w:rPr>
        <w:t>skewed towards higher BMI values</w:t>
      </w:r>
      <w:r w:rsidR="008A5C0B" w:rsidRPr="007C39F0">
        <w:rPr>
          <w:rFonts w:cs="Times New Roman"/>
          <w:sz w:val="24"/>
          <w:szCs w:val="24"/>
        </w:rPr>
        <w:t xml:space="preserve">, it may </w:t>
      </w:r>
      <w:r w:rsidR="007F45DF" w:rsidRPr="007C39F0">
        <w:rPr>
          <w:rFonts w:cs="Times New Roman"/>
          <w:sz w:val="24"/>
          <w:szCs w:val="24"/>
        </w:rPr>
        <w:t xml:space="preserve">increase the proportion of the population at </w:t>
      </w:r>
      <w:r w:rsidR="00642321">
        <w:rPr>
          <w:rFonts w:cs="Times New Roman"/>
          <w:sz w:val="24"/>
          <w:szCs w:val="24"/>
        </w:rPr>
        <w:t xml:space="preserve">greatest </w:t>
      </w:r>
      <w:r w:rsidR="007F45DF" w:rsidRPr="007C39F0">
        <w:rPr>
          <w:rFonts w:cs="Times New Roman"/>
          <w:sz w:val="24"/>
          <w:szCs w:val="24"/>
        </w:rPr>
        <w:t>risk of developing obesity-related health conditions</w:t>
      </w:r>
      <w:r w:rsidR="008A5C0B" w:rsidRPr="007C39F0">
        <w:rPr>
          <w:rFonts w:cs="Times New Roman"/>
          <w:sz w:val="24"/>
          <w:szCs w:val="24"/>
        </w:rPr>
        <w:t>.</w:t>
      </w:r>
      <w:r w:rsidR="006A4523" w:rsidRPr="007C39F0">
        <w:rPr>
          <w:rFonts w:cs="Times New Roman"/>
          <w:sz w:val="24"/>
          <w:szCs w:val="24"/>
        </w:rPr>
        <w:t xml:space="preserve"> </w:t>
      </w:r>
    </w:p>
    <w:p w14:paraId="7FBB6BC1" w14:textId="7EEA371C" w:rsidR="00E51836" w:rsidRPr="007C39F0" w:rsidRDefault="00703770" w:rsidP="00675EB5">
      <w:pPr>
        <w:spacing w:line="480" w:lineRule="auto"/>
        <w:rPr>
          <w:rFonts w:cs="Times New Roman"/>
          <w:sz w:val="24"/>
          <w:szCs w:val="24"/>
        </w:rPr>
      </w:pPr>
      <w:r w:rsidRPr="007C39F0">
        <w:rPr>
          <w:rFonts w:cs="Times New Roman"/>
          <w:sz w:val="24"/>
          <w:szCs w:val="24"/>
        </w:rPr>
        <w:t xml:space="preserve">To our knowledge, there has been no attempt to understand </w:t>
      </w:r>
      <w:r w:rsidRPr="007C39F0">
        <w:rPr>
          <w:rFonts w:cs="Times New Roman"/>
          <w:i/>
          <w:sz w:val="24"/>
          <w:szCs w:val="24"/>
        </w:rPr>
        <w:t>why</w:t>
      </w:r>
      <w:r w:rsidRPr="007C39F0">
        <w:rPr>
          <w:rFonts w:cs="Times New Roman"/>
          <w:sz w:val="24"/>
          <w:szCs w:val="24"/>
        </w:rPr>
        <w:t xml:space="preserve"> the distribution has shifted towards higher BMI values</w:t>
      </w:r>
      <w:r w:rsidR="003F08EF">
        <w:rPr>
          <w:rFonts w:cs="Times New Roman"/>
          <w:sz w:val="24"/>
          <w:szCs w:val="24"/>
        </w:rPr>
        <w:t xml:space="preserve"> at a population level</w:t>
      </w:r>
      <w:r w:rsidRPr="007C39F0">
        <w:rPr>
          <w:rFonts w:cs="Times New Roman"/>
          <w:sz w:val="24"/>
          <w:szCs w:val="24"/>
        </w:rPr>
        <w:t xml:space="preserve">. </w:t>
      </w:r>
      <w:r w:rsidR="00080854" w:rsidRPr="007C39F0">
        <w:rPr>
          <w:rFonts w:cs="Times New Roman"/>
          <w:sz w:val="24"/>
          <w:szCs w:val="24"/>
        </w:rPr>
        <w:t>Prior</w:t>
      </w:r>
      <w:r w:rsidRPr="007C39F0">
        <w:rPr>
          <w:rFonts w:cs="Times New Roman"/>
          <w:sz w:val="24"/>
          <w:szCs w:val="24"/>
        </w:rPr>
        <w:t xml:space="preserve"> studies document</w:t>
      </w:r>
      <w:r w:rsidR="00080854" w:rsidRPr="007C39F0">
        <w:rPr>
          <w:rFonts w:cs="Times New Roman"/>
          <w:sz w:val="24"/>
          <w:szCs w:val="24"/>
        </w:rPr>
        <w:t>ing</w:t>
      </w:r>
      <w:r w:rsidRPr="007C39F0">
        <w:rPr>
          <w:rFonts w:cs="Times New Roman"/>
          <w:sz w:val="24"/>
          <w:szCs w:val="24"/>
        </w:rPr>
        <w:t xml:space="preserve"> the widening distribution have been descriptive</w:t>
      </w:r>
      <w:r w:rsidR="00080854" w:rsidRPr="007C39F0">
        <w:rPr>
          <w:rFonts w:cs="Times New Roman"/>
          <w:sz w:val="24"/>
          <w:szCs w:val="24"/>
        </w:rPr>
        <w:t xml:space="preserve"> in nature</w:t>
      </w:r>
      <w:r w:rsidR="00976980">
        <w:rPr>
          <w:rFonts w:cs="Times New Roman"/>
          <w:sz w:val="24"/>
          <w:szCs w:val="24"/>
        </w:rPr>
        <w:t xml:space="preserve"> </w:t>
      </w:r>
      <w:r w:rsidR="00341CF0" w:rsidRPr="007C39F0">
        <w:rPr>
          <w:rFonts w:cs="Times New Roman"/>
          <w:sz w:val="24"/>
          <w:szCs w:val="24"/>
        </w:rPr>
        <w:fldChar w:fldCharType="begin" w:fldLock="1"/>
      </w:r>
      <w:r w:rsidR="006821DC">
        <w:rPr>
          <w:rFonts w:cs="Times New Roman"/>
          <w:sz w:val="24"/>
          <w:szCs w:val="24"/>
        </w:rPr>
        <w:instrText>ADDIN CSL_CITATION {"citationItems":[{"id":"ITEM-1","itemData":{"DOI":"10.1136/jech-2015-206468","author":[{"dropping-particle":"","family":"Green","given":"M A","non-dropping-particle":"","parse-names":false,"suffix":""},{"dropping-particle":"V","family":"Subramanian","given":"S","non-dropping-particle":"","parse-names":false,"suffix":""},{"dropping-particle":"","family":"Razak","given":"F","non-dropping-particle":"","parse-names":false,"suffix":""}],"container-title":"Journal of Epidemiology &amp; Community Health","id":"ITEM-1","issued":{"date-parts":[["2016"]]},"page":"832-835","title":"Population-level trends in the distribution of body mass index in England, 1992 – 2013","type":"article-journal","volume":"70"},"uris":["http://www.mendeley.com/documents/?uuid=57f0556b-ffe9-4bcc-95d6-1aa5c21c575a","http://www.mendeley.com/documents/?uuid=d3dc1a55-29bf-478b-a91e-426b600b76a0"]}],"mendeley":{"formattedCitation":"(Green et al., 2016)","plainTextFormattedCitation":"(Green et al., 2016)","previouslyFormattedCitation":"(Green et al., 2016)"},"properties":{"noteIndex":0},"schema":"https://github.com/citation-style-language/schema/raw/master/csl-citation.json"}</w:instrText>
      </w:r>
      <w:r w:rsidR="00341CF0" w:rsidRPr="007C39F0">
        <w:rPr>
          <w:rFonts w:cs="Times New Roman"/>
          <w:sz w:val="24"/>
          <w:szCs w:val="24"/>
        </w:rPr>
        <w:fldChar w:fldCharType="separate"/>
      </w:r>
      <w:r w:rsidR="0097206D" w:rsidRPr="0097206D">
        <w:rPr>
          <w:rFonts w:cs="Times New Roman"/>
          <w:noProof/>
          <w:sz w:val="24"/>
          <w:szCs w:val="24"/>
        </w:rPr>
        <w:t>(Green et al., 2016)</w:t>
      </w:r>
      <w:r w:rsidR="00341CF0" w:rsidRPr="007C39F0">
        <w:rPr>
          <w:rFonts w:cs="Times New Roman"/>
          <w:sz w:val="24"/>
          <w:szCs w:val="24"/>
        </w:rPr>
        <w:fldChar w:fldCharType="end"/>
      </w:r>
      <w:r w:rsidR="00976980">
        <w:rPr>
          <w:rFonts w:cs="Times New Roman"/>
          <w:sz w:val="24"/>
          <w:szCs w:val="24"/>
        </w:rPr>
        <w:t>.</w:t>
      </w:r>
      <w:r w:rsidR="000A0CE0" w:rsidRPr="007C39F0">
        <w:rPr>
          <w:rFonts w:cs="Times New Roman"/>
          <w:sz w:val="24"/>
          <w:szCs w:val="24"/>
        </w:rPr>
        <w:t xml:space="preserve"> </w:t>
      </w:r>
      <w:r w:rsidRPr="007C39F0">
        <w:rPr>
          <w:rFonts w:cs="Times New Roman"/>
          <w:sz w:val="24"/>
          <w:szCs w:val="24"/>
        </w:rPr>
        <w:t>T</w:t>
      </w:r>
      <w:r w:rsidR="000A0CE0" w:rsidRPr="007C39F0">
        <w:rPr>
          <w:rFonts w:cs="Times New Roman"/>
          <w:sz w:val="24"/>
          <w:szCs w:val="24"/>
        </w:rPr>
        <w:t xml:space="preserve">here has been some </w:t>
      </w:r>
      <w:r w:rsidR="00A91B0B" w:rsidRPr="007C39F0">
        <w:rPr>
          <w:rFonts w:cs="Times New Roman"/>
          <w:sz w:val="24"/>
          <w:szCs w:val="24"/>
        </w:rPr>
        <w:t>examination</w:t>
      </w:r>
      <w:r w:rsidR="000A0CE0" w:rsidRPr="007C39F0">
        <w:rPr>
          <w:rFonts w:cs="Times New Roman"/>
          <w:sz w:val="24"/>
          <w:szCs w:val="24"/>
        </w:rPr>
        <w:t xml:space="preserve"> of how </w:t>
      </w:r>
      <w:r w:rsidR="00E635D7">
        <w:rPr>
          <w:rFonts w:cs="Times New Roman"/>
          <w:sz w:val="24"/>
          <w:szCs w:val="24"/>
        </w:rPr>
        <w:t xml:space="preserve">demographic, social, behavioural and health-related characteristics </w:t>
      </w:r>
      <w:r w:rsidR="000A0CE0" w:rsidRPr="007C39F0">
        <w:rPr>
          <w:rFonts w:cs="Times New Roman"/>
          <w:sz w:val="24"/>
          <w:szCs w:val="24"/>
        </w:rPr>
        <w:t xml:space="preserve">vary across </w:t>
      </w:r>
      <w:r w:rsidR="00B92B57" w:rsidRPr="007C39F0">
        <w:rPr>
          <w:rFonts w:cs="Times New Roman"/>
          <w:sz w:val="24"/>
          <w:szCs w:val="24"/>
        </w:rPr>
        <w:t xml:space="preserve">the entire </w:t>
      </w:r>
      <w:r w:rsidR="007A5B10" w:rsidRPr="007C39F0">
        <w:rPr>
          <w:rFonts w:cs="Times New Roman"/>
          <w:sz w:val="24"/>
          <w:szCs w:val="24"/>
        </w:rPr>
        <w:t xml:space="preserve">BMI </w:t>
      </w:r>
      <w:r w:rsidR="00B92B57" w:rsidRPr="007C39F0">
        <w:rPr>
          <w:rFonts w:cs="Times New Roman"/>
          <w:sz w:val="24"/>
          <w:szCs w:val="24"/>
        </w:rPr>
        <w:t>distribution</w:t>
      </w:r>
      <w:r w:rsidR="00976980">
        <w:rPr>
          <w:rFonts w:cs="Times New Roman"/>
          <w:sz w:val="24"/>
          <w:szCs w:val="24"/>
        </w:rPr>
        <w:t xml:space="preserve"> </w:t>
      </w:r>
      <w:r w:rsidR="00203F7D" w:rsidRPr="007C39F0">
        <w:rPr>
          <w:rFonts w:cs="Times New Roman"/>
          <w:sz w:val="24"/>
          <w:szCs w:val="24"/>
        </w:rPr>
        <w:fldChar w:fldCharType="begin" w:fldLock="1"/>
      </w:r>
      <w:r w:rsidR="00687F47">
        <w:rPr>
          <w:rFonts w:cs="Times New Roman"/>
          <w:sz w:val="24"/>
          <w:szCs w:val="24"/>
        </w:rPr>
        <w:instrText>ADDIN CSL_CITATION {"citationItems":[{"id":"ITEM-1","itemData":{"DOI":"10.1002/oby.20618","author":[{"dropping-particle":"","family":"Bottai","given":"Matteo","non-dropping-particle":"","parse-names":false,"suffix":""},{"dropping-particle":"","family":"Frongillo","given":"Edward A","non-dropping-particle":"","parse-names":false,"suffix":""},{"dropping-particle":"","family":"Sui","given":"Xuemei","non-dropping-particle":"","parse-names":false,"suffix":""},{"dropping-particle":"","family":"Neill","given":"Jennifer R O","non-dropping-particle":"","parse-names":false,"suffix":""},{"dropping-particle":"","family":"Mckeown","given":"Robert E","non-dropping-particle":"","parse-names":false,"suffix":""},{"dropping-particle":"","family":"Burns","given":"Trudy L","non-dropping-particle":"","parse-names":false,"suffix":""},{"dropping-particle":"","family":"Liese","given":"Angela D","non-dropping-particle":"","parse-names":false,"suffix":""},{"dropping-particle":"","family":"Blair","given":"Steven N","non-dropping-particle":"","parse-names":false,"suffix":""},{"dropping-particle":"","family":"Pate","given":"Russell R","non-dropping-particle":"","parse-names":false,"suffix":""}],"container-title":"Obesity","id":"ITEM-1","issue":"5","issued":{"date-parts":[["2014"]]},"page":"149-156","title":"Use of Quantile Regression to Investigate the Longitudinal Association between Physical Activity and Body Mass Index","type":"article-journal","volume":"22"},"uris":["http://www.mendeley.com/documents/?uuid=f1da0275-34be-407f-b50b-7f8855ccd751","http://www.mendeley.com/documents/?uuid=c2d2d888-dce7-478e-92b0-4b0ef0f6024c"]},{"id":"ITEM-2","itemData":{"DOI":"10.1136/jech-2015-205790","author":[{"dropping-particle":"","family":"Dutton","given":"Daniel J","non-dropping-particle":"","parse-names":false,"suffix":""},{"dropping-particle":"","family":"Mclaren","given":"Lindsay","non-dropping-particle":"","parse-names":false,"suffix":""}],"container-title":"Journal of Epidemiology &amp; Community Health","id":"ITEM-2","issued":{"date-parts":[["2016"]]},"page":"367-373","title":"How important are determinants of obesity measured at the individual level for explaining geographic variation in body mass index distributions? Observational evidence from Canada using Quantile Regression and Blinder-Oaxaca Decomposition","type":"article-journal","volume":"70"},"uris":["http://www.mendeley.com/documents/?uuid=c67b22a2-79a7-4a30-9b69-871be6e807bd","http://www.mendeley.com/documents/?uuid=01408a33-bb95-42ef-82db-320f3c47f1dc"]},{"id":"ITEM-3","itemData":{"ISSN":"1047-2797","author":[{"dropping-particle":"","family":"Siddiqi","given":"Arjumand","non-dropping-particle":"","parse-names":false,"suffix":""},{"dropping-particle":"","family":"Shahidi","given":"Faraz Vahid","non-dropping-particle":"","parse-names":false,"suffix":""},{"dropping-particle":"","family":"Hildebrand","given":"Vincent","non-dropping-particle":"","parse-names":false,"suffix":""},{"dropping-particle":"","family":"Hong","given":"Anthony","non-dropping-particle":"","parse-names":false,"suffix":""},{"dropping-particle":"","family":"Basu","given":"Sanjay","non-dropping-particle":"","parse-names":false,"suffix":""}],"container-title":"Annals of Epidemiology","id":"ITEM-3","issue":"4","issued":{"date-parts":[["2018"]]},"page":"236-241","publisher":"Elsevier Inc","title":"Illustrating a “consequential” shift in the study of health inequalities: a decomposition of racial differences in the distribution of body mass","type":"article-journal","volume":"28"},"uris":["http://www.mendeley.com/documents/?uuid=760813e3-2ea5-481f-b126-368e975b0e07","http://www.mendeley.com/documents/?uuid=a96c1501-f89a-42d6-8755-1c905fa90fb4"]},{"id":"ITEM-4","itemData":{"DOI":"10.1093/aje/kwv079","author":[{"dropping-particle":"","family":"Basu","given":"Sanjay","non-dropping-particle":"","parse-names":false,"suffix":""},{"dropping-particle":"","family":"Hong","given":"Anthony","non-dropping-particle":"","parse-names":false,"suffix":""},{"dropping-particle":"","family":"Siddiqi","given":"Arjumand","non-dropping-particle":"","parse-names":false,"suffix":""}],"container-title":"American Journal of Epidemiology","id":"ITEM-4","issue":"8","issued":{"date-parts":[["2015"]]},"page":"345-353","title":"Using Decomposition Analysis to Identify Modifiable Racial Disparities in the Distribution of Blood Pressure in the United States","type":"article-journal","volume":"182"},"uris":["http://www.mendeley.com/documents/?uuid=d2b042d9-7b31-4e07-86ab-e531655ca864","http://www.mendeley.com/documents/?uuid=896bb52d-64bf-4a4c-833b-e8d16bea8064"]},{"id":"ITEM-5","itemData":{"DOI":"10.1186/s12889-015-1606-8","author":[{"dropping-particle":"","family":"Ouyang","given":"Yifei","non-dropping-particle":"","parse-names":false,"suffix":""},{"dropping-particle":"","family":"Wang","given":"Huijun","non-dropping-particle":"","parse-names":false,"suffix":""},{"dropping-particle":"","family":"Su","given":"Chang","non-dropping-particle":"","parse-names":false,"suffix":""},{"dropping-particle":"","family":"Wang","given":"Zhihong","non-dropping-particle":"","parse-names":false,"suffix":""},{"dropping-particle":"","family":"Song","given":"Yiqi","non-dropping-particle":"","parse-names":false,"suffix":""},{"dropping-particle":"","family":"Xiao","given":"Yingting","non-dropping-particle":"","parse-names":false,"suffix":""},{"dropping-particle":"","family":"Du","given":"Wenwen","non-dropping-particle":"","parse-names":false,"suffix":""},{"dropping-particle":"","family":"Zhang","given":"Bing","non-dropping-particle":"","parse-names":false,"suffix":""}],"container-title":"BMC Public Health","id":"ITEM-5","issued":{"date-parts":[["2015"]]},"page":"278","title":"Use of quantile regression to investigate changes in the body mass index distribution of Chinese adults aged 18 – 60 years: a longitudinal study","type":"article-journal","volume":"15"},"uris":["http://www.mendeley.com/documents/?uuid=0cf0d779-ec47-4c0c-b389-11352c8b0beb","http://www.mendeley.com/documents/?uuid=ab3277e1-ee3d-4b61-8da9-d6639914e273","http://www.mendeley.com/documents/?uuid=3fb66a6d-0873-4672-84f6-3ef5c44407f6"]},{"id":"ITEM-6","itemData":{"DOI":"10.1093/ije/dyz245","ISSN":"0300-5771","abstract":"Most epidemiological studies examine how risk factors relate to average difference in outcomes (linear regression) or odds of a binary outcome (logistic regression); they do not explicitly examine whether risk factors are associated differentially across the distribution of the health outcome investigated. This paper documents a phenomenon found repeatedly in the minority of epidemiological studies which do this (via quantile regression): associations between a range of established risk factors and body mass index (BMI) are progressively stronger in the upper ends of the BMI distribution. In this paper, we document this finding and provide illustrative evidence of it in the 1958 British birth cohort study. Associations of low childhood socio-economic position, high maternal weight, low childhood general cognition and adult physical inactivity with higher BMI are larger at the upper end of the BMI distribution, on both absolute and relative scales. For example, effect estimates for socio-economic position and childhood cognition were around three times larger at the 90th compared with 10th quantile, while effect estimates for physical inactivity were increasingly larger from the 50th to 90th quantiles, yet null at lower quantiles. We provide potential explanations for these findings and discuss implications. Risk factors may have larger causal effects among those in worse health, and these effects may not be discovered when health is only examined in average terms. In such scenarios, population-based approaches to intervention may have larger benefits than anticipated when assuming equivalent benefit across the population. Further research is needed to understand why effect estimates differ across the BMI outcome distribution and to investigate whether differential effects exist for other physical and mental health outcomes.","author":[{"dropping-particle":"","family":"Bann","given":"David","non-dropping-particle":"","parse-names":false,"suffix":""},{"dropping-particle":"","family":"Fitzsimons","given":"Emla","non-dropping-particle":"","parse-names":false,"suffix":""},{"dropping-particle":"","family":"Johnson","given":"William","non-dropping-particle":"","parse-names":false,"suffix":""}],"container-title":"International Journal of Epidemiology","id":"ITEM-6","issued":{"date-parts":[["2020","1","13"]]},"title":"Determinants of the population health distribution: an illustration examining body mass index","type":"article-journal"},"uris":["http://www.mendeley.com/documents/?uuid=948613d2-75af-47dd-b142-101a8a275941"]},{"id":"ITEM-7","itemData":{"author":[{"dropping-particle":"","family":"Norris","given":"Tom","non-dropping-particle":"","parse-names":false,"suffix":""},{"dropping-particle":"","family":"Bann","given":"David","non-dropping-particle":"","parse-names":false,"suffix":""},{"dropping-particle":"","family":"Hardy","given":"Rebecca","non-dropping-particle":"","parse-names":false,"suffix":""},{"dropping-particle":"","family":"Johnson","given":"William","non-dropping-particle":"","parse-names":false,"suffix":""}],"container-title":"International Journal of Obesity","id":"ITEM-7","issued":{"date-parts":[["2020"]]},"page":"388-398","title":"Socioeconomic inequalities in childhood-to-adulthood BMI tracking in three British birth cohorts","type":"article-journal","volume":"44"},"uris":["http://www.mendeley.com/documents/?uuid=fce05524-6aac-4812-9491-90c1648ef777"]},{"id":"ITEM-8","itemData":{"author":[{"dropping-particle":"","family":"Davillas","given":"Apostolos","non-dropping-particle":"","parse-names":false,"suffix":""},{"dropping-particle":"","family":"Jones","given":"Andy","non-dropping-particle":"","parse-names":false,"suffix":""}],"container-title":"Economics and Human Biology","id":"ITEM-8","issued":{"date-parts":[["2020"]]},"page":"100887","title":"Regional inequalities in adiposity in England: distributional analysis of the contribution of individual-level characteristics and the small area obesogenic environment","type":"article-journal"},"uris":["http://www.mendeley.com/documents/?uuid=a2324f99-4db2-4707-9fda-d24ebeb92046"]},{"id":"ITEM-9","itemData":{"DOI":"10.1007/s10818-019-09283-3","ISSN":"1573-6989","abstract":"India is facing a public health problem of both over-nutrition and persistent under-nutrition. This paper studies the transition in body mass index distribution in India from 2005/2006 to 2015/2016. The change in the distribution is characterized not only by a locational shift but also a shape change. As well as the mean difference decomposition, this study implements a quantile decomposition analysis and decomposes the differentials at various quantile points of the distributions. For both men and women, the largest increases are observed in the middle and upper quantiles of the distribution. These increases are well explained by the changes in the individual’s characteristics. The improvement in living standards makes a significant contribution to the increase in BMI at the right tail of the distribution, where its higher relative importance is observed. This study shows new evidence for the substantial heterogeneity of the contributory factors and their impacts across the distribution.","author":[{"dropping-particle":"","family":"Aizawa","given":"Toshiaki","non-dropping-particle":"","parse-names":false,"suffix":""}],"container-title":"Journal of Bioeconomics","id":"ITEM-9","issue":"1","issued":{"date-parts":[["2019"]]},"page":"3-36","title":"Transition of the BMI distribution in India: evidence from a distributional decomposition analysis","type":"article-journal","volume":"21"},"uris":["http://www.mendeley.com/documents/?uuid=a090a867-a877-4bce-9a10-0f5a563a51cb"]}],"mendeley":{"formattedCitation":"(Aizawa, 2019; Bann, Fitzsimons, &amp; Johnson, 2020; Basu, Hong, &amp; Siddiqi, 2015; Bottai et al., 2014; Davillas &amp; Jones, 2020; Dutton &amp; Mclaren, 2016; Norris, Bann, Hardy, &amp; Johnson, 2020; Ouyang et al., 2015; Siddiqi, Shahidi, Hildebrand, Hong, &amp; Basu, 2018)","manualFormatting":"(Aizawa, 2019; Bann et al., 2020; Basu et al., 2015; Bottai et al., 2014; Davillas &amp; Jones, 2020; Dutton &amp; Mclaren, 2016; Norris et al., 2020; Ouyang et al., 2015; Siddiqi et al., 2018)","plainTextFormattedCitation":"(Aizawa, 2019; Bann, Fitzsimons, &amp; Johnson, 2020; Basu, Hong, &amp; Siddiqi, 2015; Bottai et al., 2014; Davillas &amp; Jones, 2020; Dutton &amp; Mclaren, 2016; Norris, Bann, Hardy, &amp; Johnson, 2020; Ouyang et al., 2015; Siddiqi, Shahidi, Hildebrand, Hong, &amp; Basu, 2018)","previouslyFormattedCitation":"(Aizawa, 2019; Bann, Fitzsimons, &amp; Johnson, 2020; Basu, Hong, &amp; Siddiqi, 2015; Bottai et al., 2014; Davillas &amp; Jones, 2020; Dutton &amp; Mclaren, 2016; Norris, Bann, Hardy, &amp; Johnson, 2020; Ouyang et al., 2015; Siddiqi, Shahidi, Hildebrand, Hong, &amp; Basu, 2018)"},"properties":{"noteIndex":0},"schema":"https://github.com/citation-style-language/schema/raw/master/csl-citation.json"}</w:instrText>
      </w:r>
      <w:r w:rsidR="00203F7D" w:rsidRPr="007C39F0">
        <w:rPr>
          <w:rFonts w:cs="Times New Roman"/>
          <w:sz w:val="24"/>
          <w:szCs w:val="24"/>
        </w:rPr>
        <w:fldChar w:fldCharType="separate"/>
      </w:r>
      <w:r w:rsidR="00687F47" w:rsidRPr="00687F47">
        <w:rPr>
          <w:rFonts w:cs="Times New Roman"/>
          <w:noProof/>
          <w:sz w:val="24"/>
          <w:szCs w:val="24"/>
        </w:rPr>
        <w:t>(Aizawa, 2019; Bann</w:t>
      </w:r>
      <w:r w:rsidR="00687F47">
        <w:rPr>
          <w:rFonts w:cs="Times New Roman"/>
          <w:noProof/>
          <w:sz w:val="24"/>
          <w:szCs w:val="24"/>
        </w:rPr>
        <w:t xml:space="preserve"> et al.</w:t>
      </w:r>
      <w:r w:rsidR="00687F47" w:rsidRPr="00687F47">
        <w:rPr>
          <w:rFonts w:cs="Times New Roman"/>
          <w:noProof/>
          <w:sz w:val="24"/>
          <w:szCs w:val="24"/>
        </w:rPr>
        <w:t>, 2020; Basu</w:t>
      </w:r>
      <w:r w:rsidR="00687F47">
        <w:rPr>
          <w:rFonts w:cs="Times New Roman"/>
          <w:noProof/>
          <w:sz w:val="24"/>
          <w:szCs w:val="24"/>
        </w:rPr>
        <w:t xml:space="preserve"> et al.</w:t>
      </w:r>
      <w:r w:rsidR="00687F47" w:rsidRPr="00687F47">
        <w:rPr>
          <w:rFonts w:cs="Times New Roman"/>
          <w:noProof/>
          <w:sz w:val="24"/>
          <w:szCs w:val="24"/>
        </w:rPr>
        <w:t>, 2015; Bottai et al., 2014; Davillas &amp; Jones, 2020; Dutton &amp; Mclaren, 2016; Norris</w:t>
      </w:r>
      <w:r w:rsidR="00687F47">
        <w:rPr>
          <w:rFonts w:cs="Times New Roman"/>
          <w:noProof/>
          <w:sz w:val="24"/>
          <w:szCs w:val="24"/>
        </w:rPr>
        <w:t xml:space="preserve"> et al.</w:t>
      </w:r>
      <w:r w:rsidR="00687F47" w:rsidRPr="00687F47">
        <w:rPr>
          <w:rFonts w:cs="Times New Roman"/>
          <w:noProof/>
          <w:sz w:val="24"/>
          <w:szCs w:val="24"/>
        </w:rPr>
        <w:t>, 2020; Ouyang et al., 2015; Siddiqi</w:t>
      </w:r>
      <w:r w:rsidR="00687F47">
        <w:rPr>
          <w:rFonts w:cs="Times New Roman"/>
          <w:noProof/>
          <w:sz w:val="24"/>
          <w:szCs w:val="24"/>
        </w:rPr>
        <w:t xml:space="preserve"> et al.</w:t>
      </w:r>
      <w:r w:rsidR="00687F47" w:rsidRPr="00687F47">
        <w:rPr>
          <w:rFonts w:cs="Times New Roman"/>
          <w:noProof/>
          <w:sz w:val="24"/>
          <w:szCs w:val="24"/>
        </w:rPr>
        <w:t>, 2018)</w:t>
      </w:r>
      <w:r w:rsidR="00203F7D" w:rsidRPr="007C39F0">
        <w:rPr>
          <w:rFonts w:cs="Times New Roman"/>
          <w:sz w:val="24"/>
          <w:szCs w:val="24"/>
        </w:rPr>
        <w:fldChar w:fldCharType="end"/>
      </w:r>
      <w:r w:rsidR="00976980">
        <w:rPr>
          <w:rFonts w:cs="Times New Roman"/>
          <w:sz w:val="24"/>
          <w:szCs w:val="24"/>
        </w:rPr>
        <w:t>.</w:t>
      </w:r>
      <w:r w:rsidR="000969D0" w:rsidRPr="007C39F0">
        <w:rPr>
          <w:rFonts w:cs="Times New Roman"/>
          <w:sz w:val="24"/>
          <w:szCs w:val="24"/>
        </w:rPr>
        <w:t xml:space="preserve"> </w:t>
      </w:r>
      <w:r w:rsidR="00662D83" w:rsidRPr="007C39F0">
        <w:rPr>
          <w:rFonts w:cs="Times New Roman"/>
          <w:sz w:val="24"/>
          <w:szCs w:val="24"/>
        </w:rPr>
        <w:t xml:space="preserve">This has been important in progressing thinking away from </w:t>
      </w:r>
      <w:r w:rsidR="00662D83" w:rsidRPr="007C39F0">
        <w:rPr>
          <w:rFonts w:cs="Times New Roman"/>
          <w:sz w:val="24"/>
          <w:szCs w:val="24"/>
        </w:rPr>
        <w:lastRenderedPageBreak/>
        <w:t xml:space="preserve">dichotomous measures of risk, towards conceptualising risk as operating throughout an entire </w:t>
      </w:r>
      <w:r w:rsidR="00D96200">
        <w:rPr>
          <w:rFonts w:cs="Times New Roman"/>
          <w:sz w:val="24"/>
          <w:szCs w:val="24"/>
        </w:rPr>
        <w:t xml:space="preserve">BMI </w:t>
      </w:r>
      <w:r w:rsidR="00662D83" w:rsidRPr="007C39F0">
        <w:rPr>
          <w:rFonts w:cs="Times New Roman"/>
          <w:sz w:val="24"/>
          <w:szCs w:val="24"/>
        </w:rPr>
        <w:t>distribution and providing more detailed investigat</w:t>
      </w:r>
      <w:r w:rsidR="00976980">
        <w:rPr>
          <w:rFonts w:cs="Times New Roman"/>
          <w:sz w:val="24"/>
          <w:szCs w:val="24"/>
        </w:rPr>
        <w:t xml:space="preserve">ion of non-linear relationships </w:t>
      </w:r>
      <w:r w:rsidR="00662D83" w:rsidRPr="007C39F0">
        <w:rPr>
          <w:rFonts w:cs="Times New Roman"/>
          <w:sz w:val="24"/>
          <w:szCs w:val="24"/>
        </w:rPr>
        <w:fldChar w:fldCharType="begin" w:fldLock="1"/>
      </w:r>
      <w:r w:rsidR="006821DC">
        <w:rPr>
          <w:rFonts w:cs="Times New Roman"/>
          <w:sz w:val="24"/>
          <w:szCs w:val="24"/>
        </w:rPr>
        <w:instrText>ADDIN CSL_CITATION {"citationItems":[{"id":"ITEM-1","itemData":{"DOI":"10.1093/aje/kwv079","author":[{"dropping-particle":"","family":"Basu","given":"Sanjay","non-dropping-particle":"","parse-names":false,"suffix":""},{"dropping-particle":"","family":"Hong","given":"Anthony","non-dropping-particle":"","parse-names":false,"suffix":""},{"dropping-particle":"","family":"Siddiqi","given":"Arjumand","non-dropping-particle":"","parse-names":false,"suffix":""}],"container-title":"American Journal of Epidemiology","id":"ITEM-1","issue":"8","issued":{"date-parts":[["2015"]]},"page":"345-353","title":"Using Decomposition Analysis to Identify Modifiable Racial Disparities in the Distribution of Blood Pressure in the United States","type":"article-journal","volume":"182"},"uris":["http://www.mendeley.com/documents/?uuid=896bb52d-64bf-4a4c-833b-e8d16bea8064","http://www.mendeley.com/documents/?uuid=d2b042d9-7b31-4e07-86ab-e531655ca864"]},{"id":"ITEM-2","itemData":{"ISSN":"1047-2797","author":[{"dropping-particle":"","family":"Siddiqi","given":"Arjumand","non-dropping-particle":"","parse-names":false,"suffix":""},{"dropping-particle":"","family":"Shahidi","given":"Faraz Vahid","non-dropping-particle":"","parse-names":false,"suffix":""},{"dropping-particle":"","family":"Hildebrand","given":"Vincent","non-dropping-particle":"","parse-names":false,"suffix":""},{"dropping-particle":"","family":"Hong","given":"Anthony","non-dropping-particle":"","parse-names":false,"suffix":""},{"dropping-particle":"","family":"Basu","given":"Sanjay","non-dropping-particle":"","parse-names":false,"suffix":""}],"container-title":"Annals of Epidemiology","id":"ITEM-2","issue":"4","issued":{"date-parts":[["2018"]]},"page":"236-241","publisher":"Elsevier Inc","title":"Illustrating a “consequential” shift in the study of health inequalities: a decomposition of racial differences in the distribution of body mass","type":"article-journal","volume":"28"},"uris":["http://www.mendeley.com/documents/?uuid=a96c1501-f89a-42d6-8755-1c905fa90fb4","http://www.mendeley.com/documents/?uuid=760813e3-2ea5-481f-b126-368e975b0e07","http://www.mendeley.com/documents/?uuid=9b5695be-4cad-436b-860a-21ee4d1c7ce2"]}],"mendeley":{"formattedCitation":"(Basu et al., 2015; Siddiqi et al., 2018)","plainTextFormattedCitation":"(Basu et al., 2015; Siddiqi et al., 2018)","previouslyFormattedCitation":"(Basu et al., 2015; Siddiqi et al., 2018)"},"properties":{"noteIndex":0},"schema":"https://github.com/citation-style-language/schema/raw/master/csl-citation.json"}</w:instrText>
      </w:r>
      <w:r w:rsidR="00662D83" w:rsidRPr="007C39F0">
        <w:rPr>
          <w:rFonts w:cs="Times New Roman"/>
          <w:sz w:val="24"/>
          <w:szCs w:val="24"/>
        </w:rPr>
        <w:fldChar w:fldCharType="separate"/>
      </w:r>
      <w:r w:rsidR="0097206D" w:rsidRPr="0097206D">
        <w:rPr>
          <w:rFonts w:cs="Times New Roman"/>
          <w:noProof/>
          <w:sz w:val="24"/>
          <w:szCs w:val="24"/>
        </w:rPr>
        <w:t>(Basu et al., 2015; Siddiqi et al., 2018)</w:t>
      </w:r>
      <w:r w:rsidR="00662D83" w:rsidRPr="007C39F0">
        <w:rPr>
          <w:rFonts w:cs="Times New Roman"/>
          <w:sz w:val="24"/>
          <w:szCs w:val="24"/>
        </w:rPr>
        <w:fldChar w:fldCharType="end"/>
      </w:r>
      <w:r w:rsidR="00976980">
        <w:rPr>
          <w:rFonts w:cs="Times New Roman"/>
          <w:sz w:val="24"/>
          <w:szCs w:val="24"/>
        </w:rPr>
        <w:t>.</w:t>
      </w:r>
      <w:r w:rsidR="00662D83" w:rsidRPr="007C39F0">
        <w:rPr>
          <w:rFonts w:cs="Times New Roman"/>
          <w:sz w:val="24"/>
          <w:szCs w:val="24"/>
        </w:rPr>
        <w:t xml:space="preserve"> H</w:t>
      </w:r>
      <w:r w:rsidR="000969D0" w:rsidRPr="007C39F0">
        <w:rPr>
          <w:rFonts w:cs="Times New Roman"/>
          <w:sz w:val="24"/>
          <w:szCs w:val="24"/>
        </w:rPr>
        <w:t>owever</w:t>
      </w:r>
      <w:r w:rsidR="00662D83" w:rsidRPr="007C39F0">
        <w:rPr>
          <w:rFonts w:cs="Times New Roman"/>
          <w:sz w:val="24"/>
          <w:szCs w:val="24"/>
        </w:rPr>
        <w:t>, most studies</w:t>
      </w:r>
      <w:r w:rsidR="000969D0" w:rsidRPr="007C39F0">
        <w:rPr>
          <w:rFonts w:cs="Times New Roman"/>
          <w:sz w:val="24"/>
          <w:szCs w:val="24"/>
        </w:rPr>
        <w:t xml:space="preserve"> focus on single points in time</w:t>
      </w:r>
      <w:r w:rsidR="00080854" w:rsidRPr="007C39F0">
        <w:rPr>
          <w:rFonts w:cs="Times New Roman"/>
          <w:sz w:val="24"/>
          <w:szCs w:val="24"/>
        </w:rPr>
        <w:t xml:space="preserve">. </w:t>
      </w:r>
      <w:r w:rsidR="000969D0" w:rsidRPr="007C39F0">
        <w:rPr>
          <w:rFonts w:cs="Times New Roman"/>
          <w:sz w:val="24"/>
          <w:szCs w:val="24"/>
        </w:rPr>
        <w:t xml:space="preserve">A critical gap remains in applying methods that can identify the relative contributions of </w:t>
      </w:r>
      <w:r w:rsidR="00E635D7">
        <w:rPr>
          <w:rFonts w:cs="Times New Roman"/>
          <w:sz w:val="24"/>
          <w:szCs w:val="24"/>
        </w:rPr>
        <w:t>characteristics</w:t>
      </w:r>
      <w:r w:rsidR="000969D0" w:rsidRPr="007C39F0">
        <w:rPr>
          <w:rFonts w:cs="Times New Roman"/>
          <w:sz w:val="24"/>
          <w:szCs w:val="24"/>
        </w:rPr>
        <w:t xml:space="preserve"> in explaining the changing distribution of BMI over time</w:t>
      </w:r>
      <w:r w:rsidR="00F03388">
        <w:rPr>
          <w:rFonts w:cs="Times New Roman"/>
          <w:sz w:val="24"/>
          <w:szCs w:val="24"/>
        </w:rPr>
        <w:t xml:space="preserve"> </w:t>
      </w:r>
      <w:r w:rsidR="00F03388">
        <w:rPr>
          <w:rFonts w:cs="Times New Roman"/>
          <w:sz w:val="24"/>
          <w:szCs w:val="24"/>
        </w:rPr>
        <w:fldChar w:fldCharType="begin" w:fldLock="1"/>
      </w:r>
      <w:r w:rsidR="00F03388">
        <w:rPr>
          <w:rFonts w:cs="Times New Roman"/>
          <w:sz w:val="24"/>
          <w:szCs w:val="24"/>
        </w:rPr>
        <w:instrText>ADDIN CSL_CITATION {"citationItems":[{"id":"ITEM-1","itemData":{"DOI":"10.1007/s11113-019-09544-z","ISSN":"1573-7829","abstract":"We unravel the absolute level and relative prominence of two demographic processes that are relevant for childhood obesity, and that will ultimately determine the long-term course and pace of change in child obesity rates. We leverage data from the National Health and Nutrition Examination Survey to decompose change in child obesity from 1971 to 2012. We partition change into that attributable to (1) healthier, more nutritionally and economically advantaged cohorts in the population being replaced by cohorts of children who are less advantaged (between-cohort change), and (2) the health habits, nutrition, and social and economic circumstances of all cohorts of children worsening over time (within-cohort change). The rise in obesity among children aged 2 to 19 years is solely due to intracohort change driven by variation in food security composition and in the diet of the population over time. Child obesity in the population rose largely because of individual increases in weight status that are broadly distributed across age and cohort groups. Smaller but significant cohort replacement effects slightly attenuated these intracohort change effects over the study period, leading to a more gradual increase in obesity. Our results provide some reasons for optimism. Given that population estimates of child obesity rose because the typical member of all cohorts became heavier over time at all stages of the early life course, successful policy and health interventions that focus on changing health habits across all ages and generations have the potential to quickly slow or reverse the upward trend in child obesity.","author":[{"dropping-particle":"","family":"Kranjac","given":"Ashley Wendell","non-dropping-particle":"","parse-names":false,"suffix":""},{"dropping-particle":"","family":"Wagmiller","given":"Robert L","non-dropping-particle":"","parse-names":false,"suffix":""}],"container-title":"Population Research and Policy Review","id":"ITEM-1","issue":"2","issued":{"date-parts":[["2020"]]},"page":"375-388","title":"Decomposing Trends in Child Obesity","type":"article-journal","volume":"39"},"uris":["http://www.mendeley.com/documents/?uuid=21f60b1e-60e1-43af-aa81-6076f036bfd8"]},{"id":"ITEM-2","itemData":{"DOI":"10.1007/s10818-019-09283-3","ISSN":"1573-6989","abstract":"India is facing a public health problem of both over-nutrition and persistent under-nutrition. This paper studies the transition in body mass index distribution in India from 2005/2006 to 2015/2016. The change in the distribution is characterized not only by a locational shift but also a shape change. As well as the mean difference decomposition, this study implements a quantile decomposition analysis and decomposes the differentials at various quantile points of the distributions. For both men and women, the largest increases are observed in the middle and upper quantiles of the distribution. These increases are well explained by the changes in the individual’s characteristics. The improvement in living standards makes a significant contribution to the increase in BMI at the right tail of the distribution, where its higher relative importance is observed. This study shows new evidence for the substantial heterogeneity of the contributory factors and their impacts across the distribution.","author":[{"dropping-particle":"","family":"Aizawa","given":"Toshiaki","non-dropping-particle":"","parse-names":false,"suffix":""}],"container-title":"Journal of Bioeconomics","id":"ITEM-2","issue":"1","issued":{"date-parts":[["2019"]]},"page":"3-36","title":"Transition of the BMI distribution in India: evidence from a distributional decomposition analysis","type":"article-journal","volume":"21"},"uris":["http://www.mendeley.com/documents/?uuid=a090a867-a877-4bce-9a10-0f5a563a51cb"]}],"mendeley":{"formattedCitation":"(Aizawa, 2019; Kranjac &amp; Wagmiller, 2020)","plainTextFormattedCitation":"(Aizawa, 2019; Kranjac &amp; Wagmiller, 2020)","previouslyFormattedCitation":"(Aizawa, 2019; Kranjac &amp; Wagmiller, 2020)"},"properties":{"noteIndex":0},"schema":"https://github.com/citation-style-language/schema/raw/master/csl-citation.json"}</w:instrText>
      </w:r>
      <w:r w:rsidR="00F03388">
        <w:rPr>
          <w:rFonts w:cs="Times New Roman"/>
          <w:sz w:val="24"/>
          <w:szCs w:val="24"/>
        </w:rPr>
        <w:fldChar w:fldCharType="separate"/>
      </w:r>
      <w:r w:rsidR="00F03388" w:rsidRPr="00F03388">
        <w:rPr>
          <w:rFonts w:cs="Times New Roman"/>
          <w:noProof/>
          <w:sz w:val="24"/>
          <w:szCs w:val="24"/>
        </w:rPr>
        <w:t>(Aizawa, 2019; Kranjac &amp; Wagmiller, 2020)</w:t>
      </w:r>
      <w:r w:rsidR="00F03388">
        <w:rPr>
          <w:rFonts w:cs="Times New Roman"/>
          <w:sz w:val="24"/>
          <w:szCs w:val="24"/>
        </w:rPr>
        <w:fldChar w:fldCharType="end"/>
      </w:r>
      <w:r w:rsidR="000969D0" w:rsidRPr="007C39F0">
        <w:rPr>
          <w:rFonts w:cs="Times New Roman"/>
          <w:sz w:val="24"/>
          <w:szCs w:val="24"/>
        </w:rPr>
        <w:t xml:space="preserve">. </w:t>
      </w:r>
      <w:r w:rsidR="00080854" w:rsidRPr="007C39F0">
        <w:rPr>
          <w:rFonts w:cs="Times New Roman"/>
          <w:sz w:val="24"/>
          <w:szCs w:val="24"/>
        </w:rPr>
        <w:t xml:space="preserve">Understanding </w:t>
      </w:r>
      <w:r w:rsidR="00E635D7">
        <w:rPr>
          <w:rFonts w:cs="Times New Roman"/>
          <w:sz w:val="24"/>
          <w:szCs w:val="24"/>
        </w:rPr>
        <w:t>how populations vary</w:t>
      </w:r>
      <w:r w:rsidR="00080854" w:rsidRPr="007C39F0">
        <w:rPr>
          <w:rFonts w:cs="Times New Roman"/>
          <w:sz w:val="24"/>
          <w:szCs w:val="24"/>
        </w:rPr>
        <w:t xml:space="preserve"> across the BMI distribution has the potential to better guide health policy interventions</w:t>
      </w:r>
      <w:r w:rsidR="002D06FB" w:rsidRPr="007C39F0">
        <w:rPr>
          <w:rFonts w:cs="Times New Roman"/>
          <w:sz w:val="24"/>
          <w:szCs w:val="24"/>
        </w:rPr>
        <w:t xml:space="preserve"> particularly through targeting differing levels of risk</w:t>
      </w:r>
      <w:r w:rsidR="00383C04" w:rsidRPr="007C39F0">
        <w:rPr>
          <w:rFonts w:cs="Times New Roman"/>
          <w:sz w:val="24"/>
          <w:szCs w:val="24"/>
        </w:rPr>
        <w:t xml:space="preserve"> across the distribution</w:t>
      </w:r>
      <w:r w:rsidR="00976980">
        <w:rPr>
          <w:rFonts w:cs="Times New Roman"/>
          <w:sz w:val="24"/>
          <w:szCs w:val="24"/>
        </w:rPr>
        <w:t xml:space="preserve"> </w:t>
      </w:r>
      <w:r w:rsidR="00662D83" w:rsidRPr="007C39F0">
        <w:rPr>
          <w:rFonts w:cs="Times New Roman"/>
          <w:sz w:val="24"/>
          <w:szCs w:val="24"/>
        </w:rPr>
        <w:fldChar w:fldCharType="begin" w:fldLock="1"/>
      </w:r>
      <w:r w:rsidR="00C50062">
        <w:rPr>
          <w:rFonts w:cs="Times New Roman"/>
          <w:sz w:val="24"/>
          <w:szCs w:val="24"/>
        </w:rPr>
        <w:instrText>ADDIN CSL_CITATION {"citationItems":[{"id":"ITEM-1","itemData":{"DOI":"10.1136/jech-2015-205790","author":[{"dropping-particle":"","family":"Dutton","given":"Daniel J","non-dropping-particle":"","parse-names":false,"suffix":""},{"dropping-particle":"","family":"Mclaren","given":"Lindsay","non-dropping-particle":"","parse-names":false,"suffix":""}],"container-title":"Journal of Epidemiology &amp; Community Health","id":"ITEM-1","issued":{"date-parts":[["2016"]]},"page":"367-373","title":"How important are determinants of obesity measured at the individual level for explaining geographic variation in body mass index distributions? Observational evidence from Canada using Quantile Regression and Blinder-Oaxaca Decomposition","type":"article-journal","volume":"70"},"uris":["http://www.mendeley.com/documents/?uuid=01408a33-bb95-42ef-82db-320f3c47f1dc","http://www.mendeley.com/documents/?uuid=c67b22a2-79a7-4a30-9b69-871be6e807bd"]},{"id":"ITEM-2","itemData":{"DOI":"10.1093/ije/dyz245","ISSN":"0300-5771","abstract":"Most epidemiological studies examine how risk factors relate to average difference in outcomes (linear regression) or odds of a binary outcome (logistic regression); they do not explicitly examine whether risk factors are associated differentially across the distribution of the health outcome investigated. This paper documents a phenomenon found repeatedly in the minority of epidemiological studies which do this (via quantile regression): associations between a range of established risk factors and body mass index (BMI) are progressively stronger in the upper ends of the BMI distribution. In this paper, we document this finding and provide illustrative evidence of it in the 1958 British birth cohort study. Associations of low childhood socio-economic position, high maternal weight, low childhood general cognition and adult physical inactivity with higher BMI are larger at the upper end of the BMI distribution, on both absolute and relative scales. For example, effect estimates for socio-economic position and childhood cognition were around three times larger at the 90th compared with 10th quantile, while effect estimates for physical inactivity were increasingly larger from the 50th to 90th quantiles, yet null at lower quantiles. We provide potential explanations for these findings and discuss implications. Risk factors may have larger causal effects among those in worse health, and these effects may not be discovered when health is only examined in average terms. In such scenarios, population-based approaches to intervention may have larger benefits than anticipated when assuming equivalent benefit across the population. Further research is needed to understand why effect estimates differ across the BMI outcome distribution and to investigate whether differential effects exist for other physical and mental health outcomes.","author":[{"dropping-particle":"","family":"Bann","given":"David","non-dropping-particle":"","parse-names":false,"suffix":""},{"dropping-particle":"","family":"Fitzsimons","given":"Emla","non-dropping-particle":"","parse-names":false,"suffix":""},{"dropping-particle":"","family":"Johnson","given":"William","non-dropping-particle":"","parse-names":false,"suffix":""}],"container-title":"International Journal of Epidemiology","id":"ITEM-2","issued":{"date-parts":[["2020","1","13"]]},"title":"Determinants of the population health distribution: an illustration examining body mass index","type":"article-journal"},"uris":["http://www.mendeley.com/documents/?uuid=948613d2-75af-47dd-b142-101a8a275941"]}],"mendeley":{"formattedCitation":"(Bann et al., 2020; Dutton &amp; Mclaren, 2016)","plainTextFormattedCitation":"(Bann et al., 2020; Dutton &amp; Mclaren, 2016)","previouslyFormattedCitation":"(Bann et al., 2020; Dutton &amp; Mclaren, 2016)"},"properties":{"noteIndex":0},"schema":"https://github.com/citation-style-language/schema/raw/master/csl-citation.json"}</w:instrText>
      </w:r>
      <w:r w:rsidR="00662D83" w:rsidRPr="007C39F0">
        <w:rPr>
          <w:rFonts w:cs="Times New Roman"/>
          <w:sz w:val="24"/>
          <w:szCs w:val="24"/>
        </w:rPr>
        <w:fldChar w:fldCharType="separate"/>
      </w:r>
      <w:r w:rsidR="002359E3" w:rsidRPr="002359E3">
        <w:rPr>
          <w:rFonts w:cs="Times New Roman"/>
          <w:noProof/>
          <w:sz w:val="24"/>
          <w:szCs w:val="24"/>
        </w:rPr>
        <w:t>(Bann et al., 2020; Dutton &amp; Mclaren, 2016)</w:t>
      </w:r>
      <w:r w:rsidR="00662D83" w:rsidRPr="007C39F0">
        <w:rPr>
          <w:rFonts w:cs="Times New Roman"/>
          <w:sz w:val="24"/>
          <w:szCs w:val="24"/>
        </w:rPr>
        <w:fldChar w:fldCharType="end"/>
      </w:r>
      <w:r w:rsidR="00976980">
        <w:rPr>
          <w:rFonts w:cs="Times New Roman"/>
          <w:sz w:val="24"/>
          <w:szCs w:val="24"/>
        </w:rPr>
        <w:t>.</w:t>
      </w:r>
    </w:p>
    <w:p w14:paraId="5421B570" w14:textId="3AE61758" w:rsidR="000A0CE0" w:rsidRPr="007C39F0" w:rsidRDefault="00383C04" w:rsidP="00675EB5">
      <w:pPr>
        <w:spacing w:line="480" w:lineRule="auto"/>
        <w:rPr>
          <w:rFonts w:cs="Times New Roman"/>
          <w:sz w:val="24"/>
          <w:szCs w:val="24"/>
        </w:rPr>
      </w:pPr>
      <w:r w:rsidRPr="007C39F0">
        <w:rPr>
          <w:rFonts w:cs="Times New Roman"/>
          <w:sz w:val="24"/>
          <w:szCs w:val="24"/>
        </w:rPr>
        <w:t>W</w:t>
      </w:r>
      <w:r w:rsidR="00FF5A3C" w:rsidRPr="007C39F0">
        <w:rPr>
          <w:rFonts w:cs="Times New Roman"/>
          <w:sz w:val="24"/>
          <w:szCs w:val="24"/>
        </w:rPr>
        <w:t>e</w:t>
      </w:r>
      <w:r w:rsidR="008F13AB" w:rsidRPr="007C39F0">
        <w:rPr>
          <w:rFonts w:cs="Times New Roman"/>
          <w:sz w:val="24"/>
          <w:szCs w:val="24"/>
        </w:rPr>
        <w:t xml:space="preserve"> </w:t>
      </w:r>
      <w:r w:rsidR="00FF5A3C" w:rsidRPr="007C39F0">
        <w:rPr>
          <w:rFonts w:cs="Times New Roman"/>
          <w:sz w:val="24"/>
          <w:szCs w:val="24"/>
        </w:rPr>
        <w:t xml:space="preserve">utilise </w:t>
      </w:r>
      <w:r w:rsidR="005C4B75" w:rsidRPr="007C39F0">
        <w:rPr>
          <w:rFonts w:cs="Times New Roman"/>
          <w:sz w:val="24"/>
          <w:szCs w:val="24"/>
        </w:rPr>
        <w:t>advances in unconditional quantile decompositions</w:t>
      </w:r>
      <w:r w:rsidR="00172F56">
        <w:rPr>
          <w:rFonts w:cs="Times New Roman"/>
          <w:sz w:val="24"/>
          <w:szCs w:val="24"/>
        </w:rPr>
        <w:t xml:space="preserve"> </w:t>
      </w:r>
      <w:r w:rsidR="00172F56" w:rsidRPr="007C39F0">
        <w:rPr>
          <w:rFonts w:cs="Times New Roman"/>
          <w:sz w:val="24"/>
          <w:szCs w:val="24"/>
        </w:rPr>
        <w:t>to explore why the BMI distribution has widened in England over a ten-year period</w:t>
      </w:r>
      <w:r w:rsidR="00976980">
        <w:rPr>
          <w:rFonts w:cs="Times New Roman"/>
          <w:sz w:val="24"/>
          <w:szCs w:val="24"/>
        </w:rPr>
        <w:t>.</w:t>
      </w:r>
      <w:r w:rsidR="008F13AB" w:rsidRPr="007C39F0">
        <w:rPr>
          <w:rFonts w:cs="Times New Roman"/>
          <w:sz w:val="24"/>
          <w:szCs w:val="24"/>
        </w:rPr>
        <w:t xml:space="preserve"> We </w:t>
      </w:r>
      <w:r w:rsidR="00240A65" w:rsidRPr="007C39F0">
        <w:rPr>
          <w:rFonts w:cs="Times New Roman"/>
          <w:sz w:val="24"/>
          <w:szCs w:val="24"/>
        </w:rPr>
        <w:t xml:space="preserve">seek to determine the relative importance of: </w:t>
      </w:r>
      <w:r w:rsidR="008F13AB" w:rsidRPr="007C39F0">
        <w:rPr>
          <w:rFonts w:cs="Times New Roman"/>
          <w:sz w:val="24"/>
          <w:szCs w:val="24"/>
        </w:rPr>
        <w:t>(</w:t>
      </w:r>
      <w:proofErr w:type="spellStart"/>
      <w:r w:rsidR="008F13AB" w:rsidRPr="007C39F0">
        <w:rPr>
          <w:rFonts w:cs="Times New Roman"/>
          <w:sz w:val="24"/>
          <w:szCs w:val="24"/>
        </w:rPr>
        <w:t>i</w:t>
      </w:r>
      <w:proofErr w:type="spellEnd"/>
      <w:r w:rsidR="008F13AB" w:rsidRPr="007C39F0">
        <w:rPr>
          <w:rFonts w:cs="Times New Roman"/>
          <w:sz w:val="24"/>
          <w:szCs w:val="24"/>
        </w:rPr>
        <w:t xml:space="preserve">) </w:t>
      </w:r>
      <w:r w:rsidR="00240A65" w:rsidRPr="007C39F0">
        <w:rPr>
          <w:rFonts w:cs="Times New Roman"/>
          <w:sz w:val="24"/>
          <w:szCs w:val="24"/>
        </w:rPr>
        <w:t xml:space="preserve">changes in the </w:t>
      </w:r>
      <w:r w:rsidR="00E51836" w:rsidRPr="007C39F0">
        <w:rPr>
          <w:rFonts w:cs="Times New Roman"/>
          <w:sz w:val="24"/>
          <w:szCs w:val="24"/>
        </w:rPr>
        <w:t xml:space="preserve">association </w:t>
      </w:r>
      <w:r w:rsidR="00E635D7">
        <w:rPr>
          <w:rFonts w:cs="Times New Roman"/>
          <w:sz w:val="24"/>
          <w:szCs w:val="24"/>
        </w:rPr>
        <w:t>of socio-demographic factors to BMI</w:t>
      </w:r>
      <w:r w:rsidR="00E51836" w:rsidRPr="007C39F0">
        <w:rPr>
          <w:rFonts w:cs="Times New Roman"/>
          <w:sz w:val="24"/>
          <w:szCs w:val="24"/>
        </w:rPr>
        <w:t xml:space="preserve"> </w:t>
      </w:r>
      <w:r w:rsidR="008F13AB" w:rsidRPr="007C39F0">
        <w:rPr>
          <w:rFonts w:cs="Times New Roman"/>
          <w:sz w:val="24"/>
          <w:szCs w:val="24"/>
        </w:rPr>
        <w:t xml:space="preserve">(i.e. certain </w:t>
      </w:r>
      <w:r w:rsidR="00E635D7">
        <w:rPr>
          <w:rFonts w:cs="Times New Roman"/>
          <w:sz w:val="24"/>
          <w:szCs w:val="24"/>
        </w:rPr>
        <w:t>characteristics</w:t>
      </w:r>
      <w:r w:rsidR="008F13AB" w:rsidRPr="007C39F0">
        <w:rPr>
          <w:rFonts w:cs="Times New Roman"/>
          <w:sz w:val="24"/>
          <w:szCs w:val="24"/>
        </w:rPr>
        <w:t xml:space="preserve"> are having less </w:t>
      </w:r>
      <w:r w:rsidR="00240A65" w:rsidRPr="007C39F0">
        <w:rPr>
          <w:rFonts w:cs="Times New Roman"/>
          <w:sz w:val="24"/>
          <w:szCs w:val="24"/>
        </w:rPr>
        <w:t xml:space="preserve">or more </w:t>
      </w:r>
      <w:r w:rsidR="008F13AB" w:rsidRPr="007C39F0">
        <w:rPr>
          <w:rFonts w:cs="Times New Roman"/>
          <w:sz w:val="24"/>
          <w:szCs w:val="24"/>
        </w:rPr>
        <w:t xml:space="preserve">influence on BMI values at </w:t>
      </w:r>
      <w:r w:rsidR="00E451C7">
        <w:rPr>
          <w:rFonts w:cs="Times New Roman"/>
          <w:sz w:val="24"/>
          <w:szCs w:val="24"/>
        </w:rPr>
        <w:t>each point</w:t>
      </w:r>
      <w:r w:rsidR="008F13AB" w:rsidRPr="007C39F0">
        <w:rPr>
          <w:rFonts w:cs="Times New Roman"/>
          <w:sz w:val="24"/>
          <w:szCs w:val="24"/>
        </w:rPr>
        <w:t xml:space="preserve"> of the </w:t>
      </w:r>
      <w:r w:rsidR="00E451C7">
        <w:rPr>
          <w:rFonts w:cs="Times New Roman"/>
          <w:sz w:val="24"/>
          <w:szCs w:val="24"/>
        </w:rPr>
        <w:t xml:space="preserve">BMI </w:t>
      </w:r>
      <w:r w:rsidR="008F13AB" w:rsidRPr="007C39F0">
        <w:rPr>
          <w:rFonts w:cs="Times New Roman"/>
          <w:sz w:val="24"/>
          <w:szCs w:val="24"/>
        </w:rPr>
        <w:t xml:space="preserve">distribution), and (ii) </w:t>
      </w:r>
      <w:r w:rsidR="00240A65" w:rsidRPr="007C39F0">
        <w:rPr>
          <w:rFonts w:cs="Times New Roman"/>
          <w:sz w:val="24"/>
          <w:szCs w:val="24"/>
        </w:rPr>
        <w:t xml:space="preserve">changes in population </w:t>
      </w:r>
      <w:r w:rsidR="008F13AB" w:rsidRPr="007C39F0">
        <w:rPr>
          <w:rFonts w:cs="Times New Roman"/>
          <w:sz w:val="24"/>
          <w:szCs w:val="24"/>
        </w:rPr>
        <w:t>composition (i.e. changes in the characteristics of individuals</w:t>
      </w:r>
      <w:r w:rsidR="002359E3">
        <w:rPr>
          <w:rFonts w:cs="Times New Roman"/>
          <w:sz w:val="24"/>
          <w:szCs w:val="24"/>
        </w:rPr>
        <w:t xml:space="preserve"> </w:t>
      </w:r>
      <w:r w:rsidR="00E451C7">
        <w:rPr>
          <w:rFonts w:cs="Times New Roman"/>
          <w:sz w:val="24"/>
          <w:szCs w:val="24"/>
        </w:rPr>
        <w:t>located across the distribution</w:t>
      </w:r>
      <w:r w:rsidR="008F13AB" w:rsidRPr="007C39F0">
        <w:rPr>
          <w:rFonts w:cs="Times New Roman"/>
          <w:sz w:val="24"/>
          <w:szCs w:val="24"/>
        </w:rPr>
        <w:t>)</w:t>
      </w:r>
      <w:r w:rsidR="00E51836" w:rsidRPr="007C39F0">
        <w:rPr>
          <w:rFonts w:cs="Times New Roman"/>
          <w:sz w:val="24"/>
          <w:szCs w:val="24"/>
        </w:rPr>
        <w:t>.</w:t>
      </w:r>
      <w:r w:rsidR="007B0C55" w:rsidRPr="007C39F0">
        <w:rPr>
          <w:rFonts w:cs="Times New Roman"/>
          <w:sz w:val="24"/>
          <w:szCs w:val="24"/>
        </w:rPr>
        <w:t xml:space="preserve"> </w:t>
      </w:r>
    </w:p>
    <w:p w14:paraId="5AF8559F" w14:textId="77777777" w:rsidR="00C370BA" w:rsidRPr="007C39F0" w:rsidRDefault="00C370BA" w:rsidP="00675EB5">
      <w:pPr>
        <w:spacing w:line="480" w:lineRule="auto"/>
        <w:rPr>
          <w:rFonts w:cs="Times New Roman"/>
          <w:b/>
          <w:sz w:val="24"/>
          <w:szCs w:val="24"/>
        </w:rPr>
      </w:pPr>
    </w:p>
    <w:p w14:paraId="55991444" w14:textId="1FE28E8C" w:rsidR="00454F47" w:rsidRPr="007C39F0" w:rsidRDefault="00652786" w:rsidP="00675EB5">
      <w:pPr>
        <w:spacing w:line="480" w:lineRule="auto"/>
        <w:rPr>
          <w:rFonts w:cs="Times New Roman"/>
          <w:b/>
          <w:sz w:val="24"/>
          <w:szCs w:val="24"/>
        </w:rPr>
      </w:pPr>
      <w:r w:rsidRPr="007C39F0">
        <w:rPr>
          <w:rFonts w:cs="Times New Roman"/>
          <w:b/>
          <w:sz w:val="24"/>
          <w:szCs w:val="24"/>
        </w:rPr>
        <w:t>Materials and Methods</w:t>
      </w:r>
    </w:p>
    <w:p w14:paraId="6CAB6ADD" w14:textId="77777777" w:rsidR="00454F47" w:rsidRPr="007C39F0" w:rsidRDefault="00454F47" w:rsidP="00675EB5">
      <w:pPr>
        <w:spacing w:line="480" w:lineRule="auto"/>
        <w:rPr>
          <w:rFonts w:cs="Times New Roman"/>
          <w:i/>
          <w:sz w:val="24"/>
          <w:szCs w:val="24"/>
        </w:rPr>
      </w:pPr>
      <w:r w:rsidRPr="007C39F0">
        <w:rPr>
          <w:rFonts w:cs="Times New Roman"/>
          <w:i/>
          <w:sz w:val="24"/>
          <w:szCs w:val="24"/>
        </w:rPr>
        <w:t>Data</w:t>
      </w:r>
    </w:p>
    <w:p w14:paraId="0DC6446D" w14:textId="5B86004B" w:rsidR="00411088" w:rsidRDefault="008A5C0B" w:rsidP="00675EB5">
      <w:pPr>
        <w:spacing w:line="480" w:lineRule="auto"/>
        <w:rPr>
          <w:rFonts w:cs="Times New Roman"/>
          <w:sz w:val="24"/>
          <w:szCs w:val="24"/>
        </w:rPr>
      </w:pPr>
      <w:r w:rsidRPr="007C39F0">
        <w:rPr>
          <w:rFonts w:cs="Times New Roman"/>
          <w:sz w:val="24"/>
          <w:szCs w:val="24"/>
        </w:rPr>
        <w:t>We used data from the Health Survey for England (HSE)</w:t>
      </w:r>
      <w:r w:rsidR="00976980">
        <w:rPr>
          <w:rFonts w:cs="Times New Roman"/>
          <w:sz w:val="24"/>
          <w:szCs w:val="24"/>
        </w:rPr>
        <w:t xml:space="preserve"> </w:t>
      </w:r>
      <w:r w:rsidR="00EA6E49" w:rsidRPr="007C39F0">
        <w:rPr>
          <w:rFonts w:cs="Times New Roman"/>
          <w:sz w:val="24"/>
          <w:szCs w:val="24"/>
        </w:rPr>
        <w:fldChar w:fldCharType="begin" w:fldLock="1"/>
      </w:r>
      <w:r w:rsidR="006821DC">
        <w:rPr>
          <w:rFonts w:cs="Times New Roman"/>
          <w:sz w:val="24"/>
          <w:szCs w:val="24"/>
        </w:rPr>
        <w:instrText>ADDIN CSL_CITATION {"citationItems":[{"id":"ITEM-1","itemData":{"DOI":"10.1093/ije/dyr199","author":[{"dropping-particle":"","family":"Mindell","given":"Jennifer","non-dropping-particle":"","parse-names":false,"suffix":""},{"dropping-particle":"","family":"Biddulph","given":"Jane P","non-dropping-particle":"","parse-names":false,"suffix":""},{"dropping-particle":"","family":"Hirani","given":"Vasant","non-dropping-particle":"","parse-names":false,"suffix":""},{"dropping-particle":"","family":"Stamatakis","given":"Emanuel","non-dropping-particle":"","parse-names":false,"suffix":""},{"dropping-particle":"","family":"Craig","given":"Rachel","non-dropping-particle":"","parse-names":false,"suffix":""},{"dropping-particle":"","family":"Nunn","given":"Susan","non-dropping-particle":"","parse-names":false,"suffix":""},{"dropping-particle":"","family":"Shelton","given":"Nicola","non-dropping-particle":"","parse-names":false,"suffix":""}],"container-title":"International Journal of Epidemiology","id":"ITEM-1","issued":{"date-parts":[["2012"]]},"page":"1585-1593","title":"Cohort Profile: The Health Survey for England","type":"article-journal","volume":"41"},"uris":["http://www.mendeley.com/documents/?uuid=ed8dd0a3-fa14-4eaa-811d-579d1d815030","http://www.mendeley.com/documents/?uuid=44e29cb1-0019-40d9-87f8-c601306875d7"]}],"mendeley":{"formattedCitation":"(Mindell et al., 2012)","plainTextFormattedCitation":"(Mindell et al., 2012)","previouslyFormattedCitation":"(Mindell et al., 2012)"},"properties":{"noteIndex":0},"schema":"https://github.com/citation-style-language/schema/raw/master/csl-citation.json"}</w:instrText>
      </w:r>
      <w:r w:rsidR="00EA6E49" w:rsidRPr="007C39F0">
        <w:rPr>
          <w:rFonts w:cs="Times New Roman"/>
          <w:sz w:val="24"/>
          <w:szCs w:val="24"/>
        </w:rPr>
        <w:fldChar w:fldCharType="separate"/>
      </w:r>
      <w:r w:rsidR="0097206D" w:rsidRPr="0097206D">
        <w:rPr>
          <w:rFonts w:cs="Times New Roman"/>
          <w:noProof/>
          <w:sz w:val="24"/>
          <w:szCs w:val="24"/>
        </w:rPr>
        <w:t>(Mindell et al., 2012)</w:t>
      </w:r>
      <w:r w:rsidR="00EA6E49" w:rsidRPr="007C39F0">
        <w:rPr>
          <w:rFonts w:cs="Times New Roman"/>
          <w:sz w:val="24"/>
          <w:szCs w:val="24"/>
        </w:rPr>
        <w:fldChar w:fldCharType="end"/>
      </w:r>
      <w:r w:rsidR="00976980">
        <w:rPr>
          <w:rFonts w:cs="Times New Roman"/>
          <w:sz w:val="24"/>
          <w:szCs w:val="24"/>
        </w:rPr>
        <w:t>.</w:t>
      </w:r>
      <w:r w:rsidRPr="007C39F0">
        <w:rPr>
          <w:rFonts w:cs="Times New Roman"/>
          <w:sz w:val="24"/>
          <w:szCs w:val="24"/>
        </w:rPr>
        <w:t xml:space="preserve"> The HSE is a representative annual cross-sectional survey which collects information on health behaviours</w:t>
      </w:r>
      <w:r w:rsidR="002359E3">
        <w:rPr>
          <w:rFonts w:cs="Times New Roman"/>
          <w:sz w:val="24"/>
          <w:szCs w:val="24"/>
        </w:rPr>
        <w:t xml:space="preserve"> and is used by the Department of Health for policy decision making</w:t>
      </w:r>
      <w:r w:rsidRPr="007C39F0">
        <w:rPr>
          <w:rFonts w:cs="Times New Roman"/>
          <w:sz w:val="24"/>
          <w:szCs w:val="24"/>
        </w:rPr>
        <w:t xml:space="preserve">. </w:t>
      </w:r>
      <w:r w:rsidR="00411088">
        <w:rPr>
          <w:rFonts w:cs="Times New Roman"/>
          <w:sz w:val="24"/>
          <w:szCs w:val="24"/>
        </w:rPr>
        <w:t xml:space="preserve">There were no alternative datasets available that contained sufficient sample sizes, was representative </w:t>
      </w:r>
      <w:r w:rsidR="00411088">
        <w:rPr>
          <w:rFonts w:cs="Times New Roman"/>
          <w:sz w:val="24"/>
          <w:szCs w:val="24"/>
        </w:rPr>
        <w:lastRenderedPageBreak/>
        <w:t>of England, contained all relevant variables and covered the time period of our study</w:t>
      </w:r>
      <w:r w:rsidR="00B41B68">
        <w:rPr>
          <w:rFonts w:cs="Times New Roman"/>
          <w:sz w:val="24"/>
          <w:szCs w:val="24"/>
        </w:rPr>
        <w:t xml:space="preserve"> (2002-2004 to 2002-2014)</w:t>
      </w:r>
      <w:r w:rsidR="00411088">
        <w:rPr>
          <w:rFonts w:cs="Times New Roman"/>
          <w:sz w:val="24"/>
          <w:szCs w:val="24"/>
        </w:rPr>
        <w:t>.</w:t>
      </w:r>
    </w:p>
    <w:p w14:paraId="072F8B49" w14:textId="166F3853" w:rsidR="00454F47" w:rsidRPr="007C39F0" w:rsidRDefault="008A5C0B" w:rsidP="00675EB5">
      <w:pPr>
        <w:spacing w:line="480" w:lineRule="auto"/>
        <w:rPr>
          <w:rFonts w:cs="Times New Roman"/>
          <w:sz w:val="24"/>
          <w:szCs w:val="24"/>
        </w:rPr>
      </w:pPr>
      <w:r w:rsidRPr="007C39F0">
        <w:rPr>
          <w:rFonts w:cs="Times New Roman"/>
          <w:sz w:val="24"/>
          <w:szCs w:val="24"/>
        </w:rPr>
        <w:t>We select</w:t>
      </w:r>
      <w:r w:rsidR="00B94DD9" w:rsidRPr="007C39F0">
        <w:rPr>
          <w:rFonts w:cs="Times New Roman"/>
          <w:sz w:val="24"/>
          <w:szCs w:val="24"/>
        </w:rPr>
        <w:t>ed</w:t>
      </w:r>
      <w:r w:rsidRPr="007C39F0">
        <w:rPr>
          <w:rFonts w:cs="Times New Roman"/>
          <w:sz w:val="24"/>
          <w:szCs w:val="24"/>
        </w:rPr>
        <w:t xml:space="preserve"> two </w:t>
      </w:r>
      <w:r w:rsidR="003C5540" w:rsidRPr="007C39F0">
        <w:rPr>
          <w:rFonts w:cs="Times New Roman"/>
          <w:sz w:val="24"/>
          <w:szCs w:val="24"/>
        </w:rPr>
        <w:t>time periods</w:t>
      </w:r>
      <w:r w:rsidRPr="007C39F0">
        <w:rPr>
          <w:rFonts w:cs="Times New Roman"/>
          <w:sz w:val="24"/>
          <w:szCs w:val="24"/>
        </w:rPr>
        <w:t xml:space="preserve"> of the survey which (a) maximised the time period</w:t>
      </w:r>
      <w:r w:rsidR="00B94DD9" w:rsidRPr="007C39F0">
        <w:rPr>
          <w:rFonts w:cs="Times New Roman"/>
          <w:sz w:val="24"/>
          <w:szCs w:val="24"/>
        </w:rPr>
        <w:t xml:space="preserve"> of analysis</w:t>
      </w:r>
      <w:r w:rsidRPr="007C39F0">
        <w:rPr>
          <w:rFonts w:cs="Times New Roman"/>
          <w:sz w:val="24"/>
          <w:szCs w:val="24"/>
        </w:rPr>
        <w:t xml:space="preserve">, (b) had similar variables to aid comparisons, and (c) had similar </w:t>
      </w:r>
      <w:r w:rsidR="004B1C4B" w:rsidRPr="007C39F0">
        <w:rPr>
          <w:rFonts w:cs="Times New Roman"/>
          <w:sz w:val="24"/>
          <w:szCs w:val="24"/>
        </w:rPr>
        <w:t>median BMI values but were different</w:t>
      </w:r>
      <w:r w:rsidRPr="007C39F0">
        <w:rPr>
          <w:rFonts w:cs="Times New Roman"/>
          <w:sz w:val="24"/>
          <w:szCs w:val="24"/>
        </w:rPr>
        <w:t xml:space="preserve"> at the </w:t>
      </w:r>
      <w:r w:rsidR="00C435D6" w:rsidRPr="007C39F0">
        <w:rPr>
          <w:rFonts w:cs="Times New Roman"/>
          <w:sz w:val="24"/>
          <w:szCs w:val="24"/>
        </w:rPr>
        <w:t xml:space="preserve">right </w:t>
      </w:r>
      <w:r w:rsidR="000969D0" w:rsidRPr="007C39F0">
        <w:rPr>
          <w:rFonts w:cs="Times New Roman"/>
          <w:sz w:val="24"/>
          <w:szCs w:val="24"/>
        </w:rPr>
        <w:t>tail</w:t>
      </w:r>
      <w:r w:rsidRPr="007C39F0">
        <w:rPr>
          <w:rFonts w:cs="Times New Roman"/>
          <w:sz w:val="24"/>
          <w:szCs w:val="24"/>
        </w:rPr>
        <w:t xml:space="preserve"> of the distribution</w:t>
      </w:r>
      <w:r w:rsidR="00FE1282" w:rsidRPr="007C39F0">
        <w:rPr>
          <w:rFonts w:cs="Times New Roman"/>
          <w:sz w:val="24"/>
          <w:szCs w:val="24"/>
        </w:rPr>
        <w:t xml:space="preserve"> (i.e. demonstrate</w:t>
      </w:r>
      <w:r w:rsidR="003E2945" w:rsidRPr="007C39F0">
        <w:rPr>
          <w:rFonts w:cs="Times New Roman"/>
          <w:sz w:val="24"/>
          <w:szCs w:val="24"/>
        </w:rPr>
        <w:t>d</w:t>
      </w:r>
      <w:r w:rsidR="00FE1282" w:rsidRPr="007C39F0">
        <w:rPr>
          <w:rFonts w:cs="Times New Roman"/>
          <w:sz w:val="24"/>
          <w:szCs w:val="24"/>
        </w:rPr>
        <w:t xml:space="preserve"> a widening distribution)</w:t>
      </w:r>
      <w:r w:rsidRPr="007C39F0">
        <w:rPr>
          <w:rFonts w:cs="Times New Roman"/>
          <w:sz w:val="24"/>
          <w:szCs w:val="24"/>
        </w:rPr>
        <w:t xml:space="preserve">. </w:t>
      </w:r>
      <w:r w:rsidR="003C5540" w:rsidRPr="007C39F0">
        <w:rPr>
          <w:rFonts w:cs="Times New Roman"/>
          <w:sz w:val="24"/>
          <w:szCs w:val="24"/>
        </w:rPr>
        <w:t>We pooled individual survey years to increase our sample size</w:t>
      </w:r>
      <w:r w:rsidR="00662D83" w:rsidRPr="007C39F0">
        <w:rPr>
          <w:rFonts w:cs="Times New Roman"/>
          <w:sz w:val="24"/>
          <w:szCs w:val="24"/>
        </w:rPr>
        <w:t xml:space="preserve"> and reliability of our quantile regression analyses</w:t>
      </w:r>
      <w:r w:rsidR="003C5540" w:rsidRPr="007C39F0">
        <w:rPr>
          <w:rFonts w:cs="Times New Roman"/>
          <w:sz w:val="24"/>
          <w:szCs w:val="24"/>
        </w:rPr>
        <w:t xml:space="preserve">. </w:t>
      </w:r>
      <w:r w:rsidR="00662D83" w:rsidRPr="007C39F0">
        <w:rPr>
          <w:rFonts w:cs="Times New Roman"/>
          <w:sz w:val="24"/>
          <w:szCs w:val="24"/>
        </w:rPr>
        <w:t xml:space="preserve">This was important for minimising the common support problem whereby estimating relationships at specific quantiles can be unreliable where counts for each combination of our </w:t>
      </w:r>
      <w:r w:rsidR="00E451C7">
        <w:rPr>
          <w:rFonts w:cs="Times New Roman"/>
          <w:sz w:val="24"/>
          <w:szCs w:val="24"/>
        </w:rPr>
        <w:t>explanatory variables</w:t>
      </w:r>
      <w:r w:rsidR="00662D83" w:rsidRPr="007C39F0">
        <w:rPr>
          <w:rFonts w:cs="Times New Roman"/>
          <w:sz w:val="24"/>
          <w:szCs w:val="24"/>
        </w:rPr>
        <w:t xml:space="preserve"> may be small</w:t>
      </w:r>
      <w:r w:rsidR="00976980">
        <w:rPr>
          <w:rFonts w:cs="Times New Roman"/>
          <w:sz w:val="24"/>
          <w:szCs w:val="24"/>
        </w:rPr>
        <w:t xml:space="preserve"> (i.e. cross-group differences) </w:t>
      </w:r>
      <w:r w:rsidR="00662D83" w:rsidRPr="007C39F0">
        <w:rPr>
          <w:rFonts w:cs="Times New Roman"/>
          <w:sz w:val="24"/>
          <w:szCs w:val="24"/>
        </w:rPr>
        <w:fldChar w:fldCharType="begin" w:fldLock="1"/>
      </w:r>
      <w:r w:rsidR="006821DC">
        <w:rPr>
          <w:rFonts w:cs="Times New Roman"/>
          <w:sz w:val="24"/>
          <w:szCs w:val="24"/>
        </w:rPr>
        <w:instrText>ADDIN CSL_CITATION {"citationItems":[{"id":"ITEM-1","itemData":{"DOI":"10.1093/aje/kwv079","author":[{"dropping-particle":"","family":"Basu","given":"Sanjay","non-dropping-particle":"","parse-names":false,"suffix":""},{"dropping-particle":"","family":"Hong","given":"Anthony","non-dropping-particle":"","parse-names":false,"suffix":""},{"dropping-particle":"","family":"Siddiqi","given":"Arjumand","non-dropping-particle":"","parse-names":false,"suffix":""}],"container-title":"American Journal of Epidemiology","id":"ITEM-1","issue":"8","issued":{"date-parts":[["2015"]]},"page":"345-353","title":"Using Decomposition Analysis to Identify Modifiable Racial Disparities in the Distribution of Blood Pressure in the United States","type":"article-journal","volume":"182"},"uris":["http://www.mendeley.com/documents/?uuid=896bb52d-64bf-4a4c-833b-e8d16bea8064","http://www.mendeley.com/documents/?uuid=d2b042d9-7b31-4e07-86ab-e531655ca864"]}],"mendeley":{"formattedCitation":"(Basu et al., 2015)","plainTextFormattedCitation":"(Basu et al., 2015)","previouslyFormattedCitation":"(Basu et al., 2015)"},"properties":{"noteIndex":0},"schema":"https://github.com/citation-style-language/schema/raw/master/csl-citation.json"}</w:instrText>
      </w:r>
      <w:r w:rsidR="00662D83" w:rsidRPr="007C39F0">
        <w:rPr>
          <w:rFonts w:cs="Times New Roman"/>
          <w:sz w:val="24"/>
          <w:szCs w:val="24"/>
        </w:rPr>
        <w:fldChar w:fldCharType="separate"/>
      </w:r>
      <w:r w:rsidR="0097206D" w:rsidRPr="0097206D">
        <w:rPr>
          <w:rFonts w:cs="Times New Roman"/>
          <w:noProof/>
          <w:sz w:val="24"/>
          <w:szCs w:val="24"/>
        </w:rPr>
        <w:t>(Basu et al., 2015)</w:t>
      </w:r>
      <w:r w:rsidR="00662D83" w:rsidRPr="007C39F0">
        <w:rPr>
          <w:rFonts w:cs="Times New Roman"/>
          <w:sz w:val="24"/>
          <w:szCs w:val="24"/>
        </w:rPr>
        <w:fldChar w:fldCharType="end"/>
      </w:r>
      <w:r w:rsidR="00976980">
        <w:rPr>
          <w:rFonts w:cs="Times New Roman"/>
          <w:sz w:val="24"/>
          <w:szCs w:val="24"/>
        </w:rPr>
        <w:t>.</w:t>
      </w:r>
      <w:r w:rsidR="00662D83" w:rsidRPr="007C39F0">
        <w:rPr>
          <w:rFonts w:cs="Times New Roman"/>
          <w:sz w:val="24"/>
          <w:szCs w:val="24"/>
        </w:rPr>
        <w:t xml:space="preserve"> </w:t>
      </w:r>
      <w:r w:rsidR="003C5540" w:rsidRPr="007C39F0">
        <w:rPr>
          <w:rFonts w:cs="Times New Roman"/>
          <w:sz w:val="24"/>
          <w:szCs w:val="24"/>
        </w:rPr>
        <w:t>W</w:t>
      </w:r>
      <w:r w:rsidRPr="007C39F0">
        <w:rPr>
          <w:rFonts w:cs="Times New Roman"/>
          <w:sz w:val="24"/>
          <w:szCs w:val="24"/>
        </w:rPr>
        <w:t xml:space="preserve">e </w:t>
      </w:r>
      <w:r w:rsidR="001C74DC" w:rsidRPr="007C39F0">
        <w:rPr>
          <w:rFonts w:cs="Times New Roman"/>
          <w:sz w:val="24"/>
          <w:szCs w:val="24"/>
        </w:rPr>
        <w:t xml:space="preserve">used HSE data from </w:t>
      </w:r>
      <w:r w:rsidR="003C5540" w:rsidRPr="007C39F0">
        <w:rPr>
          <w:rFonts w:cs="Times New Roman"/>
          <w:sz w:val="24"/>
          <w:szCs w:val="24"/>
        </w:rPr>
        <w:t>2002-</w:t>
      </w:r>
      <w:r w:rsidRPr="007C39F0">
        <w:rPr>
          <w:rFonts w:cs="Times New Roman"/>
          <w:sz w:val="24"/>
          <w:szCs w:val="24"/>
        </w:rPr>
        <w:t>2004</w:t>
      </w:r>
      <w:r w:rsidR="00A37136" w:rsidRPr="007C39F0">
        <w:rPr>
          <w:rFonts w:cs="Times New Roman"/>
          <w:sz w:val="24"/>
          <w:szCs w:val="24"/>
        </w:rPr>
        <w:t xml:space="preserve"> </w:t>
      </w:r>
      <w:r w:rsidR="0023783B">
        <w:rPr>
          <w:rFonts w:cs="Times New Roman"/>
          <w:sz w:val="24"/>
          <w:szCs w:val="24"/>
        </w:rPr>
        <w:t>to</w:t>
      </w:r>
      <w:r w:rsidR="0023783B" w:rsidRPr="007C39F0">
        <w:rPr>
          <w:rFonts w:cs="Times New Roman"/>
          <w:sz w:val="24"/>
          <w:szCs w:val="24"/>
        </w:rPr>
        <w:t xml:space="preserve"> </w:t>
      </w:r>
      <w:r w:rsidR="003C5540" w:rsidRPr="007C39F0">
        <w:rPr>
          <w:rFonts w:cs="Times New Roman"/>
          <w:sz w:val="24"/>
          <w:szCs w:val="24"/>
        </w:rPr>
        <w:t>2002-2014</w:t>
      </w:r>
      <w:r w:rsidRPr="007C39F0">
        <w:rPr>
          <w:rFonts w:cs="Times New Roman"/>
          <w:sz w:val="24"/>
          <w:szCs w:val="24"/>
        </w:rPr>
        <w:t xml:space="preserve">. </w:t>
      </w:r>
      <w:r w:rsidR="00D60B6B" w:rsidRPr="007C39F0">
        <w:rPr>
          <w:rFonts w:cs="Times New Roman"/>
          <w:sz w:val="24"/>
          <w:szCs w:val="24"/>
        </w:rPr>
        <w:t>We included only adults who were aged at least 20 years old.</w:t>
      </w:r>
      <w:r w:rsidR="009879A6">
        <w:rPr>
          <w:rFonts w:cs="Times New Roman"/>
          <w:sz w:val="24"/>
          <w:szCs w:val="24"/>
        </w:rPr>
        <w:t xml:space="preserve"> Analytical sample size was </w:t>
      </w:r>
      <w:r w:rsidR="009879A6" w:rsidRPr="009879A6">
        <w:rPr>
          <w:rFonts w:cs="Times New Roman"/>
          <w:sz w:val="24"/>
          <w:szCs w:val="24"/>
        </w:rPr>
        <w:t>29,018 for 2002</w:t>
      </w:r>
      <w:r w:rsidR="009879A6">
        <w:rPr>
          <w:rFonts w:cs="Times New Roman"/>
          <w:sz w:val="24"/>
          <w:szCs w:val="24"/>
        </w:rPr>
        <w:t>-200</w:t>
      </w:r>
      <w:r w:rsidR="009879A6" w:rsidRPr="009879A6">
        <w:rPr>
          <w:rFonts w:cs="Times New Roman"/>
          <w:sz w:val="24"/>
          <w:szCs w:val="24"/>
        </w:rPr>
        <w:t>4 and 23,992 for 2012</w:t>
      </w:r>
      <w:r w:rsidR="009879A6">
        <w:rPr>
          <w:rFonts w:cs="Times New Roman"/>
          <w:sz w:val="24"/>
          <w:szCs w:val="24"/>
        </w:rPr>
        <w:t>-201</w:t>
      </w:r>
      <w:r w:rsidR="009879A6" w:rsidRPr="009879A6">
        <w:rPr>
          <w:rFonts w:cs="Times New Roman"/>
          <w:sz w:val="24"/>
          <w:szCs w:val="24"/>
        </w:rPr>
        <w:t>4</w:t>
      </w:r>
      <w:r w:rsidR="009879A6">
        <w:rPr>
          <w:rFonts w:cs="Times New Roman"/>
          <w:sz w:val="24"/>
          <w:szCs w:val="24"/>
        </w:rPr>
        <w:t>.</w:t>
      </w:r>
    </w:p>
    <w:p w14:paraId="45FF31AE" w14:textId="7347B7E3" w:rsidR="00787180" w:rsidRDefault="004B1C4B" w:rsidP="00675EB5">
      <w:pPr>
        <w:spacing w:line="480" w:lineRule="auto"/>
        <w:rPr>
          <w:rFonts w:cs="Times New Roman"/>
          <w:sz w:val="24"/>
          <w:szCs w:val="24"/>
        </w:rPr>
      </w:pPr>
      <w:r w:rsidRPr="007C39F0">
        <w:rPr>
          <w:rFonts w:cs="Times New Roman"/>
          <w:sz w:val="24"/>
          <w:szCs w:val="24"/>
        </w:rPr>
        <w:t>BMI was calculated by dividing weight (kg) by height squared (m</w:t>
      </w:r>
      <w:r w:rsidRPr="007C39F0">
        <w:rPr>
          <w:rFonts w:cs="Times New Roman"/>
          <w:sz w:val="24"/>
          <w:szCs w:val="24"/>
          <w:vertAlign w:val="superscript"/>
        </w:rPr>
        <w:t>2</w:t>
      </w:r>
      <w:r w:rsidRPr="007C39F0">
        <w:rPr>
          <w:rFonts w:cs="Times New Roman"/>
          <w:sz w:val="24"/>
          <w:szCs w:val="24"/>
        </w:rPr>
        <w:t>)</w:t>
      </w:r>
      <w:r w:rsidR="00787180" w:rsidRPr="007C39F0">
        <w:rPr>
          <w:rFonts w:cs="Times New Roman"/>
          <w:sz w:val="24"/>
          <w:szCs w:val="24"/>
        </w:rPr>
        <w:t>.</w:t>
      </w:r>
      <w:r w:rsidRPr="007C39F0">
        <w:rPr>
          <w:rFonts w:cs="Times New Roman"/>
          <w:sz w:val="24"/>
          <w:szCs w:val="24"/>
        </w:rPr>
        <w:t xml:space="preserve"> Anthropometric data were objectively collected by a nurse during data collection. </w:t>
      </w:r>
      <w:r w:rsidR="00842848" w:rsidRPr="007C39F0">
        <w:rPr>
          <w:rFonts w:cs="Times New Roman"/>
          <w:sz w:val="24"/>
          <w:szCs w:val="24"/>
        </w:rPr>
        <w:t>While BMI is a limited measure</w:t>
      </w:r>
      <w:r w:rsidR="00976980">
        <w:rPr>
          <w:rFonts w:cs="Times New Roman"/>
          <w:sz w:val="24"/>
          <w:szCs w:val="24"/>
        </w:rPr>
        <w:t xml:space="preserve"> </w:t>
      </w:r>
      <w:r w:rsidR="00341CF0" w:rsidRPr="007C39F0">
        <w:rPr>
          <w:rFonts w:cs="Times New Roman"/>
          <w:sz w:val="24"/>
          <w:szCs w:val="24"/>
        </w:rPr>
        <w:fldChar w:fldCharType="begin" w:fldLock="1"/>
      </w:r>
      <w:r w:rsidR="006821DC">
        <w:rPr>
          <w:rFonts w:cs="Times New Roman"/>
          <w:sz w:val="24"/>
          <w:szCs w:val="24"/>
        </w:rPr>
        <w:instrText>ADDIN CSL_CITATION {"citationItems":[{"id":"ITEM-1","itemData":{"DOI":"10.1038/ijo.2008.87","author":[{"dropping-particle":"","family":"Rothman","given":"K J","non-dropping-particle":"","parse-names":false,"suffix":""}],"container-title":"International Journal of Health Geographics","id":"ITEM-1","issued":{"date-parts":[["2008"]]},"page":"S56-S59","title":"BMI-related errors in the measurement of obesity","type":"article-journal","volume":"32"},"uris":["http://www.mendeley.com/documents/?uuid=5bcf8fc0-6dae-400d-a0e3-fb44bbe91c25","http://www.mendeley.com/documents/?uuid=e20b6607-d7f1-4c5e-800c-81468bff8340"]}],"mendeley":{"formattedCitation":"(Rothman, 2008)","plainTextFormattedCitation":"(Rothman, 2008)","previouslyFormattedCitation":"(Rothman, 2008)"},"properties":{"noteIndex":0},"schema":"https://github.com/citation-style-language/schema/raw/master/csl-citation.json"}</w:instrText>
      </w:r>
      <w:r w:rsidR="00341CF0" w:rsidRPr="007C39F0">
        <w:rPr>
          <w:rFonts w:cs="Times New Roman"/>
          <w:sz w:val="24"/>
          <w:szCs w:val="24"/>
        </w:rPr>
        <w:fldChar w:fldCharType="separate"/>
      </w:r>
      <w:r w:rsidR="0097206D" w:rsidRPr="0097206D">
        <w:rPr>
          <w:rFonts w:cs="Times New Roman"/>
          <w:noProof/>
          <w:sz w:val="24"/>
          <w:szCs w:val="24"/>
        </w:rPr>
        <w:t>(Rothman, 2008)</w:t>
      </w:r>
      <w:r w:rsidR="00341CF0" w:rsidRPr="007C39F0">
        <w:rPr>
          <w:rFonts w:cs="Times New Roman"/>
          <w:sz w:val="24"/>
          <w:szCs w:val="24"/>
        </w:rPr>
        <w:fldChar w:fldCharType="end"/>
      </w:r>
      <w:r w:rsidR="00976980">
        <w:rPr>
          <w:rFonts w:cs="Times New Roman"/>
          <w:sz w:val="24"/>
          <w:szCs w:val="24"/>
        </w:rPr>
        <w:t>,</w:t>
      </w:r>
      <w:r w:rsidR="00842848" w:rsidRPr="007C39F0">
        <w:rPr>
          <w:rFonts w:cs="Times New Roman"/>
          <w:sz w:val="24"/>
          <w:szCs w:val="24"/>
        </w:rPr>
        <w:t xml:space="preserve"> it </w:t>
      </w:r>
      <w:r w:rsidR="00FC748C" w:rsidRPr="007C39F0">
        <w:rPr>
          <w:rFonts w:cs="Times New Roman"/>
          <w:sz w:val="24"/>
          <w:szCs w:val="24"/>
        </w:rPr>
        <w:t>provides a useful measure of relative weight and other formal measures of body fat were not available</w:t>
      </w:r>
      <w:r w:rsidR="00842848" w:rsidRPr="007C39F0">
        <w:rPr>
          <w:rFonts w:cs="Times New Roman"/>
          <w:sz w:val="24"/>
          <w:szCs w:val="24"/>
        </w:rPr>
        <w:t xml:space="preserve">. </w:t>
      </w:r>
    </w:p>
    <w:p w14:paraId="21666B37" w14:textId="0AA7EB74" w:rsidR="007C45E4" w:rsidRPr="007C39F0" w:rsidRDefault="00590FA0" w:rsidP="00675EB5">
      <w:pPr>
        <w:spacing w:line="480" w:lineRule="auto"/>
        <w:rPr>
          <w:rFonts w:cs="Times New Roman"/>
          <w:sz w:val="24"/>
          <w:szCs w:val="24"/>
        </w:rPr>
      </w:pPr>
      <w:r>
        <w:rPr>
          <w:rFonts w:cs="Times New Roman"/>
          <w:sz w:val="24"/>
          <w:szCs w:val="24"/>
        </w:rPr>
        <w:t>E</w:t>
      </w:r>
      <w:r w:rsidR="007C45E4">
        <w:rPr>
          <w:rFonts w:cs="Times New Roman"/>
          <w:sz w:val="24"/>
          <w:szCs w:val="24"/>
        </w:rPr>
        <w:t xml:space="preserve">xplanatory variables </w:t>
      </w:r>
      <w:r>
        <w:rPr>
          <w:rFonts w:cs="Times New Roman"/>
          <w:sz w:val="24"/>
          <w:szCs w:val="24"/>
        </w:rPr>
        <w:t xml:space="preserve">were selected based on </w:t>
      </w:r>
      <w:r w:rsidR="00401061">
        <w:rPr>
          <w:rFonts w:cs="Times New Roman"/>
          <w:sz w:val="24"/>
          <w:szCs w:val="24"/>
        </w:rPr>
        <w:t xml:space="preserve">a </w:t>
      </w:r>
      <w:r>
        <w:rPr>
          <w:rFonts w:cs="Times New Roman"/>
          <w:sz w:val="24"/>
          <w:szCs w:val="24"/>
        </w:rPr>
        <w:t xml:space="preserve">simple theoretical framework to capture </w:t>
      </w:r>
      <w:r w:rsidR="00401061">
        <w:rPr>
          <w:rFonts w:cs="Times New Roman"/>
          <w:sz w:val="24"/>
          <w:szCs w:val="24"/>
        </w:rPr>
        <w:t>major</w:t>
      </w:r>
      <w:r>
        <w:rPr>
          <w:rFonts w:cs="Times New Roman"/>
          <w:sz w:val="24"/>
          <w:szCs w:val="24"/>
        </w:rPr>
        <w:t xml:space="preserve"> determinants of BMI. While </w:t>
      </w:r>
      <w:r w:rsidR="00401061">
        <w:rPr>
          <w:rFonts w:cs="Times New Roman"/>
          <w:sz w:val="24"/>
          <w:szCs w:val="24"/>
        </w:rPr>
        <w:t xml:space="preserve">there are numerous factors that influence body weight, we opted for a parsimonious model that included factors consistently demonstrated throughout the literature to explain body weight. Increasing model complexity can introduce statistical issues </w:t>
      </w:r>
      <w:r w:rsidR="002359E3">
        <w:rPr>
          <w:rFonts w:cs="Times New Roman"/>
          <w:sz w:val="24"/>
          <w:szCs w:val="24"/>
        </w:rPr>
        <w:t xml:space="preserve">(e.g. over-fitting) </w:t>
      </w:r>
      <w:r w:rsidR="00401061">
        <w:rPr>
          <w:rFonts w:cs="Times New Roman"/>
          <w:sz w:val="24"/>
          <w:szCs w:val="24"/>
        </w:rPr>
        <w:t xml:space="preserve">and small number issues at specific centiles which is problematic when using quantile regression techniques. </w:t>
      </w:r>
      <w:r w:rsidR="002359E3">
        <w:rPr>
          <w:rFonts w:cs="Times New Roman"/>
          <w:sz w:val="24"/>
          <w:szCs w:val="24"/>
        </w:rPr>
        <w:t>The</w:t>
      </w:r>
      <w:r w:rsidR="00401061">
        <w:rPr>
          <w:rFonts w:cs="Times New Roman"/>
          <w:sz w:val="24"/>
          <w:szCs w:val="24"/>
        </w:rPr>
        <w:t xml:space="preserve"> trade-off between maximising </w:t>
      </w:r>
      <w:r w:rsidR="00401061">
        <w:rPr>
          <w:rFonts w:cs="Times New Roman"/>
          <w:sz w:val="24"/>
          <w:szCs w:val="24"/>
        </w:rPr>
        <w:lastRenderedPageBreak/>
        <w:t>detail and minimising complexity meant that we selected six factors: age, sex, race, physical activity, occupation and education.</w:t>
      </w:r>
      <w:r w:rsidR="003F08EF">
        <w:rPr>
          <w:rFonts w:cs="Times New Roman"/>
          <w:sz w:val="24"/>
          <w:szCs w:val="24"/>
        </w:rPr>
        <w:t xml:space="preserve"> </w:t>
      </w:r>
    </w:p>
    <w:p w14:paraId="3D3BA9BA" w14:textId="46B1D1A8" w:rsidR="006B67DA" w:rsidRDefault="004B1C4B" w:rsidP="00675EB5">
      <w:pPr>
        <w:spacing w:line="480" w:lineRule="auto"/>
        <w:rPr>
          <w:rFonts w:cs="Times New Roman"/>
          <w:sz w:val="24"/>
          <w:szCs w:val="24"/>
        </w:rPr>
      </w:pPr>
      <w:r w:rsidRPr="007C39F0">
        <w:rPr>
          <w:rFonts w:cs="Times New Roman"/>
          <w:sz w:val="24"/>
          <w:szCs w:val="24"/>
        </w:rPr>
        <w:t xml:space="preserve">Age, sex and </w:t>
      </w:r>
      <w:r w:rsidR="006B67DA">
        <w:rPr>
          <w:rFonts w:cs="Times New Roman"/>
          <w:sz w:val="24"/>
          <w:szCs w:val="24"/>
        </w:rPr>
        <w:t>race</w:t>
      </w:r>
      <w:r w:rsidR="006B67DA" w:rsidRPr="007C39F0">
        <w:rPr>
          <w:rFonts w:cs="Times New Roman"/>
          <w:sz w:val="24"/>
          <w:szCs w:val="24"/>
        </w:rPr>
        <w:t xml:space="preserve"> </w:t>
      </w:r>
      <w:r w:rsidRPr="007C39F0">
        <w:rPr>
          <w:rFonts w:cs="Times New Roman"/>
          <w:sz w:val="24"/>
          <w:szCs w:val="24"/>
        </w:rPr>
        <w:t xml:space="preserve">were included as personal characteristics. </w:t>
      </w:r>
      <w:r w:rsidR="00137E70" w:rsidRPr="007C39F0">
        <w:rPr>
          <w:rFonts w:cs="Times New Roman"/>
          <w:sz w:val="24"/>
          <w:szCs w:val="24"/>
        </w:rPr>
        <w:t xml:space="preserve">Age is </w:t>
      </w:r>
      <w:r w:rsidR="00EC052C" w:rsidRPr="007C39F0">
        <w:rPr>
          <w:rFonts w:cs="Times New Roman"/>
          <w:sz w:val="24"/>
          <w:szCs w:val="24"/>
        </w:rPr>
        <w:t>positively associated with body weight</w:t>
      </w:r>
      <w:r w:rsidR="00976980">
        <w:rPr>
          <w:rFonts w:cs="Times New Roman"/>
          <w:sz w:val="24"/>
          <w:szCs w:val="24"/>
        </w:rPr>
        <w:t xml:space="preserve"> </w:t>
      </w:r>
      <w:r w:rsidR="00EA6E49" w:rsidRPr="007C39F0">
        <w:rPr>
          <w:rFonts w:cs="Times New Roman"/>
          <w:sz w:val="24"/>
          <w:szCs w:val="24"/>
        </w:rPr>
        <w:fldChar w:fldCharType="begin" w:fldLock="1"/>
      </w:r>
      <w:r w:rsidR="006821DC">
        <w:rPr>
          <w:rFonts w:cs="Times New Roman"/>
          <w:sz w:val="24"/>
          <w:szCs w:val="24"/>
        </w:rPr>
        <w:instrText>ADDIN CSL_CITATION {"citationItems":[{"id":"ITEM-1","itemData":{"DOI":"10.1038/ijo.2008.87","author":[{"dropping-particle":"","family":"Rothman","given":"K J","non-dropping-particle":"","parse-names":false,"suffix":""}],"container-title":"International Journal of Health Geographics","id":"ITEM-1","issued":{"date-parts":[["2008"]]},"page":"S56-S59","title":"BMI-related errors in the measurement of obesity","type":"article-journal","volume":"32"},"uris":["http://www.mendeley.com/documents/?uuid=e20b6607-d7f1-4c5e-800c-81468bff8340","http://www.mendeley.com/documents/?uuid=5bcf8fc0-6dae-400d-a0e3-fb44bbe91c25"]}],"mendeley":{"formattedCitation":"(Rothman, 2008)","plainTextFormattedCitation":"(Rothman, 2008)","previouslyFormattedCitation":"(Rothman, 2008)"},"properties":{"noteIndex":0},"schema":"https://github.com/citation-style-language/schema/raw/master/csl-citation.json"}</w:instrText>
      </w:r>
      <w:r w:rsidR="00EA6E49" w:rsidRPr="007C39F0">
        <w:rPr>
          <w:rFonts w:cs="Times New Roman"/>
          <w:sz w:val="24"/>
          <w:szCs w:val="24"/>
        </w:rPr>
        <w:fldChar w:fldCharType="separate"/>
      </w:r>
      <w:r w:rsidR="0097206D" w:rsidRPr="0097206D">
        <w:rPr>
          <w:rFonts w:cs="Times New Roman"/>
          <w:noProof/>
          <w:sz w:val="24"/>
          <w:szCs w:val="24"/>
        </w:rPr>
        <w:t>(Rothman, 2008)</w:t>
      </w:r>
      <w:r w:rsidR="00EA6E49" w:rsidRPr="007C39F0">
        <w:rPr>
          <w:rFonts w:cs="Times New Roman"/>
          <w:sz w:val="24"/>
          <w:szCs w:val="24"/>
        </w:rPr>
        <w:fldChar w:fldCharType="end"/>
      </w:r>
      <w:r w:rsidR="00976980">
        <w:rPr>
          <w:rFonts w:cs="Times New Roman"/>
          <w:sz w:val="24"/>
          <w:szCs w:val="24"/>
        </w:rPr>
        <w:t>.</w:t>
      </w:r>
      <w:r w:rsidR="00137E70" w:rsidRPr="007C39F0">
        <w:rPr>
          <w:rFonts w:cs="Times New Roman"/>
          <w:sz w:val="24"/>
          <w:szCs w:val="24"/>
        </w:rPr>
        <w:t xml:space="preserve"> </w:t>
      </w:r>
      <w:r w:rsidR="00D60B6B" w:rsidRPr="007C39F0">
        <w:rPr>
          <w:rFonts w:cs="Times New Roman"/>
          <w:sz w:val="24"/>
          <w:szCs w:val="24"/>
        </w:rPr>
        <w:t xml:space="preserve">Age was categorised into roughly 20-year age bands: </w:t>
      </w:r>
      <w:r w:rsidR="0076722C" w:rsidRPr="007C39F0">
        <w:rPr>
          <w:rFonts w:cs="Times New Roman"/>
          <w:sz w:val="24"/>
          <w:szCs w:val="24"/>
        </w:rPr>
        <w:t>‘</w:t>
      </w:r>
      <w:r w:rsidR="00D60B6B" w:rsidRPr="007C39F0">
        <w:rPr>
          <w:rFonts w:cs="Times New Roman"/>
          <w:sz w:val="24"/>
          <w:szCs w:val="24"/>
        </w:rPr>
        <w:t xml:space="preserve">20-39’, ‘40-59’ and ‘60+’. </w:t>
      </w:r>
      <w:r w:rsidR="00203F7D" w:rsidRPr="007C39F0">
        <w:rPr>
          <w:rFonts w:cs="Times New Roman"/>
          <w:sz w:val="24"/>
          <w:szCs w:val="24"/>
        </w:rPr>
        <w:t>While m</w:t>
      </w:r>
      <w:r w:rsidR="00137E70" w:rsidRPr="007C39F0">
        <w:rPr>
          <w:rFonts w:cs="Times New Roman"/>
          <w:sz w:val="24"/>
          <w:szCs w:val="24"/>
        </w:rPr>
        <w:t xml:space="preserve">ales have higher median BMI, </w:t>
      </w:r>
      <w:r w:rsidR="00203F7D" w:rsidRPr="007C39F0">
        <w:rPr>
          <w:rFonts w:cs="Times New Roman"/>
          <w:sz w:val="24"/>
          <w:szCs w:val="24"/>
        </w:rPr>
        <w:t>they also</w:t>
      </w:r>
      <w:r w:rsidR="00137E70" w:rsidRPr="007C39F0">
        <w:rPr>
          <w:rFonts w:cs="Times New Roman"/>
          <w:sz w:val="24"/>
          <w:szCs w:val="24"/>
        </w:rPr>
        <w:t xml:space="preserve"> have a narrower </w:t>
      </w:r>
      <w:r w:rsidR="00203F7D" w:rsidRPr="007C39F0">
        <w:rPr>
          <w:rFonts w:cs="Times New Roman"/>
          <w:sz w:val="24"/>
          <w:szCs w:val="24"/>
        </w:rPr>
        <w:t xml:space="preserve">BMI </w:t>
      </w:r>
      <w:r w:rsidR="00137E70" w:rsidRPr="007C39F0">
        <w:rPr>
          <w:rFonts w:cs="Times New Roman"/>
          <w:sz w:val="24"/>
          <w:szCs w:val="24"/>
        </w:rPr>
        <w:t>distribution compared to females</w:t>
      </w:r>
      <w:r w:rsidR="00976980">
        <w:rPr>
          <w:rFonts w:cs="Times New Roman"/>
          <w:sz w:val="24"/>
          <w:szCs w:val="24"/>
        </w:rPr>
        <w:t xml:space="preserve"> </w:t>
      </w:r>
      <w:r w:rsidR="00EA6E49" w:rsidRPr="007C39F0">
        <w:rPr>
          <w:rFonts w:cs="Times New Roman"/>
          <w:sz w:val="24"/>
          <w:szCs w:val="24"/>
        </w:rPr>
        <w:fldChar w:fldCharType="begin" w:fldLock="1"/>
      </w:r>
      <w:r w:rsidR="006821DC">
        <w:rPr>
          <w:rFonts w:cs="Times New Roman"/>
          <w:sz w:val="24"/>
          <w:szCs w:val="24"/>
        </w:rPr>
        <w:instrText>ADDIN CSL_CITATION {"citationItems":[{"id":"ITEM-1","itemData":{"DOI":"10.1136/jech-2015-206468","author":[{"dropping-particle":"","family":"Green","given":"M A","non-dropping-particle":"","parse-names":false,"suffix":""},{"dropping-particle":"V","family":"Subramanian","given":"S","non-dropping-particle":"","parse-names":false,"suffix":""},{"dropping-particle":"","family":"Razak","given":"F","non-dropping-particle":"","parse-names":false,"suffix":""}],"container-title":"Journal of Epidemiology &amp; Community Health","id":"ITEM-1","issued":{"date-parts":[["2016"]]},"page":"832-835","title":"Population-level trends in the distribution of body mass index in England, 1992 – 2013","type":"article-journal","volume":"70"},"uris":["http://www.mendeley.com/documents/?uuid=57f0556b-ffe9-4bcc-95d6-1aa5c21c575a","http://www.mendeley.com/documents/?uuid=d3dc1a55-29bf-478b-a91e-426b600b76a0"]}],"mendeley":{"formattedCitation":"(Green et al., 2016)","plainTextFormattedCitation":"(Green et al., 2016)","previouslyFormattedCitation":"(Green et al., 2016)"},"properties":{"noteIndex":0},"schema":"https://github.com/citation-style-language/schema/raw/master/csl-citation.json"}</w:instrText>
      </w:r>
      <w:r w:rsidR="00EA6E49" w:rsidRPr="007C39F0">
        <w:rPr>
          <w:rFonts w:cs="Times New Roman"/>
          <w:sz w:val="24"/>
          <w:szCs w:val="24"/>
        </w:rPr>
        <w:fldChar w:fldCharType="separate"/>
      </w:r>
      <w:r w:rsidR="0097206D" w:rsidRPr="0097206D">
        <w:rPr>
          <w:rFonts w:cs="Times New Roman"/>
          <w:noProof/>
          <w:sz w:val="24"/>
          <w:szCs w:val="24"/>
        </w:rPr>
        <w:t>(Green et al., 2016)</w:t>
      </w:r>
      <w:r w:rsidR="00EA6E49" w:rsidRPr="007C39F0">
        <w:rPr>
          <w:rFonts w:cs="Times New Roman"/>
          <w:sz w:val="24"/>
          <w:szCs w:val="24"/>
        </w:rPr>
        <w:fldChar w:fldCharType="end"/>
      </w:r>
      <w:r w:rsidR="00976980">
        <w:rPr>
          <w:rFonts w:cs="Times New Roman"/>
          <w:sz w:val="24"/>
          <w:szCs w:val="24"/>
        </w:rPr>
        <w:t>.</w:t>
      </w:r>
      <w:r w:rsidR="00137E70" w:rsidRPr="007C39F0">
        <w:rPr>
          <w:rFonts w:cs="Times New Roman"/>
          <w:sz w:val="24"/>
          <w:szCs w:val="24"/>
        </w:rPr>
        <w:t xml:space="preserve"> </w:t>
      </w:r>
      <w:r w:rsidR="00820E3A" w:rsidRPr="007C39F0">
        <w:rPr>
          <w:rFonts w:cs="Times New Roman"/>
          <w:sz w:val="24"/>
          <w:szCs w:val="24"/>
        </w:rPr>
        <w:t xml:space="preserve">The association of BMI to </w:t>
      </w:r>
      <w:r w:rsidR="006B67DA">
        <w:rPr>
          <w:rFonts w:cs="Times New Roman"/>
          <w:sz w:val="24"/>
          <w:szCs w:val="24"/>
        </w:rPr>
        <w:t>racial groups</w:t>
      </w:r>
      <w:r w:rsidR="006B67DA" w:rsidRPr="007C39F0">
        <w:rPr>
          <w:rFonts w:cs="Times New Roman"/>
          <w:sz w:val="24"/>
          <w:szCs w:val="24"/>
        </w:rPr>
        <w:t xml:space="preserve"> </w:t>
      </w:r>
      <w:r w:rsidR="0090012B" w:rsidRPr="007C39F0">
        <w:rPr>
          <w:rFonts w:cs="Times New Roman"/>
          <w:sz w:val="24"/>
          <w:szCs w:val="24"/>
        </w:rPr>
        <w:t>is complex</w:t>
      </w:r>
      <w:r w:rsidR="007C45E4">
        <w:rPr>
          <w:rFonts w:cs="Times New Roman"/>
          <w:sz w:val="24"/>
          <w:szCs w:val="24"/>
        </w:rPr>
        <w:t>, but important to account for</w:t>
      </w:r>
      <w:r w:rsidR="00976980">
        <w:rPr>
          <w:rFonts w:cs="Times New Roman"/>
          <w:sz w:val="24"/>
          <w:szCs w:val="24"/>
        </w:rPr>
        <w:t xml:space="preserve"> </w:t>
      </w:r>
      <w:r w:rsidR="0090012B" w:rsidRPr="007C39F0">
        <w:rPr>
          <w:rFonts w:cs="Times New Roman"/>
          <w:sz w:val="24"/>
          <w:szCs w:val="24"/>
        </w:rPr>
        <w:fldChar w:fldCharType="begin" w:fldLock="1"/>
      </w:r>
      <w:r w:rsidR="006821DC">
        <w:rPr>
          <w:rFonts w:cs="Times New Roman"/>
          <w:sz w:val="24"/>
          <w:szCs w:val="24"/>
        </w:rPr>
        <w:instrText>ADDIN CSL_CITATION {"citationItems":[{"id":"ITEM-1","itemData":{"ISSN":"1467-789X","PMID":"21348920","abstract":"Ethnic minority groups are growing as a proportion of the British population. Although disparate, literature suggests inequalities in obesity risk within and among ethnic minority groups relative to Caucasians in the UK. We summarize and appraise the existing peer-reviewed literature about the prevalence and determinants of obesity among ethnic minority groups relative to Caucasians among children and adults in the UK. There was no consensus about obesity prevalence relative to Caucasians among South Asian or Black children or among South Asian adults relative to Caucasians. Black adults generally had higher risk for obesity than Caucasians. Both Chinese children and adults had lower risk for obesity than Caucasians. Few studies have considered differences in the aetiology of obesity by ethnicity. The lack of consensus regarding obesity risk among large ethnic minority groups relative to Caucasians in the UK, and the paucity of studies concerned with differences in obesity aetiology by ethnicity warrant further research in this area. Certain obesity metrics may bias obesity prevalence among particular ethnic groups relative to Caucasians. We summarize key methodological limitations to the current literature and suggest avenues for future research.","author":[{"dropping-particle":"","family":"El-Sayed","given":"A M","non-dropping-particle":"","parse-names":false,"suffix":""},{"dropping-particle":"","family":"Scarborough","given":"P","non-dropping-particle":"","parse-names":false,"suffix":""},{"dropping-particle":"","family":"Galea","given":"S","non-dropping-particle":"","parse-names":false,"suffix":""}],"container-title":"Obesity Reviews","id":"ITEM-1","issue":"5","issued":{"date-parts":[["2011","5"]]},"page":"e516-34","title":"Ethnic inequalities in obesity among children and adults in the UK: a systematic review of the literature.","type":"article-journal","volume":"12"},"uris":["http://www.mendeley.com/documents/?uuid=9da60231-057c-42f9-85ba-6e8dd76cf366","http://www.mendeley.com/documents/?uuid=184b9fdf-e4df-422b-a52f-f20828e6cb30","http://www.mendeley.com/documents/?uuid=d7dfed2d-2d81-46a5-a3c0-54afd9500838"]}],"mendeley":{"formattedCitation":"(El-Sayed, Scarborough, &amp; Galea, 2011)","plainTextFormattedCitation":"(El-Sayed, Scarborough, &amp; Galea, 2011)","previouslyFormattedCitation":"(El-Sayed, Scarborough, &amp; Galea, 2011)"},"properties":{"noteIndex":0},"schema":"https://github.com/citation-style-language/schema/raw/master/csl-citation.json"}</w:instrText>
      </w:r>
      <w:r w:rsidR="0090012B" w:rsidRPr="007C39F0">
        <w:rPr>
          <w:rFonts w:cs="Times New Roman"/>
          <w:sz w:val="24"/>
          <w:szCs w:val="24"/>
        </w:rPr>
        <w:fldChar w:fldCharType="separate"/>
      </w:r>
      <w:r w:rsidR="0097206D" w:rsidRPr="0097206D">
        <w:rPr>
          <w:rFonts w:cs="Times New Roman"/>
          <w:noProof/>
          <w:sz w:val="24"/>
          <w:szCs w:val="24"/>
        </w:rPr>
        <w:t>(El-Sayed, Scarborough, &amp; Galea, 2011)</w:t>
      </w:r>
      <w:r w:rsidR="0090012B" w:rsidRPr="007C39F0">
        <w:rPr>
          <w:rFonts w:cs="Times New Roman"/>
          <w:sz w:val="24"/>
          <w:szCs w:val="24"/>
        </w:rPr>
        <w:fldChar w:fldCharType="end"/>
      </w:r>
      <w:r w:rsidR="00976980">
        <w:rPr>
          <w:rFonts w:cs="Times New Roman"/>
          <w:sz w:val="24"/>
          <w:szCs w:val="24"/>
        </w:rPr>
        <w:t>.</w:t>
      </w:r>
      <w:r w:rsidR="0090012B" w:rsidRPr="007C39F0">
        <w:rPr>
          <w:rFonts w:cs="Times New Roman"/>
          <w:sz w:val="24"/>
          <w:szCs w:val="24"/>
        </w:rPr>
        <w:t xml:space="preserve"> </w:t>
      </w:r>
      <w:r w:rsidR="009E35DD" w:rsidRPr="007C39F0">
        <w:rPr>
          <w:rFonts w:cs="Times New Roman"/>
          <w:sz w:val="24"/>
          <w:szCs w:val="24"/>
        </w:rPr>
        <w:t>W</w:t>
      </w:r>
      <w:r w:rsidR="00137E70" w:rsidRPr="007C39F0">
        <w:rPr>
          <w:rFonts w:cs="Times New Roman"/>
          <w:sz w:val="24"/>
          <w:szCs w:val="24"/>
        </w:rPr>
        <w:t xml:space="preserve">e </w:t>
      </w:r>
      <w:r w:rsidR="0090012B" w:rsidRPr="007C39F0">
        <w:rPr>
          <w:rFonts w:cs="Times New Roman"/>
          <w:sz w:val="24"/>
          <w:szCs w:val="24"/>
        </w:rPr>
        <w:t>group</w:t>
      </w:r>
      <w:r w:rsidR="00D33051">
        <w:rPr>
          <w:rFonts w:cs="Times New Roman"/>
          <w:sz w:val="24"/>
          <w:szCs w:val="24"/>
        </w:rPr>
        <w:t>ed</w:t>
      </w:r>
      <w:r w:rsidR="00137E70" w:rsidRPr="007C39F0">
        <w:rPr>
          <w:rFonts w:cs="Times New Roman"/>
          <w:sz w:val="24"/>
          <w:szCs w:val="24"/>
        </w:rPr>
        <w:t xml:space="preserve"> individuals as ‘White’ and ‘non-White’ </w:t>
      </w:r>
      <w:r w:rsidR="00C36FBC" w:rsidRPr="007C39F0">
        <w:rPr>
          <w:rFonts w:cs="Times New Roman"/>
          <w:sz w:val="24"/>
          <w:szCs w:val="24"/>
        </w:rPr>
        <w:t>due to the</w:t>
      </w:r>
      <w:r w:rsidR="00137E70" w:rsidRPr="007C39F0">
        <w:rPr>
          <w:rFonts w:cs="Times New Roman"/>
          <w:sz w:val="24"/>
          <w:szCs w:val="24"/>
        </w:rPr>
        <w:t xml:space="preserve"> </w:t>
      </w:r>
      <w:r w:rsidR="0076722C" w:rsidRPr="007C39F0">
        <w:rPr>
          <w:rFonts w:cs="Times New Roman"/>
          <w:sz w:val="24"/>
          <w:szCs w:val="24"/>
        </w:rPr>
        <w:t xml:space="preserve">small numbers in our </w:t>
      </w:r>
      <w:r w:rsidR="00137E70" w:rsidRPr="007C39F0">
        <w:rPr>
          <w:rFonts w:cs="Times New Roman"/>
          <w:sz w:val="24"/>
          <w:szCs w:val="24"/>
        </w:rPr>
        <w:t xml:space="preserve">sample </w:t>
      </w:r>
      <w:r w:rsidR="007C45E4">
        <w:rPr>
          <w:rFonts w:cs="Times New Roman"/>
          <w:sz w:val="24"/>
          <w:szCs w:val="24"/>
        </w:rPr>
        <w:t>not allowing</w:t>
      </w:r>
      <w:r w:rsidR="007C45E4" w:rsidRPr="007C39F0">
        <w:rPr>
          <w:rFonts w:cs="Times New Roman"/>
          <w:sz w:val="24"/>
          <w:szCs w:val="24"/>
        </w:rPr>
        <w:t xml:space="preserve"> </w:t>
      </w:r>
      <w:r w:rsidR="000532E4" w:rsidRPr="007C39F0">
        <w:rPr>
          <w:rFonts w:cs="Times New Roman"/>
          <w:sz w:val="24"/>
          <w:szCs w:val="24"/>
        </w:rPr>
        <w:t xml:space="preserve">a further </w:t>
      </w:r>
      <w:r w:rsidR="00137E70" w:rsidRPr="007C39F0">
        <w:rPr>
          <w:rFonts w:cs="Times New Roman"/>
          <w:sz w:val="24"/>
          <w:szCs w:val="24"/>
        </w:rPr>
        <w:t>disaggregat</w:t>
      </w:r>
      <w:r w:rsidR="000532E4" w:rsidRPr="007C39F0">
        <w:rPr>
          <w:rFonts w:cs="Times New Roman"/>
          <w:sz w:val="24"/>
          <w:szCs w:val="24"/>
        </w:rPr>
        <w:t>ion of</w:t>
      </w:r>
      <w:r w:rsidR="00137E70" w:rsidRPr="007C39F0">
        <w:rPr>
          <w:rFonts w:cs="Times New Roman"/>
          <w:sz w:val="24"/>
          <w:szCs w:val="24"/>
        </w:rPr>
        <w:t xml:space="preserve"> ‘non-White’ individuals.</w:t>
      </w:r>
      <w:r w:rsidR="003C5540" w:rsidRPr="007C39F0">
        <w:rPr>
          <w:rFonts w:cs="Times New Roman"/>
          <w:sz w:val="24"/>
          <w:szCs w:val="24"/>
        </w:rPr>
        <w:t xml:space="preserve"> </w:t>
      </w:r>
    </w:p>
    <w:p w14:paraId="2D275CA9" w14:textId="54CC83AF" w:rsidR="00137E70" w:rsidRPr="007C39F0" w:rsidRDefault="003C5540" w:rsidP="00675EB5">
      <w:pPr>
        <w:spacing w:line="480" w:lineRule="auto"/>
        <w:rPr>
          <w:rFonts w:cs="Times New Roman"/>
          <w:sz w:val="24"/>
          <w:szCs w:val="24"/>
        </w:rPr>
      </w:pPr>
      <w:r w:rsidRPr="007C39F0">
        <w:rPr>
          <w:rFonts w:cs="Times New Roman"/>
          <w:sz w:val="24"/>
          <w:szCs w:val="24"/>
        </w:rPr>
        <w:t>P</w:t>
      </w:r>
      <w:r w:rsidR="00137E70" w:rsidRPr="007C39F0">
        <w:rPr>
          <w:rFonts w:cs="Times New Roman"/>
          <w:sz w:val="24"/>
          <w:szCs w:val="24"/>
        </w:rPr>
        <w:t xml:space="preserve">hysical activity </w:t>
      </w:r>
      <w:r w:rsidRPr="007C39F0">
        <w:rPr>
          <w:rFonts w:cs="Times New Roman"/>
          <w:sz w:val="24"/>
          <w:szCs w:val="24"/>
        </w:rPr>
        <w:t xml:space="preserve">was </w:t>
      </w:r>
      <w:r w:rsidR="00D23409" w:rsidRPr="007C39F0">
        <w:rPr>
          <w:rFonts w:cs="Times New Roman"/>
          <w:sz w:val="24"/>
          <w:szCs w:val="24"/>
        </w:rPr>
        <w:t xml:space="preserve">also </w:t>
      </w:r>
      <w:r w:rsidRPr="007C39F0">
        <w:rPr>
          <w:rFonts w:cs="Times New Roman"/>
          <w:sz w:val="24"/>
          <w:szCs w:val="24"/>
        </w:rPr>
        <w:t>included as it</w:t>
      </w:r>
      <w:r w:rsidR="00EC052C" w:rsidRPr="007C39F0">
        <w:rPr>
          <w:rFonts w:cs="Times New Roman"/>
          <w:sz w:val="24"/>
          <w:szCs w:val="24"/>
        </w:rPr>
        <w:t xml:space="preserve"> cru</w:t>
      </w:r>
      <w:r w:rsidR="00820E3A" w:rsidRPr="007C39F0">
        <w:rPr>
          <w:rFonts w:cs="Times New Roman"/>
          <w:sz w:val="24"/>
          <w:szCs w:val="24"/>
        </w:rPr>
        <w:t>d</w:t>
      </w:r>
      <w:r w:rsidR="00EC052C" w:rsidRPr="007C39F0">
        <w:rPr>
          <w:rFonts w:cs="Times New Roman"/>
          <w:sz w:val="24"/>
          <w:szCs w:val="24"/>
        </w:rPr>
        <w:t>ely reflect</w:t>
      </w:r>
      <w:r w:rsidRPr="007C39F0">
        <w:rPr>
          <w:rFonts w:cs="Times New Roman"/>
          <w:sz w:val="24"/>
          <w:szCs w:val="24"/>
        </w:rPr>
        <w:t>s</w:t>
      </w:r>
      <w:r w:rsidR="00EC052C" w:rsidRPr="007C39F0">
        <w:rPr>
          <w:rFonts w:cs="Times New Roman"/>
          <w:sz w:val="24"/>
          <w:szCs w:val="24"/>
        </w:rPr>
        <w:t xml:space="preserve"> an individual’s energy balance</w:t>
      </w:r>
      <w:r w:rsidRPr="007C39F0">
        <w:rPr>
          <w:rFonts w:cs="Times New Roman"/>
          <w:sz w:val="24"/>
          <w:szCs w:val="24"/>
        </w:rPr>
        <w:t xml:space="preserve"> (sufficient dietary data were not available)</w:t>
      </w:r>
      <w:r w:rsidR="0076722C" w:rsidRPr="007C39F0">
        <w:rPr>
          <w:rFonts w:cs="Times New Roman"/>
          <w:sz w:val="24"/>
          <w:szCs w:val="24"/>
        </w:rPr>
        <w:t>.</w:t>
      </w:r>
      <w:r w:rsidR="00842848" w:rsidRPr="007C39F0">
        <w:rPr>
          <w:rFonts w:cs="Times New Roman"/>
          <w:sz w:val="24"/>
          <w:szCs w:val="24"/>
        </w:rPr>
        <w:t xml:space="preserve"> Physical activity was measured as whether individuals achieved 30 minutes of moderate or vigorous physical activity five days per week</w:t>
      </w:r>
      <w:r w:rsidR="003058FA">
        <w:rPr>
          <w:rFonts w:cs="Times New Roman"/>
          <w:sz w:val="24"/>
          <w:szCs w:val="24"/>
        </w:rPr>
        <w:t xml:space="preserve">. The variable was </w:t>
      </w:r>
      <w:r w:rsidR="007726A5">
        <w:rPr>
          <w:rFonts w:cs="Times New Roman"/>
          <w:sz w:val="24"/>
          <w:szCs w:val="24"/>
        </w:rPr>
        <w:t>included as it</w:t>
      </w:r>
      <w:r w:rsidR="003058FA">
        <w:rPr>
          <w:rFonts w:cs="Times New Roman"/>
          <w:sz w:val="24"/>
          <w:szCs w:val="24"/>
        </w:rPr>
        <w:t xml:space="preserve"> represented </w:t>
      </w:r>
      <w:r w:rsidR="007726A5">
        <w:rPr>
          <w:rFonts w:cs="Times New Roman"/>
          <w:sz w:val="24"/>
          <w:szCs w:val="24"/>
        </w:rPr>
        <w:t xml:space="preserve">the UK </w:t>
      </w:r>
      <w:r w:rsidR="003058FA">
        <w:rPr>
          <w:rFonts w:cs="Times New Roman"/>
          <w:sz w:val="24"/>
          <w:szCs w:val="24"/>
        </w:rPr>
        <w:t xml:space="preserve">government guideline for </w:t>
      </w:r>
      <w:r w:rsidR="007F62E5">
        <w:rPr>
          <w:rFonts w:cs="Times New Roman"/>
          <w:sz w:val="24"/>
          <w:szCs w:val="24"/>
        </w:rPr>
        <w:t xml:space="preserve">recommended level of </w:t>
      </w:r>
      <w:r w:rsidR="003058FA">
        <w:rPr>
          <w:rFonts w:cs="Times New Roman"/>
          <w:sz w:val="24"/>
          <w:szCs w:val="24"/>
        </w:rPr>
        <w:t xml:space="preserve">physical </w:t>
      </w:r>
      <w:r w:rsidR="007726A5">
        <w:rPr>
          <w:rFonts w:cs="Times New Roman"/>
          <w:sz w:val="24"/>
          <w:szCs w:val="24"/>
        </w:rPr>
        <w:t>activity</w:t>
      </w:r>
      <w:r w:rsidR="003058FA">
        <w:rPr>
          <w:rFonts w:cs="Times New Roman"/>
          <w:sz w:val="24"/>
          <w:szCs w:val="24"/>
        </w:rPr>
        <w:t xml:space="preserve"> in adults </w:t>
      </w:r>
      <w:r w:rsidR="007F62E5">
        <w:rPr>
          <w:rFonts w:cs="Times New Roman"/>
          <w:sz w:val="24"/>
          <w:szCs w:val="24"/>
        </w:rPr>
        <w:t>across</w:t>
      </w:r>
      <w:r w:rsidR="003058FA">
        <w:rPr>
          <w:rFonts w:cs="Times New Roman"/>
          <w:sz w:val="24"/>
          <w:szCs w:val="24"/>
        </w:rPr>
        <w:t xml:space="preserve"> the study period </w:t>
      </w:r>
      <w:r w:rsidR="005B0E3C">
        <w:rPr>
          <w:rFonts w:cs="Times New Roman"/>
          <w:sz w:val="24"/>
          <w:szCs w:val="24"/>
        </w:rPr>
        <w:fldChar w:fldCharType="begin" w:fldLock="1"/>
      </w:r>
      <w:r w:rsidR="00136223">
        <w:rPr>
          <w:rFonts w:cs="Times New Roman"/>
          <w:sz w:val="24"/>
          <w:szCs w:val="24"/>
        </w:rPr>
        <w:instrText>ADDIN CSL_CITATION {"citationItems":[{"id":"ITEM-1","itemData":{"URL":"https://webarchive.nationalarchives.gov.uk/20130105001829/http://www.dh.gov.uk/prod_consum_dh/groups/dh_digitalassets/@dh/@en/documents/digitalasset/dh_4080981.pdf","author":[{"dropping-particle":"","family":"Department of Health","given":"","non-dropping-particle":"","parse-names":false,"suffix":""}],"id":"ITEM-1","issued":{"date-parts":[["2004"]]},"title":"At least five a week: Evidence on the impact of physical activity and its relationship to health","type":"webpage"},"uris":["http://www.mendeley.com/documents/?uuid=2d2222a3-9a6d-4bb4-8392-6806cc8e8b50"]},{"id":"ITEM-2","itemData":{"author":[{"dropping-particle":"","family":"Department of Health","given":"","non-dropping-particle":"","parse-names":false,"suffix":""}],"id":"ITEM-2","issued":{"date-parts":[["2011"]]},"title":"Start Active, Stay Active: A report on physical activity from the four home countries’ Chief Medical Officers","type":"webpage"},"uris":["http://www.mendeley.com/documents/?uuid=fbc65085-c9c4-45d3-9f93-5571ab994326"]}],"mendeley":{"formattedCitation":"(Department of Health, 2004, 2011)","plainTextFormattedCitation":"(Department of Health, 2004, 2011)","previouslyFormattedCitation":"(Department of Health, 2004, 2011)"},"properties":{"noteIndex":0},"schema":"https://github.com/citation-style-language/schema/raw/master/csl-citation.json"}</w:instrText>
      </w:r>
      <w:r w:rsidR="005B0E3C">
        <w:rPr>
          <w:rFonts w:cs="Times New Roman"/>
          <w:sz w:val="24"/>
          <w:szCs w:val="24"/>
        </w:rPr>
        <w:fldChar w:fldCharType="separate"/>
      </w:r>
      <w:r w:rsidR="005B0E3C" w:rsidRPr="005B0E3C">
        <w:rPr>
          <w:rFonts w:cs="Times New Roman"/>
          <w:noProof/>
          <w:sz w:val="24"/>
          <w:szCs w:val="24"/>
        </w:rPr>
        <w:t>(Department of Health, 2004, 2011)</w:t>
      </w:r>
      <w:r w:rsidR="005B0E3C">
        <w:rPr>
          <w:rFonts w:cs="Times New Roman"/>
          <w:sz w:val="24"/>
          <w:szCs w:val="24"/>
        </w:rPr>
        <w:fldChar w:fldCharType="end"/>
      </w:r>
      <w:r w:rsidR="007726A5">
        <w:rPr>
          <w:rFonts w:cs="Times New Roman"/>
          <w:sz w:val="24"/>
          <w:szCs w:val="24"/>
        </w:rPr>
        <w:t>.</w:t>
      </w:r>
    </w:p>
    <w:p w14:paraId="03F9AD53" w14:textId="1EF302AA" w:rsidR="00C370BA" w:rsidRPr="007C39F0" w:rsidRDefault="00633254" w:rsidP="00675EB5">
      <w:pPr>
        <w:spacing w:line="480" w:lineRule="auto"/>
        <w:rPr>
          <w:rFonts w:cs="Times New Roman"/>
          <w:i/>
          <w:sz w:val="24"/>
          <w:szCs w:val="24"/>
        </w:rPr>
      </w:pPr>
      <w:r w:rsidRPr="007C39F0">
        <w:rPr>
          <w:rFonts w:cs="Times New Roman"/>
          <w:sz w:val="24"/>
          <w:szCs w:val="24"/>
        </w:rPr>
        <w:t>W</w:t>
      </w:r>
      <w:r w:rsidR="00842848" w:rsidRPr="007C39F0">
        <w:rPr>
          <w:rFonts w:cs="Times New Roman"/>
          <w:sz w:val="24"/>
          <w:szCs w:val="24"/>
        </w:rPr>
        <w:t xml:space="preserve">e </w:t>
      </w:r>
      <w:r w:rsidRPr="007C39F0">
        <w:rPr>
          <w:rFonts w:cs="Times New Roman"/>
          <w:sz w:val="24"/>
          <w:szCs w:val="24"/>
        </w:rPr>
        <w:t xml:space="preserve">examined </w:t>
      </w:r>
      <w:r w:rsidR="00BB163A" w:rsidRPr="007C39F0">
        <w:rPr>
          <w:rFonts w:cs="Times New Roman"/>
          <w:sz w:val="24"/>
          <w:szCs w:val="24"/>
        </w:rPr>
        <w:t xml:space="preserve">the </w:t>
      </w:r>
      <w:r w:rsidRPr="007C39F0">
        <w:rPr>
          <w:rFonts w:cs="Times New Roman"/>
          <w:sz w:val="24"/>
          <w:szCs w:val="24"/>
        </w:rPr>
        <w:t xml:space="preserve">influence of an individual’s </w:t>
      </w:r>
      <w:r w:rsidR="00E51836" w:rsidRPr="007C39F0">
        <w:rPr>
          <w:rFonts w:cs="Times New Roman"/>
          <w:sz w:val="24"/>
          <w:szCs w:val="24"/>
        </w:rPr>
        <w:t>socioeconomic</w:t>
      </w:r>
      <w:r w:rsidR="00BB163A" w:rsidRPr="007C39F0">
        <w:rPr>
          <w:rFonts w:cs="Times New Roman"/>
          <w:sz w:val="24"/>
          <w:szCs w:val="24"/>
        </w:rPr>
        <w:t xml:space="preserve"> context </w:t>
      </w:r>
      <w:r w:rsidRPr="007C39F0">
        <w:rPr>
          <w:rFonts w:cs="Times New Roman"/>
          <w:sz w:val="24"/>
          <w:szCs w:val="24"/>
        </w:rPr>
        <w:t>on BMI</w:t>
      </w:r>
      <w:r w:rsidR="00BB163A" w:rsidRPr="007C39F0">
        <w:rPr>
          <w:rFonts w:cs="Times New Roman"/>
          <w:sz w:val="24"/>
          <w:szCs w:val="24"/>
        </w:rPr>
        <w:t xml:space="preserve">. Individuals in poorer social circumstances are associated with higher BMI </w:t>
      </w:r>
      <w:r w:rsidR="00203F7D" w:rsidRPr="007C39F0">
        <w:rPr>
          <w:rFonts w:cs="Times New Roman"/>
          <w:sz w:val="24"/>
          <w:szCs w:val="24"/>
        </w:rPr>
        <w:fldChar w:fldCharType="begin" w:fldLock="1"/>
      </w:r>
      <w:r w:rsidR="00DB1C27">
        <w:rPr>
          <w:rFonts w:cs="Times New Roman"/>
          <w:sz w:val="24"/>
          <w:szCs w:val="24"/>
        </w:rPr>
        <w:instrText>ADDIN CSL_CITATION {"citationItems":[{"id":"ITEM-1","itemData":{"author":[{"dropping-particle":"","family":"Norris","given":"Tom","non-dropping-particle":"","parse-names":false,"suffix":""},{"dropping-particle":"","family":"Bann","given":"David","non-dropping-particle":"","parse-names":false,"suffix":""},{"dropping-particle":"","family":"Hardy","given":"Rebecca","non-dropping-particle":"","parse-names":false,"suffix":""},{"dropping-particle":"","family":"Johnson","given":"William","non-dropping-particle":"","parse-names":false,"suffix":""}],"container-title":"International Journal of Obesity","id":"ITEM-1","issued":{"date-parts":[["2020"]]},"page":"388-398","title":"Socioeconomic inequalities in childhood-to-adulthood BMI tracking in three British birth cohorts","type":"article-journal","volume":"44"},"uris":["http://www.mendeley.com/documents/?uuid=fce05524-6aac-4812-9491-90c1648ef777"]}],"mendeley":{"formattedCitation":"(Norris et al., 2020)","plainTextFormattedCitation":"(Norris et al., 2020)","previouslyFormattedCitation":"(Norris et al., 2020)"},"properties":{"noteIndex":0},"schema":"https://github.com/citation-style-language/schema/raw/master/csl-citation.json"}</w:instrText>
      </w:r>
      <w:r w:rsidR="00203F7D" w:rsidRPr="007C39F0">
        <w:rPr>
          <w:rFonts w:cs="Times New Roman"/>
          <w:sz w:val="24"/>
          <w:szCs w:val="24"/>
        </w:rPr>
        <w:fldChar w:fldCharType="separate"/>
      </w:r>
      <w:r w:rsidR="00664797" w:rsidRPr="00664797">
        <w:rPr>
          <w:rFonts w:cs="Times New Roman"/>
          <w:noProof/>
          <w:sz w:val="24"/>
          <w:szCs w:val="24"/>
        </w:rPr>
        <w:t>(Norris et al., 2020)</w:t>
      </w:r>
      <w:r w:rsidR="00203F7D" w:rsidRPr="007C39F0">
        <w:rPr>
          <w:rFonts w:cs="Times New Roman"/>
          <w:sz w:val="24"/>
          <w:szCs w:val="24"/>
        </w:rPr>
        <w:fldChar w:fldCharType="end"/>
      </w:r>
      <w:r w:rsidR="00E34E37">
        <w:rPr>
          <w:rFonts w:cs="Times New Roman"/>
          <w:sz w:val="24"/>
          <w:szCs w:val="24"/>
        </w:rPr>
        <w:t xml:space="preserve">, due to a complex myriad of material and social factors including fewer resources to purchase healthy foods or </w:t>
      </w:r>
      <w:r w:rsidR="0056564B">
        <w:rPr>
          <w:rFonts w:cs="Times New Roman"/>
          <w:sz w:val="24"/>
          <w:szCs w:val="24"/>
        </w:rPr>
        <w:t>greater access to obesogenic environments that facilitate unhealthy diets</w:t>
      </w:r>
      <w:r w:rsidR="00976980">
        <w:rPr>
          <w:rFonts w:cs="Times New Roman"/>
          <w:sz w:val="24"/>
          <w:szCs w:val="24"/>
        </w:rPr>
        <w:t>.</w:t>
      </w:r>
      <w:r w:rsidR="00BB163A" w:rsidRPr="007C39F0">
        <w:rPr>
          <w:rFonts w:cs="Times New Roman"/>
          <w:sz w:val="24"/>
          <w:szCs w:val="24"/>
        </w:rPr>
        <w:t xml:space="preserve"> </w:t>
      </w:r>
      <w:r w:rsidR="00401061">
        <w:rPr>
          <w:rFonts w:cs="Times New Roman"/>
          <w:sz w:val="24"/>
          <w:szCs w:val="24"/>
        </w:rPr>
        <w:t xml:space="preserve">Measuring socioeconomic context is complex and </w:t>
      </w:r>
      <w:r w:rsidR="00417DD7">
        <w:rPr>
          <w:rFonts w:cs="Times New Roman"/>
          <w:sz w:val="24"/>
          <w:szCs w:val="24"/>
        </w:rPr>
        <w:t>unlikely to be covered by a single variable. W</w:t>
      </w:r>
      <w:r w:rsidR="00401061">
        <w:rPr>
          <w:rFonts w:cs="Times New Roman"/>
          <w:sz w:val="24"/>
          <w:szCs w:val="24"/>
        </w:rPr>
        <w:t xml:space="preserve">e </w:t>
      </w:r>
      <w:r w:rsidR="00417DD7">
        <w:rPr>
          <w:rFonts w:cs="Times New Roman"/>
          <w:sz w:val="24"/>
          <w:szCs w:val="24"/>
        </w:rPr>
        <w:t>elected</w:t>
      </w:r>
      <w:r w:rsidR="00401061">
        <w:rPr>
          <w:rFonts w:cs="Times New Roman"/>
          <w:sz w:val="24"/>
          <w:szCs w:val="24"/>
        </w:rPr>
        <w:t xml:space="preserve"> to use two commonly used measures: </w:t>
      </w:r>
      <w:r w:rsidR="00BB163A" w:rsidRPr="007C39F0">
        <w:rPr>
          <w:rFonts w:cs="Times New Roman"/>
          <w:sz w:val="24"/>
          <w:szCs w:val="24"/>
        </w:rPr>
        <w:t xml:space="preserve">educational attainment and occupation. </w:t>
      </w:r>
      <w:r w:rsidR="00417DD7">
        <w:rPr>
          <w:rFonts w:cs="Times New Roman"/>
          <w:sz w:val="24"/>
          <w:szCs w:val="24"/>
        </w:rPr>
        <w:t xml:space="preserve">While education and occupation are correlated together, their effects on body weight also operate on different causal pathways. </w:t>
      </w:r>
      <w:r w:rsidR="00BB163A" w:rsidRPr="007C39F0">
        <w:rPr>
          <w:rFonts w:cs="Times New Roman"/>
          <w:sz w:val="24"/>
          <w:szCs w:val="24"/>
        </w:rPr>
        <w:t xml:space="preserve">Education represents both an individual’s ability to </w:t>
      </w:r>
      <w:r w:rsidR="00BB163A" w:rsidRPr="007C39F0">
        <w:rPr>
          <w:rFonts w:cs="Times New Roman"/>
          <w:sz w:val="24"/>
          <w:szCs w:val="24"/>
        </w:rPr>
        <w:lastRenderedPageBreak/>
        <w:t>access higher paid jobs, as well as their cognitive ability to understand health</w:t>
      </w:r>
      <w:r w:rsidR="00417DD7">
        <w:rPr>
          <w:rFonts w:cs="Times New Roman"/>
          <w:sz w:val="24"/>
          <w:szCs w:val="24"/>
        </w:rPr>
        <w:t>-related</w:t>
      </w:r>
      <w:r w:rsidR="00BB163A" w:rsidRPr="007C39F0">
        <w:rPr>
          <w:rFonts w:cs="Times New Roman"/>
          <w:sz w:val="24"/>
          <w:szCs w:val="24"/>
        </w:rPr>
        <w:t xml:space="preserve"> information. We selected an individual’s highest educational attainment and grouped them as ‘no qualifications’, ‘secondary level or equivalent’, ‘A-level of equivalent’ and ‘degree level, equivalent or higher’. Occupation</w:t>
      </w:r>
      <w:r w:rsidR="000A73C6" w:rsidRPr="007C39F0">
        <w:rPr>
          <w:rFonts w:cs="Times New Roman"/>
          <w:sz w:val="24"/>
          <w:szCs w:val="24"/>
        </w:rPr>
        <w:t>, representing an individual’s socioeconomic position</w:t>
      </w:r>
      <w:r w:rsidR="00417DD7">
        <w:rPr>
          <w:rFonts w:cs="Times New Roman"/>
          <w:sz w:val="24"/>
          <w:szCs w:val="24"/>
        </w:rPr>
        <w:t xml:space="preserve"> as well as their access to material resources</w:t>
      </w:r>
      <w:r w:rsidR="000A73C6" w:rsidRPr="007C39F0">
        <w:rPr>
          <w:rFonts w:cs="Times New Roman"/>
          <w:sz w:val="24"/>
          <w:szCs w:val="24"/>
        </w:rPr>
        <w:t>,</w:t>
      </w:r>
      <w:r w:rsidR="00BB163A" w:rsidRPr="007C39F0">
        <w:rPr>
          <w:rFonts w:cs="Times New Roman"/>
          <w:sz w:val="24"/>
          <w:szCs w:val="24"/>
        </w:rPr>
        <w:t xml:space="preserve"> </w:t>
      </w:r>
      <w:r w:rsidR="001279AC" w:rsidRPr="007C39F0">
        <w:rPr>
          <w:rFonts w:cs="Times New Roman"/>
          <w:sz w:val="24"/>
          <w:szCs w:val="24"/>
        </w:rPr>
        <w:t>was measured using the National Statistics Socio-economic Classification (NS-</w:t>
      </w:r>
      <w:proofErr w:type="spellStart"/>
      <w:r w:rsidR="001279AC" w:rsidRPr="007C39F0">
        <w:rPr>
          <w:rFonts w:cs="Times New Roman"/>
          <w:sz w:val="24"/>
          <w:szCs w:val="24"/>
        </w:rPr>
        <w:t>SeC</w:t>
      </w:r>
      <w:proofErr w:type="spellEnd"/>
      <w:r w:rsidR="001279AC" w:rsidRPr="007C39F0">
        <w:rPr>
          <w:rFonts w:cs="Times New Roman"/>
          <w:sz w:val="24"/>
          <w:szCs w:val="24"/>
        </w:rPr>
        <w:t>) which categorised occupations into ‘low’, ‘medium’ and ‘high’</w:t>
      </w:r>
      <w:r w:rsidR="000A73C6" w:rsidRPr="007C39F0">
        <w:rPr>
          <w:rFonts w:cs="Times New Roman"/>
          <w:sz w:val="24"/>
          <w:szCs w:val="24"/>
        </w:rPr>
        <w:t xml:space="preserve"> occupations</w:t>
      </w:r>
      <w:r w:rsidR="001279AC" w:rsidRPr="007C39F0">
        <w:rPr>
          <w:rFonts w:cs="Times New Roman"/>
          <w:sz w:val="24"/>
          <w:szCs w:val="24"/>
        </w:rPr>
        <w:t>.</w:t>
      </w:r>
      <w:r w:rsidR="001E3A0E">
        <w:rPr>
          <w:rFonts w:cs="Times New Roman"/>
          <w:sz w:val="24"/>
          <w:szCs w:val="24"/>
        </w:rPr>
        <w:t xml:space="preserve"> </w:t>
      </w:r>
    </w:p>
    <w:p w14:paraId="7EDFD8BD" w14:textId="77777777" w:rsidR="00454F47" w:rsidRPr="007C39F0" w:rsidRDefault="00454F47" w:rsidP="00675EB5">
      <w:pPr>
        <w:spacing w:line="480" w:lineRule="auto"/>
        <w:rPr>
          <w:rFonts w:cs="Times New Roman"/>
          <w:i/>
          <w:sz w:val="24"/>
          <w:szCs w:val="24"/>
        </w:rPr>
      </w:pPr>
      <w:r w:rsidRPr="007C39F0">
        <w:rPr>
          <w:rFonts w:cs="Times New Roman"/>
          <w:i/>
          <w:sz w:val="24"/>
          <w:szCs w:val="24"/>
        </w:rPr>
        <w:t>Statistical Analysis</w:t>
      </w:r>
    </w:p>
    <w:p w14:paraId="6C8AC16B" w14:textId="1DD9FFB4" w:rsidR="00110B2E" w:rsidRPr="007C39F0" w:rsidRDefault="00110B2E" w:rsidP="00675EB5">
      <w:pPr>
        <w:spacing w:line="480" w:lineRule="auto"/>
        <w:rPr>
          <w:rFonts w:cs="Times New Roman"/>
          <w:sz w:val="24"/>
          <w:szCs w:val="24"/>
        </w:rPr>
      </w:pPr>
      <w:r w:rsidRPr="007C39F0">
        <w:rPr>
          <w:rFonts w:cs="Times New Roman"/>
          <w:sz w:val="24"/>
          <w:szCs w:val="24"/>
        </w:rPr>
        <w:t xml:space="preserve">Our analytical strategy had two main stages. Firstly, we </w:t>
      </w:r>
      <w:r w:rsidR="009A65A4" w:rsidRPr="007C39F0">
        <w:rPr>
          <w:rFonts w:cs="Times New Roman"/>
          <w:sz w:val="24"/>
          <w:szCs w:val="24"/>
        </w:rPr>
        <w:t xml:space="preserve">estimate </w:t>
      </w:r>
      <w:r w:rsidR="00625666" w:rsidRPr="007C39F0">
        <w:rPr>
          <w:rFonts w:cs="Times New Roman"/>
          <w:sz w:val="24"/>
          <w:szCs w:val="24"/>
        </w:rPr>
        <w:t xml:space="preserve">unconditional </w:t>
      </w:r>
      <w:r w:rsidRPr="007C39F0">
        <w:rPr>
          <w:rFonts w:cs="Times New Roman"/>
          <w:sz w:val="24"/>
          <w:szCs w:val="24"/>
        </w:rPr>
        <w:t>quantile regression</w:t>
      </w:r>
      <w:r w:rsidR="00625666" w:rsidRPr="007C39F0">
        <w:rPr>
          <w:rFonts w:cs="Times New Roman"/>
          <w:sz w:val="24"/>
          <w:szCs w:val="24"/>
        </w:rPr>
        <w:t xml:space="preserve"> </w:t>
      </w:r>
      <w:r w:rsidRPr="007C39F0">
        <w:rPr>
          <w:rFonts w:cs="Times New Roman"/>
          <w:sz w:val="24"/>
          <w:szCs w:val="24"/>
        </w:rPr>
        <w:t xml:space="preserve">models to examine </w:t>
      </w:r>
      <w:r w:rsidR="009A65A4" w:rsidRPr="007C39F0">
        <w:rPr>
          <w:rFonts w:cs="Times New Roman"/>
          <w:sz w:val="24"/>
          <w:szCs w:val="24"/>
        </w:rPr>
        <w:t xml:space="preserve">the association between </w:t>
      </w:r>
      <w:r w:rsidRPr="007C39F0">
        <w:rPr>
          <w:rFonts w:cs="Times New Roman"/>
          <w:sz w:val="24"/>
          <w:szCs w:val="24"/>
        </w:rPr>
        <w:t>BMI</w:t>
      </w:r>
      <w:r w:rsidR="009A65A4" w:rsidRPr="007C39F0">
        <w:rPr>
          <w:rFonts w:cs="Times New Roman"/>
          <w:sz w:val="24"/>
          <w:szCs w:val="24"/>
        </w:rPr>
        <w:t xml:space="preserve"> and our explanatory variables</w:t>
      </w:r>
      <w:r w:rsidRPr="007C39F0">
        <w:rPr>
          <w:rFonts w:cs="Times New Roman"/>
          <w:sz w:val="24"/>
          <w:szCs w:val="24"/>
        </w:rPr>
        <w:t xml:space="preserve"> </w:t>
      </w:r>
      <w:r w:rsidR="000A73C6" w:rsidRPr="007C39F0">
        <w:rPr>
          <w:rFonts w:cs="Times New Roman"/>
          <w:sz w:val="24"/>
          <w:szCs w:val="24"/>
        </w:rPr>
        <w:t>at each time period</w:t>
      </w:r>
      <w:r w:rsidRPr="007C39F0">
        <w:rPr>
          <w:rFonts w:cs="Times New Roman"/>
          <w:sz w:val="24"/>
          <w:szCs w:val="24"/>
        </w:rPr>
        <w:t xml:space="preserve">. The </w:t>
      </w:r>
      <w:r w:rsidR="00E97FEC" w:rsidRPr="007C39F0">
        <w:rPr>
          <w:rFonts w:cs="Times New Roman"/>
          <w:sz w:val="24"/>
          <w:szCs w:val="24"/>
        </w:rPr>
        <w:t>main advantage</w:t>
      </w:r>
      <w:r w:rsidRPr="007C39F0">
        <w:rPr>
          <w:rFonts w:cs="Times New Roman"/>
          <w:sz w:val="24"/>
          <w:szCs w:val="24"/>
        </w:rPr>
        <w:t xml:space="preserve"> of quantile regression is the ability to examine how each explanatory variable varies in strength and association across the entire BMI distribution</w:t>
      </w:r>
      <w:r w:rsidR="00701B14" w:rsidRPr="007C39F0">
        <w:rPr>
          <w:rFonts w:cs="Times New Roman"/>
          <w:sz w:val="24"/>
          <w:szCs w:val="24"/>
        </w:rPr>
        <w:t>,</w:t>
      </w:r>
      <w:r w:rsidRPr="007C39F0">
        <w:rPr>
          <w:rFonts w:cs="Times New Roman"/>
          <w:sz w:val="24"/>
          <w:szCs w:val="24"/>
        </w:rPr>
        <w:t xml:space="preserve"> rather than </w:t>
      </w:r>
      <w:r w:rsidR="00076AD7" w:rsidRPr="007C39F0">
        <w:rPr>
          <w:rFonts w:cs="Times New Roman"/>
          <w:sz w:val="24"/>
          <w:szCs w:val="24"/>
        </w:rPr>
        <w:t>only</w:t>
      </w:r>
      <w:r w:rsidRPr="007C39F0">
        <w:rPr>
          <w:rFonts w:cs="Times New Roman"/>
          <w:sz w:val="24"/>
          <w:szCs w:val="24"/>
        </w:rPr>
        <w:t xml:space="preserve"> at the mean</w:t>
      </w:r>
      <w:r w:rsidR="00976980">
        <w:rPr>
          <w:rFonts w:cs="Times New Roman"/>
          <w:sz w:val="24"/>
          <w:szCs w:val="24"/>
        </w:rPr>
        <w:t xml:space="preserve"> </w:t>
      </w:r>
      <w:r w:rsidR="00EA6E49" w:rsidRPr="007C39F0">
        <w:rPr>
          <w:rFonts w:cs="Times New Roman"/>
          <w:sz w:val="24"/>
          <w:szCs w:val="24"/>
        </w:rPr>
        <w:fldChar w:fldCharType="begin" w:fldLock="1"/>
      </w:r>
      <w:r w:rsidR="005C6FF1">
        <w:rPr>
          <w:rFonts w:cs="Times New Roman"/>
          <w:sz w:val="24"/>
          <w:szCs w:val="24"/>
        </w:rPr>
        <w:instrText>ADDIN CSL_CITATION {"citationItems":[{"id":"ITEM-1","itemData":{"DOI":"10.1002/oby.20618","author":[{"dropping-particle":"","family":"Bottai","given":"Matteo","non-dropping-particle":"","parse-names":false,"suffix":""},{"dropping-particle":"","family":"Frongillo","given":"Edward A","non-dropping-particle":"","parse-names":false,"suffix":""},{"dropping-particle":"","family":"Sui","given":"Xuemei","non-dropping-particle":"","parse-names":false,"suffix":""},{"dropping-particle":"","family":"Neill","given":"Jennifer R O","non-dropping-particle":"","parse-names":false,"suffix":""},{"dropping-particle":"","family":"Mckeown","given":"Robert E","non-dropping-particle":"","parse-names":false,"suffix":""},{"dropping-particle":"","family":"Burns","given":"Trudy L","non-dropping-particle":"","parse-names":false,"suffix":""},{"dropping-particle":"","family":"Liese","given":"Angela D","non-dropping-particle":"","parse-names":false,"suffix":""},{"dropping-particle":"","family":"Blair","given":"Steven N","non-dropping-particle":"","parse-names":false,"suffix":""},{"dropping-particle":"","family":"Pate","given":"Russell R","non-dropping-particle":"","parse-names":false,"suffix":""}],"container-title":"Obesity","id":"ITEM-1","issue":"5","issued":{"date-parts":[["2014"]]},"page":"149-156","title":"Use of Quantile Regression to Investigate the Longitudinal Association between Physical Activity and Body Mass Index","type":"article-journal","volume":"22"},"uris":["http://www.mendeley.com/documents/?uuid=c2d2d888-dce7-478e-92b0-4b0ef0f6024c","http://www.mendeley.com/documents/?uuid=f1da0275-34be-407f-b50b-7f8855ccd751"]},{"id":"ITEM-2","itemData":{"DOI":"10.1007/s10818-019-09283-3","ISSN":"1573-6989","abstract":"India is facing a public health problem of both over-nutrition and persistent under-nutrition. This paper studies the transition in body mass index distribution in India from 2005/2006 to 2015/2016. The change in the distribution is characterized not only by a locational shift but also a shape change. As well as the mean difference decomposition, this study implements a quantile decomposition analysis and decomposes the differentials at various quantile points of the distributions. For both men and women, the largest increases are observed in the middle and upper quantiles of the distribution. These increases are well explained by the changes in the individual’s characteristics. The improvement in living standards makes a significant contribution to the increase in BMI at the right tail of the distribution, where its higher relative importance is observed. This study shows new evidence for the substantial heterogeneity of the contributory factors and their impacts across the distribution.","author":[{"dropping-particle":"","family":"Aizawa","given":"Toshiaki","non-dropping-particle":"","parse-names":false,"suffix":""}],"container-title":"Journal of Bioeconomics","id":"ITEM-2","issue":"1","issued":{"date-parts":[["2019"]]},"page":"3-36","title":"Transition of the BMI distribution in India: evidence from a distributional decomposition analysis","type":"article-journal","volume":"21"},"uris":["http://www.mendeley.com/documents/?uuid=a090a867-a877-4bce-9a10-0f5a563a51cb"]}],"mendeley":{"formattedCitation":"(Aizawa, 2019; Bottai et al., 2014)","plainTextFormattedCitation":"(Aizawa, 2019; Bottai et al., 2014)","previouslyFormattedCitation":"(Aizawa, 2019; Bottai et al., 2014)"},"properties":{"noteIndex":0},"schema":"https://github.com/citation-style-language/schema/raw/master/csl-citation.json"}</w:instrText>
      </w:r>
      <w:r w:rsidR="00EA6E49" w:rsidRPr="007C39F0">
        <w:rPr>
          <w:rFonts w:cs="Times New Roman"/>
          <w:sz w:val="24"/>
          <w:szCs w:val="24"/>
        </w:rPr>
        <w:fldChar w:fldCharType="separate"/>
      </w:r>
      <w:r w:rsidR="005C6FF1" w:rsidRPr="005C6FF1">
        <w:rPr>
          <w:rFonts w:cs="Times New Roman"/>
          <w:noProof/>
          <w:sz w:val="24"/>
          <w:szCs w:val="24"/>
        </w:rPr>
        <w:t>(Aizawa, 2019; Bottai et al., 2014)</w:t>
      </w:r>
      <w:r w:rsidR="00EA6E49" w:rsidRPr="007C39F0">
        <w:rPr>
          <w:rFonts w:cs="Times New Roman"/>
          <w:sz w:val="24"/>
          <w:szCs w:val="24"/>
        </w:rPr>
        <w:fldChar w:fldCharType="end"/>
      </w:r>
      <w:r w:rsidR="00976980">
        <w:rPr>
          <w:rFonts w:cs="Times New Roman"/>
          <w:sz w:val="24"/>
          <w:szCs w:val="24"/>
        </w:rPr>
        <w:t>.</w:t>
      </w:r>
      <w:r w:rsidRPr="007C39F0">
        <w:rPr>
          <w:rFonts w:cs="Times New Roman"/>
          <w:sz w:val="24"/>
          <w:szCs w:val="24"/>
        </w:rPr>
        <w:t xml:space="preserve"> </w:t>
      </w:r>
      <w:r w:rsidR="006821DC">
        <w:rPr>
          <w:rFonts w:cs="Times New Roman"/>
          <w:sz w:val="24"/>
          <w:szCs w:val="24"/>
        </w:rPr>
        <w:t xml:space="preserve">In addition, with the population distribution of BMI positively skewed </w:t>
      </w:r>
      <w:r w:rsidR="006821DC">
        <w:rPr>
          <w:rFonts w:cs="Times New Roman"/>
          <w:sz w:val="24"/>
          <w:szCs w:val="24"/>
        </w:rPr>
        <w:fldChar w:fldCharType="begin" w:fldLock="1"/>
      </w:r>
      <w:r w:rsidR="005B0E3C">
        <w:rPr>
          <w:rFonts w:cs="Times New Roman"/>
          <w:sz w:val="24"/>
          <w:szCs w:val="24"/>
        </w:rPr>
        <w:instrText>ADDIN CSL_CITATION {"citationItems":[{"id":"ITEM-1","itemData":{"DOI":"10.1136/jech-2015-206468","author":[{"dropping-particle":"","family":"Green","given":"M A","non-dropping-particle":"","parse-names":false,"suffix":""},{"dropping-particle":"V","family":"Subramanian","given":"S","non-dropping-particle":"","parse-names":false,"suffix":""},{"dropping-particle":"","family":"Razak","given":"F","non-dropping-particle":"","parse-names":false,"suffix":""}],"container-title":"Journal of Epidemiology &amp; Community Health","id":"ITEM-1","issued":{"date-parts":[["2016"]]},"page":"832-835","title":"Population-level trends in the distribution of body mass index in England, 1992 – 2013","type":"article-journal","volume":"70"},"uris":["http://www.mendeley.com/documents/?uuid=57f0556b-ffe9-4bcc-95d6-1aa5c21c575a"]}],"mendeley":{"formattedCitation":"(Green et al., 2016)","plainTextFormattedCitation":"(Green et al., 2016)","previouslyFormattedCitation":"(Green et al., 2016)"},"properties":{"noteIndex":0},"schema":"https://github.com/citation-style-language/schema/raw/master/csl-citation.json"}</w:instrText>
      </w:r>
      <w:r w:rsidR="006821DC">
        <w:rPr>
          <w:rFonts w:cs="Times New Roman"/>
          <w:sz w:val="24"/>
          <w:szCs w:val="24"/>
        </w:rPr>
        <w:fldChar w:fldCharType="separate"/>
      </w:r>
      <w:r w:rsidR="006821DC" w:rsidRPr="006821DC">
        <w:rPr>
          <w:rFonts w:cs="Times New Roman"/>
          <w:noProof/>
          <w:sz w:val="24"/>
          <w:szCs w:val="24"/>
        </w:rPr>
        <w:t>(Green et al., 2016)</w:t>
      </w:r>
      <w:r w:rsidR="006821DC">
        <w:rPr>
          <w:rFonts w:cs="Times New Roman"/>
          <w:sz w:val="24"/>
          <w:szCs w:val="24"/>
        </w:rPr>
        <w:fldChar w:fldCharType="end"/>
      </w:r>
      <w:r w:rsidR="006821DC">
        <w:rPr>
          <w:rFonts w:cs="Times New Roman"/>
          <w:sz w:val="24"/>
          <w:szCs w:val="24"/>
        </w:rPr>
        <w:t xml:space="preserve">, mean centric approaches may be less appropriate as measures of central tendency. </w:t>
      </w:r>
      <w:r w:rsidRPr="007C39F0">
        <w:rPr>
          <w:rFonts w:cs="Times New Roman"/>
          <w:sz w:val="24"/>
          <w:szCs w:val="24"/>
        </w:rPr>
        <w:t>We analysed the 10</w:t>
      </w:r>
      <w:r w:rsidRPr="007C39F0">
        <w:rPr>
          <w:rFonts w:cs="Times New Roman"/>
          <w:sz w:val="24"/>
          <w:szCs w:val="24"/>
          <w:vertAlign w:val="superscript"/>
        </w:rPr>
        <w:t>th</w:t>
      </w:r>
      <w:r w:rsidRPr="007C39F0">
        <w:rPr>
          <w:rFonts w:cs="Times New Roman"/>
          <w:sz w:val="24"/>
          <w:szCs w:val="24"/>
        </w:rPr>
        <w:t>, 50</w:t>
      </w:r>
      <w:r w:rsidRPr="007C39F0">
        <w:rPr>
          <w:rFonts w:cs="Times New Roman"/>
          <w:sz w:val="24"/>
          <w:szCs w:val="24"/>
          <w:vertAlign w:val="superscript"/>
        </w:rPr>
        <w:t>th</w:t>
      </w:r>
      <w:r w:rsidRPr="007C39F0">
        <w:rPr>
          <w:rFonts w:cs="Times New Roman"/>
          <w:sz w:val="24"/>
          <w:szCs w:val="24"/>
        </w:rPr>
        <w:t xml:space="preserve"> and 90</w:t>
      </w:r>
      <w:r w:rsidRPr="007C39F0">
        <w:rPr>
          <w:rFonts w:cs="Times New Roman"/>
          <w:sz w:val="24"/>
          <w:szCs w:val="24"/>
          <w:vertAlign w:val="superscript"/>
        </w:rPr>
        <w:t>th</w:t>
      </w:r>
      <w:r w:rsidRPr="007C39F0">
        <w:rPr>
          <w:rFonts w:cs="Times New Roman"/>
          <w:sz w:val="24"/>
          <w:szCs w:val="24"/>
        </w:rPr>
        <w:t xml:space="preserve"> </w:t>
      </w:r>
      <w:r w:rsidR="0000079A" w:rsidRPr="007C39F0">
        <w:rPr>
          <w:rFonts w:cs="Times New Roman"/>
          <w:sz w:val="24"/>
          <w:szCs w:val="24"/>
        </w:rPr>
        <w:t>percentiles</w:t>
      </w:r>
      <w:r w:rsidRPr="007C39F0">
        <w:rPr>
          <w:rFonts w:cs="Times New Roman"/>
          <w:sz w:val="24"/>
          <w:szCs w:val="24"/>
        </w:rPr>
        <w:t xml:space="preserve">. While our focus is to understand changes at the </w:t>
      </w:r>
      <w:r w:rsidR="00C435D6" w:rsidRPr="007C39F0">
        <w:rPr>
          <w:rFonts w:cs="Times New Roman"/>
          <w:sz w:val="24"/>
          <w:szCs w:val="24"/>
        </w:rPr>
        <w:t xml:space="preserve">right </w:t>
      </w:r>
      <w:r w:rsidR="000969D0" w:rsidRPr="007C39F0">
        <w:rPr>
          <w:rFonts w:cs="Times New Roman"/>
          <w:sz w:val="24"/>
          <w:szCs w:val="24"/>
        </w:rPr>
        <w:t>tail</w:t>
      </w:r>
      <w:r w:rsidRPr="007C39F0">
        <w:rPr>
          <w:rFonts w:cs="Times New Roman"/>
          <w:sz w:val="24"/>
          <w:szCs w:val="24"/>
        </w:rPr>
        <w:t xml:space="preserve"> </w:t>
      </w:r>
      <w:r w:rsidR="00667A3C">
        <w:rPr>
          <w:rFonts w:cs="Times New Roman"/>
          <w:sz w:val="24"/>
          <w:szCs w:val="24"/>
        </w:rPr>
        <w:t>(90</w:t>
      </w:r>
      <w:r w:rsidR="00667A3C" w:rsidRPr="002759E1">
        <w:rPr>
          <w:rFonts w:cs="Times New Roman"/>
          <w:sz w:val="24"/>
          <w:szCs w:val="24"/>
          <w:vertAlign w:val="superscript"/>
        </w:rPr>
        <w:t>th</w:t>
      </w:r>
      <w:r w:rsidR="00667A3C">
        <w:rPr>
          <w:rFonts w:cs="Times New Roman"/>
          <w:sz w:val="24"/>
          <w:szCs w:val="24"/>
        </w:rPr>
        <w:t xml:space="preserve">) </w:t>
      </w:r>
      <w:r w:rsidRPr="007C39F0">
        <w:rPr>
          <w:rFonts w:cs="Times New Roman"/>
          <w:sz w:val="24"/>
          <w:szCs w:val="24"/>
        </w:rPr>
        <w:t xml:space="preserve">of the distribution, we also examined changes at the </w:t>
      </w:r>
      <w:r w:rsidR="00C435D6" w:rsidRPr="007C39F0">
        <w:rPr>
          <w:rFonts w:cs="Times New Roman"/>
          <w:sz w:val="24"/>
          <w:szCs w:val="24"/>
        </w:rPr>
        <w:t xml:space="preserve">left </w:t>
      </w:r>
      <w:r w:rsidR="00667A3C">
        <w:rPr>
          <w:rFonts w:cs="Times New Roman"/>
          <w:sz w:val="24"/>
          <w:szCs w:val="24"/>
        </w:rPr>
        <w:t>(10</w:t>
      </w:r>
      <w:r w:rsidR="00667A3C" w:rsidRPr="002759E1">
        <w:rPr>
          <w:rFonts w:cs="Times New Roman"/>
          <w:sz w:val="24"/>
          <w:szCs w:val="24"/>
          <w:vertAlign w:val="superscript"/>
        </w:rPr>
        <w:t>th</w:t>
      </w:r>
      <w:r w:rsidR="00667A3C">
        <w:rPr>
          <w:rFonts w:cs="Times New Roman"/>
          <w:sz w:val="24"/>
          <w:szCs w:val="24"/>
        </w:rPr>
        <w:t xml:space="preserve">) </w:t>
      </w:r>
      <w:r w:rsidRPr="007C39F0">
        <w:rPr>
          <w:rFonts w:cs="Times New Roman"/>
          <w:sz w:val="24"/>
          <w:szCs w:val="24"/>
        </w:rPr>
        <w:t xml:space="preserve">and middle </w:t>
      </w:r>
      <w:r w:rsidR="00667A3C">
        <w:rPr>
          <w:rFonts w:cs="Times New Roman"/>
          <w:sz w:val="24"/>
          <w:szCs w:val="24"/>
        </w:rPr>
        <w:t>(50</w:t>
      </w:r>
      <w:r w:rsidR="00667A3C" w:rsidRPr="002759E1">
        <w:rPr>
          <w:rFonts w:cs="Times New Roman"/>
          <w:sz w:val="24"/>
          <w:szCs w:val="24"/>
          <w:vertAlign w:val="superscript"/>
        </w:rPr>
        <w:t>th</w:t>
      </w:r>
      <w:r w:rsidR="00667A3C">
        <w:rPr>
          <w:rFonts w:cs="Times New Roman"/>
          <w:sz w:val="24"/>
          <w:szCs w:val="24"/>
        </w:rPr>
        <w:t xml:space="preserve">) </w:t>
      </w:r>
      <w:r w:rsidRPr="007C39F0">
        <w:rPr>
          <w:rFonts w:cs="Times New Roman"/>
          <w:sz w:val="24"/>
          <w:szCs w:val="24"/>
        </w:rPr>
        <w:t xml:space="preserve">of the distribution </w:t>
      </w:r>
      <w:r w:rsidR="006821DC">
        <w:rPr>
          <w:rFonts w:cs="Times New Roman"/>
          <w:sz w:val="24"/>
          <w:szCs w:val="24"/>
        </w:rPr>
        <w:t>a</w:t>
      </w:r>
      <w:r w:rsidR="007F62E5">
        <w:rPr>
          <w:rFonts w:cs="Times New Roman"/>
          <w:sz w:val="24"/>
          <w:szCs w:val="24"/>
        </w:rPr>
        <w:t>s points of reference to compare, interpret and situate the context of changes at the right tail (i.e. were findings observed across the entire distribution or just the right tail)</w:t>
      </w:r>
      <w:r w:rsidRPr="007C39F0">
        <w:rPr>
          <w:rFonts w:cs="Times New Roman"/>
          <w:sz w:val="24"/>
          <w:szCs w:val="24"/>
        </w:rPr>
        <w:t>.</w:t>
      </w:r>
    </w:p>
    <w:p w14:paraId="222B2254" w14:textId="2A613281" w:rsidR="00DA2D08" w:rsidRPr="007C39F0" w:rsidRDefault="00110B2E" w:rsidP="00675EB5">
      <w:pPr>
        <w:spacing w:line="480" w:lineRule="auto"/>
        <w:rPr>
          <w:rFonts w:cs="Times New Roman"/>
          <w:sz w:val="24"/>
          <w:szCs w:val="24"/>
        </w:rPr>
      </w:pPr>
      <w:r w:rsidRPr="007C39F0">
        <w:rPr>
          <w:rFonts w:cs="Times New Roman"/>
          <w:sz w:val="24"/>
          <w:szCs w:val="24"/>
        </w:rPr>
        <w:t xml:space="preserve">Secondly, we used decomposition analysis to </w:t>
      </w:r>
      <w:r w:rsidR="001C45D8" w:rsidRPr="007C39F0">
        <w:rPr>
          <w:rFonts w:cs="Times New Roman"/>
          <w:sz w:val="24"/>
          <w:szCs w:val="24"/>
        </w:rPr>
        <w:t xml:space="preserve">identify the factors that explain </w:t>
      </w:r>
      <w:r w:rsidRPr="007C39F0">
        <w:rPr>
          <w:rFonts w:cs="Times New Roman"/>
          <w:sz w:val="24"/>
          <w:szCs w:val="24"/>
        </w:rPr>
        <w:t>differences</w:t>
      </w:r>
      <w:r w:rsidR="00865B99" w:rsidRPr="007C39F0">
        <w:rPr>
          <w:rFonts w:cs="Times New Roman"/>
          <w:sz w:val="24"/>
          <w:szCs w:val="24"/>
        </w:rPr>
        <w:t xml:space="preserve"> in the BMI distribution</w:t>
      </w:r>
      <w:r w:rsidRPr="007C39F0">
        <w:rPr>
          <w:rFonts w:cs="Times New Roman"/>
          <w:sz w:val="24"/>
          <w:szCs w:val="24"/>
        </w:rPr>
        <w:t xml:space="preserve"> </w:t>
      </w:r>
      <w:r w:rsidR="001C45D8" w:rsidRPr="007C39F0">
        <w:rPr>
          <w:rFonts w:cs="Times New Roman"/>
          <w:sz w:val="24"/>
          <w:szCs w:val="24"/>
        </w:rPr>
        <w:t>between 200</w:t>
      </w:r>
      <w:r w:rsidR="00B94254" w:rsidRPr="007C39F0">
        <w:rPr>
          <w:rFonts w:cs="Times New Roman"/>
          <w:sz w:val="24"/>
          <w:szCs w:val="24"/>
        </w:rPr>
        <w:t>2-</w:t>
      </w:r>
      <w:r w:rsidR="001C45D8" w:rsidRPr="007C39F0">
        <w:rPr>
          <w:rFonts w:cs="Times New Roman"/>
          <w:sz w:val="24"/>
          <w:szCs w:val="24"/>
        </w:rPr>
        <w:t>4 and 201</w:t>
      </w:r>
      <w:r w:rsidR="00B94254" w:rsidRPr="007C39F0">
        <w:rPr>
          <w:rFonts w:cs="Times New Roman"/>
          <w:sz w:val="24"/>
          <w:szCs w:val="24"/>
        </w:rPr>
        <w:t>2-4</w:t>
      </w:r>
      <w:r w:rsidRPr="007C39F0">
        <w:rPr>
          <w:rFonts w:cs="Times New Roman"/>
          <w:sz w:val="24"/>
          <w:szCs w:val="24"/>
        </w:rPr>
        <w:t xml:space="preserve">. </w:t>
      </w:r>
      <w:r w:rsidR="00DA2D08" w:rsidRPr="007C39F0">
        <w:rPr>
          <w:rFonts w:cs="Times New Roman"/>
          <w:sz w:val="24"/>
          <w:szCs w:val="24"/>
        </w:rPr>
        <w:t>Differences at the 10</w:t>
      </w:r>
      <w:r w:rsidR="00732944" w:rsidRPr="007C39F0">
        <w:rPr>
          <w:rFonts w:cs="Times New Roman"/>
          <w:sz w:val="24"/>
          <w:szCs w:val="24"/>
          <w:vertAlign w:val="superscript"/>
        </w:rPr>
        <w:t>th</w:t>
      </w:r>
      <w:r w:rsidR="00DA2D08" w:rsidRPr="007C39F0">
        <w:rPr>
          <w:rFonts w:cs="Times New Roman"/>
          <w:sz w:val="24"/>
          <w:szCs w:val="24"/>
        </w:rPr>
        <w:t>, 50</w:t>
      </w:r>
      <w:r w:rsidR="00732944" w:rsidRPr="007C39F0">
        <w:rPr>
          <w:rFonts w:cs="Times New Roman"/>
          <w:sz w:val="24"/>
          <w:szCs w:val="24"/>
          <w:vertAlign w:val="superscript"/>
        </w:rPr>
        <w:t>th</w:t>
      </w:r>
      <w:r w:rsidR="00DA2D08" w:rsidRPr="007C39F0">
        <w:rPr>
          <w:rFonts w:cs="Times New Roman"/>
          <w:sz w:val="24"/>
          <w:szCs w:val="24"/>
        </w:rPr>
        <w:t xml:space="preserve"> and 90</w:t>
      </w:r>
      <w:r w:rsidR="00732944" w:rsidRPr="007C39F0">
        <w:rPr>
          <w:rFonts w:cs="Times New Roman"/>
          <w:sz w:val="24"/>
          <w:szCs w:val="24"/>
          <w:vertAlign w:val="superscript"/>
        </w:rPr>
        <w:t>th</w:t>
      </w:r>
      <w:r w:rsidR="00DA2D08" w:rsidRPr="007C39F0">
        <w:rPr>
          <w:rFonts w:cs="Times New Roman"/>
          <w:sz w:val="24"/>
          <w:szCs w:val="24"/>
        </w:rPr>
        <w:t xml:space="preserve"> percentiles were decomposed into two components: (1) differences in population </w:t>
      </w:r>
      <w:r w:rsidR="00DA2D08" w:rsidRPr="007C39F0">
        <w:rPr>
          <w:rFonts w:cs="Times New Roman"/>
          <w:sz w:val="24"/>
          <w:szCs w:val="24"/>
        </w:rPr>
        <w:lastRenderedPageBreak/>
        <w:t>composition (</w:t>
      </w:r>
      <w:r w:rsidR="00D60B6B" w:rsidRPr="007C39F0">
        <w:rPr>
          <w:rFonts w:cs="Times New Roman"/>
          <w:sz w:val="24"/>
          <w:szCs w:val="24"/>
        </w:rPr>
        <w:t>i.e.</w:t>
      </w:r>
      <w:r w:rsidR="00DA2D08" w:rsidRPr="007C39F0">
        <w:rPr>
          <w:rFonts w:cs="Times New Roman"/>
          <w:sz w:val="24"/>
          <w:szCs w:val="24"/>
        </w:rPr>
        <w:t xml:space="preserve"> characteristics</w:t>
      </w:r>
      <w:r w:rsidR="00D60B6B" w:rsidRPr="007C39F0">
        <w:rPr>
          <w:rFonts w:cs="Times New Roman"/>
          <w:sz w:val="24"/>
          <w:szCs w:val="24"/>
        </w:rPr>
        <w:t xml:space="preserve"> of individuals across the BMI distribution</w:t>
      </w:r>
      <w:r w:rsidR="00DA2D08" w:rsidRPr="007C39F0">
        <w:rPr>
          <w:rFonts w:cs="Times New Roman"/>
          <w:sz w:val="24"/>
          <w:szCs w:val="24"/>
        </w:rPr>
        <w:t xml:space="preserve">) and (2) </w:t>
      </w:r>
      <w:r w:rsidR="00D60B6B" w:rsidRPr="007C39F0">
        <w:rPr>
          <w:rFonts w:cs="Times New Roman"/>
          <w:sz w:val="24"/>
          <w:szCs w:val="24"/>
        </w:rPr>
        <w:t xml:space="preserve">differences </w:t>
      </w:r>
      <w:r w:rsidR="00DA2D08" w:rsidRPr="007C39F0">
        <w:rPr>
          <w:rFonts w:cs="Times New Roman"/>
          <w:sz w:val="24"/>
          <w:szCs w:val="24"/>
        </w:rPr>
        <w:t>in the relationship</w:t>
      </w:r>
      <w:r w:rsidR="00D60B6B" w:rsidRPr="007C39F0">
        <w:rPr>
          <w:rFonts w:cs="Times New Roman"/>
          <w:sz w:val="24"/>
          <w:szCs w:val="24"/>
        </w:rPr>
        <w:t>s</w:t>
      </w:r>
      <w:r w:rsidR="00DA2D08" w:rsidRPr="007C39F0">
        <w:rPr>
          <w:rFonts w:cs="Times New Roman"/>
          <w:sz w:val="24"/>
          <w:szCs w:val="24"/>
        </w:rPr>
        <w:t xml:space="preserve"> </w:t>
      </w:r>
      <w:r w:rsidR="00D60B6B" w:rsidRPr="007C39F0">
        <w:rPr>
          <w:rFonts w:cs="Times New Roman"/>
          <w:sz w:val="24"/>
          <w:szCs w:val="24"/>
        </w:rPr>
        <w:t>(i.e. coefficients) in our explanatory factors</w:t>
      </w:r>
      <w:r w:rsidR="00DA2D08" w:rsidRPr="007C39F0">
        <w:rPr>
          <w:rFonts w:cs="Times New Roman"/>
          <w:sz w:val="24"/>
          <w:szCs w:val="24"/>
        </w:rPr>
        <w:t xml:space="preserve">. </w:t>
      </w:r>
      <w:r w:rsidR="00D60B6B" w:rsidRPr="007C39F0">
        <w:rPr>
          <w:rFonts w:cs="Times New Roman"/>
          <w:sz w:val="24"/>
          <w:szCs w:val="24"/>
        </w:rPr>
        <w:t>W</w:t>
      </w:r>
      <w:r w:rsidR="00DA2D08" w:rsidRPr="007C39F0">
        <w:rPr>
          <w:rFonts w:cs="Times New Roman"/>
          <w:sz w:val="24"/>
          <w:szCs w:val="24"/>
        </w:rPr>
        <w:t xml:space="preserve">e used </w:t>
      </w:r>
      <w:r w:rsidR="003F398B" w:rsidRPr="007C39F0">
        <w:rPr>
          <w:rFonts w:cs="Times New Roman"/>
          <w:sz w:val="24"/>
          <w:szCs w:val="24"/>
        </w:rPr>
        <w:t>two</w:t>
      </w:r>
      <w:r w:rsidR="00DA2D08" w:rsidRPr="007C39F0">
        <w:rPr>
          <w:rFonts w:cs="Times New Roman"/>
          <w:sz w:val="24"/>
          <w:szCs w:val="24"/>
        </w:rPr>
        <w:t xml:space="preserve"> extensi</w:t>
      </w:r>
      <w:r w:rsidR="00C44C60" w:rsidRPr="007C39F0">
        <w:rPr>
          <w:rFonts w:cs="Times New Roman"/>
          <w:sz w:val="24"/>
          <w:szCs w:val="24"/>
        </w:rPr>
        <w:t>on</w:t>
      </w:r>
      <w:r w:rsidR="003F398B" w:rsidRPr="007C39F0">
        <w:rPr>
          <w:rFonts w:cs="Times New Roman"/>
          <w:sz w:val="24"/>
          <w:szCs w:val="24"/>
        </w:rPr>
        <w:t>s</w:t>
      </w:r>
      <w:r w:rsidR="00C44C60" w:rsidRPr="007C39F0">
        <w:rPr>
          <w:rFonts w:cs="Times New Roman"/>
          <w:sz w:val="24"/>
          <w:szCs w:val="24"/>
        </w:rPr>
        <w:t xml:space="preserve"> of the Oaxaca-</w:t>
      </w:r>
      <w:r w:rsidR="00DA2D08" w:rsidRPr="007C39F0">
        <w:rPr>
          <w:rFonts w:cs="Times New Roman"/>
          <w:sz w:val="24"/>
          <w:szCs w:val="24"/>
        </w:rPr>
        <w:t xml:space="preserve">Blinder decomposition approach </w:t>
      </w:r>
      <w:r w:rsidR="001C24AD" w:rsidRPr="007C39F0">
        <w:rPr>
          <w:rFonts w:cs="Times New Roman"/>
          <w:sz w:val="24"/>
          <w:szCs w:val="24"/>
        </w:rPr>
        <w:t>to quantile regression</w:t>
      </w:r>
      <w:r w:rsidR="00C50062">
        <w:rPr>
          <w:rFonts w:cs="Times New Roman"/>
          <w:sz w:val="24"/>
          <w:szCs w:val="24"/>
        </w:rPr>
        <w:t xml:space="preserve"> </w:t>
      </w:r>
      <w:r w:rsidR="00A53F0E" w:rsidRPr="007C39F0">
        <w:rPr>
          <w:rFonts w:cs="Times New Roman"/>
          <w:sz w:val="24"/>
          <w:szCs w:val="24"/>
        </w:rPr>
        <w:fldChar w:fldCharType="begin" w:fldLock="1"/>
      </w:r>
      <w:r w:rsidR="008152A8">
        <w:rPr>
          <w:rFonts w:cs="Times New Roman"/>
          <w:sz w:val="24"/>
          <w:szCs w:val="24"/>
        </w:rPr>
        <w:instrText>ADDIN CSL_CITATION {"citationItems":[{"id":"ITEM-1","itemData":{"author":[{"dropping-particle":"","family":"Blinder","given":"Alan S","non-dropping-particle":"","parse-names":false,"suffix":""}],"container-title":"The Journal of Human Resources","id":"ITEM-1","issue":"4","issued":{"date-parts":[["1973"]]},"page":"436-455","title":"Wage Discrimination: Reduced Form and Structural Estimates","type":"article-journal","volume":"8"},"uris":["http://www.mendeley.com/documents/?uuid=07154b53-78f9-456b-a790-a091d1559020","http://www.mendeley.com/documents/?uuid=5835449e-f4f0-476a-a89e-d7f308f8097f"]},{"id":"ITEM-2","itemData":{"author":[{"dropping-particle":"","family":"Oaxaca","given":"Ronald","non-dropping-particle":"","parse-names":false,"suffix":""}],"container-title":"International Economic Review","id":"ITEM-2","issue":"3","issued":{"date-parts":[["1973"]]},"page":"693-709","title":"Male-Female Wage Differentials in Urban Labor Markets","type":"article-journal","volume":"14"},"uris":["http://www.mendeley.com/documents/?uuid=6b4bb890-ad20-4c80-b536-336e4902bc86","http://www.mendeley.com/documents/?uuid=9c587a79-9049-4ca6-84d5-fbdcf0576db8"]}],"mendeley":{"formattedCitation":"(Blinder, 1973; Oaxaca, 1973)","plainTextFormattedCitation":"(Blinder, 1973; Oaxaca, 1973)","previouslyFormattedCitation":"(Blinder, 1973; Oaxaca, 1973)"},"properties":{"noteIndex":0},"schema":"https://github.com/citation-style-language/schema/raw/master/csl-citation.json"}</w:instrText>
      </w:r>
      <w:r w:rsidR="00A53F0E" w:rsidRPr="007C39F0">
        <w:rPr>
          <w:rFonts w:cs="Times New Roman"/>
          <w:sz w:val="24"/>
          <w:szCs w:val="24"/>
        </w:rPr>
        <w:fldChar w:fldCharType="separate"/>
      </w:r>
      <w:r w:rsidR="00C50062" w:rsidRPr="00C50062">
        <w:rPr>
          <w:rFonts w:cs="Times New Roman"/>
          <w:noProof/>
          <w:sz w:val="24"/>
          <w:szCs w:val="24"/>
        </w:rPr>
        <w:t>(Blinder, 1973; Oaxaca, 1973)</w:t>
      </w:r>
      <w:r w:rsidR="00A53F0E" w:rsidRPr="007C39F0">
        <w:rPr>
          <w:rFonts w:cs="Times New Roman"/>
          <w:sz w:val="24"/>
          <w:szCs w:val="24"/>
        </w:rPr>
        <w:fldChar w:fldCharType="end"/>
      </w:r>
      <w:r w:rsidR="00976980">
        <w:rPr>
          <w:rFonts w:cs="Times New Roman"/>
          <w:sz w:val="24"/>
          <w:szCs w:val="24"/>
        </w:rPr>
        <w:t>,</w:t>
      </w:r>
      <w:r w:rsidR="00DA2D08" w:rsidRPr="007C39F0">
        <w:rPr>
          <w:rFonts w:cs="Times New Roman"/>
          <w:sz w:val="24"/>
          <w:szCs w:val="24"/>
        </w:rPr>
        <w:t xml:space="preserve"> as proposed by</w:t>
      </w:r>
      <w:r w:rsidR="00D9798C" w:rsidRPr="007C39F0">
        <w:rPr>
          <w:rFonts w:cs="Times New Roman"/>
          <w:sz w:val="24"/>
          <w:szCs w:val="24"/>
        </w:rPr>
        <w:t xml:space="preserve"> </w:t>
      </w:r>
      <w:r w:rsidR="00341CF0" w:rsidRPr="007C39F0">
        <w:rPr>
          <w:rFonts w:cs="Times New Roman"/>
          <w:sz w:val="24"/>
          <w:szCs w:val="24"/>
        </w:rPr>
        <w:t>Machado and Mata</w:t>
      </w:r>
      <w:r w:rsidR="00D9798C" w:rsidRPr="007C39F0">
        <w:rPr>
          <w:rFonts w:cs="Times New Roman"/>
          <w:sz w:val="24"/>
          <w:szCs w:val="24"/>
        </w:rPr>
        <w:t xml:space="preserve"> </w:t>
      </w:r>
      <w:r w:rsidR="00341CF0" w:rsidRPr="007C39F0">
        <w:rPr>
          <w:rFonts w:cs="Times New Roman"/>
          <w:sz w:val="24"/>
          <w:szCs w:val="24"/>
        </w:rPr>
        <w:fldChar w:fldCharType="begin" w:fldLock="1"/>
      </w:r>
      <w:r w:rsidR="006821DC">
        <w:rPr>
          <w:rFonts w:cs="Times New Roman"/>
          <w:sz w:val="24"/>
          <w:szCs w:val="24"/>
        </w:rPr>
        <w:instrText>ADDIN CSL_CITATION {"citationItems":[{"id":"ITEM-1","itemData":{"DOI":"10.1002/jae.788","author":[{"dropping-particle":"","family":"Machado","given":"Jose A F","non-dropping-particle":"","parse-names":false,"suffix":""},{"dropping-particle":"","family":"Mata","given":"Jose","non-dropping-particle":"","parse-names":false,"suffix":""}],"container-title":"Journal of Applied Econometrics","id":"ITEM-1","issued":{"date-parts":[["2005"]]},"page":"445-465","title":"Counterfactual decomposition of changes in wage distribution using quantile regression","type":"article-journal","volume":"20"},"uris":["http://www.mendeley.com/documents/?uuid=0687c730-3c9c-4a52-8b3b-b080b7c37788","http://www.mendeley.com/documents/?uuid=153bcc98-4a20-46a1-b8d0-df0b7709bd26"]}],"mendeley":{"formattedCitation":"(Machado &amp; Mata, 2005)","plainTextFormattedCitation":"(Machado &amp; Mata, 2005)","previouslyFormattedCitation":"(Machado &amp; Mata, 2005)"},"properties":{"noteIndex":0},"schema":"https://github.com/citation-style-language/schema/raw/master/csl-citation.json"}</w:instrText>
      </w:r>
      <w:r w:rsidR="00341CF0" w:rsidRPr="007C39F0">
        <w:rPr>
          <w:rFonts w:cs="Times New Roman"/>
          <w:sz w:val="24"/>
          <w:szCs w:val="24"/>
        </w:rPr>
        <w:fldChar w:fldCharType="separate"/>
      </w:r>
      <w:r w:rsidR="0097206D" w:rsidRPr="0097206D">
        <w:rPr>
          <w:rFonts w:cs="Times New Roman"/>
          <w:noProof/>
          <w:sz w:val="24"/>
          <w:szCs w:val="24"/>
        </w:rPr>
        <w:t>(Machado &amp; Mata, 2005)</w:t>
      </w:r>
      <w:r w:rsidR="00341CF0" w:rsidRPr="007C39F0">
        <w:rPr>
          <w:rFonts w:cs="Times New Roman"/>
          <w:sz w:val="24"/>
          <w:szCs w:val="24"/>
        </w:rPr>
        <w:fldChar w:fldCharType="end"/>
      </w:r>
      <w:r w:rsidR="003F398B" w:rsidRPr="007C39F0">
        <w:rPr>
          <w:rFonts w:cs="Times New Roman"/>
          <w:sz w:val="24"/>
          <w:szCs w:val="24"/>
        </w:rPr>
        <w:t>,</w:t>
      </w:r>
      <w:r w:rsidR="00D9798C" w:rsidRPr="007C39F0">
        <w:rPr>
          <w:rFonts w:cs="Times New Roman"/>
          <w:sz w:val="24"/>
          <w:szCs w:val="24"/>
        </w:rPr>
        <w:t xml:space="preserve"> and</w:t>
      </w:r>
      <w:r w:rsidR="00DA2D08" w:rsidRPr="007C39F0">
        <w:rPr>
          <w:rFonts w:cs="Times New Roman"/>
          <w:sz w:val="24"/>
          <w:szCs w:val="24"/>
        </w:rPr>
        <w:t xml:space="preserve"> </w:t>
      </w:r>
      <w:r w:rsidR="003F398B" w:rsidRPr="007C39F0">
        <w:rPr>
          <w:rFonts w:cs="Times New Roman"/>
          <w:sz w:val="24"/>
          <w:szCs w:val="24"/>
        </w:rPr>
        <w:t>by</w:t>
      </w:r>
      <w:r w:rsidR="00341CF0" w:rsidRPr="007C39F0">
        <w:rPr>
          <w:rFonts w:cs="Times New Roman"/>
          <w:sz w:val="24"/>
          <w:szCs w:val="24"/>
        </w:rPr>
        <w:t xml:space="preserve"> </w:t>
      </w:r>
      <w:proofErr w:type="spellStart"/>
      <w:r w:rsidR="00341CF0" w:rsidRPr="007C39F0">
        <w:rPr>
          <w:rFonts w:cs="Times New Roman"/>
          <w:sz w:val="24"/>
          <w:szCs w:val="24"/>
        </w:rPr>
        <w:t>Firpo</w:t>
      </w:r>
      <w:proofErr w:type="spellEnd"/>
      <w:r w:rsidR="00341CF0" w:rsidRPr="007C39F0">
        <w:rPr>
          <w:rFonts w:cs="Times New Roman"/>
          <w:sz w:val="24"/>
          <w:szCs w:val="24"/>
        </w:rPr>
        <w:t xml:space="preserve"> and colleagues</w:t>
      </w:r>
      <w:r w:rsidR="00587BAA" w:rsidRPr="007C39F0">
        <w:rPr>
          <w:rFonts w:cs="Times New Roman"/>
          <w:sz w:val="24"/>
          <w:szCs w:val="24"/>
        </w:rPr>
        <w:t xml:space="preserve"> based on </w:t>
      </w:r>
      <w:proofErr w:type="spellStart"/>
      <w:r w:rsidR="003B178F" w:rsidRPr="007C39F0">
        <w:rPr>
          <w:rFonts w:cs="Times New Roman"/>
          <w:sz w:val="24"/>
          <w:szCs w:val="24"/>
        </w:rPr>
        <w:t>r</w:t>
      </w:r>
      <w:r w:rsidR="00587BAA" w:rsidRPr="007C39F0">
        <w:rPr>
          <w:rFonts w:cs="Times New Roman"/>
          <w:sz w:val="24"/>
          <w:szCs w:val="24"/>
        </w:rPr>
        <w:t>ecen</w:t>
      </w:r>
      <w:r w:rsidR="00625666" w:rsidRPr="007C39F0">
        <w:rPr>
          <w:rFonts w:cs="Times New Roman"/>
          <w:sz w:val="24"/>
          <w:szCs w:val="24"/>
        </w:rPr>
        <w:t>tered</w:t>
      </w:r>
      <w:proofErr w:type="spellEnd"/>
      <w:r w:rsidR="00625666" w:rsidRPr="007C39F0">
        <w:rPr>
          <w:rFonts w:cs="Times New Roman"/>
          <w:sz w:val="24"/>
          <w:szCs w:val="24"/>
        </w:rPr>
        <w:t xml:space="preserve"> </w:t>
      </w:r>
      <w:r w:rsidR="003B178F" w:rsidRPr="007C39F0">
        <w:rPr>
          <w:rFonts w:cs="Times New Roman"/>
          <w:sz w:val="24"/>
          <w:szCs w:val="24"/>
        </w:rPr>
        <w:t>i</w:t>
      </w:r>
      <w:r w:rsidR="00625666" w:rsidRPr="007C39F0">
        <w:rPr>
          <w:rFonts w:cs="Times New Roman"/>
          <w:sz w:val="24"/>
          <w:szCs w:val="24"/>
        </w:rPr>
        <w:t xml:space="preserve">nfluence </w:t>
      </w:r>
      <w:r w:rsidR="003B178F" w:rsidRPr="007C39F0">
        <w:rPr>
          <w:rFonts w:cs="Times New Roman"/>
          <w:sz w:val="24"/>
          <w:szCs w:val="24"/>
        </w:rPr>
        <w:t>f</w:t>
      </w:r>
      <w:r w:rsidR="00625666" w:rsidRPr="007C39F0">
        <w:rPr>
          <w:rFonts w:cs="Times New Roman"/>
          <w:sz w:val="24"/>
          <w:szCs w:val="24"/>
        </w:rPr>
        <w:t>unctions (RIFs)</w:t>
      </w:r>
      <w:r w:rsidR="00976980">
        <w:rPr>
          <w:rFonts w:cs="Times New Roman"/>
          <w:sz w:val="24"/>
          <w:szCs w:val="24"/>
        </w:rPr>
        <w:t xml:space="preserve"> </w:t>
      </w:r>
      <w:r w:rsidR="00341CF0" w:rsidRPr="007C39F0">
        <w:rPr>
          <w:rFonts w:cs="Times New Roman"/>
          <w:sz w:val="24"/>
          <w:szCs w:val="24"/>
        </w:rPr>
        <w:fldChar w:fldCharType="begin" w:fldLock="1"/>
      </w:r>
      <w:r w:rsidR="008152A8">
        <w:rPr>
          <w:rFonts w:cs="Times New Roman"/>
          <w:sz w:val="24"/>
          <w:szCs w:val="24"/>
        </w:rPr>
        <w:instrText>ADDIN CSL_CITATION {"citationItems":[{"id":"ITEM-1","itemData":{"DOI":"10.3982/ECTA6822","author":[{"dropping-particle":"","family":"Firpo","given":"Sergio","non-dropping-particle":"","parse-names":false,"suffix":""},{"dropping-particle":"","family":"Fortin","given":"Nicole M","non-dropping-particle":"","parse-names":false,"suffix":""},{"dropping-particle":"","family":"Lemieux","given":"T","non-dropping-particle":"","parse-names":false,"suffix":""}],"container-title":"Econometrica","id":"ITEM-1","issue":"3","issued":{"date-parts":[["2009"]]},"page":"953-973","title":"Unconditional quantile regressions","type":"article-journal","volume":"77"},"uris":["http://www.mendeley.com/documents/?uuid=ce61ed4a-841c-443f-bfe3-6d36aeeb921f","http://www.mendeley.com/documents/?uuid=0be3cdc4-8dde-4da4-b455-71aa05f3fbe4"]}],"mendeley":{"formattedCitation":"(Firpo, Fortin, &amp; Lemieux, 2009)","plainTextFormattedCitation":"(Firpo, Fortin, &amp; Lemieux, 2009)","previouslyFormattedCitation":"(Firpo, Fortin, &amp; Lemieux, 2009)"},"properties":{"noteIndex":0},"schema":"https://github.com/citation-style-language/schema/raw/master/csl-citation.json"}</w:instrText>
      </w:r>
      <w:r w:rsidR="00341CF0" w:rsidRPr="007C39F0">
        <w:rPr>
          <w:rFonts w:cs="Times New Roman"/>
          <w:sz w:val="24"/>
          <w:szCs w:val="24"/>
        </w:rPr>
        <w:fldChar w:fldCharType="separate"/>
      </w:r>
      <w:r w:rsidR="00C50062" w:rsidRPr="00C50062">
        <w:rPr>
          <w:rFonts w:cs="Times New Roman"/>
          <w:noProof/>
          <w:sz w:val="24"/>
          <w:szCs w:val="24"/>
        </w:rPr>
        <w:t>(Firpo, Fortin, &amp; Lemieux, 2009)</w:t>
      </w:r>
      <w:r w:rsidR="00341CF0" w:rsidRPr="007C39F0">
        <w:rPr>
          <w:rFonts w:cs="Times New Roman"/>
          <w:sz w:val="24"/>
          <w:szCs w:val="24"/>
        </w:rPr>
        <w:fldChar w:fldCharType="end"/>
      </w:r>
      <w:r w:rsidR="00976980">
        <w:rPr>
          <w:rFonts w:cs="Times New Roman"/>
          <w:sz w:val="24"/>
          <w:szCs w:val="24"/>
        </w:rPr>
        <w:t>.</w:t>
      </w:r>
      <w:r w:rsidR="00DA2D08" w:rsidRPr="007C39F0">
        <w:rPr>
          <w:rFonts w:cs="Times New Roman"/>
          <w:sz w:val="24"/>
          <w:szCs w:val="24"/>
        </w:rPr>
        <w:t xml:space="preserve"> </w:t>
      </w:r>
      <w:r w:rsidR="002B6547">
        <w:rPr>
          <w:rFonts w:cs="Times New Roman"/>
          <w:sz w:val="24"/>
          <w:szCs w:val="24"/>
        </w:rPr>
        <w:t xml:space="preserve">We used both of these approaches to check the robustness of our results. </w:t>
      </w:r>
      <w:r w:rsidR="004A567B" w:rsidRPr="007C39F0">
        <w:rPr>
          <w:rFonts w:cs="Times New Roman"/>
          <w:sz w:val="24"/>
          <w:szCs w:val="24"/>
        </w:rPr>
        <w:t xml:space="preserve">The basic idea is that the BMI distribution can be assumed to be a function of a set of explanatory variables </w:t>
      </w:r>
      <w:r w:rsidR="001C24AD" w:rsidRPr="007C39F0">
        <w:rPr>
          <w:rFonts w:eastAsiaTheme="minorEastAsia"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s</m:t>
            </m:r>
          </m:sub>
        </m:sSub>
      </m:oMath>
      <w:r w:rsidR="001C24AD" w:rsidRPr="007C39F0">
        <w:rPr>
          <w:rFonts w:eastAsiaTheme="minorEastAsia" w:cs="Times New Roman"/>
          <w:sz w:val="24"/>
          <w:szCs w:val="24"/>
        </w:rPr>
        <w:t>)</w:t>
      </w:r>
      <w:r w:rsidR="004A567B" w:rsidRPr="007C39F0">
        <w:rPr>
          <w:rFonts w:cs="Times New Roman"/>
          <w:sz w:val="24"/>
          <w:szCs w:val="24"/>
        </w:rPr>
        <w:t xml:space="preserve"> and coefficients </w:t>
      </w:r>
      <w:r w:rsidR="001C24AD" w:rsidRPr="007C39F0">
        <w:rPr>
          <w:rFonts w:cs="Times New Roman"/>
          <w:sz w:val="24"/>
          <w:szCs w:val="24"/>
        </w:rPr>
        <w:t>(</w:t>
      </w:r>
      <m:oMath>
        <m:r>
          <w:rPr>
            <w:rFonts w:ascii="Cambria Math" w:hAnsi="Cambria Math" w:cs="Times New Roman"/>
            <w:sz w:val="24"/>
            <w:szCs w:val="24"/>
          </w:rPr>
          <m:t>β</m:t>
        </m:r>
      </m:oMath>
      <w:r w:rsidR="001C24AD" w:rsidRPr="007C39F0">
        <w:rPr>
          <w:rFonts w:eastAsiaTheme="minorEastAsia" w:cs="Times New Roman"/>
          <w:sz w:val="24"/>
          <w:szCs w:val="24"/>
        </w:rPr>
        <w:t>)</w:t>
      </w:r>
      <w:r w:rsidR="004A567B" w:rsidRPr="007C39F0">
        <w:rPr>
          <w:rFonts w:eastAsiaTheme="minorEastAsia" w:cs="Times New Roman"/>
          <w:sz w:val="24"/>
          <w:szCs w:val="24"/>
        </w:rPr>
        <w:t>, and thus differences in the BMI distribution between 200</w:t>
      </w:r>
      <w:r w:rsidR="00B94254" w:rsidRPr="007C39F0">
        <w:rPr>
          <w:rFonts w:eastAsiaTheme="minorEastAsia" w:cs="Times New Roman"/>
          <w:sz w:val="24"/>
          <w:szCs w:val="24"/>
        </w:rPr>
        <w:t>2-</w:t>
      </w:r>
      <w:r w:rsidR="0030108C">
        <w:rPr>
          <w:rFonts w:eastAsiaTheme="minorEastAsia" w:cs="Times New Roman"/>
          <w:sz w:val="24"/>
          <w:szCs w:val="24"/>
        </w:rPr>
        <w:t>0</w:t>
      </w:r>
      <w:r w:rsidR="00B94254" w:rsidRPr="007C39F0">
        <w:rPr>
          <w:rFonts w:eastAsiaTheme="minorEastAsia" w:cs="Times New Roman"/>
          <w:sz w:val="24"/>
          <w:szCs w:val="24"/>
        </w:rPr>
        <w:t>4 and 2012-</w:t>
      </w:r>
      <w:r w:rsidR="0030108C">
        <w:rPr>
          <w:rFonts w:eastAsiaTheme="minorEastAsia" w:cs="Times New Roman"/>
          <w:sz w:val="24"/>
          <w:szCs w:val="24"/>
        </w:rPr>
        <w:t>1</w:t>
      </w:r>
      <w:r w:rsidR="00B94254" w:rsidRPr="007C39F0">
        <w:rPr>
          <w:rFonts w:eastAsiaTheme="minorEastAsia" w:cs="Times New Roman"/>
          <w:sz w:val="24"/>
          <w:szCs w:val="24"/>
        </w:rPr>
        <w:t>4</w:t>
      </w:r>
      <w:r w:rsidR="004A567B" w:rsidRPr="007C39F0">
        <w:rPr>
          <w:rFonts w:eastAsiaTheme="minorEastAsia" w:cs="Times New Roman"/>
          <w:sz w:val="24"/>
          <w:szCs w:val="24"/>
        </w:rPr>
        <w:t xml:space="preserve"> can be decomposed as follows:</w:t>
      </w:r>
    </w:p>
    <w:p w14:paraId="6BD0BF1D" w14:textId="42E85DEF" w:rsidR="004E28F4" w:rsidRPr="007C39F0" w:rsidRDefault="00FC3AEA" w:rsidP="00675EB5">
      <w:pPr>
        <w:spacing w:line="480" w:lineRule="auto"/>
        <w:rPr>
          <w:rFonts w:eastAsiaTheme="minorEastAsia"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BMI</m:t>
                  </m:r>
                </m:e>
              </m:acc>
            </m:e>
            <m:sub>
              <m:r>
                <w:rPr>
                  <w:rFonts w:ascii="Cambria Math" w:hAnsi="Cambria Math" w:cs="Times New Roman"/>
                  <w:sz w:val="24"/>
                  <w:szCs w:val="24"/>
                </w:rPr>
                <m:t>2012-14</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BMI</m:t>
                  </m:r>
                </m:e>
              </m:acc>
            </m:e>
            <m:sub>
              <m:r>
                <w:rPr>
                  <w:rFonts w:ascii="Cambria Math" w:hAnsi="Cambria Math" w:cs="Times New Roman"/>
                  <w:sz w:val="24"/>
                  <w:szCs w:val="24"/>
                </w:rPr>
                <m:t>2002-04</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2012-14</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2012-14</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2002-04</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2002-04</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2012-14</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2012-14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2002-04</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2012-04</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2002-14</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2012-14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2002-04</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2002-04</m:t>
                  </m:r>
                </m:sub>
              </m:sSub>
            </m:e>
          </m:d>
          <m:r>
            <w:rPr>
              <w:rFonts w:ascii="Cambria Math" w:hAnsi="Cambria Math" w:cs="Times New Roman"/>
              <w:sz w:val="24"/>
              <w:szCs w:val="24"/>
            </w:rPr>
            <m:t xml:space="preserve">= ∆X+ ∆β  </m:t>
          </m:r>
        </m:oMath>
      </m:oMathPara>
    </w:p>
    <w:p w14:paraId="4240AA21" w14:textId="3ADF62B4" w:rsidR="00BE541C" w:rsidRPr="002759E1" w:rsidRDefault="00BE541C" w:rsidP="00675EB5">
      <w:pPr>
        <w:spacing w:line="480" w:lineRule="auto"/>
        <w:rPr>
          <w:rFonts w:cs="Times New Roman"/>
          <w:sz w:val="24"/>
          <w:szCs w:val="24"/>
        </w:rPr>
      </w:pPr>
      <m:oMath>
        <m:r>
          <w:rPr>
            <w:rFonts w:ascii="Cambria Math" w:hAnsi="Cambria Math" w:cs="Times New Roman"/>
            <w:sz w:val="24"/>
            <w:szCs w:val="24"/>
          </w:rPr>
          <m:t>∆X</m:t>
        </m:r>
      </m:oMath>
      <w:r w:rsidRPr="007C39F0">
        <w:rPr>
          <w:rFonts w:eastAsiaTheme="minorEastAsia" w:cs="Times New Roman"/>
          <w:sz w:val="24"/>
          <w:szCs w:val="24"/>
        </w:rPr>
        <w:t xml:space="preserve"> accounts for BMI differences due to the compositional characteristics between the population in 200</w:t>
      </w:r>
      <w:r w:rsidR="00B94254" w:rsidRPr="007C39F0">
        <w:rPr>
          <w:rFonts w:eastAsiaTheme="minorEastAsia" w:cs="Times New Roman"/>
          <w:sz w:val="24"/>
          <w:szCs w:val="24"/>
        </w:rPr>
        <w:t>2-</w:t>
      </w:r>
      <w:r w:rsidR="0030108C">
        <w:rPr>
          <w:rFonts w:eastAsiaTheme="minorEastAsia" w:cs="Times New Roman"/>
          <w:sz w:val="24"/>
          <w:szCs w:val="24"/>
        </w:rPr>
        <w:t>0</w:t>
      </w:r>
      <w:r w:rsidR="00B94254" w:rsidRPr="007C39F0">
        <w:rPr>
          <w:rFonts w:eastAsiaTheme="minorEastAsia" w:cs="Times New Roman"/>
          <w:sz w:val="24"/>
          <w:szCs w:val="24"/>
        </w:rPr>
        <w:t>4 and 2012-</w:t>
      </w:r>
      <w:r w:rsidR="0030108C">
        <w:rPr>
          <w:rFonts w:eastAsiaTheme="minorEastAsia" w:cs="Times New Roman"/>
          <w:sz w:val="24"/>
          <w:szCs w:val="24"/>
        </w:rPr>
        <w:t>1</w:t>
      </w:r>
      <w:r w:rsidR="00B94254" w:rsidRPr="007C39F0">
        <w:rPr>
          <w:rFonts w:eastAsiaTheme="minorEastAsia" w:cs="Times New Roman"/>
          <w:sz w:val="24"/>
          <w:szCs w:val="24"/>
        </w:rPr>
        <w:t>4</w:t>
      </w:r>
      <w:r w:rsidRPr="007C39F0">
        <w:rPr>
          <w:rFonts w:eastAsiaTheme="minorEastAsia" w:cs="Times New Roman"/>
          <w:sz w:val="24"/>
          <w:szCs w:val="24"/>
        </w:rPr>
        <w:t>. It estimates the expected BMI differential by assuming that</w:t>
      </w:r>
      <w:r w:rsidR="00B94254" w:rsidRPr="007C39F0">
        <w:rPr>
          <w:rFonts w:eastAsiaTheme="minorEastAsia" w:cs="Times New Roman"/>
          <w:sz w:val="24"/>
          <w:szCs w:val="24"/>
        </w:rPr>
        <w:t xml:space="preserve"> the population in 2012-</w:t>
      </w:r>
      <w:r w:rsidR="0030108C">
        <w:rPr>
          <w:rFonts w:eastAsiaTheme="minorEastAsia" w:cs="Times New Roman"/>
          <w:sz w:val="24"/>
          <w:szCs w:val="24"/>
        </w:rPr>
        <w:t>1</w:t>
      </w:r>
      <w:r w:rsidR="00B94254" w:rsidRPr="007C39F0">
        <w:rPr>
          <w:rFonts w:eastAsiaTheme="minorEastAsia" w:cs="Times New Roman"/>
          <w:sz w:val="24"/>
          <w:szCs w:val="24"/>
        </w:rPr>
        <w:t>4 and 2002-</w:t>
      </w:r>
      <w:r w:rsidR="0030108C">
        <w:rPr>
          <w:rFonts w:eastAsiaTheme="minorEastAsia" w:cs="Times New Roman"/>
          <w:sz w:val="24"/>
          <w:szCs w:val="24"/>
        </w:rPr>
        <w:t>0</w:t>
      </w:r>
      <w:r w:rsidR="00B94254" w:rsidRPr="007C39F0">
        <w:rPr>
          <w:rFonts w:eastAsiaTheme="minorEastAsia" w:cs="Times New Roman"/>
          <w:sz w:val="24"/>
          <w:szCs w:val="24"/>
        </w:rPr>
        <w:t>4</w:t>
      </w:r>
      <w:r w:rsidRPr="007C39F0">
        <w:rPr>
          <w:rFonts w:eastAsiaTheme="minorEastAsia" w:cs="Times New Roman"/>
          <w:sz w:val="24"/>
          <w:szCs w:val="24"/>
        </w:rPr>
        <w:t xml:space="preserve"> display the same behavioural responses and only their composition differs. </w:t>
      </w:r>
      <m:oMath>
        <m:r>
          <w:rPr>
            <w:rFonts w:ascii="Cambria Math" w:hAnsi="Cambria Math" w:cs="Times New Roman"/>
            <w:sz w:val="24"/>
            <w:szCs w:val="24"/>
          </w:rPr>
          <m:t>∆β</m:t>
        </m:r>
      </m:oMath>
      <w:r w:rsidRPr="007C39F0">
        <w:rPr>
          <w:rFonts w:eastAsiaTheme="minorEastAsia" w:cs="Times New Roman"/>
          <w:sz w:val="24"/>
          <w:szCs w:val="24"/>
        </w:rPr>
        <w:t xml:space="preserve"> accounts for BMI differences in coefficients in 200</w:t>
      </w:r>
      <w:r w:rsidR="00B94254" w:rsidRPr="007C39F0">
        <w:rPr>
          <w:rFonts w:eastAsiaTheme="minorEastAsia" w:cs="Times New Roman"/>
          <w:sz w:val="24"/>
          <w:szCs w:val="24"/>
        </w:rPr>
        <w:t>2-</w:t>
      </w:r>
      <w:r w:rsidR="0030108C">
        <w:rPr>
          <w:rFonts w:eastAsiaTheme="minorEastAsia" w:cs="Times New Roman"/>
          <w:sz w:val="24"/>
          <w:szCs w:val="24"/>
        </w:rPr>
        <w:t>0</w:t>
      </w:r>
      <w:r w:rsidR="00B94254" w:rsidRPr="007C39F0">
        <w:rPr>
          <w:rFonts w:eastAsiaTheme="minorEastAsia" w:cs="Times New Roman"/>
          <w:sz w:val="24"/>
          <w:szCs w:val="24"/>
        </w:rPr>
        <w:t>4 and 2012-</w:t>
      </w:r>
      <w:r w:rsidR="0030108C">
        <w:rPr>
          <w:rFonts w:eastAsiaTheme="minorEastAsia" w:cs="Times New Roman"/>
          <w:sz w:val="24"/>
          <w:szCs w:val="24"/>
        </w:rPr>
        <w:t>1</w:t>
      </w:r>
      <w:r w:rsidR="00B94254" w:rsidRPr="007C39F0">
        <w:rPr>
          <w:rFonts w:eastAsiaTheme="minorEastAsia" w:cs="Times New Roman"/>
          <w:sz w:val="24"/>
          <w:szCs w:val="24"/>
        </w:rPr>
        <w:t>4</w:t>
      </w:r>
      <w:r w:rsidRPr="007C39F0">
        <w:rPr>
          <w:rFonts w:eastAsiaTheme="minorEastAsia" w:cs="Times New Roman"/>
          <w:sz w:val="24"/>
          <w:szCs w:val="24"/>
        </w:rPr>
        <w:t xml:space="preserve">. It estimates the expected BMI differences by assuming that the population composition in both years is the same but the coefficients capturing the </w:t>
      </w:r>
      <w:r w:rsidRPr="007C39F0">
        <w:rPr>
          <w:rFonts w:cs="Times New Roman"/>
          <w:sz w:val="24"/>
          <w:szCs w:val="24"/>
        </w:rPr>
        <w:t>relationship between individual behavioural responses and contextual factors differ</w:t>
      </w:r>
      <w:r w:rsidRPr="007C39F0">
        <w:rPr>
          <w:rFonts w:eastAsiaTheme="minorEastAsia" w:cs="Times New Roman"/>
          <w:sz w:val="24"/>
          <w:szCs w:val="24"/>
        </w:rPr>
        <w:t>.</w:t>
      </w:r>
      <w:r w:rsidR="00503A2D" w:rsidRPr="007C39F0">
        <w:rPr>
          <w:rFonts w:eastAsiaTheme="minorEastAsia" w:cs="Times New Roman"/>
          <w:sz w:val="24"/>
          <w:szCs w:val="24"/>
        </w:rPr>
        <w:t xml:space="preserve"> </w:t>
      </w:r>
      <w:r w:rsidR="00503A2D" w:rsidRPr="007C39F0">
        <w:rPr>
          <w:rFonts w:cs="Times New Roman"/>
          <w:sz w:val="24"/>
          <w:szCs w:val="24"/>
        </w:rPr>
        <w:t>Sample weights were applied to all analyses</w:t>
      </w:r>
      <w:r w:rsidR="009A2F7E" w:rsidRPr="007C39F0">
        <w:rPr>
          <w:rFonts w:cs="Times New Roman"/>
          <w:sz w:val="24"/>
          <w:szCs w:val="24"/>
        </w:rPr>
        <w:t xml:space="preserve">. </w:t>
      </w:r>
      <w:r w:rsidR="004562CE" w:rsidRPr="007C39F0">
        <w:rPr>
          <w:rFonts w:cs="Times New Roman"/>
          <w:sz w:val="24"/>
          <w:szCs w:val="24"/>
        </w:rPr>
        <w:t xml:space="preserve">Missing values were assumed missing at random. </w:t>
      </w:r>
      <w:r w:rsidR="000D3B60">
        <w:rPr>
          <w:rFonts w:cs="Times New Roman"/>
          <w:sz w:val="24"/>
          <w:szCs w:val="24"/>
        </w:rPr>
        <w:t xml:space="preserve">We conducted all the analysis in </w:t>
      </w:r>
      <w:proofErr w:type="spellStart"/>
      <w:r w:rsidR="000D3B60">
        <w:rPr>
          <w:rFonts w:cs="Times New Roman"/>
          <w:sz w:val="24"/>
          <w:szCs w:val="24"/>
        </w:rPr>
        <w:t>StataMP</w:t>
      </w:r>
      <w:proofErr w:type="spellEnd"/>
      <w:r w:rsidR="000D3B60">
        <w:rPr>
          <w:rFonts w:cs="Times New Roman"/>
          <w:sz w:val="24"/>
          <w:szCs w:val="24"/>
        </w:rPr>
        <w:t xml:space="preserve"> v14 and all reproducible code has been made openly accessible via GitHub [</w:t>
      </w:r>
      <w:r w:rsidR="00264A90" w:rsidRPr="00264A90">
        <w:rPr>
          <w:rFonts w:cs="Times New Roman"/>
          <w:sz w:val="24"/>
          <w:szCs w:val="24"/>
        </w:rPr>
        <w:t>https://github.com/fcorowe/bmi</w:t>
      </w:r>
      <w:r w:rsidR="000D3B60">
        <w:rPr>
          <w:rFonts w:cs="Times New Roman"/>
          <w:sz w:val="24"/>
          <w:szCs w:val="24"/>
        </w:rPr>
        <w:t xml:space="preserve">]. </w:t>
      </w:r>
      <w:r w:rsidR="009A2F7E" w:rsidRPr="007C39F0">
        <w:rPr>
          <w:rFonts w:cs="Times New Roman"/>
          <w:sz w:val="24"/>
          <w:szCs w:val="24"/>
        </w:rPr>
        <w:t>Further details</w:t>
      </w:r>
      <w:r w:rsidRPr="007C39F0">
        <w:rPr>
          <w:rFonts w:eastAsiaTheme="minorEastAsia" w:cs="Times New Roman"/>
          <w:sz w:val="24"/>
          <w:szCs w:val="24"/>
        </w:rPr>
        <w:t xml:space="preserve"> </w:t>
      </w:r>
      <w:r w:rsidR="009A2F7E" w:rsidRPr="007C39F0">
        <w:rPr>
          <w:rFonts w:eastAsiaTheme="minorEastAsia" w:cs="Times New Roman"/>
          <w:sz w:val="24"/>
          <w:szCs w:val="24"/>
        </w:rPr>
        <w:t xml:space="preserve">of </w:t>
      </w:r>
      <w:r w:rsidRPr="007C39F0">
        <w:rPr>
          <w:rFonts w:eastAsiaTheme="minorEastAsia" w:cs="Times New Roman"/>
          <w:sz w:val="24"/>
          <w:szCs w:val="24"/>
        </w:rPr>
        <w:t>the methodology and</w:t>
      </w:r>
      <w:r w:rsidR="00961E72" w:rsidRPr="007C39F0">
        <w:rPr>
          <w:rFonts w:eastAsiaTheme="minorEastAsia" w:cs="Times New Roman"/>
          <w:sz w:val="24"/>
          <w:szCs w:val="24"/>
        </w:rPr>
        <w:t xml:space="preserve"> its</w:t>
      </w:r>
      <w:r w:rsidRPr="007C39F0">
        <w:rPr>
          <w:rFonts w:eastAsiaTheme="minorEastAsia" w:cs="Times New Roman"/>
          <w:sz w:val="24"/>
          <w:szCs w:val="24"/>
        </w:rPr>
        <w:t xml:space="preserve"> implementation</w:t>
      </w:r>
      <w:r w:rsidR="00961E72" w:rsidRPr="007C39F0">
        <w:rPr>
          <w:rFonts w:eastAsiaTheme="minorEastAsia" w:cs="Times New Roman"/>
          <w:sz w:val="24"/>
          <w:szCs w:val="24"/>
        </w:rPr>
        <w:t xml:space="preserve"> are reported in Appendix A</w:t>
      </w:r>
      <w:r w:rsidRPr="007C39F0">
        <w:rPr>
          <w:rFonts w:eastAsiaTheme="minorEastAsia" w:cs="Times New Roman"/>
          <w:sz w:val="24"/>
          <w:szCs w:val="24"/>
        </w:rPr>
        <w:t>.</w:t>
      </w:r>
    </w:p>
    <w:p w14:paraId="1C7B0699" w14:textId="77777777" w:rsidR="00C370BA" w:rsidRPr="007C39F0" w:rsidRDefault="00C370BA" w:rsidP="00675EB5">
      <w:pPr>
        <w:spacing w:line="480" w:lineRule="auto"/>
        <w:rPr>
          <w:rFonts w:cs="Times New Roman"/>
          <w:b/>
          <w:sz w:val="24"/>
          <w:szCs w:val="24"/>
        </w:rPr>
      </w:pPr>
    </w:p>
    <w:p w14:paraId="2DA248F7" w14:textId="77777777" w:rsidR="00454F47" w:rsidRPr="007C39F0" w:rsidRDefault="00454F47" w:rsidP="00675EB5">
      <w:pPr>
        <w:spacing w:line="480" w:lineRule="auto"/>
        <w:rPr>
          <w:rFonts w:cs="Times New Roman"/>
          <w:sz w:val="24"/>
          <w:szCs w:val="24"/>
        </w:rPr>
      </w:pPr>
      <w:r w:rsidRPr="007C39F0">
        <w:rPr>
          <w:rFonts w:cs="Times New Roman"/>
          <w:b/>
          <w:sz w:val="24"/>
          <w:szCs w:val="24"/>
        </w:rPr>
        <w:t>Results</w:t>
      </w:r>
    </w:p>
    <w:p w14:paraId="64C8DAD1" w14:textId="22F54D46" w:rsidR="00E21BB9" w:rsidRPr="007C39F0" w:rsidRDefault="00CD3776" w:rsidP="00675EB5">
      <w:pPr>
        <w:spacing w:line="480" w:lineRule="auto"/>
        <w:rPr>
          <w:rFonts w:cs="Times New Roman"/>
          <w:sz w:val="24"/>
          <w:szCs w:val="24"/>
        </w:rPr>
      </w:pPr>
      <w:r w:rsidRPr="007C39F0">
        <w:rPr>
          <w:rFonts w:cs="Times New Roman"/>
          <w:sz w:val="24"/>
          <w:szCs w:val="24"/>
        </w:rPr>
        <w:t>Table 1 presents descriptive statistics of changes in percentiles of BMI between 200</w:t>
      </w:r>
      <w:r w:rsidR="00857759" w:rsidRPr="007C39F0">
        <w:rPr>
          <w:rFonts w:cs="Times New Roman"/>
          <w:sz w:val="24"/>
          <w:szCs w:val="24"/>
        </w:rPr>
        <w:t>2-4 and 2012-4</w:t>
      </w:r>
      <w:r w:rsidRPr="007C39F0">
        <w:rPr>
          <w:rFonts w:cs="Times New Roman"/>
          <w:sz w:val="24"/>
          <w:szCs w:val="24"/>
        </w:rPr>
        <w:t xml:space="preserve">. </w:t>
      </w:r>
      <w:r w:rsidR="000A73C6" w:rsidRPr="007C39F0">
        <w:rPr>
          <w:rFonts w:cs="Times New Roman"/>
          <w:sz w:val="24"/>
          <w:szCs w:val="24"/>
        </w:rPr>
        <w:t>M</w:t>
      </w:r>
      <w:r w:rsidR="003F721A" w:rsidRPr="007C39F0">
        <w:rPr>
          <w:rFonts w:cs="Times New Roman"/>
          <w:sz w:val="24"/>
          <w:szCs w:val="24"/>
        </w:rPr>
        <w:t xml:space="preserve">edian BMI </w:t>
      </w:r>
      <w:r w:rsidR="00C50062">
        <w:rPr>
          <w:rFonts w:cs="Times New Roman"/>
          <w:sz w:val="24"/>
          <w:szCs w:val="24"/>
        </w:rPr>
        <w:t>hardly changed</w:t>
      </w:r>
      <w:r w:rsidRPr="007C39F0">
        <w:rPr>
          <w:rFonts w:cs="Times New Roman"/>
          <w:sz w:val="24"/>
          <w:szCs w:val="24"/>
        </w:rPr>
        <w:t xml:space="preserve"> from </w:t>
      </w:r>
      <w:r w:rsidR="007B0C55" w:rsidRPr="007C39F0">
        <w:rPr>
          <w:rFonts w:cs="Times New Roman"/>
          <w:sz w:val="24"/>
          <w:szCs w:val="24"/>
        </w:rPr>
        <w:t>26·</w:t>
      </w:r>
      <w:r w:rsidR="008A5C0B" w:rsidRPr="007C39F0">
        <w:rPr>
          <w:rFonts w:cs="Times New Roman"/>
          <w:sz w:val="24"/>
          <w:szCs w:val="24"/>
        </w:rPr>
        <w:t>6 in 200</w:t>
      </w:r>
      <w:r w:rsidR="00857759" w:rsidRPr="007C39F0">
        <w:rPr>
          <w:rFonts w:cs="Times New Roman"/>
          <w:sz w:val="24"/>
          <w:szCs w:val="24"/>
        </w:rPr>
        <w:t>2-</w:t>
      </w:r>
      <w:r w:rsidR="008A5C0B" w:rsidRPr="007C39F0">
        <w:rPr>
          <w:rFonts w:cs="Times New Roman"/>
          <w:sz w:val="24"/>
          <w:szCs w:val="24"/>
        </w:rPr>
        <w:t xml:space="preserve">4 </w:t>
      </w:r>
      <w:r w:rsidRPr="007C39F0">
        <w:rPr>
          <w:rFonts w:cs="Times New Roman"/>
          <w:sz w:val="24"/>
          <w:szCs w:val="24"/>
        </w:rPr>
        <w:t>to</w:t>
      </w:r>
      <w:r w:rsidR="007B0C55" w:rsidRPr="007C39F0">
        <w:rPr>
          <w:rFonts w:cs="Times New Roman"/>
          <w:sz w:val="24"/>
          <w:szCs w:val="24"/>
        </w:rPr>
        <w:t xml:space="preserve"> 26·</w:t>
      </w:r>
      <w:r w:rsidR="00857759" w:rsidRPr="007C39F0">
        <w:rPr>
          <w:rFonts w:cs="Times New Roman"/>
          <w:sz w:val="24"/>
          <w:szCs w:val="24"/>
        </w:rPr>
        <w:t>7 in 2012-4</w:t>
      </w:r>
      <w:r w:rsidR="008A5C0B" w:rsidRPr="007C39F0">
        <w:rPr>
          <w:rFonts w:cs="Times New Roman"/>
          <w:sz w:val="24"/>
          <w:szCs w:val="24"/>
        </w:rPr>
        <w:t xml:space="preserve">. </w:t>
      </w:r>
      <w:r w:rsidR="000A73C6" w:rsidRPr="007C39F0">
        <w:rPr>
          <w:rFonts w:cs="Times New Roman"/>
          <w:sz w:val="24"/>
          <w:szCs w:val="24"/>
        </w:rPr>
        <w:t>T</w:t>
      </w:r>
      <w:r w:rsidR="003F721A" w:rsidRPr="007C39F0">
        <w:rPr>
          <w:rFonts w:cs="Times New Roman"/>
          <w:sz w:val="24"/>
          <w:szCs w:val="24"/>
        </w:rPr>
        <w:t xml:space="preserve">here </w:t>
      </w:r>
      <w:r w:rsidR="000A73C6" w:rsidRPr="007C39F0">
        <w:rPr>
          <w:rFonts w:cs="Times New Roman"/>
          <w:sz w:val="24"/>
          <w:szCs w:val="24"/>
        </w:rPr>
        <w:t xml:space="preserve">was </w:t>
      </w:r>
      <w:r w:rsidR="003F721A" w:rsidRPr="007C39F0">
        <w:rPr>
          <w:rFonts w:cs="Times New Roman"/>
          <w:sz w:val="24"/>
          <w:szCs w:val="24"/>
        </w:rPr>
        <w:t xml:space="preserve">almost no change </w:t>
      </w:r>
      <w:r w:rsidRPr="007C39F0">
        <w:rPr>
          <w:rFonts w:cs="Times New Roman"/>
          <w:sz w:val="24"/>
          <w:szCs w:val="24"/>
        </w:rPr>
        <w:t xml:space="preserve">at the </w:t>
      </w:r>
      <w:r w:rsidR="00C435D6" w:rsidRPr="007C39F0">
        <w:rPr>
          <w:rFonts w:cs="Times New Roman"/>
          <w:sz w:val="24"/>
          <w:szCs w:val="24"/>
        </w:rPr>
        <w:t xml:space="preserve">left </w:t>
      </w:r>
      <w:r w:rsidR="000969D0" w:rsidRPr="007C39F0">
        <w:rPr>
          <w:rFonts w:cs="Times New Roman"/>
          <w:sz w:val="24"/>
          <w:szCs w:val="24"/>
        </w:rPr>
        <w:t>tail</w:t>
      </w:r>
      <w:r w:rsidRPr="007C39F0">
        <w:rPr>
          <w:rFonts w:cs="Times New Roman"/>
          <w:sz w:val="24"/>
          <w:szCs w:val="24"/>
        </w:rPr>
        <w:t xml:space="preserve"> of the distribution with difference</w:t>
      </w:r>
      <w:r w:rsidR="003F721A" w:rsidRPr="007C39F0">
        <w:rPr>
          <w:rFonts w:cs="Times New Roman"/>
          <w:sz w:val="24"/>
          <w:szCs w:val="24"/>
        </w:rPr>
        <w:t>s</w:t>
      </w:r>
      <w:r w:rsidRPr="007C39F0">
        <w:rPr>
          <w:rFonts w:cs="Times New Roman"/>
          <w:sz w:val="24"/>
          <w:szCs w:val="24"/>
        </w:rPr>
        <w:t xml:space="preserve"> </w:t>
      </w:r>
      <w:r w:rsidR="00857759" w:rsidRPr="007C39F0">
        <w:rPr>
          <w:rFonts w:cs="Times New Roman"/>
          <w:sz w:val="24"/>
          <w:szCs w:val="24"/>
        </w:rPr>
        <w:t>of 0·0</w:t>
      </w:r>
      <w:r w:rsidR="007B0C55" w:rsidRPr="007C39F0">
        <w:rPr>
          <w:rFonts w:cs="Times New Roman"/>
          <w:sz w:val="24"/>
          <w:szCs w:val="24"/>
        </w:rPr>
        <w:t xml:space="preserve"> and 0·</w:t>
      </w:r>
      <w:r w:rsidR="00857759" w:rsidRPr="007C39F0">
        <w:rPr>
          <w:rFonts w:cs="Times New Roman"/>
          <w:sz w:val="24"/>
          <w:szCs w:val="24"/>
        </w:rPr>
        <w:t>1</w:t>
      </w:r>
      <w:r w:rsidRPr="007C39F0">
        <w:rPr>
          <w:rFonts w:cs="Times New Roman"/>
          <w:sz w:val="24"/>
          <w:szCs w:val="24"/>
        </w:rPr>
        <w:t xml:space="preserve"> </w:t>
      </w:r>
      <w:r w:rsidR="003F721A" w:rsidRPr="007C39F0">
        <w:rPr>
          <w:rFonts w:cs="Times New Roman"/>
          <w:sz w:val="24"/>
          <w:szCs w:val="24"/>
        </w:rPr>
        <w:t xml:space="preserve">in BMI </w:t>
      </w:r>
      <w:r w:rsidRPr="007C39F0">
        <w:rPr>
          <w:rFonts w:cs="Times New Roman"/>
          <w:sz w:val="24"/>
          <w:szCs w:val="24"/>
        </w:rPr>
        <w:t xml:space="preserve">for the </w:t>
      </w:r>
      <w:r w:rsidR="008A5C0B" w:rsidRPr="007C39F0">
        <w:rPr>
          <w:rFonts w:cs="Times New Roman"/>
          <w:sz w:val="24"/>
          <w:szCs w:val="24"/>
        </w:rPr>
        <w:t>10</w:t>
      </w:r>
      <w:r w:rsidR="008A5C0B" w:rsidRPr="007C39F0">
        <w:rPr>
          <w:rFonts w:cs="Times New Roman"/>
          <w:sz w:val="24"/>
          <w:szCs w:val="24"/>
          <w:vertAlign w:val="superscript"/>
        </w:rPr>
        <w:t>th</w:t>
      </w:r>
      <w:r w:rsidR="008A5C0B" w:rsidRPr="007C39F0">
        <w:rPr>
          <w:rFonts w:cs="Times New Roman"/>
          <w:sz w:val="24"/>
          <w:szCs w:val="24"/>
        </w:rPr>
        <w:t xml:space="preserve"> </w:t>
      </w:r>
      <w:r w:rsidR="00B35C78" w:rsidRPr="007C39F0">
        <w:rPr>
          <w:rFonts w:cs="Times New Roman"/>
          <w:sz w:val="24"/>
          <w:szCs w:val="24"/>
        </w:rPr>
        <w:t>and 25</w:t>
      </w:r>
      <w:r w:rsidR="00B35C78" w:rsidRPr="007C39F0">
        <w:rPr>
          <w:rFonts w:cs="Times New Roman"/>
          <w:sz w:val="24"/>
          <w:szCs w:val="24"/>
          <w:vertAlign w:val="superscript"/>
        </w:rPr>
        <w:t>th</w:t>
      </w:r>
      <w:r w:rsidRPr="007C39F0">
        <w:rPr>
          <w:rFonts w:cs="Times New Roman"/>
          <w:sz w:val="24"/>
          <w:szCs w:val="24"/>
        </w:rPr>
        <w:t xml:space="preserve"> </w:t>
      </w:r>
      <w:r w:rsidR="008A5C0B" w:rsidRPr="007C39F0">
        <w:rPr>
          <w:rFonts w:cs="Times New Roman"/>
          <w:sz w:val="24"/>
          <w:szCs w:val="24"/>
        </w:rPr>
        <w:t>percentile</w:t>
      </w:r>
      <w:r w:rsidR="00B35C78" w:rsidRPr="007C39F0">
        <w:rPr>
          <w:rFonts w:cs="Times New Roman"/>
          <w:sz w:val="24"/>
          <w:szCs w:val="24"/>
        </w:rPr>
        <w:t>s respectively</w:t>
      </w:r>
      <w:r w:rsidR="008A5C0B" w:rsidRPr="007C39F0">
        <w:rPr>
          <w:rFonts w:cs="Times New Roman"/>
          <w:sz w:val="24"/>
          <w:szCs w:val="24"/>
        </w:rPr>
        <w:t xml:space="preserve">. </w:t>
      </w:r>
      <w:r w:rsidR="00B35C78" w:rsidRPr="007C39F0">
        <w:rPr>
          <w:rFonts w:cs="Times New Roman"/>
          <w:sz w:val="24"/>
          <w:szCs w:val="24"/>
        </w:rPr>
        <w:t>In contrast, t</w:t>
      </w:r>
      <w:r w:rsidR="008A5C0B" w:rsidRPr="007C39F0">
        <w:rPr>
          <w:rFonts w:cs="Times New Roman"/>
          <w:sz w:val="24"/>
          <w:szCs w:val="24"/>
        </w:rPr>
        <w:t>he 90</w:t>
      </w:r>
      <w:r w:rsidR="008A5C0B" w:rsidRPr="007C39F0">
        <w:rPr>
          <w:rFonts w:cs="Times New Roman"/>
          <w:sz w:val="24"/>
          <w:szCs w:val="24"/>
          <w:vertAlign w:val="superscript"/>
        </w:rPr>
        <w:t>th</w:t>
      </w:r>
      <w:r w:rsidR="008A5C0B" w:rsidRPr="007C39F0">
        <w:rPr>
          <w:rFonts w:cs="Times New Roman"/>
          <w:sz w:val="24"/>
          <w:szCs w:val="24"/>
        </w:rPr>
        <w:t xml:space="preserve"> percentile </w:t>
      </w:r>
      <w:r w:rsidR="00B35C78" w:rsidRPr="007C39F0">
        <w:rPr>
          <w:rFonts w:cs="Times New Roman"/>
          <w:sz w:val="24"/>
          <w:szCs w:val="24"/>
        </w:rPr>
        <w:t xml:space="preserve">grew over the period from </w:t>
      </w:r>
      <w:r w:rsidR="007B0C55" w:rsidRPr="007C39F0">
        <w:rPr>
          <w:rFonts w:cs="Times New Roman"/>
          <w:sz w:val="24"/>
          <w:szCs w:val="24"/>
        </w:rPr>
        <w:t>33·</w:t>
      </w:r>
      <w:r w:rsidR="008A5C0B" w:rsidRPr="007C39F0">
        <w:rPr>
          <w:rFonts w:cs="Times New Roman"/>
          <w:sz w:val="24"/>
          <w:szCs w:val="24"/>
        </w:rPr>
        <w:t>6 in 200</w:t>
      </w:r>
      <w:r w:rsidR="00857759" w:rsidRPr="007C39F0">
        <w:rPr>
          <w:rFonts w:cs="Times New Roman"/>
          <w:sz w:val="24"/>
          <w:szCs w:val="24"/>
        </w:rPr>
        <w:t>2-</w:t>
      </w:r>
      <w:r w:rsidR="008A5C0B" w:rsidRPr="007C39F0">
        <w:rPr>
          <w:rFonts w:cs="Times New Roman"/>
          <w:sz w:val="24"/>
          <w:szCs w:val="24"/>
        </w:rPr>
        <w:t xml:space="preserve">4 </w:t>
      </w:r>
      <w:r w:rsidR="00B35C78" w:rsidRPr="007C39F0">
        <w:rPr>
          <w:rFonts w:cs="Times New Roman"/>
          <w:sz w:val="24"/>
          <w:szCs w:val="24"/>
        </w:rPr>
        <w:t xml:space="preserve">to </w:t>
      </w:r>
      <w:r w:rsidR="007B0C55" w:rsidRPr="007C39F0">
        <w:rPr>
          <w:rFonts w:cs="Times New Roman"/>
          <w:sz w:val="24"/>
          <w:szCs w:val="24"/>
        </w:rPr>
        <w:t>34·</w:t>
      </w:r>
      <w:r w:rsidR="00857759" w:rsidRPr="007C39F0">
        <w:rPr>
          <w:rFonts w:cs="Times New Roman"/>
          <w:sz w:val="24"/>
          <w:szCs w:val="24"/>
        </w:rPr>
        <w:t>4 in 2012-4</w:t>
      </w:r>
      <w:r w:rsidR="00771009" w:rsidRPr="007C39F0">
        <w:rPr>
          <w:rFonts w:cs="Times New Roman"/>
          <w:sz w:val="24"/>
          <w:szCs w:val="24"/>
        </w:rPr>
        <w:t xml:space="preserve">, equating to </w:t>
      </w:r>
      <w:r w:rsidR="007B0C55" w:rsidRPr="007C39F0">
        <w:rPr>
          <w:rFonts w:cs="Times New Roman"/>
          <w:sz w:val="24"/>
          <w:szCs w:val="24"/>
        </w:rPr>
        <w:t>a 2·</w:t>
      </w:r>
      <w:r w:rsidR="00857759" w:rsidRPr="007C39F0">
        <w:rPr>
          <w:rFonts w:cs="Times New Roman"/>
          <w:sz w:val="24"/>
          <w:szCs w:val="24"/>
        </w:rPr>
        <w:t>5</w:t>
      </w:r>
      <w:r w:rsidR="008A5C0B" w:rsidRPr="007C39F0">
        <w:rPr>
          <w:rFonts w:cs="Times New Roman"/>
          <w:sz w:val="24"/>
          <w:szCs w:val="24"/>
        </w:rPr>
        <w:t xml:space="preserve">% increase. </w:t>
      </w:r>
      <w:r w:rsidR="009A2F7E" w:rsidRPr="007C39F0">
        <w:rPr>
          <w:rFonts w:cs="Times New Roman"/>
          <w:sz w:val="24"/>
          <w:szCs w:val="24"/>
        </w:rPr>
        <w:t>Table 2 presents sample characteristics</w:t>
      </w:r>
      <w:r w:rsidR="008B48FA" w:rsidRPr="007C39F0">
        <w:rPr>
          <w:rFonts w:cs="Times New Roman"/>
          <w:sz w:val="24"/>
          <w:szCs w:val="24"/>
        </w:rPr>
        <w:t xml:space="preserve"> at the </w:t>
      </w:r>
      <w:r w:rsidR="00F861DD" w:rsidRPr="007C39F0">
        <w:rPr>
          <w:rFonts w:cs="Times New Roman"/>
          <w:sz w:val="24"/>
          <w:szCs w:val="24"/>
        </w:rPr>
        <w:t>left</w:t>
      </w:r>
      <w:r w:rsidR="004D413B" w:rsidRPr="007C39F0">
        <w:rPr>
          <w:rFonts w:cs="Times New Roman"/>
          <w:sz w:val="24"/>
          <w:szCs w:val="24"/>
        </w:rPr>
        <w:t xml:space="preserve">, middle and </w:t>
      </w:r>
      <w:r w:rsidR="00F861DD" w:rsidRPr="007C39F0">
        <w:rPr>
          <w:rFonts w:cs="Times New Roman"/>
          <w:sz w:val="24"/>
          <w:szCs w:val="24"/>
        </w:rPr>
        <w:t>right tail</w:t>
      </w:r>
      <w:r w:rsidR="004D413B" w:rsidRPr="007C39F0">
        <w:rPr>
          <w:rFonts w:cs="Times New Roman"/>
          <w:sz w:val="24"/>
          <w:szCs w:val="24"/>
        </w:rPr>
        <w:t xml:space="preserve"> of the BMI distribution</w:t>
      </w:r>
      <w:r w:rsidR="009A2F7E" w:rsidRPr="007C39F0">
        <w:rPr>
          <w:rFonts w:cs="Times New Roman"/>
          <w:sz w:val="24"/>
          <w:szCs w:val="24"/>
        </w:rPr>
        <w:t xml:space="preserve"> for 200</w:t>
      </w:r>
      <w:r w:rsidR="00857759" w:rsidRPr="007C39F0">
        <w:rPr>
          <w:rFonts w:cs="Times New Roman"/>
          <w:sz w:val="24"/>
          <w:szCs w:val="24"/>
        </w:rPr>
        <w:t>2-4 and 2012-4</w:t>
      </w:r>
      <w:r w:rsidR="009A2F7E" w:rsidRPr="007C39F0">
        <w:rPr>
          <w:rFonts w:cs="Times New Roman"/>
          <w:sz w:val="24"/>
          <w:szCs w:val="24"/>
        </w:rPr>
        <w:t xml:space="preserve">. </w:t>
      </w:r>
      <w:r w:rsidR="004D413B" w:rsidRPr="007C39F0">
        <w:rPr>
          <w:rFonts w:cs="Times New Roman"/>
          <w:sz w:val="24"/>
          <w:szCs w:val="24"/>
        </w:rPr>
        <w:t>It reveals that the population compositio</w:t>
      </w:r>
      <w:r w:rsidR="00636F9A" w:rsidRPr="007C39F0">
        <w:rPr>
          <w:rFonts w:cs="Times New Roman"/>
          <w:sz w:val="24"/>
          <w:szCs w:val="24"/>
        </w:rPr>
        <w:t>n has experienced little change</w:t>
      </w:r>
      <w:r w:rsidR="004D413B" w:rsidRPr="007C39F0">
        <w:rPr>
          <w:rFonts w:cs="Times New Roman"/>
          <w:sz w:val="24"/>
          <w:szCs w:val="24"/>
        </w:rPr>
        <w:t xml:space="preserve"> at t</w:t>
      </w:r>
      <w:r w:rsidR="009A2F7E" w:rsidRPr="007C39F0">
        <w:rPr>
          <w:rFonts w:cs="Times New Roman"/>
          <w:sz w:val="24"/>
          <w:szCs w:val="24"/>
        </w:rPr>
        <w:t xml:space="preserve">he </w:t>
      </w:r>
      <w:r w:rsidR="00F861DD" w:rsidRPr="007C39F0">
        <w:rPr>
          <w:rFonts w:cs="Times New Roman"/>
          <w:sz w:val="24"/>
          <w:szCs w:val="24"/>
        </w:rPr>
        <w:t>right tail</w:t>
      </w:r>
      <w:r w:rsidR="009A2F7E" w:rsidRPr="007C39F0">
        <w:rPr>
          <w:rFonts w:cs="Times New Roman"/>
          <w:sz w:val="24"/>
          <w:szCs w:val="24"/>
        </w:rPr>
        <w:t xml:space="preserve"> of the distribution compared to the </w:t>
      </w:r>
      <w:r w:rsidR="00F861DD" w:rsidRPr="007C39F0">
        <w:rPr>
          <w:rFonts w:cs="Times New Roman"/>
          <w:sz w:val="24"/>
          <w:szCs w:val="24"/>
        </w:rPr>
        <w:t>left tail</w:t>
      </w:r>
      <w:r w:rsidR="009A2F7E" w:rsidRPr="007C39F0">
        <w:rPr>
          <w:rFonts w:cs="Times New Roman"/>
          <w:sz w:val="24"/>
          <w:szCs w:val="24"/>
        </w:rPr>
        <w:t xml:space="preserve"> and middle parts</w:t>
      </w:r>
      <w:r w:rsidR="004D413B" w:rsidRPr="007C39F0">
        <w:rPr>
          <w:rFonts w:cs="Times New Roman"/>
          <w:sz w:val="24"/>
          <w:szCs w:val="24"/>
        </w:rPr>
        <w:t xml:space="preserve">. </w:t>
      </w:r>
    </w:p>
    <w:p w14:paraId="36CD3FD8" w14:textId="43D081C6" w:rsidR="00AD1570" w:rsidRPr="007C39F0" w:rsidRDefault="00AD1570" w:rsidP="00675EB5">
      <w:pPr>
        <w:spacing w:line="480" w:lineRule="auto"/>
        <w:rPr>
          <w:rFonts w:cs="Times New Roman"/>
          <w:sz w:val="24"/>
          <w:szCs w:val="24"/>
        </w:rPr>
      </w:pPr>
      <w:r w:rsidRPr="007C39F0">
        <w:rPr>
          <w:b/>
          <w:bCs/>
          <w:color w:val="000000"/>
          <w:sz w:val="24"/>
          <w:szCs w:val="24"/>
        </w:rPr>
        <w:t>Table 1.</w:t>
      </w:r>
      <w:r w:rsidRPr="007C39F0">
        <w:rPr>
          <w:color w:val="000000"/>
          <w:sz w:val="24"/>
          <w:szCs w:val="24"/>
        </w:rPr>
        <w:t xml:space="preserve"> Differences in BMI at selected centiles</w:t>
      </w:r>
    </w:p>
    <w:tbl>
      <w:tblPr>
        <w:tblW w:w="4413" w:type="dxa"/>
        <w:tblCellMar>
          <w:left w:w="0" w:type="dxa"/>
          <w:right w:w="0" w:type="dxa"/>
        </w:tblCellMar>
        <w:tblLook w:val="04A0" w:firstRow="1" w:lastRow="0" w:firstColumn="1" w:lastColumn="0" w:noHBand="0" w:noVBand="1"/>
      </w:tblPr>
      <w:tblGrid>
        <w:gridCol w:w="1746"/>
        <w:gridCol w:w="1226"/>
        <w:gridCol w:w="1226"/>
        <w:gridCol w:w="1804"/>
        <w:gridCol w:w="1692"/>
      </w:tblGrid>
      <w:tr w:rsidR="001F52F1" w:rsidRPr="00AD1570" w14:paraId="58A325BD" w14:textId="77777777" w:rsidTr="001F52F1">
        <w:trPr>
          <w:trHeight w:val="315"/>
        </w:trPr>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1BEA5172" w14:textId="717CA0A3" w:rsidR="001F52F1" w:rsidRPr="00AD1570" w:rsidRDefault="001F52F1" w:rsidP="00AD1570">
            <w:pPr>
              <w:rPr>
                <w:color w:val="000000"/>
              </w:rPr>
            </w:pPr>
            <w:r w:rsidRPr="00AD1570">
              <w:rPr>
                <w:color w:val="000000"/>
              </w:rPr>
              <w:t>Percentile</w:t>
            </w:r>
          </w:p>
        </w:tc>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743422F" w14:textId="77777777" w:rsidR="001F52F1" w:rsidRPr="00AD1570" w:rsidRDefault="001F52F1">
            <w:pPr>
              <w:jc w:val="center"/>
              <w:rPr>
                <w:color w:val="000000"/>
              </w:rPr>
            </w:pPr>
            <w:r w:rsidRPr="00AD1570">
              <w:rPr>
                <w:color w:val="000000"/>
              </w:rPr>
              <w:t>2002-4</w:t>
            </w:r>
          </w:p>
        </w:tc>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3A4EA84B" w14:textId="77777777" w:rsidR="001F52F1" w:rsidRPr="00AD1570" w:rsidRDefault="001F52F1">
            <w:pPr>
              <w:jc w:val="center"/>
              <w:rPr>
                <w:color w:val="000000"/>
              </w:rPr>
            </w:pPr>
            <w:r w:rsidRPr="00AD1570">
              <w:rPr>
                <w:color w:val="000000"/>
              </w:rPr>
              <w:t>2012-4</w:t>
            </w:r>
          </w:p>
        </w:tc>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769B06F5" w14:textId="77777777" w:rsidR="001F52F1" w:rsidRPr="00AD1570" w:rsidRDefault="001F52F1">
            <w:pPr>
              <w:jc w:val="center"/>
              <w:rPr>
                <w:color w:val="000000"/>
              </w:rPr>
            </w:pPr>
            <w:r w:rsidRPr="00AD1570">
              <w:rPr>
                <w:color w:val="000000"/>
              </w:rPr>
              <w:t>Difference</w:t>
            </w:r>
          </w:p>
        </w:tc>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3466CA4F" w14:textId="77777777" w:rsidR="001F52F1" w:rsidRPr="00AD1570" w:rsidRDefault="001F52F1">
            <w:pPr>
              <w:jc w:val="center"/>
              <w:rPr>
                <w:color w:val="000000"/>
              </w:rPr>
            </w:pPr>
            <w:r w:rsidRPr="00AD1570">
              <w:rPr>
                <w:color w:val="000000"/>
              </w:rPr>
              <w:t>% Change</w:t>
            </w:r>
          </w:p>
        </w:tc>
      </w:tr>
      <w:tr w:rsidR="001F52F1" w:rsidRPr="00AD1570" w14:paraId="213EF8E2" w14:textId="77777777" w:rsidTr="001F52F1">
        <w:trPr>
          <w:trHeight w:val="31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5EBA4D9" w14:textId="77777777" w:rsidR="001F52F1" w:rsidRPr="00AD1570" w:rsidRDefault="001F52F1">
            <w:pPr>
              <w:rPr>
                <w:color w:val="000000"/>
              </w:rPr>
            </w:pPr>
            <w:r w:rsidRPr="00AD1570">
              <w:rPr>
                <w:color w:val="000000"/>
              </w:rPr>
              <w:t>10</w:t>
            </w:r>
            <w:r w:rsidRPr="00AD1570">
              <w:rPr>
                <w:color w:val="000000"/>
                <w:vertAlign w:val="superscript"/>
              </w:rPr>
              <w:t>th</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C1FBC80" w14:textId="77777777" w:rsidR="001F52F1" w:rsidRPr="00AD1570" w:rsidRDefault="001F52F1">
            <w:pPr>
              <w:jc w:val="right"/>
              <w:rPr>
                <w:color w:val="000000"/>
              </w:rPr>
            </w:pPr>
            <w:r w:rsidRPr="00AD1570">
              <w:rPr>
                <w:color w:val="000000"/>
              </w:rPr>
              <w:t>21.5</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88F3FA9" w14:textId="77777777" w:rsidR="001F52F1" w:rsidRPr="00AD1570" w:rsidRDefault="001F52F1">
            <w:pPr>
              <w:jc w:val="right"/>
              <w:rPr>
                <w:color w:val="000000"/>
              </w:rPr>
            </w:pPr>
            <w:r w:rsidRPr="00AD1570">
              <w:rPr>
                <w:color w:val="000000"/>
              </w:rPr>
              <w:t>21.5</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A8A02F9" w14:textId="77777777" w:rsidR="001F52F1" w:rsidRPr="00AD1570" w:rsidRDefault="001F52F1">
            <w:pPr>
              <w:jc w:val="right"/>
              <w:rPr>
                <w:color w:val="000000"/>
              </w:rPr>
            </w:pPr>
            <w:r w:rsidRPr="00AD1570">
              <w:rPr>
                <w:color w:val="000000"/>
              </w:rPr>
              <w:t>0.0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BA0D65C" w14:textId="77777777" w:rsidR="001F52F1" w:rsidRPr="00AD1570" w:rsidRDefault="001F52F1">
            <w:pPr>
              <w:jc w:val="right"/>
              <w:rPr>
                <w:color w:val="000000"/>
              </w:rPr>
            </w:pPr>
            <w:r w:rsidRPr="00AD1570">
              <w:rPr>
                <w:color w:val="000000"/>
              </w:rPr>
              <w:t>0.0</w:t>
            </w:r>
          </w:p>
        </w:tc>
      </w:tr>
      <w:tr w:rsidR="001F52F1" w:rsidRPr="00AD1570" w14:paraId="39D21D1A" w14:textId="77777777" w:rsidTr="001F52F1">
        <w:trPr>
          <w:trHeight w:val="31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7DECB60" w14:textId="77777777" w:rsidR="001F52F1" w:rsidRPr="00AD1570" w:rsidRDefault="001F52F1">
            <w:pPr>
              <w:rPr>
                <w:color w:val="000000"/>
              </w:rPr>
            </w:pPr>
            <w:r w:rsidRPr="00AD1570">
              <w:rPr>
                <w:color w:val="000000"/>
              </w:rPr>
              <w:t>25</w:t>
            </w:r>
            <w:r w:rsidRPr="00AD1570">
              <w:rPr>
                <w:color w:val="000000"/>
                <w:vertAlign w:val="superscript"/>
              </w:rPr>
              <w:t>th</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92CCA1D" w14:textId="77777777" w:rsidR="001F52F1" w:rsidRPr="00AD1570" w:rsidRDefault="001F52F1">
            <w:pPr>
              <w:jc w:val="right"/>
              <w:rPr>
                <w:color w:val="000000"/>
              </w:rPr>
            </w:pPr>
            <w:r w:rsidRPr="00AD1570">
              <w:rPr>
                <w:color w:val="000000"/>
              </w:rPr>
              <w:t>23.7</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65282C5" w14:textId="77777777" w:rsidR="001F52F1" w:rsidRPr="00AD1570" w:rsidRDefault="001F52F1">
            <w:pPr>
              <w:jc w:val="right"/>
              <w:rPr>
                <w:color w:val="000000"/>
              </w:rPr>
            </w:pPr>
            <w:r w:rsidRPr="00AD1570">
              <w:rPr>
                <w:color w:val="000000"/>
              </w:rPr>
              <w:t>23.8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66F76EF" w14:textId="77777777" w:rsidR="001F52F1" w:rsidRPr="00AD1570" w:rsidRDefault="001F52F1">
            <w:pPr>
              <w:jc w:val="right"/>
              <w:rPr>
                <w:color w:val="000000"/>
              </w:rPr>
            </w:pPr>
            <w:r w:rsidRPr="00AD1570">
              <w:rPr>
                <w:color w:val="000000"/>
              </w:rPr>
              <w:t>0.1</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D32B7F2" w14:textId="77777777" w:rsidR="001F52F1" w:rsidRPr="00AD1570" w:rsidRDefault="001F52F1">
            <w:pPr>
              <w:jc w:val="right"/>
              <w:rPr>
                <w:color w:val="000000"/>
              </w:rPr>
            </w:pPr>
            <w:r w:rsidRPr="00AD1570">
              <w:rPr>
                <w:color w:val="000000"/>
              </w:rPr>
              <w:t>0.3</w:t>
            </w:r>
          </w:p>
        </w:tc>
      </w:tr>
      <w:tr w:rsidR="001F52F1" w:rsidRPr="00AD1570" w14:paraId="0D3CCB44" w14:textId="77777777" w:rsidTr="001F52F1">
        <w:trPr>
          <w:trHeight w:val="31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CB33AA6" w14:textId="77777777" w:rsidR="001F52F1" w:rsidRPr="00AD1570" w:rsidRDefault="001F52F1">
            <w:pPr>
              <w:rPr>
                <w:color w:val="000000"/>
              </w:rPr>
            </w:pPr>
            <w:r w:rsidRPr="00AD1570">
              <w:rPr>
                <w:color w:val="000000"/>
              </w:rPr>
              <w:t>50</w:t>
            </w:r>
            <w:r w:rsidRPr="00AD1570">
              <w:rPr>
                <w:color w:val="000000"/>
                <w:vertAlign w:val="superscript"/>
              </w:rPr>
              <w:t>th</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2DDC1BB" w14:textId="77777777" w:rsidR="001F52F1" w:rsidRPr="00AD1570" w:rsidRDefault="001F52F1">
            <w:pPr>
              <w:jc w:val="right"/>
              <w:rPr>
                <w:color w:val="000000"/>
              </w:rPr>
            </w:pPr>
            <w:r w:rsidRPr="00AD1570">
              <w:rPr>
                <w:color w:val="000000"/>
              </w:rPr>
              <w:t>26.6</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05DEB17" w14:textId="77777777" w:rsidR="001F52F1" w:rsidRPr="00AD1570" w:rsidRDefault="001F52F1">
            <w:pPr>
              <w:jc w:val="right"/>
              <w:rPr>
                <w:color w:val="000000"/>
              </w:rPr>
            </w:pPr>
            <w:r w:rsidRPr="00AD1570">
              <w:rPr>
                <w:color w:val="000000"/>
              </w:rPr>
              <w:t>26.7</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E10A820" w14:textId="4E58E8EF" w:rsidR="001F52F1" w:rsidRPr="00AD1570" w:rsidRDefault="001F52F1">
            <w:pPr>
              <w:jc w:val="right"/>
              <w:rPr>
                <w:color w:val="000000"/>
              </w:rPr>
            </w:pPr>
            <w:r>
              <w:rPr>
                <w:color w:val="000000"/>
              </w:rPr>
              <w:t>0.1</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00E9424" w14:textId="77777777" w:rsidR="001F52F1" w:rsidRPr="00AD1570" w:rsidRDefault="001F52F1">
            <w:pPr>
              <w:jc w:val="right"/>
              <w:rPr>
                <w:color w:val="000000"/>
              </w:rPr>
            </w:pPr>
            <w:r w:rsidRPr="00AD1570">
              <w:rPr>
                <w:color w:val="000000"/>
              </w:rPr>
              <w:t>0.5</w:t>
            </w:r>
          </w:p>
        </w:tc>
      </w:tr>
      <w:tr w:rsidR="001F52F1" w:rsidRPr="00AD1570" w14:paraId="17118E9D" w14:textId="77777777" w:rsidTr="001F52F1">
        <w:trPr>
          <w:trHeight w:val="31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04EB263" w14:textId="77777777" w:rsidR="001F52F1" w:rsidRPr="00AD1570" w:rsidRDefault="001F52F1">
            <w:pPr>
              <w:rPr>
                <w:color w:val="000000"/>
              </w:rPr>
            </w:pPr>
            <w:r w:rsidRPr="00AD1570">
              <w:rPr>
                <w:color w:val="000000"/>
              </w:rPr>
              <w:t>75</w:t>
            </w:r>
            <w:r w:rsidRPr="00AD1570">
              <w:rPr>
                <w:color w:val="000000"/>
                <w:vertAlign w:val="superscript"/>
              </w:rPr>
              <w:t>th</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61E7322" w14:textId="77777777" w:rsidR="001F52F1" w:rsidRPr="00AD1570" w:rsidRDefault="001F52F1">
            <w:pPr>
              <w:jc w:val="right"/>
              <w:rPr>
                <w:color w:val="000000"/>
              </w:rPr>
            </w:pPr>
            <w:r w:rsidRPr="00AD1570">
              <w:rPr>
                <w:color w:val="000000"/>
              </w:rPr>
              <w:t>29.9</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93399DF" w14:textId="77777777" w:rsidR="001F52F1" w:rsidRPr="00AD1570" w:rsidRDefault="001F52F1">
            <w:pPr>
              <w:jc w:val="right"/>
              <w:rPr>
                <w:color w:val="000000"/>
              </w:rPr>
            </w:pPr>
            <w:r w:rsidRPr="00AD1570">
              <w:rPr>
                <w:color w:val="000000"/>
              </w:rPr>
              <w:t>30.3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BA2D488" w14:textId="77777777" w:rsidR="001F52F1" w:rsidRPr="00AD1570" w:rsidRDefault="001F52F1">
            <w:pPr>
              <w:jc w:val="right"/>
              <w:rPr>
                <w:color w:val="000000"/>
              </w:rPr>
            </w:pPr>
            <w:r w:rsidRPr="00AD1570">
              <w:rPr>
                <w:color w:val="000000"/>
              </w:rPr>
              <w:t>0.4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0C03B0C" w14:textId="2EC1D0AC" w:rsidR="001F52F1" w:rsidRPr="00AD1570" w:rsidRDefault="001F52F1">
            <w:pPr>
              <w:jc w:val="right"/>
              <w:rPr>
                <w:color w:val="000000"/>
              </w:rPr>
            </w:pPr>
            <w:r w:rsidRPr="00AD1570">
              <w:rPr>
                <w:color w:val="000000"/>
              </w:rPr>
              <w:t>1.3</w:t>
            </w:r>
            <w:r w:rsidR="009879A6">
              <w:rPr>
                <w:color w:val="000000"/>
              </w:rPr>
              <w:t>*</w:t>
            </w:r>
          </w:p>
        </w:tc>
      </w:tr>
      <w:tr w:rsidR="001F52F1" w:rsidRPr="00AD1570" w14:paraId="4D8A3DA9" w14:textId="77777777" w:rsidTr="001F52F1">
        <w:trPr>
          <w:trHeight w:val="33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798E438" w14:textId="77777777" w:rsidR="001F52F1" w:rsidRPr="00AD1570" w:rsidRDefault="001F52F1">
            <w:pPr>
              <w:rPr>
                <w:color w:val="000000"/>
              </w:rPr>
            </w:pPr>
            <w:r w:rsidRPr="00AD1570">
              <w:rPr>
                <w:color w:val="000000"/>
              </w:rPr>
              <w:t>90</w:t>
            </w:r>
            <w:r w:rsidRPr="00AD1570">
              <w:rPr>
                <w:color w:val="000000"/>
                <w:vertAlign w:val="superscript"/>
              </w:rPr>
              <w:t>th</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F78013F" w14:textId="77777777" w:rsidR="001F52F1" w:rsidRPr="00AD1570" w:rsidRDefault="001F52F1">
            <w:pPr>
              <w:jc w:val="right"/>
              <w:rPr>
                <w:color w:val="000000"/>
              </w:rPr>
            </w:pPr>
            <w:r w:rsidRPr="00AD1570">
              <w:rPr>
                <w:color w:val="000000"/>
              </w:rPr>
              <w:t>33.6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9D4C3FA" w14:textId="77777777" w:rsidR="001F52F1" w:rsidRPr="00AD1570" w:rsidRDefault="001F52F1">
            <w:pPr>
              <w:jc w:val="right"/>
              <w:rPr>
                <w:color w:val="000000"/>
              </w:rPr>
            </w:pPr>
            <w:r w:rsidRPr="00AD1570">
              <w:rPr>
                <w:color w:val="000000"/>
              </w:rPr>
              <w:t>34.4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26F0B7D" w14:textId="77777777" w:rsidR="001F52F1" w:rsidRPr="00AD1570" w:rsidRDefault="001F52F1">
            <w:pPr>
              <w:jc w:val="right"/>
              <w:rPr>
                <w:color w:val="000000"/>
              </w:rPr>
            </w:pPr>
            <w:r w:rsidRPr="00AD1570">
              <w:rPr>
                <w:color w:val="000000"/>
              </w:rPr>
              <w:t>0.8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91880B1" w14:textId="12DC76AF" w:rsidR="001F52F1" w:rsidRPr="00AD1570" w:rsidRDefault="001F52F1">
            <w:pPr>
              <w:jc w:val="right"/>
              <w:rPr>
                <w:color w:val="000000"/>
              </w:rPr>
            </w:pPr>
            <w:r w:rsidRPr="00AD1570">
              <w:rPr>
                <w:color w:val="000000"/>
              </w:rPr>
              <w:t>2.5</w:t>
            </w:r>
            <w:r w:rsidR="009879A6">
              <w:rPr>
                <w:color w:val="000000"/>
              </w:rPr>
              <w:t>*</w:t>
            </w:r>
          </w:p>
        </w:tc>
      </w:tr>
      <w:tr w:rsidR="001F52F1" w:rsidRPr="00AD1570" w14:paraId="4939FDAC" w14:textId="77777777" w:rsidTr="001F52F1">
        <w:trPr>
          <w:trHeight w:val="300"/>
        </w:trPr>
        <w:tc>
          <w:tcPr>
            <w:tcW w:w="0" w:type="auto"/>
            <w:gridSpan w:val="5"/>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4B6C5BED" w14:textId="3832E087" w:rsidR="001F52F1" w:rsidRPr="00AD1570" w:rsidRDefault="001F52F1">
            <w:pPr>
              <w:rPr>
                <w:color w:val="000000"/>
              </w:rPr>
            </w:pPr>
            <w:r w:rsidRPr="00AD1570">
              <w:rPr>
                <w:color w:val="000000"/>
              </w:rPr>
              <w:t>Significance level * p&lt;0.05.</w:t>
            </w:r>
            <w:r w:rsidR="0023783B">
              <w:rPr>
                <w:color w:val="000000"/>
              </w:rPr>
              <w:t xml:space="preserve"> Sample size was </w:t>
            </w:r>
            <w:r w:rsidR="0023783B">
              <w:rPr>
                <w:rFonts w:cs="Times New Roman"/>
              </w:rPr>
              <w:t>29,018 for 2002/4 and 23,992 for 2012/4.</w:t>
            </w:r>
          </w:p>
        </w:tc>
      </w:tr>
    </w:tbl>
    <w:p w14:paraId="7F8A84F0" w14:textId="77777777" w:rsidR="00AD1570" w:rsidRDefault="00AD1570" w:rsidP="00675EB5">
      <w:pPr>
        <w:spacing w:line="480" w:lineRule="auto"/>
        <w:rPr>
          <w:rFonts w:cs="Times New Roman"/>
        </w:rPr>
        <w:sectPr w:rsidR="00AD1570" w:rsidSect="007C39F0">
          <w:footerReference w:type="even" r:id="rId8"/>
          <w:footerReference w:type="default" r:id="rId9"/>
          <w:pgSz w:w="11906" w:h="16838"/>
          <w:pgMar w:top="1418" w:right="1418" w:bottom="1418" w:left="1418" w:header="708" w:footer="708" w:gutter="0"/>
          <w:cols w:space="708"/>
          <w:docGrid w:linePitch="360"/>
        </w:sectPr>
      </w:pPr>
    </w:p>
    <w:p w14:paraId="68DD9DEB" w14:textId="34786652" w:rsidR="00AD1570" w:rsidRPr="007C39F0" w:rsidRDefault="00AD1570" w:rsidP="002759E1">
      <w:pPr>
        <w:spacing w:after="0" w:line="360" w:lineRule="auto"/>
        <w:rPr>
          <w:rFonts w:cs="Times New Roman"/>
          <w:sz w:val="24"/>
          <w:szCs w:val="24"/>
        </w:rPr>
      </w:pPr>
      <w:r w:rsidRPr="007C39F0">
        <w:rPr>
          <w:rFonts w:cs="Times New Roman"/>
          <w:b/>
          <w:sz w:val="24"/>
          <w:szCs w:val="24"/>
        </w:rPr>
        <w:lastRenderedPageBreak/>
        <w:t>Table 2.</w:t>
      </w:r>
      <w:r w:rsidRPr="007C39F0">
        <w:rPr>
          <w:rFonts w:cs="Times New Roman"/>
          <w:sz w:val="24"/>
          <w:szCs w:val="24"/>
        </w:rPr>
        <w:t xml:space="preserve"> Variable weighted sample means at selected centiles of the BMI distribution.</w:t>
      </w:r>
    </w:p>
    <w:tbl>
      <w:tblPr>
        <w:tblW w:w="0" w:type="auto"/>
        <w:tblLook w:val="04A0" w:firstRow="1" w:lastRow="0" w:firstColumn="1" w:lastColumn="0" w:noHBand="0" w:noVBand="1"/>
      </w:tblPr>
      <w:tblGrid>
        <w:gridCol w:w="946"/>
        <w:gridCol w:w="1120"/>
        <w:gridCol w:w="783"/>
        <w:gridCol w:w="783"/>
        <w:gridCol w:w="1071"/>
        <w:gridCol w:w="800"/>
        <w:gridCol w:w="800"/>
        <w:gridCol w:w="1094"/>
        <w:gridCol w:w="783"/>
        <w:gridCol w:w="783"/>
        <w:gridCol w:w="1071"/>
        <w:gridCol w:w="895"/>
        <w:gridCol w:w="895"/>
      </w:tblGrid>
      <w:tr w:rsidR="00F67EAD" w:rsidRPr="00AD1570" w14:paraId="65257C37" w14:textId="4EE0FC63" w:rsidTr="002759E1">
        <w:trPr>
          <w:trHeight w:val="315"/>
        </w:trPr>
        <w:tc>
          <w:tcPr>
            <w:tcW w:w="0" w:type="auto"/>
            <w:gridSpan w:val="2"/>
            <w:tcBorders>
              <w:top w:val="single" w:sz="8" w:space="0" w:color="auto"/>
              <w:left w:val="nil"/>
              <w:bottom w:val="single" w:sz="8" w:space="0" w:color="auto"/>
              <w:right w:val="nil"/>
            </w:tcBorders>
            <w:shd w:val="clear" w:color="000000" w:fill="FFFFFF"/>
            <w:noWrap/>
            <w:vAlign w:val="center"/>
            <w:hideMark/>
          </w:tcPr>
          <w:p w14:paraId="16DD5AAD" w14:textId="79F64C4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Distribution point</w:t>
            </w:r>
          </w:p>
        </w:tc>
        <w:tc>
          <w:tcPr>
            <w:tcW w:w="0" w:type="auto"/>
            <w:gridSpan w:val="3"/>
            <w:tcBorders>
              <w:top w:val="single" w:sz="8" w:space="0" w:color="auto"/>
              <w:left w:val="nil"/>
              <w:bottom w:val="single" w:sz="8" w:space="0" w:color="auto"/>
              <w:right w:val="nil"/>
            </w:tcBorders>
            <w:shd w:val="clear" w:color="000000" w:fill="FFFFFF"/>
            <w:noWrap/>
            <w:vAlign w:val="center"/>
            <w:hideMark/>
          </w:tcPr>
          <w:p w14:paraId="44EC5D0A" w14:textId="30A9D8D6" w:rsidR="00F67EAD" w:rsidRPr="00AD1570" w:rsidRDefault="00F67EAD" w:rsidP="00AD157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Left</w:t>
            </w:r>
            <w:r w:rsidRPr="00AD1570">
              <w:rPr>
                <w:rFonts w:ascii="Times New Roman" w:eastAsia="Times New Roman" w:hAnsi="Times New Roman" w:cs="Times New Roman"/>
                <w:color w:val="000000"/>
                <w:sz w:val="20"/>
                <w:szCs w:val="20"/>
                <w:lang w:eastAsia="en-GB"/>
              </w:rPr>
              <w:t xml:space="preserve"> (&lt; 25th percentile)</w:t>
            </w:r>
          </w:p>
        </w:tc>
        <w:tc>
          <w:tcPr>
            <w:tcW w:w="0" w:type="auto"/>
            <w:gridSpan w:val="3"/>
            <w:tcBorders>
              <w:top w:val="single" w:sz="8" w:space="0" w:color="auto"/>
              <w:left w:val="nil"/>
              <w:bottom w:val="single" w:sz="8" w:space="0" w:color="auto"/>
              <w:right w:val="nil"/>
            </w:tcBorders>
            <w:shd w:val="clear" w:color="000000" w:fill="FFFFFF"/>
            <w:noWrap/>
            <w:vAlign w:val="center"/>
            <w:hideMark/>
          </w:tcPr>
          <w:p w14:paraId="3ABA1955" w14:textId="77777777" w:rsidR="00F67EAD" w:rsidRPr="00AD1570" w:rsidRDefault="00F67EAD" w:rsidP="00AD1570">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Middle (25th - 75th percentile)</w:t>
            </w:r>
          </w:p>
        </w:tc>
        <w:tc>
          <w:tcPr>
            <w:tcW w:w="0" w:type="auto"/>
            <w:gridSpan w:val="3"/>
            <w:tcBorders>
              <w:top w:val="single" w:sz="4" w:space="0" w:color="auto"/>
              <w:left w:val="nil"/>
              <w:bottom w:val="single" w:sz="8" w:space="0" w:color="auto"/>
              <w:right w:val="nil"/>
            </w:tcBorders>
            <w:shd w:val="clear" w:color="000000" w:fill="FFFFFF"/>
            <w:noWrap/>
            <w:vAlign w:val="center"/>
            <w:hideMark/>
          </w:tcPr>
          <w:p w14:paraId="106A9D69" w14:textId="3B096DA4" w:rsidR="00F67EAD" w:rsidRPr="00AD1570" w:rsidRDefault="00F67EAD" w:rsidP="00AD157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Right</w:t>
            </w:r>
            <w:r w:rsidRPr="00AD1570">
              <w:rPr>
                <w:rFonts w:ascii="Times New Roman" w:eastAsia="Times New Roman" w:hAnsi="Times New Roman" w:cs="Times New Roman"/>
                <w:color w:val="000000"/>
                <w:sz w:val="20"/>
                <w:szCs w:val="20"/>
                <w:lang w:eastAsia="en-GB"/>
              </w:rPr>
              <w:t xml:space="preserve"> (&gt; 75th percentile)</w:t>
            </w:r>
          </w:p>
        </w:tc>
        <w:tc>
          <w:tcPr>
            <w:tcW w:w="0" w:type="auto"/>
            <w:gridSpan w:val="2"/>
            <w:tcBorders>
              <w:top w:val="single" w:sz="4" w:space="0" w:color="auto"/>
              <w:left w:val="nil"/>
              <w:bottom w:val="single" w:sz="8" w:space="0" w:color="auto"/>
              <w:right w:val="nil"/>
            </w:tcBorders>
            <w:shd w:val="clear" w:color="000000" w:fill="FFFFFF"/>
            <w:vAlign w:val="center"/>
          </w:tcPr>
          <w:p w14:paraId="283F3814" w14:textId="37A2299B" w:rsidR="00F67EAD" w:rsidRDefault="00776E66">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Complete cases</w:t>
            </w:r>
            <w:r w:rsidR="000D4A93">
              <w:rPr>
                <w:rFonts w:ascii="Times New Roman" w:eastAsia="Times New Roman" w:hAnsi="Times New Roman" w:cs="Times New Roman"/>
                <w:color w:val="000000"/>
                <w:sz w:val="20"/>
                <w:szCs w:val="20"/>
                <w:lang w:eastAsia="en-GB"/>
              </w:rPr>
              <w:t>, %</w:t>
            </w:r>
            <w:r w:rsidR="008A46FE" w:rsidRPr="002759E1">
              <w:rPr>
                <w:rFonts w:ascii="Times New Roman" w:eastAsia="Times New Roman" w:hAnsi="Times New Roman" w:cs="Times New Roman"/>
                <w:color w:val="000000"/>
                <w:sz w:val="20"/>
                <w:szCs w:val="20"/>
                <w:vertAlign w:val="superscript"/>
                <w:lang w:eastAsia="en-GB"/>
              </w:rPr>
              <w:t>a</w:t>
            </w:r>
          </w:p>
        </w:tc>
      </w:tr>
      <w:tr w:rsidR="00F67EAD" w:rsidRPr="00AD1570" w14:paraId="7E07964C" w14:textId="1C571DED" w:rsidTr="002759E1">
        <w:trPr>
          <w:trHeight w:val="315"/>
        </w:trPr>
        <w:tc>
          <w:tcPr>
            <w:tcW w:w="0" w:type="auto"/>
            <w:tcBorders>
              <w:top w:val="nil"/>
              <w:left w:val="nil"/>
              <w:bottom w:val="single" w:sz="8" w:space="0" w:color="auto"/>
              <w:right w:val="nil"/>
            </w:tcBorders>
            <w:shd w:val="clear" w:color="000000" w:fill="FFFFFF"/>
            <w:noWrap/>
            <w:vAlign w:val="center"/>
            <w:hideMark/>
          </w:tcPr>
          <w:p w14:paraId="6A1B3739" w14:textId="77777777" w:rsidR="00F67EAD" w:rsidRPr="00AD1570" w:rsidRDefault="00F67EAD" w:rsidP="00F67EAD">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Variable</w:t>
            </w:r>
          </w:p>
        </w:tc>
        <w:tc>
          <w:tcPr>
            <w:tcW w:w="0" w:type="auto"/>
            <w:tcBorders>
              <w:top w:val="nil"/>
              <w:left w:val="nil"/>
              <w:bottom w:val="single" w:sz="8" w:space="0" w:color="auto"/>
              <w:right w:val="nil"/>
            </w:tcBorders>
            <w:shd w:val="clear" w:color="000000" w:fill="FFFFFF"/>
            <w:noWrap/>
            <w:vAlign w:val="center"/>
            <w:hideMark/>
          </w:tcPr>
          <w:p w14:paraId="31227F77" w14:textId="77777777" w:rsidR="00F67EAD" w:rsidRPr="00AD1570" w:rsidRDefault="00F67EAD" w:rsidP="00F67EAD">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Category</w:t>
            </w:r>
          </w:p>
        </w:tc>
        <w:tc>
          <w:tcPr>
            <w:tcW w:w="0" w:type="auto"/>
            <w:tcBorders>
              <w:top w:val="nil"/>
              <w:left w:val="nil"/>
              <w:bottom w:val="single" w:sz="8" w:space="0" w:color="auto"/>
              <w:right w:val="nil"/>
            </w:tcBorders>
            <w:shd w:val="clear" w:color="000000" w:fill="FFFFFF"/>
            <w:noWrap/>
            <w:vAlign w:val="center"/>
            <w:hideMark/>
          </w:tcPr>
          <w:p w14:paraId="1380D871"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2002-4</w:t>
            </w:r>
          </w:p>
        </w:tc>
        <w:tc>
          <w:tcPr>
            <w:tcW w:w="0" w:type="auto"/>
            <w:tcBorders>
              <w:top w:val="nil"/>
              <w:left w:val="nil"/>
              <w:bottom w:val="single" w:sz="8" w:space="0" w:color="auto"/>
              <w:right w:val="nil"/>
            </w:tcBorders>
            <w:shd w:val="clear" w:color="000000" w:fill="FFFFFF"/>
            <w:noWrap/>
            <w:vAlign w:val="center"/>
            <w:hideMark/>
          </w:tcPr>
          <w:p w14:paraId="50FC2338"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2012-4</w:t>
            </w:r>
          </w:p>
        </w:tc>
        <w:tc>
          <w:tcPr>
            <w:tcW w:w="0" w:type="auto"/>
            <w:tcBorders>
              <w:top w:val="nil"/>
              <w:left w:val="nil"/>
              <w:bottom w:val="single" w:sz="8" w:space="0" w:color="auto"/>
              <w:right w:val="nil"/>
            </w:tcBorders>
            <w:shd w:val="clear" w:color="000000" w:fill="FFFFFF"/>
            <w:noWrap/>
            <w:vAlign w:val="center"/>
            <w:hideMark/>
          </w:tcPr>
          <w:p w14:paraId="73DFEFB6"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Difference</w:t>
            </w:r>
          </w:p>
        </w:tc>
        <w:tc>
          <w:tcPr>
            <w:tcW w:w="0" w:type="auto"/>
            <w:tcBorders>
              <w:top w:val="nil"/>
              <w:left w:val="nil"/>
              <w:bottom w:val="single" w:sz="8" w:space="0" w:color="auto"/>
              <w:right w:val="nil"/>
            </w:tcBorders>
            <w:shd w:val="clear" w:color="000000" w:fill="FFFFFF"/>
            <w:noWrap/>
            <w:vAlign w:val="center"/>
            <w:hideMark/>
          </w:tcPr>
          <w:p w14:paraId="70FC072F"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2002-4</w:t>
            </w:r>
          </w:p>
        </w:tc>
        <w:tc>
          <w:tcPr>
            <w:tcW w:w="0" w:type="auto"/>
            <w:tcBorders>
              <w:top w:val="nil"/>
              <w:left w:val="nil"/>
              <w:bottom w:val="single" w:sz="8" w:space="0" w:color="auto"/>
              <w:right w:val="nil"/>
            </w:tcBorders>
            <w:shd w:val="clear" w:color="000000" w:fill="FFFFFF"/>
            <w:noWrap/>
            <w:vAlign w:val="center"/>
            <w:hideMark/>
          </w:tcPr>
          <w:p w14:paraId="0FAC8FD6"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2012-4</w:t>
            </w:r>
          </w:p>
        </w:tc>
        <w:tc>
          <w:tcPr>
            <w:tcW w:w="0" w:type="auto"/>
            <w:tcBorders>
              <w:top w:val="nil"/>
              <w:left w:val="nil"/>
              <w:bottom w:val="single" w:sz="8" w:space="0" w:color="auto"/>
              <w:right w:val="nil"/>
            </w:tcBorders>
            <w:shd w:val="clear" w:color="000000" w:fill="FFFFFF"/>
            <w:noWrap/>
            <w:vAlign w:val="center"/>
            <w:hideMark/>
          </w:tcPr>
          <w:p w14:paraId="6A16BEA9"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Difference</w:t>
            </w:r>
          </w:p>
        </w:tc>
        <w:tc>
          <w:tcPr>
            <w:tcW w:w="0" w:type="auto"/>
            <w:tcBorders>
              <w:top w:val="nil"/>
              <w:left w:val="nil"/>
              <w:bottom w:val="single" w:sz="8" w:space="0" w:color="auto"/>
              <w:right w:val="nil"/>
            </w:tcBorders>
            <w:shd w:val="clear" w:color="000000" w:fill="FFFFFF"/>
            <w:noWrap/>
            <w:vAlign w:val="center"/>
            <w:hideMark/>
          </w:tcPr>
          <w:p w14:paraId="059D42E6"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2002-4</w:t>
            </w:r>
          </w:p>
        </w:tc>
        <w:tc>
          <w:tcPr>
            <w:tcW w:w="0" w:type="auto"/>
            <w:tcBorders>
              <w:top w:val="nil"/>
              <w:left w:val="nil"/>
              <w:bottom w:val="single" w:sz="8" w:space="0" w:color="auto"/>
              <w:right w:val="nil"/>
            </w:tcBorders>
            <w:shd w:val="clear" w:color="000000" w:fill="FFFFFF"/>
            <w:noWrap/>
            <w:vAlign w:val="center"/>
            <w:hideMark/>
          </w:tcPr>
          <w:p w14:paraId="7D1C1B70"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2012-4</w:t>
            </w:r>
          </w:p>
        </w:tc>
        <w:tc>
          <w:tcPr>
            <w:tcW w:w="0" w:type="auto"/>
            <w:tcBorders>
              <w:top w:val="nil"/>
              <w:left w:val="nil"/>
              <w:bottom w:val="single" w:sz="8" w:space="0" w:color="auto"/>
              <w:right w:val="nil"/>
            </w:tcBorders>
            <w:shd w:val="clear" w:color="000000" w:fill="FFFFFF"/>
            <w:noWrap/>
            <w:vAlign w:val="center"/>
            <w:hideMark/>
          </w:tcPr>
          <w:p w14:paraId="3A558622" w14:textId="777777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Difference</w:t>
            </w:r>
          </w:p>
        </w:tc>
        <w:tc>
          <w:tcPr>
            <w:tcW w:w="0" w:type="auto"/>
            <w:tcBorders>
              <w:top w:val="nil"/>
              <w:left w:val="nil"/>
              <w:bottom w:val="single" w:sz="8" w:space="0" w:color="auto"/>
              <w:right w:val="nil"/>
            </w:tcBorders>
            <w:shd w:val="clear" w:color="000000" w:fill="FFFFFF"/>
            <w:vAlign w:val="center"/>
          </w:tcPr>
          <w:p w14:paraId="44AC90A9" w14:textId="67248D58"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2002-4</w:t>
            </w:r>
          </w:p>
        </w:tc>
        <w:tc>
          <w:tcPr>
            <w:tcW w:w="0" w:type="auto"/>
            <w:tcBorders>
              <w:top w:val="nil"/>
              <w:left w:val="nil"/>
              <w:bottom w:val="single" w:sz="8" w:space="0" w:color="auto"/>
              <w:right w:val="nil"/>
            </w:tcBorders>
            <w:shd w:val="clear" w:color="000000" w:fill="FFFFFF"/>
            <w:vAlign w:val="center"/>
          </w:tcPr>
          <w:p w14:paraId="5523CB96" w14:textId="004F5877" w:rsidR="00F67EAD" w:rsidRPr="00AD1570" w:rsidRDefault="00F67EAD" w:rsidP="00F67EAD">
            <w:pPr>
              <w:spacing w:after="0" w:line="240" w:lineRule="auto"/>
              <w:jc w:val="center"/>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2012-4</w:t>
            </w:r>
          </w:p>
        </w:tc>
      </w:tr>
      <w:tr w:rsidR="00F67EAD" w:rsidRPr="00AD1570" w14:paraId="728488A6" w14:textId="59462610" w:rsidTr="00B2508B">
        <w:trPr>
          <w:trHeight w:val="300"/>
        </w:trPr>
        <w:tc>
          <w:tcPr>
            <w:tcW w:w="0" w:type="auto"/>
            <w:tcBorders>
              <w:top w:val="nil"/>
              <w:left w:val="nil"/>
              <w:bottom w:val="nil"/>
              <w:right w:val="nil"/>
            </w:tcBorders>
            <w:shd w:val="clear" w:color="000000" w:fill="FFFFFF"/>
            <w:noWrap/>
            <w:vAlign w:val="center"/>
            <w:hideMark/>
          </w:tcPr>
          <w:p w14:paraId="041DDA8C"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Sex</w:t>
            </w:r>
          </w:p>
        </w:tc>
        <w:tc>
          <w:tcPr>
            <w:tcW w:w="0" w:type="auto"/>
            <w:tcBorders>
              <w:top w:val="nil"/>
              <w:left w:val="nil"/>
              <w:bottom w:val="nil"/>
              <w:right w:val="nil"/>
            </w:tcBorders>
            <w:shd w:val="clear" w:color="000000" w:fill="FFFFFF"/>
            <w:noWrap/>
            <w:vAlign w:val="center"/>
            <w:hideMark/>
          </w:tcPr>
          <w:p w14:paraId="0855E6EF"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2890988"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E3F94C7"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283B5F20"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08BD1762"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936CC63"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264BDE3D"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7998FB2"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92A68B8"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B003882"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tcPr>
          <w:p w14:paraId="637243D9" w14:textId="2017C0A8" w:rsidR="00F67EAD" w:rsidRPr="00AD1570" w:rsidRDefault="00FC4C33" w:rsidP="002759E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100</w:t>
            </w:r>
            <w:r w:rsidR="000D4A93">
              <w:rPr>
                <w:rFonts w:ascii="Times New Roman" w:eastAsia="Times New Roman" w:hAnsi="Times New Roman" w:cs="Times New Roman"/>
                <w:color w:val="000000"/>
                <w:sz w:val="20"/>
                <w:szCs w:val="20"/>
                <w:lang w:eastAsia="en-GB"/>
              </w:rPr>
              <w:t>.0</w:t>
            </w:r>
          </w:p>
        </w:tc>
        <w:tc>
          <w:tcPr>
            <w:tcW w:w="0" w:type="auto"/>
            <w:tcBorders>
              <w:top w:val="nil"/>
              <w:left w:val="nil"/>
              <w:bottom w:val="nil"/>
              <w:right w:val="nil"/>
            </w:tcBorders>
            <w:shd w:val="clear" w:color="000000" w:fill="FFFFFF"/>
          </w:tcPr>
          <w:p w14:paraId="732F1537" w14:textId="0ED97060" w:rsidR="00F67EAD" w:rsidRPr="00AD1570" w:rsidRDefault="00FC4C33" w:rsidP="002759E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100.0</w:t>
            </w:r>
          </w:p>
        </w:tc>
      </w:tr>
      <w:tr w:rsidR="00F67EAD" w:rsidRPr="00AD1570" w14:paraId="41DA5872" w14:textId="704DE446" w:rsidTr="00B2508B">
        <w:trPr>
          <w:trHeight w:val="300"/>
        </w:trPr>
        <w:tc>
          <w:tcPr>
            <w:tcW w:w="0" w:type="auto"/>
            <w:tcBorders>
              <w:top w:val="nil"/>
              <w:left w:val="nil"/>
              <w:bottom w:val="nil"/>
              <w:right w:val="nil"/>
            </w:tcBorders>
            <w:shd w:val="clear" w:color="000000" w:fill="FFFFFF"/>
            <w:noWrap/>
            <w:vAlign w:val="center"/>
            <w:hideMark/>
          </w:tcPr>
          <w:p w14:paraId="617B35B3"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EC7F55C"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Male</w:t>
            </w:r>
          </w:p>
        </w:tc>
        <w:tc>
          <w:tcPr>
            <w:tcW w:w="0" w:type="auto"/>
            <w:tcBorders>
              <w:top w:val="nil"/>
              <w:left w:val="nil"/>
              <w:bottom w:val="nil"/>
              <w:right w:val="nil"/>
            </w:tcBorders>
            <w:shd w:val="clear" w:color="000000" w:fill="FFFFFF"/>
            <w:noWrap/>
            <w:vAlign w:val="center"/>
            <w:hideMark/>
          </w:tcPr>
          <w:p w14:paraId="681CA263"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38.8</w:t>
            </w:r>
          </w:p>
        </w:tc>
        <w:tc>
          <w:tcPr>
            <w:tcW w:w="0" w:type="auto"/>
            <w:tcBorders>
              <w:top w:val="nil"/>
              <w:left w:val="nil"/>
              <w:bottom w:val="nil"/>
              <w:right w:val="nil"/>
            </w:tcBorders>
            <w:shd w:val="clear" w:color="000000" w:fill="FFFFFF"/>
            <w:noWrap/>
            <w:vAlign w:val="center"/>
            <w:hideMark/>
          </w:tcPr>
          <w:p w14:paraId="2D8E933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39.4</w:t>
            </w:r>
          </w:p>
        </w:tc>
        <w:tc>
          <w:tcPr>
            <w:tcW w:w="0" w:type="auto"/>
            <w:tcBorders>
              <w:top w:val="nil"/>
              <w:left w:val="nil"/>
              <w:bottom w:val="nil"/>
              <w:right w:val="nil"/>
            </w:tcBorders>
            <w:shd w:val="clear" w:color="000000" w:fill="FFFFFF"/>
            <w:noWrap/>
            <w:vAlign w:val="center"/>
            <w:hideMark/>
          </w:tcPr>
          <w:p w14:paraId="51B3A53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0.6</w:t>
            </w:r>
          </w:p>
        </w:tc>
        <w:tc>
          <w:tcPr>
            <w:tcW w:w="0" w:type="auto"/>
            <w:tcBorders>
              <w:top w:val="nil"/>
              <w:left w:val="nil"/>
              <w:bottom w:val="nil"/>
              <w:right w:val="nil"/>
            </w:tcBorders>
            <w:shd w:val="clear" w:color="000000" w:fill="FFFFFF"/>
            <w:noWrap/>
            <w:vAlign w:val="center"/>
            <w:hideMark/>
          </w:tcPr>
          <w:p w14:paraId="73D5F3D6" w14:textId="50161477" w:rsidR="00F67EAD" w:rsidRPr="00AD1570" w:rsidRDefault="003B1D7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53.9</w:t>
            </w:r>
          </w:p>
        </w:tc>
        <w:tc>
          <w:tcPr>
            <w:tcW w:w="0" w:type="auto"/>
            <w:tcBorders>
              <w:top w:val="nil"/>
              <w:left w:val="nil"/>
              <w:bottom w:val="nil"/>
              <w:right w:val="nil"/>
            </w:tcBorders>
            <w:shd w:val="clear" w:color="000000" w:fill="FFFFFF"/>
            <w:noWrap/>
            <w:vAlign w:val="center"/>
            <w:hideMark/>
          </w:tcPr>
          <w:p w14:paraId="71F8562B" w14:textId="7A1C0C51" w:rsidR="00F67EAD" w:rsidRPr="00AD1570" w:rsidRDefault="003B1D7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54.5</w:t>
            </w:r>
          </w:p>
        </w:tc>
        <w:tc>
          <w:tcPr>
            <w:tcW w:w="0" w:type="auto"/>
            <w:tcBorders>
              <w:top w:val="nil"/>
              <w:left w:val="nil"/>
              <w:bottom w:val="nil"/>
              <w:right w:val="nil"/>
            </w:tcBorders>
            <w:shd w:val="clear" w:color="000000" w:fill="FFFFFF"/>
            <w:noWrap/>
            <w:vAlign w:val="center"/>
            <w:hideMark/>
          </w:tcPr>
          <w:p w14:paraId="5F0EB285"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0.6</w:t>
            </w:r>
          </w:p>
        </w:tc>
        <w:tc>
          <w:tcPr>
            <w:tcW w:w="0" w:type="auto"/>
            <w:tcBorders>
              <w:top w:val="nil"/>
              <w:left w:val="nil"/>
              <w:bottom w:val="nil"/>
              <w:right w:val="nil"/>
            </w:tcBorders>
            <w:shd w:val="clear" w:color="000000" w:fill="FFFFFF"/>
            <w:noWrap/>
            <w:vAlign w:val="center"/>
            <w:hideMark/>
          </w:tcPr>
          <w:p w14:paraId="51E37EBE"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46.4</w:t>
            </w:r>
          </w:p>
        </w:tc>
        <w:tc>
          <w:tcPr>
            <w:tcW w:w="0" w:type="auto"/>
            <w:tcBorders>
              <w:top w:val="nil"/>
              <w:left w:val="nil"/>
              <w:bottom w:val="nil"/>
              <w:right w:val="nil"/>
            </w:tcBorders>
            <w:shd w:val="clear" w:color="000000" w:fill="FFFFFF"/>
            <w:noWrap/>
            <w:vAlign w:val="center"/>
            <w:hideMark/>
          </w:tcPr>
          <w:p w14:paraId="1F82247B"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47.2</w:t>
            </w:r>
          </w:p>
        </w:tc>
        <w:tc>
          <w:tcPr>
            <w:tcW w:w="0" w:type="auto"/>
            <w:tcBorders>
              <w:top w:val="nil"/>
              <w:left w:val="nil"/>
              <w:bottom w:val="nil"/>
              <w:right w:val="nil"/>
            </w:tcBorders>
            <w:shd w:val="clear" w:color="000000" w:fill="FFFFFF"/>
            <w:noWrap/>
            <w:vAlign w:val="center"/>
            <w:hideMark/>
          </w:tcPr>
          <w:p w14:paraId="5EBE33E9"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0.8</w:t>
            </w:r>
          </w:p>
        </w:tc>
        <w:tc>
          <w:tcPr>
            <w:tcW w:w="0" w:type="auto"/>
            <w:tcBorders>
              <w:top w:val="nil"/>
              <w:left w:val="nil"/>
              <w:bottom w:val="nil"/>
              <w:right w:val="nil"/>
            </w:tcBorders>
            <w:shd w:val="clear" w:color="000000" w:fill="FFFFFF"/>
          </w:tcPr>
          <w:p w14:paraId="264CFBEE"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773B5706"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182EAAB9" w14:textId="3A867C4A" w:rsidTr="00B2508B">
        <w:trPr>
          <w:trHeight w:val="300"/>
        </w:trPr>
        <w:tc>
          <w:tcPr>
            <w:tcW w:w="0" w:type="auto"/>
            <w:tcBorders>
              <w:top w:val="nil"/>
              <w:left w:val="nil"/>
              <w:bottom w:val="nil"/>
              <w:right w:val="nil"/>
            </w:tcBorders>
            <w:shd w:val="clear" w:color="000000" w:fill="FFFFFF"/>
            <w:noWrap/>
            <w:vAlign w:val="center"/>
            <w:hideMark/>
          </w:tcPr>
          <w:p w14:paraId="707FEF58"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70DEC51"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Female</w:t>
            </w:r>
          </w:p>
        </w:tc>
        <w:tc>
          <w:tcPr>
            <w:tcW w:w="0" w:type="auto"/>
            <w:tcBorders>
              <w:top w:val="nil"/>
              <w:left w:val="nil"/>
              <w:bottom w:val="nil"/>
              <w:right w:val="nil"/>
            </w:tcBorders>
            <w:shd w:val="clear" w:color="000000" w:fill="FFFFFF"/>
            <w:noWrap/>
            <w:vAlign w:val="center"/>
            <w:hideMark/>
          </w:tcPr>
          <w:p w14:paraId="6C2FC84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61.2</w:t>
            </w:r>
          </w:p>
        </w:tc>
        <w:tc>
          <w:tcPr>
            <w:tcW w:w="0" w:type="auto"/>
            <w:tcBorders>
              <w:top w:val="nil"/>
              <w:left w:val="nil"/>
              <w:bottom w:val="nil"/>
              <w:right w:val="nil"/>
            </w:tcBorders>
            <w:shd w:val="clear" w:color="000000" w:fill="FFFFFF"/>
            <w:noWrap/>
            <w:vAlign w:val="center"/>
            <w:hideMark/>
          </w:tcPr>
          <w:p w14:paraId="00221D9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60.6</w:t>
            </w:r>
          </w:p>
        </w:tc>
        <w:tc>
          <w:tcPr>
            <w:tcW w:w="0" w:type="auto"/>
            <w:tcBorders>
              <w:top w:val="nil"/>
              <w:left w:val="nil"/>
              <w:bottom w:val="nil"/>
              <w:right w:val="nil"/>
            </w:tcBorders>
            <w:shd w:val="clear" w:color="000000" w:fill="FFFFFF"/>
            <w:noWrap/>
            <w:vAlign w:val="center"/>
            <w:hideMark/>
          </w:tcPr>
          <w:p w14:paraId="37D5D15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-0.6</w:t>
            </w:r>
          </w:p>
        </w:tc>
        <w:tc>
          <w:tcPr>
            <w:tcW w:w="0" w:type="auto"/>
            <w:tcBorders>
              <w:top w:val="nil"/>
              <w:left w:val="nil"/>
              <w:bottom w:val="nil"/>
              <w:right w:val="nil"/>
            </w:tcBorders>
            <w:shd w:val="clear" w:color="000000" w:fill="FFFFFF"/>
            <w:noWrap/>
            <w:vAlign w:val="center"/>
            <w:hideMark/>
          </w:tcPr>
          <w:p w14:paraId="20CCEC3F" w14:textId="21117FA1" w:rsidR="00F67EAD" w:rsidRPr="00AD1570" w:rsidRDefault="003B1D7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46.1</w:t>
            </w:r>
          </w:p>
        </w:tc>
        <w:tc>
          <w:tcPr>
            <w:tcW w:w="0" w:type="auto"/>
            <w:tcBorders>
              <w:top w:val="nil"/>
              <w:left w:val="nil"/>
              <w:bottom w:val="nil"/>
              <w:right w:val="nil"/>
            </w:tcBorders>
            <w:shd w:val="clear" w:color="000000" w:fill="FFFFFF"/>
            <w:noWrap/>
            <w:vAlign w:val="center"/>
            <w:hideMark/>
          </w:tcPr>
          <w:p w14:paraId="708FF57D" w14:textId="375A153C" w:rsidR="00F67EAD" w:rsidRPr="00AD1570" w:rsidRDefault="003B1D7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45.5</w:t>
            </w:r>
          </w:p>
        </w:tc>
        <w:tc>
          <w:tcPr>
            <w:tcW w:w="0" w:type="auto"/>
            <w:tcBorders>
              <w:top w:val="nil"/>
              <w:left w:val="nil"/>
              <w:bottom w:val="nil"/>
              <w:right w:val="nil"/>
            </w:tcBorders>
            <w:shd w:val="clear" w:color="000000" w:fill="FFFFFF"/>
            <w:noWrap/>
            <w:vAlign w:val="center"/>
            <w:hideMark/>
          </w:tcPr>
          <w:p w14:paraId="5DC9BCF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-0.6</w:t>
            </w:r>
          </w:p>
        </w:tc>
        <w:tc>
          <w:tcPr>
            <w:tcW w:w="0" w:type="auto"/>
            <w:tcBorders>
              <w:top w:val="nil"/>
              <w:left w:val="nil"/>
              <w:bottom w:val="nil"/>
              <w:right w:val="nil"/>
            </w:tcBorders>
            <w:shd w:val="clear" w:color="000000" w:fill="FFFFFF"/>
            <w:noWrap/>
            <w:vAlign w:val="center"/>
            <w:hideMark/>
          </w:tcPr>
          <w:p w14:paraId="1F64041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53.6</w:t>
            </w:r>
          </w:p>
        </w:tc>
        <w:tc>
          <w:tcPr>
            <w:tcW w:w="0" w:type="auto"/>
            <w:tcBorders>
              <w:top w:val="nil"/>
              <w:left w:val="nil"/>
              <w:bottom w:val="nil"/>
              <w:right w:val="nil"/>
            </w:tcBorders>
            <w:shd w:val="clear" w:color="000000" w:fill="FFFFFF"/>
            <w:noWrap/>
            <w:vAlign w:val="center"/>
            <w:hideMark/>
          </w:tcPr>
          <w:p w14:paraId="5AFC9E9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52.8</w:t>
            </w:r>
          </w:p>
        </w:tc>
        <w:tc>
          <w:tcPr>
            <w:tcW w:w="0" w:type="auto"/>
            <w:tcBorders>
              <w:top w:val="nil"/>
              <w:left w:val="nil"/>
              <w:bottom w:val="nil"/>
              <w:right w:val="nil"/>
            </w:tcBorders>
            <w:shd w:val="clear" w:color="000000" w:fill="FFFFFF"/>
            <w:noWrap/>
            <w:vAlign w:val="center"/>
            <w:hideMark/>
          </w:tcPr>
          <w:p w14:paraId="285D23A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-0.8</w:t>
            </w:r>
          </w:p>
        </w:tc>
        <w:tc>
          <w:tcPr>
            <w:tcW w:w="0" w:type="auto"/>
            <w:tcBorders>
              <w:top w:val="nil"/>
              <w:left w:val="nil"/>
              <w:bottom w:val="nil"/>
              <w:right w:val="nil"/>
            </w:tcBorders>
            <w:shd w:val="clear" w:color="000000" w:fill="FFFFFF"/>
          </w:tcPr>
          <w:p w14:paraId="5A66F5C9"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545AE724"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5C18E5FD" w14:textId="3E623C20" w:rsidTr="00B2508B">
        <w:trPr>
          <w:trHeight w:val="300"/>
        </w:trPr>
        <w:tc>
          <w:tcPr>
            <w:tcW w:w="0" w:type="auto"/>
            <w:tcBorders>
              <w:top w:val="nil"/>
              <w:left w:val="nil"/>
              <w:bottom w:val="nil"/>
              <w:right w:val="nil"/>
            </w:tcBorders>
            <w:shd w:val="clear" w:color="000000" w:fill="FFFFFF"/>
            <w:noWrap/>
            <w:vAlign w:val="center"/>
            <w:hideMark/>
          </w:tcPr>
          <w:p w14:paraId="51582CE2"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Age</w:t>
            </w:r>
          </w:p>
        </w:tc>
        <w:tc>
          <w:tcPr>
            <w:tcW w:w="0" w:type="auto"/>
            <w:tcBorders>
              <w:top w:val="nil"/>
              <w:left w:val="nil"/>
              <w:bottom w:val="nil"/>
              <w:right w:val="nil"/>
            </w:tcBorders>
            <w:shd w:val="clear" w:color="000000" w:fill="FFFFFF"/>
            <w:noWrap/>
            <w:vAlign w:val="center"/>
            <w:hideMark/>
          </w:tcPr>
          <w:p w14:paraId="3EBEC45A"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77F79E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074582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A66A3B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EA36B43"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E56C3C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1A18C5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D921143"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7AD3CD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C04B82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tcPr>
          <w:p w14:paraId="22B045D7" w14:textId="15493A9A"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100</w:t>
            </w:r>
            <w:r w:rsidR="000D4A93">
              <w:rPr>
                <w:rFonts w:ascii="Times New Roman" w:eastAsia="Times New Roman" w:hAnsi="Times New Roman" w:cs="Times New Roman"/>
                <w:color w:val="000000"/>
                <w:sz w:val="20"/>
                <w:szCs w:val="20"/>
                <w:lang w:eastAsia="en-GB"/>
              </w:rPr>
              <w:t>.0</w:t>
            </w:r>
          </w:p>
        </w:tc>
        <w:tc>
          <w:tcPr>
            <w:tcW w:w="0" w:type="auto"/>
            <w:tcBorders>
              <w:top w:val="nil"/>
              <w:left w:val="nil"/>
              <w:bottom w:val="nil"/>
              <w:right w:val="nil"/>
            </w:tcBorders>
            <w:shd w:val="clear" w:color="000000" w:fill="FFFFFF"/>
          </w:tcPr>
          <w:p w14:paraId="59A96E9E" w14:textId="120A3BAE"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100.0</w:t>
            </w:r>
          </w:p>
        </w:tc>
      </w:tr>
      <w:tr w:rsidR="00F67EAD" w:rsidRPr="00AD1570" w14:paraId="5323AC4A" w14:textId="540578D1" w:rsidTr="00B2508B">
        <w:trPr>
          <w:trHeight w:val="300"/>
        </w:trPr>
        <w:tc>
          <w:tcPr>
            <w:tcW w:w="0" w:type="auto"/>
            <w:tcBorders>
              <w:top w:val="nil"/>
              <w:left w:val="nil"/>
              <w:bottom w:val="nil"/>
              <w:right w:val="nil"/>
            </w:tcBorders>
            <w:shd w:val="clear" w:color="000000" w:fill="FFFFFF"/>
            <w:noWrap/>
            <w:vAlign w:val="center"/>
            <w:hideMark/>
          </w:tcPr>
          <w:p w14:paraId="423BFBA5"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231AF87"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20-39</w:t>
            </w:r>
          </w:p>
        </w:tc>
        <w:tc>
          <w:tcPr>
            <w:tcW w:w="0" w:type="auto"/>
            <w:tcBorders>
              <w:top w:val="nil"/>
              <w:left w:val="nil"/>
              <w:bottom w:val="nil"/>
              <w:right w:val="nil"/>
            </w:tcBorders>
            <w:shd w:val="clear" w:color="000000" w:fill="FFFFFF"/>
            <w:noWrap/>
            <w:vAlign w:val="center"/>
            <w:hideMark/>
          </w:tcPr>
          <w:p w14:paraId="17278591"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50.4</w:t>
            </w:r>
          </w:p>
        </w:tc>
        <w:tc>
          <w:tcPr>
            <w:tcW w:w="0" w:type="auto"/>
            <w:tcBorders>
              <w:top w:val="nil"/>
              <w:left w:val="nil"/>
              <w:bottom w:val="nil"/>
              <w:right w:val="nil"/>
            </w:tcBorders>
            <w:shd w:val="clear" w:color="000000" w:fill="FFFFFF"/>
            <w:noWrap/>
            <w:vAlign w:val="center"/>
            <w:hideMark/>
          </w:tcPr>
          <w:p w14:paraId="623BD601"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51.6</w:t>
            </w:r>
          </w:p>
        </w:tc>
        <w:tc>
          <w:tcPr>
            <w:tcW w:w="0" w:type="auto"/>
            <w:tcBorders>
              <w:top w:val="nil"/>
              <w:left w:val="nil"/>
              <w:bottom w:val="nil"/>
              <w:right w:val="nil"/>
            </w:tcBorders>
            <w:shd w:val="clear" w:color="000000" w:fill="FFFFFF"/>
            <w:noWrap/>
            <w:vAlign w:val="center"/>
            <w:hideMark/>
          </w:tcPr>
          <w:p w14:paraId="2C8DC56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1.2</w:t>
            </w:r>
          </w:p>
        </w:tc>
        <w:tc>
          <w:tcPr>
            <w:tcW w:w="0" w:type="auto"/>
            <w:tcBorders>
              <w:top w:val="nil"/>
              <w:left w:val="nil"/>
              <w:bottom w:val="nil"/>
              <w:right w:val="nil"/>
            </w:tcBorders>
            <w:shd w:val="clear" w:color="000000" w:fill="FFFFFF"/>
            <w:noWrap/>
            <w:vAlign w:val="center"/>
            <w:hideMark/>
          </w:tcPr>
          <w:p w14:paraId="55DA9625" w14:textId="5333EBA2" w:rsidR="00F67EAD" w:rsidRPr="00AD1570" w:rsidRDefault="00B7064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2.9</w:t>
            </w:r>
          </w:p>
        </w:tc>
        <w:tc>
          <w:tcPr>
            <w:tcW w:w="0" w:type="auto"/>
            <w:tcBorders>
              <w:top w:val="nil"/>
              <w:left w:val="nil"/>
              <w:bottom w:val="nil"/>
              <w:right w:val="nil"/>
            </w:tcBorders>
            <w:shd w:val="clear" w:color="000000" w:fill="FFFFFF"/>
            <w:noWrap/>
            <w:vAlign w:val="center"/>
            <w:hideMark/>
          </w:tcPr>
          <w:p w14:paraId="3DBEFD35" w14:textId="7B58306C"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w:t>
            </w:r>
            <w:r w:rsidR="00B7064D">
              <w:rPr>
                <w:rFonts w:ascii="Times New Roman" w:eastAsia="Times New Roman" w:hAnsi="Times New Roman" w:cs="Times New Roman"/>
                <w:color w:val="000000"/>
                <w:sz w:val="20"/>
                <w:szCs w:val="20"/>
                <w:lang w:eastAsia="en-GB"/>
              </w:rPr>
              <w:t>1</w:t>
            </w:r>
            <w:r w:rsidRPr="00AD1570">
              <w:rPr>
                <w:rFonts w:ascii="Times New Roman" w:eastAsia="Times New Roman" w:hAnsi="Times New Roman" w:cs="Times New Roman"/>
                <w:color w:val="000000"/>
                <w:sz w:val="20"/>
                <w:szCs w:val="20"/>
                <w:lang w:eastAsia="en-GB"/>
              </w:rPr>
              <w:t>.</w:t>
            </w:r>
            <w:r w:rsidR="00B7064D">
              <w:rPr>
                <w:rFonts w:ascii="Times New Roman" w:eastAsia="Times New Roman" w:hAnsi="Times New Roman" w:cs="Times New Roman"/>
                <w:color w:val="000000"/>
                <w:sz w:val="20"/>
                <w:szCs w:val="20"/>
                <w:lang w:eastAsia="en-GB"/>
              </w:rPr>
              <w:t>1</w:t>
            </w:r>
          </w:p>
        </w:tc>
        <w:tc>
          <w:tcPr>
            <w:tcW w:w="0" w:type="auto"/>
            <w:tcBorders>
              <w:top w:val="nil"/>
              <w:left w:val="nil"/>
              <w:bottom w:val="nil"/>
              <w:right w:val="nil"/>
            </w:tcBorders>
            <w:shd w:val="clear" w:color="000000" w:fill="FFFFFF"/>
            <w:noWrap/>
            <w:vAlign w:val="center"/>
            <w:hideMark/>
          </w:tcPr>
          <w:p w14:paraId="6304A614" w14:textId="014691E1"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w:t>
            </w:r>
            <w:r w:rsidR="00B7064D">
              <w:rPr>
                <w:rFonts w:ascii="Times New Roman" w:eastAsia="Times New Roman" w:hAnsi="Times New Roman" w:cs="Times New Roman"/>
                <w:color w:val="000000"/>
                <w:sz w:val="20"/>
                <w:szCs w:val="20"/>
                <w:lang w:eastAsia="en-GB"/>
              </w:rPr>
              <w:t>8</w:t>
            </w:r>
          </w:p>
        </w:tc>
        <w:tc>
          <w:tcPr>
            <w:tcW w:w="0" w:type="auto"/>
            <w:tcBorders>
              <w:top w:val="nil"/>
              <w:left w:val="nil"/>
              <w:bottom w:val="nil"/>
              <w:right w:val="nil"/>
            </w:tcBorders>
            <w:shd w:val="clear" w:color="000000" w:fill="FFFFFF"/>
            <w:noWrap/>
            <w:vAlign w:val="center"/>
            <w:hideMark/>
          </w:tcPr>
          <w:p w14:paraId="44644693"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30.4</w:t>
            </w:r>
          </w:p>
        </w:tc>
        <w:tc>
          <w:tcPr>
            <w:tcW w:w="0" w:type="auto"/>
            <w:tcBorders>
              <w:top w:val="nil"/>
              <w:left w:val="nil"/>
              <w:bottom w:val="nil"/>
              <w:right w:val="nil"/>
            </w:tcBorders>
            <w:shd w:val="clear" w:color="000000" w:fill="FFFFFF"/>
            <w:noWrap/>
            <w:vAlign w:val="center"/>
            <w:hideMark/>
          </w:tcPr>
          <w:p w14:paraId="55F4522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29.4</w:t>
            </w:r>
          </w:p>
        </w:tc>
        <w:tc>
          <w:tcPr>
            <w:tcW w:w="0" w:type="auto"/>
            <w:tcBorders>
              <w:top w:val="nil"/>
              <w:left w:val="nil"/>
              <w:bottom w:val="nil"/>
              <w:right w:val="nil"/>
            </w:tcBorders>
            <w:shd w:val="clear" w:color="000000" w:fill="FFFFFF"/>
            <w:noWrap/>
            <w:vAlign w:val="center"/>
            <w:hideMark/>
          </w:tcPr>
          <w:p w14:paraId="1900EA2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-0.9</w:t>
            </w:r>
          </w:p>
        </w:tc>
        <w:tc>
          <w:tcPr>
            <w:tcW w:w="0" w:type="auto"/>
            <w:tcBorders>
              <w:top w:val="nil"/>
              <w:left w:val="nil"/>
              <w:bottom w:val="nil"/>
              <w:right w:val="nil"/>
            </w:tcBorders>
            <w:shd w:val="clear" w:color="000000" w:fill="FFFFFF"/>
          </w:tcPr>
          <w:p w14:paraId="7FB3718A"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70F8C676"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4C06FC80" w14:textId="12E28339" w:rsidTr="00B2508B">
        <w:trPr>
          <w:trHeight w:val="300"/>
        </w:trPr>
        <w:tc>
          <w:tcPr>
            <w:tcW w:w="0" w:type="auto"/>
            <w:tcBorders>
              <w:top w:val="nil"/>
              <w:left w:val="nil"/>
              <w:bottom w:val="nil"/>
              <w:right w:val="nil"/>
            </w:tcBorders>
            <w:shd w:val="clear" w:color="000000" w:fill="FFFFFF"/>
            <w:noWrap/>
            <w:vAlign w:val="center"/>
            <w:hideMark/>
          </w:tcPr>
          <w:p w14:paraId="1A956FB9"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1EBC1B4"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40-59</w:t>
            </w:r>
          </w:p>
        </w:tc>
        <w:tc>
          <w:tcPr>
            <w:tcW w:w="0" w:type="auto"/>
            <w:tcBorders>
              <w:top w:val="nil"/>
              <w:left w:val="nil"/>
              <w:bottom w:val="nil"/>
              <w:right w:val="nil"/>
            </w:tcBorders>
            <w:shd w:val="clear" w:color="000000" w:fill="FFFFFF"/>
            <w:noWrap/>
            <w:vAlign w:val="center"/>
            <w:hideMark/>
          </w:tcPr>
          <w:p w14:paraId="7C730AC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30.2</w:t>
            </w:r>
          </w:p>
        </w:tc>
        <w:tc>
          <w:tcPr>
            <w:tcW w:w="0" w:type="auto"/>
            <w:tcBorders>
              <w:top w:val="nil"/>
              <w:left w:val="nil"/>
              <w:bottom w:val="nil"/>
              <w:right w:val="nil"/>
            </w:tcBorders>
            <w:shd w:val="clear" w:color="000000" w:fill="FFFFFF"/>
            <w:noWrap/>
            <w:vAlign w:val="center"/>
            <w:hideMark/>
          </w:tcPr>
          <w:p w14:paraId="64706B6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28.0</w:t>
            </w:r>
          </w:p>
        </w:tc>
        <w:tc>
          <w:tcPr>
            <w:tcW w:w="0" w:type="auto"/>
            <w:tcBorders>
              <w:top w:val="nil"/>
              <w:left w:val="nil"/>
              <w:bottom w:val="nil"/>
              <w:right w:val="nil"/>
            </w:tcBorders>
            <w:shd w:val="clear" w:color="000000" w:fill="FFFFFF"/>
            <w:noWrap/>
            <w:vAlign w:val="center"/>
            <w:hideMark/>
          </w:tcPr>
          <w:p w14:paraId="47D5077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-2.3</w:t>
            </w:r>
          </w:p>
        </w:tc>
        <w:tc>
          <w:tcPr>
            <w:tcW w:w="0" w:type="auto"/>
            <w:tcBorders>
              <w:top w:val="nil"/>
              <w:left w:val="nil"/>
              <w:bottom w:val="nil"/>
              <w:right w:val="nil"/>
            </w:tcBorders>
            <w:shd w:val="clear" w:color="000000" w:fill="FFFFFF"/>
            <w:noWrap/>
            <w:vAlign w:val="center"/>
            <w:hideMark/>
          </w:tcPr>
          <w:p w14:paraId="528B364B" w14:textId="26CA4D58" w:rsidR="00F67EAD" w:rsidRPr="00AD1570" w:rsidRDefault="00B7064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7</w:t>
            </w:r>
            <w:r w:rsidR="00F67EAD" w:rsidRPr="00AD1570">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9</w:t>
            </w:r>
          </w:p>
        </w:tc>
        <w:tc>
          <w:tcPr>
            <w:tcW w:w="0" w:type="auto"/>
            <w:tcBorders>
              <w:top w:val="nil"/>
              <w:left w:val="nil"/>
              <w:bottom w:val="nil"/>
              <w:right w:val="nil"/>
            </w:tcBorders>
            <w:shd w:val="clear" w:color="000000" w:fill="FFFFFF"/>
            <w:noWrap/>
            <w:vAlign w:val="center"/>
            <w:hideMark/>
          </w:tcPr>
          <w:p w14:paraId="41AEB695" w14:textId="13BC1FE7" w:rsidR="00F67EAD" w:rsidRPr="00AD1570" w:rsidRDefault="00B7064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8</w:t>
            </w:r>
            <w:r w:rsidR="00F67EAD" w:rsidRPr="00AD1570">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0</w:t>
            </w:r>
          </w:p>
        </w:tc>
        <w:tc>
          <w:tcPr>
            <w:tcW w:w="0" w:type="auto"/>
            <w:tcBorders>
              <w:top w:val="nil"/>
              <w:left w:val="nil"/>
              <w:bottom w:val="nil"/>
              <w:right w:val="nil"/>
            </w:tcBorders>
            <w:shd w:val="clear" w:color="auto" w:fill="auto"/>
            <w:noWrap/>
            <w:vAlign w:val="center"/>
            <w:hideMark/>
          </w:tcPr>
          <w:p w14:paraId="669F5C13" w14:textId="07D4EB3B"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w:t>
            </w:r>
            <w:r w:rsidR="00B7064D">
              <w:rPr>
                <w:rFonts w:ascii="Times New Roman" w:eastAsia="Times New Roman" w:hAnsi="Times New Roman" w:cs="Times New Roman"/>
                <w:color w:val="000000"/>
                <w:sz w:val="20"/>
                <w:szCs w:val="20"/>
                <w:lang w:eastAsia="en-GB"/>
              </w:rPr>
              <w:t>1</w:t>
            </w:r>
          </w:p>
        </w:tc>
        <w:tc>
          <w:tcPr>
            <w:tcW w:w="0" w:type="auto"/>
            <w:tcBorders>
              <w:top w:val="nil"/>
              <w:left w:val="nil"/>
              <w:bottom w:val="nil"/>
              <w:right w:val="nil"/>
            </w:tcBorders>
            <w:shd w:val="clear" w:color="000000" w:fill="FFFFFF"/>
            <w:noWrap/>
            <w:vAlign w:val="center"/>
            <w:hideMark/>
          </w:tcPr>
          <w:p w14:paraId="0A9C3EF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37.5</w:t>
            </w:r>
          </w:p>
        </w:tc>
        <w:tc>
          <w:tcPr>
            <w:tcW w:w="0" w:type="auto"/>
            <w:tcBorders>
              <w:top w:val="nil"/>
              <w:left w:val="nil"/>
              <w:bottom w:val="nil"/>
              <w:right w:val="nil"/>
            </w:tcBorders>
            <w:shd w:val="clear" w:color="000000" w:fill="FFFFFF"/>
            <w:noWrap/>
            <w:vAlign w:val="center"/>
            <w:hideMark/>
          </w:tcPr>
          <w:p w14:paraId="2728391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38.0</w:t>
            </w:r>
          </w:p>
        </w:tc>
        <w:tc>
          <w:tcPr>
            <w:tcW w:w="0" w:type="auto"/>
            <w:tcBorders>
              <w:top w:val="nil"/>
              <w:left w:val="nil"/>
              <w:bottom w:val="nil"/>
              <w:right w:val="nil"/>
            </w:tcBorders>
            <w:shd w:val="clear" w:color="000000" w:fill="FFFFFF"/>
            <w:noWrap/>
            <w:vAlign w:val="center"/>
            <w:hideMark/>
          </w:tcPr>
          <w:p w14:paraId="4D22D30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0.5</w:t>
            </w:r>
          </w:p>
        </w:tc>
        <w:tc>
          <w:tcPr>
            <w:tcW w:w="0" w:type="auto"/>
            <w:tcBorders>
              <w:top w:val="nil"/>
              <w:left w:val="nil"/>
              <w:bottom w:val="nil"/>
              <w:right w:val="nil"/>
            </w:tcBorders>
            <w:shd w:val="clear" w:color="000000" w:fill="FFFFFF"/>
          </w:tcPr>
          <w:p w14:paraId="022D32FF"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16D0D9FB"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56668017" w14:textId="65473578" w:rsidTr="00B2508B">
        <w:trPr>
          <w:trHeight w:val="300"/>
        </w:trPr>
        <w:tc>
          <w:tcPr>
            <w:tcW w:w="0" w:type="auto"/>
            <w:tcBorders>
              <w:top w:val="nil"/>
              <w:left w:val="nil"/>
              <w:bottom w:val="nil"/>
              <w:right w:val="nil"/>
            </w:tcBorders>
            <w:shd w:val="clear" w:color="000000" w:fill="FFFFFF"/>
            <w:noWrap/>
            <w:vAlign w:val="center"/>
            <w:hideMark/>
          </w:tcPr>
          <w:p w14:paraId="43119A7C"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56054AD"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60+</w:t>
            </w:r>
          </w:p>
        </w:tc>
        <w:tc>
          <w:tcPr>
            <w:tcW w:w="0" w:type="auto"/>
            <w:tcBorders>
              <w:top w:val="nil"/>
              <w:left w:val="nil"/>
              <w:bottom w:val="nil"/>
              <w:right w:val="nil"/>
            </w:tcBorders>
            <w:shd w:val="clear" w:color="000000" w:fill="FFFFFF"/>
            <w:noWrap/>
            <w:vAlign w:val="center"/>
            <w:hideMark/>
          </w:tcPr>
          <w:p w14:paraId="2B9D2B3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19.3</w:t>
            </w:r>
          </w:p>
        </w:tc>
        <w:tc>
          <w:tcPr>
            <w:tcW w:w="0" w:type="auto"/>
            <w:tcBorders>
              <w:top w:val="nil"/>
              <w:left w:val="nil"/>
              <w:bottom w:val="nil"/>
              <w:right w:val="nil"/>
            </w:tcBorders>
            <w:shd w:val="clear" w:color="000000" w:fill="FFFFFF"/>
            <w:noWrap/>
            <w:vAlign w:val="center"/>
            <w:hideMark/>
          </w:tcPr>
          <w:p w14:paraId="478FC9ED"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20.4</w:t>
            </w:r>
          </w:p>
        </w:tc>
        <w:tc>
          <w:tcPr>
            <w:tcW w:w="0" w:type="auto"/>
            <w:tcBorders>
              <w:top w:val="nil"/>
              <w:left w:val="nil"/>
              <w:bottom w:val="nil"/>
              <w:right w:val="nil"/>
            </w:tcBorders>
            <w:shd w:val="clear" w:color="000000" w:fill="FFFFFF"/>
            <w:noWrap/>
            <w:vAlign w:val="center"/>
            <w:hideMark/>
          </w:tcPr>
          <w:p w14:paraId="724266FB"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1.1</w:t>
            </w:r>
          </w:p>
        </w:tc>
        <w:tc>
          <w:tcPr>
            <w:tcW w:w="0" w:type="auto"/>
            <w:tcBorders>
              <w:top w:val="nil"/>
              <w:left w:val="nil"/>
              <w:bottom w:val="nil"/>
              <w:right w:val="nil"/>
            </w:tcBorders>
            <w:shd w:val="clear" w:color="000000" w:fill="FFFFFF"/>
            <w:noWrap/>
            <w:vAlign w:val="center"/>
            <w:hideMark/>
          </w:tcPr>
          <w:p w14:paraId="78759BDF" w14:textId="0E50FD05"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w:t>
            </w:r>
            <w:r w:rsidR="00B7064D">
              <w:rPr>
                <w:rFonts w:ascii="Times New Roman" w:eastAsia="Times New Roman" w:hAnsi="Times New Roman" w:cs="Times New Roman"/>
                <w:color w:val="000000"/>
                <w:sz w:val="20"/>
                <w:szCs w:val="20"/>
                <w:lang w:eastAsia="en-GB"/>
              </w:rPr>
              <w:t>9</w:t>
            </w:r>
            <w:r w:rsidRPr="00AD1570">
              <w:rPr>
                <w:rFonts w:ascii="Times New Roman" w:eastAsia="Times New Roman" w:hAnsi="Times New Roman" w:cs="Times New Roman"/>
                <w:color w:val="000000"/>
                <w:sz w:val="20"/>
                <w:szCs w:val="20"/>
                <w:lang w:eastAsia="en-GB"/>
              </w:rPr>
              <w:t>.1</w:t>
            </w:r>
          </w:p>
        </w:tc>
        <w:tc>
          <w:tcPr>
            <w:tcW w:w="0" w:type="auto"/>
            <w:tcBorders>
              <w:top w:val="nil"/>
              <w:left w:val="nil"/>
              <w:bottom w:val="nil"/>
              <w:right w:val="nil"/>
            </w:tcBorders>
            <w:shd w:val="clear" w:color="000000" w:fill="FFFFFF"/>
            <w:noWrap/>
            <w:vAlign w:val="center"/>
            <w:hideMark/>
          </w:tcPr>
          <w:p w14:paraId="52E9C168" w14:textId="3A07B3EF" w:rsidR="00F67EAD" w:rsidRPr="00AD1570" w:rsidRDefault="00B7064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30</w:t>
            </w:r>
            <w:r w:rsidR="00F67EAD" w:rsidRPr="00AD1570">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9</w:t>
            </w:r>
          </w:p>
        </w:tc>
        <w:tc>
          <w:tcPr>
            <w:tcW w:w="0" w:type="auto"/>
            <w:tcBorders>
              <w:top w:val="nil"/>
              <w:left w:val="nil"/>
              <w:bottom w:val="nil"/>
              <w:right w:val="nil"/>
            </w:tcBorders>
            <w:shd w:val="clear" w:color="000000" w:fill="FFFFFF"/>
            <w:noWrap/>
            <w:vAlign w:val="center"/>
            <w:hideMark/>
          </w:tcPr>
          <w:p w14:paraId="6CAD954F" w14:textId="548EB8DB"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w:t>
            </w:r>
            <w:r w:rsidR="00B7064D">
              <w:rPr>
                <w:rFonts w:ascii="Times New Roman" w:eastAsia="Times New Roman" w:hAnsi="Times New Roman" w:cs="Times New Roman"/>
                <w:color w:val="000000"/>
                <w:sz w:val="20"/>
                <w:szCs w:val="20"/>
                <w:lang w:eastAsia="en-GB"/>
              </w:rPr>
              <w:t>8</w:t>
            </w:r>
          </w:p>
        </w:tc>
        <w:tc>
          <w:tcPr>
            <w:tcW w:w="0" w:type="auto"/>
            <w:tcBorders>
              <w:top w:val="nil"/>
              <w:left w:val="nil"/>
              <w:bottom w:val="nil"/>
              <w:right w:val="nil"/>
            </w:tcBorders>
            <w:shd w:val="clear" w:color="000000" w:fill="FFFFFF"/>
            <w:noWrap/>
            <w:vAlign w:val="center"/>
            <w:hideMark/>
          </w:tcPr>
          <w:p w14:paraId="5A45F26E"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32.1</w:t>
            </w:r>
          </w:p>
        </w:tc>
        <w:tc>
          <w:tcPr>
            <w:tcW w:w="0" w:type="auto"/>
            <w:tcBorders>
              <w:top w:val="nil"/>
              <w:left w:val="nil"/>
              <w:bottom w:val="nil"/>
              <w:right w:val="nil"/>
            </w:tcBorders>
            <w:shd w:val="clear" w:color="000000" w:fill="FFFFFF"/>
            <w:noWrap/>
            <w:vAlign w:val="center"/>
            <w:hideMark/>
          </w:tcPr>
          <w:p w14:paraId="4872542E"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32.6</w:t>
            </w:r>
          </w:p>
        </w:tc>
        <w:tc>
          <w:tcPr>
            <w:tcW w:w="0" w:type="auto"/>
            <w:tcBorders>
              <w:top w:val="nil"/>
              <w:left w:val="nil"/>
              <w:bottom w:val="nil"/>
              <w:right w:val="nil"/>
            </w:tcBorders>
            <w:shd w:val="clear" w:color="000000" w:fill="FFFFFF"/>
            <w:noWrap/>
            <w:vAlign w:val="center"/>
            <w:hideMark/>
          </w:tcPr>
          <w:p w14:paraId="651449F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0.5</w:t>
            </w:r>
          </w:p>
        </w:tc>
        <w:tc>
          <w:tcPr>
            <w:tcW w:w="0" w:type="auto"/>
            <w:tcBorders>
              <w:top w:val="nil"/>
              <w:left w:val="nil"/>
              <w:bottom w:val="nil"/>
              <w:right w:val="nil"/>
            </w:tcBorders>
            <w:shd w:val="clear" w:color="000000" w:fill="FFFFFF"/>
          </w:tcPr>
          <w:p w14:paraId="6A9326A6"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77DB1AC7"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2964AB01" w14:textId="2B9F2A7F" w:rsidTr="00B2508B">
        <w:trPr>
          <w:trHeight w:val="300"/>
        </w:trPr>
        <w:tc>
          <w:tcPr>
            <w:tcW w:w="0" w:type="auto"/>
            <w:tcBorders>
              <w:top w:val="nil"/>
              <w:left w:val="nil"/>
              <w:bottom w:val="nil"/>
              <w:right w:val="nil"/>
            </w:tcBorders>
            <w:shd w:val="clear" w:color="000000" w:fill="FFFFFF"/>
            <w:noWrap/>
            <w:vAlign w:val="center"/>
            <w:hideMark/>
          </w:tcPr>
          <w:p w14:paraId="354CD9C2" w14:textId="02568C05"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Race</w:t>
            </w:r>
          </w:p>
        </w:tc>
        <w:tc>
          <w:tcPr>
            <w:tcW w:w="0" w:type="auto"/>
            <w:tcBorders>
              <w:top w:val="nil"/>
              <w:left w:val="nil"/>
              <w:bottom w:val="nil"/>
              <w:right w:val="nil"/>
            </w:tcBorders>
            <w:shd w:val="clear" w:color="000000" w:fill="FFFFFF"/>
            <w:noWrap/>
            <w:vAlign w:val="center"/>
            <w:hideMark/>
          </w:tcPr>
          <w:p w14:paraId="604AB46D"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2CF8A85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A5EFD4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0927674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7B3055C" w14:textId="2BD51D94"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9E1751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9559E9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04B1D94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5E94B2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1F46F75"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tcPr>
          <w:p w14:paraId="41188A24" w14:textId="70FE81FE"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99.8</w:t>
            </w:r>
          </w:p>
        </w:tc>
        <w:tc>
          <w:tcPr>
            <w:tcW w:w="0" w:type="auto"/>
            <w:tcBorders>
              <w:top w:val="nil"/>
              <w:left w:val="nil"/>
              <w:bottom w:val="nil"/>
              <w:right w:val="nil"/>
            </w:tcBorders>
            <w:shd w:val="clear" w:color="000000" w:fill="FFFFFF"/>
          </w:tcPr>
          <w:p w14:paraId="142E1AB0" w14:textId="1969CD8D"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99.7</w:t>
            </w:r>
          </w:p>
        </w:tc>
      </w:tr>
      <w:tr w:rsidR="00F67EAD" w:rsidRPr="00AD1570" w14:paraId="3D1D91B6" w14:textId="47C28F87" w:rsidTr="00B2508B">
        <w:trPr>
          <w:trHeight w:val="300"/>
        </w:trPr>
        <w:tc>
          <w:tcPr>
            <w:tcW w:w="0" w:type="auto"/>
            <w:tcBorders>
              <w:top w:val="nil"/>
              <w:left w:val="nil"/>
              <w:bottom w:val="nil"/>
              <w:right w:val="nil"/>
            </w:tcBorders>
            <w:shd w:val="clear" w:color="000000" w:fill="FFFFFF"/>
            <w:noWrap/>
            <w:vAlign w:val="center"/>
            <w:hideMark/>
          </w:tcPr>
          <w:p w14:paraId="1601147E"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27BD20E"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White</w:t>
            </w:r>
          </w:p>
        </w:tc>
        <w:tc>
          <w:tcPr>
            <w:tcW w:w="0" w:type="auto"/>
            <w:tcBorders>
              <w:top w:val="nil"/>
              <w:left w:val="nil"/>
              <w:bottom w:val="nil"/>
              <w:right w:val="nil"/>
            </w:tcBorders>
            <w:shd w:val="clear" w:color="000000" w:fill="FFFFFF"/>
            <w:noWrap/>
            <w:vAlign w:val="center"/>
            <w:hideMark/>
          </w:tcPr>
          <w:p w14:paraId="23364A5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92.7</w:t>
            </w:r>
          </w:p>
        </w:tc>
        <w:tc>
          <w:tcPr>
            <w:tcW w:w="0" w:type="auto"/>
            <w:tcBorders>
              <w:top w:val="nil"/>
              <w:left w:val="nil"/>
              <w:bottom w:val="nil"/>
              <w:right w:val="nil"/>
            </w:tcBorders>
            <w:shd w:val="clear" w:color="000000" w:fill="FFFFFF"/>
            <w:noWrap/>
            <w:vAlign w:val="center"/>
            <w:hideMark/>
          </w:tcPr>
          <w:p w14:paraId="74CEAA9E"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87.7</w:t>
            </w:r>
          </w:p>
        </w:tc>
        <w:tc>
          <w:tcPr>
            <w:tcW w:w="0" w:type="auto"/>
            <w:tcBorders>
              <w:top w:val="nil"/>
              <w:left w:val="nil"/>
              <w:bottom w:val="nil"/>
              <w:right w:val="nil"/>
            </w:tcBorders>
            <w:shd w:val="clear" w:color="000000" w:fill="FFFFFF"/>
            <w:noWrap/>
            <w:vAlign w:val="center"/>
            <w:hideMark/>
          </w:tcPr>
          <w:p w14:paraId="37746663"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-4.9</w:t>
            </w:r>
          </w:p>
        </w:tc>
        <w:tc>
          <w:tcPr>
            <w:tcW w:w="0" w:type="auto"/>
            <w:tcBorders>
              <w:top w:val="nil"/>
              <w:left w:val="nil"/>
              <w:bottom w:val="nil"/>
              <w:right w:val="nil"/>
            </w:tcBorders>
            <w:shd w:val="clear" w:color="000000" w:fill="FFFFFF"/>
            <w:noWrap/>
            <w:vAlign w:val="center"/>
            <w:hideMark/>
          </w:tcPr>
          <w:p w14:paraId="0788A887" w14:textId="4D4642DB"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94.</w:t>
            </w:r>
            <w:r w:rsidR="00B7064D">
              <w:rPr>
                <w:rFonts w:ascii="Times New Roman" w:eastAsia="Times New Roman" w:hAnsi="Times New Roman" w:cs="Times New Roman"/>
                <w:color w:val="000000"/>
                <w:sz w:val="20"/>
                <w:szCs w:val="20"/>
                <w:lang w:eastAsia="en-GB"/>
              </w:rPr>
              <w:t>4</w:t>
            </w:r>
          </w:p>
        </w:tc>
        <w:tc>
          <w:tcPr>
            <w:tcW w:w="0" w:type="auto"/>
            <w:tcBorders>
              <w:top w:val="nil"/>
              <w:left w:val="nil"/>
              <w:bottom w:val="nil"/>
              <w:right w:val="nil"/>
            </w:tcBorders>
            <w:shd w:val="clear" w:color="000000" w:fill="FFFFFF"/>
            <w:noWrap/>
            <w:vAlign w:val="center"/>
            <w:hideMark/>
          </w:tcPr>
          <w:p w14:paraId="20B5FE3D" w14:textId="1B7F9764"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90.</w:t>
            </w:r>
            <w:r w:rsidR="00B7064D">
              <w:rPr>
                <w:rFonts w:ascii="Times New Roman" w:eastAsia="Times New Roman" w:hAnsi="Times New Roman" w:cs="Times New Roman"/>
                <w:color w:val="000000"/>
                <w:sz w:val="20"/>
                <w:szCs w:val="20"/>
                <w:lang w:eastAsia="en-GB"/>
              </w:rPr>
              <w:t>4</w:t>
            </w:r>
          </w:p>
        </w:tc>
        <w:tc>
          <w:tcPr>
            <w:tcW w:w="0" w:type="auto"/>
            <w:tcBorders>
              <w:top w:val="nil"/>
              <w:left w:val="nil"/>
              <w:bottom w:val="nil"/>
              <w:right w:val="nil"/>
            </w:tcBorders>
            <w:shd w:val="clear" w:color="000000" w:fill="FFFFFF"/>
            <w:noWrap/>
            <w:vAlign w:val="center"/>
            <w:hideMark/>
          </w:tcPr>
          <w:p w14:paraId="00E730AC" w14:textId="08DF9AEB"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w:t>
            </w:r>
            <w:r w:rsidR="00B7064D">
              <w:rPr>
                <w:rFonts w:ascii="Times New Roman" w:eastAsia="Times New Roman" w:hAnsi="Times New Roman" w:cs="Times New Roman"/>
                <w:color w:val="000000"/>
                <w:sz w:val="20"/>
                <w:szCs w:val="20"/>
                <w:lang w:eastAsia="en-GB"/>
              </w:rPr>
              <w:t>4.0</w:t>
            </w:r>
          </w:p>
        </w:tc>
        <w:tc>
          <w:tcPr>
            <w:tcW w:w="0" w:type="auto"/>
            <w:tcBorders>
              <w:top w:val="nil"/>
              <w:left w:val="nil"/>
              <w:bottom w:val="nil"/>
              <w:right w:val="nil"/>
            </w:tcBorders>
            <w:shd w:val="clear" w:color="000000" w:fill="FFFFFF"/>
            <w:noWrap/>
            <w:vAlign w:val="center"/>
            <w:hideMark/>
          </w:tcPr>
          <w:p w14:paraId="4042E70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94.5</w:t>
            </w:r>
          </w:p>
        </w:tc>
        <w:tc>
          <w:tcPr>
            <w:tcW w:w="0" w:type="auto"/>
            <w:tcBorders>
              <w:top w:val="nil"/>
              <w:left w:val="nil"/>
              <w:bottom w:val="nil"/>
              <w:right w:val="nil"/>
            </w:tcBorders>
            <w:shd w:val="clear" w:color="000000" w:fill="FFFFFF"/>
            <w:noWrap/>
            <w:vAlign w:val="center"/>
            <w:hideMark/>
          </w:tcPr>
          <w:p w14:paraId="61A63915"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91.4</w:t>
            </w:r>
          </w:p>
        </w:tc>
        <w:tc>
          <w:tcPr>
            <w:tcW w:w="0" w:type="auto"/>
            <w:tcBorders>
              <w:top w:val="nil"/>
              <w:left w:val="nil"/>
              <w:bottom w:val="nil"/>
              <w:right w:val="nil"/>
            </w:tcBorders>
            <w:shd w:val="clear" w:color="000000" w:fill="FFFFFF"/>
            <w:noWrap/>
            <w:vAlign w:val="center"/>
            <w:hideMark/>
          </w:tcPr>
          <w:p w14:paraId="40E8C6C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-3.1</w:t>
            </w:r>
          </w:p>
        </w:tc>
        <w:tc>
          <w:tcPr>
            <w:tcW w:w="0" w:type="auto"/>
            <w:tcBorders>
              <w:top w:val="nil"/>
              <w:left w:val="nil"/>
              <w:bottom w:val="nil"/>
              <w:right w:val="nil"/>
            </w:tcBorders>
            <w:shd w:val="clear" w:color="000000" w:fill="FFFFFF"/>
          </w:tcPr>
          <w:p w14:paraId="5630A8C9"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0E0913B9"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60AEE1A5" w14:textId="0D466658" w:rsidTr="00B2508B">
        <w:trPr>
          <w:trHeight w:val="300"/>
        </w:trPr>
        <w:tc>
          <w:tcPr>
            <w:tcW w:w="0" w:type="auto"/>
            <w:tcBorders>
              <w:top w:val="nil"/>
              <w:left w:val="nil"/>
              <w:bottom w:val="nil"/>
              <w:right w:val="nil"/>
            </w:tcBorders>
            <w:shd w:val="clear" w:color="000000" w:fill="FFFFFF"/>
            <w:noWrap/>
            <w:vAlign w:val="center"/>
            <w:hideMark/>
          </w:tcPr>
          <w:p w14:paraId="326BC46A"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B5AF36B"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Non-white</w:t>
            </w:r>
          </w:p>
        </w:tc>
        <w:tc>
          <w:tcPr>
            <w:tcW w:w="0" w:type="auto"/>
            <w:tcBorders>
              <w:top w:val="nil"/>
              <w:left w:val="nil"/>
              <w:bottom w:val="nil"/>
              <w:right w:val="nil"/>
            </w:tcBorders>
            <w:shd w:val="clear" w:color="000000" w:fill="FFFFFF"/>
            <w:noWrap/>
            <w:vAlign w:val="center"/>
            <w:hideMark/>
          </w:tcPr>
          <w:p w14:paraId="1B3932B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7.3</w:t>
            </w:r>
          </w:p>
        </w:tc>
        <w:tc>
          <w:tcPr>
            <w:tcW w:w="0" w:type="auto"/>
            <w:tcBorders>
              <w:top w:val="nil"/>
              <w:left w:val="nil"/>
              <w:bottom w:val="nil"/>
              <w:right w:val="nil"/>
            </w:tcBorders>
            <w:shd w:val="clear" w:color="000000" w:fill="FFFFFF"/>
            <w:noWrap/>
            <w:vAlign w:val="center"/>
            <w:hideMark/>
          </w:tcPr>
          <w:p w14:paraId="7C5AED5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12.3</w:t>
            </w:r>
          </w:p>
        </w:tc>
        <w:tc>
          <w:tcPr>
            <w:tcW w:w="0" w:type="auto"/>
            <w:tcBorders>
              <w:top w:val="nil"/>
              <w:left w:val="nil"/>
              <w:bottom w:val="nil"/>
              <w:right w:val="nil"/>
            </w:tcBorders>
            <w:shd w:val="clear" w:color="000000" w:fill="FFFFFF"/>
            <w:noWrap/>
            <w:vAlign w:val="center"/>
            <w:hideMark/>
          </w:tcPr>
          <w:p w14:paraId="47502D8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4.9</w:t>
            </w:r>
          </w:p>
        </w:tc>
        <w:tc>
          <w:tcPr>
            <w:tcW w:w="0" w:type="auto"/>
            <w:tcBorders>
              <w:top w:val="nil"/>
              <w:left w:val="nil"/>
              <w:bottom w:val="nil"/>
              <w:right w:val="nil"/>
            </w:tcBorders>
            <w:shd w:val="clear" w:color="000000" w:fill="FFFFFF"/>
            <w:noWrap/>
            <w:vAlign w:val="center"/>
            <w:hideMark/>
          </w:tcPr>
          <w:p w14:paraId="69EF3E86" w14:textId="0546D6B5"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5.</w:t>
            </w:r>
            <w:r w:rsidR="00B7064D">
              <w:rPr>
                <w:rFonts w:ascii="Times New Roman" w:eastAsia="Times New Roman" w:hAnsi="Times New Roman" w:cs="Times New Roman"/>
                <w:color w:val="000000"/>
                <w:sz w:val="20"/>
                <w:szCs w:val="20"/>
                <w:lang w:eastAsia="en-GB"/>
              </w:rPr>
              <w:t>6</w:t>
            </w:r>
          </w:p>
        </w:tc>
        <w:tc>
          <w:tcPr>
            <w:tcW w:w="0" w:type="auto"/>
            <w:tcBorders>
              <w:top w:val="nil"/>
              <w:left w:val="nil"/>
              <w:bottom w:val="nil"/>
              <w:right w:val="nil"/>
            </w:tcBorders>
            <w:shd w:val="clear" w:color="000000" w:fill="FFFFFF"/>
            <w:noWrap/>
            <w:vAlign w:val="center"/>
            <w:hideMark/>
          </w:tcPr>
          <w:p w14:paraId="1A3E9A83" w14:textId="09A78D1D"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w:t>
            </w:r>
            <w:r w:rsidR="00B7064D">
              <w:rPr>
                <w:rFonts w:ascii="Times New Roman" w:eastAsia="Times New Roman" w:hAnsi="Times New Roman" w:cs="Times New Roman"/>
                <w:color w:val="000000"/>
                <w:sz w:val="20"/>
                <w:szCs w:val="20"/>
                <w:lang w:eastAsia="en-GB"/>
              </w:rPr>
              <w:t>6</w:t>
            </w:r>
          </w:p>
        </w:tc>
        <w:tc>
          <w:tcPr>
            <w:tcW w:w="0" w:type="auto"/>
            <w:tcBorders>
              <w:top w:val="nil"/>
              <w:left w:val="nil"/>
              <w:bottom w:val="nil"/>
              <w:right w:val="nil"/>
            </w:tcBorders>
            <w:shd w:val="clear" w:color="000000" w:fill="FFFFFF"/>
            <w:noWrap/>
            <w:vAlign w:val="center"/>
            <w:hideMark/>
          </w:tcPr>
          <w:p w14:paraId="6EBA426B" w14:textId="7BDD3D37" w:rsidR="00F67EAD" w:rsidRPr="00AD1570" w:rsidRDefault="00B7064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w:t>
            </w:r>
          </w:p>
        </w:tc>
        <w:tc>
          <w:tcPr>
            <w:tcW w:w="0" w:type="auto"/>
            <w:tcBorders>
              <w:top w:val="nil"/>
              <w:left w:val="nil"/>
              <w:bottom w:val="nil"/>
              <w:right w:val="nil"/>
            </w:tcBorders>
            <w:shd w:val="clear" w:color="000000" w:fill="FFFFFF"/>
            <w:noWrap/>
            <w:vAlign w:val="center"/>
            <w:hideMark/>
          </w:tcPr>
          <w:p w14:paraId="7A92F0DD"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5.5</w:t>
            </w:r>
          </w:p>
        </w:tc>
        <w:tc>
          <w:tcPr>
            <w:tcW w:w="0" w:type="auto"/>
            <w:tcBorders>
              <w:top w:val="nil"/>
              <w:left w:val="nil"/>
              <w:bottom w:val="nil"/>
              <w:right w:val="nil"/>
            </w:tcBorders>
            <w:shd w:val="clear" w:color="000000" w:fill="FFFFFF"/>
            <w:noWrap/>
            <w:vAlign w:val="center"/>
            <w:hideMark/>
          </w:tcPr>
          <w:p w14:paraId="722F40F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8.6</w:t>
            </w:r>
          </w:p>
        </w:tc>
        <w:tc>
          <w:tcPr>
            <w:tcW w:w="0" w:type="auto"/>
            <w:tcBorders>
              <w:top w:val="nil"/>
              <w:left w:val="nil"/>
              <w:bottom w:val="nil"/>
              <w:right w:val="nil"/>
            </w:tcBorders>
            <w:shd w:val="clear" w:color="000000" w:fill="FFFFFF"/>
            <w:noWrap/>
            <w:vAlign w:val="center"/>
            <w:hideMark/>
          </w:tcPr>
          <w:p w14:paraId="19DD7A7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3.1</w:t>
            </w:r>
          </w:p>
        </w:tc>
        <w:tc>
          <w:tcPr>
            <w:tcW w:w="0" w:type="auto"/>
            <w:tcBorders>
              <w:top w:val="nil"/>
              <w:left w:val="nil"/>
              <w:bottom w:val="nil"/>
              <w:right w:val="nil"/>
            </w:tcBorders>
            <w:shd w:val="clear" w:color="000000" w:fill="FFFFFF"/>
          </w:tcPr>
          <w:p w14:paraId="49885898"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60D0F20B"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6B64B3FC" w14:textId="4AE2730D" w:rsidTr="00B2508B">
        <w:trPr>
          <w:trHeight w:val="300"/>
        </w:trPr>
        <w:tc>
          <w:tcPr>
            <w:tcW w:w="0" w:type="auto"/>
            <w:gridSpan w:val="2"/>
            <w:tcBorders>
              <w:top w:val="nil"/>
              <w:left w:val="nil"/>
              <w:bottom w:val="nil"/>
              <w:right w:val="nil"/>
            </w:tcBorders>
            <w:shd w:val="clear" w:color="000000" w:fill="FFFFFF"/>
            <w:noWrap/>
            <w:vAlign w:val="center"/>
            <w:hideMark/>
          </w:tcPr>
          <w:p w14:paraId="3013514E"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Physical activity</w:t>
            </w:r>
          </w:p>
        </w:tc>
        <w:tc>
          <w:tcPr>
            <w:tcW w:w="0" w:type="auto"/>
            <w:tcBorders>
              <w:top w:val="nil"/>
              <w:left w:val="nil"/>
              <w:bottom w:val="nil"/>
              <w:right w:val="nil"/>
            </w:tcBorders>
            <w:shd w:val="clear" w:color="000000" w:fill="FFFFFF"/>
            <w:noWrap/>
            <w:vAlign w:val="center"/>
            <w:hideMark/>
          </w:tcPr>
          <w:p w14:paraId="7022F96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08C78725"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99840E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0FF9D91"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94C728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4D1ACD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AE1404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E6B9AC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11E1DA9"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tcPr>
          <w:p w14:paraId="5080C860" w14:textId="41DDD8C1"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76.7</w:t>
            </w:r>
          </w:p>
        </w:tc>
        <w:tc>
          <w:tcPr>
            <w:tcW w:w="0" w:type="auto"/>
            <w:tcBorders>
              <w:top w:val="nil"/>
              <w:left w:val="nil"/>
              <w:bottom w:val="nil"/>
              <w:right w:val="nil"/>
            </w:tcBorders>
            <w:shd w:val="clear" w:color="000000" w:fill="FFFFFF"/>
          </w:tcPr>
          <w:p w14:paraId="6C649881" w14:textId="41910F74"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88.6</w:t>
            </w:r>
          </w:p>
        </w:tc>
      </w:tr>
      <w:tr w:rsidR="00F67EAD" w:rsidRPr="00AD1570" w14:paraId="0EEDF28D" w14:textId="6A3B8472" w:rsidTr="00B2508B">
        <w:trPr>
          <w:trHeight w:val="300"/>
        </w:trPr>
        <w:tc>
          <w:tcPr>
            <w:tcW w:w="0" w:type="auto"/>
            <w:tcBorders>
              <w:top w:val="nil"/>
              <w:left w:val="nil"/>
              <w:bottom w:val="nil"/>
              <w:right w:val="nil"/>
            </w:tcBorders>
            <w:shd w:val="clear" w:color="000000" w:fill="FFFFFF"/>
            <w:noWrap/>
            <w:vAlign w:val="center"/>
            <w:hideMark/>
          </w:tcPr>
          <w:p w14:paraId="1159B15A"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8F58544"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Yes</w:t>
            </w:r>
          </w:p>
        </w:tc>
        <w:tc>
          <w:tcPr>
            <w:tcW w:w="0" w:type="auto"/>
            <w:tcBorders>
              <w:top w:val="nil"/>
              <w:left w:val="nil"/>
              <w:bottom w:val="nil"/>
              <w:right w:val="nil"/>
            </w:tcBorders>
            <w:shd w:val="clear" w:color="000000" w:fill="FFFFFF"/>
            <w:noWrap/>
            <w:vAlign w:val="center"/>
            <w:hideMark/>
          </w:tcPr>
          <w:p w14:paraId="3E0644B1" w14:textId="3224EEC0"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35</w:t>
            </w:r>
            <w:r w:rsidRPr="00AD1570">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w:t>
            </w:r>
          </w:p>
        </w:tc>
        <w:tc>
          <w:tcPr>
            <w:tcW w:w="0" w:type="auto"/>
            <w:tcBorders>
              <w:top w:val="nil"/>
              <w:left w:val="nil"/>
              <w:bottom w:val="nil"/>
              <w:right w:val="nil"/>
            </w:tcBorders>
            <w:shd w:val="clear" w:color="000000" w:fill="FFFFFF"/>
            <w:noWrap/>
            <w:vAlign w:val="center"/>
            <w:hideMark/>
          </w:tcPr>
          <w:p w14:paraId="1185FC9E"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46.5</w:t>
            </w:r>
          </w:p>
        </w:tc>
        <w:tc>
          <w:tcPr>
            <w:tcW w:w="0" w:type="auto"/>
            <w:tcBorders>
              <w:top w:val="nil"/>
              <w:left w:val="nil"/>
              <w:bottom w:val="nil"/>
              <w:right w:val="nil"/>
            </w:tcBorders>
            <w:shd w:val="clear" w:color="000000" w:fill="FFFFFF"/>
            <w:noWrap/>
            <w:vAlign w:val="center"/>
            <w:hideMark/>
          </w:tcPr>
          <w:p w14:paraId="5C38E35B" w14:textId="4DE81763"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11.3</w:t>
            </w:r>
          </w:p>
        </w:tc>
        <w:tc>
          <w:tcPr>
            <w:tcW w:w="0" w:type="auto"/>
            <w:tcBorders>
              <w:top w:val="nil"/>
              <w:left w:val="nil"/>
              <w:bottom w:val="nil"/>
              <w:right w:val="nil"/>
            </w:tcBorders>
            <w:shd w:val="clear" w:color="000000" w:fill="FFFFFF"/>
            <w:noWrap/>
            <w:vAlign w:val="center"/>
            <w:hideMark/>
          </w:tcPr>
          <w:p w14:paraId="0D770F7A" w14:textId="5BD6106C"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w:t>
            </w:r>
            <w:r w:rsidR="00BD5F56">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.4</w:t>
            </w:r>
          </w:p>
        </w:tc>
        <w:tc>
          <w:tcPr>
            <w:tcW w:w="0" w:type="auto"/>
            <w:tcBorders>
              <w:top w:val="nil"/>
              <w:left w:val="nil"/>
              <w:bottom w:val="nil"/>
              <w:right w:val="nil"/>
            </w:tcBorders>
            <w:shd w:val="clear" w:color="000000" w:fill="FFFFFF"/>
            <w:noWrap/>
            <w:vAlign w:val="center"/>
            <w:hideMark/>
          </w:tcPr>
          <w:p w14:paraId="2B9960A3" w14:textId="5B30246A" w:rsidR="00F67EAD" w:rsidRPr="00AD1570" w:rsidRDefault="00BD5F56"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w:t>
            </w:r>
            <w:r w:rsidR="00F67EA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5</w:t>
            </w:r>
          </w:p>
        </w:tc>
        <w:tc>
          <w:tcPr>
            <w:tcW w:w="0" w:type="auto"/>
            <w:tcBorders>
              <w:top w:val="nil"/>
              <w:left w:val="nil"/>
              <w:bottom w:val="nil"/>
              <w:right w:val="nil"/>
            </w:tcBorders>
            <w:shd w:val="clear" w:color="000000" w:fill="FFFFFF"/>
            <w:noWrap/>
            <w:vAlign w:val="center"/>
            <w:hideMark/>
          </w:tcPr>
          <w:p w14:paraId="361D123A" w14:textId="6E6CD7B2" w:rsidR="00F67EAD" w:rsidRPr="00AD1570" w:rsidRDefault="00BD5F56"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12.1</w:t>
            </w:r>
          </w:p>
        </w:tc>
        <w:tc>
          <w:tcPr>
            <w:tcW w:w="0" w:type="auto"/>
            <w:tcBorders>
              <w:top w:val="nil"/>
              <w:left w:val="nil"/>
              <w:bottom w:val="nil"/>
              <w:right w:val="nil"/>
            </w:tcBorders>
            <w:shd w:val="clear" w:color="000000" w:fill="FFFFFF"/>
            <w:noWrap/>
            <w:vAlign w:val="center"/>
            <w:hideMark/>
          </w:tcPr>
          <w:p w14:paraId="1450F9B7" w14:textId="526C4B89"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24.2</w:t>
            </w:r>
          </w:p>
        </w:tc>
        <w:tc>
          <w:tcPr>
            <w:tcW w:w="0" w:type="auto"/>
            <w:tcBorders>
              <w:top w:val="nil"/>
              <w:left w:val="nil"/>
              <w:bottom w:val="nil"/>
              <w:right w:val="nil"/>
            </w:tcBorders>
            <w:shd w:val="clear" w:color="000000" w:fill="FFFFFF"/>
            <w:noWrap/>
            <w:vAlign w:val="center"/>
            <w:hideMark/>
          </w:tcPr>
          <w:p w14:paraId="01888F4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37.1</w:t>
            </w:r>
          </w:p>
        </w:tc>
        <w:tc>
          <w:tcPr>
            <w:tcW w:w="0" w:type="auto"/>
            <w:tcBorders>
              <w:top w:val="nil"/>
              <w:left w:val="nil"/>
              <w:bottom w:val="nil"/>
              <w:right w:val="nil"/>
            </w:tcBorders>
            <w:shd w:val="clear" w:color="000000" w:fill="FFFFFF"/>
            <w:noWrap/>
            <w:vAlign w:val="center"/>
            <w:hideMark/>
          </w:tcPr>
          <w:p w14:paraId="6EECD681" w14:textId="1F9AB2D2"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12.9</w:t>
            </w:r>
          </w:p>
        </w:tc>
        <w:tc>
          <w:tcPr>
            <w:tcW w:w="0" w:type="auto"/>
            <w:tcBorders>
              <w:top w:val="nil"/>
              <w:left w:val="nil"/>
              <w:bottom w:val="nil"/>
              <w:right w:val="nil"/>
            </w:tcBorders>
            <w:shd w:val="clear" w:color="000000" w:fill="FFFFFF"/>
          </w:tcPr>
          <w:p w14:paraId="0157FF89" w14:textId="77777777" w:rsidR="00F67EAD" w:rsidRPr="00AD1570" w:rsidDel="00E26D9F"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085505B9" w14:textId="77777777" w:rsidR="00F67EAD" w:rsidRPr="00AD1570" w:rsidDel="00E26D9F"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501D2FC5" w14:textId="40C94ACC" w:rsidTr="00B2508B">
        <w:trPr>
          <w:trHeight w:val="300"/>
        </w:trPr>
        <w:tc>
          <w:tcPr>
            <w:tcW w:w="0" w:type="auto"/>
            <w:tcBorders>
              <w:top w:val="nil"/>
              <w:left w:val="nil"/>
              <w:bottom w:val="nil"/>
              <w:right w:val="nil"/>
            </w:tcBorders>
            <w:shd w:val="clear" w:color="000000" w:fill="FFFFFF"/>
            <w:noWrap/>
            <w:vAlign w:val="center"/>
            <w:hideMark/>
          </w:tcPr>
          <w:p w14:paraId="597EC896"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FE219A0"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No</w:t>
            </w:r>
          </w:p>
        </w:tc>
        <w:tc>
          <w:tcPr>
            <w:tcW w:w="0" w:type="auto"/>
            <w:tcBorders>
              <w:top w:val="nil"/>
              <w:left w:val="nil"/>
              <w:bottom w:val="nil"/>
              <w:right w:val="nil"/>
            </w:tcBorders>
            <w:shd w:val="clear" w:color="000000" w:fill="FFFFFF"/>
            <w:noWrap/>
            <w:vAlign w:val="center"/>
            <w:hideMark/>
          </w:tcPr>
          <w:p w14:paraId="4FFE07FC" w14:textId="0CCAD2EC"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64.8</w:t>
            </w:r>
          </w:p>
        </w:tc>
        <w:tc>
          <w:tcPr>
            <w:tcW w:w="0" w:type="auto"/>
            <w:tcBorders>
              <w:top w:val="nil"/>
              <w:left w:val="nil"/>
              <w:bottom w:val="nil"/>
              <w:right w:val="nil"/>
            </w:tcBorders>
            <w:shd w:val="clear" w:color="000000" w:fill="FFFFFF"/>
            <w:noWrap/>
            <w:vAlign w:val="center"/>
            <w:hideMark/>
          </w:tcPr>
          <w:p w14:paraId="5F8527E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53.5</w:t>
            </w:r>
          </w:p>
        </w:tc>
        <w:tc>
          <w:tcPr>
            <w:tcW w:w="0" w:type="auto"/>
            <w:tcBorders>
              <w:top w:val="nil"/>
              <w:left w:val="nil"/>
              <w:bottom w:val="nil"/>
              <w:right w:val="nil"/>
            </w:tcBorders>
            <w:shd w:val="clear" w:color="000000" w:fill="FFFFFF"/>
            <w:noWrap/>
            <w:vAlign w:val="center"/>
            <w:hideMark/>
          </w:tcPr>
          <w:p w14:paraId="1259F06A" w14:textId="5C0A56CA"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-11.3</w:t>
            </w:r>
          </w:p>
        </w:tc>
        <w:tc>
          <w:tcPr>
            <w:tcW w:w="0" w:type="auto"/>
            <w:tcBorders>
              <w:top w:val="nil"/>
              <w:left w:val="nil"/>
              <w:bottom w:val="nil"/>
              <w:right w:val="nil"/>
            </w:tcBorders>
            <w:shd w:val="clear" w:color="000000" w:fill="FFFFFF"/>
            <w:noWrap/>
            <w:vAlign w:val="center"/>
            <w:hideMark/>
          </w:tcPr>
          <w:p w14:paraId="1F68DE43" w14:textId="13B05FEC"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w:t>
            </w:r>
            <w:r w:rsidR="00BD5F56">
              <w:rPr>
                <w:rFonts w:ascii="Times New Roman" w:eastAsia="Times New Roman" w:hAnsi="Times New Roman" w:cs="Times New Roman"/>
                <w:color w:val="000000"/>
                <w:sz w:val="20"/>
                <w:szCs w:val="20"/>
                <w:lang w:eastAsia="en-GB"/>
              </w:rPr>
              <w:t>6</w:t>
            </w:r>
            <w:r>
              <w:rPr>
                <w:rFonts w:ascii="Times New Roman" w:eastAsia="Times New Roman" w:hAnsi="Times New Roman" w:cs="Times New Roman"/>
                <w:color w:val="000000"/>
                <w:sz w:val="20"/>
                <w:szCs w:val="20"/>
                <w:lang w:eastAsia="en-GB"/>
              </w:rPr>
              <w:t>.6</w:t>
            </w:r>
          </w:p>
        </w:tc>
        <w:tc>
          <w:tcPr>
            <w:tcW w:w="0" w:type="auto"/>
            <w:tcBorders>
              <w:top w:val="nil"/>
              <w:left w:val="nil"/>
              <w:bottom w:val="nil"/>
              <w:right w:val="nil"/>
            </w:tcBorders>
            <w:shd w:val="clear" w:color="000000" w:fill="FFFFFF"/>
            <w:noWrap/>
            <w:vAlign w:val="center"/>
            <w:hideMark/>
          </w:tcPr>
          <w:p w14:paraId="15237C52" w14:textId="2C8EB7B1" w:rsidR="00F67EAD" w:rsidRPr="00AD1570" w:rsidRDefault="00BD5F56"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54.5</w:t>
            </w:r>
          </w:p>
        </w:tc>
        <w:tc>
          <w:tcPr>
            <w:tcW w:w="0" w:type="auto"/>
            <w:tcBorders>
              <w:top w:val="nil"/>
              <w:left w:val="nil"/>
              <w:bottom w:val="nil"/>
              <w:right w:val="nil"/>
            </w:tcBorders>
            <w:shd w:val="clear" w:color="000000" w:fill="FFFFFF"/>
            <w:noWrap/>
            <w:vAlign w:val="center"/>
            <w:hideMark/>
          </w:tcPr>
          <w:p w14:paraId="0D651050" w14:textId="7A29DD16" w:rsidR="00F67EAD" w:rsidRPr="00AD1570" w:rsidRDefault="00BD5F56"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-12.1</w:t>
            </w:r>
          </w:p>
        </w:tc>
        <w:tc>
          <w:tcPr>
            <w:tcW w:w="0" w:type="auto"/>
            <w:tcBorders>
              <w:top w:val="nil"/>
              <w:left w:val="nil"/>
              <w:bottom w:val="nil"/>
              <w:right w:val="nil"/>
            </w:tcBorders>
            <w:shd w:val="clear" w:color="000000" w:fill="FFFFFF"/>
            <w:noWrap/>
            <w:vAlign w:val="center"/>
            <w:hideMark/>
          </w:tcPr>
          <w:p w14:paraId="792F7B37" w14:textId="0E7DF14D"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75.8</w:t>
            </w:r>
          </w:p>
        </w:tc>
        <w:tc>
          <w:tcPr>
            <w:tcW w:w="0" w:type="auto"/>
            <w:tcBorders>
              <w:top w:val="nil"/>
              <w:left w:val="nil"/>
              <w:bottom w:val="nil"/>
              <w:right w:val="nil"/>
            </w:tcBorders>
            <w:shd w:val="clear" w:color="000000" w:fill="FFFFFF"/>
            <w:noWrap/>
            <w:vAlign w:val="center"/>
            <w:hideMark/>
          </w:tcPr>
          <w:p w14:paraId="2D96E8FD"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62.9</w:t>
            </w:r>
          </w:p>
        </w:tc>
        <w:tc>
          <w:tcPr>
            <w:tcW w:w="0" w:type="auto"/>
            <w:tcBorders>
              <w:top w:val="nil"/>
              <w:left w:val="nil"/>
              <w:bottom w:val="nil"/>
              <w:right w:val="nil"/>
            </w:tcBorders>
            <w:shd w:val="clear" w:color="000000" w:fill="FFFFFF"/>
            <w:noWrap/>
            <w:vAlign w:val="center"/>
            <w:hideMark/>
          </w:tcPr>
          <w:p w14:paraId="1174FD11" w14:textId="109EC894"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-12.9</w:t>
            </w:r>
          </w:p>
        </w:tc>
        <w:tc>
          <w:tcPr>
            <w:tcW w:w="0" w:type="auto"/>
            <w:tcBorders>
              <w:top w:val="nil"/>
              <w:left w:val="nil"/>
              <w:bottom w:val="nil"/>
              <w:right w:val="nil"/>
            </w:tcBorders>
            <w:shd w:val="clear" w:color="000000" w:fill="FFFFFF"/>
          </w:tcPr>
          <w:p w14:paraId="2887881E" w14:textId="77777777" w:rsidR="00F67EAD" w:rsidRPr="00AD1570" w:rsidDel="00E26D9F"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05473D9E" w14:textId="77777777" w:rsidR="00F67EAD" w:rsidRPr="00AD1570" w:rsidDel="00E26D9F"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2F8295A1" w14:textId="19139125" w:rsidTr="00B2508B">
        <w:trPr>
          <w:trHeight w:val="300"/>
        </w:trPr>
        <w:tc>
          <w:tcPr>
            <w:tcW w:w="0" w:type="auto"/>
            <w:gridSpan w:val="2"/>
            <w:tcBorders>
              <w:top w:val="nil"/>
              <w:left w:val="nil"/>
              <w:bottom w:val="nil"/>
              <w:right w:val="nil"/>
            </w:tcBorders>
            <w:shd w:val="clear" w:color="000000" w:fill="FFFFFF"/>
            <w:noWrap/>
            <w:vAlign w:val="center"/>
            <w:hideMark/>
          </w:tcPr>
          <w:p w14:paraId="0ABE740F"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Educational attainment</w:t>
            </w:r>
          </w:p>
        </w:tc>
        <w:tc>
          <w:tcPr>
            <w:tcW w:w="0" w:type="auto"/>
            <w:tcBorders>
              <w:top w:val="nil"/>
              <w:left w:val="nil"/>
              <w:bottom w:val="nil"/>
              <w:right w:val="nil"/>
            </w:tcBorders>
            <w:shd w:val="clear" w:color="000000" w:fill="FFFFFF"/>
            <w:noWrap/>
            <w:vAlign w:val="center"/>
            <w:hideMark/>
          </w:tcPr>
          <w:p w14:paraId="47770E9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3D78422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98D9C1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8AA0FB9"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0F29FF3B"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93137C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036843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67C376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66583E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tcPr>
          <w:p w14:paraId="5A769581" w14:textId="2B94C4DC"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99.7</w:t>
            </w:r>
          </w:p>
        </w:tc>
        <w:tc>
          <w:tcPr>
            <w:tcW w:w="0" w:type="auto"/>
            <w:tcBorders>
              <w:top w:val="nil"/>
              <w:left w:val="nil"/>
              <w:bottom w:val="nil"/>
              <w:right w:val="nil"/>
            </w:tcBorders>
            <w:shd w:val="clear" w:color="000000" w:fill="FFFFFF"/>
          </w:tcPr>
          <w:p w14:paraId="1EB3FB81" w14:textId="286FD4A2"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99.6</w:t>
            </w:r>
          </w:p>
        </w:tc>
      </w:tr>
      <w:tr w:rsidR="00F67EAD" w:rsidRPr="00AD1570" w14:paraId="6A79AC21" w14:textId="79C44D24" w:rsidTr="00B2508B">
        <w:trPr>
          <w:trHeight w:val="300"/>
        </w:trPr>
        <w:tc>
          <w:tcPr>
            <w:tcW w:w="0" w:type="auto"/>
            <w:tcBorders>
              <w:top w:val="nil"/>
              <w:left w:val="nil"/>
              <w:bottom w:val="nil"/>
              <w:right w:val="nil"/>
            </w:tcBorders>
            <w:shd w:val="clear" w:color="000000" w:fill="FFFFFF"/>
            <w:noWrap/>
            <w:vAlign w:val="center"/>
            <w:hideMark/>
          </w:tcPr>
          <w:p w14:paraId="3FB31170" w14:textId="09FA1E60"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3B0C842"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None</w:t>
            </w:r>
          </w:p>
        </w:tc>
        <w:tc>
          <w:tcPr>
            <w:tcW w:w="0" w:type="auto"/>
            <w:tcBorders>
              <w:top w:val="nil"/>
              <w:left w:val="nil"/>
              <w:bottom w:val="nil"/>
              <w:right w:val="nil"/>
            </w:tcBorders>
            <w:shd w:val="clear" w:color="000000" w:fill="FFFFFF"/>
            <w:noWrap/>
            <w:vAlign w:val="center"/>
            <w:hideMark/>
          </w:tcPr>
          <w:p w14:paraId="3FFF6C4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19.5</w:t>
            </w:r>
          </w:p>
        </w:tc>
        <w:tc>
          <w:tcPr>
            <w:tcW w:w="0" w:type="auto"/>
            <w:tcBorders>
              <w:top w:val="nil"/>
              <w:left w:val="nil"/>
              <w:bottom w:val="nil"/>
              <w:right w:val="nil"/>
            </w:tcBorders>
            <w:shd w:val="clear" w:color="000000" w:fill="FFFFFF"/>
            <w:noWrap/>
            <w:vAlign w:val="center"/>
            <w:hideMark/>
          </w:tcPr>
          <w:p w14:paraId="44E9097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15.0</w:t>
            </w:r>
          </w:p>
        </w:tc>
        <w:tc>
          <w:tcPr>
            <w:tcW w:w="0" w:type="auto"/>
            <w:tcBorders>
              <w:top w:val="nil"/>
              <w:left w:val="nil"/>
              <w:bottom w:val="nil"/>
              <w:right w:val="nil"/>
            </w:tcBorders>
            <w:shd w:val="clear" w:color="000000" w:fill="FFFFFF"/>
            <w:noWrap/>
            <w:vAlign w:val="center"/>
            <w:hideMark/>
          </w:tcPr>
          <w:p w14:paraId="3B1D5D9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-4.5</w:t>
            </w:r>
          </w:p>
        </w:tc>
        <w:tc>
          <w:tcPr>
            <w:tcW w:w="0" w:type="auto"/>
            <w:tcBorders>
              <w:top w:val="nil"/>
              <w:left w:val="nil"/>
              <w:bottom w:val="nil"/>
              <w:right w:val="nil"/>
            </w:tcBorders>
            <w:shd w:val="clear" w:color="000000" w:fill="FFFFFF"/>
            <w:noWrap/>
            <w:vAlign w:val="center"/>
            <w:hideMark/>
          </w:tcPr>
          <w:p w14:paraId="709B721E" w14:textId="368192AF"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w:t>
            </w:r>
            <w:r w:rsidR="001949CA">
              <w:rPr>
                <w:rFonts w:ascii="Times New Roman" w:eastAsia="Times New Roman" w:hAnsi="Times New Roman" w:cs="Times New Roman"/>
                <w:color w:val="000000"/>
                <w:sz w:val="20"/>
                <w:szCs w:val="20"/>
                <w:lang w:eastAsia="en-GB"/>
              </w:rPr>
              <w:t>6.0</w:t>
            </w:r>
          </w:p>
        </w:tc>
        <w:tc>
          <w:tcPr>
            <w:tcW w:w="0" w:type="auto"/>
            <w:tcBorders>
              <w:top w:val="nil"/>
              <w:left w:val="nil"/>
              <w:bottom w:val="nil"/>
              <w:right w:val="nil"/>
            </w:tcBorders>
            <w:shd w:val="clear" w:color="000000" w:fill="FFFFFF"/>
            <w:noWrap/>
            <w:vAlign w:val="center"/>
            <w:hideMark/>
          </w:tcPr>
          <w:p w14:paraId="1675DF10" w14:textId="25C632C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w:t>
            </w:r>
            <w:r w:rsidR="001949CA">
              <w:rPr>
                <w:rFonts w:ascii="Times New Roman" w:eastAsia="Times New Roman" w:hAnsi="Times New Roman" w:cs="Times New Roman"/>
                <w:color w:val="000000"/>
                <w:sz w:val="20"/>
                <w:szCs w:val="20"/>
                <w:lang w:eastAsia="en-GB"/>
              </w:rPr>
              <w:t>0</w:t>
            </w:r>
            <w:r w:rsidRPr="00AD1570">
              <w:rPr>
                <w:rFonts w:ascii="Times New Roman" w:eastAsia="Times New Roman" w:hAnsi="Times New Roman" w:cs="Times New Roman"/>
                <w:color w:val="000000"/>
                <w:sz w:val="20"/>
                <w:szCs w:val="20"/>
                <w:lang w:eastAsia="en-GB"/>
              </w:rPr>
              <w:t>.</w:t>
            </w:r>
            <w:r w:rsidR="001949CA">
              <w:rPr>
                <w:rFonts w:ascii="Times New Roman" w:eastAsia="Times New Roman" w:hAnsi="Times New Roman" w:cs="Times New Roman"/>
                <w:color w:val="000000"/>
                <w:sz w:val="20"/>
                <w:szCs w:val="20"/>
                <w:lang w:eastAsia="en-GB"/>
              </w:rPr>
              <w:t>3</w:t>
            </w:r>
          </w:p>
        </w:tc>
        <w:tc>
          <w:tcPr>
            <w:tcW w:w="0" w:type="auto"/>
            <w:tcBorders>
              <w:top w:val="nil"/>
              <w:left w:val="nil"/>
              <w:bottom w:val="nil"/>
              <w:right w:val="nil"/>
            </w:tcBorders>
            <w:shd w:val="clear" w:color="000000" w:fill="FFFFFF"/>
            <w:noWrap/>
            <w:vAlign w:val="center"/>
            <w:hideMark/>
          </w:tcPr>
          <w:p w14:paraId="42FB2D86" w14:textId="3F96D35C"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w:t>
            </w:r>
            <w:r w:rsidR="008C130B">
              <w:rPr>
                <w:rFonts w:ascii="Times New Roman" w:eastAsia="Times New Roman" w:hAnsi="Times New Roman" w:cs="Times New Roman"/>
                <w:color w:val="000000"/>
                <w:sz w:val="20"/>
                <w:szCs w:val="20"/>
                <w:lang w:eastAsia="en-GB"/>
              </w:rPr>
              <w:t>5</w:t>
            </w:r>
            <w:r w:rsidR="001949CA">
              <w:rPr>
                <w:rFonts w:ascii="Times New Roman" w:eastAsia="Times New Roman" w:hAnsi="Times New Roman" w:cs="Times New Roman"/>
                <w:color w:val="000000"/>
                <w:sz w:val="20"/>
                <w:szCs w:val="20"/>
                <w:lang w:eastAsia="en-GB"/>
              </w:rPr>
              <w:t>.7</w:t>
            </w:r>
          </w:p>
        </w:tc>
        <w:tc>
          <w:tcPr>
            <w:tcW w:w="0" w:type="auto"/>
            <w:tcBorders>
              <w:top w:val="nil"/>
              <w:left w:val="nil"/>
              <w:bottom w:val="nil"/>
              <w:right w:val="nil"/>
            </w:tcBorders>
            <w:shd w:val="clear" w:color="000000" w:fill="FFFFFF"/>
            <w:noWrap/>
            <w:vAlign w:val="center"/>
            <w:hideMark/>
          </w:tcPr>
          <w:p w14:paraId="390E36C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34.7</w:t>
            </w:r>
          </w:p>
        </w:tc>
        <w:tc>
          <w:tcPr>
            <w:tcW w:w="0" w:type="auto"/>
            <w:tcBorders>
              <w:top w:val="nil"/>
              <w:left w:val="nil"/>
              <w:bottom w:val="nil"/>
              <w:right w:val="nil"/>
            </w:tcBorders>
            <w:shd w:val="clear" w:color="000000" w:fill="FFFFFF"/>
            <w:noWrap/>
            <w:vAlign w:val="center"/>
            <w:hideMark/>
          </w:tcPr>
          <w:p w14:paraId="715987D3"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26.8</w:t>
            </w:r>
          </w:p>
        </w:tc>
        <w:tc>
          <w:tcPr>
            <w:tcW w:w="0" w:type="auto"/>
            <w:tcBorders>
              <w:top w:val="nil"/>
              <w:left w:val="nil"/>
              <w:bottom w:val="nil"/>
              <w:right w:val="nil"/>
            </w:tcBorders>
            <w:shd w:val="clear" w:color="000000" w:fill="FFFFFF"/>
            <w:noWrap/>
            <w:vAlign w:val="center"/>
            <w:hideMark/>
          </w:tcPr>
          <w:p w14:paraId="12BCA7A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-7.9</w:t>
            </w:r>
          </w:p>
        </w:tc>
        <w:tc>
          <w:tcPr>
            <w:tcW w:w="0" w:type="auto"/>
            <w:tcBorders>
              <w:top w:val="nil"/>
              <w:left w:val="nil"/>
              <w:bottom w:val="nil"/>
              <w:right w:val="nil"/>
            </w:tcBorders>
            <w:shd w:val="clear" w:color="000000" w:fill="FFFFFF"/>
          </w:tcPr>
          <w:p w14:paraId="7B07BB37"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7AD050A4"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35CD2F9A" w14:textId="24B29971" w:rsidTr="00B2508B">
        <w:trPr>
          <w:trHeight w:val="300"/>
        </w:trPr>
        <w:tc>
          <w:tcPr>
            <w:tcW w:w="0" w:type="auto"/>
            <w:tcBorders>
              <w:top w:val="nil"/>
              <w:left w:val="nil"/>
              <w:bottom w:val="nil"/>
              <w:right w:val="nil"/>
            </w:tcBorders>
            <w:shd w:val="clear" w:color="000000" w:fill="FFFFFF"/>
            <w:noWrap/>
            <w:vAlign w:val="center"/>
            <w:hideMark/>
          </w:tcPr>
          <w:p w14:paraId="58CD59BC"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58F862C7"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Secondary</w:t>
            </w:r>
          </w:p>
        </w:tc>
        <w:tc>
          <w:tcPr>
            <w:tcW w:w="0" w:type="auto"/>
            <w:tcBorders>
              <w:top w:val="nil"/>
              <w:left w:val="nil"/>
              <w:bottom w:val="nil"/>
              <w:right w:val="nil"/>
            </w:tcBorders>
            <w:shd w:val="clear" w:color="000000" w:fill="FFFFFF"/>
            <w:noWrap/>
            <w:vAlign w:val="center"/>
            <w:hideMark/>
          </w:tcPr>
          <w:p w14:paraId="4BF2523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29.2</w:t>
            </w:r>
          </w:p>
        </w:tc>
        <w:tc>
          <w:tcPr>
            <w:tcW w:w="0" w:type="auto"/>
            <w:tcBorders>
              <w:top w:val="nil"/>
              <w:left w:val="nil"/>
              <w:bottom w:val="nil"/>
              <w:right w:val="nil"/>
            </w:tcBorders>
            <w:shd w:val="clear" w:color="000000" w:fill="FFFFFF"/>
            <w:noWrap/>
            <w:vAlign w:val="center"/>
            <w:hideMark/>
          </w:tcPr>
          <w:p w14:paraId="2A48233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21.6</w:t>
            </w:r>
          </w:p>
        </w:tc>
        <w:tc>
          <w:tcPr>
            <w:tcW w:w="0" w:type="auto"/>
            <w:tcBorders>
              <w:top w:val="nil"/>
              <w:left w:val="nil"/>
              <w:bottom w:val="nil"/>
              <w:right w:val="nil"/>
            </w:tcBorders>
            <w:shd w:val="clear" w:color="000000" w:fill="FFFFFF"/>
            <w:noWrap/>
            <w:vAlign w:val="center"/>
            <w:hideMark/>
          </w:tcPr>
          <w:p w14:paraId="2C7B4FF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-7.7</w:t>
            </w:r>
          </w:p>
        </w:tc>
        <w:tc>
          <w:tcPr>
            <w:tcW w:w="0" w:type="auto"/>
            <w:tcBorders>
              <w:top w:val="nil"/>
              <w:left w:val="nil"/>
              <w:bottom w:val="nil"/>
              <w:right w:val="nil"/>
            </w:tcBorders>
            <w:shd w:val="clear" w:color="000000" w:fill="FFFFFF"/>
            <w:noWrap/>
            <w:vAlign w:val="center"/>
            <w:hideMark/>
          </w:tcPr>
          <w:p w14:paraId="11B79AEA" w14:textId="18374CD0"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w:t>
            </w:r>
            <w:r w:rsidR="001949CA">
              <w:rPr>
                <w:rFonts w:ascii="Times New Roman" w:eastAsia="Times New Roman" w:hAnsi="Times New Roman" w:cs="Times New Roman"/>
                <w:color w:val="000000"/>
                <w:sz w:val="20"/>
                <w:szCs w:val="20"/>
                <w:lang w:eastAsia="en-GB"/>
              </w:rPr>
              <w:t>0.3</w:t>
            </w:r>
          </w:p>
        </w:tc>
        <w:tc>
          <w:tcPr>
            <w:tcW w:w="0" w:type="auto"/>
            <w:tcBorders>
              <w:top w:val="nil"/>
              <w:left w:val="nil"/>
              <w:bottom w:val="nil"/>
              <w:right w:val="nil"/>
            </w:tcBorders>
            <w:shd w:val="clear" w:color="000000" w:fill="FFFFFF"/>
            <w:noWrap/>
            <w:vAlign w:val="center"/>
            <w:hideMark/>
          </w:tcPr>
          <w:p w14:paraId="4BBEB0DD" w14:textId="1C8A799E"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24.</w:t>
            </w:r>
            <w:r w:rsidR="001949CA">
              <w:rPr>
                <w:rFonts w:ascii="Times New Roman" w:eastAsia="Times New Roman" w:hAnsi="Times New Roman" w:cs="Times New Roman"/>
                <w:color w:val="000000"/>
                <w:sz w:val="20"/>
                <w:szCs w:val="20"/>
                <w:lang w:eastAsia="en-GB"/>
              </w:rPr>
              <w:t>8</w:t>
            </w:r>
          </w:p>
        </w:tc>
        <w:tc>
          <w:tcPr>
            <w:tcW w:w="0" w:type="auto"/>
            <w:tcBorders>
              <w:top w:val="nil"/>
              <w:left w:val="nil"/>
              <w:bottom w:val="nil"/>
              <w:right w:val="nil"/>
            </w:tcBorders>
            <w:shd w:val="clear" w:color="000000" w:fill="FFFFFF"/>
            <w:noWrap/>
            <w:vAlign w:val="center"/>
            <w:hideMark/>
          </w:tcPr>
          <w:p w14:paraId="6D93EE6A" w14:textId="076862C4" w:rsidR="00F67EAD" w:rsidRPr="00AD1570" w:rsidRDefault="001949C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w:t>
            </w:r>
          </w:p>
        </w:tc>
        <w:tc>
          <w:tcPr>
            <w:tcW w:w="0" w:type="auto"/>
            <w:tcBorders>
              <w:top w:val="nil"/>
              <w:left w:val="nil"/>
              <w:bottom w:val="nil"/>
              <w:right w:val="nil"/>
            </w:tcBorders>
            <w:shd w:val="clear" w:color="000000" w:fill="FFFFFF"/>
            <w:noWrap/>
            <w:vAlign w:val="center"/>
            <w:hideMark/>
          </w:tcPr>
          <w:p w14:paraId="5F2E5A6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28.6</w:t>
            </w:r>
          </w:p>
        </w:tc>
        <w:tc>
          <w:tcPr>
            <w:tcW w:w="0" w:type="auto"/>
            <w:tcBorders>
              <w:top w:val="nil"/>
              <w:left w:val="nil"/>
              <w:bottom w:val="nil"/>
              <w:right w:val="nil"/>
            </w:tcBorders>
            <w:shd w:val="clear" w:color="000000" w:fill="FFFFFF"/>
            <w:noWrap/>
            <w:vAlign w:val="center"/>
            <w:hideMark/>
          </w:tcPr>
          <w:p w14:paraId="10502CF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25.4</w:t>
            </w:r>
          </w:p>
        </w:tc>
        <w:tc>
          <w:tcPr>
            <w:tcW w:w="0" w:type="auto"/>
            <w:tcBorders>
              <w:top w:val="nil"/>
              <w:left w:val="nil"/>
              <w:bottom w:val="nil"/>
              <w:right w:val="nil"/>
            </w:tcBorders>
            <w:shd w:val="clear" w:color="000000" w:fill="FFFFFF"/>
            <w:noWrap/>
            <w:vAlign w:val="center"/>
            <w:hideMark/>
          </w:tcPr>
          <w:p w14:paraId="6ED9D4F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-3.2</w:t>
            </w:r>
          </w:p>
        </w:tc>
        <w:tc>
          <w:tcPr>
            <w:tcW w:w="0" w:type="auto"/>
            <w:tcBorders>
              <w:top w:val="nil"/>
              <w:left w:val="nil"/>
              <w:bottom w:val="nil"/>
              <w:right w:val="nil"/>
            </w:tcBorders>
            <w:shd w:val="clear" w:color="000000" w:fill="FFFFFF"/>
          </w:tcPr>
          <w:p w14:paraId="69F84EA6"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72B5533F"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2AE26154" w14:textId="314797DE" w:rsidTr="00B2508B">
        <w:trPr>
          <w:trHeight w:val="300"/>
        </w:trPr>
        <w:tc>
          <w:tcPr>
            <w:tcW w:w="0" w:type="auto"/>
            <w:tcBorders>
              <w:top w:val="nil"/>
              <w:left w:val="nil"/>
              <w:bottom w:val="nil"/>
              <w:right w:val="nil"/>
            </w:tcBorders>
            <w:shd w:val="clear" w:color="000000" w:fill="FFFFFF"/>
            <w:noWrap/>
            <w:vAlign w:val="center"/>
            <w:hideMark/>
          </w:tcPr>
          <w:p w14:paraId="1BA7EF41"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4924EF5"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xml:space="preserve">A level </w:t>
            </w:r>
          </w:p>
        </w:tc>
        <w:tc>
          <w:tcPr>
            <w:tcW w:w="0" w:type="auto"/>
            <w:tcBorders>
              <w:top w:val="nil"/>
              <w:left w:val="nil"/>
              <w:bottom w:val="nil"/>
              <w:right w:val="nil"/>
            </w:tcBorders>
            <w:shd w:val="clear" w:color="000000" w:fill="FFFFFF"/>
            <w:noWrap/>
            <w:vAlign w:val="center"/>
            <w:hideMark/>
          </w:tcPr>
          <w:p w14:paraId="4BEBC54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26.8</w:t>
            </w:r>
          </w:p>
        </w:tc>
        <w:tc>
          <w:tcPr>
            <w:tcW w:w="0" w:type="auto"/>
            <w:tcBorders>
              <w:top w:val="nil"/>
              <w:left w:val="nil"/>
              <w:bottom w:val="nil"/>
              <w:right w:val="nil"/>
            </w:tcBorders>
            <w:shd w:val="clear" w:color="000000" w:fill="FFFFFF"/>
            <w:noWrap/>
            <w:vAlign w:val="center"/>
            <w:hideMark/>
          </w:tcPr>
          <w:p w14:paraId="2EFBF81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28.2</w:t>
            </w:r>
          </w:p>
        </w:tc>
        <w:tc>
          <w:tcPr>
            <w:tcW w:w="0" w:type="auto"/>
            <w:tcBorders>
              <w:top w:val="nil"/>
              <w:left w:val="nil"/>
              <w:bottom w:val="nil"/>
              <w:right w:val="nil"/>
            </w:tcBorders>
            <w:shd w:val="clear" w:color="000000" w:fill="FFFFFF"/>
            <w:noWrap/>
            <w:vAlign w:val="center"/>
            <w:hideMark/>
          </w:tcPr>
          <w:p w14:paraId="1368F57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1.5</w:t>
            </w:r>
          </w:p>
        </w:tc>
        <w:tc>
          <w:tcPr>
            <w:tcW w:w="0" w:type="auto"/>
            <w:tcBorders>
              <w:top w:val="nil"/>
              <w:left w:val="nil"/>
              <w:bottom w:val="nil"/>
              <w:right w:val="nil"/>
            </w:tcBorders>
            <w:shd w:val="clear" w:color="000000" w:fill="FFFFFF"/>
            <w:noWrap/>
            <w:vAlign w:val="center"/>
            <w:hideMark/>
          </w:tcPr>
          <w:p w14:paraId="3C9D22FB" w14:textId="4AA1ADCD"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w:t>
            </w:r>
            <w:r w:rsidR="001949CA">
              <w:rPr>
                <w:rFonts w:ascii="Times New Roman" w:eastAsia="Times New Roman" w:hAnsi="Times New Roman" w:cs="Times New Roman"/>
                <w:color w:val="000000"/>
                <w:sz w:val="20"/>
                <w:szCs w:val="20"/>
                <w:lang w:eastAsia="en-GB"/>
              </w:rPr>
              <w:t>4.1</w:t>
            </w:r>
          </w:p>
        </w:tc>
        <w:tc>
          <w:tcPr>
            <w:tcW w:w="0" w:type="auto"/>
            <w:tcBorders>
              <w:top w:val="nil"/>
              <w:left w:val="nil"/>
              <w:bottom w:val="nil"/>
              <w:right w:val="nil"/>
            </w:tcBorders>
            <w:shd w:val="clear" w:color="000000" w:fill="FFFFFF"/>
            <w:noWrap/>
            <w:vAlign w:val="center"/>
            <w:hideMark/>
          </w:tcPr>
          <w:p w14:paraId="7353C7BB" w14:textId="37957EF2"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26.</w:t>
            </w:r>
            <w:r w:rsidR="001949CA">
              <w:rPr>
                <w:rFonts w:ascii="Times New Roman" w:eastAsia="Times New Roman" w:hAnsi="Times New Roman" w:cs="Times New Roman"/>
                <w:color w:val="000000"/>
                <w:sz w:val="20"/>
                <w:szCs w:val="20"/>
                <w:lang w:eastAsia="en-GB"/>
              </w:rPr>
              <w:t>3</w:t>
            </w:r>
          </w:p>
        </w:tc>
        <w:tc>
          <w:tcPr>
            <w:tcW w:w="0" w:type="auto"/>
            <w:tcBorders>
              <w:top w:val="nil"/>
              <w:left w:val="nil"/>
              <w:bottom w:val="nil"/>
              <w:right w:val="nil"/>
            </w:tcBorders>
            <w:shd w:val="clear" w:color="000000" w:fill="FFFFFF"/>
            <w:noWrap/>
            <w:vAlign w:val="center"/>
            <w:hideMark/>
          </w:tcPr>
          <w:p w14:paraId="702234E3" w14:textId="47203E0A" w:rsidR="00F67EAD" w:rsidRPr="00AD1570" w:rsidRDefault="001949C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w:t>
            </w:r>
          </w:p>
        </w:tc>
        <w:tc>
          <w:tcPr>
            <w:tcW w:w="0" w:type="auto"/>
            <w:tcBorders>
              <w:top w:val="nil"/>
              <w:left w:val="nil"/>
              <w:bottom w:val="nil"/>
              <w:right w:val="nil"/>
            </w:tcBorders>
            <w:shd w:val="clear" w:color="000000" w:fill="FFFFFF"/>
            <w:noWrap/>
            <w:vAlign w:val="center"/>
            <w:hideMark/>
          </w:tcPr>
          <w:p w14:paraId="6B53CE4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21.5</w:t>
            </w:r>
          </w:p>
        </w:tc>
        <w:tc>
          <w:tcPr>
            <w:tcW w:w="0" w:type="auto"/>
            <w:tcBorders>
              <w:top w:val="nil"/>
              <w:left w:val="nil"/>
              <w:bottom w:val="nil"/>
              <w:right w:val="nil"/>
            </w:tcBorders>
            <w:shd w:val="clear" w:color="000000" w:fill="FFFFFF"/>
            <w:noWrap/>
            <w:vAlign w:val="center"/>
            <w:hideMark/>
          </w:tcPr>
          <w:p w14:paraId="091DE765"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25.1</w:t>
            </w:r>
          </w:p>
        </w:tc>
        <w:tc>
          <w:tcPr>
            <w:tcW w:w="0" w:type="auto"/>
            <w:tcBorders>
              <w:top w:val="nil"/>
              <w:left w:val="nil"/>
              <w:bottom w:val="nil"/>
              <w:right w:val="nil"/>
            </w:tcBorders>
            <w:shd w:val="clear" w:color="000000" w:fill="FFFFFF"/>
            <w:noWrap/>
            <w:vAlign w:val="center"/>
            <w:hideMark/>
          </w:tcPr>
          <w:p w14:paraId="5B42C091"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3.6</w:t>
            </w:r>
          </w:p>
        </w:tc>
        <w:tc>
          <w:tcPr>
            <w:tcW w:w="0" w:type="auto"/>
            <w:tcBorders>
              <w:top w:val="nil"/>
              <w:left w:val="nil"/>
              <w:bottom w:val="nil"/>
              <w:right w:val="nil"/>
            </w:tcBorders>
            <w:shd w:val="clear" w:color="000000" w:fill="FFFFFF"/>
          </w:tcPr>
          <w:p w14:paraId="4D82F859"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2299DC6B"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5F4377F8" w14:textId="03A9B444" w:rsidTr="00B2508B">
        <w:trPr>
          <w:trHeight w:val="300"/>
        </w:trPr>
        <w:tc>
          <w:tcPr>
            <w:tcW w:w="0" w:type="auto"/>
            <w:tcBorders>
              <w:top w:val="nil"/>
              <w:left w:val="nil"/>
              <w:bottom w:val="nil"/>
              <w:right w:val="nil"/>
            </w:tcBorders>
            <w:shd w:val="clear" w:color="000000" w:fill="FFFFFF"/>
            <w:noWrap/>
            <w:vAlign w:val="center"/>
            <w:hideMark/>
          </w:tcPr>
          <w:p w14:paraId="49BCA783"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57317D1"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Degree</w:t>
            </w:r>
          </w:p>
        </w:tc>
        <w:tc>
          <w:tcPr>
            <w:tcW w:w="0" w:type="auto"/>
            <w:tcBorders>
              <w:top w:val="nil"/>
              <w:left w:val="nil"/>
              <w:bottom w:val="nil"/>
              <w:right w:val="nil"/>
            </w:tcBorders>
            <w:shd w:val="clear" w:color="000000" w:fill="FFFFFF"/>
            <w:noWrap/>
            <w:vAlign w:val="center"/>
            <w:hideMark/>
          </w:tcPr>
          <w:p w14:paraId="0B6594DB"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24.4</w:t>
            </w:r>
          </w:p>
        </w:tc>
        <w:tc>
          <w:tcPr>
            <w:tcW w:w="0" w:type="auto"/>
            <w:tcBorders>
              <w:top w:val="nil"/>
              <w:left w:val="nil"/>
              <w:bottom w:val="nil"/>
              <w:right w:val="nil"/>
            </w:tcBorders>
            <w:shd w:val="clear" w:color="000000" w:fill="FFFFFF"/>
            <w:noWrap/>
            <w:vAlign w:val="center"/>
            <w:hideMark/>
          </w:tcPr>
          <w:p w14:paraId="530C4690"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35.1</w:t>
            </w:r>
          </w:p>
        </w:tc>
        <w:tc>
          <w:tcPr>
            <w:tcW w:w="0" w:type="auto"/>
            <w:tcBorders>
              <w:top w:val="nil"/>
              <w:left w:val="nil"/>
              <w:bottom w:val="nil"/>
              <w:right w:val="nil"/>
            </w:tcBorders>
            <w:shd w:val="clear" w:color="000000" w:fill="FFFFFF"/>
            <w:noWrap/>
            <w:vAlign w:val="center"/>
            <w:hideMark/>
          </w:tcPr>
          <w:p w14:paraId="18FBD43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10.7</w:t>
            </w:r>
          </w:p>
        </w:tc>
        <w:tc>
          <w:tcPr>
            <w:tcW w:w="0" w:type="auto"/>
            <w:tcBorders>
              <w:top w:val="nil"/>
              <w:left w:val="nil"/>
              <w:bottom w:val="nil"/>
              <w:right w:val="nil"/>
            </w:tcBorders>
            <w:shd w:val="clear" w:color="000000" w:fill="FFFFFF"/>
            <w:noWrap/>
            <w:vAlign w:val="center"/>
            <w:hideMark/>
          </w:tcPr>
          <w:p w14:paraId="1008E38D" w14:textId="3AF8E95D"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19.</w:t>
            </w:r>
            <w:r w:rsidR="001949CA">
              <w:rPr>
                <w:rFonts w:ascii="Times New Roman" w:eastAsia="Times New Roman" w:hAnsi="Times New Roman" w:cs="Times New Roman"/>
                <w:color w:val="000000"/>
                <w:sz w:val="20"/>
                <w:szCs w:val="20"/>
                <w:lang w:eastAsia="en-GB"/>
              </w:rPr>
              <w:t>5</w:t>
            </w:r>
          </w:p>
        </w:tc>
        <w:tc>
          <w:tcPr>
            <w:tcW w:w="0" w:type="auto"/>
            <w:tcBorders>
              <w:top w:val="nil"/>
              <w:left w:val="nil"/>
              <w:bottom w:val="nil"/>
              <w:right w:val="nil"/>
            </w:tcBorders>
            <w:shd w:val="clear" w:color="000000" w:fill="FFFFFF"/>
            <w:noWrap/>
            <w:vAlign w:val="center"/>
            <w:hideMark/>
          </w:tcPr>
          <w:p w14:paraId="400E5A16" w14:textId="54CDF172"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w:t>
            </w:r>
            <w:r w:rsidR="001949CA">
              <w:rPr>
                <w:rFonts w:ascii="Times New Roman" w:eastAsia="Times New Roman" w:hAnsi="Times New Roman" w:cs="Times New Roman"/>
                <w:color w:val="000000"/>
                <w:sz w:val="20"/>
                <w:szCs w:val="20"/>
                <w:lang w:eastAsia="en-GB"/>
              </w:rPr>
              <w:t>8</w:t>
            </w:r>
            <w:r w:rsidRPr="00AD1570">
              <w:rPr>
                <w:rFonts w:ascii="Times New Roman" w:eastAsia="Times New Roman" w:hAnsi="Times New Roman" w:cs="Times New Roman"/>
                <w:color w:val="000000"/>
                <w:sz w:val="20"/>
                <w:szCs w:val="20"/>
                <w:lang w:eastAsia="en-GB"/>
              </w:rPr>
              <w:t>.</w:t>
            </w:r>
            <w:r w:rsidR="001949CA">
              <w:rPr>
                <w:rFonts w:ascii="Times New Roman" w:eastAsia="Times New Roman" w:hAnsi="Times New Roman" w:cs="Times New Roman"/>
                <w:color w:val="000000"/>
                <w:sz w:val="20"/>
                <w:szCs w:val="20"/>
                <w:lang w:eastAsia="en-GB"/>
              </w:rPr>
              <w:t>5</w:t>
            </w:r>
          </w:p>
        </w:tc>
        <w:tc>
          <w:tcPr>
            <w:tcW w:w="0" w:type="auto"/>
            <w:tcBorders>
              <w:top w:val="nil"/>
              <w:left w:val="nil"/>
              <w:bottom w:val="nil"/>
              <w:right w:val="nil"/>
            </w:tcBorders>
            <w:shd w:val="clear" w:color="000000" w:fill="FFFFFF"/>
            <w:noWrap/>
            <w:vAlign w:val="center"/>
            <w:hideMark/>
          </w:tcPr>
          <w:p w14:paraId="01A2CADF" w14:textId="7BB47BCD" w:rsidR="00F67EAD" w:rsidRPr="00AD1570" w:rsidRDefault="008C130B"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w:t>
            </w:r>
          </w:p>
        </w:tc>
        <w:tc>
          <w:tcPr>
            <w:tcW w:w="0" w:type="auto"/>
            <w:tcBorders>
              <w:top w:val="nil"/>
              <w:left w:val="nil"/>
              <w:bottom w:val="nil"/>
              <w:right w:val="nil"/>
            </w:tcBorders>
            <w:shd w:val="clear" w:color="000000" w:fill="FFFFFF"/>
            <w:noWrap/>
            <w:vAlign w:val="center"/>
            <w:hideMark/>
          </w:tcPr>
          <w:p w14:paraId="5D4D8E6C"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15.2</w:t>
            </w:r>
          </w:p>
        </w:tc>
        <w:tc>
          <w:tcPr>
            <w:tcW w:w="0" w:type="auto"/>
            <w:tcBorders>
              <w:top w:val="nil"/>
              <w:left w:val="nil"/>
              <w:bottom w:val="nil"/>
              <w:right w:val="nil"/>
            </w:tcBorders>
            <w:shd w:val="clear" w:color="000000" w:fill="FFFFFF"/>
            <w:noWrap/>
            <w:vAlign w:val="center"/>
            <w:hideMark/>
          </w:tcPr>
          <w:p w14:paraId="035DB50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22.7</w:t>
            </w:r>
          </w:p>
        </w:tc>
        <w:tc>
          <w:tcPr>
            <w:tcW w:w="0" w:type="auto"/>
            <w:tcBorders>
              <w:top w:val="nil"/>
              <w:left w:val="nil"/>
              <w:bottom w:val="nil"/>
              <w:right w:val="nil"/>
            </w:tcBorders>
            <w:shd w:val="clear" w:color="000000" w:fill="FFFFFF"/>
            <w:noWrap/>
            <w:vAlign w:val="center"/>
            <w:hideMark/>
          </w:tcPr>
          <w:p w14:paraId="3CF6B325"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7.5</w:t>
            </w:r>
          </w:p>
        </w:tc>
        <w:tc>
          <w:tcPr>
            <w:tcW w:w="0" w:type="auto"/>
            <w:tcBorders>
              <w:top w:val="nil"/>
              <w:left w:val="nil"/>
              <w:bottom w:val="nil"/>
              <w:right w:val="nil"/>
            </w:tcBorders>
            <w:shd w:val="clear" w:color="000000" w:fill="FFFFFF"/>
          </w:tcPr>
          <w:p w14:paraId="6C9506CA"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20753B71"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2D171EEB" w14:textId="4C76345E" w:rsidTr="00B2508B">
        <w:trPr>
          <w:trHeight w:val="300"/>
        </w:trPr>
        <w:tc>
          <w:tcPr>
            <w:tcW w:w="0" w:type="auto"/>
            <w:gridSpan w:val="2"/>
            <w:tcBorders>
              <w:top w:val="nil"/>
              <w:left w:val="nil"/>
              <w:bottom w:val="nil"/>
              <w:right w:val="nil"/>
            </w:tcBorders>
            <w:shd w:val="clear" w:color="000000" w:fill="FFFFFF"/>
            <w:noWrap/>
            <w:vAlign w:val="center"/>
            <w:hideMark/>
          </w:tcPr>
          <w:p w14:paraId="3A5E43A7"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Occupation</w:t>
            </w:r>
          </w:p>
        </w:tc>
        <w:tc>
          <w:tcPr>
            <w:tcW w:w="0" w:type="auto"/>
            <w:tcBorders>
              <w:top w:val="nil"/>
              <w:left w:val="nil"/>
              <w:bottom w:val="nil"/>
              <w:right w:val="nil"/>
            </w:tcBorders>
            <w:shd w:val="clear" w:color="000000" w:fill="FFFFFF"/>
            <w:noWrap/>
            <w:vAlign w:val="center"/>
            <w:hideMark/>
          </w:tcPr>
          <w:p w14:paraId="4D564059"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00EF78A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DF3EB0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18CD91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3703EE9"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642A536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6CE5954"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545CD3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11DED82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tcPr>
          <w:p w14:paraId="26555592" w14:textId="74E708CF"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96.3</w:t>
            </w:r>
          </w:p>
        </w:tc>
        <w:tc>
          <w:tcPr>
            <w:tcW w:w="0" w:type="auto"/>
            <w:tcBorders>
              <w:top w:val="nil"/>
              <w:left w:val="nil"/>
              <w:bottom w:val="nil"/>
              <w:right w:val="nil"/>
            </w:tcBorders>
            <w:shd w:val="clear" w:color="000000" w:fill="FFFFFF"/>
          </w:tcPr>
          <w:p w14:paraId="6DC3DD93" w14:textId="7C4F7F45" w:rsidR="00F67EAD" w:rsidRPr="00AD1570" w:rsidRDefault="00FC4C3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95.8</w:t>
            </w:r>
          </w:p>
        </w:tc>
      </w:tr>
      <w:tr w:rsidR="00F67EAD" w:rsidRPr="00AD1570" w14:paraId="732D11E1" w14:textId="0E185208" w:rsidTr="00B2508B">
        <w:trPr>
          <w:trHeight w:val="300"/>
        </w:trPr>
        <w:tc>
          <w:tcPr>
            <w:tcW w:w="0" w:type="auto"/>
            <w:tcBorders>
              <w:top w:val="nil"/>
              <w:left w:val="nil"/>
              <w:bottom w:val="nil"/>
              <w:right w:val="nil"/>
            </w:tcBorders>
            <w:shd w:val="clear" w:color="000000" w:fill="FFFFFF"/>
            <w:noWrap/>
            <w:vAlign w:val="center"/>
            <w:hideMark/>
          </w:tcPr>
          <w:p w14:paraId="6B09F389"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77D0CA9F"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xml:space="preserve">Low </w:t>
            </w:r>
          </w:p>
        </w:tc>
        <w:tc>
          <w:tcPr>
            <w:tcW w:w="0" w:type="auto"/>
            <w:tcBorders>
              <w:top w:val="nil"/>
              <w:left w:val="nil"/>
              <w:bottom w:val="nil"/>
              <w:right w:val="nil"/>
            </w:tcBorders>
            <w:shd w:val="clear" w:color="000000" w:fill="FFFFFF"/>
            <w:noWrap/>
            <w:vAlign w:val="center"/>
            <w:hideMark/>
          </w:tcPr>
          <w:p w14:paraId="1FFA3FB5"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39.6</w:t>
            </w:r>
          </w:p>
        </w:tc>
        <w:tc>
          <w:tcPr>
            <w:tcW w:w="0" w:type="auto"/>
            <w:tcBorders>
              <w:top w:val="nil"/>
              <w:left w:val="nil"/>
              <w:bottom w:val="nil"/>
              <w:right w:val="nil"/>
            </w:tcBorders>
            <w:shd w:val="clear" w:color="000000" w:fill="FFFFFF"/>
            <w:noWrap/>
            <w:vAlign w:val="center"/>
            <w:hideMark/>
          </w:tcPr>
          <w:p w14:paraId="5E6AC5A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35.7</w:t>
            </w:r>
          </w:p>
        </w:tc>
        <w:tc>
          <w:tcPr>
            <w:tcW w:w="0" w:type="auto"/>
            <w:tcBorders>
              <w:top w:val="nil"/>
              <w:left w:val="nil"/>
              <w:bottom w:val="nil"/>
              <w:right w:val="nil"/>
            </w:tcBorders>
            <w:shd w:val="clear" w:color="000000" w:fill="FFFFFF"/>
            <w:noWrap/>
            <w:vAlign w:val="center"/>
            <w:hideMark/>
          </w:tcPr>
          <w:p w14:paraId="412DEC7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-4.0</w:t>
            </w:r>
          </w:p>
        </w:tc>
        <w:tc>
          <w:tcPr>
            <w:tcW w:w="0" w:type="auto"/>
            <w:tcBorders>
              <w:top w:val="nil"/>
              <w:left w:val="nil"/>
              <w:bottom w:val="nil"/>
              <w:right w:val="nil"/>
            </w:tcBorders>
            <w:shd w:val="clear" w:color="000000" w:fill="FFFFFF"/>
            <w:noWrap/>
            <w:vAlign w:val="center"/>
            <w:hideMark/>
          </w:tcPr>
          <w:p w14:paraId="19D565AD" w14:textId="1A1E9D91" w:rsidR="00F67EAD" w:rsidRPr="00AD1570" w:rsidRDefault="001949C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40.0</w:t>
            </w:r>
          </w:p>
        </w:tc>
        <w:tc>
          <w:tcPr>
            <w:tcW w:w="0" w:type="auto"/>
            <w:tcBorders>
              <w:top w:val="nil"/>
              <w:left w:val="nil"/>
              <w:bottom w:val="nil"/>
              <w:right w:val="nil"/>
            </w:tcBorders>
            <w:shd w:val="clear" w:color="000000" w:fill="FFFFFF"/>
            <w:noWrap/>
            <w:vAlign w:val="center"/>
            <w:hideMark/>
          </w:tcPr>
          <w:p w14:paraId="2AAA6C86" w14:textId="5586DA8D" w:rsidR="00F67EAD" w:rsidRPr="00AD1570" w:rsidRDefault="001949CA"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38.1</w:t>
            </w:r>
          </w:p>
        </w:tc>
        <w:tc>
          <w:tcPr>
            <w:tcW w:w="0" w:type="auto"/>
            <w:tcBorders>
              <w:top w:val="nil"/>
              <w:left w:val="nil"/>
              <w:bottom w:val="nil"/>
              <w:right w:val="nil"/>
            </w:tcBorders>
            <w:shd w:val="clear" w:color="000000" w:fill="FFFFFF"/>
            <w:noWrap/>
            <w:vAlign w:val="center"/>
            <w:hideMark/>
          </w:tcPr>
          <w:p w14:paraId="67121FE0" w14:textId="5CB079AA"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w:t>
            </w:r>
            <w:r w:rsidR="008C130B">
              <w:rPr>
                <w:rFonts w:ascii="Times New Roman" w:eastAsia="Times New Roman" w:hAnsi="Times New Roman" w:cs="Times New Roman"/>
                <w:color w:val="000000"/>
                <w:sz w:val="20"/>
                <w:szCs w:val="20"/>
                <w:lang w:eastAsia="en-GB"/>
              </w:rPr>
              <w:t>1</w:t>
            </w:r>
            <w:r w:rsidRPr="00AD1570">
              <w:rPr>
                <w:rFonts w:ascii="Times New Roman" w:eastAsia="Times New Roman" w:hAnsi="Times New Roman" w:cs="Times New Roman"/>
                <w:color w:val="000000"/>
                <w:sz w:val="20"/>
                <w:szCs w:val="20"/>
                <w:lang w:eastAsia="en-GB"/>
              </w:rPr>
              <w:t>.</w:t>
            </w:r>
            <w:r w:rsidR="008C130B">
              <w:rPr>
                <w:rFonts w:ascii="Times New Roman" w:eastAsia="Times New Roman" w:hAnsi="Times New Roman" w:cs="Times New Roman"/>
                <w:color w:val="000000"/>
                <w:sz w:val="20"/>
                <w:szCs w:val="20"/>
                <w:lang w:eastAsia="en-GB"/>
              </w:rPr>
              <w:t>9</w:t>
            </w:r>
          </w:p>
        </w:tc>
        <w:tc>
          <w:tcPr>
            <w:tcW w:w="0" w:type="auto"/>
            <w:tcBorders>
              <w:top w:val="nil"/>
              <w:left w:val="nil"/>
              <w:bottom w:val="nil"/>
              <w:right w:val="nil"/>
            </w:tcBorders>
            <w:shd w:val="clear" w:color="000000" w:fill="FFFFFF"/>
            <w:noWrap/>
            <w:vAlign w:val="center"/>
            <w:hideMark/>
          </w:tcPr>
          <w:p w14:paraId="3D5DD45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45.3</w:t>
            </w:r>
          </w:p>
        </w:tc>
        <w:tc>
          <w:tcPr>
            <w:tcW w:w="0" w:type="auto"/>
            <w:tcBorders>
              <w:top w:val="nil"/>
              <w:left w:val="nil"/>
              <w:bottom w:val="nil"/>
              <w:right w:val="nil"/>
            </w:tcBorders>
            <w:shd w:val="clear" w:color="000000" w:fill="FFFFFF"/>
            <w:noWrap/>
            <w:vAlign w:val="center"/>
            <w:hideMark/>
          </w:tcPr>
          <w:p w14:paraId="53A863D3"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42.0</w:t>
            </w:r>
          </w:p>
        </w:tc>
        <w:tc>
          <w:tcPr>
            <w:tcW w:w="0" w:type="auto"/>
            <w:tcBorders>
              <w:top w:val="nil"/>
              <w:left w:val="nil"/>
              <w:bottom w:val="nil"/>
              <w:right w:val="nil"/>
            </w:tcBorders>
            <w:shd w:val="clear" w:color="000000" w:fill="FFFFFF"/>
            <w:noWrap/>
            <w:vAlign w:val="center"/>
            <w:hideMark/>
          </w:tcPr>
          <w:p w14:paraId="7E0A7B6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-3.3</w:t>
            </w:r>
          </w:p>
        </w:tc>
        <w:tc>
          <w:tcPr>
            <w:tcW w:w="0" w:type="auto"/>
            <w:tcBorders>
              <w:top w:val="nil"/>
              <w:left w:val="nil"/>
              <w:bottom w:val="nil"/>
              <w:right w:val="nil"/>
            </w:tcBorders>
            <w:shd w:val="clear" w:color="000000" w:fill="FFFFFF"/>
          </w:tcPr>
          <w:p w14:paraId="1D0173C6"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560FB9AC"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568EAD52" w14:textId="3452E13D" w:rsidTr="00B2508B">
        <w:trPr>
          <w:trHeight w:val="300"/>
        </w:trPr>
        <w:tc>
          <w:tcPr>
            <w:tcW w:w="0" w:type="auto"/>
            <w:tcBorders>
              <w:top w:val="nil"/>
              <w:left w:val="nil"/>
              <w:bottom w:val="nil"/>
              <w:right w:val="nil"/>
            </w:tcBorders>
            <w:shd w:val="clear" w:color="000000" w:fill="FFFFFF"/>
            <w:noWrap/>
            <w:vAlign w:val="center"/>
            <w:hideMark/>
          </w:tcPr>
          <w:p w14:paraId="2313E17F"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nil"/>
              <w:right w:val="nil"/>
            </w:tcBorders>
            <w:shd w:val="clear" w:color="000000" w:fill="FFFFFF"/>
            <w:noWrap/>
            <w:vAlign w:val="center"/>
            <w:hideMark/>
          </w:tcPr>
          <w:p w14:paraId="4CBE893F"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Medium</w:t>
            </w:r>
          </w:p>
        </w:tc>
        <w:tc>
          <w:tcPr>
            <w:tcW w:w="0" w:type="auto"/>
            <w:tcBorders>
              <w:top w:val="nil"/>
              <w:left w:val="nil"/>
              <w:bottom w:val="nil"/>
              <w:right w:val="nil"/>
            </w:tcBorders>
            <w:shd w:val="clear" w:color="000000" w:fill="FFFFFF"/>
            <w:noWrap/>
            <w:vAlign w:val="center"/>
            <w:hideMark/>
          </w:tcPr>
          <w:p w14:paraId="44A413FF"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23.2</w:t>
            </w:r>
          </w:p>
        </w:tc>
        <w:tc>
          <w:tcPr>
            <w:tcW w:w="0" w:type="auto"/>
            <w:tcBorders>
              <w:top w:val="nil"/>
              <w:left w:val="nil"/>
              <w:bottom w:val="nil"/>
              <w:right w:val="nil"/>
            </w:tcBorders>
            <w:shd w:val="clear" w:color="000000" w:fill="FFFFFF"/>
            <w:noWrap/>
            <w:vAlign w:val="center"/>
            <w:hideMark/>
          </w:tcPr>
          <w:p w14:paraId="659FFCDE"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26.2</w:t>
            </w:r>
          </w:p>
        </w:tc>
        <w:tc>
          <w:tcPr>
            <w:tcW w:w="0" w:type="auto"/>
            <w:tcBorders>
              <w:top w:val="nil"/>
              <w:left w:val="nil"/>
              <w:bottom w:val="nil"/>
              <w:right w:val="nil"/>
            </w:tcBorders>
            <w:shd w:val="clear" w:color="000000" w:fill="FFFFFF"/>
            <w:noWrap/>
            <w:vAlign w:val="center"/>
            <w:hideMark/>
          </w:tcPr>
          <w:p w14:paraId="45B4CBAE"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3.0</w:t>
            </w:r>
          </w:p>
        </w:tc>
        <w:tc>
          <w:tcPr>
            <w:tcW w:w="0" w:type="auto"/>
            <w:tcBorders>
              <w:top w:val="nil"/>
              <w:left w:val="nil"/>
              <w:bottom w:val="nil"/>
              <w:right w:val="nil"/>
            </w:tcBorders>
            <w:shd w:val="clear" w:color="000000" w:fill="FFFFFF"/>
            <w:noWrap/>
            <w:vAlign w:val="center"/>
            <w:hideMark/>
          </w:tcPr>
          <w:p w14:paraId="43F6B5CA" w14:textId="02CF5E85"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w:t>
            </w:r>
            <w:r w:rsidR="001949CA">
              <w:rPr>
                <w:rFonts w:ascii="Times New Roman" w:eastAsia="Times New Roman" w:hAnsi="Times New Roman" w:cs="Times New Roman"/>
                <w:color w:val="000000"/>
                <w:sz w:val="20"/>
                <w:szCs w:val="20"/>
                <w:lang w:eastAsia="en-GB"/>
              </w:rPr>
              <w:t>1</w:t>
            </w:r>
            <w:r w:rsidRPr="00AD1570">
              <w:rPr>
                <w:rFonts w:ascii="Times New Roman" w:eastAsia="Times New Roman" w:hAnsi="Times New Roman" w:cs="Times New Roman"/>
                <w:color w:val="000000"/>
                <w:sz w:val="20"/>
                <w:szCs w:val="20"/>
                <w:lang w:eastAsia="en-GB"/>
              </w:rPr>
              <w:t>.</w:t>
            </w:r>
            <w:r w:rsidR="001949CA">
              <w:rPr>
                <w:rFonts w:ascii="Times New Roman" w:eastAsia="Times New Roman" w:hAnsi="Times New Roman" w:cs="Times New Roman"/>
                <w:color w:val="000000"/>
                <w:sz w:val="20"/>
                <w:szCs w:val="20"/>
                <w:lang w:eastAsia="en-GB"/>
              </w:rPr>
              <w:t>9</w:t>
            </w:r>
          </w:p>
        </w:tc>
        <w:tc>
          <w:tcPr>
            <w:tcW w:w="0" w:type="auto"/>
            <w:tcBorders>
              <w:top w:val="nil"/>
              <w:left w:val="nil"/>
              <w:bottom w:val="nil"/>
              <w:right w:val="nil"/>
            </w:tcBorders>
            <w:shd w:val="clear" w:color="000000" w:fill="FFFFFF"/>
            <w:noWrap/>
            <w:vAlign w:val="center"/>
            <w:hideMark/>
          </w:tcPr>
          <w:p w14:paraId="6AA8EF94" w14:textId="6869CDA2"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25.</w:t>
            </w:r>
            <w:r w:rsidR="001949CA">
              <w:rPr>
                <w:rFonts w:ascii="Times New Roman" w:eastAsia="Times New Roman" w:hAnsi="Times New Roman" w:cs="Times New Roman"/>
                <w:color w:val="000000"/>
                <w:sz w:val="20"/>
                <w:szCs w:val="20"/>
                <w:lang w:eastAsia="en-GB"/>
              </w:rPr>
              <w:t>1</w:t>
            </w:r>
          </w:p>
        </w:tc>
        <w:tc>
          <w:tcPr>
            <w:tcW w:w="0" w:type="auto"/>
            <w:tcBorders>
              <w:top w:val="nil"/>
              <w:left w:val="nil"/>
              <w:bottom w:val="nil"/>
              <w:right w:val="nil"/>
            </w:tcBorders>
            <w:shd w:val="clear" w:color="000000" w:fill="FFFFFF"/>
            <w:noWrap/>
            <w:vAlign w:val="center"/>
            <w:hideMark/>
          </w:tcPr>
          <w:p w14:paraId="6DFC01DD" w14:textId="3E02BE55" w:rsidR="00F67EAD" w:rsidRPr="00AD1570" w:rsidRDefault="008C130B"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3.2</w:t>
            </w:r>
          </w:p>
        </w:tc>
        <w:tc>
          <w:tcPr>
            <w:tcW w:w="0" w:type="auto"/>
            <w:tcBorders>
              <w:top w:val="nil"/>
              <w:left w:val="nil"/>
              <w:bottom w:val="nil"/>
              <w:right w:val="nil"/>
            </w:tcBorders>
            <w:shd w:val="clear" w:color="000000" w:fill="FFFFFF"/>
            <w:noWrap/>
            <w:vAlign w:val="center"/>
            <w:hideMark/>
          </w:tcPr>
          <w:p w14:paraId="77E07A3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22.4</w:t>
            </w:r>
          </w:p>
        </w:tc>
        <w:tc>
          <w:tcPr>
            <w:tcW w:w="0" w:type="auto"/>
            <w:tcBorders>
              <w:top w:val="nil"/>
              <w:left w:val="nil"/>
              <w:bottom w:val="nil"/>
              <w:right w:val="nil"/>
            </w:tcBorders>
            <w:shd w:val="clear" w:color="000000" w:fill="FFFFFF"/>
            <w:noWrap/>
            <w:vAlign w:val="center"/>
            <w:hideMark/>
          </w:tcPr>
          <w:p w14:paraId="79BD5E6D"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24.7</w:t>
            </w:r>
          </w:p>
        </w:tc>
        <w:tc>
          <w:tcPr>
            <w:tcW w:w="0" w:type="auto"/>
            <w:tcBorders>
              <w:top w:val="nil"/>
              <w:left w:val="nil"/>
              <w:bottom w:val="nil"/>
              <w:right w:val="nil"/>
            </w:tcBorders>
            <w:shd w:val="clear" w:color="000000" w:fill="FFFFFF"/>
            <w:noWrap/>
            <w:vAlign w:val="center"/>
            <w:hideMark/>
          </w:tcPr>
          <w:p w14:paraId="70DC82B1"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2.4</w:t>
            </w:r>
          </w:p>
        </w:tc>
        <w:tc>
          <w:tcPr>
            <w:tcW w:w="0" w:type="auto"/>
            <w:tcBorders>
              <w:top w:val="nil"/>
              <w:left w:val="nil"/>
              <w:bottom w:val="nil"/>
              <w:right w:val="nil"/>
            </w:tcBorders>
            <w:shd w:val="clear" w:color="000000" w:fill="FFFFFF"/>
          </w:tcPr>
          <w:p w14:paraId="6A5741EC"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000000" w:fill="FFFFFF"/>
          </w:tcPr>
          <w:p w14:paraId="6A97AE42"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4A063C93" w14:textId="580516A8" w:rsidTr="00B2508B">
        <w:trPr>
          <w:trHeight w:val="315"/>
        </w:trPr>
        <w:tc>
          <w:tcPr>
            <w:tcW w:w="0" w:type="auto"/>
            <w:tcBorders>
              <w:top w:val="nil"/>
              <w:left w:val="nil"/>
              <w:bottom w:val="single" w:sz="8" w:space="0" w:color="auto"/>
              <w:right w:val="nil"/>
            </w:tcBorders>
            <w:shd w:val="clear" w:color="000000" w:fill="FFFFFF"/>
            <w:noWrap/>
            <w:vAlign w:val="center"/>
            <w:hideMark/>
          </w:tcPr>
          <w:p w14:paraId="3A9C07B8"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single" w:sz="8" w:space="0" w:color="auto"/>
              <w:right w:val="nil"/>
            </w:tcBorders>
            <w:shd w:val="clear" w:color="000000" w:fill="FFFFFF"/>
            <w:noWrap/>
            <w:vAlign w:val="center"/>
            <w:hideMark/>
          </w:tcPr>
          <w:p w14:paraId="0EE0EB06"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High</w:t>
            </w:r>
          </w:p>
        </w:tc>
        <w:tc>
          <w:tcPr>
            <w:tcW w:w="0" w:type="auto"/>
            <w:tcBorders>
              <w:top w:val="nil"/>
              <w:left w:val="nil"/>
              <w:bottom w:val="single" w:sz="8" w:space="0" w:color="auto"/>
              <w:right w:val="nil"/>
            </w:tcBorders>
            <w:shd w:val="clear" w:color="000000" w:fill="FFFFFF"/>
            <w:noWrap/>
            <w:vAlign w:val="center"/>
            <w:hideMark/>
          </w:tcPr>
          <w:p w14:paraId="65A4FC1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37.2</w:t>
            </w:r>
          </w:p>
        </w:tc>
        <w:tc>
          <w:tcPr>
            <w:tcW w:w="0" w:type="auto"/>
            <w:tcBorders>
              <w:top w:val="nil"/>
              <w:left w:val="nil"/>
              <w:bottom w:val="single" w:sz="8" w:space="0" w:color="auto"/>
              <w:right w:val="nil"/>
            </w:tcBorders>
            <w:shd w:val="clear" w:color="000000" w:fill="FFFFFF"/>
            <w:noWrap/>
            <w:vAlign w:val="center"/>
            <w:hideMark/>
          </w:tcPr>
          <w:p w14:paraId="056850C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38.1</w:t>
            </w:r>
          </w:p>
        </w:tc>
        <w:tc>
          <w:tcPr>
            <w:tcW w:w="0" w:type="auto"/>
            <w:tcBorders>
              <w:top w:val="nil"/>
              <w:left w:val="nil"/>
              <w:bottom w:val="single" w:sz="8" w:space="0" w:color="auto"/>
              <w:right w:val="nil"/>
            </w:tcBorders>
            <w:shd w:val="clear" w:color="000000" w:fill="FFFFFF"/>
            <w:noWrap/>
            <w:vAlign w:val="center"/>
            <w:hideMark/>
          </w:tcPr>
          <w:p w14:paraId="0DEED7C1"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0.9</w:t>
            </w:r>
          </w:p>
        </w:tc>
        <w:tc>
          <w:tcPr>
            <w:tcW w:w="0" w:type="auto"/>
            <w:tcBorders>
              <w:top w:val="nil"/>
              <w:left w:val="nil"/>
              <w:bottom w:val="single" w:sz="8" w:space="0" w:color="auto"/>
              <w:right w:val="nil"/>
            </w:tcBorders>
            <w:shd w:val="clear" w:color="000000" w:fill="FFFFFF"/>
            <w:noWrap/>
            <w:vAlign w:val="center"/>
            <w:hideMark/>
          </w:tcPr>
          <w:p w14:paraId="1ED7C036" w14:textId="3958A2AE"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w:t>
            </w:r>
            <w:r w:rsidR="001949CA">
              <w:rPr>
                <w:rFonts w:ascii="Times New Roman" w:eastAsia="Times New Roman" w:hAnsi="Times New Roman" w:cs="Times New Roman"/>
                <w:color w:val="000000"/>
                <w:sz w:val="20"/>
                <w:szCs w:val="20"/>
                <w:lang w:eastAsia="en-GB"/>
              </w:rPr>
              <w:t>8</w:t>
            </w:r>
            <w:r w:rsidRPr="00AD1570">
              <w:rPr>
                <w:rFonts w:ascii="Times New Roman" w:eastAsia="Times New Roman" w:hAnsi="Times New Roman" w:cs="Times New Roman"/>
                <w:color w:val="000000"/>
                <w:sz w:val="20"/>
                <w:szCs w:val="20"/>
                <w:lang w:eastAsia="en-GB"/>
              </w:rPr>
              <w:t>.</w:t>
            </w:r>
            <w:r w:rsidR="001949CA">
              <w:rPr>
                <w:rFonts w:ascii="Times New Roman" w:eastAsia="Times New Roman" w:hAnsi="Times New Roman" w:cs="Times New Roman"/>
                <w:color w:val="000000"/>
                <w:sz w:val="20"/>
                <w:szCs w:val="20"/>
                <w:lang w:eastAsia="en-GB"/>
              </w:rPr>
              <w:t>1</w:t>
            </w:r>
          </w:p>
        </w:tc>
        <w:tc>
          <w:tcPr>
            <w:tcW w:w="0" w:type="auto"/>
            <w:tcBorders>
              <w:top w:val="nil"/>
              <w:left w:val="nil"/>
              <w:bottom w:val="single" w:sz="8" w:space="0" w:color="auto"/>
              <w:right w:val="nil"/>
            </w:tcBorders>
            <w:shd w:val="clear" w:color="000000" w:fill="FFFFFF"/>
            <w:noWrap/>
            <w:vAlign w:val="center"/>
            <w:hideMark/>
          </w:tcPr>
          <w:p w14:paraId="55F59AD4" w14:textId="10A990E5" w:rsidR="00F67EAD" w:rsidRPr="00AD1570" w:rsidRDefault="001949CA"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8</w:t>
            </w:r>
            <w:r w:rsidR="00F67EAD" w:rsidRPr="00AD1570">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8</w:t>
            </w:r>
          </w:p>
        </w:tc>
        <w:tc>
          <w:tcPr>
            <w:tcW w:w="0" w:type="auto"/>
            <w:tcBorders>
              <w:top w:val="nil"/>
              <w:left w:val="nil"/>
              <w:bottom w:val="single" w:sz="8" w:space="0" w:color="auto"/>
              <w:right w:val="nil"/>
            </w:tcBorders>
            <w:shd w:val="clear" w:color="000000" w:fill="FFFFFF"/>
            <w:noWrap/>
            <w:vAlign w:val="center"/>
            <w:hideMark/>
          </w:tcPr>
          <w:p w14:paraId="4A418E3B"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0.7</w:t>
            </w:r>
          </w:p>
        </w:tc>
        <w:tc>
          <w:tcPr>
            <w:tcW w:w="0" w:type="auto"/>
            <w:tcBorders>
              <w:top w:val="nil"/>
              <w:left w:val="nil"/>
              <w:bottom w:val="single" w:sz="8" w:space="0" w:color="auto"/>
              <w:right w:val="nil"/>
            </w:tcBorders>
            <w:shd w:val="clear" w:color="000000" w:fill="FFFFFF"/>
            <w:noWrap/>
            <w:vAlign w:val="center"/>
            <w:hideMark/>
          </w:tcPr>
          <w:p w14:paraId="4FFA57C2"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32.4</w:t>
            </w:r>
          </w:p>
        </w:tc>
        <w:tc>
          <w:tcPr>
            <w:tcW w:w="0" w:type="auto"/>
            <w:tcBorders>
              <w:top w:val="nil"/>
              <w:left w:val="nil"/>
              <w:bottom w:val="single" w:sz="8" w:space="0" w:color="auto"/>
              <w:right w:val="nil"/>
            </w:tcBorders>
            <w:shd w:val="clear" w:color="000000" w:fill="FFFFFF"/>
            <w:noWrap/>
            <w:vAlign w:val="center"/>
            <w:hideMark/>
          </w:tcPr>
          <w:p w14:paraId="52057DA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33.2</w:t>
            </w:r>
          </w:p>
        </w:tc>
        <w:tc>
          <w:tcPr>
            <w:tcW w:w="0" w:type="auto"/>
            <w:tcBorders>
              <w:top w:val="nil"/>
              <w:left w:val="nil"/>
              <w:bottom w:val="single" w:sz="8" w:space="0" w:color="auto"/>
              <w:right w:val="nil"/>
            </w:tcBorders>
            <w:shd w:val="clear" w:color="000000" w:fill="FFFFFF"/>
            <w:noWrap/>
            <w:vAlign w:val="center"/>
            <w:hideMark/>
          </w:tcPr>
          <w:p w14:paraId="37B230C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0.9</w:t>
            </w:r>
          </w:p>
        </w:tc>
        <w:tc>
          <w:tcPr>
            <w:tcW w:w="0" w:type="auto"/>
            <w:tcBorders>
              <w:top w:val="nil"/>
              <w:left w:val="nil"/>
              <w:bottom w:val="single" w:sz="8" w:space="0" w:color="auto"/>
              <w:right w:val="nil"/>
            </w:tcBorders>
            <w:shd w:val="clear" w:color="000000" w:fill="FFFFFF"/>
          </w:tcPr>
          <w:p w14:paraId="10B98A41"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c>
          <w:tcPr>
            <w:tcW w:w="0" w:type="auto"/>
            <w:tcBorders>
              <w:top w:val="nil"/>
              <w:left w:val="nil"/>
              <w:bottom w:val="single" w:sz="8" w:space="0" w:color="auto"/>
              <w:right w:val="nil"/>
            </w:tcBorders>
            <w:shd w:val="clear" w:color="000000" w:fill="FFFFFF"/>
          </w:tcPr>
          <w:p w14:paraId="56430E76" w14:textId="77777777" w:rsidR="00F67EAD" w:rsidRPr="00AD1570" w:rsidRDefault="00F67EAD">
            <w:pPr>
              <w:spacing w:after="0" w:line="240" w:lineRule="auto"/>
              <w:jc w:val="right"/>
              <w:rPr>
                <w:rFonts w:ascii="Times New Roman" w:eastAsia="Times New Roman" w:hAnsi="Times New Roman" w:cs="Times New Roman"/>
                <w:color w:val="000000"/>
                <w:sz w:val="20"/>
                <w:szCs w:val="20"/>
                <w:lang w:eastAsia="en-GB"/>
              </w:rPr>
            </w:pPr>
          </w:p>
        </w:tc>
      </w:tr>
      <w:tr w:rsidR="00F67EAD" w:rsidRPr="00AD1570" w14:paraId="72D8FA83" w14:textId="658EA021" w:rsidTr="00B2508B">
        <w:trPr>
          <w:trHeight w:val="315"/>
        </w:trPr>
        <w:tc>
          <w:tcPr>
            <w:tcW w:w="0" w:type="auto"/>
            <w:gridSpan w:val="2"/>
            <w:tcBorders>
              <w:top w:val="nil"/>
              <w:left w:val="nil"/>
              <w:bottom w:val="single" w:sz="8" w:space="0" w:color="auto"/>
              <w:right w:val="nil"/>
            </w:tcBorders>
            <w:shd w:val="clear" w:color="000000" w:fill="FFFFFF"/>
            <w:noWrap/>
            <w:vAlign w:val="center"/>
            <w:hideMark/>
          </w:tcPr>
          <w:p w14:paraId="6C4EBE06"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N of obs.</w:t>
            </w:r>
          </w:p>
        </w:tc>
        <w:tc>
          <w:tcPr>
            <w:tcW w:w="0" w:type="auto"/>
            <w:tcBorders>
              <w:top w:val="nil"/>
              <w:left w:val="nil"/>
              <w:bottom w:val="single" w:sz="8" w:space="0" w:color="auto"/>
              <w:right w:val="nil"/>
            </w:tcBorders>
            <w:shd w:val="clear" w:color="000000" w:fill="FFFFFF"/>
            <w:noWrap/>
            <w:vAlign w:val="center"/>
            <w:hideMark/>
          </w:tcPr>
          <w:p w14:paraId="23DCD83A"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6,750</w:t>
            </w:r>
          </w:p>
        </w:tc>
        <w:tc>
          <w:tcPr>
            <w:tcW w:w="0" w:type="auto"/>
            <w:tcBorders>
              <w:top w:val="nil"/>
              <w:left w:val="nil"/>
              <w:bottom w:val="single" w:sz="8" w:space="0" w:color="auto"/>
              <w:right w:val="nil"/>
            </w:tcBorders>
            <w:shd w:val="clear" w:color="000000" w:fill="FFFFFF"/>
            <w:noWrap/>
            <w:vAlign w:val="center"/>
            <w:hideMark/>
          </w:tcPr>
          <w:p w14:paraId="6A600036"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4,755</w:t>
            </w:r>
          </w:p>
        </w:tc>
        <w:tc>
          <w:tcPr>
            <w:tcW w:w="0" w:type="auto"/>
            <w:tcBorders>
              <w:top w:val="nil"/>
              <w:left w:val="nil"/>
              <w:bottom w:val="single" w:sz="8" w:space="0" w:color="auto"/>
              <w:right w:val="nil"/>
            </w:tcBorders>
            <w:shd w:val="clear" w:color="000000" w:fill="FFFFFF"/>
            <w:noWrap/>
            <w:vAlign w:val="center"/>
            <w:hideMark/>
          </w:tcPr>
          <w:p w14:paraId="7FF4FAF8"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single" w:sz="8" w:space="0" w:color="auto"/>
              <w:right w:val="nil"/>
            </w:tcBorders>
            <w:shd w:val="clear" w:color="000000" w:fill="FFFFFF"/>
            <w:noWrap/>
            <w:vAlign w:val="center"/>
            <w:hideMark/>
          </w:tcPr>
          <w:p w14:paraId="744CF6C0" w14:textId="292E2257" w:rsidR="00F67EAD" w:rsidRPr="00AD1570" w:rsidRDefault="006E38B8"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12,667</w:t>
            </w:r>
          </w:p>
        </w:tc>
        <w:tc>
          <w:tcPr>
            <w:tcW w:w="0" w:type="auto"/>
            <w:tcBorders>
              <w:top w:val="nil"/>
              <w:left w:val="nil"/>
              <w:bottom w:val="single" w:sz="8" w:space="0" w:color="auto"/>
              <w:right w:val="nil"/>
            </w:tcBorders>
            <w:shd w:val="clear" w:color="000000" w:fill="FFFFFF"/>
            <w:noWrap/>
            <w:vAlign w:val="center"/>
            <w:hideMark/>
          </w:tcPr>
          <w:p w14:paraId="47A30AED" w14:textId="69E826BD" w:rsidR="00F67EAD" w:rsidRPr="00AD1570" w:rsidRDefault="006E38B8" w:rsidP="00AD1570">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w:t>
            </w:r>
            <w:r w:rsidR="00F67EAD">
              <w:rPr>
                <w:rFonts w:ascii="Times New Roman" w:eastAsia="Times New Roman" w:hAnsi="Times New Roman" w:cs="Times New Roman"/>
                <w:color w:val="000000"/>
                <w:sz w:val="20"/>
                <w:szCs w:val="20"/>
                <w:lang w:eastAsia="en-GB"/>
              </w:rPr>
              <w:t>,9</w:t>
            </w:r>
            <w:r>
              <w:rPr>
                <w:rFonts w:ascii="Times New Roman" w:eastAsia="Times New Roman" w:hAnsi="Times New Roman" w:cs="Times New Roman"/>
                <w:color w:val="000000"/>
                <w:sz w:val="20"/>
                <w:szCs w:val="20"/>
                <w:lang w:eastAsia="en-GB"/>
              </w:rPr>
              <w:t>68</w:t>
            </w:r>
          </w:p>
        </w:tc>
        <w:tc>
          <w:tcPr>
            <w:tcW w:w="0" w:type="auto"/>
            <w:tcBorders>
              <w:top w:val="nil"/>
              <w:left w:val="nil"/>
              <w:bottom w:val="single" w:sz="8" w:space="0" w:color="auto"/>
              <w:right w:val="nil"/>
            </w:tcBorders>
            <w:shd w:val="clear" w:color="000000" w:fill="FFFFFF"/>
            <w:noWrap/>
            <w:vAlign w:val="center"/>
            <w:hideMark/>
          </w:tcPr>
          <w:p w14:paraId="54E70495"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single" w:sz="8" w:space="0" w:color="auto"/>
              <w:right w:val="nil"/>
            </w:tcBorders>
            <w:shd w:val="clear" w:color="000000" w:fill="FFFFFF"/>
            <w:noWrap/>
            <w:vAlign w:val="center"/>
            <w:hideMark/>
          </w:tcPr>
          <w:p w14:paraId="3DA7A3D7"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9,601</w:t>
            </w:r>
          </w:p>
        </w:tc>
        <w:tc>
          <w:tcPr>
            <w:tcW w:w="0" w:type="auto"/>
            <w:tcBorders>
              <w:top w:val="nil"/>
              <w:left w:val="nil"/>
              <w:bottom w:val="single" w:sz="8" w:space="0" w:color="auto"/>
              <w:right w:val="nil"/>
            </w:tcBorders>
            <w:shd w:val="clear" w:color="000000" w:fill="FFFFFF"/>
            <w:noWrap/>
            <w:vAlign w:val="center"/>
            <w:hideMark/>
          </w:tcPr>
          <w:p w14:paraId="63455588" w14:textId="77777777" w:rsidR="00F67EAD" w:rsidRPr="00AD1570" w:rsidRDefault="00F67EAD" w:rsidP="00AD1570">
            <w:pPr>
              <w:spacing w:after="0" w:line="240" w:lineRule="auto"/>
              <w:jc w:val="right"/>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9,269</w:t>
            </w:r>
          </w:p>
        </w:tc>
        <w:tc>
          <w:tcPr>
            <w:tcW w:w="0" w:type="auto"/>
            <w:tcBorders>
              <w:top w:val="nil"/>
              <w:left w:val="nil"/>
              <w:bottom w:val="single" w:sz="8" w:space="0" w:color="auto"/>
              <w:right w:val="nil"/>
            </w:tcBorders>
            <w:shd w:val="clear" w:color="000000" w:fill="FFFFFF"/>
            <w:noWrap/>
            <w:vAlign w:val="center"/>
            <w:hideMark/>
          </w:tcPr>
          <w:p w14:paraId="75EF27DB"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r w:rsidRPr="00AD1570">
              <w:rPr>
                <w:rFonts w:ascii="Times New Roman" w:eastAsia="Times New Roman" w:hAnsi="Times New Roman" w:cs="Times New Roman"/>
                <w:color w:val="000000"/>
                <w:sz w:val="20"/>
                <w:szCs w:val="20"/>
                <w:lang w:eastAsia="en-GB"/>
              </w:rPr>
              <w:t> </w:t>
            </w:r>
          </w:p>
        </w:tc>
        <w:tc>
          <w:tcPr>
            <w:tcW w:w="0" w:type="auto"/>
            <w:tcBorders>
              <w:top w:val="nil"/>
              <w:left w:val="nil"/>
              <w:bottom w:val="single" w:sz="8" w:space="0" w:color="auto"/>
              <w:right w:val="nil"/>
            </w:tcBorders>
            <w:shd w:val="clear" w:color="000000" w:fill="FFFFFF"/>
          </w:tcPr>
          <w:p w14:paraId="583C5A28" w14:textId="68628FB4"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p>
        </w:tc>
        <w:tc>
          <w:tcPr>
            <w:tcW w:w="0" w:type="auto"/>
            <w:tcBorders>
              <w:top w:val="nil"/>
              <w:left w:val="nil"/>
              <w:bottom w:val="single" w:sz="8" w:space="0" w:color="auto"/>
              <w:right w:val="nil"/>
            </w:tcBorders>
            <w:shd w:val="clear" w:color="000000" w:fill="FFFFFF"/>
          </w:tcPr>
          <w:p w14:paraId="2BA1F4F8" w14:textId="77777777" w:rsidR="00F67EAD" w:rsidRPr="00AD1570" w:rsidRDefault="00F67EAD" w:rsidP="00AD1570">
            <w:pPr>
              <w:spacing w:after="0" w:line="240" w:lineRule="auto"/>
              <w:rPr>
                <w:rFonts w:ascii="Times New Roman" w:eastAsia="Times New Roman" w:hAnsi="Times New Roman" w:cs="Times New Roman"/>
                <w:color w:val="000000"/>
                <w:sz w:val="20"/>
                <w:szCs w:val="20"/>
                <w:lang w:eastAsia="en-GB"/>
              </w:rPr>
            </w:pPr>
          </w:p>
        </w:tc>
      </w:tr>
    </w:tbl>
    <w:p w14:paraId="0B2A9700" w14:textId="434EC53F" w:rsidR="008A46FE" w:rsidRPr="002759E1" w:rsidRDefault="008A46FE" w:rsidP="002759E1">
      <w:pPr>
        <w:spacing w:after="0" w:line="240" w:lineRule="auto"/>
        <w:rPr>
          <w:rFonts w:cs="Times New Roman"/>
          <w:vertAlign w:val="superscript"/>
        </w:rPr>
      </w:pPr>
      <w:proofErr w:type="spellStart"/>
      <w:r w:rsidRPr="002759E1">
        <w:rPr>
          <w:rFonts w:cs="Times New Roman"/>
          <w:vertAlign w:val="superscript"/>
        </w:rPr>
        <w:t>a</w:t>
      </w:r>
      <w:proofErr w:type="spellEnd"/>
      <w:r w:rsidR="00E2080E">
        <w:rPr>
          <w:rFonts w:cs="Times New Roman"/>
          <w:vertAlign w:val="superscript"/>
        </w:rPr>
        <w:t xml:space="preserve"> </w:t>
      </w:r>
      <w:r>
        <w:rPr>
          <w:rFonts w:cs="Times New Roman"/>
        </w:rPr>
        <w:t xml:space="preserve">The percentages reported for </w:t>
      </w:r>
      <w:r w:rsidR="003575E5">
        <w:rPr>
          <w:rFonts w:cs="Times New Roman"/>
        </w:rPr>
        <w:t>complete cases</w:t>
      </w:r>
      <w:r>
        <w:rPr>
          <w:rFonts w:cs="Times New Roman"/>
        </w:rPr>
        <w:t xml:space="preserve"> used a denominator </w:t>
      </w:r>
      <w:r w:rsidR="00FC4C33">
        <w:rPr>
          <w:rFonts w:cs="Times New Roman"/>
        </w:rPr>
        <w:t>29,018</w:t>
      </w:r>
      <w:r>
        <w:rPr>
          <w:rFonts w:cs="Times New Roman"/>
        </w:rPr>
        <w:t xml:space="preserve"> for 2002/4 and </w:t>
      </w:r>
      <w:r w:rsidR="00FC4C33">
        <w:rPr>
          <w:rFonts w:cs="Times New Roman"/>
        </w:rPr>
        <w:t>23,992</w:t>
      </w:r>
      <w:r>
        <w:rPr>
          <w:rFonts w:cs="Times New Roman"/>
        </w:rPr>
        <w:t xml:space="preserve"> for 2012/4 which are the </w:t>
      </w:r>
      <w:r w:rsidRPr="008A46FE">
        <w:rPr>
          <w:rFonts w:cs="Times New Roman"/>
        </w:rPr>
        <w:t>maximum potential number</w:t>
      </w:r>
      <w:r>
        <w:rPr>
          <w:rFonts w:cs="Times New Roman"/>
        </w:rPr>
        <w:t xml:space="preserve"> of observations for each of the segments of the distribution considered in Table 2.</w:t>
      </w:r>
    </w:p>
    <w:p w14:paraId="190041B3" w14:textId="36558DB8" w:rsidR="00B2508B" w:rsidRDefault="008A46FE" w:rsidP="002759E1">
      <w:pPr>
        <w:spacing w:after="0" w:line="480" w:lineRule="auto"/>
        <w:rPr>
          <w:rFonts w:cs="Times New Roman"/>
        </w:rPr>
        <w:sectPr w:rsidR="00B2508B" w:rsidSect="007C39F0">
          <w:pgSz w:w="16838" w:h="11906" w:orient="landscape"/>
          <w:pgMar w:top="1418" w:right="1418" w:bottom="1418" w:left="1418" w:header="708" w:footer="708" w:gutter="0"/>
          <w:cols w:space="708"/>
          <w:docGrid w:linePitch="360"/>
        </w:sectPr>
      </w:pPr>
      <w:r>
        <w:rPr>
          <w:rFonts w:cs="Times New Roman"/>
        </w:rPr>
        <w:t xml:space="preserve"> </w:t>
      </w:r>
    </w:p>
    <w:p w14:paraId="7E7BC27F" w14:textId="566E77A2" w:rsidR="00574849" w:rsidRDefault="00574849" w:rsidP="002759E1">
      <w:pPr>
        <w:spacing w:after="0" w:line="480" w:lineRule="auto"/>
        <w:rPr>
          <w:rFonts w:cs="Times New Roman"/>
          <w:sz w:val="24"/>
          <w:szCs w:val="24"/>
        </w:rPr>
      </w:pPr>
      <w:r w:rsidRPr="007C39F0">
        <w:rPr>
          <w:rFonts w:cs="Times New Roman"/>
          <w:b/>
          <w:sz w:val="24"/>
          <w:szCs w:val="24"/>
        </w:rPr>
        <w:lastRenderedPageBreak/>
        <w:t>Table 3.</w:t>
      </w:r>
      <w:r w:rsidRPr="007C39F0">
        <w:rPr>
          <w:rFonts w:cs="Times New Roman"/>
          <w:sz w:val="24"/>
          <w:szCs w:val="24"/>
        </w:rPr>
        <w:t xml:space="preserve"> Unconditional Quantile Regressions exploring Body Mass Index</w:t>
      </w:r>
      <w:r w:rsidR="007C39F0">
        <w:rPr>
          <w:rFonts w:cs="Times New Roman"/>
          <w:sz w:val="24"/>
          <w:szCs w:val="24"/>
        </w:rPr>
        <w:t>,</w:t>
      </w:r>
      <w:r w:rsidRPr="007C39F0">
        <w:rPr>
          <w:rFonts w:cs="Times New Roman"/>
          <w:sz w:val="24"/>
          <w:szCs w:val="24"/>
        </w:rPr>
        <w:t xml:space="preserve"> 2002-4 and 2012-4.</w:t>
      </w:r>
    </w:p>
    <w:tbl>
      <w:tblPr>
        <w:tblW w:w="0" w:type="auto"/>
        <w:tblInd w:w="-118" w:type="dxa"/>
        <w:tblBorders>
          <w:top w:val="nil"/>
          <w:left w:val="nil"/>
          <w:right w:val="nil"/>
        </w:tblBorders>
        <w:tblLayout w:type="fixed"/>
        <w:tblLook w:val="0000" w:firstRow="0" w:lastRow="0" w:firstColumn="0" w:lastColumn="0" w:noHBand="0" w:noVBand="0"/>
      </w:tblPr>
      <w:tblGrid>
        <w:gridCol w:w="1752"/>
        <w:gridCol w:w="1267"/>
        <w:gridCol w:w="1267"/>
        <w:gridCol w:w="1269"/>
        <w:gridCol w:w="1267"/>
        <w:gridCol w:w="1267"/>
        <w:gridCol w:w="1079"/>
      </w:tblGrid>
      <w:tr w:rsidR="00FF3496" w:rsidRPr="00AC3DA5" w14:paraId="18E1061E" w14:textId="77777777" w:rsidTr="002759E1">
        <w:trPr>
          <w:trHeight w:hRule="exact" w:val="284"/>
        </w:trPr>
        <w:tc>
          <w:tcPr>
            <w:tcW w:w="1752"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0484C6A6" w14:textId="479E740D" w:rsidR="00FF3496" w:rsidRPr="002759E1" w:rsidRDefault="00FF3496" w:rsidP="00AC3DA5">
            <w:pPr>
              <w:autoSpaceDE w:val="0"/>
              <w:autoSpaceDN w:val="0"/>
              <w:adjustRightInd w:val="0"/>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Period</w:t>
            </w:r>
          </w:p>
        </w:tc>
        <w:tc>
          <w:tcPr>
            <w:tcW w:w="3803" w:type="dxa"/>
            <w:gridSpan w:val="3"/>
            <w:tcBorders>
              <w:top w:val="single" w:sz="4" w:space="0" w:color="000000"/>
              <w:left w:val="single" w:sz="8" w:space="0" w:color="BFBFBF"/>
              <w:bottom w:val="single" w:sz="4" w:space="0" w:color="000000"/>
              <w:right w:val="single" w:sz="8" w:space="0" w:color="BFBFBF"/>
            </w:tcBorders>
            <w:tcMar>
              <w:top w:w="100" w:type="nil"/>
              <w:right w:w="100" w:type="nil"/>
            </w:tcMar>
          </w:tcPr>
          <w:p w14:paraId="0F8CC291" w14:textId="3BD9E99D" w:rsidR="00FF3496" w:rsidRPr="002759E1" w:rsidRDefault="00FF3496" w:rsidP="00AC3DA5">
            <w:pPr>
              <w:autoSpaceDE w:val="0"/>
              <w:autoSpaceDN w:val="0"/>
              <w:adjustRightInd w:val="0"/>
              <w:jc w:val="center"/>
              <w:rPr>
                <w:rFonts w:ascii="Times New Roman" w:hAnsi="Times New Roman" w:cs="Times New Roman"/>
                <w:sz w:val="20"/>
                <w:szCs w:val="20"/>
              </w:rPr>
            </w:pPr>
            <w:r w:rsidRPr="0045220E">
              <w:rPr>
                <w:rFonts w:ascii="Times New Roman" w:eastAsia="Times New Roman" w:hAnsi="Times New Roman" w:cs="Times New Roman"/>
                <w:color w:val="000000"/>
                <w:sz w:val="20"/>
                <w:szCs w:val="20"/>
                <w:lang w:eastAsia="en-GB"/>
              </w:rPr>
              <w:t>2002-4</w:t>
            </w:r>
          </w:p>
        </w:tc>
        <w:tc>
          <w:tcPr>
            <w:tcW w:w="3613" w:type="dxa"/>
            <w:gridSpan w:val="3"/>
            <w:tcBorders>
              <w:top w:val="single" w:sz="4" w:space="0" w:color="000000"/>
              <w:left w:val="single" w:sz="8" w:space="0" w:color="BFBFBF"/>
              <w:bottom w:val="single" w:sz="4" w:space="0" w:color="000000"/>
              <w:right w:val="single" w:sz="8" w:space="0" w:color="BFBFBF"/>
            </w:tcBorders>
            <w:tcMar>
              <w:top w:w="100" w:type="nil"/>
              <w:right w:w="100" w:type="nil"/>
            </w:tcMar>
          </w:tcPr>
          <w:p w14:paraId="6187269B" w14:textId="3E57CC67" w:rsidR="00FF3496" w:rsidRPr="002759E1" w:rsidRDefault="00FF3496" w:rsidP="00AC3DA5">
            <w:pPr>
              <w:autoSpaceDE w:val="0"/>
              <w:autoSpaceDN w:val="0"/>
              <w:adjustRightInd w:val="0"/>
              <w:jc w:val="center"/>
              <w:rPr>
                <w:rFonts w:ascii="Times New Roman" w:hAnsi="Times New Roman" w:cs="Times New Roman"/>
                <w:sz w:val="20"/>
                <w:szCs w:val="20"/>
              </w:rPr>
            </w:pPr>
            <w:r w:rsidRPr="0045220E">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12</w:t>
            </w:r>
            <w:r w:rsidRPr="0045220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4</w:t>
            </w:r>
          </w:p>
        </w:tc>
      </w:tr>
      <w:tr w:rsidR="00A907DE" w:rsidRPr="00AC3DA5" w14:paraId="39ADED48" w14:textId="77777777" w:rsidTr="002759E1">
        <w:tblPrEx>
          <w:tblBorders>
            <w:top w:val="none" w:sz="0" w:space="0" w:color="auto"/>
          </w:tblBorders>
        </w:tblPrEx>
        <w:trPr>
          <w:trHeight w:hRule="exact" w:val="284"/>
        </w:trPr>
        <w:tc>
          <w:tcPr>
            <w:tcW w:w="1752"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0BB45F67" w14:textId="022F8E5B" w:rsidR="00AC3DA5" w:rsidRPr="002759E1" w:rsidRDefault="00AC3DA5" w:rsidP="00AC3DA5">
            <w:pPr>
              <w:autoSpaceDE w:val="0"/>
              <w:autoSpaceDN w:val="0"/>
              <w:adjustRightInd w:val="0"/>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Centile</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21BCB63B" w14:textId="1FE2A99F" w:rsidR="00AC3DA5" w:rsidRPr="002759E1" w:rsidRDefault="00AC3DA5" w:rsidP="00AC3DA5">
            <w:pPr>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10</w:t>
            </w:r>
            <w:r w:rsidRPr="00E43EE2">
              <w:rPr>
                <w:rFonts w:ascii="Times New Roman" w:eastAsia="Times New Roman" w:hAnsi="Times New Roman" w:cs="Times New Roman"/>
                <w:color w:val="000000"/>
                <w:sz w:val="20"/>
                <w:szCs w:val="20"/>
                <w:vertAlign w:val="superscript"/>
                <w:lang w:eastAsia="en-GB"/>
              </w:rPr>
              <w:t>th</w:t>
            </w:r>
            <w:r>
              <w:rPr>
                <w:rFonts w:ascii="Times New Roman" w:eastAsia="Times New Roman" w:hAnsi="Times New Roman" w:cs="Times New Roman"/>
                <w:color w:val="000000"/>
                <w:sz w:val="20"/>
                <w:szCs w:val="20"/>
                <w:lang w:eastAsia="en-GB"/>
              </w:rPr>
              <w:t xml:space="preserve"> </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5FA7B7AB" w14:textId="5C205AD0" w:rsidR="00AC3DA5" w:rsidRPr="002759E1" w:rsidRDefault="00AC3DA5" w:rsidP="00AC3DA5">
            <w:pPr>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50</w:t>
            </w:r>
            <w:r w:rsidRPr="00E43EE2">
              <w:rPr>
                <w:rFonts w:ascii="Times New Roman" w:eastAsia="Times New Roman" w:hAnsi="Times New Roman" w:cs="Times New Roman"/>
                <w:color w:val="000000"/>
                <w:sz w:val="20"/>
                <w:szCs w:val="20"/>
                <w:vertAlign w:val="superscript"/>
                <w:lang w:eastAsia="en-GB"/>
              </w:rPr>
              <w:t>th</w:t>
            </w:r>
            <w:r>
              <w:rPr>
                <w:rFonts w:ascii="Times New Roman" w:eastAsia="Times New Roman" w:hAnsi="Times New Roman" w:cs="Times New Roman"/>
                <w:color w:val="000000"/>
                <w:sz w:val="20"/>
                <w:szCs w:val="20"/>
                <w:lang w:eastAsia="en-GB"/>
              </w:rPr>
              <w:t xml:space="preserve"> </w:t>
            </w:r>
          </w:p>
        </w:tc>
        <w:tc>
          <w:tcPr>
            <w:tcW w:w="1269"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403E0AD7" w14:textId="3854D27D" w:rsidR="00AC3DA5" w:rsidRPr="002759E1" w:rsidRDefault="00AC3DA5" w:rsidP="00AC3DA5">
            <w:pPr>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90</w:t>
            </w:r>
            <w:r w:rsidRPr="002759E1">
              <w:rPr>
                <w:rFonts w:ascii="Times New Roman" w:eastAsia="Times New Roman" w:hAnsi="Times New Roman" w:cs="Times New Roman"/>
                <w:color w:val="000000"/>
                <w:sz w:val="20"/>
                <w:szCs w:val="20"/>
                <w:vertAlign w:val="superscript"/>
                <w:lang w:eastAsia="en-GB"/>
              </w:rPr>
              <w:t>th</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2732AD47" w14:textId="7440B639" w:rsidR="00AC3DA5" w:rsidRPr="002759E1" w:rsidRDefault="00AC3DA5" w:rsidP="00AC3DA5">
            <w:pPr>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10</w:t>
            </w:r>
            <w:r w:rsidRPr="00E43EE2">
              <w:rPr>
                <w:rFonts w:ascii="Times New Roman" w:eastAsia="Times New Roman" w:hAnsi="Times New Roman" w:cs="Times New Roman"/>
                <w:color w:val="000000"/>
                <w:sz w:val="20"/>
                <w:szCs w:val="20"/>
                <w:vertAlign w:val="superscript"/>
                <w:lang w:eastAsia="en-GB"/>
              </w:rPr>
              <w:t>th</w:t>
            </w:r>
            <w:r>
              <w:rPr>
                <w:rFonts w:ascii="Times New Roman" w:eastAsia="Times New Roman" w:hAnsi="Times New Roman" w:cs="Times New Roman"/>
                <w:color w:val="000000"/>
                <w:sz w:val="20"/>
                <w:szCs w:val="20"/>
                <w:lang w:eastAsia="en-GB"/>
              </w:rPr>
              <w:t xml:space="preserve"> </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5E2E4818" w14:textId="78560ADF" w:rsidR="00AC3DA5" w:rsidRPr="002759E1" w:rsidRDefault="00AC3DA5" w:rsidP="00AC3DA5">
            <w:pPr>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50</w:t>
            </w:r>
            <w:r w:rsidRPr="00E43EE2">
              <w:rPr>
                <w:rFonts w:ascii="Times New Roman" w:eastAsia="Times New Roman" w:hAnsi="Times New Roman" w:cs="Times New Roman"/>
                <w:color w:val="000000"/>
                <w:sz w:val="20"/>
                <w:szCs w:val="20"/>
                <w:vertAlign w:val="superscript"/>
                <w:lang w:eastAsia="en-GB"/>
              </w:rPr>
              <w:t>th</w:t>
            </w:r>
            <w:r>
              <w:rPr>
                <w:rFonts w:ascii="Times New Roman" w:eastAsia="Times New Roman" w:hAnsi="Times New Roman" w:cs="Times New Roman"/>
                <w:color w:val="000000"/>
                <w:sz w:val="20"/>
                <w:szCs w:val="20"/>
                <w:lang w:eastAsia="en-GB"/>
              </w:rPr>
              <w:t xml:space="preserve"> </w:t>
            </w:r>
          </w:p>
        </w:tc>
        <w:tc>
          <w:tcPr>
            <w:tcW w:w="1079"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3090AF9D" w14:textId="4D685574" w:rsidR="00AC3DA5" w:rsidRPr="002759E1" w:rsidRDefault="00AC3DA5" w:rsidP="00AC3DA5">
            <w:pPr>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90</w:t>
            </w:r>
            <w:r w:rsidRPr="00E43EE2">
              <w:rPr>
                <w:rFonts w:ascii="Times New Roman" w:eastAsia="Times New Roman" w:hAnsi="Times New Roman" w:cs="Times New Roman"/>
                <w:color w:val="000000"/>
                <w:sz w:val="20"/>
                <w:szCs w:val="20"/>
                <w:vertAlign w:val="superscript"/>
                <w:lang w:eastAsia="en-GB"/>
              </w:rPr>
              <w:t>th</w:t>
            </w:r>
          </w:p>
        </w:tc>
      </w:tr>
      <w:tr w:rsidR="00416277" w:rsidRPr="00AC3DA5" w14:paraId="03272618" w14:textId="77777777" w:rsidTr="00416277">
        <w:tblPrEx>
          <w:tblBorders>
            <w:top w:val="none" w:sz="0" w:space="0" w:color="auto"/>
          </w:tblBorders>
        </w:tblPrEx>
        <w:trPr>
          <w:trHeight w:hRule="exact" w:val="284"/>
        </w:trPr>
        <w:tc>
          <w:tcPr>
            <w:tcW w:w="1752" w:type="dxa"/>
            <w:tcBorders>
              <w:top w:val="single" w:sz="4" w:space="0" w:color="000000"/>
              <w:left w:val="single" w:sz="8" w:space="0" w:color="BFBFBF"/>
              <w:bottom w:val="single" w:sz="8" w:space="0" w:color="BFBFBF"/>
              <w:right w:val="single" w:sz="8" w:space="0" w:color="BFBFBF"/>
            </w:tcBorders>
            <w:tcMar>
              <w:top w:w="100" w:type="nil"/>
              <w:right w:w="100" w:type="nil"/>
            </w:tcMar>
          </w:tcPr>
          <w:p w14:paraId="6074B56D" w14:textId="0BE73DE5" w:rsidR="00AC3DA5" w:rsidRPr="002759E1" w:rsidRDefault="00416277">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Sex</w:t>
            </w:r>
          </w:p>
        </w:tc>
        <w:tc>
          <w:tcPr>
            <w:tcW w:w="1267" w:type="dxa"/>
            <w:tcBorders>
              <w:top w:val="single" w:sz="4" w:space="0" w:color="000000"/>
              <w:left w:val="single" w:sz="8" w:space="0" w:color="BFBFBF"/>
              <w:bottom w:val="single" w:sz="8" w:space="0" w:color="BFBFBF"/>
              <w:right w:val="single" w:sz="8" w:space="0" w:color="BFBFBF"/>
            </w:tcBorders>
            <w:tcMar>
              <w:top w:w="100" w:type="nil"/>
              <w:right w:w="100" w:type="nil"/>
            </w:tcMar>
          </w:tcPr>
          <w:p w14:paraId="7861015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4" w:space="0" w:color="000000"/>
              <w:left w:val="single" w:sz="8" w:space="0" w:color="BFBFBF"/>
              <w:bottom w:val="single" w:sz="8" w:space="0" w:color="BFBFBF"/>
              <w:right w:val="single" w:sz="8" w:space="0" w:color="BFBFBF"/>
            </w:tcBorders>
            <w:tcMar>
              <w:top w:w="100" w:type="nil"/>
              <w:right w:w="100" w:type="nil"/>
            </w:tcMar>
          </w:tcPr>
          <w:p w14:paraId="3C7E6D2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9" w:type="dxa"/>
            <w:tcBorders>
              <w:top w:val="single" w:sz="4" w:space="0" w:color="000000"/>
              <w:left w:val="single" w:sz="8" w:space="0" w:color="BFBFBF"/>
              <w:bottom w:val="single" w:sz="8" w:space="0" w:color="BFBFBF"/>
              <w:right w:val="single" w:sz="8" w:space="0" w:color="BFBFBF"/>
            </w:tcBorders>
            <w:tcMar>
              <w:top w:w="100" w:type="nil"/>
              <w:right w:w="100" w:type="nil"/>
            </w:tcMar>
          </w:tcPr>
          <w:p w14:paraId="592D801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4" w:space="0" w:color="000000"/>
              <w:left w:val="single" w:sz="8" w:space="0" w:color="BFBFBF"/>
              <w:bottom w:val="single" w:sz="8" w:space="0" w:color="BFBFBF"/>
              <w:right w:val="single" w:sz="8" w:space="0" w:color="BFBFBF"/>
            </w:tcBorders>
            <w:tcMar>
              <w:top w:w="100" w:type="nil"/>
              <w:right w:w="100" w:type="nil"/>
            </w:tcMar>
          </w:tcPr>
          <w:p w14:paraId="41983B9D"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4" w:space="0" w:color="000000"/>
              <w:left w:val="single" w:sz="8" w:space="0" w:color="BFBFBF"/>
              <w:bottom w:val="single" w:sz="8" w:space="0" w:color="BFBFBF"/>
              <w:right w:val="single" w:sz="8" w:space="0" w:color="BFBFBF"/>
            </w:tcBorders>
            <w:tcMar>
              <w:top w:w="100" w:type="nil"/>
              <w:right w:w="100" w:type="nil"/>
            </w:tcMar>
          </w:tcPr>
          <w:p w14:paraId="0833CB8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079" w:type="dxa"/>
            <w:tcBorders>
              <w:top w:val="single" w:sz="4" w:space="0" w:color="000000"/>
              <w:left w:val="single" w:sz="8" w:space="0" w:color="BFBFBF"/>
              <w:bottom w:val="single" w:sz="8" w:space="0" w:color="BFBFBF"/>
              <w:right w:val="single" w:sz="8" w:space="0" w:color="BFBFBF"/>
            </w:tcBorders>
            <w:tcMar>
              <w:top w:w="100" w:type="nil"/>
              <w:right w:w="100" w:type="nil"/>
            </w:tcMar>
          </w:tcPr>
          <w:p w14:paraId="4613DD8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r>
      <w:tr w:rsidR="00416277" w:rsidRPr="00AC3DA5" w14:paraId="66353FA1"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ED1F38"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Male</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D3592D"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0.889</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10D5C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1.046</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E7447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-1.871</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3A29AD"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1.112</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5D9E4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0.626</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8DC7C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-2.460</w:t>
            </w:r>
            <w:r w:rsidRPr="002759E1">
              <w:rPr>
                <w:rFonts w:ascii="Times New Roman" w:hAnsi="Times New Roman" w:cs="Times New Roman"/>
                <w:sz w:val="20"/>
                <w:szCs w:val="20"/>
                <w:vertAlign w:val="superscript"/>
              </w:rPr>
              <w:t>***</w:t>
            </w:r>
          </w:p>
        </w:tc>
      </w:tr>
      <w:tr w:rsidR="00416277" w:rsidRPr="00AC3DA5" w14:paraId="4CBEE3C5"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D701E5"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70721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(0.121)</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D5327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(0.131)</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FE113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(0.365)</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E6585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(0.089)</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D8161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(0.092)</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D530D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(0.240)</w:t>
            </w:r>
          </w:p>
        </w:tc>
      </w:tr>
      <w:tr w:rsidR="00416277" w:rsidRPr="00AC3DA5" w14:paraId="5D36BE67"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34E398"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i/>
                <w:iCs/>
                <w:sz w:val="20"/>
                <w:szCs w:val="20"/>
              </w:rPr>
              <w:t>Age</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0C0EB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9C794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E5CF5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4F428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B8D2D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7C939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r>
      <w:tr w:rsidR="00416277" w:rsidRPr="00AC3DA5" w14:paraId="0DF41A98"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335840"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Age 40-59</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CD592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1.298</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E1249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1.477</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44F03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0.361</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C085D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1.517</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DC29E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1.553</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3F783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0.192</w:t>
            </w:r>
          </w:p>
        </w:tc>
      </w:tr>
      <w:tr w:rsidR="00416277" w:rsidRPr="00AC3DA5" w14:paraId="7BC2AD66"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AD04AB"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9910F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(0.154)</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2C2BA5"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(0.163)</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932BF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(0.437)</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0A601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(0.118)</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156FDB"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(0.116)</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70F70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(0.295)</w:t>
            </w:r>
          </w:p>
        </w:tc>
      </w:tr>
      <w:tr w:rsidR="00416277" w:rsidRPr="00AC3DA5" w14:paraId="498FD8F3"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830FAC"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Age 60+</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FD2FC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1.388</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1F77C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1.440</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420E5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0.266</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2DEB2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1.648</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A37AE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1.588</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ADF4A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-0.519</w:t>
            </w:r>
          </w:p>
        </w:tc>
      </w:tr>
      <w:tr w:rsidR="00416277" w:rsidRPr="00AC3DA5" w14:paraId="5FE547B4"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82CF26"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51BBB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(0.162)</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9B76A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(0.184)</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23EBC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(0.505)</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1884C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(0.124)</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AAF0E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(0.125)</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E8BE9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(0.321)</w:t>
            </w:r>
          </w:p>
        </w:tc>
      </w:tr>
      <w:tr w:rsidR="00416277" w:rsidRPr="00AC3DA5" w14:paraId="680F25AD"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FCA6D8" w14:textId="45930791" w:rsidR="00AC3DA5" w:rsidRPr="002759E1" w:rsidRDefault="00416277">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Race</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99A03B"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A4E9B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A6520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A5431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0A8DF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F4E55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r>
      <w:tr w:rsidR="00416277" w:rsidRPr="00AC3DA5" w14:paraId="65DF459E"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254D58"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White</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14E73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0.293</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F7C07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0.353</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9F5CA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0.204</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B1B70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0.292</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C74AE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0.665</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91651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0.966</w:t>
            </w:r>
            <w:r w:rsidRPr="002759E1">
              <w:rPr>
                <w:rFonts w:ascii="Times New Roman" w:hAnsi="Times New Roman" w:cs="Times New Roman"/>
                <w:sz w:val="20"/>
                <w:szCs w:val="20"/>
                <w:vertAlign w:val="superscript"/>
              </w:rPr>
              <w:t>**</w:t>
            </w:r>
          </w:p>
        </w:tc>
      </w:tr>
      <w:tr w:rsidR="00416277" w:rsidRPr="00AC3DA5" w14:paraId="22340B01"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7EB5C2"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0FBAE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(0.320)</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8116B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(0.317)</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504CA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(0.855)</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9A9AE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(0.205)</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34AAB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(0.186)</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8512E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(0.470)</w:t>
            </w:r>
          </w:p>
        </w:tc>
      </w:tr>
      <w:tr w:rsidR="00416277" w:rsidRPr="00AC3DA5" w14:paraId="146C41C8"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96F756" w14:textId="3723E50B"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i/>
                <w:iCs/>
                <w:sz w:val="20"/>
                <w:szCs w:val="20"/>
              </w:rPr>
              <w:t>Physical</w:t>
            </w:r>
            <w:r w:rsidR="00416277">
              <w:rPr>
                <w:rFonts w:ascii="Times New Roman" w:hAnsi="Times New Roman" w:cs="Times New Roman"/>
                <w:i/>
                <w:iCs/>
                <w:sz w:val="20"/>
                <w:szCs w:val="20"/>
              </w:rPr>
              <w:t xml:space="preserve"> activity</w:t>
            </w:r>
            <w:r w:rsidRPr="002759E1">
              <w:rPr>
                <w:rFonts w:ascii="Times New Roman" w:hAnsi="Times New Roman" w:cs="Times New Roman"/>
                <w:i/>
                <w:iCs/>
                <w:sz w:val="20"/>
                <w:szCs w:val="20"/>
              </w:rPr>
              <w:t xml:space="preserve"> </w:t>
            </w:r>
            <w:proofErr w:type="spellStart"/>
            <w:r w:rsidRPr="002759E1">
              <w:rPr>
                <w:rFonts w:ascii="Times New Roman" w:hAnsi="Times New Roman" w:cs="Times New Roman"/>
                <w:i/>
                <w:iCs/>
                <w:sz w:val="20"/>
                <w:szCs w:val="20"/>
              </w:rPr>
              <w:t>activity</w:t>
            </w:r>
            <w:proofErr w:type="spellEnd"/>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9B6D2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B6E23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0FF25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D03E6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F7027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26894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r>
      <w:tr w:rsidR="00416277" w:rsidRPr="00AC3DA5" w14:paraId="06A9494C"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244DDB"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Moderate exercise</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CB86E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-0.365</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0221A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-0.894</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D2F60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-2.548</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35B1C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-0.129</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F1F87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-0.798</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D5805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-2.815</w:t>
            </w:r>
            <w:r w:rsidRPr="002759E1">
              <w:rPr>
                <w:rFonts w:ascii="Times New Roman" w:hAnsi="Times New Roman" w:cs="Times New Roman"/>
                <w:sz w:val="20"/>
                <w:szCs w:val="20"/>
                <w:vertAlign w:val="superscript"/>
              </w:rPr>
              <w:t>***</w:t>
            </w:r>
          </w:p>
        </w:tc>
      </w:tr>
      <w:tr w:rsidR="00416277" w:rsidRPr="00AC3DA5" w14:paraId="347737AE"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6DAB39"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4E6F8B"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(0.141)</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19E61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(0.151)</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9BC0F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(0.391)</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47873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(0.093)</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1A687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(0.094)</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26C59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(0.240)</w:t>
            </w:r>
          </w:p>
        </w:tc>
      </w:tr>
      <w:tr w:rsidR="00416277" w:rsidRPr="00AC3DA5" w14:paraId="614D1210" w14:textId="77777777" w:rsidTr="00B2508B">
        <w:tblPrEx>
          <w:tblBorders>
            <w:top w:val="none" w:sz="0" w:space="0" w:color="auto"/>
          </w:tblBorders>
        </w:tblPrEx>
        <w:trPr>
          <w:trHeight w:hRule="exact" w:val="284"/>
        </w:trPr>
        <w:tc>
          <w:tcPr>
            <w:tcW w:w="3019"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61AAB2C2" w14:textId="36E4FAEA" w:rsidR="00416277" w:rsidRPr="00D351AC" w:rsidRDefault="00416277">
            <w:pPr>
              <w:autoSpaceDE w:val="0"/>
              <w:autoSpaceDN w:val="0"/>
              <w:adjustRightInd w:val="0"/>
              <w:rPr>
                <w:rFonts w:ascii="Times New Roman" w:hAnsi="Times New Roman" w:cs="Times New Roman"/>
                <w:sz w:val="20"/>
                <w:szCs w:val="20"/>
              </w:rPr>
            </w:pPr>
            <w:r w:rsidRPr="002759E1">
              <w:rPr>
                <w:rFonts w:ascii="Times New Roman" w:hAnsi="Times New Roman" w:cs="Times New Roman"/>
                <w:i/>
                <w:iCs/>
                <w:sz w:val="20"/>
                <w:szCs w:val="20"/>
              </w:rPr>
              <w:t>Education</w:t>
            </w:r>
            <w:r>
              <w:rPr>
                <w:rFonts w:ascii="Times New Roman" w:hAnsi="Times New Roman" w:cs="Times New Roman"/>
                <w:i/>
                <w:iCs/>
                <w:sz w:val="20"/>
                <w:szCs w:val="20"/>
              </w:rPr>
              <w:t>al attainment</w:t>
            </w:r>
          </w:p>
          <w:p w14:paraId="7A31F373" w14:textId="595D0C38" w:rsidR="00416277" w:rsidRPr="002759E1" w:rsidRDefault="00416277">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556D19" w14:textId="77777777" w:rsidR="00416277" w:rsidRPr="002759E1" w:rsidRDefault="00416277">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474EB2" w14:textId="77777777" w:rsidR="00416277" w:rsidRPr="002759E1" w:rsidRDefault="00416277">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A2CAC0" w14:textId="77777777" w:rsidR="00416277" w:rsidRPr="002759E1" w:rsidRDefault="00416277">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48D130" w14:textId="77777777" w:rsidR="00416277" w:rsidRPr="002759E1" w:rsidRDefault="00416277">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8DE312" w14:textId="77777777" w:rsidR="00416277" w:rsidRPr="002759E1" w:rsidRDefault="00416277">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r>
      <w:tr w:rsidR="00416277" w:rsidRPr="00AC3DA5" w14:paraId="2D2CACCE"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BAD88F"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Secondary</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12E39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0.035</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B27C3D"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-0.511</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54FC3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-3.056</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5C8B7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0.210</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5F4AF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-0.569</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CCC84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-1.557</w:t>
            </w:r>
            <w:r w:rsidRPr="002759E1">
              <w:rPr>
                <w:rFonts w:ascii="Times New Roman" w:hAnsi="Times New Roman" w:cs="Times New Roman"/>
                <w:sz w:val="20"/>
                <w:szCs w:val="20"/>
                <w:vertAlign w:val="superscript"/>
              </w:rPr>
              <w:t>***</w:t>
            </w:r>
          </w:p>
        </w:tc>
      </w:tr>
      <w:tr w:rsidR="00416277" w:rsidRPr="00AC3DA5" w14:paraId="78848620"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EE2039"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56E5D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(0.150)</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BBB58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(0.182)</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30E3A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(0.522)</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993F3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(0.123)</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1A6BB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(0.138)</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A2D2F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(0.387)</w:t>
            </w:r>
          </w:p>
        </w:tc>
      </w:tr>
      <w:tr w:rsidR="00416277" w:rsidRPr="00AC3DA5" w14:paraId="4441AC41"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1A7A81"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A level</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DA6A8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-0.451</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35715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-0.795</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4A0E9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-2.521</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1DA31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-0.063</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06C86D"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-0.799</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43EF5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-1.808</w:t>
            </w:r>
            <w:r w:rsidRPr="002759E1">
              <w:rPr>
                <w:rFonts w:ascii="Times New Roman" w:hAnsi="Times New Roman" w:cs="Times New Roman"/>
                <w:sz w:val="20"/>
                <w:szCs w:val="20"/>
                <w:vertAlign w:val="superscript"/>
              </w:rPr>
              <w:t>***</w:t>
            </w:r>
          </w:p>
        </w:tc>
      </w:tr>
      <w:tr w:rsidR="00416277" w:rsidRPr="00AC3DA5" w14:paraId="092957DD"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7A16AD"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C4B54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(0.188)</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6A403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(0.209)</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2FB595"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(0.601)</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56095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(0.136)</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B1445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(0.147)</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96BEF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(0.403)</w:t>
            </w:r>
          </w:p>
        </w:tc>
      </w:tr>
      <w:tr w:rsidR="00416277" w:rsidRPr="00AC3DA5" w14:paraId="2FB8397A"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1C6100"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Degree level</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5C1FAD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-0.457</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BFF825"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-1.469</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9F839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-3.686</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8779F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-0.427</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5ED13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-1.431</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8D3F0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-2.605</w:t>
            </w:r>
            <w:r w:rsidRPr="002759E1">
              <w:rPr>
                <w:rFonts w:ascii="Times New Roman" w:hAnsi="Times New Roman" w:cs="Times New Roman"/>
                <w:sz w:val="20"/>
                <w:szCs w:val="20"/>
                <w:vertAlign w:val="superscript"/>
              </w:rPr>
              <w:t>***</w:t>
            </w:r>
          </w:p>
        </w:tc>
      </w:tr>
      <w:tr w:rsidR="00416277" w:rsidRPr="00AC3DA5" w14:paraId="0D8BA989"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81C4E0"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6AB12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(0.214)</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19D3B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(0.242)</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DD05ED"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(0.688)</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39302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(0.158)</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F87CCA"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(0.164)</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D8358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(0.434)</w:t>
            </w:r>
          </w:p>
        </w:tc>
      </w:tr>
      <w:tr w:rsidR="00416277" w:rsidRPr="00AC3DA5" w14:paraId="4904811E"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F3A68A"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i/>
                <w:iCs/>
                <w:sz w:val="20"/>
                <w:szCs w:val="20"/>
              </w:rPr>
              <w:t>Occupation</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48D7B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87A02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17E5D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DA262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F5877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5AEB5F"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 xml:space="preserve"> </w:t>
            </w:r>
          </w:p>
        </w:tc>
      </w:tr>
      <w:tr w:rsidR="00416277" w:rsidRPr="00AC3DA5" w14:paraId="1C7DC986"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DA2687"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Medium</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04DF95"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0.084</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024F77"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-0.088</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AF572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0.086</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AE711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0.093</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3572F8"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-0.318</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88785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-0.818</w:t>
            </w:r>
            <w:r w:rsidRPr="002759E1">
              <w:rPr>
                <w:rFonts w:ascii="Times New Roman" w:hAnsi="Times New Roman" w:cs="Times New Roman"/>
                <w:sz w:val="20"/>
                <w:szCs w:val="20"/>
                <w:vertAlign w:val="superscript"/>
              </w:rPr>
              <w:t>***</w:t>
            </w:r>
          </w:p>
        </w:tc>
      </w:tr>
      <w:tr w:rsidR="00416277" w:rsidRPr="00AC3DA5" w14:paraId="1F2B40AA"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A8CF55"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26A575"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(0.162)</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A6281B"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(0.175)</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5D934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(0.493)</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E74A2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(0.118)</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13B73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(0.119)</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67BF85"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(0.316)</w:t>
            </w:r>
          </w:p>
        </w:tc>
      </w:tr>
      <w:tr w:rsidR="00416277" w:rsidRPr="00AC3DA5" w14:paraId="1DA8488F"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5C6A16"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High</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5EADE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0.441</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423D9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0.020</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411542"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-0.352</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D94B3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0.313</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262B7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-0.121</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5EEC9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-0.577</w:t>
            </w:r>
            <w:r w:rsidRPr="002759E1">
              <w:rPr>
                <w:rFonts w:ascii="Times New Roman" w:hAnsi="Times New Roman" w:cs="Times New Roman"/>
                <w:sz w:val="20"/>
                <w:szCs w:val="20"/>
                <w:vertAlign w:val="superscript"/>
              </w:rPr>
              <w:t>*</w:t>
            </w:r>
          </w:p>
        </w:tc>
      </w:tr>
      <w:tr w:rsidR="00416277" w:rsidRPr="00AC3DA5" w14:paraId="12914183"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F463A6"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9FBF0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(0.165)</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6F723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(0.175)</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7C79B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(0.490)</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558ED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(0.124)</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55742B"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(0.126)</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5679F3"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(0.323)</w:t>
            </w:r>
          </w:p>
        </w:tc>
      </w:tr>
      <w:tr w:rsidR="00416277" w:rsidRPr="00AC3DA5" w14:paraId="49A389A6" w14:textId="77777777" w:rsidTr="00416277">
        <w:tblPrEx>
          <w:tblBorders>
            <w:top w:val="none" w:sz="0" w:space="0" w:color="auto"/>
          </w:tblBorders>
        </w:tblPrEx>
        <w:trPr>
          <w:trHeight w:hRule="exact" w:val="284"/>
        </w:trPr>
        <w:tc>
          <w:tcPr>
            <w:tcW w:w="17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8AF715"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Constant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35DF30"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20.274</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BFDFE6"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26.464</w:t>
            </w:r>
            <w:r w:rsidRPr="002759E1">
              <w:rPr>
                <w:rFonts w:ascii="Times New Roman" w:hAnsi="Times New Roman" w:cs="Times New Roman"/>
                <w:sz w:val="20"/>
                <w:szCs w:val="20"/>
                <w:vertAlign w:val="superscript"/>
              </w:rPr>
              <w:t>***</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FD3B85"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41.797</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E1234C"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19.905</w:t>
            </w:r>
            <w:r w:rsidRPr="002759E1">
              <w:rPr>
                <w:rFonts w:ascii="Times New Roman" w:hAnsi="Times New Roman" w:cs="Times New Roman"/>
                <w:sz w:val="20"/>
                <w:szCs w:val="20"/>
                <w:vertAlign w:val="superscript"/>
              </w:rPr>
              <w:t>***</w:t>
            </w:r>
          </w:p>
        </w:tc>
        <w:tc>
          <w:tcPr>
            <w:tcW w:w="126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140D7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26.692</w:t>
            </w:r>
            <w:r w:rsidRPr="002759E1">
              <w:rPr>
                <w:rFonts w:ascii="Times New Roman" w:hAnsi="Times New Roman" w:cs="Times New Roman"/>
                <w:sz w:val="20"/>
                <w:szCs w:val="20"/>
                <w:vertAlign w:val="superscript"/>
              </w:rPr>
              <w:t>***</w:t>
            </w:r>
          </w:p>
        </w:tc>
        <w:tc>
          <w:tcPr>
            <w:tcW w:w="10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55C64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42.184</w:t>
            </w:r>
            <w:r w:rsidRPr="002759E1">
              <w:rPr>
                <w:rFonts w:ascii="Times New Roman" w:hAnsi="Times New Roman" w:cs="Times New Roman"/>
                <w:sz w:val="20"/>
                <w:szCs w:val="20"/>
                <w:vertAlign w:val="superscript"/>
              </w:rPr>
              <w:t>***</w:t>
            </w:r>
          </w:p>
        </w:tc>
      </w:tr>
      <w:tr w:rsidR="00A907DE" w:rsidRPr="00AC3DA5" w14:paraId="7C21D70D" w14:textId="77777777" w:rsidTr="002759E1">
        <w:tblPrEx>
          <w:tblBorders>
            <w:top w:val="none" w:sz="0" w:space="0" w:color="auto"/>
          </w:tblBorders>
        </w:tblPrEx>
        <w:trPr>
          <w:trHeight w:hRule="exact" w:val="284"/>
        </w:trPr>
        <w:tc>
          <w:tcPr>
            <w:tcW w:w="1752" w:type="dxa"/>
            <w:tcBorders>
              <w:top w:val="single" w:sz="8" w:space="0" w:color="BFBFBF"/>
              <w:left w:val="single" w:sz="8" w:space="0" w:color="BFBFBF"/>
              <w:bottom w:val="single" w:sz="4" w:space="0" w:color="000000"/>
              <w:right w:val="single" w:sz="8" w:space="0" w:color="BFBFBF"/>
            </w:tcBorders>
            <w:tcMar>
              <w:top w:w="100" w:type="nil"/>
              <w:right w:w="100" w:type="nil"/>
            </w:tcMar>
          </w:tcPr>
          <w:p w14:paraId="21E47D93" w14:textId="77777777" w:rsidR="00AC3DA5" w:rsidRPr="002759E1" w:rsidRDefault="00AC3DA5">
            <w:pPr>
              <w:autoSpaceDE w:val="0"/>
              <w:autoSpaceDN w:val="0"/>
              <w:adjustRightInd w:val="0"/>
              <w:rPr>
                <w:rFonts w:ascii="Times New Roman" w:hAnsi="Times New Roman" w:cs="Times New Roman"/>
                <w:sz w:val="20"/>
                <w:szCs w:val="20"/>
              </w:rPr>
            </w:pPr>
          </w:p>
        </w:tc>
        <w:tc>
          <w:tcPr>
            <w:tcW w:w="1267" w:type="dxa"/>
            <w:tcBorders>
              <w:top w:val="single" w:sz="8" w:space="0" w:color="BFBFBF"/>
              <w:left w:val="single" w:sz="8" w:space="0" w:color="BFBFBF"/>
              <w:bottom w:val="single" w:sz="4" w:space="0" w:color="000000"/>
              <w:right w:val="single" w:sz="8" w:space="0" w:color="BFBFBF"/>
            </w:tcBorders>
            <w:tcMar>
              <w:top w:w="100" w:type="nil"/>
              <w:right w:w="100" w:type="nil"/>
            </w:tcMar>
          </w:tcPr>
          <w:p w14:paraId="55B222D4"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(0.362)</w:t>
            </w:r>
          </w:p>
        </w:tc>
        <w:tc>
          <w:tcPr>
            <w:tcW w:w="1267" w:type="dxa"/>
            <w:tcBorders>
              <w:top w:val="single" w:sz="8" w:space="0" w:color="BFBFBF"/>
              <w:left w:val="single" w:sz="8" w:space="0" w:color="BFBFBF"/>
              <w:bottom w:val="single" w:sz="4" w:space="0" w:color="000000"/>
              <w:right w:val="single" w:sz="8" w:space="0" w:color="BFBFBF"/>
            </w:tcBorders>
            <w:tcMar>
              <w:top w:w="100" w:type="nil"/>
              <w:right w:w="100" w:type="nil"/>
            </w:tcMar>
          </w:tcPr>
          <w:p w14:paraId="2DEF023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(0.351)</w:t>
            </w:r>
          </w:p>
        </w:tc>
        <w:tc>
          <w:tcPr>
            <w:tcW w:w="1269" w:type="dxa"/>
            <w:tcBorders>
              <w:top w:val="single" w:sz="8" w:space="0" w:color="BFBFBF"/>
              <w:left w:val="single" w:sz="8" w:space="0" w:color="BFBFBF"/>
              <w:bottom w:val="single" w:sz="4" w:space="0" w:color="000000"/>
              <w:right w:val="single" w:sz="8" w:space="0" w:color="BFBFBF"/>
            </w:tcBorders>
            <w:tcMar>
              <w:top w:w="100" w:type="nil"/>
              <w:right w:w="100" w:type="nil"/>
            </w:tcMar>
          </w:tcPr>
          <w:p w14:paraId="45350B11"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(0.980)</w:t>
            </w:r>
          </w:p>
        </w:tc>
        <w:tc>
          <w:tcPr>
            <w:tcW w:w="1267" w:type="dxa"/>
            <w:tcBorders>
              <w:top w:val="single" w:sz="8" w:space="0" w:color="BFBFBF"/>
              <w:left w:val="single" w:sz="8" w:space="0" w:color="BFBFBF"/>
              <w:bottom w:val="single" w:sz="4" w:space="0" w:color="000000"/>
              <w:right w:val="single" w:sz="8" w:space="0" w:color="BFBFBF"/>
            </w:tcBorders>
            <w:tcMar>
              <w:top w:w="100" w:type="nil"/>
              <w:right w:w="100" w:type="nil"/>
            </w:tcMar>
          </w:tcPr>
          <w:p w14:paraId="1EF6542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(0.235)</w:t>
            </w:r>
          </w:p>
        </w:tc>
        <w:tc>
          <w:tcPr>
            <w:tcW w:w="1267" w:type="dxa"/>
            <w:tcBorders>
              <w:top w:val="single" w:sz="8" w:space="0" w:color="BFBFBF"/>
              <w:left w:val="single" w:sz="8" w:space="0" w:color="BFBFBF"/>
              <w:bottom w:val="single" w:sz="4" w:space="0" w:color="000000"/>
              <w:right w:val="single" w:sz="8" w:space="0" w:color="BFBFBF"/>
            </w:tcBorders>
            <w:tcMar>
              <w:top w:w="100" w:type="nil"/>
              <w:right w:w="100" w:type="nil"/>
            </w:tcMar>
          </w:tcPr>
          <w:p w14:paraId="6B075939"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(0.220)</w:t>
            </w:r>
          </w:p>
        </w:tc>
        <w:tc>
          <w:tcPr>
            <w:tcW w:w="1079" w:type="dxa"/>
            <w:tcBorders>
              <w:top w:val="single" w:sz="8" w:space="0" w:color="BFBFBF"/>
              <w:left w:val="single" w:sz="8" w:space="0" w:color="BFBFBF"/>
              <w:bottom w:val="single" w:sz="4" w:space="0" w:color="000000"/>
              <w:right w:val="single" w:sz="8" w:space="0" w:color="BFBFBF"/>
            </w:tcBorders>
            <w:tcMar>
              <w:top w:w="100" w:type="nil"/>
              <w:right w:w="100" w:type="nil"/>
            </w:tcMar>
          </w:tcPr>
          <w:p w14:paraId="13F6BF9E" w14:textId="77777777"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(0.584)</w:t>
            </w:r>
          </w:p>
        </w:tc>
      </w:tr>
      <w:tr w:rsidR="00A907DE" w:rsidRPr="00AC3DA5" w14:paraId="087B40DB" w14:textId="77777777" w:rsidTr="002759E1">
        <w:trPr>
          <w:trHeight w:hRule="exact" w:val="284"/>
        </w:trPr>
        <w:tc>
          <w:tcPr>
            <w:tcW w:w="1752"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394418F1" w14:textId="77777777" w:rsidR="00AC3DA5" w:rsidRPr="002759E1" w:rsidRDefault="00AC3DA5">
            <w:pPr>
              <w:autoSpaceDE w:val="0"/>
              <w:autoSpaceDN w:val="0"/>
              <w:adjustRightInd w:val="0"/>
              <w:rPr>
                <w:rFonts w:ascii="Times New Roman" w:hAnsi="Times New Roman" w:cs="Times New Roman"/>
                <w:sz w:val="20"/>
                <w:szCs w:val="20"/>
              </w:rPr>
            </w:pPr>
            <w:r w:rsidRPr="002759E1">
              <w:rPr>
                <w:rFonts w:ascii="Times New Roman" w:hAnsi="Times New Roman" w:cs="Times New Roman"/>
                <w:sz w:val="20"/>
                <w:szCs w:val="20"/>
              </w:rPr>
              <w:t>Observations</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047D9BEA" w14:textId="37CBC5C9"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21</w:t>
            </w:r>
            <w:r w:rsidR="00FF3496">
              <w:rPr>
                <w:rFonts w:ascii="Times New Roman" w:hAnsi="Times New Roman" w:cs="Times New Roman"/>
                <w:sz w:val="20"/>
                <w:szCs w:val="20"/>
              </w:rPr>
              <w:t>,</w:t>
            </w:r>
            <w:r w:rsidRPr="002759E1">
              <w:rPr>
                <w:rFonts w:ascii="Times New Roman" w:hAnsi="Times New Roman" w:cs="Times New Roman"/>
                <w:sz w:val="20"/>
                <w:szCs w:val="20"/>
              </w:rPr>
              <w:t>380</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61D3029F" w14:textId="1F6F8EE2"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21</w:t>
            </w:r>
            <w:r w:rsidR="00FF3496">
              <w:rPr>
                <w:rFonts w:ascii="Times New Roman" w:hAnsi="Times New Roman" w:cs="Times New Roman"/>
                <w:sz w:val="20"/>
                <w:szCs w:val="20"/>
              </w:rPr>
              <w:t>,</w:t>
            </w:r>
            <w:r w:rsidRPr="002759E1">
              <w:rPr>
                <w:rFonts w:ascii="Times New Roman" w:hAnsi="Times New Roman" w:cs="Times New Roman"/>
                <w:sz w:val="20"/>
                <w:szCs w:val="20"/>
              </w:rPr>
              <w:t>380</w:t>
            </w:r>
          </w:p>
        </w:tc>
        <w:tc>
          <w:tcPr>
            <w:tcW w:w="1269"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77188AD0" w14:textId="15C925EF"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21</w:t>
            </w:r>
            <w:r w:rsidR="00FF3496">
              <w:rPr>
                <w:rFonts w:ascii="Times New Roman" w:hAnsi="Times New Roman" w:cs="Times New Roman"/>
                <w:sz w:val="20"/>
                <w:szCs w:val="20"/>
              </w:rPr>
              <w:t>,</w:t>
            </w:r>
            <w:r w:rsidRPr="002759E1">
              <w:rPr>
                <w:rFonts w:ascii="Times New Roman" w:hAnsi="Times New Roman" w:cs="Times New Roman"/>
                <w:sz w:val="20"/>
                <w:szCs w:val="20"/>
              </w:rPr>
              <w:t>380</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039253D7" w14:textId="60C0ED48"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20</w:t>
            </w:r>
            <w:r w:rsidR="00FF3496">
              <w:rPr>
                <w:rFonts w:ascii="Times New Roman" w:hAnsi="Times New Roman" w:cs="Times New Roman"/>
                <w:sz w:val="20"/>
                <w:szCs w:val="20"/>
              </w:rPr>
              <w:t>,</w:t>
            </w:r>
            <w:r w:rsidRPr="002759E1">
              <w:rPr>
                <w:rFonts w:ascii="Times New Roman" w:hAnsi="Times New Roman" w:cs="Times New Roman"/>
                <w:sz w:val="20"/>
                <w:szCs w:val="20"/>
              </w:rPr>
              <w:t>484</w:t>
            </w:r>
          </w:p>
        </w:tc>
        <w:tc>
          <w:tcPr>
            <w:tcW w:w="1267"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1FA6FF67" w14:textId="645BCA7B"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20</w:t>
            </w:r>
            <w:r w:rsidR="00FF3496">
              <w:rPr>
                <w:rFonts w:ascii="Times New Roman" w:hAnsi="Times New Roman" w:cs="Times New Roman"/>
                <w:sz w:val="20"/>
                <w:szCs w:val="20"/>
              </w:rPr>
              <w:t>,</w:t>
            </w:r>
            <w:r w:rsidRPr="002759E1">
              <w:rPr>
                <w:rFonts w:ascii="Times New Roman" w:hAnsi="Times New Roman" w:cs="Times New Roman"/>
                <w:sz w:val="20"/>
                <w:szCs w:val="20"/>
              </w:rPr>
              <w:t>484</w:t>
            </w:r>
          </w:p>
        </w:tc>
        <w:tc>
          <w:tcPr>
            <w:tcW w:w="1079" w:type="dxa"/>
            <w:tcBorders>
              <w:top w:val="single" w:sz="4" w:space="0" w:color="000000"/>
              <w:left w:val="single" w:sz="8" w:space="0" w:color="BFBFBF"/>
              <w:bottom w:val="single" w:sz="4" w:space="0" w:color="000000"/>
              <w:right w:val="single" w:sz="8" w:space="0" w:color="BFBFBF"/>
            </w:tcBorders>
            <w:tcMar>
              <w:top w:w="100" w:type="nil"/>
              <w:right w:w="100" w:type="nil"/>
            </w:tcMar>
          </w:tcPr>
          <w:p w14:paraId="64A0D0E8" w14:textId="3073BD08" w:rsidR="00AC3DA5" w:rsidRPr="002759E1" w:rsidRDefault="00AC3DA5">
            <w:pPr>
              <w:autoSpaceDE w:val="0"/>
              <w:autoSpaceDN w:val="0"/>
              <w:adjustRightInd w:val="0"/>
              <w:jc w:val="center"/>
              <w:rPr>
                <w:rFonts w:ascii="Times New Roman" w:hAnsi="Times New Roman" w:cs="Times New Roman"/>
                <w:sz w:val="20"/>
                <w:szCs w:val="20"/>
              </w:rPr>
            </w:pPr>
            <w:r w:rsidRPr="002759E1">
              <w:rPr>
                <w:rFonts w:ascii="Times New Roman" w:hAnsi="Times New Roman" w:cs="Times New Roman"/>
                <w:sz w:val="20"/>
                <w:szCs w:val="20"/>
              </w:rPr>
              <w:t>20</w:t>
            </w:r>
            <w:r w:rsidR="00FF3496">
              <w:rPr>
                <w:rFonts w:ascii="Times New Roman" w:hAnsi="Times New Roman" w:cs="Times New Roman"/>
                <w:sz w:val="20"/>
                <w:szCs w:val="20"/>
              </w:rPr>
              <w:t>,</w:t>
            </w:r>
            <w:r w:rsidRPr="002759E1">
              <w:rPr>
                <w:rFonts w:ascii="Times New Roman" w:hAnsi="Times New Roman" w:cs="Times New Roman"/>
                <w:sz w:val="20"/>
                <w:szCs w:val="20"/>
              </w:rPr>
              <w:t>484</w:t>
            </w:r>
          </w:p>
        </w:tc>
      </w:tr>
      <w:tr w:rsidR="00FF3496" w:rsidRPr="0045220E" w14:paraId="39D823C1" w14:textId="77777777" w:rsidTr="00D747C6">
        <w:trPr>
          <w:gridAfter w:val="4"/>
          <w:wAfter w:w="4882" w:type="dxa"/>
          <w:trHeight w:hRule="exact" w:val="284"/>
        </w:trPr>
        <w:tc>
          <w:tcPr>
            <w:tcW w:w="4286" w:type="dxa"/>
            <w:gridSpan w:val="3"/>
            <w:tcBorders>
              <w:top w:val="nil"/>
              <w:left w:val="nil"/>
              <w:bottom w:val="nil"/>
              <w:right w:val="nil"/>
            </w:tcBorders>
            <w:shd w:val="clear" w:color="auto" w:fill="auto"/>
            <w:noWrap/>
            <w:hideMark/>
          </w:tcPr>
          <w:p w14:paraId="3458483D" w14:textId="77777777" w:rsidR="00FF3496" w:rsidRPr="0045220E" w:rsidRDefault="00FF3496" w:rsidP="00B2508B">
            <w:pPr>
              <w:spacing w:after="0" w:line="240" w:lineRule="auto"/>
              <w:rPr>
                <w:rFonts w:ascii="Times New Roman" w:eastAsia="Times New Roman" w:hAnsi="Times New Roman" w:cs="Times New Roman"/>
                <w:color w:val="000000"/>
                <w:sz w:val="20"/>
                <w:szCs w:val="20"/>
                <w:lang w:eastAsia="en-GB"/>
              </w:rPr>
            </w:pPr>
            <w:r w:rsidRPr="0045220E">
              <w:rPr>
                <w:rFonts w:ascii="Times New Roman" w:eastAsia="Times New Roman" w:hAnsi="Times New Roman" w:cs="Times New Roman"/>
                <w:color w:val="000000"/>
                <w:sz w:val="20"/>
                <w:szCs w:val="20"/>
                <w:lang w:eastAsia="en-GB"/>
              </w:rPr>
              <w:t>Standard errors in parentheses</w:t>
            </w:r>
          </w:p>
        </w:tc>
      </w:tr>
      <w:tr w:rsidR="00FF3496" w:rsidRPr="0045220E" w14:paraId="4257FA27" w14:textId="77777777" w:rsidTr="00D747C6">
        <w:trPr>
          <w:gridAfter w:val="1"/>
          <w:wAfter w:w="1079" w:type="dxa"/>
          <w:trHeight w:hRule="exact" w:val="284"/>
        </w:trPr>
        <w:tc>
          <w:tcPr>
            <w:tcW w:w="8089" w:type="dxa"/>
            <w:gridSpan w:val="6"/>
            <w:tcBorders>
              <w:top w:val="nil"/>
              <w:left w:val="nil"/>
              <w:bottom w:val="nil"/>
              <w:right w:val="nil"/>
            </w:tcBorders>
            <w:shd w:val="clear" w:color="auto" w:fill="auto"/>
            <w:noWrap/>
            <w:hideMark/>
          </w:tcPr>
          <w:p w14:paraId="33E0638D" w14:textId="77777777" w:rsidR="00FF3496" w:rsidRPr="0045220E" w:rsidRDefault="00FF3496" w:rsidP="00B2508B">
            <w:pPr>
              <w:spacing w:after="0" w:line="240" w:lineRule="auto"/>
              <w:rPr>
                <w:rFonts w:ascii="Times New Roman" w:eastAsia="Times New Roman" w:hAnsi="Times New Roman" w:cs="Times New Roman"/>
                <w:color w:val="000000"/>
                <w:sz w:val="20"/>
                <w:szCs w:val="20"/>
                <w:lang w:eastAsia="en-GB"/>
              </w:rPr>
            </w:pPr>
            <w:r w:rsidRPr="0045220E">
              <w:rPr>
                <w:rFonts w:ascii="Times New Roman" w:eastAsia="Times New Roman" w:hAnsi="Times New Roman" w:cs="Times New Roman"/>
                <w:color w:val="000000"/>
                <w:sz w:val="20"/>
                <w:szCs w:val="20"/>
                <w:lang w:eastAsia="en-GB"/>
              </w:rPr>
              <w:t>Reference category: Age 20-39, Non-white, No physical activity, No qualification, Low-skilled occupation</w:t>
            </w:r>
          </w:p>
        </w:tc>
      </w:tr>
      <w:tr w:rsidR="00FF3496" w:rsidRPr="0045220E" w14:paraId="4A3C17A1" w14:textId="77777777" w:rsidTr="00D747C6">
        <w:trPr>
          <w:gridAfter w:val="4"/>
          <w:wAfter w:w="4882" w:type="dxa"/>
          <w:trHeight w:hRule="exact" w:val="533"/>
        </w:trPr>
        <w:tc>
          <w:tcPr>
            <w:tcW w:w="4286" w:type="dxa"/>
            <w:gridSpan w:val="3"/>
            <w:tcBorders>
              <w:top w:val="nil"/>
              <w:left w:val="nil"/>
              <w:bottom w:val="nil"/>
              <w:right w:val="nil"/>
            </w:tcBorders>
            <w:shd w:val="clear" w:color="auto" w:fill="auto"/>
            <w:noWrap/>
            <w:hideMark/>
          </w:tcPr>
          <w:p w14:paraId="359996F3" w14:textId="77777777" w:rsidR="00FF3496" w:rsidRDefault="00FF3496" w:rsidP="00B2508B">
            <w:pPr>
              <w:spacing w:after="0" w:line="240" w:lineRule="auto"/>
              <w:rPr>
                <w:rFonts w:ascii="Times New Roman" w:eastAsia="Times New Roman" w:hAnsi="Times New Roman" w:cs="Times New Roman"/>
                <w:color w:val="000000"/>
                <w:sz w:val="20"/>
                <w:szCs w:val="20"/>
                <w:lang w:eastAsia="en-GB"/>
              </w:rPr>
            </w:pPr>
            <w:r w:rsidRPr="0045220E">
              <w:rPr>
                <w:rFonts w:ascii="Times New Roman" w:eastAsia="Times New Roman" w:hAnsi="Times New Roman" w:cs="Times New Roman"/>
                <w:color w:val="000000"/>
                <w:sz w:val="20"/>
                <w:szCs w:val="20"/>
                <w:vertAlign w:val="superscript"/>
                <w:lang w:eastAsia="en-GB"/>
              </w:rPr>
              <w:t>*</w:t>
            </w:r>
            <w:r w:rsidRPr="0045220E">
              <w:rPr>
                <w:rFonts w:ascii="Times New Roman" w:eastAsia="Times New Roman" w:hAnsi="Times New Roman" w:cs="Times New Roman"/>
                <w:color w:val="000000"/>
                <w:sz w:val="20"/>
                <w:szCs w:val="20"/>
                <w:lang w:eastAsia="en-GB"/>
              </w:rPr>
              <w:t xml:space="preserve"> </w:t>
            </w:r>
            <w:r w:rsidRPr="0045220E">
              <w:rPr>
                <w:rFonts w:ascii="Times New Roman" w:eastAsia="Times New Roman" w:hAnsi="Times New Roman" w:cs="Times New Roman"/>
                <w:i/>
                <w:iCs/>
                <w:color w:val="000000"/>
                <w:sz w:val="20"/>
                <w:szCs w:val="20"/>
                <w:lang w:eastAsia="en-GB"/>
              </w:rPr>
              <w:t>p</w:t>
            </w:r>
            <w:r w:rsidRPr="0045220E">
              <w:rPr>
                <w:rFonts w:ascii="Times New Roman" w:eastAsia="Times New Roman" w:hAnsi="Times New Roman" w:cs="Times New Roman"/>
                <w:color w:val="000000"/>
                <w:sz w:val="20"/>
                <w:szCs w:val="20"/>
                <w:lang w:eastAsia="en-GB"/>
              </w:rPr>
              <w:t xml:space="preserve"> &lt; 0.10, </w:t>
            </w:r>
            <w:r w:rsidRPr="0045220E">
              <w:rPr>
                <w:rFonts w:ascii="Times New Roman" w:eastAsia="Times New Roman" w:hAnsi="Times New Roman" w:cs="Times New Roman"/>
                <w:color w:val="000000"/>
                <w:sz w:val="20"/>
                <w:szCs w:val="20"/>
                <w:vertAlign w:val="superscript"/>
                <w:lang w:eastAsia="en-GB"/>
              </w:rPr>
              <w:t>**</w:t>
            </w:r>
            <w:r w:rsidRPr="0045220E">
              <w:rPr>
                <w:rFonts w:ascii="Times New Roman" w:eastAsia="Times New Roman" w:hAnsi="Times New Roman" w:cs="Times New Roman"/>
                <w:color w:val="000000"/>
                <w:sz w:val="20"/>
                <w:szCs w:val="20"/>
                <w:lang w:eastAsia="en-GB"/>
              </w:rPr>
              <w:t xml:space="preserve"> </w:t>
            </w:r>
            <w:r w:rsidRPr="0045220E">
              <w:rPr>
                <w:rFonts w:ascii="Times New Roman" w:eastAsia="Times New Roman" w:hAnsi="Times New Roman" w:cs="Times New Roman"/>
                <w:i/>
                <w:iCs/>
                <w:color w:val="000000"/>
                <w:sz w:val="20"/>
                <w:szCs w:val="20"/>
                <w:lang w:eastAsia="en-GB"/>
              </w:rPr>
              <w:t>p</w:t>
            </w:r>
            <w:r w:rsidRPr="0045220E">
              <w:rPr>
                <w:rFonts w:ascii="Times New Roman" w:eastAsia="Times New Roman" w:hAnsi="Times New Roman" w:cs="Times New Roman"/>
                <w:color w:val="000000"/>
                <w:sz w:val="20"/>
                <w:szCs w:val="20"/>
                <w:lang w:eastAsia="en-GB"/>
              </w:rPr>
              <w:t xml:space="preserve"> &lt; 0.05, </w:t>
            </w:r>
            <w:r w:rsidRPr="0045220E">
              <w:rPr>
                <w:rFonts w:ascii="Times New Roman" w:eastAsia="Times New Roman" w:hAnsi="Times New Roman" w:cs="Times New Roman"/>
                <w:color w:val="000000"/>
                <w:sz w:val="20"/>
                <w:szCs w:val="20"/>
                <w:vertAlign w:val="superscript"/>
                <w:lang w:eastAsia="en-GB"/>
              </w:rPr>
              <w:t>***</w:t>
            </w:r>
            <w:r w:rsidRPr="0045220E">
              <w:rPr>
                <w:rFonts w:ascii="Times New Roman" w:eastAsia="Times New Roman" w:hAnsi="Times New Roman" w:cs="Times New Roman"/>
                <w:color w:val="000000"/>
                <w:sz w:val="20"/>
                <w:szCs w:val="20"/>
                <w:lang w:eastAsia="en-GB"/>
              </w:rPr>
              <w:t xml:space="preserve"> </w:t>
            </w:r>
            <w:r w:rsidRPr="0045220E">
              <w:rPr>
                <w:rFonts w:ascii="Times New Roman" w:eastAsia="Times New Roman" w:hAnsi="Times New Roman" w:cs="Times New Roman"/>
                <w:i/>
                <w:iCs/>
                <w:color w:val="000000"/>
                <w:sz w:val="20"/>
                <w:szCs w:val="20"/>
                <w:lang w:eastAsia="en-GB"/>
              </w:rPr>
              <w:t>p</w:t>
            </w:r>
            <w:r w:rsidRPr="0045220E">
              <w:rPr>
                <w:rFonts w:ascii="Times New Roman" w:eastAsia="Times New Roman" w:hAnsi="Times New Roman" w:cs="Times New Roman"/>
                <w:color w:val="000000"/>
                <w:sz w:val="20"/>
                <w:szCs w:val="20"/>
                <w:lang w:eastAsia="en-GB"/>
              </w:rPr>
              <w:t xml:space="preserve"> &lt; 0.01</w:t>
            </w:r>
          </w:p>
          <w:p w14:paraId="6040AD23" w14:textId="77777777" w:rsidR="00EE3D2B" w:rsidRDefault="00EE3D2B" w:rsidP="00EE3D2B">
            <w:pPr>
              <w:keepNext/>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0E5BD1">
              <w:rPr>
                <w:rFonts w:ascii="Times New Roman" w:eastAsia="Times New Roman" w:hAnsi="Times New Roman" w:cs="Times New Roman"/>
                <w:sz w:val="20"/>
                <w:szCs w:val="20"/>
                <w:lang w:val="en-US" w:eastAsia="en-GB"/>
              </w:rPr>
              <w:t>QR = Quantile Regression</w:t>
            </w:r>
          </w:p>
          <w:p w14:paraId="44249384" w14:textId="348A382B" w:rsidR="00EE3D2B" w:rsidRPr="0045220E" w:rsidRDefault="00EE3D2B" w:rsidP="00B2508B">
            <w:pPr>
              <w:spacing w:after="0" w:line="240" w:lineRule="auto"/>
              <w:rPr>
                <w:rFonts w:ascii="Times New Roman" w:eastAsia="Times New Roman" w:hAnsi="Times New Roman" w:cs="Times New Roman"/>
                <w:color w:val="000000"/>
                <w:sz w:val="20"/>
                <w:szCs w:val="20"/>
                <w:lang w:eastAsia="en-GB"/>
              </w:rPr>
            </w:pPr>
          </w:p>
        </w:tc>
      </w:tr>
    </w:tbl>
    <w:p w14:paraId="6893A1BC" w14:textId="77777777" w:rsidR="00AC3DA5" w:rsidRPr="007C39F0" w:rsidRDefault="00AC3DA5" w:rsidP="00675EB5">
      <w:pPr>
        <w:spacing w:line="480" w:lineRule="auto"/>
        <w:rPr>
          <w:rFonts w:cs="Times New Roman"/>
          <w:sz w:val="24"/>
          <w:szCs w:val="24"/>
        </w:rPr>
      </w:pPr>
    </w:p>
    <w:p w14:paraId="754A9DB6" w14:textId="169C5ECC" w:rsidR="00C370BA" w:rsidRPr="007C39F0" w:rsidRDefault="00C370BA" w:rsidP="00C370BA">
      <w:pPr>
        <w:spacing w:line="480" w:lineRule="auto"/>
        <w:rPr>
          <w:rFonts w:cs="Times New Roman"/>
          <w:sz w:val="24"/>
          <w:szCs w:val="24"/>
        </w:rPr>
      </w:pPr>
      <w:r w:rsidRPr="007C39F0">
        <w:rPr>
          <w:rFonts w:cs="Times New Roman"/>
          <w:sz w:val="24"/>
          <w:szCs w:val="24"/>
        </w:rPr>
        <w:t>Table 3 presents the unconditional quantile regression estimates showing the association of our explanatory variables to BMI at the 10</w:t>
      </w:r>
      <w:r w:rsidRPr="007C39F0">
        <w:rPr>
          <w:rFonts w:cs="Times New Roman"/>
          <w:sz w:val="24"/>
          <w:szCs w:val="24"/>
          <w:vertAlign w:val="superscript"/>
        </w:rPr>
        <w:t>th</w:t>
      </w:r>
      <w:r w:rsidRPr="007C39F0">
        <w:rPr>
          <w:rFonts w:cs="Times New Roman"/>
          <w:sz w:val="24"/>
          <w:szCs w:val="24"/>
        </w:rPr>
        <w:t>, 50</w:t>
      </w:r>
      <w:r w:rsidRPr="007C39F0">
        <w:rPr>
          <w:rFonts w:cs="Times New Roman"/>
          <w:sz w:val="24"/>
          <w:szCs w:val="24"/>
          <w:vertAlign w:val="superscript"/>
        </w:rPr>
        <w:t>th</w:t>
      </w:r>
      <w:r w:rsidRPr="007C39F0">
        <w:rPr>
          <w:rFonts w:cs="Times New Roman"/>
          <w:sz w:val="24"/>
          <w:szCs w:val="24"/>
        </w:rPr>
        <w:t xml:space="preserve"> and 90</w:t>
      </w:r>
      <w:r w:rsidRPr="007C39F0">
        <w:rPr>
          <w:rFonts w:cs="Times New Roman"/>
          <w:sz w:val="24"/>
          <w:szCs w:val="24"/>
          <w:vertAlign w:val="superscript"/>
        </w:rPr>
        <w:t>th</w:t>
      </w:r>
      <w:r w:rsidRPr="007C39F0">
        <w:rPr>
          <w:rFonts w:cs="Times New Roman"/>
          <w:sz w:val="24"/>
          <w:szCs w:val="24"/>
        </w:rPr>
        <w:t xml:space="preserve"> percentiles for 2002-4 and 2012-14. At the 10</w:t>
      </w:r>
      <w:r w:rsidRPr="007C39F0">
        <w:rPr>
          <w:rFonts w:cs="Times New Roman"/>
          <w:sz w:val="24"/>
          <w:szCs w:val="24"/>
          <w:vertAlign w:val="superscript"/>
        </w:rPr>
        <w:t>th</w:t>
      </w:r>
      <w:r w:rsidRPr="007C39F0">
        <w:rPr>
          <w:rFonts w:cs="Times New Roman"/>
          <w:sz w:val="24"/>
          <w:szCs w:val="24"/>
        </w:rPr>
        <w:t xml:space="preserve"> and 50</w:t>
      </w:r>
      <w:r w:rsidRPr="007C39F0">
        <w:rPr>
          <w:rFonts w:cs="Times New Roman"/>
          <w:sz w:val="24"/>
          <w:szCs w:val="24"/>
          <w:vertAlign w:val="superscript"/>
        </w:rPr>
        <w:t xml:space="preserve">th </w:t>
      </w:r>
      <w:r w:rsidRPr="007C39F0">
        <w:rPr>
          <w:rFonts w:cs="Times New Roman"/>
          <w:sz w:val="24"/>
          <w:szCs w:val="24"/>
        </w:rPr>
        <w:t>percentiles, being male is positively associated to higher BMI but shows a negative association at the 90</w:t>
      </w:r>
      <w:r w:rsidRPr="007C39F0">
        <w:rPr>
          <w:rFonts w:cs="Times New Roman"/>
          <w:sz w:val="24"/>
          <w:szCs w:val="24"/>
          <w:vertAlign w:val="superscript"/>
        </w:rPr>
        <w:t>th</w:t>
      </w:r>
      <w:r w:rsidRPr="007C39F0">
        <w:rPr>
          <w:rFonts w:cs="Times New Roman"/>
          <w:sz w:val="24"/>
          <w:szCs w:val="24"/>
        </w:rPr>
        <w:t xml:space="preserve"> percentile. Older age groups were positively associated to BMI at the 10</w:t>
      </w:r>
      <w:r w:rsidRPr="007C39F0">
        <w:rPr>
          <w:rFonts w:cs="Times New Roman"/>
          <w:sz w:val="24"/>
          <w:szCs w:val="24"/>
          <w:vertAlign w:val="superscript"/>
        </w:rPr>
        <w:t>th</w:t>
      </w:r>
      <w:r w:rsidRPr="007C39F0">
        <w:rPr>
          <w:rFonts w:cs="Times New Roman"/>
          <w:sz w:val="24"/>
          <w:szCs w:val="24"/>
        </w:rPr>
        <w:t xml:space="preserve"> and 50</w:t>
      </w:r>
      <w:r w:rsidRPr="007C39F0">
        <w:rPr>
          <w:rFonts w:cs="Times New Roman"/>
          <w:sz w:val="24"/>
          <w:szCs w:val="24"/>
          <w:vertAlign w:val="superscript"/>
        </w:rPr>
        <w:t xml:space="preserve">th </w:t>
      </w:r>
      <w:r w:rsidRPr="007C39F0">
        <w:rPr>
          <w:rFonts w:cs="Times New Roman"/>
          <w:sz w:val="24"/>
          <w:szCs w:val="24"/>
        </w:rPr>
        <w:t xml:space="preserve">percentiles, however we detect no association at the </w:t>
      </w:r>
      <w:r w:rsidRPr="007C39F0">
        <w:rPr>
          <w:rFonts w:cs="Times New Roman"/>
          <w:sz w:val="24"/>
          <w:szCs w:val="24"/>
        </w:rPr>
        <w:lastRenderedPageBreak/>
        <w:t>90</w:t>
      </w:r>
      <w:r w:rsidRPr="007C39F0">
        <w:rPr>
          <w:rFonts w:cs="Times New Roman"/>
          <w:sz w:val="24"/>
          <w:szCs w:val="24"/>
          <w:vertAlign w:val="superscript"/>
        </w:rPr>
        <w:t>th</w:t>
      </w:r>
      <w:r w:rsidRPr="007C39F0">
        <w:rPr>
          <w:rFonts w:cs="Times New Roman"/>
          <w:sz w:val="24"/>
          <w:szCs w:val="24"/>
        </w:rPr>
        <w:t xml:space="preserve"> percentile. </w:t>
      </w:r>
      <w:r w:rsidR="005423CE">
        <w:rPr>
          <w:rFonts w:cs="Times New Roman"/>
          <w:sz w:val="24"/>
          <w:szCs w:val="24"/>
        </w:rPr>
        <w:t>Race</w:t>
      </w:r>
      <w:r w:rsidR="005423CE" w:rsidRPr="007C39F0">
        <w:rPr>
          <w:rFonts w:cs="Times New Roman"/>
          <w:sz w:val="24"/>
          <w:szCs w:val="24"/>
        </w:rPr>
        <w:t xml:space="preserve"> </w:t>
      </w:r>
      <w:r w:rsidRPr="007C39F0">
        <w:rPr>
          <w:rFonts w:cs="Times New Roman"/>
          <w:sz w:val="24"/>
          <w:szCs w:val="24"/>
        </w:rPr>
        <w:t>displayed no associations in 2002-4, but the White group was positively associated to BMI at the 50</w:t>
      </w:r>
      <w:r w:rsidRPr="007C39F0">
        <w:rPr>
          <w:rFonts w:cs="Times New Roman"/>
          <w:sz w:val="24"/>
          <w:szCs w:val="24"/>
          <w:vertAlign w:val="superscript"/>
        </w:rPr>
        <w:t>th</w:t>
      </w:r>
      <w:r w:rsidRPr="007C39F0">
        <w:rPr>
          <w:rFonts w:cs="Times New Roman"/>
          <w:sz w:val="24"/>
          <w:szCs w:val="24"/>
        </w:rPr>
        <w:t xml:space="preserve"> and 90</w:t>
      </w:r>
      <w:r w:rsidRPr="007C39F0">
        <w:rPr>
          <w:rFonts w:cs="Times New Roman"/>
          <w:sz w:val="24"/>
          <w:szCs w:val="24"/>
          <w:vertAlign w:val="superscript"/>
        </w:rPr>
        <w:t>th</w:t>
      </w:r>
      <w:r w:rsidRPr="007C39F0">
        <w:rPr>
          <w:rFonts w:cs="Times New Roman"/>
          <w:sz w:val="24"/>
          <w:szCs w:val="24"/>
        </w:rPr>
        <w:t xml:space="preserve"> percentiles in 2012-4. Physical activity was consistent across years, with negative associations at the 50</w:t>
      </w:r>
      <w:r w:rsidRPr="007C39F0">
        <w:rPr>
          <w:rFonts w:cs="Times New Roman"/>
          <w:sz w:val="24"/>
          <w:szCs w:val="24"/>
          <w:vertAlign w:val="superscript"/>
        </w:rPr>
        <w:t>th</w:t>
      </w:r>
      <w:r w:rsidRPr="007C39F0">
        <w:rPr>
          <w:rFonts w:cs="Times New Roman"/>
          <w:sz w:val="24"/>
          <w:szCs w:val="24"/>
        </w:rPr>
        <w:t xml:space="preserve"> and 90</w:t>
      </w:r>
      <w:r w:rsidRPr="007C39F0">
        <w:rPr>
          <w:rFonts w:cs="Times New Roman"/>
          <w:sz w:val="24"/>
          <w:szCs w:val="24"/>
          <w:vertAlign w:val="superscript"/>
        </w:rPr>
        <w:t>th</w:t>
      </w:r>
      <w:r w:rsidRPr="007C39F0">
        <w:rPr>
          <w:rFonts w:cs="Times New Roman"/>
          <w:sz w:val="24"/>
          <w:szCs w:val="24"/>
        </w:rPr>
        <w:t xml:space="preserve"> percentiles (and a larger effect size at the 90</w:t>
      </w:r>
      <w:r w:rsidRPr="007C39F0">
        <w:rPr>
          <w:rFonts w:cs="Times New Roman"/>
          <w:sz w:val="24"/>
          <w:szCs w:val="24"/>
          <w:vertAlign w:val="superscript"/>
        </w:rPr>
        <w:t>th</w:t>
      </w:r>
      <w:r w:rsidRPr="007C39F0">
        <w:rPr>
          <w:rFonts w:cs="Times New Roman"/>
          <w:sz w:val="24"/>
          <w:szCs w:val="24"/>
        </w:rPr>
        <w:t xml:space="preserve"> percentile). Education also showed a consistent negative relationship across the BMI distribution, with larger effect sizes observed with increasing educational attainment. Occupation was </w:t>
      </w:r>
      <w:r w:rsidR="007E1574">
        <w:rPr>
          <w:rFonts w:cs="Times New Roman"/>
          <w:sz w:val="24"/>
          <w:szCs w:val="24"/>
        </w:rPr>
        <w:t>mostly non-significant, but in 2012-14 medium and higher occupations were negatively associated to BMI at the 90</w:t>
      </w:r>
      <w:r w:rsidR="007E1574" w:rsidRPr="002759E1">
        <w:rPr>
          <w:rFonts w:cs="Times New Roman"/>
          <w:sz w:val="24"/>
          <w:szCs w:val="24"/>
          <w:vertAlign w:val="superscript"/>
        </w:rPr>
        <w:t>th</w:t>
      </w:r>
      <w:r w:rsidR="007E1574">
        <w:rPr>
          <w:rFonts w:cs="Times New Roman"/>
          <w:sz w:val="24"/>
          <w:szCs w:val="24"/>
        </w:rPr>
        <w:t xml:space="preserve"> percentile</w:t>
      </w:r>
      <w:r w:rsidRPr="007C39F0">
        <w:rPr>
          <w:rFonts w:cs="Times New Roman"/>
          <w:sz w:val="24"/>
          <w:szCs w:val="24"/>
        </w:rPr>
        <w:t xml:space="preserve">. We stratified these analyses by sex (Appendix B), however the results are largely </w:t>
      </w:r>
      <w:r w:rsidR="007B5132">
        <w:rPr>
          <w:rFonts w:cs="Times New Roman"/>
          <w:sz w:val="24"/>
          <w:szCs w:val="24"/>
        </w:rPr>
        <w:t>consistent with the patterns described above</w:t>
      </w:r>
      <w:r w:rsidRPr="007C39F0">
        <w:rPr>
          <w:rFonts w:cs="Times New Roman"/>
          <w:sz w:val="24"/>
          <w:szCs w:val="24"/>
        </w:rPr>
        <w:t>.</w:t>
      </w:r>
    </w:p>
    <w:p w14:paraId="515C96E8" w14:textId="60ADAAF1" w:rsidR="006065FC" w:rsidRPr="007C39F0" w:rsidRDefault="00087538" w:rsidP="00675EB5">
      <w:pPr>
        <w:spacing w:line="480" w:lineRule="auto"/>
        <w:rPr>
          <w:rFonts w:cs="Times New Roman"/>
          <w:sz w:val="24"/>
          <w:szCs w:val="24"/>
        </w:rPr>
      </w:pPr>
      <w:r w:rsidRPr="007C39F0">
        <w:rPr>
          <w:rFonts w:cs="Times New Roman"/>
          <w:sz w:val="24"/>
          <w:szCs w:val="24"/>
        </w:rPr>
        <w:t xml:space="preserve">Next we </w:t>
      </w:r>
      <w:r w:rsidR="003D68DB" w:rsidRPr="007C39F0">
        <w:rPr>
          <w:rFonts w:cs="Times New Roman"/>
          <w:sz w:val="24"/>
          <w:szCs w:val="24"/>
        </w:rPr>
        <w:t>perform</w:t>
      </w:r>
      <w:r w:rsidR="00EF19DF" w:rsidRPr="007C39F0">
        <w:rPr>
          <w:rFonts w:cs="Times New Roman"/>
          <w:sz w:val="24"/>
          <w:szCs w:val="24"/>
        </w:rPr>
        <w:t>ed</w:t>
      </w:r>
      <w:r w:rsidR="00DE32C0" w:rsidRPr="007C39F0">
        <w:rPr>
          <w:rFonts w:cs="Times New Roman"/>
          <w:sz w:val="24"/>
          <w:szCs w:val="24"/>
        </w:rPr>
        <w:t xml:space="preserve"> the</w:t>
      </w:r>
      <w:r w:rsidR="003D68DB" w:rsidRPr="007C39F0">
        <w:rPr>
          <w:rFonts w:cs="Times New Roman"/>
          <w:sz w:val="24"/>
          <w:szCs w:val="24"/>
        </w:rPr>
        <w:t xml:space="preserve"> </w:t>
      </w:r>
      <w:r w:rsidR="00C66C60" w:rsidRPr="007C39F0">
        <w:rPr>
          <w:rFonts w:cs="Times New Roman"/>
          <w:sz w:val="24"/>
          <w:szCs w:val="24"/>
        </w:rPr>
        <w:t>decomposition analysis (</w:t>
      </w:r>
      <w:r w:rsidR="00B66CAF" w:rsidRPr="007C39F0">
        <w:rPr>
          <w:rFonts w:cs="Times New Roman"/>
          <w:sz w:val="24"/>
          <w:szCs w:val="24"/>
        </w:rPr>
        <w:t xml:space="preserve">see </w:t>
      </w:r>
      <w:r w:rsidR="00C66C60" w:rsidRPr="007C39F0">
        <w:rPr>
          <w:rFonts w:cs="Times New Roman"/>
          <w:sz w:val="24"/>
          <w:szCs w:val="24"/>
        </w:rPr>
        <w:t>Table 4</w:t>
      </w:r>
      <w:r w:rsidR="0038629A" w:rsidRPr="007C39F0">
        <w:rPr>
          <w:rFonts w:cs="Times New Roman"/>
          <w:sz w:val="24"/>
          <w:szCs w:val="24"/>
        </w:rPr>
        <w:t>; we also stratified these analyses by sex in Appendix C</w:t>
      </w:r>
      <w:r w:rsidR="00C66C60" w:rsidRPr="007C39F0">
        <w:rPr>
          <w:rFonts w:cs="Times New Roman"/>
          <w:sz w:val="24"/>
          <w:szCs w:val="24"/>
        </w:rPr>
        <w:t xml:space="preserve">). </w:t>
      </w:r>
      <w:r w:rsidR="00AC7C64" w:rsidRPr="007C39F0">
        <w:rPr>
          <w:rFonts w:eastAsia="Times New Roman" w:cs="Times New Roman"/>
          <w:sz w:val="24"/>
          <w:szCs w:val="24"/>
        </w:rPr>
        <w:t xml:space="preserve">In the analysis we accounted for the effects of education and occupation together, since they both comprise proxies for socio-economic context. </w:t>
      </w:r>
      <w:r w:rsidR="005B5DBD" w:rsidRPr="007C39F0">
        <w:rPr>
          <w:rFonts w:cs="Times New Roman"/>
          <w:sz w:val="24"/>
          <w:szCs w:val="24"/>
        </w:rPr>
        <w:t>T</w:t>
      </w:r>
      <w:r w:rsidR="006065FC" w:rsidRPr="007C39F0">
        <w:rPr>
          <w:rFonts w:cs="Times New Roman"/>
          <w:sz w:val="24"/>
          <w:szCs w:val="24"/>
        </w:rPr>
        <w:t xml:space="preserve">he Machado-Mata and </w:t>
      </w:r>
      <w:proofErr w:type="spellStart"/>
      <w:r w:rsidR="006065FC" w:rsidRPr="007C39F0">
        <w:rPr>
          <w:rFonts w:cs="Times New Roman"/>
          <w:sz w:val="24"/>
          <w:szCs w:val="24"/>
        </w:rPr>
        <w:t>Melly</w:t>
      </w:r>
      <w:proofErr w:type="spellEnd"/>
      <w:r w:rsidR="006065FC" w:rsidRPr="007C39F0">
        <w:rPr>
          <w:rFonts w:cs="Times New Roman"/>
          <w:sz w:val="24"/>
          <w:szCs w:val="24"/>
        </w:rPr>
        <w:t xml:space="preserve"> (</w:t>
      </w:r>
      <w:r w:rsidR="001250A9" w:rsidRPr="007C39F0">
        <w:rPr>
          <w:rFonts w:cs="Times New Roman"/>
          <w:sz w:val="24"/>
          <w:szCs w:val="24"/>
        </w:rPr>
        <w:t xml:space="preserve">Table 4 – </w:t>
      </w:r>
      <w:r w:rsidR="006065FC" w:rsidRPr="007C39F0">
        <w:rPr>
          <w:rFonts w:cs="Times New Roman"/>
          <w:sz w:val="24"/>
          <w:szCs w:val="24"/>
        </w:rPr>
        <w:t>Panel B) and RIF (</w:t>
      </w:r>
      <w:r w:rsidR="001250A9" w:rsidRPr="007C39F0">
        <w:rPr>
          <w:rFonts w:cs="Times New Roman"/>
          <w:sz w:val="24"/>
          <w:szCs w:val="24"/>
        </w:rPr>
        <w:t xml:space="preserve">Table 4 – </w:t>
      </w:r>
      <w:r w:rsidR="006065FC" w:rsidRPr="007C39F0">
        <w:rPr>
          <w:rFonts w:cs="Times New Roman"/>
          <w:sz w:val="24"/>
          <w:szCs w:val="24"/>
        </w:rPr>
        <w:t xml:space="preserve">Panel C) decomposition </w:t>
      </w:r>
      <w:r w:rsidR="00B5170D" w:rsidRPr="007C39F0">
        <w:rPr>
          <w:rFonts w:cs="Times New Roman"/>
          <w:sz w:val="24"/>
          <w:szCs w:val="24"/>
        </w:rPr>
        <w:t xml:space="preserve">estimates </w:t>
      </w:r>
      <w:r w:rsidR="008257F8" w:rsidRPr="007C39F0">
        <w:rPr>
          <w:rFonts w:cs="Times New Roman"/>
          <w:sz w:val="24"/>
          <w:szCs w:val="24"/>
        </w:rPr>
        <w:t>suggest that the increase at the 90</w:t>
      </w:r>
      <w:r w:rsidR="008257F8" w:rsidRPr="007C39F0">
        <w:rPr>
          <w:rFonts w:cs="Times New Roman"/>
          <w:sz w:val="24"/>
          <w:szCs w:val="24"/>
          <w:vertAlign w:val="superscript"/>
        </w:rPr>
        <w:t>th</w:t>
      </w:r>
      <w:r w:rsidR="008257F8" w:rsidRPr="007C39F0">
        <w:rPr>
          <w:rFonts w:cs="Times New Roman"/>
          <w:sz w:val="24"/>
          <w:szCs w:val="24"/>
        </w:rPr>
        <w:t xml:space="preserve"> percentile </w:t>
      </w:r>
      <w:r w:rsidR="00C94F78" w:rsidRPr="007C39F0">
        <w:rPr>
          <w:rFonts w:cs="Times New Roman"/>
          <w:sz w:val="24"/>
          <w:szCs w:val="24"/>
        </w:rPr>
        <w:t>is mostly</w:t>
      </w:r>
      <w:r w:rsidR="00956BDC" w:rsidRPr="007C39F0">
        <w:rPr>
          <w:rFonts w:cs="Times New Roman"/>
          <w:sz w:val="24"/>
          <w:szCs w:val="24"/>
        </w:rPr>
        <w:t xml:space="preserve"> attributable to changes in the </w:t>
      </w:r>
      <w:r w:rsidR="008257F8" w:rsidRPr="007C39F0">
        <w:rPr>
          <w:rFonts w:cs="Times New Roman"/>
          <w:sz w:val="24"/>
          <w:szCs w:val="24"/>
        </w:rPr>
        <w:t xml:space="preserve">coefficients of our explanatory variables, </w:t>
      </w:r>
      <w:r w:rsidR="000A7144">
        <w:rPr>
          <w:rFonts w:cs="Times New Roman"/>
          <w:sz w:val="24"/>
          <w:szCs w:val="24"/>
        </w:rPr>
        <w:t>with</w:t>
      </w:r>
      <w:r w:rsidR="008257F8" w:rsidRPr="007C39F0">
        <w:rPr>
          <w:rFonts w:cs="Times New Roman"/>
          <w:sz w:val="24"/>
          <w:szCs w:val="24"/>
        </w:rPr>
        <w:t xml:space="preserve"> changes in the composition of the population</w:t>
      </w:r>
      <w:r w:rsidR="000A7144">
        <w:rPr>
          <w:rFonts w:cs="Times New Roman"/>
          <w:sz w:val="24"/>
          <w:szCs w:val="24"/>
        </w:rPr>
        <w:t xml:space="preserve"> acting against these trends</w:t>
      </w:r>
      <w:r w:rsidR="008257F8" w:rsidRPr="007C39F0">
        <w:rPr>
          <w:rFonts w:cs="Times New Roman"/>
          <w:sz w:val="24"/>
          <w:szCs w:val="24"/>
        </w:rPr>
        <w:t>.</w:t>
      </w:r>
      <w:r w:rsidR="00511528" w:rsidRPr="007C39F0">
        <w:rPr>
          <w:rFonts w:cs="Times New Roman"/>
          <w:sz w:val="24"/>
          <w:szCs w:val="24"/>
        </w:rPr>
        <w:t xml:space="preserve"> According to our RIF estimates,</w:t>
      </w:r>
      <w:r w:rsidR="008257F8" w:rsidRPr="007C39F0">
        <w:rPr>
          <w:rFonts w:cs="Times New Roman"/>
          <w:sz w:val="24"/>
          <w:szCs w:val="24"/>
        </w:rPr>
        <w:t xml:space="preserve"> </w:t>
      </w:r>
      <w:r w:rsidR="00511528" w:rsidRPr="007C39F0">
        <w:rPr>
          <w:rFonts w:cs="Times New Roman"/>
          <w:sz w:val="24"/>
          <w:szCs w:val="24"/>
        </w:rPr>
        <w:t>changes in coefficients and population composition account</w:t>
      </w:r>
      <w:r w:rsidR="00EC18F5">
        <w:rPr>
          <w:rFonts w:cs="Times New Roman"/>
          <w:sz w:val="24"/>
          <w:szCs w:val="24"/>
        </w:rPr>
        <w:t>ed</w:t>
      </w:r>
      <w:r w:rsidR="00511528" w:rsidRPr="007C39F0">
        <w:rPr>
          <w:rFonts w:cs="Times New Roman"/>
          <w:sz w:val="24"/>
          <w:szCs w:val="24"/>
        </w:rPr>
        <w:t xml:space="preserve"> for </w:t>
      </w:r>
      <w:r w:rsidR="000A7144">
        <w:rPr>
          <w:rFonts w:cs="Times New Roman"/>
          <w:sz w:val="24"/>
          <w:szCs w:val="24"/>
        </w:rPr>
        <w:t>140</w:t>
      </w:r>
      <w:r w:rsidR="00511528" w:rsidRPr="007C39F0">
        <w:rPr>
          <w:rFonts w:cs="Times New Roman"/>
          <w:sz w:val="24"/>
          <w:szCs w:val="24"/>
        </w:rPr>
        <w:t>%</w:t>
      </w:r>
      <w:r w:rsidR="00B66CAF" w:rsidRPr="007C39F0">
        <w:rPr>
          <w:rFonts w:cs="Times New Roman"/>
          <w:sz w:val="24"/>
          <w:szCs w:val="24"/>
        </w:rPr>
        <w:t xml:space="preserve"> (=100*[</w:t>
      </w:r>
      <w:r w:rsidR="000A7144">
        <w:rPr>
          <w:rFonts w:cs="Times New Roman"/>
          <w:sz w:val="24"/>
          <w:szCs w:val="24"/>
        </w:rPr>
        <w:t>2.269</w:t>
      </w:r>
      <w:r w:rsidR="00B66CAF" w:rsidRPr="007C39F0">
        <w:rPr>
          <w:rFonts w:cs="Times New Roman"/>
          <w:sz w:val="24"/>
          <w:szCs w:val="24"/>
        </w:rPr>
        <w:t>/1.</w:t>
      </w:r>
      <w:r w:rsidR="000A7144">
        <w:rPr>
          <w:rFonts w:cs="Times New Roman"/>
          <w:sz w:val="24"/>
          <w:szCs w:val="24"/>
        </w:rPr>
        <w:t>615</w:t>
      </w:r>
      <w:r w:rsidR="00986858" w:rsidRPr="007C39F0">
        <w:rPr>
          <w:rFonts w:cs="Times New Roman"/>
          <w:sz w:val="24"/>
          <w:szCs w:val="24"/>
        </w:rPr>
        <w:t>])</w:t>
      </w:r>
      <w:r w:rsidR="00091BE9" w:rsidRPr="007C39F0">
        <w:rPr>
          <w:rFonts w:cs="Times New Roman"/>
          <w:sz w:val="24"/>
          <w:szCs w:val="24"/>
        </w:rPr>
        <w:t xml:space="preserve"> and </w:t>
      </w:r>
      <w:r w:rsidR="000A7144">
        <w:rPr>
          <w:rFonts w:cs="Times New Roman"/>
          <w:sz w:val="24"/>
          <w:szCs w:val="24"/>
        </w:rPr>
        <w:t>-40</w:t>
      </w:r>
      <w:r w:rsidR="00511528" w:rsidRPr="007C39F0">
        <w:rPr>
          <w:rFonts w:cs="Times New Roman"/>
          <w:sz w:val="24"/>
          <w:szCs w:val="24"/>
        </w:rPr>
        <w:t>%</w:t>
      </w:r>
      <w:r w:rsidR="007B0C55" w:rsidRPr="007C39F0">
        <w:rPr>
          <w:rFonts w:cs="Times New Roman"/>
          <w:sz w:val="24"/>
          <w:szCs w:val="24"/>
        </w:rPr>
        <w:t xml:space="preserve"> (=100*[</w:t>
      </w:r>
      <w:r w:rsidR="000A7144">
        <w:rPr>
          <w:rFonts w:cs="Times New Roman"/>
          <w:sz w:val="24"/>
          <w:szCs w:val="24"/>
        </w:rPr>
        <w:t>-</w:t>
      </w:r>
      <w:r w:rsidR="00B66CAF" w:rsidRPr="007C39F0">
        <w:rPr>
          <w:rFonts w:cs="Times New Roman"/>
          <w:sz w:val="24"/>
          <w:szCs w:val="24"/>
        </w:rPr>
        <w:t>0.</w:t>
      </w:r>
      <w:r w:rsidR="000A7144">
        <w:rPr>
          <w:rFonts w:cs="Times New Roman"/>
          <w:sz w:val="24"/>
          <w:szCs w:val="24"/>
        </w:rPr>
        <w:t>645</w:t>
      </w:r>
      <w:r w:rsidR="00B66CAF" w:rsidRPr="007C39F0">
        <w:rPr>
          <w:rFonts w:cs="Times New Roman"/>
          <w:sz w:val="24"/>
          <w:szCs w:val="24"/>
        </w:rPr>
        <w:t>/1.</w:t>
      </w:r>
      <w:r w:rsidR="000A7144">
        <w:rPr>
          <w:rFonts w:cs="Times New Roman"/>
          <w:sz w:val="24"/>
          <w:szCs w:val="24"/>
        </w:rPr>
        <w:t>615</w:t>
      </w:r>
      <w:r w:rsidR="00986858" w:rsidRPr="007C39F0">
        <w:rPr>
          <w:rFonts w:cs="Times New Roman"/>
          <w:sz w:val="24"/>
          <w:szCs w:val="24"/>
        </w:rPr>
        <w:t>])</w:t>
      </w:r>
      <w:r w:rsidR="00EC18F5">
        <w:rPr>
          <w:rFonts w:cs="Times New Roman"/>
          <w:sz w:val="24"/>
          <w:szCs w:val="24"/>
        </w:rPr>
        <w:t xml:space="preserve"> of the difference in BMI at the 90</w:t>
      </w:r>
      <w:r w:rsidR="00EC18F5" w:rsidRPr="002759E1">
        <w:rPr>
          <w:rFonts w:cs="Times New Roman"/>
          <w:sz w:val="24"/>
          <w:szCs w:val="24"/>
          <w:vertAlign w:val="superscript"/>
        </w:rPr>
        <w:t>th</w:t>
      </w:r>
      <w:r w:rsidR="00EC18F5">
        <w:rPr>
          <w:rFonts w:cs="Times New Roman"/>
          <w:sz w:val="24"/>
          <w:szCs w:val="24"/>
        </w:rPr>
        <w:t xml:space="preserve"> percentile</w:t>
      </w:r>
      <w:r w:rsidR="00511528" w:rsidRPr="007C39F0">
        <w:rPr>
          <w:rFonts w:cs="Times New Roman"/>
          <w:sz w:val="24"/>
          <w:szCs w:val="24"/>
        </w:rPr>
        <w:t>, respectively.</w:t>
      </w:r>
      <w:r w:rsidR="00683046" w:rsidRPr="007C39F0">
        <w:rPr>
          <w:rFonts w:cs="Times New Roman"/>
          <w:sz w:val="24"/>
          <w:szCs w:val="24"/>
        </w:rPr>
        <w:t xml:space="preserve"> </w:t>
      </w:r>
      <w:r w:rsidR="007B5132">
        <w:rPr>
          <w:rFonts w:cs="Times New Roman"/>
          <w:sz w:val="24"/>
          <w:szCs w:val="24"/>
        </w:rPr>
        <w:t>The estimates suggests that in the absence of changes in population composition, the BMI at the 90</w:t>
      </w:r>
      <w:r w:rsidR="007B5132" w:rsidRPr="002759E1">
        <w:rPr>
          <w:rFonts w:cs="Times New Roman"/>
          <w:sz w:val="24"/>
          <w:szCs w:val="24"/>
          <w:vertAlign w:val="superscript"/>
        </w:rPr>
        <w:t>th</w:t>
      </w:r>
      <w:r w:rsidR="007B5132">
        <w:rPr>
          <w:rFonts w:cs="Times New Roman"/>
          <w:sz w:val="24"/>
          <w:szCs w:val="24"/>
        </w:rPr>
        <w:t xml:space="preserve"> percentile would have increased by an additional 40%. </w:t>
      </w:r>
    </w:p>
    <w:p w14:paraId="155B633A" w14:textId="07E1A1A4" w:rsidR="0045220E" w:rsidRPr="007C39F0" w:rsidRDefault="0045220E" w:rsidP="00675EB5">
      <w:pPr>
        <w:keepNext/>
        <w:widowControl w:val="0"/>
        <w:autoSpaceDE w:val="0"/>
        <w:autoSpaceDN w:val="0"/>
        <w:adjustRightInd w:val="0"/>
        <w:spacing w:line="480" w:lineRule="auto"/>
        <w:rPr>
          <w:rFonts w:cs="Times New Roman"/>
          <w:sz w:val="24"/>
          <w:szCs w:val="24"/>
        </w:rPr>
      </w:pPr>
      <w:r w:rsidRPr="007C39F0">
        <w:rPr>
          <w:rFonts w:cs="Times New Roman"/>
          <w:b/>
          <w:sz w:val="24"/>
          <w:szCs w:val="24"/>
        </w:rPr>
        <w:t>Table 4.</w:t>
      </w:r>
      <w:r w:rsidRPr="007C39F0">
        <w:rPr>
          <w:rFonts w:cs="Times New Roman"/>
          <w:sz w:val="24"/>
          <w:szCs w:val="24"/>
        </w:rPr>
        <w:t xml:space="preserve"> Quantile decomposition of changes in Body Mass Index (BMI) between 2002-4 </w:t>
      </w:r>
      <w:r w:rsidR="00091BE9" w:rsidRPr="007C39F0">
        <w:rPr>
          <w:rFonts w:cs="Times New Roman"/>
          <w:sz w:val="24"/>
          <w:szCs w:val="24"/>
        </w:rPr>
        <w:t>and</w:t>
      </w:r>
      <w:r w:rsidRPr="007C39F0">
        <w:rPr>
          <w:rFonts w:cs="Times New Roman"/>
          <w:sz w:val="24"/>
          <w:szCs w:val="24"/>
        </w:rPr>
        <w:t xml:space="preserve"> </w:t>
      </w:r>
      <w:r w:rsidRPr="007C39F0">
        <w:rPr>
          <w:rFonts w:cs="Times New Roman"/>
          <w:sz w:val="24"/>
          <w:szCs w:val="24"/>
        </w:rPr>
        <w:lastRenderedPageBreak/>
        <w:t>2012-4.</w:t>
      </w:r>
    </w:p>
    <w:tbl>
      <w:tblPr>
        <w:tblW w:w="8269" w:type="dxa"/>
        <w:tblLook w:val="04A0" w:firstRow="1" w:lastRow="0" w:firstColumn="1" w:lastColumn="0" w:noHBand="0" w:noVBand="1"/>
      </w:tblPr>
      <w:tblGrid>
        <w:gridCol w:w="3019"/>
        <w:gridCol w:w="1710"/>
        <w:gridCol w:w="1083"/>
        <w:gridCol w:w="687"/>
        <w:gridCol w:w="1770"/>
      </w:tblGrid>
      <w:tr w:rsidR="007669FB" w:rsidRPr="007669FB" w14:paraId="4A92A89F" w14:textId="77777777" w:rsidTr="007669FB">
        <w:trPr>
          <w:trHeight w:val="525"/>
        </w:trPr>
        <w:tc>
          <w:tcPr>
            <w:tcW w:w="3019" w:type="dxa"/>
            <w:tcBorders>
              <w:top w:val="single" w:sz="8" w:space="0" w:color="auto"/>
              <w:left w:val="nil"/>
              <w:bottom w:val="single" w:sz="8" w:space="0" w:color="auto"/>
              <w:right w:val="nil"/>
            </w:tcBorders>
            <w:shd w:val="clear" w:color="auto" w:fill="auto"/>
            <w:vAlign w:val="center"/>
            <w:hideMark/>
          </w:tcPr>
          <w:p w14:paraId="3B4D83D8"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10" w:type="dxa"/>
            <w:tcBorders>
              <w:top w:val="single" w:sz="8" w:space="0" w:color="auto"/>
              <w:left w:val="nil"/>
              <w:bottom w:val="single" w:sz="8" w:space="0" w:color="auto"/>
              <w:right w:val="nil"/>
            </w:tcBorders>
            <w:shd w:val="clear" w:color="auto" w:fill="auto"/>
            <w:vAlign w:val="center"/>
            <w:hideMark/>
          </w:tcPr>
          <w:p w14:paraId="27C7C69E" w14:textId="77777777"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10th Percentile</w:t>
            </w:r>
          </w:p>
        </w:tc>
        <w:tc>
          <w:tcPr>
            <w:tcW w:w="1770" w:type="dxa"/>
            <w:gridSpan w:val="2"/>
            <w:tcBorders>
              <w:top w:val="single" w:sz="8" w:space="0" w:color="auto"/>
              <w:left w:val="nil"/>
              <w:bottom w:val="single" w:sz="8" w:space="0" w:color="auto"/>
              <w:right w:val="nil"/>
            </w:tcBorders>
            <w:shd w:val="clear" w:color="auto" w:fill="auto"/>
            <w:vAlign w:val="center"/>
            <w:hideMark/>
          </w:tcPr>
          <w:p w14:paraId="361B6A60" w14:textId="77777777"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50th Percentile</w:t>
            </w:r>
          </w:p>
        </w:tc>
        <w:tc>
          <w:tcPr>
            <w:tcW w:w="1770" w:type="dxa"/>
            <w:tcBorders>
              <w:top w:val="single" w:sz="8" w:space="0" w:color="auto"/>
              <w:left w:val="nil"/>
              <w:bottom w:val="single" w:sz="8" w:space="0" w:color="auto"/>
              <w:right w:val="nil"/>
            </w:tcBorders>
            <w:shd w:val="clear" w:color="auto" w:fill="auto"/>
            <w:vAlign w:val="center"/>
            <w:hideMark/>
          </w:tcPr>
          <w:p w14:paraId="54CCA995" w14:textId="77777777"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90th Percentile</w:t>
            </w:r>
          </w:p>
        </w:tc>
      </w:tr>
      <w:tr w:rsidR="007669FB" w:rsidRPr="007669FB" w14:paraId="7F8A8056" w14:textId="77777777" w:rsidTr="007669FB">
        <w:trPr>
          <w:trHeight w:val="300"/>
        </w:trPr>
        <w:tc>
          <w:tcPr>
            <w:tcW w:w="3019" w:type="dxa"/>
            <w:tcBorders>
              <w:top w:val="nil"/>
              <w:left w:val="nil"/>
              <w:bottom w:val="nil"/>
              <w:right w:val="nil"/>
            </w:tcBorders>
            <w:shd w:val="clear" w:color="auto" w:fill="auto"/>
            <w:vAlign w:val="center"/>
            <w:hideMark/>
          </w:tcPr>
          <w:p w14:paraId="775BC063" w14:textId="77777777" w:rsidR="007669FB" w:rsidRPr="007669FB" w:rsidRDefault="007669FB" w:rsidP="007669FB">
            <w:pPr>
              <w:spacing w:after="0" w:line="240" w:lineRule="auto"/>
              <w:rPr>
                <w:rFonts w:ascii="Times New Roman" w:eastAsia="Times New Roman" w:hAnsi="Times New Roman" w:cs="Times New Roman"/>
                <w:i/>
                <w:iCs/>
                <w:color w:val="000000"/>
                <w:sz w:val="20"/>
                <w:szCs w:val="20"/>
                <w:lang w:eastAsia="en-GB"/>
              </w:rPr>
            </w:pPr>
            <w:r w:rsidRPr="007669FB">
              <w:rPr>
                <w:rFonts w:ascii="Times New Roman" w:eastAsia="Times New Roman" w:hAnsi="Times New Roman" w:cs="Times New Roman"/>
                <w:i/>
                <w:iCs/>
                <w:color w:val="000000"/>
                <w:sz w:val="20"/>
                <w:szCs w:val="20"/>
                <w:lang w:eastAsia="en-GB"/>
              </w:rPr>
              <w:t>A: Raw BMI gap</w:t>
            </w:r>
          </w:p>
        </w:tc>
        <w:tc>
          <w:tcPr>
            <w:tcW w:w="1710" w:type="dxa"/>
            <w:tcBorders>
              <w:top w:val="nil"/>
              <w:left w:val="nil"/>
              <w:bottom w:val="nil"/>
              <w:right w:val="nil"/>
            </w:tcBorders>
            <w:shd w:val="clear" w:color="auto" w:fill="auto"/>
            <w:vAlign w:val="center"/>
            <w:hideMark/>
          </w:tcPr>
          <w:p w14:paraId="15F093FF" w14:textId="77777777" w:rsidR="007669FB" w:rsidRPr="007669FB" w:rsidRDefault="007669FB" w:rsidP="007669FB">
            <w:pPr>
              <w:spacing w:after="0" w:line="240" w:lineRule="auto"/>
              <w:rPr>
                <w:rFonts w:ascii="Times New Roman" w:eastAsia="Times New Roman" w:hAnsi="Times New Roman" w:cs="Times New Roman"/>
                <w:i/>
                <w:iCs/>
                <w:color w:val="000000"/>
                <w:sz w:val="20"/>
                <w:szCs w:val="20"/>
                <w:lang w:eastAsia="en-GB"/>
              </w:rPr>
            </w:pPr>
          </w:p>
        </w:tc>
        <w:tc>
          <w:tcPr>
            <w:tcW w:w="1770" w:type="dxa"/>
            <w:gridSpan w:val="2"/>
            <w:tcBorders>
              <w:top w:val="nil"/>
              <w:left w:val="nil"/>
              <w:bottom w:val="nil"/>
              <w:right w:val="nil"/>
            </w:tcBorders>
            <w:shd w:val="clear" w:color="auto" w:fill="auto"/>
            <w:vAlign w:val="center"/>
            <w:hideMark/>
          </w:tcPr>
          <w:p w14:paraId="496A6531" w14:textId="77777777" w:rsidR="007669FB" w:rsidRPr="007669FB" w:rsidRDefault="007669FB" w:rsidP="007669FB">
            <w:pPr>
              <w:spacing w:after="0" w:line="240" w:lineRule="auto"/>
              <w:jc w:val="center"/>
              <w:rPr>
                <w:rFonts w:ascii="Times New Roman" w:eastAsia="Times New Roman" w:hAnsi="Times New Roman" w:cs="Times New Roman"/>
                <w:sz w:val="20"/>
                <w:szCs w:val="20"/>
                <w:lang w:eastAsia="en-GB"/>
              </w:rPr>
            </w:pPr>
          </w:p>
        </w:tc>
        <w:tc>
          <w:tcPr>
            <w:tcW w:w="1770" w:type="dxa"/>
            <w:tcBorders>
              <w:top w:val="nil"/>
              <w:left w:val="nil"/>
              <w:bottom w:val="nil"/>
              <w:right w:val="nil"/>
            </w:tcBorders>
            <w:shd w:val="clear" w:color="auto" w:fill="auto"/>
            <w:vAlign w:val="center"/>
            <w:hideMark/>
          </w:tcPr>
          <w:p w14:paraId="11B8F48D" w14:textId="77777777" w:rsidR="007669FB" w:rsidRPr="007669FB" w:rsidRDefault="007669FB" w:rsidP="007669FB">
            <w:pPr>
              <w:spacing w:after="0" w:line="240" w:lineRule="auto"/>
              <w:jc w:val="center"/>
              <w:rPr>
                <w:rFonts w:ascii="Times New Roman" w:eastAsia="Times New Roman" w:hAnsi="Times New Roman" w:cs="Times New Roman"/>
                <w:sz w:val="20"/>
                <w:szCs w:val="20"/>
                <w:lang w:eastAsia="en-GB"/>
              </w:rPr>
            </w:pPr>
          </w:p>
        </w:tc>
      </w:tr>
      <w:tr w:rsidR="007669FB" w:rsidRPr="007669FB" w14:paraId="64E03911" w14:textId="77777777" w:rsidTr="007669FB">
        <w:trPr>
          <w:trHeight w:val="300"/>
        </w:trPr>
        <w:tc>
          <w:tcPr>
            <w:tcW w:w="3019" w:type="dxa"/>
            <w:tcBorders>
              <w:top w:val="nil"/>
              <w:left w:val="nil"/>
              <w:bottom w:val="nil"/>
              <w:right w:val="nil"/>
            </w:tcBorders>
            <w:shd w:val="clear" w:color="auto" w:fill="auto"/>
            <w:vAlign w:val="center"/>
            <w:hideMark/>
          </w:tcPr>
          <w:p w14:paraId="7F6A6F81"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Q</w:t>
            </w:r>
            <w:r w:rsidRPr="007669FB">
              <w:rPr>
                <w:rFonts w:ascii="Times New Roman" w:eastAsia="Times New Roman" w:hAnsi="Times New Roman" w:cs="Times New Roman"/>
                <w:color w:val="000000"/>
                <w:sz w:val="20"/>
                <w:szCs w:val="20"/>
                <w:vertAlign w:val="subscript"/>
                <w:lang w:eastAsia="en-GB"/>
              </w:rPr>
              <w:t>t</w:t>
            </w:r>
            <w:r w:rsidRPr="007669FB">
              <w:rPr>
                <w:rFonts w:ascii="Times New Roman" w:eastAsia="Times New Roman" w:hAnsi="Times New Roman" w:cs="Times New Roman"/>
                <w:color w:val="000000"/>
                <w:sz w:val="20"/>
                <w:szCs w:val="20"/>
                <w:lang w:eastAsia="en-GB"/>
              </w:rPr>
              <w:t>(2012-4) - Q</w:t>
            </w:r>
            <w:r w:rsidRPr="007669FB">
              <w:rPr>
                <w:rFonts w:ascii="Times New Roman" w:eastAsia="Times New Roman" w:hAnsi="Times New Roman" w:cs="Times New Roman"/>
                <w:color w:val="000000"/>
                <w:sz w:val="20"/>
                <w:szCs w:val="20"/>
                <w:vertAlign w:val="subscript"/>
                <w:lang w:eastAsia="en-GB"/>
              </w:rPr>
              <w:t>t</w:t>
            </w:r>
            <w:r w:rsidRPr="007669FB">
              <w:rPr>
                <w:rFonts w:ascii="Times New Roman" w:eastAsia="Times New Roman" w:hAnsi="Times New Roman" w:cs="Times New Roman"/>
                <w:color w:val="000000"/>
                <w:sz w:val="20"/>
                <w:szCs w:val="20"/>
                <w:lang w:eastAsia="en-GB"/>
              </w:rPr>
              <w:t>(2002-4)</w:t>
            </w:r>
          </w:p>
        </w:tc>
        <w:tc>
          <w:tcPr>
            <w:tcW w:w="1710" w:type="dxa"/>
            <w:tcBorders>
              <w:top w:val="nil"/>
              <w:left w:val="nil"/>
              <w:bottom w:val="nil"/>
              <w:right w:val="nil"/>
            </w:tcBorders>
            <w:shd w:val="clear" w:color="auto" w:fill="auto"/>
            <w:vAlign w:val="center"/>
            <w:hideMark/>
          </w:tcPr>
          <w:p w14:paraId="3144A944" w14:textId="77777777"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0.001</w:t>
            </w:r>
          </w:p>
        </w:tc>
        <w:tc>
          <w:tcPr>
            <w:tcW w:w="1770" w:type="dxa"/>
            <w:gridSpan w:val="2"/>
            <w:tcBorders>
              <w:top w:val="nil"/>
              <w:left w:val="nil"/>
              <w:bottom w:val="nil"/>
              <w:right w:val="nil"/>
            </w:tcBorders>
            <w:shd w:val="clear" w:color="auto" w:fill="auto"/>
            <w:vAlign w:val="center"/>
            <w:hideMark/>
          </w:tcPr>
          <w:p w14:paraId="321E63DB" w14:textId="77777777"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0.134</w:t>
            </w:r>
          </w:p>
        </w:tc>
        <w:tc>
          <w:tcPr>
            <w:tcW w:w="1770" w:type="dxa"/>
            <w:tcBorders>
              <w:top w:val="nil"/>
              <w:left w:val="nil"/>
              <w:bottom w:val="nil"/>
              <w:right w:val="nil"/>
            </w:tcBorders>
            <w:shd w:val="clear" w:color="auto" w:fill="auto"/>
            <w:vAlign w:val="center"/>
            <w:hideMark/>
          </w:tcPr>
          <w:p w14:paraId="52E98D58" w14:textId="77777777"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0.845</w:t>
            </w:r>
          </w:p>
        </w:tc>
      </w:tr>
      <w:tr w:rsidR="007669FB" w:rsidRPr="007669FB" w14:paraId="25D3988C" w14:textId="77777777" w:rsidTr="007669FB">
        <w:trPr>
          <w:trHeight w:val="315"/>
        </w:trPr>
        <w:tc>
          <w:tcPr>
            <w:tcW w:w="3019" w:type="dxa"/>
            <w:tcBorders>
              <w:top w:val="nil"/>
              <w:left w:val="nil"/>
              <w:bottom w:val="single" w:sz="8" w:space="0" w:color="auto"/>
              <w:right w:val="nil"/>
            </w:tcBorders>
            <w:shd w:val="clear" w:color="auto" w:fill="auto"/>
            <w:vAlign w:val="center"/>
            <w:hideMark/>
          </w:tcPr>
          <w:p w14:paraId="08FA21B0"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10" w:type="dxa"/>
            <w:tcBorders>
              <w:top w:val="nil"/>
              <w:left w:val="nil"/>
              <w:bottom w:val="single" w:sz="8" w:space="0" w:color="auto"/>
              <w:right w:val="nil"/>
            </w:tcBorders>
            <w:shd w:val="clear" w:color="auto" w:fill="auto"/>
            <w:vAlign w:val="center"/>
            <w:hideMark/>
          </w:tcPr>
          <w:p w14:paraId="7EEB0E9D" w14:textId="0183D1F8"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445B79" w:rsidRPr="007669FB">
              <w:rPr>
                <w:rFonts w:ascii="Times New Roman" w:eastAsia="Times New Roman" w:hAnsi="Times New Roman" w:cs="Times New Roman"/>
                <w:color w:val="000000"/>
                <w:sz w:val="20"/>
                <w:szCs w:val="20"/>
                <w:lang w:eastAsia="en-GB"/>
              </w:rPr>
              <w:t>0</w:t>
            </w:r>
            <w:r w:rsidR="00445B79">
              <w:rPr>
                <w:rFonts w:ascii="Times New Roman" w:eastAsia="Times New Roman" w:hAnsi="Times New Roman" w:cs="Times New Roman"/>
                <w:color w:val="000000"/>
                <w:sz w:val="20"/>
                <w:szCs w:val="20"/>
                <w:lang w:eastAsia="en-GB"/>
              </w:rPr>
              <w:t>80</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single" w:sz="8" w:space="0" w:color="auto"/>
              <w:right w:val="nil"/>
            </w:tcBorders>
            <w:shd w:val="clear" w:color="auto" w:fill="auto"/>
            <w:vAlign w:val="center"/>
            <w:hideMark/>
          </w:tcPr>
          <w:p w14:paraId="1A9C8749" w14:textId="391AD895"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445B79" w:rsidRPr="007669FB">
              <w:rPr>
                <w:rFonts w:ascii="Times New Roman" w:eastAsia="Times New Roman" w:hAnsi="Times New Roman" w:cs="Times New Roman"/>
                <w:color w:val="000000"/>
                <w:sz w:val="20"/>
                <w:szCs w:val="20"/>
                <w:lang w:eastAsia="en-GB"/>
              </w:rPr>
              <w:t>0</w:t>
            </w:r>
            <w:r w:rsidR="00445B79">
              <w:rPr>
                <w:rFonts w:ascii="Times New Roman" w:eastAsia="Times New Roman" w:hAnsi="Times New Roman" w:cs="Times New Roman"/>
                <w:color w:val="000000"/>
                <w:sz w:val="20"/>
                <w:szCs w:val="20"/>
                <w:lang w:eastAsia="en-GB"/>
              </w:rPr>
              <w:t>69</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single" w:sz="8" w:space="0" w:color="auto"/>
              <w:right w:val="nil"/>
            </w:tcBorders>
            <w:shd w:val="clear" w:color="auto" w:fill="auto"/>
            <w:vAlign w:val="center"/>
            <w:hideMark/>
          </w:tcPr>
          <w:p w14:paraId="01FEC4E1" w14:textId="77777777" w:rsidR="007669FB" w:rsidRPr="007669FB"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(0.136)</w:t>
            </w:r>
          </w:p>
        </w:tc>
      </w:tr>
      <w:tr w:rsidR="007669FB" w:rsidRPr="007669FB" w14:paraId="428BAA80" w14:textId="77777777" w:rsidTr="007669FB">
        <w:trPr>
          <w:trHeight w:val="510"/>
        </w:trPr>
        <w:tc>
          <w:tcPr>
            <w:tcW w:w="3019" w:type="dxa"/>
            <w:tcBorders>
              <w:top w:val="nil"/>
              <w:left w:val="nil"/>
              <w:bottom w:val="nil"/>
              <w:right w:val="nil"/>
            </w:tcBorders>
            <w:shd w:val="clear" w:color="auto" w:fill="auto"/>
            <w:vAlign w:val="center"/>
            <w:hideMark/>
          </w:tcPr>
          <w:p w14:paraId="418FFE2A" w14:textId="77777777" w:rsidR="007669FB" w:rsidRPr="00BA6D91" w:rsidRDefault="007669FB" w:rsidP="007669FB">
            <w:pPr>
              <w:spacing w:after="0" w:line="240" w:lineRule="auto"/>
              <w:rPr>
                <w:rFonts w:ascii="Times New Roman" w:eastAsia="Times New Roman" w:hAnsi="Times New Roman" w:cs="Times New Roman"/>
                <w:i/>
                <w:iCs/>
                <w:color w:val="000000"/>
                <w:sz w:val="20"/>
                <w:szCs w:val="20"/>
                <w:lang w:eastAsia="en-GB"/>
              </w:rPr>
            </w:pPr>
            <w:r w:rsidRPr="00D351AC">
              <w:rPr>
                <w:rFonts w:ascii="Times New Roman" w:eastAsia="Times New Roman" w:hAnsi="Times New Roman" w:cs="Times New Roman"/>
                <w:i/>
                <w:iCs/>
                <w:color w:val="000000"/>
                <w:sz w:val="20"/>
                <w:szCs w:val="20"/>
                <w:lang w:eastAsia="en-GB"/>
              </w:rPr>
              <w:t>B: Decomposition method: Machado-Mata–</w:t>
            </w:r>
            <w:proofErr w:type="spellStart"/>
            <w:r w:rsidRPr="00D351AC">
              <w:rPr>
                <w:rFonts w:ascii="Times New Roman" w:eastAsia="Times New Roman" w:hAnsi="Times New Roman" w:cs="Times New Roman"/>
                <w:i/>
                <w:iCs/>
                <w:color w:val="000000"/>
                <w:sz w:val="20"/>
                <w:szCs w:val="20"/>
                <w:lang w:eastAsia="en-GB"/>
              </w:rPr>
              <w:t>Melly</w:t>
            </w:r>
            <w:proofErr w:type="spellEnd"/>
          </w:p>
        </w:tc>
        <w:tc>
          <w:tcPr>
            <w:tcW w:w="1710" w:type="dxa"/>
            <w:tcBorders>
              <w:top w:val="nil"/>
              <w:left w:val="nil"/>
              <w:bottom w:val="nil"/>
              <w:right w:val="nil"/>
            </w:tcBorders>
            <w:shd w:val="clear" w:color="auto" w:fill="auto"/>
            <w:vAlign w:val="center"/>
            <w:hideMark/>
          </w:tcPr>
          <w:p w14:paraId="4C1670CA" w14:textId="77777777" w:rsidR="007669FB" w:rsidRPr="00BA6D91"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 </w:t>
            </w:r>
          </w:p>
        </w:tc>
        <w:tc>
          <w:tcPr>
            <w:tcW w:w="1770" w:type="dxa"/>
            <w:gridSpan w:val="2"/>
            <w:tcBorders>
              <w:top w:val="nil"/>
              <w:left w:val="nil"/>
              <w:bottom w:val="nil"/>
              <w:right w:val="nil"/>
            </w:tcBorders>
            <w:shd w:val="clear" w:color="auto" w:fill="auto"/>
            <w:vAlign w:val="center"/>
            <w:hideMark/>
          </w:tcPr>
          <w:p w14:paraId="13F1E5EE" w14:textId="77777777" w:rsidR="007669FB" w:rsidRPr="00BA6D91"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 </w:t>
            </w:r>
          </w:p>
        </w:tc>
        <w:tc>
          <w:tcPr>
            <w:tcW w:w="1770" w:type="dxa"/>
            <w:tcBorders>
              <w:top w:val="nil"/>
              <w:left w:val="nil"/>
              <w:bottom w:val="nil"/>
              <w:right w:val="nil"/>
            </w:tcBorders>
            <w:shd w:val="clear" w:color="auto" w:fill="auto"/>
            <w:vAlign w:val="center"/>
            <w:hideMark/>
          </w:tcPr>
          <w:p w14:paraId="420E8831" w14:textId="77777777" w:rsidR="007669FB" w:rsidRPr="00BA6D91" w:rsidRDefault="007669FB" w:rsidP="007669FB">
            <w:pPr>
              <w:spacing w:after="0" w:line="240" w:lineRule="auto"/>
              <w:jc w:val="center"/>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 </w:t>
            </w:r>
          </w:p>
        </w:tc>
      </w:tr>
      <w:tr w:rsidR="007669FB" w:rsidRPr="007669FB" w14:paraId="3438E828" w14:textId="77777777" w:rsidTr="007669FB">
        <w:trPr>
          <w:trHeight w:val="510"/>
        </w:trPr>
        <w:tc>
          <w:tcPr>
            <w:tcW w:w="3019" w:type="dxa"/>
            <w:tcBorders>
              <w:top w:val="nil"/>
              <w:left w:val="nil"/>
              <w:bottom w:val="nil"/>
              <w:right w:val="nil"/>
            </w:tcBorders>
            <w:shd w:val="clear" w:color="auto" w:fill="auto"/>
            <w:vAlign w:val="center"/>
            <w:hideMark/>
          </w:tcPr>
          <w:p w14:paraId="0318BD28" w14:textId="77777777" w:rsidR="007669FB" w:rsidRPr="00BA6D91" w:rsidRDefault="007669FB" w:rsidP="007669FB">
            <w:pPr>
              <w:spacing w:after="0" w:line="240" w:lineRule="auto"/>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Q</w:t>
            </w:r>
            <w:r w:rsidRPr="00D351AC">
              <w:rPr>
                <w:rFonts w:ascii="Times New Roman" w:eastAsia="Times New Roman" w:hAnsi="Times New Roman" w:cs="Times New Roman"/>
                <w:color w:val="000000"/>
                <w:sz w:val="20"/>
                <w:szCs w:val="20"/>
                <w:vertAlign w:val="subscript"/>
                <w:lang w:eastAsia="en-GB"/>
              </w:rPr>
              <w:t>t</w:t>
            </w:r>
            <w:r w:rsidRPr="00BA6D91">
              <w:rPr>
                <w:rFonts w:ascii="Times New Roman" w:eastAsia="Times New Roman" w:hAnsi="Times New Roman" w:cs="Times New Roman"/>
                <w:color w:val="000000"/>
                <w:sz w:val="20"/>
                <w:szCs w:val="20"/>
                <w:lang w:eastAsia="en-GB"/>
              </w:rPr>
              <w:t>(2012-4) - Q</w:t>
            </w:r>
            <w:r w:rsidRPr="00BA6D91">
              <w:rPr>
                <w:rFonts w:ascii="Times New Roman" w:eastAsia="Times New Roman" w:hAnsi="Times New Roman" w:cs="Times New Roman"/>
                <w:color w:val="000000"/>
                <w:sz w:val="20"/>
                <w:szCs w:val="20"/>
                <w:vertAlign w:val="subscript"/>
                <w:lang w:eastAsia="en-GB"/>
              </w:rPr>
              <w:t>t</w:t>
            </w:r>
            <w:r w:rsidRPr="00BA6D91">
              <w:rPr>
                <w:rFonts w:ascii="Times New Roman" w:eastAsia="Times New Roman" w:hAnsi="Times New Roman" w:cs="Times New Roman"/>
                <w:color w:val="000000"/>
                <w:sz w:val="20"/>
                <w:szCs w:val="20"/>
                <w:lang w:eastAsia="en-GB"/>
              </w:rPr>
              <w:t>(2002-4)</w:t>
            </w:r>
          </w:p>
        </w:tc>
        <w:tc>
          <w:tcPr>
            <w:tcW w:w="1710" w:type="dxa"/>
            <w:tcBorders>
              <w:top w:val="nil"/>
              <w:left w:val="nil"/>
              <w:bottom w:val="nil"/>
              <w:right w:val="nil"/>
            </w:tcBorders>
            <w:shd w:val="clear" w:color="auto" w:fill="auto"/>
            <w:vAlign w:val="center"/>
            <w:hideMark/>
          </w:tcPr>
          <w:p w14:paraId="671D5409" w14:textId="55F39C87" w:rsidR="007669FB" w:rsidRPr="00D351AC"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w:t>
            </w:r>
            <w:r w:rsidR="00BA6D91" w:rsidRPr="00BA6D91">
              <w:rPr>
                <w:rFonts w:ascii="Times New Roman" w:eastAsia="Times New Roman" w:hAnsi="Times New Roman" w:cs="Times New Roman"/>
                <w:color w:val="000000"/>
                <w:sz w:val="20"/>
                <w:szCs w:val="20"/>
                <w:lang w:eastAsia="en-GB"/>
              </w:rPr>
              <w:t>0</w:t>
            </w:r>
            <w:r w:rsidR="00BA6D91" w:rsidRPr="002759E1">
              <w:rPr>
                <w:rFonts w:ascii="Times New Roman" w:eastAsia="Times New Roman" w:hAnsi="Times New Roman" w:cs="Times New Roman"/>
                <w:color w:val="000000"/>
                <w:sz w:val="20"/>
                <w:szCs w:val="20"/>
                <w:lang w:eastAsia="en-GB"/>
              </w:rPr>
              <w:t>05</w:t>
            </w:r>
          </w:p>
        </w:tc>
        <w:tc>
          <w:tcPr>
            <w:tcW w:w="1770" w:type="dxa"/>
            <w:gridSpan w:val="2"/>
            <w:tcBorders>
              <w:top w:val="nil"/>
              <w:left w:val="nil"/>
              <w:bottom w:val="nil"/>
              <w:right w:val="nil"/>
            </w:tcBorders>
            <w:shd w:val="clear" w:color="auto" w:fill="auto"/>
            <w:vAlign w:val="center"/>
            <w:hideMark/>
          </w:tcPr>
          <w:p w14:paraId="6B2DD96D" w14:textId="7DC8C885"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0.1</w:t>
            </w:r>
            <w:r w:rsidR="00BA6D91" w:rsidRPr="002759E1">
              <w:rPr>
                <w:rFonts w:ascii="Times New Roman" w:eastAsia="Times New Roman" w:hAnsi="Times New Roman" w:cs="Times New Roman"/>
                <w:color w:val="000000"/>
                <w:sz w:val="20"/>
                <w:szCs w:val="20"/>
                <w:lang w:eastAsia="en-GB"/>
              </w:rPr>
              <w:t>44</w:t>
            </w:r>
            <w:r w:rsidRPr="00BA6D91">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58FB1A9D" w14:textId="1AC1A296" w:rsidR="007669FB" w:rsidRPr="00D351AC"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w:t>
            </w:r>
            <w:r w:rsidR="00BA6D91" w:rsidRPr="002759E1">
              <w:rPr>
                <w:rFonts w:ascii="Times New Roman" w:eastAsia="Times New Roman" w:hAnsi="Times New Roman" w:cs="Times New Roman"/>
                <w:color w:val="000000"/>
                <w:sz w:val="20"/>
                <w:szCs w:val="20"/>
                <w:lang w:eastAsia="en-GB"/>
              </w:rPr>
              <w:t>880</w:t>
            </w:r>
            <w:r w:rsidRPr="00D351AC">
              <w:rPr>
                <w:rFonts w:ascii="Times New Roman" w:eastAsia="Times New Roman" w:hAnsi="Times New Roman" w:cs="Times New Roman"/>
                <w:color w:val="000000"/>
                <w:sz w:val="20"/>
                <w:szCs w:val="20"/>
                <w:lang w:eastAsia="en-GB"/>
              </w:rPr>
              <w:t>***</w:t>
            </w:r>
          </w:p>
        </w:tc>
      </w:tr>
      <w:tr w:rsidR="007669FB" w:rsidRPr="007669FB" w14:paraId="7685E7CE" w14:textId="77777777" w:rsidTr="007669FB">
        <w:trPr>
          <w:trHeight w:val="300"/>
        </w:trPr>
        <w:tc>
          <w:tcPr>
            <w:tcW w:w="3019" w:type="dxa"/>
            <w:tcBorders>
              <w:top w:val="nil"/>
              <w:left w:val="nil"/>
              <w:bottom w:val="nil"/>
              <w:right w:val="nil"/>
            </w:tcBorders>
            <w:shd w:val="clear" w:color="auto" w:fill="auto"/>
            <w:vAlign w:val="center"/>
            <w:hideMark/>
          </w:tcPr>
          <w:p w14:paraId="062F0852" w14:textId="77777777" w:rsidR="007669FB" w:rsidRPr="00D351AC"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555EF7B2" w14:textId="1187092C"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(0.04</w:t>
            </w:r>
            <w:r w:rsidR="00BA6D91" w:rsidRPr="002759E1">
              <w:rPr>
                <w:rFonts w:ascii="Times New Roman" w:eastAsia="Times New Roman" w:hAnsi="Times New Roman" w:cs="Times New Roman"/>
                <w:color w:val="000000"/>
                <w:sz w:val="20"/>
                <w:szCs w:val="20"/>
                <w:lang w:eastAsia="en-GB"/>
              </w:rPr>
              <w:t>3</w:t>
            </w:r>
            <w:r w:rsidRPr="00BA6D91">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37515390" w14:textId="047784B3"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(0.04</w:t>
            </w:r>
            <w:r w:rsidR="00BA6D91" w:rsidRPr="002759E1">
              <w:rPr>
                <w:rFonts w:ascii="Times New Roman" w:eastAsia="Times New Roman" w:hAnsi="Times New Roman" w:cs="Times New Roman"/>
                <w:color w:val="000000"/>
                <w:sz w:val="20"/>
                <w:szCs w:val="20"/>
                <w:lang w:eastAsia="en-GB"/>
              </w:rPr>
              <w:t>3</w:t>
            </w:r>
            <w:r w:rsidRPr="00BA6D91">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45FF845E" w14:textId="782A84D7"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(0.09</w:t>
            </w:r>
            <w:r w:rsidR="00BA6D91" w:rsidRPr="002759E1">
              <w:rPr>
                <w:rFonts w:ascii="Times New Roman" w:eastAsia="Times New Roman" w:hAnsi="Times New Roman" w:cs="Times New Roman"/>
                <w:color w:val="000000"/>
                <w:sz w:val="20"/>
                <w:szCs w:val="20"/>
                <w:lang w:eastAsia="en-GB"/>
              </w:rPr>
              <w:t>5</w:t>
            </w:r>
            <w:r w:rsidRPr="00BA6D91">
              <w:rPr>
                <w:rFonts w:ascii="Times New Roman" w:eastAsia="Times New Roman" w:hAnsi="Times New Roman" w:cs="Times New Roman"/>
                <w:color w:val="000000"/>
                <w:sz w:val="20"/>
                <w:szCs w:val="20"/>
                <w:lang w:eastAsia="en-GB"/>
              </w:rPr>
              <w:t>)</w:t>
            </w:r>
          </w:p>
        </w:tc>
      </w:tr>
      <w:tr w:rsidR="007669FB" w:rsidRPr="007669FB" w14:paraId="0D5F76A9" w14:textId="77777777" w:rsidTr="007669FB">
        <w:trPr>
          <w:trHeight w:val="510"/>
        </w:trPr>
        <w:tc>
          <w:tcPr>
            <w:tcW w:w="3019" w:type="dxa"/>
            <w:tcBorders>
              <w:top w:val="nil"/>
              <w:left w:val="nil"/>
              <w:bottom w:val="nil"/>
              <w:right w:val="nil"/>
            </w:tcBorders>
            <w:shd w:val="clear" w:color="auto" w:fill="auto"/>
            <w:vAlign w:val="center"/>
            <w:hideMark/>
          </w:tcPr>
          <w:p w14:paraId="0A1ACBFD" w14:textId="77777777" w:rsidR="007669FB" w:rsidRPr="00BA6D91" w:rsidRDefault="007669FB" w:rsidP="007669FB">
            <w:pPr>
              <w:spacing w:after="0" w:line="240" w:lineRule="auto"/>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Attributable to characteristics</w:t>
            </w:r>
          </w:p>
        </w:tc>
        <w:tc>
          <w:tcPr>
            <w:tcW w:w="1710" w:type="dxa"/>
            <w:tcBorders>
              <w:top w:val="nil"/>
              <w:left w:val="nil"/>
              <w:bottom w:val="nil"/>
              <w:right w:val="nil"/>
            </w:tcBorders>
            <w:shd w:val="clear" w:color="auto" w:fill="auto"/>
            <w:vAlign w:val="center"/>
            <w:hideMark/>
          </w:tcPr>
          <w:p w14:paraId="41107004" w14:textId="123726B1" w:rsidR="007669FB" w:rsidRPr="00D351AC"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w:t>
            </w:r>
            <w:r w:rsidR="00BA6D91" w:rsidRPr="00BA6D91">
              <w:rPr>
                <w:rFonts w:ascii="Times New Roman" w:eastAsia="Times New Roman" w:hAnsi="Times New Roman" w:cs="Times New Roman"/>
                <w:color w:val="000000"/>
                <w:sz w:val="20"/>
                <w:szCs w:val="20"/>
                <w:lang w:eastAsia="en-GB"/>
              </w:rPr>
              <w:t>0</w:t>
            </w:r>
            <w:r w:rsidR="00BA6D91" w:rsidRPr="002759E1">
              <w:rPr>
                <w:rFonts w:ascii="Times New Roman" w:eastAsia="Times New Roman" w:hAnsi="Times New Roman" w:cs="Times New Roman"/>
                <w:color w:val="000000"/>
                <w:sz w:val="20"/>
                <w:szCs w:val="20"/>
                <w:lang w:eastAsia="en-GB"/>
              </w:rPr>
              <w:t>91</w:t>
            </w:r>
          </w:p>
        </w:tc>
        <w:tc>
          <w:tcPr>
            <w:tcW w:w="1770" w:type="dxa"/>
            <w:gridSpan w:val="2"/>
            <w:tcBorders>
              <w:top w:val="nil"/>
              <w:left w:val="nil"/>
              <w:bottom w:val="nil"/>
              <w:right w:val="nil"/>
            </w:tcBorders>
            <w:shd w:val="clear" w:color="auto" w:fill="auto"/>
            <w:vAlign w:val="center"/>
            <w:hideMark/>
          </w:tcPr>
          <w:p w14:paraId="2EA631C1" w14:textId="68D40E11" w:rsidR="007669FB" w:rsidRPr="00D351AC" w:rsidRDefault="00BA6D91"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2759E1">
              <w:rPr>
                <w:rFonts w:ascii="Times New Roman" w:eastAsia="Times New Roman" w:hAnsi="Times New Roman" w:cs="Times New Roman"/>
                <w:color w:val="000000"/>
                <w:sz w:val="20"/>
                <w:szCs w:val="20"/>
                <w:lang w:eastAsia="en-GB"/>
              </w:rPr>
              <w:t>-0.223***</w:t>
            </w:r>
          </w:p>
        </w:tc>
        <w:tc>
          <w:tcPr>
            <w:tcW w:w="1770" w:type="dxa"/>
            <w:tcBorders>
              <w:top w:val="nil"/>
              <w:left w:val="nil"/>
              <w:bottom w:val="nil"/>
              <w:right w:val="nil"/>
            </w:tcBorders>
            <w:shd w:val="clear" w:color="auto" w:fill="auto"/>
            <w:vAlign w:val="center"/>
            <w:hideMark/>
          </w:tcPr>
          <w:p w14:paraId="38CF8CF5" w14:textId="2A2CA41A" w:rsidR="007669FB" w:rsidRPr="00BA6D91" w:rsidRDefault="00BA6D91"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2759E1">
              <w:rPr>
                <w:rFonts w:ascii="Times New Roman" w:eastAsia="Times New Roman" w:hAnsi="Times New Roman" w:cs="Times New Roman"/>
                <w:color w:val="000000"/>
                <w:sz w:val="20"/>
                <w:szCs w:val="20"/>
                <w:lang w:eastAsia="en-GB"/>
              </w:rPr>
              <w:t>-0.425</w:t>
            </w:r>
            <w:r w:rsidR="007669FB" w:rsidRPr="00D351AC">
              <w:rPr>
                <w:rFonts w:ascii="Times New Roman" w:eastAsia="Times New Roman" w:hAnsi="Times New Roman" w:cs="Times New Roman"/>
                <w:color w:val="000000"/>
                <w:sz w:val="20"/>
                <w:szCs w:val="20"/>
                <w:lang w:eastAsia="en-GB"/>
              </w:rPr>
              <w:t>***</w:t>
            </w:r>
          </w:p>
        </w:tc>
      </w:tr>
      <w:tr w:rsidR="007669FB" w:rsidRPr="007669FB" w14:paraId="31C695B8" w14:textId="77777777" w:rsidTr="007669FB">
        <w:trPr>
          <w:trHeight w:val="300"/>
        </w:trPr>
        <w:tc>
          <w:tcPr>
            <w:tcW w:w="3019" w:type="dxa"/>
            <w:tcBorders>
              <w:top w:val="nil"/>
              <w:left w:val="nil"/>
              <w:bottom w:val="nil"/>
              <w:right w:val="nil"/>
            </w:tcBorders>
            <w:shd w:val="clear" w:color="auto" w:fill="auto"/>
            <w:vAlign w:val="center"/>
            <w:hideMark/>
          </w:tcPr>
          <w:p w14:paraId="2257FB33" w14:textId="77777777" w:rsidR="007669FB" w:rsidRPr="00D351AC"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244CAA25" w14:textId="0DA051F0"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(0.0</w:t>
            </w:r>
            <w:r w:rsidR="00BA6D91" w:rsidRPr="002759E1">
              <w:rPr>
                <w:rFonts w:ascii="Times New Roman" w:eastAsia="Times New Roman" w:hAnsi="Times New Roman" w:cs="Times New Roman"/>
                <w:color w:val="000000"/>
                <w:sz w:val="20"/>
                <w:szCs w:val="20"/>
                <w:lang w:eastAsia="en-GB"/>
              </w:rPr>
              <w:t>73</w:t>
            </w:r>
            <w:r w:rsidRPr="00BA6D91">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2C282662" w14:textId="5A742B85"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(0.0</w:t>
            </w:r>
            <w:r w:rsidR="00BA6D91" w:rsidRPr="002759E1">
              <w:rPr>
                <w:rFonts w:ascii="Times New Roman" w:eastAsia="Times New Roman" w:hAnsi="Times New Roman" w:cs="Times New Roman"/>
                <w:color w:val="000000"/>
                <w:sz w:val="20"/>
                <w:szCs w:val="20"/>
                <w:lang w:eastAsia="en-GB"/>
              </w:rPr>
              <w:t>66</w:t>
            </w:r>
            <w:r w:rsidRPr="00BA6D91">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1B554862" w14:textId="35B66429"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w:t>
            </w:r>
            <w:r w:rsidR="00BA6D91" w:rsidRPr="002759E1">
              <w:rPr>
                <w:rFonts w:ascii="Times New Roman" w:eastAsia="Times New Roman" w:hAnsi="Times New Roman" w:cs="Times New Roman"/>
                <w:color w:val="000000"/>
                <w:sz w:val="20"/>
                <w:szCs w:val="20"/>
                <w:lang w:eastAsia="en-GB"/>
              </w:rPr>
              <w:t>132</w:t>
            </w:r>
            <w:r w:rsidRPr="00D351AC">
              <w:rPr>
                <w:rFonts w:ascii="Times New Roman" w:eastAsia="Times New Roman" w:hAnsi="Times New Roman" w:cs="Times New Roman"/>
                <w:color w:val="000000"/>
                <w:sz w:val="20"/>
                <w:szCs w:val="20"/>
                <w:lang w:eastAsia="en-GB"/>
              </w:rPr>
              <w:t>)</w:t>
            </w:r>
          </w:p>
        </w:tc>
      </w:tr>
      <w:tr w:rsidR="007669FB" w:rsidRPr="007669FB" w14:paraId="049E833D" w14:textId="77777777" w:rsidTr="007669FB">
        <w:trPr>
          <w:trHeight w:val="510"/>
        </w:trPr>
        <w:tc>
          <w:tcPr>
            <w:tcW w:w="3019" w:type="dxa"/>
            <w:tcBorders>
              <w:top w:val="nil"/>
              <w:left w:val="nil"/>
              <w:bottom w:val="nil"/>
              <w:right w:val="nil"/>
            </w:tcBorders>
            <w:shd w:val="clear" w:color="auto" w:fill="auto"/>
            <w:vAlign w:val="center"/>
            <w:hideMark/>
          </w:tcPr>
          <w:p w14:paraId="2A6A7D93" w14:textId="77777777" w:rsidR="007669FB" w:rsidRPr="00BA6D91" w:rsidRDefault="007669FB" w:rsidP="007669FB">
            <w:pPr>
              <w:spacing w:after="0" w:line="240" w:lineRule="auto"/>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Attributable to coefficients</w:t>
            </w:r>
          </w:p>
        </w:tc>
        <w:tc>
          <w:tcPr>
            <w:tcW w:w="1710" w:type="dxa"/>
            <w:tcBorders>
              <w:top w:val="nil"/>
              <w:left w:val="nil"/>
              <w:bottom w:val="nil"/>
              <w:right w:val="nil"/>
            </w:tcBorders>
            <w:shd w:val="clear" w:color="auto" w:fill="auto"/>
            <w:vAlign w:val="center"/>
            <w:hideMark/>
          </w:tcPr>
          <w:p w14:paraId="5260400D" w14:textId="312D4061"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w:t>
            </w:r>
            <w:r w:rsidR="00BA6D91" w:rsidRPr="002759E1">
              <w:rPr>
                <w:rFonts w:ascii="Times New Roman" w:eastAsia="Times New Roman" w:hAnsi="Times New Roman" w:cs="Times New Roman"/>
                <w:color w:val="000000"/>
                <w:sz w:val="20"/>
                <w:szCs w:val="20"/>
                <w:lang w:eastAsia="en-GB"/>
              </w:rPr>
              <w:t>097</w:t>
            </w:r>
          </w:p>
        </w:tc>
        <w:tc>
          <w:tcPr>
            <w:tcW w:w="1770" w:type="dxa"/>
            <w:gridSpan w:val="2"/>
            <w:tcBorders>
              <w:top w:val="nil"/>
              <w:left w:val="nil"/>
              <w:bottom w:val="nil"/>
              <w:right w:val="nil"/>
            </w:tcBorders>
            <w:shd w:val="clear" w:color="auto" w:fill="auto"/>
            <w:vAlign w:val="center"/>
            <w:hideMark/>
          </w:tcPr>
          <w:p w14:paraId="51860FC8" w14:textId="300B87A8"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w:t>
            </w:r>
            <w:r w:rsidR="00BA6D91" w:rsidRPr="002759E1">
              <w:rPr>
                <w:rFonts w:ascii="Times New Roman" w:eastAsia="Times New Roman" w:hAnsi="Times New Roman" w:cs="Times New Roman"/>
                <w:color w:val="000000"/>
                <w:sz w:val="20"/>
                <w:szCs w:val="20"/>
                <w:lang w:eastAsia="en-GB"/>
              </w:rPr>
              <w:t>368***</w:t>
            </w:r>
          </w:p>
        </w:tc>
        <w:tc>
          <w:tcPr>
            <w:tcW w:w="1770" w:type="dxa"/>
            <w:tcBorders>
              <w:top w:val="nil"/>
              <w:left w:val="nil"/>
              <w:bottom w:val="nil"/>
              <w:right w:val="nil"/>
            </w:tcBorders>
            <w:shd w:val="clear" w:color="auto" w:fill="auto"/>
            <w:vAlign w:val="center"/>
            <w:hideMark/>
          </w:tcPr>
          <w:p w14:paraId="1F185C6D" w14:textId="455FF745" w:rsidR="007669FB" w:rsidRPr="00BA6D91" w:rsidRDefault="00BA6D91"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2759E1">
              <w:rPr>
                <w:rFonts w:ascii="Times New Roman" w:eastAsia="Times New Roman" w:hAnsi="Times New Roman" w:cs="Times New Roman"/>
                <w:color w:val="000000"/>
                <w:sz w:val="20"/>
                <w:szCs w:val="20"/>
                <w:lang w:eastAsia="en-GB"/>
              </w:rPr>
              <w:t>1.306</w:t>
            </w:r>
            <w:r w:rsidR="007669FB" w:rsidRPr="00D351AC">
              <w:rPr>
                <w:rFonts w:ascii="Times New Roman" w:eastAsia="Times New Roman" w:hAnsi="Times New Roman" w:cs="Times New Roman"/>
                <w:color w:val="000000"/>
                <w:sz w:val="20"/>
                <w:szCs w:val="20"/>
                <w:lang w:eastAsia="en-GB"/>
              </w:rPr>
              <w:t>***</w:t>
            </w:r>
          </w:p>
        </w:tc>
      </w:tr>
      <w:tr w:rsidR="007669FB" w:rsidRPr="007669FB" w14:paraId="5B71B0E9" w14:textId="77777777" w:rsidTr="007669FB">
        <w:trPr>
          <w:trHeight w:val="315"/>
        </w:trPr>
        <w:tc>
          <w:tcPr>
            <w:tcW w:w="3019" w:type="dxa"/>
            <w:tcBorders>
              <w:top w:val="nil"/>
              <w:left w:val="nil"/>
              <w:bottom w:val="single" w:sz="8" w:space="0" w:color="auto"/>
              <w:right w:val="nil"/>
            </w:tcBorders>
            <w:shd w:val="clear" w:color="auto" w:fill="auto"/>
            <w:vAlign w:val="center"/>
            <w:hideMark/>
          </w:tcPr>
          <w:p w14:paraId="501D7322" w14:textId="77777777" w:rsidR="007669FB" w:rsidRPr="00BA6D91" w:rsidRDefault="007669FB" w:rsidP="007669FB">
            <w:pPr>
              <w:spacing w:after="0" w:line="240" w:lineRule="auto"/>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 </w:t>
            </w:r>
          </w:p>
        </w:tc>
        <w:tc>
          <w:tcPr>
            <w:tcW w:w="1710" w:type="dxa"/>
            <w:tcBorders>
              <w:top w:val="nil"/>
              <w:left w:val="nil"/>
              <w:bottom w:val="single" w:sz="8" w:space="0" w:color="auto"/>
              <w:right w:val="nil"/>
            </w:tcBorders>
            <w:shd w:val="clear" w:color="auto" w:fill="auto"/>
            <w:vAlign w:val="center"/>
            <w:hideMark/>
          </w:tcPr>
          <w:p w14:paraId="14D6AD21" w14:textId="0D9DF799"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(0.0</w:t>
            </w:r>
            <w:r w:rsidR="00BA6D91" w:rsidRPr="002759E1">
              <w:rPr>
                <w:rFonts w:ascii="Times New Roman" w:eastAsia="Times New Roman" w:hAnsi="Times New Roman" w:cs="Times New Roman"/>
                <w:color w:val="000000"/>
                <w:sz w:val="20"/>
                <w:szCs w:val="20"/>
                <w:lang w:eastAsia="en-GB"/>
              </w:rPr>
              <w:t>67</w:t>
            </w:r>
            <w:r w:rsidRPr="00BA6D91">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single" w:sz="8" w:space="0" w:color="auto"/>
              <w:right w:val="nil"/>
            </w:tcBorders>
            <w:shd w:val="clear" w:color="auto" w:fill="auto"/>
            <w:vAlign w:val="center"/>
            <w:hideMark/>
          </w:tcPr>
          <w:p w14:paraId="0ABC934C" w14:textId="5AFD94F9"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w:t>
            </w:r>
            <w:r w:rsidR="00BA6D91" w:rsidRPr="00BA6D91">
              <w:rPr>
                <w:rFonts w:ascii="Times New Roman" w:eastAsia="Times New Roman" w:hAnsi="Times New Roman" w:cs="Times New Roman"/>
                <w:color w:val="000000"/>
                <w:sz w:val="20"/>
                <w:szCs w:val="20"/>
                <w:lang w:eastAsia="en-GB"/>
              </w:rPr>
              <w:t>0</w:t>
            </w:r>
            <w:r w:rsidR="00BA6D91" w:rsidRPr="002759E1">
              <w:rPr>
                <w:rFonts w:ascii="Times New Roman" w:eastAsia="Times New Roman" w:hAnsi="Times New Roman" w:cs="Times New Roman"/>
                <w:color w:val="000000"/>
                <w:sz w:val="20"/>
                <w:szCs w:val="20"/>
                <w:lang w:eastAsia="en-GB"/>
              </w:rPr>
              <w:t>58</w:t>
            </w:r>
            <w:r w:rsidRPr="00D351AC">
              <w:rPr>
                <w:rFonts w:ascii="Times New Roman" w:eastAsia="Times New Roman" w:hAnsi="Times New Roman" w:cs="Times New Roman"/>
                <w:color w:val="000000"/>
                <w:sz w:val="20"/>
                <w:szCs w:val="20"/>
                <w:lang w:eastAsia="en-GB"/>
              </w:rPr>
              <w:t>)</w:t>
            </w:r>
          </w:p>
        </w:tc>
        <w:tc>
          <w:tcPr>
            <w:tcW w:w="1770" w:type="dxa"/>
            <w:tcBorders>
              <w:top w:val="nil"/>
              <w:left w:val="nil"/>
              <w:bottom w:val="single" w:sz="8" w:space="0" w:color="auto"/>
              <w:right w:val="nil"/>
            </w:tcBorders>
            <w:shd w:val="clear" w:color="auto" w:fill="auto"/>
            <w:vAlign w:val="center"/>
            <w:hideMark/>
          </w:tcPr>
          <w:p w14:paraId="7F6B88F2" w14:textId="4D48F6C4" w:rsidR="007669FB" w:rsidRPr="00BA6D91"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BA6D91">
              <w:rPr>
                <w:rFonts w:ascii="Times New Roman" w:eastAsia="Times New Roman" w:hAnsi="Times New Roman" w:cs="Times New Roman"/>
                <w:color w:val="000000"/>
                <w:sz w:val="20"/>
                <w:szCs w:val="20"/>
                <w:lang w:eastAsia="en-GB"/>
              </w:rPr>
              <w:t>(0.1</w:t>
            </w:r>
            <w:r w:rsidR="00BA6D91" w:rsidRPr="002759E1">
              <w:rPr>
                <w:rFonts w:ascii="Times New Roman" w:eastAsia="Times New Roman" w:hAnsi="Times New Roman" w:cs="Times New Roman"/>
                <w:color w:val="000000"/>
                <w:sz w:val="20"/>
                <w:szCs w:val="20"/>
                <w:lang w:eastAsia="en-GB"/>
              </w:rPr>
              <w:t>15</w:t>
            </w:r>
            <w:r w:rsidRPr="00BA6D91">
              <w:rPr>
                <w:rFonts w:ascii="Times New Roman" w:eastAsia="Times New Roman" w:hAnsi="Times New Roman" w:cs="Times New Roman"/>
                <w:color w:val="000000"/>
                <w:sz w:val="20"/>
                <w:szCs w:val="20"/>
                <w:lang w:eastAsia="en-GB"/>
              </w:rPr>
              <w:t>)</w:t>
            </w:r>
          </w:p>
        </w:tc>
      </w:tr>
      <w:tr w:rsidR="007669FB" w:rsidRPr="007669FB" w14:paraId="3A93E629" w14:textId="77777777" w:rsidTr="007669FB">
        <w:trPr>
          <w:trHeight w:val="510"/>
        </w:trPr>
        <w:tc>
          <w:tcPr>
            <w:tcW w:w="3019" w:type="dxa"/>
            <w:tcBorders>
              <w:top w:val="nil"/>
              <w:left w:val="nil"/>
              <w:bottom w:val="nil"/>
              <w:right w:val="nil"/>
            </w:tcBorders>
            <w:shd w:val="clear" w:color="auto" w:fill="auto"/>
            <w:vAlign w:val="center"/>
            <w:hideMark/>
          </w:tcPr>
          <w:p w14:paraId="339CC45F" w14:textId="77777777" w:rsidR="007669FB" w:rsidRPr="007669FB" w:rsidRDefault="007669FB" w:rsidP="007669FB">
            <w:pPr>
              <w:spacing w:after="0" w:line="240" w:lineRule="auto"/>
              <w:rPr>
                <w:rFonts w:ascii="Times New Roman" w:eastAsia="Times New Roman" w:hAnsi="Times New Roman" w:cs="Times New Roman"/>
                <w:i/>
                <w:iCs/>
                <w:color w:val="000000"/>
                <w:sz w:val="20"/>
                <w:szCs w:val="20"/>
                <w:lang w:eastAsia="en-GB"/>
              </w:rPr>
            </w:pPr>
            <w:r w:rsidRPr="007669FB">
              <w:rPr>
                <w:rFonts w:ascii="Times New Roman" w:eastAsia="Times New Roman" w:hAnsi="Times New Roman" w:cs="Times New Roman"/>
                <w:i/>
                <w:iCs/>
                <w:color w:val="000000"/>
                <w:sz w:val="20"/>
                <w:szCs w:val="20"/>
                <w:lang w:eastAsia="en-GB"/>
              </w:rPr>
              <w:t>C: Decomposition method: RIF regression</w:t>
            </w:r>
          </w:p>
        </w:tc>
        <w:tc>
          <w:tcPr>
            <w:tcW w:w="1710" w:type="dxa"/>
            <w:tcBorders>
              <w:top w:val="nil"/>
              <w:left w:val="nil"/>
              <w:bottom w:val="nil"/>
              <w:right w:val="nil"/>
            </w:tcBorders>
            <w:shd w:val="clear" w:color="auto" w:fill="auto"/>
            <w:vAlign w:val="center"/>
            <w:hideMark/>
          </w:tcPr>
          <w:p w14:paraId="20262F4E" w14:textId="77777777" w:rsidR="007669FB" w:rsidRPr="007669FB" w:rsidRDefault="007669FB" w:rsidP="007669FB">
            <w:pPr>
              <w:spacing w:after="0" w:line="240" w:lineRule="auto"/>
              <w:rPr>
                <w:rFonts w:ascii="Times New Roman" w:eastAsia="Times New Roman" w:hAnsi="Times New Roman" w:cs="Times New Roman"/>
                <w:i/>
                <w:iCs/>
                <w:color w:val="000000"/>
                <w:sz w:val="20"/>
                <w:szCs w:val="20"/>
                <w:lang w:eastAsia="en-GB"/>
              </w:rPr>
            </w:pPr>
          </w:p>
        </w:tc>
        <w:tc>
          <w:tcPr>
            <w:tcW w:w="1770" w:type="dxa"/>
            <w:gridSpan w:val="2"/>
            <w:tcBorders>
              <w:top w:val="nil"/>
              <w:left w:val="nil"/>
              <w:bottom w:val="nil"/>
              <w:right w:val="nil"/>
            </w:tcBorders>
            <w:shd w:val="clear" w:color="auto" w:fill="auto"/>
            <w:vAlign w:val="center"/>
            <w:hideMark/>
          </w:tcPr>
          <w:p w14:paraId="73F17F0D" w14:textId="77777777" w:rsidR="007669FB" w:rsidRPr="007669FB" w:rsidRDefault="007669FB" w:rsidP="007669FB">
            <w:pPr>
              <w:spacing w:after="0" w:line="240" w:lineRule="auto"/>
              <w:jc w:val="center"/>
              <w:rPr>
                <w:rFonts w:ascii="Times New Roman" w:eastAsia="Times New Roman" w:hAnsi="Times New Roman" w:cs="Times New Roman"/>
                <w:sz w:val="20"/>
                <w:szCs w:val="20"/>
                <w:lang w:eastAsia="en-GB"/>
              </w:rPr>
            </w:pPr>
          </w:p>
        </w:tc>
        <w:tc>
          <w:tcPr>
            <w:tcW w:w="1770" w:type="dxa"/>
            <w:tcBorders>
              <w:top w:val="nil"/>
              <w:left w:val="nil"/>
              <w:bottom w:val="nil"/>
              <w:right w:val="nil"/>
            </w:tcBorders>
            <w:shd w:val="clear" w:color="auto" w:fill="auto"/>
            <w:vAlign w:val="center"/>
            <w:hideMark/>
          </w:tcPr>
          <w:p w14:paraId="12A40D03" w14:textId="77777777" w:rsidR="007669FB" w:rsidRPr="007669FB" w:rsidRDefault="007669FB" w:rsidP="007669FB">
            <w:pPr>
              <w:spacing w:after="0" w:line="240" w:lineRule="auto"/>
              <w:jc w:val="center"/>
              <w:rPr>
                <w:rFonts w:ascii="Times New Roman" w:eastAsia="Times New Roman" w:hAnsi="Times New Roman" w:cs="Times New Roman"/>
                <w:sz w:val="20"/>
                <w:szCs w:val="20"/>
                <w:lang w:eastAsia="en-GB"/>
              </w:rPr>
            </w:pPr>
          </w:p>
        </w:tc>
      </w:tr>
      <w:tr w:rsidR="007669FB" w:rsidRPr="007669FB" w14:paraId="59256A02" w14:textId="77777777" w:rsidTr="007669FB">
        <w:trPr>
          <w:trHeight w:val="375"/>
        </w:trPr>
        <w:tc>
          <w:tcPr>
            <w:tcW w:w="3019" w:type="dxa"/>
            <w:tcBorders>
              <w:top w:val="nil"/>
              <w:left w:val="nil"/>
              <w:bottom w:val="nil"/>
              <w:right w:val="nil"/>
            </w:tcBorders>
            <w:shd w:val="clear" w:color="auto" w:fill="auto"/>
            <w:vAlign w:val="center"/>
            <w:hideMark/>
          </w:tcPr>
          <w:p w14:paraId="56F183F7"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Q</w:t>
            </w:r>
            <w:r w:rsidRPr="007669FB">
              <w:rPr>
                <w:rFonts w:ascii="Times New Roman" w:eastAsia="Times New Roman" w:hAnsi="Times New Roman" w:cs="Times New Roman"/>
                <w:color w:val="000000"/>
                <w:sz w:val="20"/>
                <w:szCs w:val="20"/>
                <w:vertAlign w:val="subscript"/>
                <w:lang w:eastAsia="en-GB"/>
              </w:rPr>
              <w:t>t</w:t>
            </w:r>
            <w:r w:rsidRPr="007669FB">
              <w:rPr>
                <w:rFonts w:ascii="Times New Roman" w:eastAsia="Times New Roman" w:hAnsi="Times New Roman" w:cs="Times New Roman"/>
                <w:color w:val="000000"/>
                <w:sz w:val="20"/>
                <w:szCs w:val="20"/>
                <w:lang w:eastAsia="en-GB"/>
              </w:rPr>
              <w:t>(2012-4) - Q</w:t>
            </w:r>
            <w:r w:rsidRPr="007669FB">
              <w:rPr>
                <w:rFonts w:ascii="Times New Roman" w:eastAsia="Times New Roman" w:hAnsi="Times New Roman" w:cs="Times New Roman"/>
                <w:color w:val="000000"/>
                <w:sz w:val="20"/>
                <w:szCs w:val="20"/>
                <w:vertAlign w:val="subscript"/>
                <w:lang w:eastAsia="en-GB"/>
              </w:rPr>
              <w:t>t</w:t>
            </w:r>
            <w:r w:rsidRPr="007669FB">
              <w:rPr>
                <w:rFonts w:ascii="Times New Roman" w:eastAsia="Times New Roman" w:hAnsi="Times New Roman" w:cs="Times New Roman"/>
                <w:color w:val="000000"/>
                <w:sz w:val="20"/>
                <w:szCs w:val="20"/>
                <w:lang w:eastAsia="en-GB"/>
              </w:rPr>
              <w:t>(2002-4)</w:t>
            </w:r>
          </w:p>
        </w:tc>
        <w:tc>
          <w:tcPr>
            <w:tcW w:w="1710" w:type="dxa"/>
            <w:tcBorders>
              <w:top w:val="nil"/>
              <w:left w:val="nil"/>
              <w:bottom w:val="nil"/>
              <w:right w:val="nil"/>
            </w:tcBorders>
            <w:shd w:val="clear" w:color="auto" w:fill="auto"/>
            <w:vAlign w:val="center"/>
            <w:hideMark/>
          </w:tcPr>
          <w:p w14:paraId="0A60891A" w14:textId="032F8B0F"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Pr>
                <w:rFonts w:ascii="Times New Roman" w:eastAsia="Times New Roman" w:hAnsi="Times New Roman" w:cs="Times New Roman"/>
                <w:color w:val="000000"/>
                <w:sz w:val="20"/>
                <w:szCs w:val="20"/>
                <w:lang w:eastAsia="en-GB"/>
              </w:rPr>
              <w:t>348</w:t>
            </w:r>
            <w:r w:rsidRPr="007669FB">
              <w:rPr>
                <w:rFonts w:ascii="Times New Roman" w:eastAsia="Times New Roman" w:hAnsi="Times New Roman" w:cs="Times New Roman"/>
                <w:color w:val="000000"/>
                <w:sz w:val="24"/>
                <w:szCs w:val="24"/>
                <w:vertAlign w:val="superscript"/>
                <w:lang w:eastAsia="en-GB"/>
              </w:rPr>
              <w:t>***</w:t>
            </w:r>
          </w:p>
        </w:tc>
        <w:tc>
          <w:tcPr>
            <w:tcW w:w="1770" w:type="dxa"/>
            <w:gridSpan w:val="2"/>
            <w:tcBorders>
              <w:top w:val="nil"/>
              <w:left w:val="nil"/>
              <w:bottom w:val="nil"/>
              <w:right w:val="nil"/>
            </w:tcBorders>
            <w:shd w:val="clear" w:color="auto" w:fill="auto"/>
            <w:vAlign w:val="center"/>
            <w:hideMark/>
          </w:tcPr>
          <w:p w14:paraId="34787347" w14:textId="51F6675C"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0.5</w:t>
            </w:r>
            <w:r w:rsidR="008B275F">
              <w:rPr>
                <w:rFonts w:ascii="Times New Roman" w:eastAsia="Times New Roman" w:hAnsi="Times New Roman" w:cs="Times New Roman"/>
                <w:color w:val="000000"/>
                <w:sz w:val="20"/>
                <w:szCs w:val="20"/>
                <w:lang w:eastAsia="en-GB"/>
              </w:rPr>
              <w:t>41</w:t>
            </w:r>
            <w:r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0BEB338D" w14:textId="74E81501"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1.</w:t>
            </w:r>
            <w:r w:rsidR="008B275F">
              <w:rPr>
                <w:rFonts w:ascii="Times New Roman" w:eastAsia="Times New Roman" w:hAnsi="Times New Roman" w:cs="Times New Roman"/>
                <w:color w:val="000000"/>
                <w:sz w:val="20"/>
                <w:szCs w:val="20"/>
                <w:lang w:eastAsia="en-GB"/>
              </w:rPr>
              <w:t>615</w:t>
            </w:r>
            <w:r w:rsidRPr="007669FB">
              <w:rPr>
                <w:rFonts w:ascii="Times New Roman" w:eastAsia="Times New Roman" w:hAnsi="Times New Roman" w:cs="Times New Roman"/>
                <w:color w:val="000000"/>
                <w:sz w:val="24"/>
                <w:szCs w:val="24"/>
                <w:vertAlign w:val="superscript"/>
                <w:lang w:eastAsia="en-GB"/>
              </w:rPr>
              <w:t>***</w:t>
            </w:r>
          </w:p>
        </w:tc>
      </w:tr>
      <w:tr w:rsidR="007669FB" w:rsidRPr="007669FB" w14:paraId="1F3F38DA" w14:textId="77777777" w:rsidTr="007669FB">
        <w:trPr>
          <w:trHeight w:val="300"/>
        </w:trPr>
        <w:tc>
          <w:tcPr>
            <w:tcW w:w="3019" w:type="dxa"/>
            <w:tcBorders>
              <w:top w:val="nil"/>
              <w:left w:val="nil"/>
              <w:bottom w:val="nil"/>
              <w:right w:val="nil"/>
            </w:tcBorders>
            <w:shd w:val="clear" w:color="auto" w:fill="auto"/>
            <w:vAlign w:val="center"/>
            <w:hideMark/>
          </w:tcPr>
          <w:p w14:paraId="0B60BB00"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18F2B489" w14:textId="067ABD61"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(0.05</w:t>
            </w:r>
            <w:r w:rsidR="008B275F">
              <w:rPr>
                <w:rFonts w:ascii="Times New Roman" w:eastAsia="Times New Roman" w:hAnsi="Times New Roman" w:cs="Times New Roman"/>
                <w:color w:val="000000"/>
                <w:sz w:val="20"/>
                <w:szCs w:val="20"/>
                <w:lang w:eastAsia="en-GB"/>
              </w:rPr>
              <w:t>4</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3204B4D3" w14:textId="2DBFE903"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(0.05</w:t>
            </w:r>
            <w:r w:rsidR="008B275F">
              <w:rPr>
                <w:rFonts w:ascii="Times New Roman" w:eastAsia="Times New Roman" w:hAnsi="Times New Roman" w:cs="Times New Roman"/>
                <w:color w:val="000000"/>
                <w:sz w:val="20"/>
                <w:szCs w:val="20"/>
                <w:lang w:eastAsia="en-GB"/>
              </w:rPr>
              <w:t>9</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7999E04F" w14:textId="365AE976"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sidRPr="007669FB">
              <w:rPr>
                <w:rFonts w:ascii="Times New Roman" w:eastAsia="Times New Roman" w:hAnsi="Times New Roman" w:cs="Times New Roman"/>
                <w:color w:val="000000"/>
                <w:sz w:val="20"/>
                <w:szCs w:val="20"/>
                <w:lang w:eastAsia="en-GB"/>
              </w:rPr>
              <w:t>15</w:t>
            </w:r>
            <w:r w:rsidR="008B275F">
              <w:rPr>
                <w:rFonts w:ascii="Times New Roman" w:eastAsia="Times New Roman" w:hAnsi="Times New Roman" w:cs="Times New Roman"/>
                <w:color w:val="000000"/>
                <w:sz w:val="20"/>
                <w:szCs w:val="20"/>
                <w:lang w:eastAsia="en-GB"/>
              </w:rPr>
              <w:t>4</w:t>
            </w:r>
            <w:r w:rsidRPr="007669FB">
              <w:rPr>
                <w:rFonts w:ascii="Times New Roman" w:eastAsia="Times New Roman" w:hAnsi="Times New Roman" w:cs="Times New Roman"/>
                <w:color w:val="000000"/>
                <w:sz w:val="20"/>
                <w:szCs w:val="20"/>
                <w:lang w:eastAsia="en-GB"/>
              </w:rPr>
              <w:t>)</w:t>
            </w:r>
          </w:p>
        </w:tc>
      </w:tr>
      <w:tr w:rsidR="007669FB" w:rsidRPr="007669FB" w14:paraId="10390FCD" w14:textId="77777777" w:rsidTr="007669FB">
        <w:trPr>
          <w:trHeight w:val="375"/>
        </w:trPr>
        <w:tc>
          <w:tcPr>
            <w:tcW w:w="3019" w:type="dxa"/>
            <w:tcBorders>
              <w:top w:val="nil"/>
              <w:left w:val="nil"/>
              <w:bottom w:val="nil"/>
              <w:right w:val="nil"/>
            </w:tcBorders>
            <w:shd w:val="clear" w:color="auto" w:fill="auto"/>
            <w:vAlign w:val="center"/>
            <w:hideMark/>
          </w:tcPr>
          <w:p w14:paraId="5774CA4D" w14:textId="58BB37BF" w:rsidR="007669FB" w:rsidRPr="007669FB" w:rsidRDefault="00D351AC" w:rsidP="007669FB">
            <w:pPr>
              <w:spacing w:after="0" w:line="240" w:lineRule="auto"/>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Attributable to characteristics</w:t>
            </w:r>
          </w:p>
        </w:tc>
        <w:tc>
          <w:tcPr>
            <w:tcW w:w="1710" w:type="dxa"/>
            <w:tcBorders>
              <w:top w:val="nil"/>
              <w:left w:val="nil"/>
              <w:bottom w:val="nil"/>
              <w:right w:val="nil"/>
            </w:tcBorders>
            <w:shd w:val="clear" w:color="auto" w:fill="auto"/>
            <w:vAlign w:val="center"/>
            <w:hideMark/>
          </w:tcPr>
          <w:p w14:paraId="3681D446" w14:textId="21567919"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Pr>
                <w:rFonts w:ascii="Times New Roman" w:eastAsia="Times New Roman" w:hAnsi="Times New Roman" w:cs="Times New Roman"/>
                <w:color w:val="000000"/>
                <w:sz w:val="20"/>
                <w:szCs w:val="20"/>
                <w:lang w:eastAsia="en-GB"/>
              </w:rPr>
              <w:t>072</w:t>
            </w:r>
            <w:r w:rsidRPr="007669FB">
              <w:rPr>
                <w:rFonts w:ascii="Times New Roman" w:eastAsia="Times New Roman" w:hAnsi="Times New Roman" w:cs="Times New Roman"/>
                <w:color w:val="000000"/>
                <w:sz w:val="24"/>
                <w:szCs w:val="24"/>
                <w:vertAlign w:val="superscript"/>
                <w:lang w:eastAsia="en-GB"/>
              </w:rPr>
              <w:t>***</w:t>
            </w:r>
          </w:p>
        </w:tc>
        <w:tc>
          <w:tcPr>
            <w:tcW w:w="1770" w:type="dxa"/>
            <w:gridSpan w:val="2"/>
            <w:tcBorders>
              <w:top w:val="nil"/>
              <w:left w:val="nil"/>
              <w:bottom w:val="nil"/>
              <w:right w:val="nil"/>
            </w:tcBorders>
            <w:shd w:val="clear" w:color="auto" w:fill="auto"/>
            <w:vAlign w:val="center"/>
            <w:hideMark/>
          </w:tcPr>
          <w:p w14:paraId="2DB95547" w14:textId="0D707E57" w:rsidR="007669FB" w:rsidRPr="007669FB" w:rsidRDefault="008B275F"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-0.123</w:t>
            </w:r>
            <w:r w:rsidR="007669FB"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3A094216" w14:textId="2FAB834F" w:rsidR="007669FB" w:rsidRPr="007669FB" w:rsidRDefault="008B275F"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-0.645</w:t>
            </w:r>
            <w:r w:rsidR="007669FB" w:rsidRPr="007669FB">
              <w:rPr>
                <w:rFonts w:ascii="Times New Roman" w:eastAsia="Times New Roman" w:hAnsi="Times New Roman" w:cs="Times New Roman"/>
                <w:color w:val="000000"/>
                <w:sz w:val="24"/>
                <w:szCs w:val="24"/>
                <w:vertAlign w:val="superscript"/>
                <w:lang w:eastAsia="en-GB"/>
              </w:rPr>
              <w:t>***</w:t>
            </w:r>
          </w:p>
        </w:tc>
      </w:tr>
      <w:tr w:rsidR="007669FB" w:rsidRPr="007669FB" w14:paraId="763234FA" w14:textId="77777777" w:rsidTr="007669FB">
        <w:trPr>
          <w:trHeight w:val="300"/>
        </w:trPr>
        <w:tc>
          <w:tcPr>
            <w:tcW w:w="3019" w:type="dxa"/>
            <w:tcBorders>
              <w:top w:val="nil"/>
              <w:left w:val="nil"/>
              <w:bottom w:val="nil"/>
              <w:right w:val="nil"/>
            </w:tcBorders>
            <w:shd w:val="clear" w:color="auto" w:fill="auto"/>
            <w:vAlign w:val="center"/>
            <w:hideMark/>
          </w:tcPr>
          <w:p w14:paraId="781FDBB9"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793D4782" w14:textId="63C33708"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sidRPr="007669FB">
              <w:rPr>
                <w:rFonts w:ascii="Times New Roman" w:eastAsia="Times New Roman" w:hAnsi="Times New Roman" w:cs="Times New Roman"/>
                <w:color w:val="000000"/>
                <w:sz w:val="20"/>
                <w:szCs w:val="20"/>
                <w:lang w:eastAsia="en-GB"/>
              </w:rPr>
              <w:t>0</w:t>
            </w:r>
            <w:r w:rsidR="008B275F">
              <w:rPr>
                <w:rFonts w:ascii="Times New Roman" w:eastAsia="Times New Roman" w:hAnsi="Times New Roman" w:cs="Times New Roman"/>
                <w:color w:val="000000"/>
                <w:sz w:val="20"/>
                <w:szCs w:val="20"/>
                <w:lang w:eastAsia="en-GB"/>
              </w:rPr>
              <w:t>20</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3EED3772" w14:textId="5323239E"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sidRPr="007669FB">
              <w:rPr>
                <w:rFonts w:ascii="Times New Roman" w:eastAsia="Times New Roman" w:hAnsi="Times New Roman" w:cs="Times New Roman"/>
                <w:color w:val="000000"/>
                <w:sz w:val="20"/>
                <w:szCs w:val="20"/>
                <w:lang w:eastAsia="en-GB"/>
              </w:rPr>
              <w:t>0</w:t>
            </w:r>
            <w:r w:rsidR="008B275F">
              <w:rPr>
                <w:rFonts w:ascii="Times New Roman" w:eastAsia="Times New Roman" w:hAnsi="Times New Roman" w:cs="Times New Roman"/>
                <w:color w:val="000000"/>
                <w:sz w:val="20"/>
                <w:szCs w:val="20"/>
                <w:lang w:eastAsia="en-GB"/>
              </w:rPr>
              <w:t>23</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2D74D593" w14:textId="061A4BF4"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Pr>
                <w:rFonts w:ascii="Times New Roman" w:eastAsia="Times New Roman" w:hAnsi="Times New Roman" w:cs="Times New Roman"/>
                <w:color w:val="000000"/>
                <w:sz w:val="20"/>
                <w:szCs w:val="20"/>
                <w:lang w:eastAsia="en-GB"/>
              </w:rPr>
              <w:t>058</w:t>
            </w:r>
            <w:r w:rsidRPr="007669FB">
              <w:rPr>
                <w:rFonts w:ascii="Times New Roman" w:eastAsia="Times New Roman" w:hAnsi="Times New Roman" w:cs="Times New Roman"/>
                <w:color w:val="000000"/>
                <w:sz w:val="20"/>
                <w:szCs w:val="20"/>
                <w:lang w:eastAsia="en-GB"/>
              </w:rPr>
              <w:t>)</w:t>
            </w:r>
          </w:p>
        </w:tc>
      </w:tr>
      <w:tr w:rsidR="007669FB" w:rsidRPr="007669FB" w14:paraId="598B480E" w14:textId="77777777" w:rsidTr="007669FB">
        <w:trPr>
          <w:trHeight w:val="375"/>
        </w:trPr>
        <w:tc>
          <w:tcPr>
            <w:tcW w:w="3019" w:type="dxa"/>
            <w:tcBorders>
              <w:top w:val="nil"/>
              <w:left w:val="nil"/>
              <w:bottom w:val="nil"/>
              <w:right w:val="nil"/>
            </w:tcBorders>
            <w:shd w:val="clear" w:color="auto" w:fill="auto"/>
            <w:vAlign w:val="center"/>
            <w:hideMark/>
          </w:tcPr>
          <w:p w14:paraId="7F274D15" w14:textId="39E0842B" w:rsidR="007669FB" w:rsidRPr="007669FB" w:rsidRDefault="00D351AC" w:rsidP="007669FB">
            <w:pPr>
              <w:spacing w:after="0" w:line="240" w:lineRule="auto"/>
              <w:rPr>
                <w:rFonts w:ascii="Times New Roman" w:eastAsia="Times New Roman" w:hAnsi="Times New Roman" w:cs="Times New Roman"/>
                <w:color w:val="000000"/>
                <w:sz w:val="20"/>
                <w:szCs w:val="20"/>
                <w:lang w:eastAsia="en-GB"/>
              </w:rPr>
            </w:pPr>
            <w:r w:rsidRPr="00D351AC">
              <w:rPr>
                <w:rFonts w:ascii="Times New Roman" w:eastAsia="Times New Roman" w:hAnsi="Times New Roman" w:cs="Times New Roman"/>
                <w:color w:val="000000"/>
                <w:sz w:val="20"/>
                <w:szCs w:val="20"/>
                <w:lang w:eastAsia="en-GB"/>
              </w:rPr>
              <w:t>Attributable to coefficients</w:t>
            </w:r>
          </w:p>
        </w:tc>
        <w:tc>
          <w:tcPr>
            <w:tcW w:w="1710" w:type="dxa"/>
            <w:tcBorders>
              <w:top w:val="nil"/>
              <w:left w:val="nil"/>
              <w:bottom w:val="nil"/>
              <w:right w:val="nil"/>
            </w:tcBorders>
            <w:shd w:val="clear" w:color="auto" w:fill="auto"/>
            <w:vAlign w:val="center"/>
            <w:hideMark/>
          </w:tcPr>
          <w:p w14:paraId="21C51EFC" w14:textId="753B25C2"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sidRPr="007669FB">
              <w:rPr>
                <w:rFonts w:ascii="Times New Roman" w:eastAsia="Times New Roman" w:hAnsi="Times New Roman" w:cs="Times New Roman"/>
                <w:color w:val="000000"/>
                <w:sz w:val="20"/>
                <w:szCs w:val="20"/>
                <w:lang w:eastAsia="en-GB"/>
              </w:rPr>
              <w:t>2</w:t>
            </w:r>
            <w:r w:rsidR="008B275F">
              <w:rPr>
                <w:rFonts w:ascii="Times New Roman" w:eastAsia="Times New Roman" w:hAnsi="Times New Roman" w:cs="Times New Roman"/>
                <w:color w:val="000000"/>
                <w:sz w:val="20"/>
                <w:szCs w:val="20"/>
                <w:lang w:eastAsia="en-GB"/>
              </w:rPr>
              <w:t>76</w:t>
            </w:r>
            <w:r w:rsidRPr="007669FB">
              <w:rPr>
                <w:rFonts w:ascii="Times New Roman" w:eastAsia="Times New Roman" w:hAnsi="Times New Roman" w:cs="Times New Roman"/>
                <w:color w:val="000000"/>
                <w:sz w:val="24"/>
                <w:szCs w:val="24"/>
                <w:vertAlign w:val="superscript"/>
                <w:lang w:eastAsia="en-GB"/>
              </w:rPr>
              <w:t>***</w:t>
            </w:r>
          </w:p>
        </w:tc>
        <w:tc>
          <w:tcPr>
            <w:tcW w:w="1770" w:type="dxa"/>
            <w:gridSpan w:val="2"/>
            <w:tcBorders>
              <w:top w:val="nil"/>
              <w:left w:val="nil"/>
              <w:bottom w:val="nil"/>
              <w:right w:val="nil"/>
            </w:tcBorders>
            <w:shd w:val="clear" w:color="auto" w:fill="auto"/>
            <w:vAlign w:val="center"/>
            <w:hideMark/>
          </w:tcPr>
          <w:p w14:paraId="224262DF" w14:textId="79246FE5"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Pr>
                <w:rFonts w:ascii="Times New Roman" w:eastAsia="Times New Roman" w:hAnsi="Times New Roman" w:cs="Times New Roman"/>
                <w:color w:val="000000"/>
                <w:sz w:val="20"/>
                <w:szCs w:val="20"/>
                <w:lang w:eastAsia="en-GB"/>
              </w:rPr>
              <w:t>665</w:t>
            </w:r>
            <w:r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67D7B6C3" w14:textId="05E59E1B" w:rsidR="007669FB" w:rsidRPr="007669FB" w:rsidRDefault="008B275F"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2.269</w:t>
            </w:r>
            <w:r w:rsidR="007669FB" w:rsidRPr="007669FB">
              <w:rPr>
                <w:rFonts w:ascii="Times New Roman" w:eastAsia="Times New Roman" w:hAnsi="Times New Roman" w:cs="Times New Roman"/>
                <w:color w:val="000000"/>
                <w:sz w:val="24"/>
                <w:szCs w:val="24"/>
                <w:vertAlign w:val="superscript"/>
                <w:lang w:eastAsia="en-GB"/>
              </w:rPr>
              <w:t>***</w:t>
            </w:r>
          </w:p>
        </w:tc>
      </w:tr>
      <w:tr w:rsidR="007669FB" w:rsidRPr="007669FB" w14:paraId="7BDD58E6" w14:textId="77777777" w:rsidTr="007669FB">
        <w:trPr>
          <w:trHeight w:val="315"/>
        </w:trPr>
        <w:tc>
          <w:tcPr>
            <w:tcW w:w="3019" w:type="dxa"/>
            <w:tcBorders>
              <w:top w:val="nil"/>
              <w:left w:val="nil"/>
              <w:bottom w:val="nil"/>
              <w:right w:val="nil"/>
            </w:tcBorders>
            <w:shd w:val="clear" w:color="auto" w:fill="auto"/>
            <w:vAlign w:val="center"/>
            <w:hideMark/>
          </w:tcPr>
          <w:p w14:paraId="4F582C88"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04B14962" w14:textId="7226B00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8B275F">
              <w:rPr>
                <w:rFonts w:ascii="Times New Roman" w:eastAsia="Times New Roman" w:hAnsi="Times New Roman" w:cs="Times New Roman"/>
                <w:color w:val="000000"/>
                <w:sz w:val="20"/>
                <w:szCs w:val="20"/>
                <w:lang w:eastAsia="en-GB"/>
              </w:rPr>
              <w:t>5</w:t>
            </w:r>
            <w:r w:rsidRPr="007669FB">
              <w:rPr>
                <w:rFonts w:ascii="Times New Roman" w:eastAsia="Times New Roman" w:hAnsi="Times New Roman" w:cs="Times New Roman"/>
                <w:color w:val="000000"/>
                <w:sz w:val="20"/>
                <w:szCs w:val="20"/>
                <w:lang w:eastAsia="en-GB"/>
              </w:rPr>
              <w:t>6)</w:t>
            </w:r>
          </w:p>
        </w:tc>
        <w:tc>
          <w:tcPr>
            <w:tcW w:w="1770" w:type="dxa"/>
            <w:gridSpan w:val="2"/>
            <w:tcBorders>
              <w:top w:val="nil"/>
              <w:left w:val="nil"/>
              <w:bottom w:val="nil"/>
              <w:right w:val="nil"/>
            </w:tcBorders>
            <w:shd w:val="clear" w:color="auto" w:fill="auto"/>
            <w:vAlign w:val="center"/>
            <w:hideMark/>
          </w:tcPr>
          <w:p w14:paraId="2058DE44" w14:textId="54EF134D"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sidRPr="007669FB">
              <w:rPr>
                <w:rFonts w:ascii="Times New Roman" w:eastAsia="Times New Roman" w:hAnsi="Times New Roman" w:cs="Times New Roman"/>
                <w:color w:val="000000"/>
                <w:sz w:val="20"/>
                <w:szCs w:val="20"/>
                <w:lang w:eastAsia="en-GB"/>
              </w:rPr>
              <w:t>06</w:t>
            </w:r>
            <w:r w:rsidR="008B275F">
              <w:rPr>
                <w:rFonts w:ascii="Times New Roman" w:eastAsia="Times New Roman" w:hAnsi="Times New Roman" w:cs="Times New Roman"/>
                <w:color w:val="000000"/>
                <w:sz w:val="20"/>
                <w:szCs w:val="20"/>
                <w:lang w:eastAsia="en-GB"/>
              </w:rPr>
              <w:t>1</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0C5389E2" w14:textId="72C4523A"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8B275F" w:rsidRPr="007669FB">
              <w:rPr>
                <w:rFonts w:ascii="Times New Roman" w:eastAsia="Times New Roman" w:hAnsi="Times New Roman" w:cs="Times New Roman"/>
                <w:color w:val="000000"/>
                <w:sz w:val="20"/>
                <w:szCs w:val="20"/>
                <w:lang w:eastAsia="en-GB"/>
              </w:rPr>
              <w:t>1</w:t>
            </w:r>
            <w:r w:rsidR="008B275F">
              <w:rPr>
                <w:rFonts w:ascii="Times New Roman" w:eastAsia="Times New Roman" w:hAnsi="Times New Roman" w:cs="Times New Roman"/>
                <w:color w:val="000000"/>
                <w:sz w:val="20"/>
                <w:szCs w:val="20"/>
                <w:lang w:eastAsia="en-GB"/>
              </w:rPr>
              <w:t>61</w:t>
            </w:r>
            <w:r w:rsidRPr="007669FB">
              <w:rPr>
                <w:rFonts w:ascii="Times New Roman" w:eastAsia="Times New Roman" w:hAnsi="Times New Roman" w:cs="Times New Roman"/>
                <w:color w:val="000000"/>
                <w:sz w:val="20"/>
                <w:szCs w:val="20"/>
                <w:lang w:eastAsia="en-GB"/>
              </w:rPr>
              <w:t>)</w:t>
            </w:r>
          </w:p>
        </w:tc>
      </w:tr>
      <w:tr w:rsidR="007669FB" w:rsidRPr="007669FB" w14:paraId="3766A037" w14:textId="77777777" w:rsidTr="007669FB">
        <w:trPr>
          <w:trHeight w:val="300"/>
        </w:trPr>
        <w:tc>
          <w:tcPr>
            <w:tcW w:w="3019" w:type="dxa"/>
            <w:tcBorders>
              <w:top w:val="single" w:sz="8" w:space="0" w:color="auto"/>
              <w:left w:val="nil"/>
              <w:bottom w:val="nil"/>
              <w:right w:val="nil"/>
            </w:tcBorders>
            <w:shd w:val="clear" w:color="auto" w:fill="auto"/>
            <w:vAlign w:val="center"/>
            <w:hideMark/>
          </w:tcPr>
          <w:p w14:paraId="75A8596D" w14:textId="77777777" w:rsidR="007669FB" w:rsidRPr="007669FB" w:rsidRDefault="007669FB" w:rsidP="007669FB">
            <w:pPr>
              <w:spacing w:after="0" w:line="240" w:lineRule="auto"/>
              <w:rPr>
                <w:rFonts w:ascii="Times New Roman" w:eastAsia="Times New Roman" w:hAnsi="Times New Roman" w:cs="Times New Roman"/>
                <w:i/>
                <w:iCs/>
                <w:color w:val="000000"/>
                <w:sz w:val="20"/>
                <w:szCs w:val="20"/>
                <w:lang w:eastAsia="en-GB"/>
              </w:rPr>
            </w:pPr>
            <w:r w:rsidRPr="007669FB">
              <w:rPr>
                <w:rFonts w:ascii="Times New Roman" w:eastAsia="Times New Roman" w:hAnsi="Times New Roman" w:cs="Times New Roman"/>
                <w:i/>
                <w:iCs/>
                <w:color w:val="000000"/>
                <w:sz w:val="20"/>
                <w:szCs w:val="20"/>
                <w:lang w:eastAsia="en-GB"/>
              </w:rPr>
              <w:t>D: Attributable to characteristics</w:t>
            </w:r>
          </w:p>
        </w:tc>
        <w:tc>
          <w:tcPr>
            <w:tcW w:w="1710" w:type="dxa"/>
            <w:tcBorders>
              <w:top w:val="single" w:sz="8" w:space="0" w:color="auto"/>
              <w:left w:val="nil"/>
              <w:bottom w:val="nil"/>
              <w:right w:val="nil"/>
            </w:tcBorders>
            <w:shd w:val="clear" w:color="auto" w:fill="auto"/>
            <w:vAlign w:val="center"/>
            <w:hideMark/>
          </w:tcPr>
          <w:p w14:paraId="567B9DC3"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70" w:type="dxa"/>
            <w:gridSpan w:val="2"/>
            <w:tcBorders>
              <w:top w:val="single" w:sz="8" w:space="0" w:color="auto"/>
              <w:left w:val="nil"/>
              <w:bottom w:val="nil"/>
              <w:right w:val="nil"/>
            </w:tcBorders>
            <w:shd w:val="clear" w:color="auto" w:fill="auto"/>
            <w:vAlign w:val="center"/>
            <w:hideMark/>
          </w:tcPr>
          <w:p w14:paraId="5F6022B8"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70" w:type="dxa"/>
            <w:tcBorders>
              <w:top w:val="single" w:sz="8" w:space="0" w:color="auto"/>
              <w:left w:val="nil"/>
              <w:bottom w:val="nil"/>
              <w:right w:val="nil"/>
            </w:tcBorders>
            <w:shd w:val="clear" w:color="auto" w:fill="auto"/>
            <w:vAlign w:val="center"/>
            <w:hideMark/>
          </w:tcPr>
          <w:p w14:paraId="0620E7BB"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r>
      <w:tr w:rsidR="007669FB" w:rsidRPr="007669FB" w14:paraId="08650D58" w14:textId="77777777" w:rsidTr="007669FB">
        <w:trPr>
          <w:trHeight w:val="300"/>
        </w:trPr>
        <w:tc>
          <w:tcPr>
            <w:tcW w:w="3019" w:type="dxa"/>
            <w:tcBorders>
              <w:top w:val="nil"/>
              <w:left w:val="nil"/>
              <w:bottom w:val="nil"/>
              <w:right w:val="nil"/>
            </w:tcBorders>
            <w:shd w:val="clear" w:color="auto" w:fill="auto"/>
            <w:vAlign w:val="center"/>
            <w:hideMark/>
          </w:tcPr>
          <w:p w14:paraId="771D290E" w14:textId="36348796" w:rsidR="007669FB" w:rsidRPr="007669FB" w:rsidRDefault="006F5AD6" w:rsidP="007669FB">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Sex</w:t>
            </w:r>
          </w:p>
        </w:tc>
        <w:tc>
          <w:tcPr>
            <w:tcW w:w="1710" w:type="dxa"/>
            <w:tcBorders>
              <w:top w:val="nil"/>
              <w:left w:val="nil"/>
              <w:bottom w:val="nil"/>
              <w:right w:val="nil"/>
            </w:tcBorders>
            <w:shd w:val="clear" w:color="auto" w:fill="auto"/>
            <w:vAlign w:val="center"/>
            <w:hideMark/>
          </w:tcPr>
          <w:p w14:paraId="34BCFE70"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0.001</w:t>
            </w:r>
          </w:p>
        </w:tc>
        <w:tc>
          <w:tcPr>
            <w:tcW w:w="1770" w:type="dxa"/>
            <w:gridSpan w:val="2"/>
            <w:tcBorders>
              <w:top w:val="nil"/>
              <w:left w:val="nil"/>
              <w:bottom w:val="nil"/>
              <w:right w:val="nil"/>
            </w:tcBorders>
            <w:shd w:val="clear" w:color="auto" w:fill="auto"/>
            <w:vAlign w:val="center"/>
            <w:hideMark/>
          </w:tcPr>
          <w:p w14:paraId="5179EE5F"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0.000</w:t>
            </w:r>
          </w:p>
        </w:tc>
        <w:tc>
          <w:tcPr>
            <w:tcW w:w="1770" w:type="dxa"/>
            <w:tcBorders>
              <w:top w:val="nil"/>
              <w:left w:val="nil"/>
              <w:bottom w:val="nil"/>
              <w:right w:val="nil"/>
            </w:tcBorders>
            <w:shd w:val="clear" w:color="auto" w:fill="auto"/>
            <w:vAlign w:val="center"/>
            <w:hideMark/>
          </w:tcPr>
          <w:p w14:paraId="4DBA8AA0"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-0.002</w:t>
            </w:r>
          </w:p>
        </w:tc>
      </w:tr>
      <w:tr w:rsidR="007669FB" w:rsidRPr="007669FB" w14:paraId="68F8997B" w14:textId="77777777" w:rsidTr="007669FB">
        <w:trPr>
          <w:trHeight w:val="300"/>
        </w:trPr>
        <w:tc>
          <w:tcPr>
            <w:tcW w:w="3019" w:type="dxa"/>
            <w:tcBorders>
              <w:top w:val="nil"/>
              <w:left w:val="nil"/>
              <w:bottom w:val="nil"/>
              <w:right w:val="nil"/>
            </w:tcBorders>
            <w:shd w:val="clear" w:color="auto" w:fill="auto"/>
            <w:vAlign w:val="center"/>
            <w:hideMark/>
          </w:tcPr>
          <w:p w14:paraId="27BDAE0E"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32CB14B2"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(0.005)</w:t>
            </w:r>
          </w:p>
        </w:tc>
        <w:tc>
          <w:tcPr>
            <w:tcW w:w="1770" w:type="dxa"/>
            <w:gridSpan w:val="2"/>
            <w:tcBorders>
              <w:top w:val="nil"/>
              <w:left w:val="nil"/>
              <w:bottom w:val="nil"/>
              <w:right w:val="nil"/>
            </w:tcBorders>
            <w:shd w:val="clear" w:color="auto" w:fill="auto"/>
            <w:vAlign w:val="center"/>
            <w:hideMark/>
          </w:tcPr>
          <w:p w14:paraId="33E5C0B0"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(0.003)</w:t>
            </w:r>
          </w:p>
        </w:tc>
        <w:tc>
          <w:tcPr>
            <w:tcW w:w="1770" w:type="dxa"/>
            <w:tcBorders>
              <w:top w:val="nil"/>
              <w:left w:val="nil"/>
              <w:bottom w:val="nil"/>
              <w:right w:val="nil"/>
            </w:tcBorders>
            <w:shd w:val="clear" w:color="auto" w:fill="auto"/>
            <w:vAlign w:val="center"/>
            <w:hideMark/>
          </w:tcPr>
          <w:p w14:paraId="101DF97B"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(0.013)</w:t>
            </w:r>
          </w:p>
        </w:tc>
      </w:tr>
      <w:tr w:rsidR="007669FB" w:rsidRPr="007669FB" w14:paraId="05C21C11" w14:textId="77777777" w:rsidTr="007669FB">
        <w:trPr>
          <w:trHeight w:val="375"/>
        </w:trPr>
        <w:tc>
          <w:tcPr>
            <w:tcW w:w="3019" w:type="dxa"/>
            <w:tcBorders>
              <w:top w:val="nil"/>
              <w:left w:val="nil"/>
              <w:bottom w:val="nil"/>
              <w:right w:val="nil"/>
            </w:tcBorders>
            <w:shd w:val="clear" w:color="auto" w:fill="auto"/>
            <w:vAlign w:val="center"/>
            <w:hideMark/>
          </w:tcPr>
          <w:p w14:paraId="2424ED8F"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Age</w:t>
            </w:r>
          </w:p>
        </w:tc>
        <w:tc>
          <w:tcPr>
            <w:tcW w:w="1710" w:type="dxa"/>
            <w:tcBorders>
              <w:top w:val="nil"/>
              <w:left w:val="nil"/>
              <w:bottom w:val="nil"/>
              <w:right w:val="nil"/>
            </w:tcBorders>
            <w:shd w:val="clear" w:color="auto" w:fill="auto"/>
            <w:vAlign w:val="center"/>
            <w:hideMark/>
          </w:tcPr>
          <w:p w14:paraId="37BA53AD"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0.128</w:t>
            </w:r>
            <w:r w:rsidRPr="007669FB">
              <w:rPr>
                <w:rFonts w:ascii="Times New Roman" w:eastAsia="Times New Roman" w:hAnsi="Times New Roman" w:cs="Times New Roman"/>
                <w:color w:val="000000"/>
                <w:sz w:val="24"/>
                <w:szCs w:val="24"/>
                <w:vertAlign w:val="superscript"/>
                <w:lang w:eastAsia="en-GB"/>
              </w:rPr>
              <w:t>***</w:t>
            </w:r>
          </w:p>
        </w:tc>
        <w:tc>
          <w:tcPr>
            <w:tcW w:w="1770" w:type="dxa"/>
            <w:gridSpan w:val="2"/>
            <w:tcBorders>
              <w:top w:val="nil"/>
              <w:left w:val="nil"/>
              <w:bottom w:val="nil"/>
              <w:right w:val="nil"/>
            </w:tcBorders>
            <w:shd w:val="clear" w:color="auto" w:fill="auto"/>
            <w:vAlign w:val="center"/>
            <w:hideMark/>
          </w:tcPr>
          <w:p w14:paraId="0228EDB1" w14:textId="7093726E"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0.11</w:t>
            </w:r>
            <w:r w:rsidR="003F5388">
              <w:rPr>
                <w:rFonts w:ascii="Times New Roman" w:eastAsia="Times New Roman" w:hAnsi="Times New Roman" w:cs="Times New Roman"/>
                <w:color w:val="000000"/>
                <w:sz w:val="20"/>
                <w:szCs w:val="20"/>
                <w:lang w:eastAsia="en-GB"/>
              </w:rPr>
              <w:t>7</w:t>
            </w:r>
            <w:r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77334A9B" w14:textId="6399CD6F"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-0.04</w:t>
            </w:r>
            <w:r w:rsidR="003F5388">
              <w:rPr>
                <w:rFonts w:ascii="Times New Roman" w:eastAsia="Times New Roman" w:hAnsi="Times New Roman" w:cs="Times New Roman"/>
                <w:color w:val="000000"/>
                <w:sz w:val="20"/>
                <w:szCs w:val="20"/>
                <w:lang w:eastAsia="en-GB"/>
              </w:rPr>
              <w:t>4</w:t>
            </w:r>
            <w:r w:rsidRPr="007669FB">
              <w:rPr>
                <w:rFonts w:ascii="Times New Roman" w:eastAsia="Times New Roman" w:hAnsi="Times New Roman" w:cs="Times New Roman"/>
                <w:color w:val="000000"/>
                <w:sz w:val="24"/>
                <w:szCs w:val="24"/>
                <w:vertAlign w:val="superscript"/>
                <w:lang w:eastAsia="en-GB"/>
              </w:rPr>
              <w:t>*</w:t>
            </w:r>
          </w:p>
        </w:tc>
      </w:tr>
      <w:tr w:rsidR="007669FB" w:rsidRPr="007669FB" w14:paraId="26F9BB6C" w14:textId="77777777" w:rsidTr="007669FB">
        <w:trPr>
          <w:trHeight w:val="300"/>
        </w:trPr>
        <w:tc>
          <w:tcPr>
            <w:tcW w:w="3019" w:type="dxa"/>
            <w:tcBorders>
              <w:top w:val="nil"/>
              <w:left w:val="nil"/>
              <w:bottom w:val="nil"/>
              <w:right w:val="nil"/>
            </w:tcBorders>
            <w:shd w:val="clear" w:color="auto" w:fill="auto"/>
            <w:vAlign w:val="center"/>
            <w:hideMark/>
          </w:tcPr>
          <w:p w14:paraId="02BB770B"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6CD2A3AE" w14:textId="590AA3EC"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w:t>
            </w:r>
            <w:r w:rsidR="003F5388">
              <w:rPr>
                <w:rFonts w:ascii="Times New Roman" w:eastAsia="Times New Roman" w:hAnsi="Times New Roman" w:cs="Times New Roman"/>
                <w:color w:val="000000"/>
                <w:sz w:val="20"/>
                <w:szCs w:val="20"/>
                <w:lang w:eastAsia="en-GB"/>
              </w:rPr>
              <w:t>1</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67DE3D60" w14:textId="0844C3C1"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w:t>
            </w:r>
            <w:r w:rsidR="003F5388">
              <w:rPr>
                <w:rFonts w:ascii="Times New Roman" w:eastAsia="Times New Roman" w:hAnsi="Times New Roman" w:cs="Times New Roman"/>
                <w:color w:val="000000"/>
                <w:sz w:val="20"/>
                <w:szCs w:val="20"/>
                <w:lang w:eastAsia="en-GB"/>
              </w:rPr>
              <w:t>1</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53E583AF" w14:textId="1E6B15AF"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(0.02</w:t>
            </w:r>
            <w:r w:rsidR="003F5388">
              <w:rPr>
                <w:rFonts w:ascii="Times New Roman" w:eastAsia="Times New Roman" w:hAnsi="Times New Roman" w:cs="Times New Roman"/>
                <w:color w:val="000000"/>
                <w:sz w:val="20"/>
                <w:szCs w:val="20"/>
                <w:lang w:eastAsia="en-GB"/>
              </w:rPr>
              <w:t>5</w:t>
            </w:r>
            <w:r w:rsidRPr="007669FB">
              <w:rPr>
                <w:rFonts w:ascii="Times New Roman" w:eastAsia="Times New Roman" w:hAnsi="Times New Roman" w:cs="Times New Roman"/>
                <w:color w:val="000000"/>
                <w:sz w:val="20"/>
                <w:szCs w:val="20"/>
                <w:lang w:eastAsia="en-GB"/>
              </w:rPr>
              <w:t>)</w:t>
            </w:r>
          </w:p>
        </w:tc>
      </w:tr>
      <w:tr w:rsidR="007669FB" w:rsidRPr="007669FB" w14:paraId="3C5DE4E7" w14:textId="77777777" w:rsidTr="007669FB">
        <w:trPr>
          <w:trHeight w:val="630"/>
        </w:trPr>
        <w:tc>
          <w:tcPr>
            <w:tcW w:w="3019" w:type="dxa"/>
            <w:tcBorders>
              <w:top w:val="nil"/>
              <w:left w:val="nil"/>
              <w:bottom w:val="nil"/>
              <w:right w:val="nil"/>
            </w:tcBorders>
            <w:shd w:val="clear" w:color="auto" w:fill="auto"/>
            <w:vAlign w:val="center"/>
            <w:hideMark/>
          </w:tcPr>
          <w:p w14:paraId="5597F8D2" w14:textId="0D2BA5CE" w:rsidR="007669FB" w:rsidRPr="007669FB" w:rsidRDefault="005423CE" w:rsidP="007669FB">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Race</w:t>
            </w:r>
          </w:p>
        </w:tc>
        <w:tc>
          <w:tcPr>
            <w:tcW w:w="1710" w:type="dxa"/>
            <w:tcBorders>
              <w:top w:val="nil"/>
              <w:left w:val="nil"/>
              <w:bottom w:val="nil"/>
              <w:right w:val="nil"/>
            </w:tcBorders>
            <w:shd w:val="clear" w:color="auto" w:fill="auto"/>
            <w:vAlign w:val="center"/>
            <w:hideMark/>
          </w:tcPr>
          <w:p w14:paraId="42318148"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-0.004</w:t>
            </w:r>
            <w:r w:rsidRPr="007669FB">
              <w:rPr>
                <w:rFonts w:ascii="Times New Roman" w:eastAsia="Times New Roman" w:hAnsi="Times New Roman" w:cs="Times New Roman"/>
                <w:color w:val="000000"/>
                <w:sz w:val="24"/>
                <w:szCs w:val="24"/>
                <w:vertAlign w:val="superscript"/>
                <w:lang w:eastAsia="en-GB"/>
              </w:rPr>
              <w:t>*</w:t>
            </w:r>
          </w:p>
        </w:tc>
        <w:tc>
          <w:tcPr>
            <w:tcW w:w="1770" w:type="dxa"/>
            <w:gridSpan w:val="2"/>
            <w:tcBorders>
              <w:top w:val="nil"/>
              <w:left w:val="nil"/>
              <w:bottom w:val="nil"/>
              <w:right w:val="nil"/>
            </w:tcBorders>
            <w:shd w:val="clear" w:color="auto" w:fill="auto"/>
            <w:vAlign w:val="center"/>
            <w:hideMark/>
          </w:tcPr>
          <w:p w14:paraId="00397DB4" w14:textId="5E849166"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w:t>
            </w:r>
            <w:r w:rsidR="003F5388">
              <w:rPr>
                <w:rFonts w:ascii="Times New Roman" w:eastAsia="Times New Roman" w:hAnsi="Times New Roman" w:cs="Times New Roman"/>
                <w:color w:val="000000"/>
                <w:sz w:val="20"/>
                <w:szCs w:val="20"/>
                <w:lang w:eastAsia="en-GB"/>
              </w:rPr>
              <w:t>1</w:t>
            </w:r>
            <w:r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38980E00" w14:textId="1ECACD6C"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-0.02</w:t>
            </w:r>
            <w:r w:rsidR="003F5388">
              <w:rPr>
                <w:rFonts w:ascii="Times New Roman" w:eastAsia="Times New Roman" w:hAnsi="Times New Roman" w:cs="Times New Roman"/>
                <w:color w:val="000000"/>
                <w:sz w:val="20"/>
                <w:szCs w:val="20"/>
                <w:lang w:eastAsia="en-GB"/>
              </w:rPr>
              <w:t>0</w:t>
            </w:r>
            <w:r w:rsidRPr="007669FB">
              <w:rPr>
                <w:rFonts w:ascii="Times New Roman" w:eastAsia="Times New Roman" w:hAnsi="Times New Roman" w:cs="Times New Roman"/>
                <w:color w:val="000000"/>
                <w:sz w:val="24"/>
                <w:szCs w:val="24"/>
                <w:vertAlign w:val="superscript"/>
                <w:lang w:eastAsia="en-GB"/>
              </w:rPr>
              <w:t>***</w:t>
            </w:r>
          </w:p>
        </w:tc>
      </w:tr>
      <w:tr w:rsidR="007669FB" w:rsidRPr="007669FB" w14:paraId="742CAB98" w14:textId="77777777" w:rsidTr="007669FB">
        <w:trPr>
          <w:trHeight w:val="300"/>
        </w:trPr>
        <w:tc>
          <w:tcPr>
            <w:tcW w:w="3019" w:type="dxa"/>
            <w:tcBorders>
              <w:top w:val="nil"/>
              <w:left w:val="nil"/>
              <w:bottom w:val="nil"/>
              <w:right w:val="nil"/>
            </w:tcBorders>
            <w:shd w:val="clear" w:color="auto" w:fill="auto"/>
            <w:vAlign w:val="center"/>
            <w:hideMark/>
          </w:tcPr>
          <w:p w14:paraId="79233E0B"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58101AD0"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(0.002)</w:t>
            </w:r>
          </w:p>
        </w:tc>
        <w:tc>
          <w:tcPr>
            <w:tcW w:w="1770" w:type="dxa"/>
            <w:gridSpan w:val="2"/>
            <w:tcBorders>
              <w:top w:val="nil"/>
              <w:left w:val="nil"/>
              <w:bottom w:val="nil"/>
              <w:right w:val="nil"/>
            </w:tcBorders>
            <w:shd w:val="clear" w:color="auto" w:fill="auto"/>
            <w:vAlign w:val="center"/>
            <w:hideMark/>
          </w:tcPr>
          <w:p w14:paraId="7CE19046"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(0.003)</w:t>
            </w:r>
          </w:p>
        </w:tc>
        <w:tc>
          <w:tcPr>
            <w:tcW w:w="1770" w:type="dxa"/>
            <w:tcBorders>
              <w:top w:val="nil"/>
              <w:left w:val="nil"/>
              <w:bottom w:val="nil"/>
              <w:right w:val="nil"/>
            </w:tcBorders>
            <w:shd w:val="clear" w:color="auto" w:fill="auto"/>
            <w:vAlign w:val="center"/>
            <w:hideMark/>
          </w:tcPr>
          <w:p w14:paraId="7468D127"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(0.008)</w:t>
            </w:r>
          </w:p>
        </w:tc>
      </w:tr>
      <w:tr w:rsidR="007669FB" w:rsidRPr="007669FB" w14:paraId="401C1B9A" w14:textId="77777777" w:rsidTr="007669FB">
        <w:trPr>
          <w:trHeight w:val="375"/>
        </w:trPr>
        <w:tc>
          <w:tcPr>
            <w:tcW w:w="3019" w:type="dxa"/>
            <w:tcBorders>
              <w:top w:val="nil"/>
              <w:left w:val="nil"/>
              <w:bottom w:val="nil"/>
              <w:right w:val="nil"/>
            </w:tcBorders>
            <w:shd w:val="clear" w:color="auto" w:fill="auto"/>
            <w:vAlign w:val="center"/>
            <w:hideMark/>
          </w:tcPr>
          <w:p w14:paraId="70BFCBBE"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Physical activity</w:t>
            </w:r>
          </w:p>
        </w:tc>
        <w:tc>
          <w:tcPr>
            <w:tcW w:w="1710" w:type="dxa"/>
            <w:tcBorders>
              <w:top w:val="nil"/>
              <w:left w:val="nil"/>
              <w:bottom w:val="nil"/>
              <w:right w:val="nil"/>
            </w:tcBorders>
            <w:shd w:val="clear" w:color="auto" w:fill="auto"/>
            <w:vAlign w:val="center"/>
            <w:hideMark/>
          </w:tcPr>
          <w:p w14:paraId="08F83D06" w14:textId="65377A21" w:rsidR="007669FB" w:rsidRPr="007669FB" w:rsidRDefault="003F5388"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669FB" w:rsidRPr="007669FB">
              <w:rPr>
                <w:rFonts w:ascii="Times New Roman" w:eastAsia="Times New Roman" w:hAnsi="Times New Roman" w:cs="Times New Roman"/>
                <w:color w:val="000000"/>
                <w:sz w:val="20"/>
                <w:szCs w:val="20"/>
                <w:lang w:eastAsia="en-GB"/>
              </w:rPr>
              <w:t>0.0</w:t>
            </w:r>
            <w:r>
              <w:rPr>
                <w:rFonts w:ascii="Times New Roman" w:eastAsia="Times New Roman" w:hAnsi="Times New Roman" w:cs="Times New Roman"/>
                <w:color w:val="000000"/>
                <w:sz w:val="20"/>
                <w:szCs w:val="20"/>
                <w:lang w:eastAsia="en-GB"/>
              </w:rPr>
              <w:t>09</w:t>
            </w:r>
          </w:p>
        </w:tc>
        <w:tc>
          <w:tcPr>
            <w:tcW w:w="1770" w:type="dxa"/>
            <w:gridSpan w:val="2"/>
            <w:tcBorders>
              <w:top w:val="nil"/>
              <w:left w:val="nil"/>
              <w:bottom w:val="nil"/>
              <w:right w:val="nil"/>
            </w:tcBorders>
            <w:shd w:val="clear" w:color="auto" w:fill="auto"/>
            <w:vAlign w:val="center"/>
            <w:hideMark/>
          </w:tcPr>
          <w:p w14:paraId="3649D28B" w14:textId="1C553249" w:rsidR="007669FB" w:rsidRPr="007669FB" w:rsidRDefault="003F5388"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669FB" w:rsidRPr="007669FB">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094</w:t>
            </w:r>
            <w:r w:rsidR="007669FB"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491EDD49" w14:textId="0B76DC63" w:rsidR="007669FB" w:rsidRPr="007669FB" w:rsidRDefault="003F5388"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-0.352</w:t>
            </w:r>
            <w:r w:rsidR="007669FB" w:rsidRPr="007669FB">
              <w:rPr>
                <w:rFonts w:ascii="Times New Roman" w:eastAsia="Times New Roman" w:hAnsi="Times New Roman" w:cs="Times New Roman"/>
                <w:color w:val="000000"/>
                <w:sz w:val="24"/>
                <w:szCs w:val="24"/>
                <w:vertAlign w:val="superscript"/>
                <w:lang w:eastAsia="en-GB"/>
              </w:rPr>
              <w:t>***</w:t>
            </w:r>
          </w:p>
        </w:tc>
      </w:tr>
      <w:tr w:rsidR="007669FB" w:rsidRPr="007669FB" w14:paraId="760A30E2" w14:textId="77777777" w:rsidTr="007669FB">
        <w:trPr>
          <w:trHeight w:val="300"/>
        </w:trPr>
        <w:tc>
          <w:tcPr>
            <w:tcW w:w="3019" w:type="dxa"/>
            <w:tcBorders>
              <w:top w:val="nil"/>
              <w:left w:val="nil"/>
              <w:bottom w:val="nil"/>
              <w:right w:val="nil"/>
            </w:tcBorders>
            <w:shd w:val="clear" w:color="auto" w:fill="auto"/>
            <w:vAlign w:val="center"/>
            <w:hideMark/>
          </w:tcPr>
          <w:p w14:paraId="115BB3DF"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06102C16" w14:textId="69F1687A"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10</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3577F2B4" w14:textId="6D41F818"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11</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55A6AB65" w14:textId="16D7A084"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32</w:t>
            </w:r>
            <w:r w:rsidRPr="007669FB">
              <w:rPr>
                <w:rFonts w:ascii="Times New Roman" w:eastAsia="Times New Roman" w:hAnsi="Times New Roman" w:cs="Times New Roman"/>
                <w:color w:val="000000"/>
                <w:sz w:val="20"/>
                <w:szCs w:val="20"/>
                <w:lang w:eastAsia="en-GB"/>
              </w:rPr>
              <w:t>)</w:t>
            </w:r>
          </w:p>
        </w:tc>
      </w:tr>
      <w:tr w:rsidR="007669FB" w:rsidRPr="007669FB" w14:paraId="6E9AC664" w14:textId="77777777" w:rsidTr="007669FB">
        <w:trPr>
          <w:trHeight w:val="630"/>
        </w:trPr>
        <w:tc>
          <w:tcPr>
            <w:tcW w:w="3019" w:type="dxa"/>
            <w:tcBorders>
              <w:top w:val="nil"/>
              <w:left w:val="nil"/>
              <w:bottom w:val="nil"/>
              <w:right w:val="nil"/>
            </w:tcBorders>
            <w:shd w:val="clear" w:color="auto" w:fill="auto"/>
            <w:vAlign w:val="center"/>
            <w:hideMark/>
          </w:tcPr>
          <w:p w14:paraId="00023D39"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Socio-economic</w:t>
            </w:r>
          </w:p>
        </w:tc>
        <w:tc>
          <w:tcPr>
            <w:tcW w:w="1710" w:type="dxa"/>
            <w:tcBorders>
              <w:top w:val="nil"/>
              <w:left w:val="nil"/>
              <w:bottom w:val="nil"/>
              <w:right w:val="nil"/>
            </w:tcBorders>
            <w:shd w:val="clear" w:color="auto" w:fill="auto"/>
            <w:vAlign w:val="center"/>
            <w:hideMark/>
          </w:tcPr>
          <w:p w14:paraId="70F37591"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-0.044</w:t>
            </w:r>
            <w:r w:rsidRPr="007669FB">
              <w:rPr>
                <w:rFonts w:ascii="Times New Roman" w:eastAsia="Times New Roman" w:hAnsi="Times New Roman" w:cs="Times New Roman"/>
                <w:color w:val="000000"/>
                <w:sz w:val="24"/>
                <w:szCs w:val="24"/>
                <w:vertAlign w:val="superscript"/>
                <w:lang w:eastAsia="en-GB"/>
              </w:rPr>
              <w:t>***</w:t>
            </w:r>
          </w:p>
        </w:tc>
        <w:tc>
          <w:tcPr>
            <w:tcW w:w="1770" w:type="dxa"/>
            <w:gridSpan w:val="2"/>
            <w:tcBorders>
              <w:top w:val="nil"/>
              <w:left w:val="nil"/>
              <w:bottom w:val="nil"/>
              <w:right w:val="nil"/>
            </w:tcBorders>
            <w:shd w:val="clear" w:color="auto" w:fill="auto"/>
            <w:vAlign w:val="center"/>
            <w:hideMark/>
          </w:tcPr>
          <w:p w14:paraId="46F22EEB" w14:textId="69359BBA"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-0.13</w:t>
            </w:r>
            <w:r w:rsidR="003F5388">
              <w:rPr>
                <w:rFonts w:ascii="Times New Roman" w:eastAsia="Times New Roman" w:hAnsi="Times New Roman" w:cs="Times New Roman"/>
                <w:color w:val="000000"/>
                <w:sz w:val="20"/>
                <w:szCs w:val="20"/>
                <w:lang w:eastAsia="en-GB"/>
              </w:rPr>
              <w:t>6</w:t>
            </w:r>
            <w:r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53FEBCB8" w14:textId="48A41C1E"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-0.2</w:t>
            </w:r>
            <w:r w:rsidR="003F5388">
              <w:rPr>
                <w:rFonts w:ascii="Times New Roman" w:eastAsia="Times New Roman" w:hAnsi="Times New Roman" w:cs="Times New Roman"/>
                <w:color w:val="000000"/>
                <w:sz w:val="20"/>
                <w:szCs w:val="20"/>
                <w:lang w:eastAsia="en-GB"/>
              </w:rPr>
              <w:t>27</w:t>
            </w:r>
            <w:r w:rsidRPr="007669FB">
              <w:rPr>
                <w:rFonts w:ascii="Times New Roman" w:eastAsia="Times New Roman" w:hAnsi="Times New Roman" w:cs="Times New Roman"/>
                <w:color w:val="000000"/>
                <w:sz w:val="24"/>
                <w:szCs w:val="24"/>
                <w:vertAlign w:val="superscript"/>
                <w:lang w:eastAsia="en-GB"/>
              </w:rPr>
              <w:t>***</w:t>
            </w:r>
          </w:p>
        </w:tc>
      </w:tr>
      <w:tr w:rsidR="007669FB" w:rsidRPr="007669FB" w14:paraId="1C91971A" w14:textId="77777777" w:rsidTr="007669FB">
        <w:trPr>
          <w:trHeight w:val="315"/>
        </w:trPr>
        <w:tc>
          <w:tcPr>
            <w:tcW w:w="3019" w:type="dxa"/>
            <w:tcBorders>
              <w:top w:val="nil"/>
              <w:left w:val="nil"/>
              <w:bottom w:val="nil"/>
              <w:right w:val="nil"/>
            </w:tcBorders>
            <w:shd w:val="clear" w:color="auto" w:fill="auto"/>
            <w:vAlign w:val="center"/>
            <w:hideMark/>
          </w:tcPr>
          <w:p w14:paraId="42B9EB94"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718F7357"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(0.011)</w:t>
            </w:r>
          </w:p>
        </w:tc>
        <w:tc>
          <w:tcPr>
            <w:tcW w:w="1770" w:type="dxa"/>
            <w:gridSpan w:val="2"/>
            <w:tcBorders>
              <w:top w:val="nil"/>
              <w:left w:val="nil"/>
              <w:bottom w:val="nil"/>
              <w:right w:val="nil"/>
            </w:tcBorders>
            <w:shd w:val="clear" w:color="auto" w:fill="auto"/>
            <w:vAlign w:val="center"/>
            <w:hideMark/>
          </w:tcPr>
          <w:p w14:paraId="2748C3FF"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(0.013)</w:t>
            </w:r>
          </w:p>
        </w:tc>
        <w:tc>
          <w:tcPr>
            <w:tcW w:w="1770" w:type="dxa"/>
            <w:tcBorders>
              <w:top w:val="nil"/>
              <w:left w:val="nil"/>
              <w:bottom w:val="nil"/>
              <w:right w:val="nil"/>
            </w:tcBorders>
            <w:shd w:val="clear" w:color="auto" w:fill="auto"/>
            <w:vAlign w:val="center"/>
            <w:hideMark/>
          </w:tcPr>
          <w:p w14:paraId="2D93DCFD" w14:textId="5AD773CD"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(0.03</w:t>
            </w:r>
            <w:r w:rsidR="003F5388">
              <w:rPr>
                <w:rFonts w:ascii="Times New Roman" w:eastAsia="Times New Roman" w:hAnsi="Times New Roman" w:cs="Times New Roman"/>
                <w:color w:val="000000"/>
                <w:sz w:val="20"/>
                <w:szCs w:val="20"/>
                <w:lang w:eastAsia="en-GB"/>
              </w:rPr>
              <w:t>4</w:t>
            </w:r>
            <w:r w:rsidRPr="007669FB">
              <w:rPr>
                <w:rFonts w:ascii="Times New Roman" w:eastAsia="Times New Roman" w:hAnsi="Times New Roman" w:cs="Times New Roman"/>
                <w:color w:val="000000"/>
                <w:sz w:val="20"/>
                <w:szCs w:val="20"/>
                <w:lang w:eastAsia="en-GB"/>
              </w:rPr>
              <w:t>)</w:t>
            </w:r>
          </w:p>
        </w:tc>
      </w:tr>
      <w:tr w:rsidR="007669FB" w:rsidRPr="007669FB" w14:paraId="76638D67" w14:textId="77777777" w:rsidTr="007669FB">
        <w:trPr>
          <w:trHeight w:val="300"/>
        </w:trPr>
        <w:tc>
          <w:tcPr>
            <w:tcW w:w="3019" w:type="dxa"/>
            <w:tcBorders>
              <w:top w:val="single" w:sz="8" w:space="0" w:color="auto"/>
              <w:left w:val="nil"/>
              <w:bottom w:val="nil"/>
              <w:right w:val="nil"/>
            </w:tcBorders>
            <w:shd w:val="clear" w:color="auto" w:fill="auto"/>
            <w:vAlign w:val="center"/>
            <w:hideMark/>
          </w:tcPr>
          <w:p w14:paraId="185E74F9" w14:textId="77777777" w:rsidR="007669FB" w:rsidRPr="007669FB" w:rsidRDefault="007669FB" w:rsidP="007669FB">
            <w:pPr>
              <w:spacing w:after="0" w:line="240" w:lineRule="auto"/>
              <w:rPr>
                <w:rFonts w:ascii="Times New Roman" w:eastAsia="Times New Roman" w:hAnsi="Times New Roman" w:cs="Times New Roman"/>
                <w:i/>
                <w:iCs/>
                <w:color w:val="000000"/>
                <w:sz w:val="20"/>
                <w:szCs w:val="20"/>
                <w:lang w:eastAsia="en-GB"/>
              </w:rPr>
            </w:pPr>
            <w:r w:rsidRPr="007669FB">
              <w:rPr>
                <w:rFonts w:ascii="Times New Roman" w:eastAsia="Times New Roman" w:hAnsi="Times New Roman" w:cs="Times New Roman"/>
                <w:i/>
                <w:iCs/>
                <w:color w:val="000000"/>
                <w:sz w:val="20"/>
                <w:szCs w:val="20"/>
                <w:lang w:eastAsia="en-GB"/>
              </w:rPr>
              <w:t>E: Attributable to coefficients</w:t>
            </w:r>
          </w:p>
        </w:tc>
        <w:tc>
          <w:tcPr>
            <w:tcW w:w="1710" w:type="dxa"/>
            <w:tcBorders>
              <w:top w:val="single" w:sz="8" w:space="0" w:color="auto"/>
              <w:left w:val="nil"/>
              <w:bottom w:val="nil"/>
              <w:right w:val="nil"/>
            </w:tcBorders>
            <w:shd w:val="clear" w:color="auto" w:fill="auto"/>
            <w:vAlign w:val="center"/>
            <w:hideMark/>
          </w:tcPr>
          <w:p w14:paraId="7ABA3498"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70" w:type="dxa"/>
            <w:gridSpan w:val="2"/>
            <w:tcBorders>
              <w:top w:val="single" w:sz="8" w:space="0" w:color="auto"/>
              <w:left w:val="nil"/>
              <w:bottom w:val="nil"/>
              <w:right w:val="nil"/>
            </w:tcBorders>
            <w:shd w:val="clear" w:color="auto" w:fill="auto"/>
            <w:vAlign w:val="center"/>
            <w:hideMark/>
          </w:tcPr>
          <w:p w14:paraId="548097A4"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70" w:type="dxa"/>
            <w:tcBorders>
              <w:top w:val="single" w:sz="8" w:space="0" w:color="auto"/>
              <w:left w:val="nil"/>
              <w:bottom w:val="nil"/>
              <w:right w:val="nil"/>
            </w:tcBorders>
            <w:shd w:val="clear" w:color="auto" w:fill="auto"/>
            <w:vAlign w:val="center"/>
            <w:hideMark/>
          </w:tcPr>
          <w:p w14:paraId="6446421F"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r>
      <w:tr w:rsidR="007669FB" w:rsidRPr="007669FB" w14:paraId="159B4DED" w14:textId="77777777" w:rsidTr="007669FB">
        <w:trPr>
          <w:trHeight w:val="375"/>
        </w:trPr>
        <w:tc>
          <w:tcPr>
            <w:tcW w:w="3019" w:type="dxa"/>
            <w:tcBorders>
              <w:top w:val="nil"/>
              <w:left w:val="nil"/>
              <w:bottom w:val="nil"/>
              <w:right w:val="nil"/>
            </w:tcBorders>
            <w:shd w:val="clear" w:color="auto" w:fill="auto"/>
            <w:vAlign w:val="center"/>
            <w:hideMark/>
          </w:tcPr>
          <w:p w14:paraId="6434A911" w14:textId="368AE949" w:rsidR="007669FB" w:rsidRPr="007669FB" w:rsidRDefault="006F5AD6" w:rsidP="007669FB">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Sex</w:t>
            </w:r>
          </w:p>
        </w:tc>
        <w:tc>
          <w:tcPr>
            <w:tcW w:w="1710" w:type="dxa"/>
            <w:tcBorders>
              <w:top w:val="nil"/>
              <w:left w:val="nil"/>
              <w:bottom w:val="nil"/>
              <w:right w:val="nil"/>
            </w:tcBorders>
            <w:shd w:val="clear" w:color="auto" w:fill="auto"/>
            <w:vAlign w:val="center"/>
            <w:hideMark/>
          </w:tcPr>
          <w:p w14:paraId="5346ECBB" w14:textId="25E4D2FB"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087</w:t>
            </w:r>
            <w:r w:rsidRPr="007669FB">
              <w:rPr>
                <w:rFonts w:ascii="Times New Roman" w:eastAsia="Times New Roman" w:hAnsi="Times New Roman" w:cs="Times New Roman"/>
                <w:color w:val="000000"/>
                <w:sz w:val="24"/>
                <w:szCs w:val="24"/>
                <w:vertAlign w:val="superscript"/>
                <w:lang w:eastAsia="en-GB"/>
              </w:rPr>
              <w:t>*</w:t>
            </w:r>
          </w:p>
        </w:tc>
        <w:tc>
          <w:tcPr>
            <w:tcW w:w="1770" w:type="dxa"/>
            <w:gridSpan w:val="2"/>
            <w:tcBorders>
              <w:top w:val="nil"/>
              <w:left w:val="nil"/>
              <w:bottom w:val="nil"/>
              <w:right w:val="nil"/>
            </w:tcBorders>
            <w:shd w:val="clear" w:color="auto" w:fill="auto"/>
            <w:vAlign w:val="center"/>
            <w:hideMark/>
          </w:tcPr>
          <w:p w14:paraId="62F4AFED" w14:textId="567EAD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101*</w:t>
            </w:r>
          </w:p>
        </w:tc>
        <w:tc>
          <w:tcPr>
            <w:tcW w:w="1770" w:type="dxa"/>
            <w:tcBorders>
              <w:top w:val="nil"/>
              <w:left w:val="nil"/>
              <w:bottom w:val="nil"/>
              <w:right w:val="nil"/>
            </w:tcBorders>
            <w:shd w:val="clear" w:color="auto" w:fill="auto"/>
            <w:vAlign w:val="center"/>
            <w:hideMark/>
          </w:tcPr>
          <w:p w14:paraId="600E09D0" w14:textId="54D1969B"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-0.2</w:t>
            </w:r>
            <w:r w:rsidR="003F5388">
              <w:rPr>
                <w:rFonts w:ascii="Times New Roman" w:eastAsia="Times New Roman" w:hAnsi="Times New Roman" w:cs="Times New Roman"/>
                <w:color w:val="000000"/>
                <w:sz w:val="20"/>
                <w:szCs w:val="20"/>
                <w:lang w:eastAsia="en-GB"/>
              </w:rPr>
              <w:t>14</w:t>
            </w:r>
          </w:p>
        </w:tc>
      </w:tr>
      <w:tr w:rsidR="007669FB" w:rsidRPr="007669FB" w14:paraId="6FFE3B42" w14:textId="77777777" w:rsidTr="007669FB">
        <w:trPr>
          <w:trHeight w:val="300"/>
        </w:trPr>
        <w:tc>
          <w:tcPr>
            <w:tcW w:w="3019" w:type="dxa"/>
            <w:tcBorders>
              <w:top w:val="nil"/>
              <w:left w:val="nil"/>
              <w:bottom w:val="nil"/>
              <w:right w:val="nil"/>
            </w:tcBorders>
            <w:shd w:val="clear" w:color="auto" w:fill="auto"/>
            <w:vAlign w:val="center"/>
            <w:hideMark/>
          </w:tcPr>
          <w:p w14:paraId="02093D04"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3776739B"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(0.046)</w:t>
            </w:r>
          </w:p>
        </w:tc>
        <w:tc>
          <w:tcPr>
            <w:tcW w:w="1770" w:type="dxa"/>
            <w:gridSpan w:val="2"/>
            <w:tcBorders>
              <w:top w:val="nil"/>
              <w:left w:val="nil"/>
              <w:bottom w:val="nil"/>
              <w:right w:val="nil"/>
            </w:tcBorders>
            <w:shd w:val="clear" w:color="auto" w:fill="auto"/>
            <w:vAlign w:val="center"/>
            <w:hideMark/>
          </w:tcPr>
          <w:p w14:paraId="563DE125" w14:textId="2B1CCB0E"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(0.05</w:t>
            </w:r>
            <w:r w:rsidR="003F5388">
              <w:rPr>
                <w:rFonts w:ascii="Times New Roman" w:eastAsia="Times New Roman" w:hAnsi="Times New Roman" w:cs="Times New Roman"/>
                <w:color w:val="000000"/>
                <w:sz w:val="20"/>
                <w:szCs w:val="20"/>
                <w:lang w:eastAsia="en-GB"/>
              </w:rPr>
              <w:t>2</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1EF31F23"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(0.139)</w:t>
            </w:r>
          </w:p>
        </w:tc>
      </w:tr>
      <w:tr w:rsidR="007669FB" w:rsidRPr="007669FB" w14:paraId="3EBE6ABC" w14:textId="77777777" w:rsidTr="007669FB">
        <w:trPr>
          <w:trHeight w:val="300"/>
        </w:trPr>
        <w:tc>
          <w:tcPr>
            <w:tcW w:w="3019" w:type="dxa"/>
            <w:tcBorders>
              <w:top w:val="nil"/>
              <w:left w:val="nil"/>
              <w:bottom w:val="nil"/>
              <w:right w:val="nil"/>
            </w:tcBorders>
            <w:shd w:val="clear" w:color="auto" w:fill="auto"/>
            <w:vAlign w:val="center"/>
            <w:hideMark/>
          </w:tcPr>
          <w:p w14:paraId="07344000"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Age</w:t>
            </w:r>
          </w:p>
        </w:tc>
        <w:tc>
          <w:tcPr>
            <w:tcW w:w="1710" w:type="dxa"/>
            <w:tcBorders>
              <w:top w:val="nil"/>
              <w:left w:val="nil"/>
              <w:bottom w:val="nil"/>
              <w:right w:val="nil"/>
            </w:tcBorders>
            <w:shd w:val="clear" w:color="auto" w:fill="auto"/>
            <w:vAlign w:val="center"/>
            <w:hideMark/>
          </w:tcPr>
          <w:p w14:paraId="7A87FE90" w14:textId="078B9320"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5</w:t>
            </w:r>
          </w:p>
        </w:tc>
        <w:tc>
          <w:tcPr>
            <w:tcW w:w="1770" w:type="dxa"/>
            <w:gridSpan w:val="2"/>
            <w:tcBorders>
              <w:top w:val="nil"/>
              <w:left w:val="nil"/>
              <w:bottom w:val="nil"/>
              <w:right w:val="nil"/>
            </w:tcBorders>
            <w:shd w:val="clear" w:color="auto" w:fill="auto"/>
            <w:vAlign w:val="center"/>
            <w:hideMark/>
          </w:tcPr>
          <w:p w14:paraId="4E3DCDDA" w14:textId="1097EBCC"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11</w:t>
            </w:r>
          </w:p>
        </w:tc>
        <w:tc>
          <w:tcPr>
            <w:tcW w:w="1770" w:type="dxa"/>
            <w:tcBorders>
              <w:top w:val="nil"/>
              <w:left w:val="nil"/>
              <w:bottom w:val="nil"/>
              <w:right w:val="nil"/>
            </w:tcBorders>
            <w:shd w:val="clear" w:color="auto" w:fill="auto"/>
            <w:vAlign w:val="center"/>
            <w:hideMark/>
          </w:tcPr>
          <w:p w14:paraId="340F01A2" w14:textId="2F3DBB4A"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39</w:t>
            </w:r>
          </w:p>
        </w:tc>
      </w:tr>
      <w:tr w:rsidR="007669FB" w:rsidRPr="007669FB" w14:paraId="2A450E69" w14:textId="77777777" w:rsidTr="007669FB">
        <w:trPr>
          <w:trHeight w:val="300"/>
        </w:trPr>
        <w:tc>
          <w:tcPr>
            <w:tcW w:w="3019" w:type="dxa"/>
            <w:tcBorders>
              <w:top w:val="nil"/>
              <w:left w:val="nil"/>
              <w:bottom w:val="nil"/>
              <w:right w:val="nil"/>
            </w:tcBorders>
            <w:shd w:val="clear" w:color="auto" w:fill="auto"/>
            <w:vAlign w:val="center"/>
            <w:hideMark/>
          </w:tcPr>
          <w:p w14:paraId="2A1181B2"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7CA94381"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(0.006)</w:t>
            </w:r>
          </w:p>
        </w:tc>
        <w:tc>
          <w:tcPr>
            <w:tcW w:w="1770" w:type="dxa"/>
            <w:gridSpan w:val="2"/>
            <w:tcBorders>
              <w:top w:val="nil"/>
              <w:left w:val="nil"/>
              <w:bottom w:val="nil"/>
              <w:right w:val="nil"/>
            </w:tcBorders>
            <w:shd w:val="clear" w:color="auto" w:fill="auto"/>
            <w:vAlign w:val="center"/>
            <w:hideMark/>
          </w:tcPr>
          <w:p w14:paraId="048FB4C3"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(0.007)</w:t>
            </w:r>
          </w:p>
        </w:tc>
        <w:tc>
          <w:tcPr>
            <w:tcW w:w="1770" w:type="dxa"/>
            <w:tcBorders>
              <w:top w:val="nil"/>
              <w:left w:val="nil"/>
              <w:bottom w:val="nil"/>
              <w:right w:val="nil"/>
            </w:tcBorders>
            <w:shd w:val="clear" w:color="auto" w:fill="auto"/>
            <w:vAlign w:val="center"/>
            <w:hideMark/>
          </w:tcPr>
          <w:p w14:paraId="18164AEC"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(0.019)</w:t>
            </w:r>
          </w:p>
        </w:tc>
      </w:tr>
      <w:tr w:rsidR="007669FB" w:rsidRPr="007669FB" w14:paraId="4F81A509" w14:textId="77777777" w:rsidTr="007669FB">
        <w:trPr>
          <w:trHeight w:val="375"/>
        </w:trPr>
        <w:tc>
          <w:tcPr>
            <w:tcW w:w="3019" w:type="dxa"/>
            <w:tcBorders>
              <w:top w:val="nil"/>
              <w:left w:val="nil"/>
              <w:bottom w:val="nil"/>
              <w:right w:val="nil"/>
            </w:tcBorders>
            <w:shd w:val="clear" w:color="auto" w:fill="auto"/>
            <w:vAlign w:val="center"/>
            <w:hideMark/>
          </w:tcPr>
          <w:p w14:paraId="3646A158" w14:textId="6E46D8FA" w:rsidR="007669FB" w:rsidRPr="007669FB" w:rsidRDefault="005423CE" w:rsidP="007669FB">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Race</w:t>
            </w:r>
          </w:p>
        </w:tc>
        <w:tc>
          <w:tcPr>
            <w:tcW w:w="1710" w:type="dxa"/>
            <w:tcBorders>
              <w:top w:val="nil"/>
              <w:left w:val="nil"/>
              <w:bottom w:val="nil"/>
              <w:right w:val="nil"/>
            </w:tcBorders>
            <w:shd w:val="clear" w:color="auto" w:fill="auto"/>
            <w:vAlign w:val="center"/>
            <w:hideMark/>
          </w:tcPr>
          <w:p w14:paraId="4EA88695" w14:textId="2EFED985"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238</w:t>
            </w:r>
          </w:p>
        </w:tc>
        <w:tc>
          <w:tcPr>
            <w:tcW w:w="1770" w:type="dxa"/>
            <w:gridSpan w:val="2"/>
            <w:tcBorders>
              <w:top w:val="nil"/>
              <w:left w:val="nil"/>
              <w:bottom w:val="nil"/>
              <w:right w:val="nil"/>
            </w:tcBorders>
            <w:shd w:val="clear" w:color="auto" w:fill="auto"/>
            <w:vAlign w:val="center"/>
            <w:hideMark/>
          </w:tcPr>
          <w:p w14:paraId="323FE543" w14:textId="01EB8FF9"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314</w:t>
            </w:r>
          </w:p>
        </w:tc>
        <w:tc>
          <w:tcPr>
            <w:tcW w:w="1770" w:type="dxa"/>
            <w:tcBorders>
              <w:top w:val="nil"/>
              <w:left w:val="nil"/>
              <w:bottom w:val="nil"/>
              <w:right w:val="nil"/>
            </w:tcBorders>
            <w:shd w:val="clear" w:color="auto" w:fill="auto"/>
            <w:vAlign w:val="center"/>
            <w:hideMark/>
          </w:tcPr>
          <w:p w14:paraId="584AFABA" w14:textId="44FEEFF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1.</w:t>
            </w:r>
            <w:r w:rsidR="003F5388"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71</w:t>
            </w:r>
            <w:r w:rsidRPr="007669FB">
              <w:rPr>
                <w:rFonts w:ascii="Times New Roman" w:eastAsia="Times New Roman" w:hAnsi="Times New Roman" w:cs="Times New Roman"/>
                <w:color w:val="000000"/>
                <w:sz w:val="24"/>
                <w:szCs w:val="24"/>
                <w:vertAlign w:val="superscript"/>
                <w:lang w:eastAsia="en-GB"/>
              </w:rPr>
              <w:t>*</w:t>
            </w:r>
          </w:p>
        </w:tc>
      </w:tr>
      <w:tr w:rsidR="007669FB" w:rsidRPr="007669FB" w14:paraId="3DA68337" w14:textId="77777777" w:rsidTr="007669FB">
        <w:trPr>
          <w:trHeight w:val="300"/>
        </w:trPr>
        <w:tc>
          <w:tcPr>
            <w:tcW w:w="3019" w:type="dxa"/>
            <w:tcBorders>
              <w:top w:val="nil"/>
              <w:left w:val="nil"/>
              <w:bottom w:val="nil"/>
              <w:right w:val="nil"/>
            </w:tcBorders>
            <w:shd w:val="clear" w:color="auto" w:fill="auto"/>
            <w:vAlign w:val="center"/>
            <w:hideMark/>
          </w:tcPr>
          <w:p w14:paraId="3BA52096"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48DFFDEC" w14:textId="0348AC88"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sidRPr="007669FB">
              <w:rPr>
                <w:rFonts w:ascii="Times New Roman" w:eastAsia="Times New Roman" w:hAnsi="Times New Roman" w:cs="Times New Roman"/>
                <w:color w:val="000000"/>
                <w:sz w:val="20"/>
                <w:szCs w:val="20"/>
                <w:lang w:eastAsia="en-GB"/>
              </w:rPr>
              <w:t>2</w:t>
            </w:r>
            <w:r w:rsidR="003F5388">
              <w:rPr>
                <w:rFonts w:ascii="Times New Roman" w:eastAsia="Times New Roman" w:hAnsi="Times New Roman" w:cs="Times New Roman"/>
                <w:color w:val="000000"/>
                <w:sz w:val="20"/>
                <w:szCs w:val="20"/>
                <w:lang w:eastAsia="en-GB"/>
              </w:rPr>
              <w:t>18</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541D21FF" w14:textId="160F80B3"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sidRPr="007669FB">
              <w:rPr>
                <w:rFonts w:ascii="Times New Roman" w:eastAsia="Times New Roman" w:hAnsi="Times New Roman" w:cs="Times New Roman"/>
                <w:color w:val="000000"/>
                <w:sz w:val="20"/>
                <w:szCs w:val="20"/>
                <w:lang w:eastAsia="en-GB"/>
              </w:rPr>
              <w:t>2</w:t>
            </w:r>
            <w:r w:rsidR="003F5388">
              <w:rPr>
                <w:rFonts w:ascii="Times New Roman" w:eastAsia="Times New Roman" w:hAnsi="Times New Roman" w:cs="Times New Roman"/>
                <w:color w:val="000000"/>
                <w:sz w:val="20"/>
                <w:szCs w:val="20"/>
                <w:lang w:eastAsia="en-GB"/>
              </w:rPr>
              <w:t>36</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7CAE169D" w14:textId="6BC91BB5"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sidRPr="007669FB">
              <w:rPr>
                <w:rFonts w:ascii="Times New Roman" w:eastAsia="Times New Roman" w:hAnsi="Times New Roman" w:cs="Times New Roman"/>
                <w:color w:val="000000"/>
                <w:sz w:val="20"/>
                <w:szCs w:val="20"/>
                <w:lang w:eastAsia="en-GB"/>
              </w:rPr>
              <w:t>62</w:t>
            </w:r>
            <w:r w:rsidR="003F5388">
              <w:rPr>
                <w:rFonts w:ascii="Times New Roman" w:eastAsia="Times New Roman" w:hAnsi="Times New Roman" w:cs="Times New Roman"/>
                <w:color w:val="000000"/>
                <w:sz w:val="20"/>
                <w:szCs w:val="20"/>
                <w:lang w:eastAsia="en-GB"/>
              </w:rPr>
              <w:t>6</w:t>
            </w:r>
            <w:r w:rsidRPr="007669FB">
              <w:rPr>
                <w:rFonts w:ascii="Times New Roman" w:eastAsia="Times New Roman" w:hAnsi="Times New Roman" w:cs="Times New Roman"/>
                <w:color w:val="000000"/>
                <w:sz w:val="20"/>
                <w:szCs w:val="20"/>
                <w:lang w:eastAsia="en-GB"/>
              </w:rPr>
              <w:t>)</w:t>
            </w:r>
          </w:p>
        </w:tc>
      </w:tr>
      <w:tr w:rsidR="007669FB" w:rsidRPr="007669FB" w14:paraId="240B0C01" w14:textId="77777777" w:rsidTr="007669FB">
        <w:trPr>
          <w:trHeight w:val="375"/>
        </w:trPr>
        <w:tc>
          <w:tcPr>
            <w:tcW w:w="3019" w:type="dxa"/>
            <w:tcBorders>
              <w:top w:val="nil"/>
              <w:left w:val="nil"/>
              <w:bottom w:val="nil"/>
              <w:right w:val="nil"/>
            </w:tcBorders>
            <w:shd w:val="clear" w:color="auto" w:fill="auto"/>
            <w:vAlign w:val="center"/>
            <w:hideMark/>
          </w:tcPr>
          <w:p w14:paraId="3804AA53"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Physical activity</w:t>
            </w:r>
          </w:p>
        </w:tc>
        <w:tc>
          <w:tcPr>
            <w:tcW w:w="1710" w:type="dxa"/>
            <w:tcBorders>
              <w:top w:val="nil"/>
              <w:left w:val="nil"/>
              <w:bottom w:val="nil"/>
              <w:right w:val="nil"/>
            </w:tcBorders>
            <w:shd w:val="clear" w:color="auto" w:fill="auto"/>
            <w:vAlign w:val="center"/>
            <w:hideMark/>
          </w:tcPr>
          <w:p w14:paraId="260707B9" w14:textId="2B006C84"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83**</w:t>
            </w:r>
          </w:p>
        </w:tc>
        <w:tc>
          <w:tcPr>
            <w:tcW w:w="1770" w:type="dxa"/>
            <w:gridSpan w:val="2"/>
            <w:tcBorders>
              <w:top w:val="nil"/>
              <w:left w:val="nil"/>
              <w:bottom w:val="nil"/>
              <w:right w:val="nil"/>
            </w:tcBorders>
            <w:shd w:val="clear" w:color="auto" w:fill="auto"/>
            <w:vAlign w:val="center"/>
            <w:hideMark/>
          </w:tcPr>
          <w:p w14:paraId="76C00850" w14:textId="7202C8B0"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053</w:t>
            </w:r>
          </w:p>
        </w:tc>
        <w:tc>
          <w:tcPr>
            <w:tcW w:w="1770" w:type="dxa"/>
            <w:tcBorders>
              <w:top w:val="nil"/>
              <w:left w:val="nil"/>
              <w:bottom w:val="nil"/>
              <w:right w:val="nil"/>
            </w:tcBorders>
            <w:shd w:val="clear" w:color="auto" w:fill="auto"/>
            <w:vAlign w:val="center"/>
            <w:hideMark/>
          </w:tcPr>
          <w:p w14:paraId="400BE989" w14:textId="38261DB8" w:rsidR="007669FB" w:rsidRPr="007669FB" w:rsidRDefault="003F5388"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w:t>
            </w:r>
            <w:r w:rsidR="007669FB" w:rsidRPr="007669FB">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54</w:t>
            </w:r>
          </w:p>
        </w:tc>
      </w:tr>
      <w:tr w:rsidR="007669FB" w:rsidRPr="007669FB" w14:paraId="4B3674B1" w14:textId="77777777" w:rsidTr="007669FB">
        <w:trPr>
          <w:trHeight w:val="300"/>
        </w:trPr>
        <w:tc>
          <w:tcPr>
            <w:tcW w:w="3019" w:type="dxa"/>
            <w:tcBorders>
              <w:top w:val="nil"/>
              <w:left w:val="nil"/>
              <w:bottom w:val="nil"/>
              <w:right w:val="nil"/>
            </w:tcBorders>
            <w:shd w:val="clear" w:color="auto" w:fill="auto"/>
            <w:vAlign w:val="center"/>
            <w:hideMark/>
          </w:tcPr>
          <w:p w14:paraId="56D85708"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vAlign w:val="center"/>
            <w:hideMark/>
          </w:tcPr>
          <w:p w14:paraId="448FB17C" w14:textId="294EFB9B"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34</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nil"/>
              <w:right w:val="nil"/>
            </w:tcBorders>
            <w:shd w:val="clear" w:color="auto" w:fill="auto"/>
            <w:vAlign w:val="center"/>
            <w:hideMark/>
          </w:tcPr>
          <w:p w14:paraId="5798CB3F" w14:textId="5617220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37</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nil"/>
              <w:right w:val="nil"/>
            </w:tcBorders>
            <w:shd w:val="clear" w:color="auto" w:fill="auto"/>
            <w:vAlign w:val="center"/>
            <w:hideMark/>
          </w:tcPr>
          <w:p w14:paraId="1BBA0AA1" w14:textId="508153A3"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098</w:t>
            </w:r>
            <w:r w:rsidRPr="007669FB">
              <w:rPr>
                <w:rFonts w:ascii="Times New Roman" w:eastAsia="Times New Roman" w:hAnsi="Times New Roman" w:cs="Times New Roman"/>
                <w:color w:val="000000"/>
                <w:sz w:val="20"/>
                <w:szCs w:val="20"/>
                <w:lang w:eastAsia="en-GB"/>
              </w:rPr>
              <w:t>)</w:t>
            </w:r>
          </w:p>
        </w:tc>
      </w:tr>
      <w:tr w:rsidR="007669FB" w:rsidRPr="007669FB" w14:paraId="16F295A3" w14:textId="77777777" w:rsidTr="007669FB">
        <w:trPr>
          <w:trHeight w:val="375"/>
        </w:trPr>
        <w:tc>
          <w:tcPr>
            <w:tcW w:w="3019" w:type="dxa"/>
            <w:tcBorders>
              <w:top w:val="nil"/>
              <w:left w:val="nil"/>
              <w:bottom w:val="nil"/>
              <w:right w:val="nil"/>
            </w:tcBorders>
            <w:shd w:val="clear" w:color="auto" w:fill="auto"/>
            <w:vAlign w:val="center"/>
            <w:hideMark/>
          </w:tcPr>
          <w:p w14:paraId="0327789B"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Socio-economic</w:t>
            </w:r>
          </w:p>
        </w:tc>
        <w:tc>
          <w:tcPr>
            <w:tcW w:w="1710" w:type="dxa"/>
            <w:tcBorders>
              <w:top w:val="nil"/>
              <w:left w:val="nil"/>
              <w:bottom w:val="nil"/>
              <w:right w:val="nil"/>
            </w:tcBorders>
            <w:shd w:val="clear" w:color="auto" w:fill="auto"/>
            <w:vAlign w:val="center"/>
            <w:hideMark/>
          </w:tcPr>
          <w:p w14:paraId="1C4A7EAB" w14:textId="0C72800A"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0.00</w:t>
            </w:r>
            <w:r w:rsidR="003F5388">
              <w:rPr>
                <w:rFonts w:ascii="Times New Roman" w:eastAsia="Times New Roman" w:hAnsi="Times New Roman" w:cs="Times New Roman"/>
                <w:color w:val="000000"/>
                <w:sz w:val="20"/>
                <w:szCs w:val="20"/>
                <w:lang w:eastAsia="en-GB"/>
              </w:rPr>
              <w:t>5</w:t>
            </w:r>
          </w:p>
        </w:tc>
        <w:tc>
          <w:tcPr>
            <w:tcW w:w="1770" w:type="dxa"/>
            <w:gridSpan w:val="2"/>
            <w:tcBorders>
              <w:top w:val="nil"/>
              <w:left w:val="nil"/>
              <w:bottom w:val="nil"/>
              <w:right w:val="nil"/>
            </w:tcBorders>
            <w:shd w:val="clear" w:color="auto" w:fill="auto"/>
            <w:vAlign w:val="center"/>
            <w:hideMark/>
          </w:tcPr>
          <w:p w14:paraId="70EA2DFA" w14:textId="1FA6C1B9"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0.05</w:t>
            </w:r>
            <w:r w:rsidR="003F5388">
              <w:rPr>
                <w:rFonts w:ascii="Times New Roman" w:eastAsia="Times New Roman" w:hAnsi="Times New Roman" w:cs="Times New Roman"/>
                <w:color w:val="000000"/>
                <w:sz w:val="20"/>
                <w:szCs w:val="20"/>
                <w:lang w:eastAsia="en-GB"/>
              </w:rPr>
              <w:t>1</w:t>
            </w:r>
            <w:r w:rsidRPr="007669FB">
              <w:rPr>
                <w:rFonts w:ascii="Times New Roman" w:eastAsia="Times New Roman" w:hAnsi="Times New Roman" w:cs="Times New Roman"/>
                <w:color w:val="000000"/>
                <w:sz w:val="24"/>
                <w:szCs w:val="24"/>
                <w:vertAlign w:val="superscript"/>
                <w:lang w:eastAsia="en-GB"/>
              </w:rPr>
              <w:t>***</w:t>
            </w:r>
          </w:p>
        </w:tc>
        <w:tc>
          <w:tcPr>
            <w:tcW w:w="1770" w:type="dxa"/>
            <w:tcBorders>
              <w:top w:val="nil"/>
              <w:left w:val="nil"/>
              <w:bottom w:val="nil"/>
              <w:right w:val="nil"/>
            </w:tcBorders>
            <w:shd w:val="clear" w:color="auto" w:fill="auto"/>
            <w:vAlign w:val="center"/>
            <w:hideMark/>
          </w:tcPr>
          <w:p w14:paraId="62F2C814" w14:textId="5B6291A0"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075</w:t>
            </w:r>
            <w:r w:rsidRPr="007669FB">
              <w:rPr>
                <w:rFonts w:ascii="Times New Roman" w:eastAsia="Times New Roman" w:hAnsi="Times New Roman" w:cs="Times New Roman"/>
                <w:color w:val="000000"/>
                <w:sz w:val="24"/>
                <w:szCs w:val="24"/>
                <w:vertAlign w:val="superscript"/>
                <w:lang w:eastAsia="en-GB"/>
              </w:rPr>
              <w:t>**</w:t>
            </w:r>
          </w:p>
        </w:tc>
      </w:tr>
      <w:tr w:rsidR="007669FB" w:rsidRPr="007669FB" w14:paraId="39C15568" w14:textId="77777777" w:rsidTr="007669FB">
        <w:trPr>
          <w:trHeight w:val="315"/>
        </w:trPr>
        <w:tc>
          <w:tcPr>
            <w:tcW w:w="3019" w:type="dxa"/>
            <w:tcBorders>
              <w:top w:val="nil"/>
              <w:left w:val="nil"/>
              <w:bottom w:val="single" w:sz="8" w:space="0" w:color="auto"/>
              <w:right w:val="nil"/>
            </w:tcBorders>
            <w:shd w:val="clear" w:color="auto" w:fill="auto"/>
            <w:vAlign w:val="center"/>
            <w:hideMark/>
          </w:tcPr>
          <w:p w14:paraId="7363570B"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10" w:type="dxa"/>
            <w:tcBorders>
              <w:top w:val="nil"/>
              <w:left w:val="nil"/>
              <w:bottom w:val="single" w:sz="8" w:space="0" w:color="auto"/>
              <w:right w:val="nil"/>
            </w:tcBorders>
            <w:shd w:val="clear" w:color="auto" w:fill="auto"/>
            <w:vAlign w:val="center"/>
            <w:hideMark/>
          </w:tcPr>
          <w:p w14:paraId="450F301D" w14:textId="6F798289"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(0.01</w:t>
            </w:r>
            <w:r w:rsidR="003F5388">
              <w:rPr>
                <w:rFonts w:ascii="Times New Roman" w:eastAsia="Times New Roman" w:hAnsi="Times New Roman" w:cs="Times New Roman"/>
                <w:color w:val="000000"/>
                <w:sz w:val="20"/>
                <w:szCs w:val="20"/>
                <w:lang w:eastAsia="en-GB"/>
              </w:rPr>
              <w:t>8</w:t>
            </w:r>
            <w:r w:rsidRPr="007669FB">
              <w:rPr>
                <w:rFonts w:ascii="Times New Roman" w:eastAsia="Times New Roman" w:hAnsi="Times New Roman" w:cs="Times New Roman"/>
                <w:color w:val="000000"/>
                <w:sz w:val="20"/>
                <w:szCs w:val="20"/>
                <w:lang w:eastAsia="en-GB"/>
              </w:rPr>
              <w:t>)</w:t>
            </w:r>
          </w:p>
        </w:tc>
        <w:tc>
          <w:tcPr>
            <w:tcW w:w="1770" w:type="dxa"/>
            <w:gridSpan w:val="2"/>
            <w:tcBorders>
              <w:top w:val="nil"/>
              <w:left w:val="nil"/>
              <w:bottom w:val="single" w:sz="8" w:space="0" w:color="auto"/>
              <w:right w:val="nil"/>
            </w:tcBorders>
            <w:shd w:val="clear" w:color="auto" w:fill="auto"/>
            <w:vAlign w:val="center"/>
            <w:hideMark/>
          </w:tcPr>
          <w:p w14:paraId="72B5B0C2" w14:textId="2391B2B0"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w:t>
            </w:r>
            <w:r w:rsidR="003F5388">
              <w:rPr>
                <w:rFonts w:ascii="Times New Roman" w:eastAsia="Times New Roman" w:hAnsi="Times New Roman" w:cs="Times New Roman"/>
                <w:color w:val="000000"/>
                <w:sz w:val="20"/>
                <w:szCs w:val="20"/>
                <w:lang w:eastAsia="en-GB"/>
              </w:rPr>
              <w:t>20</w:t>
            </w:r>
            <w:r w:rsidRPr="007669FB">
              <w:rPr>
                <w:rFonts w:ascii="Times New Roman" w:eastAsia="Times New Roman" w:hAnsi="Times New Roman" w:cs="Times New Roman"/>
                <w:color w:val="000000"/>
                <w:sz w:val="20"/>
                <w:szCs w:val="20"/>
                <w:lang w:eastAsia="en-GB"/>
              </w:rPr>
              <w:t>)</w:t>
            </w:r>
          </w:p>
        </w:tc>
        <w:tc>
          <w:tcPr>
            <w:tcW w:w="1770" w:type="dxa"/>
            <w:tcBorders>
              <w:top w:val="nil"/>
              <w:left w:val="nil"/>
              <w:bottom w:val="single" w:sz="8" w:space="0" w:color="auto"/>
              <w:right w:val="nil"/>
            </w:tcBorders>
            <w:shd w:val="clear" w:color="auto" w:fill="auto"/>
            <w:vAlign w:val="center"/>
            <w:hideMark/>
          </w:tcPr>
          <w:p w14:paraId="3F4AF5B7"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(0.053)</w:t>
            </w:r>
          </w:p>
        </w:tc>
      </w:tr>
      <w:tr w:rsidR="007669FB" w:rsidRPr="007669FB" w14:paraId="3C805655" w14:textId="77777777" w:rsidTr="007669FB">
        <w:trPr>
          <w:trHeight w:val="300"/>
        </w:trPr>
        <w:tc>
          <w:tcPr>
            <w:tcW w:w="3019" w:type="dxa"/>
            <w:tcBorders>
              <w:top w:val="nil"/>
              <w:left w:val="nil"/>
              <w:bottom w:val="nil"/>
              <w:right w:val="nil"/>
            </w:tcBorders>
            <w:shd w:val="clear" w:color="auto" w:fill="auto"/>
            <w:vAlign w:val="center"/>
            <w:hideMark/>
          </w:tcPr>
          <w:p w14:paraId="48F64E26"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Constant</w:t>
            </w:r>
          </w:p>
        </w:tc>
        <w:tc>
          <w:tcPr>
            <w:tcW w:w="1710" w:type="dxa"/>
            <w:tcBorders>
              <w:top w:val="nil"/>
              <w:left w:val="nil"/>
              <w:bottom w:val="nil"/>
              <w:right w:val="nil"/>
            </w:tcBorders>
            <w:shd w:val="clear" w:color="auto" w:fill="auto"/>
            <w:vAlign w:val="center"/>
            <w:hideMark/>
          </w:tcPr>
          <w:p w14:paraId="2C20D9B4" w14:textId="2780D99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sidRPr="007669FB">
              <w:rPr>
                <w:rFonts w:ascii="Times New Roman" w:eastAsia="Times New Roman" w:hAnsi="Times New Roman" w:cs="Times New Roman"/>
                <w:color w:val="000000"/>
                <w:sz w:val="20"/>
                <w:szCs w:val="20"/>
                <w:lang w:eastAsia="en-GB"/>
              </w:rPr>
              <w:t>3</w:t>
            </w:r>
            <w:r w:rsidR="003F5388">
              <w:rPr>
                <w:rFonts w:ascii="Times New Roman" w:eastAsia="Times New Roman" w:hAnsi="Times New Roman" w:cs="Times New Roman"/>
                <w:color w:val="000000"/>
                <w:sz w:val="20"/>
                <w:szCs w:val="20"/>
                <w:lang w:eastAsia="en-GB"/>
              </w:rPr>
              <w:t>35</w:t>
            </w:r>
          </w:p>
        </w:tc>
        <w:tc>
          <w:tcPr>
            <w:tcW w:w="1770" w:type="dxa"/>
            <w:gridSpan w:val="2"/>
            <w:tcBorders>
              <w:top w:val="nil"/>
              <w:left w:val="nil"/>
              <w:bottom w:val="nil"/>
              <w:right w:val="nil"/>
            </w:tcBorders>
            <w:shd w:val="clear" w:color="auto" w:fill="auto"/>
            <w:vAlign w:val="center"/>
            <w:hideMark/>
          </w:tcPr>
          <w:p w14:paraId="034C9653" w14:textId="41420DFD"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336</w:t>
            </w:r>
          </w:p>
        </w:tc>
        <w:tc>
          <w:tcPr>
            <w:tcW w:w="1770" w:type="dxa"/>
            <w:tcBorders>
              <w:top w:val="nil"/>
              <w:left w:val="nil"/>
              <w:bottom w:val="nil"/>
              <w:right w:val="nil"/>
            </w:tcBorders>
            <w:shd w:val="clear" w:color="auto" w:fill="auto"/>
            <w:vAlign w:val="center"/>
            <w:hideMark/>
          </w:tcPr>
          <w:p w14:paraId="2C2FB004" w14:textId="3B20EAFB"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0.</w:t>
            </w:r>
            <w:r w:rsidR="003F5388">
              <w:rPr>
                <w:rFonts w:ascii="Times New Roman" w:eastAsia="Times New Roman" w:hAnsi="Times New Roman" w:cs="Times New Roman"/>
                <w:color w:val="000000"/>
                <w:sz w:val="20"/>
                <w:szCs w:val="20"/>
                <w:lang w:eastAsia="en-GB"/>
              </w:rPr>
              <w:t>942</w:t>
            </w:r>
          </w:p>
        </w:tc>
      </w:tr>
      <w:tr w:rsidR="007669FB" w:rsidRPr="007669FB" w14:paraId="36E404E8" w14:textId="77777777" w:rsidTr="007669FB">
        <w:trPr>
          <w:trHeight w:val="315"/>
        </w:trPr>
        <w:tc>
          <w:tcPr>
            <w:tcW w:w="3019" w:type="dxa"/>
            <w:tcBorders>
              <w:top w:val="nil"/>
              <w:left w:val="nil"/>
              <w:bottom w:val="single" w:sz="8" w:space="0" w:color="auto"/>
              <w:right w:val="nil"/>
            </w:tcBorders>
            <w:shd w:val="clear" w:color="auto" w:fill="auto"/>
            <w:vAlign w:val="center"/>
            <w:hideMark/>
          </w:tcPr>
          <w:p w14:paraId="227CD34C"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 </w:t>
            </w:r>
          </w:p>
        </w:tc>
        <w:tc>
          <w:tcPr>
            <w:tcW w:w="1710" w:type="dxa"/>
            <w:tcBorders>
              <w:top w:val="nil"/>
              <w:left w:val="nil"/>
              <w:bottom w:val="single" w:sz="8" w:space="0" w:color="auto"/>
              <w:right w:val="nil"/>
            </w:tcBorders>
            <w:shd w:val="clear" w:color="auto" w:fill="auto"/>
            <w:vAlign w:val="center"/>
            <w:hideMark/>
          </w:tcPr>
          <w:p w14:paraId="29C2CAF9" w14:textId="47D7E1AC" w:rsidR="007669FB" w:rsidRPr="007669FB" w:rsidRDefault="003F5388"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669FB" w:rsidRPr="007669FB">
              <w:rPr>
                <w:rFonts w:ascii="Times New Roman" w:eastAsia="Times New Roman" w:hAnsi="Times New Roman" w:cs="Times New Roman"/>
                <w:color w:val="000000"/>
                <w:sz w:val="20"/>
                <w:szCs w:val="20"/>
                <w:lang w:eastAsia="en-GB"/>
              </w:rPr>
              <w:t>0.</w:t>
            </w:r>
            <w:r w:rsidRPr="007669FB">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31)</w:t>
            </w:r>
          </w:p>
        </w:tc>
        <w:tc>
          <w:tcPr>
            <w:tcW w:w="1770" w:type="dxa"/>
            <w:gridSpan w:val="2"/>
            <w:tcBorders>
              <w:top w:val="nil"/>
              <w:left w:val="nil"/>
              <w:bottom w:val="single" w:sz="8" w:space="0" w:color="auto"/>
              <w:right w:val="nil"/>
            </w:tcBorders>
            <w:shd w:val="clear" w:color="auto" w:fill="auto"/>
            <w:vAlign w:val="center"/>
            <w:hideMark/>
          </w:tcPr>
          <w:p w14:paraId="30F18D6C" w14:textId="5E21B7F1" w:rsidR="007669FB" w:rsidRPr="007669FB" w:rsidRDefault="003F5388"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669FB" w:rsidRPr="007669FB">
              <w:rPr>
                <w:rFonts w:ascii="Times New Roman" w:eastAsia="Times New Roman" w:hAnsi="Times New Roman" w:cs="Times New Roman"/>
                <w:color w:val="000000"/>
                <w:sz w:val="20"/>
                <w:szCs w:val="20"/>
                <w:lang w:eastAsia="en-GB"/>
              </w:rPr>
              <w:t>0.</w:t>
            </w:r>
            <w:r w:rsidRPr="007669FB">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50)</w:t>
            </w:r>
          </w:p>
        </w:tc>
        <w:tc>
          <w:tcPr>
            <w:tcW w:w="1770" w:type="dxa"/>
            <w:tcBorders>
              <w:top w:val="nil"/>
              <w:left w:val="nil"/>
              <w:bottom w:val="single" w:sz="8" w:space="0" w:color="auto"/>
              <w:right w:val="nil"/>
            </w:tcBorders>
            <w:shd w:val="clear" w:color="auto" w:fill="auto"/>
            <w:vAlign w:val="center"/>
            <w:hideMark/>
          </w:tcPr>
          <w:p w14:paraId="3DCB2F57" w14:textId="17E3A3D4" w:rsidR="007669FB" w:rsidRPr="007669FB" w:rsidRDefault="003F5388" w:rsidP="007669FB">
            <w:pPr>
              <w:spacing w:after="0" w:line="240" w:lineRule="auto"/>
              <w:ind w:firstLineChars="300" w:firstLine="6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669FB" w:rsidRPr="007669FB">
              <w:rPr>
                <w:rFonts w:ascii="Times New Roman" w:eastAsia="Times New Roman" w:hAnsi="Times New Roman" w:cs="Times New Roman"/>
                <w:color w:val="000000"/>
                <w:sz w:val="20"/>
                <w:szCs w:val="20"/>
                <w:lang w:eastAsia="en-GB"/>
              </w:rPr>
              <w:t>0.</w:t>
            </w:r>
            <w:r w:rsidRPr="007669FB">
              <w:rPr>
                <w:rFonts w:ascii="Times New Roman" w:eastAsia="Times New Roman" w:hAnsi="Times New Roman" w:cs="Times New Roman"/>
                <w:color w:val="000000"/>
                <w:sz w:val="20"/>
                <w:szCs w:val="20"/>
                <w:lang w:eastAsia="en-GB"/>
              </w:rPr>
              <w:t>6</w:t>
            </w:r>
            <w:r>
              <w:rPr>
                <w:rFonts w:ascii="Times New Roman" w:eastAsia="Times New Roman" w:hAnsi="Times New Roman" w:cs="Times New Roman"/>
                <w:color w:val="000000"/>
                <w:sz w:val="20"/>
                <w:szCs w:val="20"/>
                <w:lang w:eastAsia="en-GB"/>
              </w:rPr>
              <w:t>62)</w:t>
            </w:r>
          </w:p>
        </w:tc>
      </w:tr>
      <w:tr w:rsidR="007669FB" w:rsidRPr="007669FB" w14:paraId="1FFA256F" w14:textId="77777777" w:rsidTr="007669FB">
        <w:trPr>
          <w:trHeight w:val="315"/>
        </w:trPr>
        <w:tc>
          <w:tcPr>
            <w:tcW w:w="3019" w:type="dxa"/>
            <w:tcBorders>
              <w:top w:val="nil"/>
              <w:left w:val="nil"/>
              <w:bottom w:val="single" w:sz="8" w:space="0" w:color="auto"/>
              <w:right w:val="nil"/>
            </w:tcBorders>
            <w:shd w:val="clear" w:color="auto" w:fill="auto"/>
            <w:vAlign w:val="center"/>
            <w:hideMark/>
          </w:tcPr>
          <w:p w14:paraId="649D0C20"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Observations</w:t>
            </w:r>
          </w:p>
        </w:tc>
        <w:tc>
          <w:tcPr>
            <w:tcW w:w="1710" w:type="dxa"/>
            <w:tcBorders>
              <w:top w:val="nil"/>
              <w:left w:val="nil"/>
              <w:bottom w:val="single" w:sz="8" w:space="0" w:color="auto"/>
              <w:right w:val="nil"/>
            </w:tcBorders>
            <w:shd w:val="clear" w:color="auto" w:fill="auto"/>
            <w:vAlign w:val="center"/>
            <w:hideMark/>
          </w:tcPr>
          <w:p w14:paraId="77E70B47"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41,864</w:t>
            </w:r>
          </w:p>
        </w:tc>
        <w:tc>
          <w:tcPr>
            <w:tcW w:w="1770" w:type="dxa"/>
            <w:gridSpan w:val="2"/>
            <w:tcBorders>
              <w:top w:val="nil"/>
              <w:left w:val="nil"/>
              <w:bottom w:val="single" w:sz="8" w:space="0" w:color="auto"/>
              <w:right w:val="nil"/>
            </w:tcBorders>
            <w:shd w:val="clear" w:color="auto" w:fill="auto"/>
            <w:vAlign w:val="center"/>
            <w:hideMark/>
          </w:tcPr>
          <w:p w14:paraId="75A892F5"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41,864</w:t>
            </w:r>
          </w:p>
        </w:tc>
        <w:tc>
          <w:tcPr>
            <w:tcW w:w="1770" w:type="dxa"/>
            <w:tcBorders>
              <w:top w:val="nil"/>
              <w:left w:val="nil"/>
              <w:bottom w:val="single" w:sz="8" w:space="0" w:color="auto"/>
              <w:right w:val="nil"/>
            </w:tcBorders>
            <w:shd w:val="clear" w:color="auto" w:fill="auto"/>
            <w:vAlign w:val="center"/>
            <w:hideMark/>
          </w:tcPr>
          <w:p w14:paraId="5F1ABE0F" w14:textId="77777777" w:rsidR="007669FB" w:rsidRPr="007669FB" w:rsidRDefault="007669FB" w:rsidP="007669FB">
            <w:pPr>
              <w:spacing w:after="0" w:line="240" w:lineRule="auto"/>
              <w:ind w:firstLineChars="300" w:firstLine="600"/>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41,864</w:t>
            </w:r>
          </w:p>
        </w:tc>
      </w:tr>
      <w:tr w:rsidR="007669FB" w:rsidRPr="007669FB" w14:paraId="3714AB03" w14:textId="77777777" w:rsidTr="007669FB">
        <w:trPr>
          <w:trHeight w:val="559"/>
        </w:trPr>
        <w:tc>
          <w:tcPr>
            <w:tcW w:w="8269" w:type="dxa"/>
            <w:gridSpan w:val="5"/>
            <w:tcBorders>
              <w:top w:val="single" w:sz="8" w:space="0" w:color="auto"/>
              <w:left w:val="nil"/>
              <w:bottom w:val="nil"/>
              <w:right w:val="nil"/>
            </w:tcBorders>
            <w:shd w:val="clear" w:color="auto" w:fill="auto"/>
            <w:vAlign w:val="center"/>
            <w:hideMark/>
          </w:tcPr>
          <w:p w14:paraId="5A7AE0F3"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Standard errors in parentheses. Bootstrapped standard errors based on 100 replicates are reported for the Machado-Mata–</w:t>
            </w:r>
            <w:proofErr w:type="spellStart"/>
            <w:r w:rsidRPr="007669FB">
              <w:rPr>
                <w:rFonts w:ascii="Times New Roman" w:eastAsia="Times New Roman" w:hAnsi="Times New Roman" w:cs="Times New Roman"/>
                <w:color w:val="000000"/>
                <w:sz w:val="20"/>
                <w:szCs w:val="20"/>
                <w:lang w:eastAsia="en-GB"/>
              </w:rPr>
              <w:t>Melly</w:t>
            </w:r>
            <w:proofErr w:type="spellEnd"/>
            <w:r w:rsidRPr="007669FB">
              <w:rPr>
                <w:rFonts w:ascii="Times New Roman" w:eastAsia="Times New Roman" w:hAnsi="Times New Roman" w:cs="Times New Roman"/>
                <w:color w:val="000000"/>
                <w:sz w:val="20"/>
                <w:szCs w:val="20"/>
                <w:lang w:eastAsia="en-GB"/>
              </w:rPr>
              <w:t xml:space="preserve"> decomposition.</w:t>
            </w:r>
          </w:p>
        </w:tc>
      </w:tr>
      <w:tr w:rsidR="00F8367B" w:rsidRPr="007669FB" w14:paraId="3321F82C" w14:textId="77777777" w:rsidTr="00487B59">
        <w:trPr>
          <w:trHeight w:val="300"/>
        </w:trPr>
        <w:tc>
          <w:tcPr>
            <w:tcW w:w="8269" w:type="dxa"/>
            <w:gridSpan w:val="5"/>
            <w:tcBorders>
              <w:top w:val="nil"/>
              <w:left w:val="nil"/>
              <w:bottom w:val="nil"/>
            </w:tcBorders>
            <w:shd w:val="clear" w:color="auto" w:fill="auto"/>
            <w:noWrap/>
            <w:vAlign w:val="center"/>
            <w:hideMark/>
          </w:tcPr>
          <w:p w14:paraId="2AC3C324" w14:textId="435C7D2E" w:rsidR="00F8367B" w:rsidRPr="007669FB" w:rsidRDefault="00F8367B" w:rsidP="007669FB">
            <w:pPr>
              <w:spacing w:after="0" w:line="240" w:lineRule="auto"/>
              <w:rPr>
                <w:rFonts w:ascii="Times New Roman" w:eastAsia="Times New Roman" w:hAnsi="Times New Roman" w:cs="Times New Roman"/>
                <w:sz w:val="20"/>
                <w:szCs w:val="20"/>
                <w:lang w:eastAsia="en-GB"/>
              </w:rPr>
            </w:pPr>
            <w:r w:rsidRPr="007669FB">
              <w:rPr>
                <w:rFonts w:ascii="Times New Roman" w:eastAsia="Times New Roman" w:hAnsi="Times New Roman" w:cs="Times New Roman"/>
                <w:color w:val="000000"/>
                <w:sz w:val="20"/>
                <w:szCs w:val="20"/>
                <w:lang w:eastAsia="en-GB"/>
              </w:rPr>
              <w:t xml:space="preserve">* </w:t>
            </w:r>
            <w:r w:rsidRPr="007669FB">
              <w:rPr>
                <w:rFonts w:ascii="Times New Roman" w:eastAsia="Times New Roman" w:hAnsi="Times New Roman" w:cs="Times New Roman"/>
                <w:i/>
                <w:iCs/>
                <w:color w:val="000000"/>
                <w:sz w:val="20"/>
                <w:szCs w:val="20"/>
                <w:lang w:eastAsia="en-GB"/>
              </w:rPr>
              <w:t>p</w:t>
            </w:r>
            <w:r w:rsidRPr="007669FB">
              <w:rPr>
                <w:rFonts w:ascii="Times New Roman" w:eastAsia="Times New Roman" w:hAnsi="Times New Roman" w:cs="Times New Roman"/>
                <w:color w:val="000000"/>
                <w:sz w:val="20"/>
                <w:szCs w:val="20"/>
                <w:lang w:eastAsia="en-GB"/>
              </w:rPr>
              <w:t xml:space="preserve"> &lt; 0·10, ** </w:t>
            </w:r>
            <w:r w:rsidRPr="007669FB">
              <w:rPr>
                <w:rFonts w:ascii="Times New Roman" w:eastAsia="Times New Roman" w:hAnsi="Times New Roman" w:cs="Times New Roman"/>
                <w:i/>
                <w:iCs/>
                <w:color w:val="000000"/>
                <w:sz w:val="20"/>
                <w:szCs w:val="20"/>
                <w:lang w:eastAsia="en-GB"/>
              </w:rPr>
              <w:t>p</w:t>
            </w:r>
            <w:r w:rsidRPr="007669FB">
              <w:rPr>
                <w:rFonts w:ascii="Times New Roman" w:eastAsia="Times New Roman" w:hAnsi="Times New Roman" w:cs="Times New Roman"/>
                <w:color w:val="000000"/>
                <w:sz w:val="20"/>
                <w:szCs w:val="20"/>
                <w:lang w:eastAsia="en-GB"/>
              </w:rPr>
              <w:t xml:space="preserve"> &lt; 0·05, *** </w:t>
            </w:r>
            <w:r w:rsidRPr="007669FB">
              <w:rPr>
                <w:rFonts w:ascii="Times New Roman" w:eastAsia="Times New Roman" w:hAnsi="Times New Roman" w:cs="Times New Roman"/>
                <w:i/>
                <w:iCs/>
                <w:color w:val="000000"/>
                <w:sz w:val="20"/>
                <w:szCs w:val="20"/>
                <w:lang w:eastAsia="en-GB"/>
              </w:rPr>
              <w:t>p</w:t>
            </w:r>
            <w:r w:rsidRPr="007669FB">
              <w:rPr>
                <w:rFonts w:ascii="Times New Roman" w:eastAsia="Times New Roman" w:hAnsi="Times New Roman" w:cs="Times New Roman"/>
                <w:color w:val="000000"/>
                <w:sz w:val="20"/>
                <w:szCs w:val="20"/>
                <w:lang w:eastAsia="en-GB"/>
              </w:rPr>
              <w:t xml:space="preserve"> &lt; 0·01</w:t>
            </w:r>
          </w:p>
        </w:tc>
      </w:tr>
      <w:tr w:rsidR="007669FB" w:rsidRPr="007669FB" w14:paraId="096BC311" w14:textId="77777777" w:rsidTr="007669FB">
        <w:trPr>
          <w:trHeight w:val="300"/>
        </w:trPr>
        <w:tc>
          <w:tcPr>
            <w:tcW w:w="4729" w:type="dxa"/>
            <w:gridSpan w:val="2"/>
            <w:tcBorders>
              <w:top w:val="nil"/>
              <w:left w:val="nil"/>
              <w:bottom w:val="nil"/>
              <w:right w:val="nil"/>
            </w:tcBorders>
            <w:shd w:val="clear" w:color="auto" w:fill="auto"/>
            <w:noWrap/>
            <w:vAlign w:val="center"/>
            <w:hideMark/>
          </w:tcPr>
          <w:p w14:paraId="393A7D63"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r w:rsidRPr="007669FB">
              <w:rPr>
                <w:rFonts w:ascii="Times New Roman" w:eastAsia="Times New Roman" w:hAnsi="Times New Roman" w:cs="Times New Roman"/>
                <w:color w:val="000000"/>
                <w:sz w:val="20"/>
                <w:szCs w:val="20"/>
                <w:lang w:eastAsia="en-GB"/>
              </w:rPr>
              <w:t>Q</w:t>
            </w:r>
            <w:r w:rsidRPr="007669FB">
              <w:rPr>
                <w:rFonts w:ascii="Times New Roman" w:eastAsia="Times New Roman" w:hAnsi="Times New Roman" w:cs="Times New Roman"/>
                <w:color w:val="000000"/>
                <w:sz w:val="20"/>
                <w:szCs w:val="20"/>
                <w:vertAlign w:val="subscript"/>
                <w:lang w:eastAsia="en-GB"/>
              </w:rPr>
              <w:t xml:space="preserve">t </w:t>
            </w:r>
            <w:r w:rsidRPr="007669FB">
              <w:rPr>
                <w:rFonts w:ascii="Times New Roman" w:eastAsia="Times New Roman" w:hAnsi="Times New Roman" w:cs="Times New Roman"/>
                <w:color w:val="000000"/>
                <w:sz w:val="20"/>
                <w:szCs w:val="20"/>
                <w:lang w:eastAsia="en-GB"/>
              </w:rPr>
              <w:t>= Quantile-tau – BMI value for a specific quantile</w:t>
            </w:r>
          </w:p>
        </w:tc>
        <w:tc>
          <w:tcPr>
            <w:tcW w:w="1770" w:type="dxa"/>
            <w:gridSpan w:val="2"/>
            <w:tcBorders>
              <w:top w:val="nil"/>
              <w:left w:val="nil"/>
              <w:bottom w:val="nil"/>
              <w:right w:val="nil"/>
            </w:tcBorders>
            <w:shd w:val="clear" w:color="auto" w:fill="auto"/>
            <w:noWrap/>
            <w:vAlign w:val="bottom"/>
            <w:hideMark/>
          </w:tcPr>
          <w:p w14:paraId="13E90ACC" w14:textId="77777777" w:rsidR="007669FB" w:rsidRPr="007669FB" w:rsidRDefault="007669FB" w:rsidP="007669FB">
            <w:pPr>
              <w:spacing w:after="0" w:line="240" w:lineRule="auto"/>
              <w:rPr>
                <w:rFonts w:ascii="Times New Roman" w:eastAsia="Times New Roman" w:hAnsi="Times New Roman" w:cs="Times New Roman"/>
                <w:color w:val="000000"/>
                <w:sz w:val="20"/>
                <w:szCs w:val="20"/>
                <w:lang w:eastAsia="en-GB"/>
              </w:rPr>
            </w:pPr>
          </w:p>
        </w:tc>
        <w:tc>
          <w:tcPr>
            <w:tcW w:w="1770" w:type="dxa"/>
            <w:tcBorders>
              <w:top w:val="nil"/>
              <w:left w:val="nil"/>
              <w:bottom w:val="nil"/>
              <w:right w:val="nil"/>
            </w:tcBorders>
            <w:shd w:val="clear" w:color="auto" w:fill="auto"/>
            <w:noWrap/>
            <w:vAlign w:val="bottom"/>
            <w:hideMark/>
          </w:tcPr>
          <w:p w14:paraId="6E4FE0B0" w14:textId="77777777" w:rsidR="007669FB" w:rsidRPr="007669FB" w:rsidRDefault="007669FB" w:rsidP="007669FB">
            <w:pPr>
              <w:spacing w:after="0" w:line="240" w:lineRule="auto"/>
              <w:rPr>
                <w:rFonts w:ascii="Times New Roman" w:eastAsia="Times New Roman" w:hAnsi="Times New Roman" w:cs="Times New Roman"/>
                <w:sz w:val="20"/>
                <w:szCs w:val="20"/>
                <w:lang w:eastAsia="en-GB"/>
              </w:rPr>
            </w:pPr>
          </w:p>
        </w:tc>
      </w:tr>
      <w:tr w:rsidR="009879A6" w:rsidRPr="007669FB" w14:paraId="3A057459" w14:textId="77777777" w:rsidTr="00D747C6">
        <w:trPr>
          <w:trHeight w:val="300"/>
        </w:trPr>
        <w:tc>
          <w:tcPr>
            <w:tcW w:w="5812" w:type="dxa"/>
            <w:gridSpan w:val="3"/>
            <w:tcBorders>
              <w:top w:val="nil"/>
              <w:left w:val="nil"/>
              <w:bottom w:val="nil"/>
              <w:right w:val="nil"/>
            </w:tcBorders>
            <w:shd w:val="clear" w:color="auto" w:fill="auto"/>
            <w:noWrap/>
            <w:vAlign w:val="center"/>
          </w:tcPr>
          <w:p w14:paraId="2E9E6B94" w14:textId="4A8EEE45" w:rsidR="009879A6" w:rsidRPr="007669FB" w:rsidRDefault="009879A6" w:rsidP="007669FB">
            <w:pPr>
              <w:spacing w:after="0" w:line="240" w:lineRule="auto"/>
              <w:rPr>
                <w:rFonts w:ascii="Times New Roman" w:eastAsia="Times New Roman" w:hAnsi="Times New Roman" w:cs="Times New Roman"/>
                <w:color w:val="000000"/>
                <w:sz w:val="20"/>
                <w:szCs w:val="20"/>
                <w:lang w:eastAsia="en-GB"/>
              </w:rPr>
            </w:pPr>
            <w:r w:rsidRPr="00765071">
              <w:rPr>
                <w:rFonts w:ascii="Times New Roman" w:hAnsi="Times New Roman" w:cs="Times New Roman"/>
                <w:color w:val="000000"/>
                <w:sz w:val="20"/>
                <w:szCs w:val="20"/>
              </w:rPr>
              <w:t xml:space="preserve">Sample size was </w:t>
            </w:r>
            <w:r w:rsidR="0025260B" w:rsidRPr="002759E1">
              <w:rPr>
                <w:rFonts w:ascii="Times New Roman" w:hAnsi="Times New Roman" w:cs="Times New Roman"/>
                <w:sz w:val="20"/>
                <w:szCs w:val="20"/>
              </w:rPr>
              <w:t>21</w:t>
            </w:r>
            <w:r w:rsidR="0025260B">
              <w:rPr>
                <w:rFonts w:ascii="Times New Roman" w:hAnsi="Times New Roman" w:cs="Times New Roman"/>
                <w:sz w:val="20"/>
                <w:szCs w:val="20"/>
              </w:rPr>
              <w:t>,</w:t>
            </w:r>
            <w:r w:rsidR="0025260B" w:rsidRPr="002759E1">
              <w:rPr>
                <w:rFonts w:ascii="Times New Roman" w:hAnsi="Times New Roman" w:cs="Times New Roman"/>
                <w:sz w:val="20"/>
                <w:szCs w:val="20"/>
              </w:rPr>
              <w:t>380</w:t>
            </w:r>
            <w:r w:rsidR="00D747C6">
              <w:rPr>
                <w:rFonts w:ascii="Times New Roman" w:hAnsi="Times New Roman" w:cs="Times New Roman"/>
                <w:sz w:val="20"/>
                <w:szCs w:val="20"/>
              </w:rPr>
              <w:t xml:space="preserve"> </w:t>
            </w:r>
            <w:r w:rsidRPr="00765071">
              <w:rPr>
                <w:rFonts w:ascii="Times New Roman" w:hAnsi="Times New Roman" w:cs="Times New Roman"/>
                <w:sz w:val="20"/>
                <w:szCs w:val="20"/>
              </w:rPr>
              <w:t xml:space="preserve">for 2002/4 and </w:t>
            </w:r>
            <w:r w:rsidR="0025260B" w:rsidRPr="002759E1">
              <w:rPr>
                <w:rFonts w:ascii="Times New Roman" w:hAnsi="Times New Roman" w:cs="Times New Roman"/>
                <w:sz w:val="20"/>
                <w:szCs w:val="20"/>
              </w:rPr>
              <w:t>20</w:t>
            </w:r>
            <w:r w:rsidR="0025260B">
              <w:rPr>
                <w:rFonts w:ascii="Times New Roman" w:hAnsi="Times New Roman" w:cs="Times New Roman"/>
                <w:sz w:val="20"/>
                <w:szCs w:val="20"/>
              </w:rPr>
              <w:t>,</w:t>
            </w:r>
            <w:r w:rsidR="0025260B" w:rsidRPr="002759E1">
              <w:rPr>
                <w:rFonts w:ascii="Times New Roman" w:hAnsi="Times New Roman" w:cs="Times New Roman"/>
                <w:sz w:val="20"/>
                <w:szCs w:val="20"/>
              </w:rPr>
              <w:t>484</w:t>
            </w:r>
            <w:r w:rsidR="00D747C6">
              <w:rPr>
                <w:rFonts w:ascii="Times New Roman" w:hAnsi="Times New Roman" w:cs="Times New Roman"/>
                <w:sz w:val="20"/>
                <w:szCs w:val="20"/>
              </w:rPr>
              <w:t xml:space="preserve"> </w:t>
            </w:r>
            <w:r w:rsidRPr="00765071">
              <w:rPr>
                <w:rFonts w:ascii="Times New Roman" w:hAnsi="Times New Roman" w:cs="Times New Roman"/>
                <w:sz w:val="20"/>
                <w:szCs w:val="20"/>
              </w:rPr>
              <w:t>for 2012/4</w:t>
            </w:r>
            <w:r>
              <w:rPr>
                <w:rFonts w:ascii="Times New Roman" w:hAnsi="Times New Roman" w:cs="Times New Roman"/>
                <w:sz w:val="20"/>
                <w:szCs w:val="20"/>
              </w:rPr>
              <w:t>.</w:t>
            </w:r>
          </w:p>
        </w:tc>
        <w:tc>
          <w:tcPr>
            <w:tcW w:w="687" w:type="dxa"/>
            <w:tcBorders>
              <w:top w:val="nil"/>
              <w:left w:val="nil"/>
              <w:bottom w:val="nil"/>
              <w:right w:val="nil"/>
            </w:tcBorders>
            <w:shd w:val="clear" w:color="auto" w:fill="auto"/>
            <w:noWrap/>
            <w:vAlign w:val="bottom"/>
          </w:tcPr>
          <w:p w14:paraId="0E91D85F" w14:textId="77777777" w:rsidR="009879A6" w:rsidRPr="007669FB" w:rsidRDefault="009879A6" w:rsidP="007669FB">
            <w:pPr>
              <w:spacing w:after="0" w:line="240" w:lineRule="auto"/>
              <w:rPr>
                <w:rFonts w:ascii="Times New Roman" w:eastAsia="Times New Roman" w:hAnsi="Times New Roman" w:cs="Times New Roman"/>
                <w:color w:val="000000"/>
                <w:sz w:val="20"/>
                <w:szCs w:val="20"/>
                <w:lang w:eastAsia="en-GB"/>
              </w:rPr>
            </w:pPr>
          </w:p>
        </w:tc>
        <w:tc>
          <w:tcPr>
            <w:tcW w:w="1770" w:type="dxa"/>
            <w:tcBorders>
              <w:top w:val="nil"/>
              <w:left w:val="nil"/>
              <w:bottom w:val="nil"/>
              <w:right w:val="nil"/>
            </w:tcBorders>
            <w:shd w:val="clear" w:color="auto" w:fill="auto"/>
            <w:noWrap/>
            <w:vAlign w:val="bottom"/>
          </w:tcPr>
          <w:p w14:paraId="0C26728E" w14:textId="77777777" w:rsidR="009879A6" w:rsidRPr="007669FB" w:rsidRDefault="009879A6" w:rsidP="007669FB">
            <w:pPr>
              <w:spacing w:after="0" w:line="240" w:lineRule="auto"/>
              <w:rPr>
                <w:rFonts w:ascii="Times New Roman" w:eastAsia="Times New Roman" w:hAnsi="Times New Roman" w:cs="Times New Roman"/>
                <w:sz w:val="20"/>
                <w:szCs w:val="20"/>
                <w:lang w:eastAsia="en-GB"/>
              </w:rPr>
            </w:pPr>
          </w:p>
        </w:tc>
      </w:tr>
    </w:tbl>
    <w:p w14:paraId="5C8B5317" w14:textId="77777777" w:rsidR="0045220E" w:rsidRDefault="0045220E" w:rsidP="00675EB5">
      <w:pPr>
        <w:keepNext/>
        <w:widowControl w:val="0"/>
        <w:autoSpaceDE w:val="0"/>
        <w:autoSpaceDN w:val="0"/>
        <w:adjustRightInd w:val="0"/>
        <w:spacing w:line="480" w:lineRule="auto"/>
        <w:rPr>
          <w:rFonts w:cs="Times New Roman"/>
        </w:rPr>
      </w:pPr>
    </w:p>
    <w:p w14:paraId="191E2377" w14:textId="60790136" w:rsidR="00AC7C64" w:rsidRPr="007C39F0" w:rsidRDefault="00AC7C64" w:rsidP="00AC7C64">
      <w:pPr>
        <w:keepNext/>
        <w:widowControl w:val="0"/>
        <w:autoSpaceDE w:val="0"/>
        <w:autoSpaceDN w:val="0"/>
        <w:adjustRightInd w:val="0"/>
        <w:spacing w:line="480" w:lineRule="auto"/>
        <w:rPr>
          <w:rFonts w:eastAsia="Times New Roman" w:cs="Times New Roman"/>
          <w:sz w:val="24"/>
          <w:szCs w:val="24"/>
        </w:rPr>
      </w:pPr>
      <w:r w:rsidRPr="007C39F0">
        <w:rPr>
          <w:rFonts w:cs="Times New Roman"/>
          <w:sz w:val="24"/>
          <w:szCs w:val="24"/>
        </w:rPr>
        <w:t xml:space="preserve">Table 4 – </w:t>
      </w:r>
      <w:r w:rsidRPr="007C39F0">
        <w:rPr>
          <w:rFonts w:eastAsia="Times New Roman" w:cs="Times New Roman"/>
          <w:sz w:val="24"/>
          <w:szCs w:val="24"/>
        </w:rPr>
        <w:t>Panel D identifies the extent that changes in the composition</w:t>
      </w:r>
      <w:r w:rsidR="00775FFA" w:rsidRPr="007C39F0">
        <w:rPr>
          <w:rFonts w:eastAsia="Times New Roman" w:cs="Times New Roman"/>
          <w:sz w:val="24"/>
          <w:szCs w:val="24"/>
        </w:rPr>
        <w:t xml:space="preserve"> of each factor</w:t>
      </w:r>
      <w:r w:rsidRPr="007C39F0">
        <w:rPr>
          <w:rFonts w:eastAsia="Times New Roman" w:cs="Times New Roman"/>
          <w:sz w:val="24"/>
          <w:szCs w:val="24"/>
        </w:rPr>
        <w:t xml:space="preserve"> helped explain differences in BMI values between 2002-4 and 2012-4 at each point of the distribution. Positive values represent factors that contributed to an increase in BMI </w:t>
      </w:r>
      <w:r w:rsidR="00775FFA" w:rsidRPr="007C39F0">
        <w:rPr>
          <w:rFonts w:eastAsia="Times New Roman" w:cs="Times New Roman"/>
          <w:sz w:val="24"/>
          <w:szCs w:val="24"/>
        </w:rPr>
        <w:t>at a specific percentile</w:t>
      </w:r>
      <w:r w:rsidRPr="007C39F0">
        <w:rPr>
          <w:rFonts w:eastAsia="Times New Roman" w:cs="Times New Roman"/>
          <w:sz w:val="24"/>
          <w:szCs w:val="24"/>
        </w:rPr>
        <w:t xml:space="preserve"> over the time period, with negative associations resulting in a decrease over time. A decline in the share of less educated individuals and White individuals (see Table 2) contributed to reduce the gap in BMI at the 90</w:t>
      </w:r>
      <w:r w:rsidRPr="007C39F0">
        <w:rPr>
          <w:rFonts w:eastAsia="Times New Roman" w:cs="Times New Roman"/>
          <w:sz w:val="24"/>
          <w:szCs w:val="24"/>
          <w:vertAlign w:val="superscript"/>
        </w:rPr>
        <w:t>th</w:t>
      </w:r>
      <w:r w:rsidRPr="007C39F0">
        <w:rPr>
          <w:rFonts w:eastAsia="Times New Roman" w:cs="Times New Roman"/>
          <w:sz w:val="24"/>
          <w:szCs w:val="24"/>
        </w:rPr>
        <w:t xml:space="preserve"> percentile between 2002-4 and 2012-4</w:t>
      </w:r>
      <w:r w:rsidR="00EC18F5">
        <w:rPr>
          <w:rFonts w:eastAsia="Times New Roman" w:cs="Times New Roman"/>
          <w:sz w:val="24"/>
          <w:szCs w:val="24"/>
        </w:rPr>
        <w:t xml:space="preserve"> </w:t>
      </w:r>
      <w:r w:rsidR="008D6021">
        <w:rPr>
          <w:rFonts w:eastAsia="Times New Roman" w:cs="Times New Roman"/>
          <w:sz w:val="24"/>
          <w:szCs w:val="24"/>
        </w:rPr>
        <w:t xml:space="preserve">as </w:t>
      </w:r>
      <w:r w:rsidR="00EC18F5">
        <w:rPr>
          <w:rFonts w:eastAsia="Times New Roman" w:cs="Times New Roman"/>
          <w:sz w:val="24"/>
          <w:szCs w:val="24"/>
        </w:rPr>
        <w:t>observed in Table 4D</w:t>
      </w:r>
      <w:r w:rsidR="00775FFA" w:rsidRPr="007C39F0">
        <w:rPr>
          <w:rFonts w:eastAsia="Times New Roman" w:cs="Times New Roman"/>
          <w:sz w:val="24"/>
          <w:szCs w:val="24"/>
        </w:rPr>
        <w:t xml:space="preserve">. </w:t>
      </w:r>
      <w:r w:rsidR="008152A8">
        <w:rPr>
          <w:rFonts w:eastAsia="Times New Roman" w:cs="Times New Roman"/>
          <w:sz w:val="24"/>
          <w:szCs w:val="24"/>
        </w:rPr>
        <w:t>Similarly for</w:t>
      </w:r>
      <w:r w:rsidR="00775FFA" w:rsidRPr="007C39F0">
        <w:rPr>
          <w:rFonts w:eastAsia="Times New Roman" w:cs="Times New Roman"/>
          <w:sz w:val="24"/>
          <w:szCs w:val="24"/>
        </w:rPr>
        <w:t xml:space="preserve"> </w:t>
      </w:r>
      <w:r w:rsidR="005423CE">
        <w:rPr>
          <w:rFonts w:eastAsia="Times New Roman" w:cs="Times New Roman"/>
          <w:sz w:val="24"/>
          <w:szCs w:val="24"/>
        </w:rPr>
        <w:t>race</w:t>
      </w:r>
      <w:r w:rsidR="00775FFA" w:rsidRPr="007C39F0">
        <w:rPr>
          <w:rFonts w:eastAsia="Times New Roman" w:cs="Times New Roman"/>
          <w:sz w:val="24"/>
          <w:szCs w:val="24"/>
        </w:rPr>
        <w:t>, BMI at the 90</w:t>
      </w:r>
      <w:r w:rsidR="00775FFA" w:rsidRPr="007C39F0">
        <w:rPr>
          <w:rFonts w:eastAsia="Times New Roman" w:cs="Times New Roman"/>
          <w:sz w:val="24"/>
          <w:szCs w:val="24"/>
          <w:vertAlign w:val="superscript"/>
        </w:rPr>
        <w:t>th</w:t>
      </w:r>
      <w:r w:rsidR="00775FFA" w:rsidRPr="007C39F0">
        <w:rPr>
          <w:rFonts w:eastAsia="Times New Roman" w:cs="Times New Roman"/>
          <w:sz w:val="24"/>
          <w:szCs w:val="24"/>
        </w:rPr>
        <w:t xml:space="preserve"> percentile was 0.02</w:t>
      </w:r>
      <w:r w:rsidR="00EC18F5">
        <w:rPr>
          <w:rFonts w:eastAsia="Times New Roman" w:cs="Times New Roman"/>
          <w:sz w:val="24"/>
          <w:szCs w:val="24"/>
        </w:rPr>
        <w:t>0</w:t>
      </w:r>
      <w:r w:rsidR="00775FFA" w:rsidRPr="007C39F0">
        <w:rPr>
          <w:rFonts w:eastAsia="Times New Roman" w:cs="Times New Roman"/>
          <w:sz w:val="24"/>
          <w:szCs w:val="24"/>
        </w:rPr>
        <w:t xml:space="preserve"> points </w:t>
      </w:r>
      <w:r w:rsidR="008152A8">
        <w:rPr>
          <w:rFonts w:eastAsia="Times New Roman" w:cs="Times New Roman"/>
          <w:sz w:val="24"/>
          <w:szCs w:val="24"/>
        </w:rPr>
        <w:t xml:space="preserve">lower </w:t>
      </w:r>
      <w:r w:rsidR="00775FFA" w:rsidRPr="007C39F0">
        <w:rPr>
          <w:rFonts w:eastAsia="Times New Roman" w:cs="Times New Roman"/>
          <w:sz w:val="24"/>
          <w:szCs w:val="24"/>
        </w:rPr>
        <w:t xml:space="preserve">in 2012-4. </w:t>
      </w:r>
      <w:r w:rsidR="00EC18F5">
        <w:rPr>
          <w:rFonts w:eastAsia="Times New Roman" w:cs="Times New Roman"/>
          <w:sz w:val="24"/>
          <w:szCs w:val="24"/>
        </w:rPr>
        <w:t>C</w:t>
      </w:r>
      <w:r w:rsidRPr="007C39F0">
        <w:rPr>
          <w:rFonts w:eastAsia="Times New Roman" w:cs="Times New Roman"/>
          <w:sz w:val="24"/>
          <w:szCs w:val="24"/>
        </w:rPr>
        <w:t>hanges in the composition of physically active population at the 90</w:t>
      </w:r>
      <w:r w:rsidRPr="007C39F0">
        <w:rPr>
          <w:rFonts w:eastAsia="Times New Roman" w:cs="Times New Roman"/>
          <w:sz w:val="24"/>
          <w:szCs w:val="24"/>
          <w:vertAlign w:val="superscript"/>
        </w:rPr>
        <w:t>th</w:t>
      </w:r>
      <w:r w:rsidRPr="007C39F0">
        <w:rPr>
          <w:rFonts w:eastAsia="Times New Roman" w:cs="Times New Roman"/>
          <w:sz w:val="24"/>
          <w:szCs w:val="24"/>
        </w:rPr>
        <w:t xml:space="preserve"> percentile (i.e. a decline in the share of physically active people at the percentile) contributed to </w:t>
      </w:r>
      <w:r w:rsidR="00EC18F5">
        <w:rPr>
          <w:rFonts w:eastAsia="Times New Roman" w:cs="Times New Roman"/>
          <w:sz w:val="24"/>
          <w:szCs w:val="24"/>
        </w:rPr>
        <w:t>de</w:t>
      </w:r>
      <w:r w:rsidRPr="007C39F0">
        <w:rPr>
          <w:rFonts w:eastAsia="Times New Roman" w:cs="Times New Roman"/>
          <w:sz w:val="24"/>
          <w:szCs w:val="24"/>
        </w:rPr>
        <w:t>crease the BMI at the 90</w:t>
      </w:r>
      <w:r w:rsidRPr="007C39F0">
        <w:rPr>
          <w:rFonts w:eastAsia="Times New Roman" w:cs="Times New Roman"/>
          <w:sz w:val="24"/>
          <w:szCs w:val="24"/>
          <w:vertAlign w:val="superscript"/>
        </w:rPr>
        <w:t>th</w:t>
      </w:r>
      <w:r w:rsidRPr="007C39F0">
        <w:rPr>
          <w:rFonts w:eastAsia="Times New Roman" w:cs="Times New Roman"/>
          <w:sz w:val="24"/>
          <w:szCs w:val="24"/>
        </w:rPr>
        <w:t xml:space="preserve"> percentile. </w:t>
      </w:r>
      <w:r w:rsidR="00775FFA" w:rsidRPr="007C39F0">
        <w:rPr>
          <w:rFonts w:eastAsia="Times New Roman" w:cs="Times New Roman"/>
          <w:sz w:val="24"/>
          <w:szCs w:val="24"/>
        </w:rPr>
        <w:t>The effect size was larger with physical activity compositional changes contributing to BMI at the 90</w:t>
      </w:r>
      <w:r w:rsidR="00775FFA" w:rsidRPr="007C39F0">
        <w:rPr>
          <w:rFonts w:eastAsia="Times New Roman" w:cs="Times New Roman"/>
          <w:sz w:val="24"/>
          <w:szCs w:val="24"/>
          <w:vertAlign w:val="superscript"/>
        </w:rPr>
        <w:t>th</w:t>
      </w:r>
      <w:r w:rsidR="00775FFA" w:rsidRPr="007C39F0">
        <w:rPr>
          <w:rFonts w:eastAsia="Times New Roman" w:cs="Times New Roman"/>
          <w:sz w:val="24"/>
          <w:szCs w:val="24"/>
        </w:rPr>
        <w:t xml:space="preserve"> percentile being </w:t>
      </w:r>
      <w:r w:rsidR="00EC18F5">
        <w:rPr>
          <w:rFonts w:eastAsia="Times New Roman" w:cs="Times New Roman"/>
          <w:sz w:val="24"/>
          <w:szCs w:val="24"/>
        </w:rPr>
        <w:t>0.352</w:t>
      </w:r>
      <w:r w:rsidR="00775FFA" w:rsidRPr="007C39F0">
        <w:rPr>
          <w:rFonts w:eastAsia="Times New Roman" w:cs="Times New Roman"/>
          <w:sz w:val="24"/>
          <w:szCs w:val="24"/>
        </w:rPr>
        <w:t xml:space="preserve"> points lower in 2012-4. </w:t>
      </w:r>
      <w:r w:rsidRPr="007C39F0">
        <w:rPr>
          <w:rFonts w:eastAsia="Times New Roman" w:cs="Times New Roman"/>
          <w:sz w:val="24"/>
          <w:szCs w:val="24"/>
        </w:rPr>
        <w:t>Similar patterns were observed for these factors at the other percentiles, other than age which was positively associated at the 10</w:t>
      </w:r>
      <w:r w:rsidRPr="007C39F0">
        <w:rPr>
          <w:rFonts w:eastAsia="Times New Roman" w:cs="Times New Roman"/>
          <w:sz w:val="24"/>
          <w:szCs w:val="24"/>
          <w:vertAlign w:val="superscript"/>
        </w:rPr>
        <w:t>th</w:t>
      </w:r>
      <w:r w:rsidRPr="007C39F0">
        <w:rPr>
          <w:rFonts w:eastAsia="Times New Roman" w:cs="Times New Roman"/>
          <w:sz w:val="24"/>
          <w:szCs w:val="24"/>
        </w:rPr>
        <w:t xml:space="preserve"> and 50</w:t>
      </w:r>
      <w:r w:rsidRPr="007C39F0">
        <w:rPr>
          <w:rFonts w:eastAsia="Times New Roman" w:cs="Times New Roman"/>
          <w:sz w:val="24"/>
          <w:szCs w:val="24"/>
          <w:vertAlign w:val="superscript"/>
        </w:rPr>
        <w:t>th</w:t>
      </w:r>
      <w:r w:rsidRPr="007C39F0">
        <w:rPr>
          <w:rFonts w:eastAsia="Times New Roman" w:cs="Times New Roman"/>
          <w:sz w:val="24"/>
          <w:szCs w:val="24"/>
        </w:rPr>
        <w:t xml:space="preserve"> percentiles.</w:t>
      </w:r>
    </w:p>
    <w:p w14:paraId="68161274" w14:textId="3FD1DC25" w:rsidR="00320E11" w:rsidRPr="007C39F0" w:rsidRDefault="001250A9" w:rsidP="00675EB5">
      <w:pPr>
        <w:keepNext/>
        <w:widowControl w:val="0"/>
        <w:autoSpaceDE w:val="0"/>
        <w:autoSpaceDN w:val="0"/>
        <w:adjustRightInd w:val="0"/>
        <w:spacing w:line="480" w:lineRule="auto"/>
        <w:rPr>
          <w:rFonts w:eastAsia="Times New Roman" w:cs="Times New Roman"/>
          <w:sz w:val="24"/>
          <w:szCs w:val="24"/>
        </w:rPr>
      </w:pPr>
      <w:r w:rsidRPr="007C39F0">
        <w:rPr>
          <w:rFonts w:cs="Times New Roman"/>
          <w:sz w:val="24"/>
          <w:szCs w:val="24"/>
        </w:rPr>
        <w:t xml:space="preserve">Table 4 – </w:t>
      </w:r>
      <w:r w:rsidR="00320E11" w:rsidRPr="007C39F0">
        <w:rPr>
          <w:rFonts w:eastAsia="Times New Roman" w:cs="Times New Roman"/>
          <w:sz w:val="24"/>
          <w:szCs w:val="24"/>
        </w:rPr>
        <w:t xml:space="preserve">Panel E disaggregates the effects attributable to changes in the coefficients. </w:t>
      </w:r>
      <w:r w:rsidR="00AC7C64" w:rsidRPr="007C39F0">
        <w:rPr>
          <w:rFonts w:eastAsia="Times New Roman" w:cs="Times New Roman"/>
          <w:sz w:val="24"/>
          <w:szCs w:val="24"/>
        </w:rPr>
        <w:t xml:space="preserve">Positive values represented factors that </w:t>
      </w:r>
      <w:r w:rsidR="00775FFA" w:rsidRPr="007C39F0">
        <w:rPr>
          <w:rFonts w:eastAsia="Times New Roman" w:cs="Times New Roman"/>
          <w:sz w:val="24"/>
          <w:szCs w:val="24"/>
        </w:rPr>
        <w:t>were associated with</w:t>
      </w:r>
      <w:r w:rsidR="00AC7C64" w:rsidRPr="007C39F0">
        <w:rPr>
          <w:rFonts w:eastAsia="Times New Roman" w:cs="Times New Roman"/>
          <w:sz w:val="24"/>
          <w:szCs w:val="24"/>
        </w:rPr>
        <w:t xml:space="preserve"> higher BMI values for a </w:t>
      </w:r>
      <w:r w:rsidR="00AC7C64" w:rsidRPr="007C39F0">
        <w:rPr>
          <w:rFonts w:eastAsia="Times New Roman" w:cs="Times New Roman"/>
          <w:sz w:val="24"/>
          <w:szCs w:val="24"/>
        </w:rPr>
        <w:lastRenderedPageBreak/>
        <w:t xml:space="preserve">percentile in 2012-4 than in 2002-4, with negative values contributing to a decline over time. </w:t>
      </w:r>
      <w:r w:rsidR="00FD5E36" w:rsidRPr="007C39F0">
        <w:rPr>
          <w:rFonts w:eastAsia="Times New Roman" w:cs="Times New Roman"/>
          <w:sz w:val="24"/>
          <w:szCs w:val="24"/>
        </w:rPr>
        <w:t xml:space="preserve">The results reveal that </w:t>
      </w:r>
      <w:r w:rsidR="008D6021">
        <w:rPr>
          <w:rFonts w:eastAsia="Times New Roman" w:cs="Times New Roman"/>
          <w:sz w:val="24"/>
          <w:szCs w:val="24"/>
        </w:rPr>
        <w:t>race</w:t>
      </w:r>
      <w:r w:rsidR="00EC18F5">
        <w:rPr>
          <w:rFonts w:eastAsia="Times New Roman" w:cs="Times New Roman"/>
          <w:sz w:val="24"/>
          <w:szCs w:val="24"/>
        </w:rPr>
        <w:t xml:space="preserve"> and</w:t>
      </w:r>
      <w:r w:rsidR="006F5AD6" w:rsidRPr="007C39F0">
        <w:rPr>
          <w:rFonts w:eastAsia="Times New Roman" w:cs="Times New Roman"/>
          <w:sz w:val="24"/>
          <w:szCs w:val="24"/>
        </w:rPr>
        <w:t xml:space="preserve"> socio-economic</w:t>
      </w:r>
      <w:r w:rsidR="00FD5E36" w:rsidRPr="007C39F0">
        <w:rPr>
          <w:rFonts w:eastAsia="Times New Roman" w:cs="Times New Roman"/>
          <w:sz w:val="24"/>
          <w:szCs w:val="24"/>
        </w:rPr>
        <w:t xml:space="preserve"> </w:t>
      </w:r>
      <w:r w:rsidR="00EC18F5">
        <w:rPr>
          <w:rFonts w:eastAsia="Times New Roman" w:cs="Times New Roman"/>
          <w:sz w:val="24"/>
          <w:szCs w:val="24"/>
        </w:rPr>
        <w:t>context</w:t>
      </w:r>
      <w:r w:rsidR="00880CE6" w:rsidRPr="007C39F0">
        <w:rPr>
          <w:rFonts w:eastAsia="Times New Roman" w:cs="Times New Roman"/>
          <w:sz w:val="24"/>
          <w:szCs w:val="24"/>
        </w:rPr>
        <w:t xml:space="preserve"> were </w:t>
      </w:r>
      <w:r w:rsidR="004B6914" w:rsidRPr="007C39F0">
        <w:rPr>
          <w:rFonts w:eastAsia="Times New Roman" w:cs="Times New Roman"/>
          <w:sz w:val="24"/>
          <w:szCs w:val="24"/>
        </w:rPr>
        <w:t>key factors</w:t>
      </w:r>
      <w:r w:rsidR="00FD5E36" w:rsidRPr="007C39F0">
        <w:rPr>
          <w:rFonts w:eastAsia="Times New Roman" w:cs="Times New Roman"/>
          <w:sz w:val="24"/>
          <w:szCs w:val="24"/>
        </w:rPr>
        <w:t xml:space="preserve"> contributing to </w:t>
      </w:r>
      <w:r w:rsidR="00AC7C64" w:rsidRPr="007C39F0">
        <w:rPr>
          <w:rFonts w:eastAsia="Times New Roman" w:cs="Times New Roman"/>
          <w:sz w:val="24"/>
          <w:szCs w:val="24"/>
        </w:rPr>
        <w:t>a higher</w:t>
      </w:r>
      <w:r w:rsidR="00FD5E36" w:rsidRPr="007C39F0">
        <w:rPr>
          <w:rFonts w:eastAsia="Times New Roman" w:cs="Times New Roman"/>
          <w:sz w:val="24"/>
          <w:szCs w:val="24"/>
        </w:rPr>
        <w:t xml:space="preserve"> BMI </w:t>
      </w:r>
      <w:r w:rsidR="00AC7C64" w:rsidRPr="007C39F0">
        <w:rPr>
          <w:rFonts w:eastAsia="Times New Roman" w:cs="Times New Roman"/>
          <w:sz w:val="24"/>
          <w:szCs w:val="24"/>
        </w:rPr>
        <w:t>value</w:t>
      </w:r>
      <w:r w:rsidR="00FD5E36" w:rsidRPr="007C39F0">
        <w:rPr>
          <w:rFonts w:eastAsia="Times New Roman" w:cs="Times New Roman"/>
          <w:sz w:val="24"/>
          <w:szCs w:val="24"/>
        </w:rPr>
        <w:t xml:space="preserve"> at the 90</w:t>
      </w:r>
      <w:r w:rsidR="00533611" w:rsidRPr="007C39F0">
        <w:rPr>
          <w:rFonts w:eastAsia="Times New Roman" w:cs="Times New Roman"/>
          <w:sz w:val="24"/>
          <w:szCs w:val="24"/>
          <w:vertAlign w:val="superscript"/>
        </w:rPr>
        <w:t>th</w:t>
      </w:r>
      <w:r w:rsidR="00533611" w:rsidRPr="007C39F0">
        <w:rPr>
          <w:rFonts w:eastAsia="Times New Roman" w:cs="Times New Roman"/>
          <w:sz w:val="24"/>
          <w:szCs w:val="24"/>
        </w:rPr>
        <w:t xml:space="preserve"> </w:t>
      </w:r>
      <w:r w:rsidR="00FD5E36" w:rsidRPr="007C39F0">
        <w:rPr>
          <w:rFonts w:eastAsia="Times New Roman" w:cs="Times New Roman"/>
          <w:sz w:val="24"/>
          <w:szCs w:val="24"/>
        </w:rPr>
        <w:t>percentile</w:t>
      </w:r>
      <w:r w:rsidR="00AC7C64" w:rsidRPr="007C39F0">
        <w:rPr>
          <w:rFonts w:eastAsia="Times New Roman" w:cs="Times New Roman"/>
          <w:sz w:val="24"/>
          <w:szCs w:val="24"/>
        </w:rPr>
        <w:t xml:space="preserve"> in 2012-4</w:t>
      </w:r>
      <w:r w:rsidR="00FD5E36" w:rsidRPr="007C39F0">
        <w:rPr>
          <w:rFonts w:eastAsia="Times New Roman" w:cs="Times New Roman"/>
          <w:sz w:val="24"/>
          <w:szCs w:val="24"/>
        </w:rPr>
        <w:t xml:space="preserve">. </w:t>
      </w:r>
      <w:r w:rsidR="006F5AD6" w:rsidRPr="007C39F0">
        <w:rPr>
          <w:rFonts w:eastAsia="Times New Roman" w:cs="Times New Roman"/>
          <w:sz w:val="24"/>
          <w:szCs w:val="24"/>
        </w:rPr>
        <w:t xml:space="preserve">Their positive </w:t>
      </w:r>
      <w:r w:rsidR="00F8367B" w:rsidRPr="007C39F0">
        <w:rPr>
          <w:rFonts w:eastAsia="Times New Roman" w:cs="Times New Roman"/>
          <w:sz w:val="24"/>
          <w:szCs w:val="24"/>
        </w:rPr>
        <w:t>coefficients</w:t>
      </w:r>
      <w:r w:rsidR="006F5AD6" w:rsidRPr="007C39F0">
        <w:rPr>
          <w:rFonts w:eastAsia="Times New Roman" w:cs="Times New Roman"/>
          <w:sz w:val="24"/>
          <w:szCs w:val="24"/>
        </w:rPr>
        <w:t xml:space="preserve"> suggest that they have seen increasing </w:t>
      </w:r>
      <w:r w:rsidR="00E876D2" w:rsidRPr="007C39F0">
        <w:rPr>
          <w:rFonts w:eastAsia="Times New Roman" w:cs="Times New Roman"/>
          <w:sz w:val="24"/>
          <w:szCs w:val="24"/>
        </w:rPr>
        <w:t xml:space="preserve">relative </w:t>
      </w:r>
      <w:r w:rsidR="006F5AD6" w:rsidRPr="007C39F0">
        <w:rPr>
          <w:rFonts w:eastAsia="Times New Roman" w:cs="Times New Roman"/>
          <w:sz w:val="24"/>
          <w:szCs w:val="24"/>
        </w:rPr>
        <w:t>importance in explaining</w:t>
      </w:r>
      <w:r w:rsidR="00F8367B" w:rsidRPr="007C39F0">
        <w:rPr>
          <w:rFonts w:eastAsia="Times New Roman" w:cs="Times New Roman"/>
          <w:sz w:val="24"/>
          <w:szCs w:val="24"/>
        </w:rPr>
        <w:t xml:space="preserve"> differences in BMI of</w:t>
      </w:r>
      <w:r w:rsidR="006F5AD6" w:rsidRPr="007C39F0">
        <w:rPr>
          <w:rFonts w:eastAsia="Times New Roman" w:cs="Times New Roman"/>
          <w:sz w:val="24"/>
          <w:szCs w:val="24"/>
        </w:rPr>
        <w:t xml:space="preserve"> the 90</w:t>
      </w:r>
      <w:r w:rsidR="006F5AD6" w:rsidRPr="007C39F0">
        <w:rPr>
          <w:rFonts w:eastAsia="Times New Roman" w:cs="Times New Roman"/>
          <w:sz w:val="24"/>
          <w:szCs w:val="24"/>
          <w:vertAlign w:val="superscript"/>
        </w:rPr>
        <w:t>th</w:t>
      </w:r>
      <w:r w:rsidR="006F5AD6" w:rsidRPr="007C39F0">
        <w:rPr>
          <w:rFonts w:eastAsia="Times New Roman" w:cs="Times New Roman"/>
          <w:sz w:val="24"/>
          <w:szCs w:val="24"/>
        </w:rPr>
        <w:t xml:space="preserve"> percentile over time</w:t>
      </w:r>
      <w:r w:rsidR="009308EE" w:rsidRPr="007C39F0">
        <w:rPr>
          <w:rFonts w:eastAsia="Times New Roman" w:cs="Times New Roman"/>
          <w:sz w:val="24"/>
          <w:szCs w:val="24"/>
        </w:rPr>
        <w:t>.</w:t>
      </w:r>
      <w:r w:rsidR="00414E73" w:rsidRPr="007C39F0">
        <w:rPr>
          <w:rFonts w:eastAsia="Times New Roman" w:cs="Times New Roman"/>
          <w:sz w:val="24"/>
          <w:szCs w:val="24"/>
        </w:rPr>
        <w:t xml:space="preserve"> </w:t>
      </w:r>
      <w:r w:rsidR="00775FFA" w:rsidRPr="007C39F0">
        <w:rPr>
          <w:rFonts w:eastAsia="Times New Roman" w:cs="Times New Roman"/>
          <w:sz w:val="24"/>
          <w:szCs w:val="24"/>
        </w:rPr>
        <w:t xml:space="preserve">Changes in the coefficients for </w:t>
      </w:r>
      <w:r w:rsidR="005423CE">
        <w:rPr>
          <w:rFonts w:eastAsia="Times New Roman" w:cs="Times New Roman"/>
          <w:sz w:val="24"/>
          <w:szCs w:val="24"/>
        </w:rPr>
        <w:t>race</w:t>
      </w:r>
      <w:r w:rsidR="005423CE" w:rsidRPr="007C39F0">
        <w:rPr>
          <w:rFonts w:eastAsia="Times New Roman" w:cs="Times New Roman"/>
          <w:sz w:val="24"/>
          <w:szCs w:val="24"/>
        </w:rPr>
        <w:t xml:space="preserve"> </w:t>
      </w:r>
      <w:r w:rsidR="00775FFA" w:rsidRPr="007C39F0">
        <w:rPr>
          <w:rFonts w:eastAsia="Times New Roman" w:cs="Times New Roman"/>
          <w:sz w:val="24"/>
          <w:szCs w:val="24"/>
        </w:rPr>
        <w:t>at the 90</w:t>
      </w:r>
      <w:r w:rsidR="00775FFA" w:rsidRPr="007C39F0">
        <w:rPr>
          <w:rFonts w:eastAsia="Times New Roman" w:cs="Times New Roman"/>
          <w:sz w:val="24"/>
          <w:szCs w:val="24"/>
          <w:vertAlign w:val="superscript"/>
        </w:rPr>
        <w:t>th</w:t>
      </w:r>
      <w:r w:rsidR="00775FFA" w:rsidRPr="007C39F0">
        <w:rPr>
          <w:rFonts w:eastAsia="Times New Roman" w:cs="Times New Roman"/>
          <w:sz w:val="24"/>
          <w:szCs w:val="24"/>
        </w:rPr>
        <w:t xml:space="preserve"> percentile resulted in BMI at the 90</w:t>
      </w:r>
      <w:r w:rsidR="00775FFA" w:rsidRPr="007C39F0">
        <w:rPr>
          <w:rFonts w:eastAsia="Times New Roman" w:cs="Times New Roman"/>
          <w:sz w:val="24"/>
          <w:szCs w:val="24"/>
          <w:vertAlign w:val="superscript"/>
        </w:rPr>
        <w:t>th</w:t>
      </w:r>
      <w:r w:rsidR="00775FFA" w:rsidRPr="007C39F0">
        <w:rPr>
          <w:rFonts w:eastAsia="Times New Roman" w:cs="Times New Roman"/>
          <w:sz w:val="24"/>
          <w:szCs w:val="24"/>
        </w:rPr>
        <w:t xml:space="preserve"> percentile being 1.0</w:t>
      </w:r>
      <w:r w:rsidR="00EC18F5">
        <w:rPr>
          <w:rFonts w:eastAsia="Times New Roman" w:cs="Times New Roman"/>
          <w:sz w:val="24"/>
          <w:szCs w:val="24"/>
        </w:rPr>
        <w:t>71</w:t>
      </w:r>
      <w:r w:rsidR="00775FFA" w:rsidRPr="007C39F0">
        <w:rPr>
          <w:rFonts w:eastAsia="Times New Roman" w:cs="Times New Roman"/>
          <w:sz w:val="24"/>
          <w:szCs w:val="24"/>
        </w:rPr>
        <w:t xml:space="preserve"> units higher in 2012-4 compared to 2002-4. A lower effect size was observed for changes in the socio-economic coefficients (0.</w:t>
      </w:r>
      <w:r w:rsidR="00EC18F5">
        <w:rPr>
          <w:rFonts w:eastAsia="Times New Roman" w:cs="Times New Roman"/>
          <w:sz w:val="24"/>
          <w:szCs w:val="24"/>
        </w:rPr>
        <w:t>075</w:t>
      </w:r>
      <w:r w:rsidR="00775FFA" w:rsidRPr="007C39F0">
        <w:rPr>
          <w:rFonts w:eastAsia="Times New Roman" w:cs="Times New Roman"/>
          <w:sz w:val="24"/>
          <w:szCs w:val="24"/>
        </w:rPr>
        <w:t>).</w:t>
      </w:r>
    </w:p>
    <w:p w14:paraId="4A913937" w14:textId="77777777" w:rsidR="00C370BA" w:rsidRPr="007C39F0" w:rsidRDefault="00C370BA" w:rsidP="00675EB5">
      <w:pPr>
        <w:spacing w:line="480" w:lineRule="auto"/>
        <w:rPr>
          <w:rFonts w:cs="Times New Roman"/>
          <w:b/>
          <w:sz w:val="24"/>
          <w:szCs w:val="24"/>
        </w:rPr>
      </w:pPr>
    </w:p>
    <w:p w14:paraId="0556ED48" w14:textId="3F5A4170" w:rsidR="00454F47" w:rsidRPr="007C39F0" w:rsidRDefault="00451275" w:rsidP="00675EB5">
      <w:pPr>
        <w:spacing w:line="480" w:lineRule="auto"/>
        <w:rPr>
          <w:rFonts w:cs="Times New Roman"/>
          <w:sz w:val="24"/>
          <w:szCs w:val="24"/>
        </w:rPr>
      </w:pPr>
      <w:r w:rsidRPr="007C39F0">
        <w:rPr>
          <w:rFonts w:cs="Times New Roman"/>
          <w:b/>
          <w:sz w:val="24"/>
          <w:szCs w:val="24"/>
        </w:rPr>
        <w:t>Conclusions</w:t>
      </w:r>
    </w:p>
    <w:p w14:paraId="72D9A8FD" w14:textId="77777777" w:rsidR="00454F47" w:rsidRPr="007C39F0" w:rsidRDefault="004B1C4B" w:rsidP="00675EB5">
      <w:pPr>
        <w:spacing w:line="480" w:lineRule="auto"/>
        <w:rPr>
          <w:rFonts w:cs="Times New Roman"/>
          <w:sz w:val="24"/>
          <w:szCs w:val="24"/>
        </w:rPr>
      </w:pPr>
      <w:r w:rsidRPr="007C39F0">
        <w:rPr>
          <w:rFonts w:cs="Times New Roman"/>
          <w:i/>
          <w:sz w:val="24"/>
          <w:szCs w:val="24"/>
        </w:rPr>
        <w:t>Key Results</w:t>
      </w:r>
    </w:p>
    <w:p w14:paraId="5E855882" w14:textId="7264C945" w:rsidR="00C370BA" w:rsidRPr="007C39F0" w:rsidRDefault="0051617A" w:rsidP="00675EB5">
      <w:pPr>
        <w:spacing w:line="480" w:lineRule="auto"/>
        <w:rPr>
          <w:rFonts w:cs="Times New Roman"/>
          <w:i/>
          <w:sz w:val="24"/>
          <w:szCs w:val="24"/>
        </w:rPr>
      </w:pPr>
      <w:r w:rsidRPr="007C39F0">
        <w:rPr>
          <w:rFonts w:cs="Times New Roman"/>
          <w:sz w:val="24"/>
          <w:szCs w:val="24"/>
        </w:rPr>
        <w:t>Our</w:t>
      </w:r>
      <w:r w:rsidR="007D345C" w:rsidRPr="007C39F0">
        <w:rPr>
          <w:rFonts w:cs="Times New Roman"/>
          <w:sz w:val="24"/>
          <w:szCs w:val="24"/>
        </w:rPr>
        <w:t xml:space="preserve"> results </w:t>
      </w:r>
      <w:r w:rsidR="007666E5" w:rsidRPr="007C39F0">
        <w:rPr>
          <w:rFonts w:cs="Times New Roman"/>
          <w:sz w:val="24"/>
          <w:szCs w:val="24"/>
        </w:rPr>
        <w:t>comprise</w:t>
      </w:r>
      <w:r w:rsidR="007D345C" w:rsidRPr="007C39F0">
        <w:rPr>
          <w:rFonts w:cs="Times New Roman"/>
          <w:sz w:val="24"/>
          <w:szCs w:val="24"/>
        </w:rPr>
        <w:t xml:space="preserve"> </w:t>
      </w:r>
      <w:r w:rsidRPr="007C39F0">
        <w:rPr>
          <w:rFonts w:cs="Times New Roman"/>
          <w:sz w:val="24"/>
          <w:szCs w:val="24"/>
        </w:rPr>
        <w:t>the</w:t>
      </w:r>
      <w:r w:rsidR="007666E5" w:rsidRPr="007C39F0">
        <w:rPr>
          <w:rFonts w:cs="Times New Roman"/>
          <w:sz w:val="24"/>
          <w:szCs w:val="24"/>
        </w:rPr>
        <w:t xml:space="preserve"> </w:t>
      </w:r>
      <w:r w:rsidR="007D345C" w:rsidRPr="007C39F0">
        <w:rPr>
          <w:rFonts w:cs="Times New Roman"/>
          <w:sz w:val="24"/>
          <w:szCs w:val="24"/>
        </w:rPr>
        <w:t xml:space="preserve">first </w:t>
      </w:r>
      <w:r w:rsidR="007666E5" w:rsidRPr="007C39F0">
        <w:rPr>
          <w:rFonts w:cs="Times New Roman"/>
          <w:sz w:val="24"/>
          <w:szCs w:val="24"/>
        </w:rPr>
        <w:t xml:space="preserve">empirical evidence </w:t>
      </w:r>
      <w:r w:rsidR="007D345C" w:rsidRPr="007C39F0">
        <w:rPr>
          <w:rFonts w:cs="Times New Roman"/>
          <w:sz w:val="24"/>
          <w:szCs w:val="24"/>
        </w:rPr>
        <w:t xml:space="preserve">to </w:t>
      </w:r>
      <w:r w:rsidR="007666E5" w:rsidRPr="007C39F0">
        <w:rPr>
          <w:rFonts w:cs="Times New Roman"/>
          <w:sz w:val="24"/>
          <w:szCs w:val="24"/>
        </w:rPr>
        <w:t xml:space="preserve">identify </w:t>
      </w:r>
      <w:r w:rsidR="007D345C" w:rsidRPr="007C39F0">
        <w:rPr>
          <w:rFonts w:cs="Times New Roman"/>
          <w:sz w:val="24"/>
          <w:szCs w:val="24"/>
        </w:rPr>
        <w:t xml:space="preserve">the </w:t>
      </w:r>
      <w:r w:rsidR="007666E5" w:rsidRPr="007C39F0">
        <w:rPr>
          <w:rFonts w:cs="Times New Roman"/>
          <w:sz w:val="24"/>
          <w:szCs w:val="24"/>
        </w:rPr>
        <w:t xml:space="preserve">relative significance of the factors contributing to </w:t>
      </w:r>
      <w:r w:rsidR="007D345C" w:rsidRPr="007C39F0">
        <w:rPr>
          <w:rFonts w:cs="Times New Roman"/>
          <w:sz w:val="24"/>
          <w:szCs w:val="24"/>
        </w:rPr>
        <w:t>wideni</w:t>
      </w:r>
      <w:r w:rsidR="007666E5" w:rsidRPr="007C39F0">
        <w:rPr>
          <w:rFonts w:cs="Times New Roman"/>
          <w:sz w:val="24"/>
          <w:szCs w:val="24"/>
        </w:rPr>
        <w:t>ng</w:t>
      </w:r>
      <w:r w:rsidR="007D345C" w:rsidRPr="007C39F0">
        <w:rPr>
          <w:rFonts w:cs="Times New Roman"/>
          <w:sz w:val="24"/>
          <w:szCs w:val="24"/>
        </w:rPr>
        <w:t xml:space="preserve"> the BMI distribution </w:t>
      </w:r>
      <w:r w:rsidR="007666E5" w:rsidRPr="007C39F0">
        <w:rPr>
          <w:rFonts w:cs="Times New Roman"/>
          <w:sz w:val="24"/>
          <w:szCs w:val="24"/>
        </w:rPr>
        <w:t>in</w:t>
      </w:r>
      <w:r w:rsidR="007D345C" w:rsidRPr="007C39F0">
        <w:rPr>
          <w:rFonts w:cs="Times New Roman"/>
          <w:sz w:val="24"/>
          <w:szCs w:val="24"/>
        </w:rPr>
        <w:t xml:space="preserve"> England. </w:t>
      </w:r>
      <w:r w:rsidR="00AE3D7C" w:rsidRPr="007C39F0">
        <w:rPr>
          <w:rFonts w:cs="Times New Roman"/>
          <w:sz w:val="24"/>
          <w:szCs w:val="24"/>
        </w:rPr>
        <w:t>C</w:t>
      </w:r>
      <w:r w:rsidR="001D27D1" w:rsidRPr="007C39F0">
        <w:rPr>
          <w:rFonts w:cs="Times New Roman"/>
          <w:sz w:val="24"/>
          <w:szCs w:val="24"/>
        </w:rPr>
        <w:t xml:space="preserve">hanges </w:t>
      </w:r>
      <w:r w:rsidR="001376AA" w:rsidRPr="007C39F0">
        <w:rPr>
          <w:rFonts w:cs="Times New Roman"/>
          <w:sz w:val="24"/>
          <w:szCs w:val="24"/>
        </w:rPr>
        <w:t xml:space="preserve">in </w:t>
      </w:r>
      <w:r w:rsidR="001D27D1" w:rsidRPr="007C39F0">
        <w:rPr>
          <w:rFonts w:cs="Times New Roman"/>
          <w:sz w:val="24"/>
          <w:szCs w:val="24"/>
        </w:rPr>
        <w:t xml:space="preserve">the </w:t>
      </w:r>
      <w:r w:rsidR="001376AA" w:rsidRPr="007C39F0">
        <w:rPr>
          <w:rFonts w:cs="Times New Roman"/>
          <w:sz w:val="24"/>
          <w:szCs w:val="24"/>
        </w:rPr>
        <w:t xml:space="preserve">strength of the </w:t>
      </w:r>
      <w:r w:rsidR="001D27D1" w:rsidRPr="007C39F0">
        <w:rPr>
          <w:rFonts w:cs="Times New Roman"/>
          <w:sz w:val="24"/>
          <w:szCs w:val="24"/>
        </w:rPr>
        <w:t xml:space="preserve">relationships between </w:t>
      </w:r>
      <w:r w:rsidR="001376AA" w:rsidRPr="007C39F0">
        <w:rPr>
          <w:rFonts w:cs="Times New Roman"/>
          <w:sz w:val="24"/>
          <w:szCs w:val="24"/>
        </w:rPr>
        <w:t xml:space="preserve">contextual </w:t>
      </w:r>
      <w:r w:rsidR="001D27D1" w:rsidRPr="007C39F0">
        <w:rPr>
          <w:rFonts w:cs="Times New Roman"/>
          <w:sz w:val="24"/>
          <w:szCs w:val="24"/>
        </w:rPr>
        <w:t xml:space="preserve">explanatory </w:t>
      </w:r>
      <w:r w:rsidR="001376AA" w:rsidRPr="007C39F0">
        <w:rPr>
          <w:rFonts w:cs="Times New Roman"/>
          <w:sz w:val="24"/>
          <w:szCs w:val="24"/>
        </w:rPr>
        <w:t>variables and</w:t>
      </w:r>
      <w:r w:rsidR="001D27D1" w:rsidRPr="007C39F0">
        <w:rPr>
          <w:rFonts w:cs="Times New Roman"/>
          <w:sz w:val="24"/>
          <w:szCs w:val="24"/>
        </w:rPr>
        <w:t xml:space="preserve"> BMI </w:t>
      </w:r>
      <w:r w:rsidR="005B3C6C">
        <w:rPr>
          <w:rFonts w:cs="Times New Roman"/>
          <w:sz w:val="24"/>
          <w:szCs w:val="24"/>
        </w:rPr>
        <w:t>were important in our model for understanding</w:t>
      </w:r>
      <w:r w:rsidR="00AE3D7C" w:rsidRPr="007C39F0">
        <w:rPr>
          <w:rFonts w:cs="Times New Roman"/>
          <w:sz w:val="24"/>
          <w:szCs w:val="24"/>
        </w:rPr>
        <w:t xml:space="preserve"> increasing</w:t>
      </w:r>
      <w:r w:rsidR="001376AA" w:rsidRPr="007C39F0">
        <w:rPr>
          <w:rFonts w:cs="Times New Roman"/>
          <w:sz w:val="24"/>
          <w:szCs w:val="24"/>
        </w:rPr>
        <w:t xml:space="preserve"> </w:t>
      </w:r>
      <w:r w:rsidR="00F861DD" w:rsidRPr="007C39F0">
        <w:rPr>
          <w:rFonts w:cs="Times New Roman"/>
          <w:sz w:val="24"/>
          <w:szCs w:val="24"/>
        </w:rPr>
        <w:t>right tail</w:t>
      </w:r>
      <w:r w:rsidR="001376AA" w:rsidRPr="007C39F0">
        <w:rPr>
          <w:rFonts w:cs="Times New Roman"/>
          <w:sz w:val="24"/>
          <w:szCs w:val="24"/>
        </w:rPr>
        <w:t xml:space="preserve"> of the </w:t>
      </w:r>
      <w:r w:rsidR="00AE3D7C" w:rsidRPr="007C39F0">
        <w:rPr>
          <w:rFonts w:cs="Times New Roman"/>
          <w:sz w:val="24"/>
          <w:szCs w:val="24"/>
        </w:rPr>
        <w:t xml:space="preserve">BMI </w:t>
      </w:r>
      <w:r w:rsidR="001376AA" w:rsidRPr="007C39F0">
        <w:rPr>
          <w:rFonts w:cs="Times New Roman"/>
          <w:sz w:val="24"/>
          <w:szCs w:val="24"/>
        </w:rPr>
        <w:t xml:space="preserve">distribution. </w:t>
      </w:r>
      <w:r w:rsidR="00EC18F5">
        <w:rPr>
          <w:rFonts w:cs="Times New Roman"/>
          <w:sz w:val="24"/>
          <w:szCs w:val="24"/>
        </w:rPr>
        <w:t>R</w:t>
      </w:r>
      <w:r w:rsidR="005423CE">
        <w:rPr>
          <w:rFonts w:cs="Times New Roman"/>
          <w:sz w:val="24"/>
          <w:szCs w:val="24"/>
        </w:rPr>
        <w:t>ace</w:t>
      </w:r>
      <w:r w:rsidR="005423CE" w:rsidRPr="007C39F0">
        <w:rPr>
          <w:rFonts w:cs="Times New Roman"/>
          <w:sz w:val="24"/>
          <w:szCs w:val="24"/>
        </w:rPr>
        <w:t xml:space="preserve"> </w:t>
      </w:r>
      <w:r w:rsidR="001D27D1" w:rsidRPr="007C39F0">
        <w:rPr>
          <w:rFonts w:cs="Times New Roman"/>
          <w:sz w:val="24"/>
          <w:szCs w:val="24"/>
        </w:rPr>
        <w:t xml:space="preserve">and socio-economic status </w:t>
      </w:r>
      <w:r w:rsidR="005B3C6C">
        <w:rPr>
          <w:rFonts w:cs="Times New Roman"/>
          <w:sz w:val="24"/>
          <w:szCs w:val="24"/>
        </w:rPr>
        <w:t xml:space="preserve">are more strongly associated with </w:t>
      </w:r>
      <w:r w:rsidR="001D27D1" w:rsidRPr="007C39F0">
        <w:rPr>
          <w:rFonts w:cs="Times New Roman"/>
          <w:sz w:val="24"/>
          <w:szCs w:val="24"/>
        </w:rPr>
        <w:t xml:space="preserve">BMI at the </w:t>
      </w:r>
      <w:r w:rsidR="007019AA" w:rsidRPr="007C39F0">
        <w:rPr>
          <w:rFonts w:cs="Times New Roman"/>
          <w:sz w:val="24"/>
          <w:szCs w:val="24"/>
        </w:rPr>
        <w:t>90</w:t>
      </w:r>
      <w:r w:rsidR="007019AA" w:rsidRPr="007C39F0">
        <w:rPr>
          <w:rFonts w:cs="Times New Roman"/>
          <w:sz w:val="24"/>
          <w:szCs w:val="24"/>
          <w:vertAlign w:val="superscript"/>
        </w:rPr>
        <w:t>th</w:t>
      </w:r>
      <w:r w:rsidR="007019AA" w:rsidRPr="007C39F0">
        <w:rPr>
          <w:rFonts w:cs="Times New Roman"/>
          <w:sz w:val="24"/>
          <w:szCs w:val="24"/>
        </w:rPr>
        <w:t xml:space="preserve"> percentile </w:t>
      </w:r>
      <w:r w:rsidR="001D27D1" w:rsidRPr="007C39F0">
        <w:rPr>
          <w:rFonts w:cs="Times New Roman"/>
          <w:sz w:val="24"/>
          <w:szCs w:val="24"/>
        </w:rPr>
        <w:t xml:space="preserve">of </w:t>
      </w:r>
      <w:r w:rsidR="007019AA" w:rsidRPr="007C39F0">
        <w:rPr>
          <w:rFonts w:cs="Times New Roman"/>
          <w:sz w:val="24"/>
          <w:szCs w:val="24"/>
        </w:rPr>
        <w:t>the</w:t>
      </w:r>
      <w:r w:rsidR="0036239B" w:rsidRPr="007C39F0">
        <w:rPr>
          <w:rFonts w:cs="Times New Roman"/>
          <w:sz w:val="24"/>
          <w:szCs w:val="24"/>
        </w:rPr>
        <w:t xml:space="preserve"> distribution</w:t>
      </w:r>
      <w:r w:rsidR="0077750E" w:rsidRPr="007C39F0">
        <w:rPr>
          <w:rFonts w:cs="Times New Roman"/>
          <w:sz w:val="24"/>
          <w:szCs w:val="24"/>
        </w:rPr>
        <w:t xml:space="preserve"> </w:t>
      </w:r>
      <w:r w:rsidR="005B3C6C">
        <w:rPr>
          <w:rFonts w:cs="Times New Roman"/>
          <w:sz w:val="24"/>
          <w:szCs w:val="24"/>
        </w:rPr>
        <w:t xml:space="preserve">in 2012-14 than in 2002-04 </w:t>
      </w:r>
      <w:r w:rsidR="0077750E" w:rsidRPr="007C39F0">
        <w:rPr>
          <w:rFonts w:cs="Times New Roman"/>
          <w:sz w:val="24"/>
          <w:szCs w:val="24"/>
        </w:rPr>
        <w:t xml:space="preserve">due to </w:t>
      </w:r>
      <w:r w:rsidR="005B3C6C">
        <w:rPr>
          <w:rFonts w:cs="Times New Roman"/>
          <w:sz w:val="24"/>
          <w:szCs w:val="24"/>
        </w:rPr>
        <w:t xml:space="preserve">the </w:t>
      </w:r>
      <w:r w:rsidR="0077750E" w:rsidRPr="007C39F0">
        <w:rPr>
          <w:rFonts w:cs="Times New Roman"/>
          <w:sz w:val="24"/>
          <w:szCs w:val="24"/>
        </w:rPr>
        <w:t>changing nature of their relationships</w:t>
      </w:r>
      <w:r w:rsidR="001D27D1" w:rsidRPr="007C39F0">
        <w:rPr>
          <w:rFonts w:cs="Times New Roman"/>
          <w:sz w:val="24"/>
          <w:szCs w:val="24"/>
        </w:rPr>
        <w:t xml:space="preserve">. </w:t>
      </w:r>
      <w:r w:rsidR="0036239B" w:rsidRPr="007C39F0">
        <w:rPr>
          <w:rFonts w:cs="Times New Roman"/>
          <w:sz w:val="24"/>
          <w:szCs w:val="24"/>
        </w:rPr>
        <w:t>C</w:t>
      </w:r>
      <w:r w:rsidR="00170939" w:rsidRPr="007C39F0">
        <w:rPr>
          <w:rFonts w:cs="Times New Roman"/>
          <w:sz w:val="24"/>
          <w:szCs w:val="24"/>
        </w:rPr>
        <w:t xml:space="preserve">ompositional changes </w:t>
      </w:r>
      <w:r w:rsidR="0036239B" w:rsidRPr="007C39F0">
        <w:rPr>
          <w:rFonts w:cs="Times New Roman"/>
          <w:sz w:val="24"/>
          <w:szCs w:val="24"/>
        </w:rPr>
        <w:t xml:space="preserve">with respect to age, </w:t>
      </w:r>
      <w:r w:rsidR="005423CE">
        <w:rPr>
          <w:rFonts w:cs="Times New Roman"/>
          <w:sz w:val="24"/>
          <w:szCs w:val="24"/>
        </w:rPr>
        <w:t>race</w:t>
      </w:r>
      <w:r w:rsidR="0036239B" w:rsidRPr="007C39F0">
        <w:rPr>
          <w:rFonts w:cs="Times New Roman"/>
          <w:sz w:val="24"/>
          <w:szCs w:val="24"/>
        </w:rPr>
        <w:t>, socio-economic factors, and physical activity also made</w:t>
      </w:r>
      <w:r w:rsidR="00D51311" w:rsidRPr="007C39F0">
        <w:rPr>
          <w:rFonts w:cs="Times New Roman"/>
          <w:sz w:val="24"/>
          <w:szCs w:val="24"/>
        </w:rPr>
        <w:t xml:space="preserve"> significant contributions to </w:t>
      </w:r>
      <w:r w:rsidR="00F861DD" w:rsidRPr="007C39F0">
        <w:rPr>
          <w:rFonts w:cs="Times New Roman"/>
          <w:sz w:val="24"/>
          <w:szCs w:val="24"/>
        </w:rPr>
        <w:t xml:space="preserve">explaining </w:t>
      </w:r>
      <w:r w:rsidR="0077750E" w:rsidRPr="007C39F0">
        <w:rPr>
          <w:rFonts w:cs="Times New Roman"/>
          <w:sz w:val="24"/>
          <w:szCs w:val="24"/>
        </w:rPr>
        <w:t>changes in</w:t>
      </w:r>
      <w:r w:rsidR="00220A2B" w:rsidRPr="007C39F0">
        <w:rPr>
          <w:rFonts w:cs="Times New Roman"/>
          <w:sz w:val="24"/>
          <w:szCs w:val="24"/>
        </w:rPr>
        <w:t xml:space="preserve"> BMI at the 90th percentile of the distribution</w:t>
      </w:r>
      <w:r w:rsidR="00170939" w:rsidRPr="007C39F0">
        <w:rPr>
          <w:rFonts w:cs="Times New Roman"/>
          <w:sz w:val="24"/>
          <w:szCs w:val="24"/>
        </w:rPr>
        <w:t>.</w:t>
      </w:r>
    </w:p>
    <w:p w14:paraId="404CD49D" w14:textId="77777777" w:rsidR="00C370BA" w:rsidRPr="007C39F0" w:rsidRDefault="00C370BA" w:rsidP="00675EB5">
      <w:pPr>
        <w:spacing w:line="480" w:lineRule="auto"/>
        <w:rPr>
          <w:rFonts w:cs="Times New Roman"/>
          <w:i/>
          <w:sz w:val="24"/>
          <w:szCs w:val="24"/>
        </w:rPr>
      </w:pPr>
    </w:p>
    <w:p w14:paraId="3D22C35B" w14:textId="77777777" w:rsidR="008807D2" w:rsidRPr="007C39F0" w:rsidRDefault="008807D2" w:rsidP="00675EB5">
      <w:pPr>
        <w:spacing w:line="480" w:lineRule="auto"/>
        <w:rPr>
          <w:rFonts w:cs="Times New Roman"/>
          <w:sz w:val="24"/>
          <w:szCs w:val="24"/>
        </w:rPr>
      </w:pPr>
      <w:r w:rsidRPr="007C39F0">
        <w:rPr>
          <w:rFonts w:cs="Times New Roman"/>
          <w:i/>
          <w:sz w:val="24"/>
          <w:szCs w:val="24"/>
        </w:rPr>
        <w:t>Interpretation</w:t>
      </w:r>
    </w:p>
    <w:p w14:paraId="704046C3" w14:textId="4EC5C1FB" w:rsidR="00947230" w:rsidRDefault="000903C2" w:rsidP="00675EB5">
      <w:pPr>
        <w:spacing w:line="480" w:lineRule="auto"/>
        <w:rPr>
          <w:rFonts w:cs="Times New Roman"/>
          <w:sz w:val="24"/>
          <w:szCs w:val="24"/>
        </w:rPr>
      </w:pPr>
      <w:r w:rsidRPr="007C39F0">
        <w:rPr>
          <w:rFonts w:cs="Times New Roman"/>
          <w:sz w:val="24"/>
          <w:szCs w:val="24"/>
        </w:rPr>
        <w:lastRenderedPageBreak/>
        <w:t xml:space="preserve">Changes in the </w:t>
      </w:r>
      <w:r w:rsidR="0095669E" w:rsidRPr="007C39F0">
        <w:rPr>
          <w:rFonts w:cs="Times New Roman"/>
          <w:sz w:val="24"/>
          <w:szCs w:val="24"/>
        </w:rPr>
        <w:t>association</w:t>
      </w:r>
      <w:r w:rsidRPr="007C39F0">
        <w:rPr>
          <w:rFonts w:cs="Times New Roman"/>
          <w:sz w:val="24"/>
          <w:szCs w:val="24"/>
        </w:rPr>
        <w:t xml:space="preserve"> </w:t>
      </w:r>
      <w:r w:rsidR="0095669E" w:rsidRPr="007C39F0">
        <w:rPr>
          <w:rFonts w:cs="Times New Roman"/>
          <w:sz w:val="24"/>
          <w:szCs w:val="24"/>
        </w:rPr>
        <w:t>between</w:t>
      </w:r>
      <w:r w:rsidRPr="007C39F0">
        <w:rPr>
          <w:rFonts w:cs="Times New Roman"/>
          <w:sz w:val="24"/>
          <w:szCs w:val="24"/>
        </w:rPr>
        <w:t xml:space="preserve"> </w:t>
      </w:r>
      <w:r w:rsidR="0095669E" w:rsidRPr="007C39F0">
        <w:rPr>
          <w:rFonts w:cs="Times New Roman"/>
          <w:sz w:val="24"/>
          <w:szCs w:val="24"/>
        </w:rPr>
        <w:t>our explanatory variables and</w:t>
      </w:r>
      <w:r w:rsidR="001A7A06" w:rsidRPr="007C39F0">
        <w:rPr>
          <w:rFonts w:cs="Times New Roman"/>
          <w:sz w:val="24"/>
          <w:szCs w:val="24"/>
        </w:rPr>
        <w:t xml:space="preserve"> BMI </w:t>
      </w:r>
      <w:r w:rsidR="00167F1D" w:rsidRPr="007C39F0">
        <w:rPr>
          <w:rFonts w:cs="Times New Roman"/>
          <w:sz w:val="24"/>
          <w:szCs w:val="24"/>
        </w:rPr>
        <w:t>appear to</w:t>
      </w:r>
      <w:r w:rsidR="002E64F0" w:rsidRPr="007C39F0">
        <w:rPr>
          <w:rFonts w:cs="Times New Roman"/>
          <w:sz w:val="24"/>
          <w:szCs w:val="24"/>
        </w:rPr>
        <w:t xml:space="preserve"> </w:t>
      </w:r>
      <w:r w:rsidR="00F806AF" w:rsidRPr="007C39F0">
        <w:rPr>
          <w:rFonts w:cs="Times New Roman"/>
          <w:sz w:val="24"/>
          <w:szCs w:val="24"/>
        </w:rPr>
        <w:t>reflect systematic change</w:t>
      </w:r>
      <w:r w:rsidR="00AE4B0A" w:rsidRPr="007C39F0">
        <w:rPr>
          <w:rFonts w:cs="Times New Roman"/>
          <w:sz w:val="24"/>
          <w:szCs w:val="24"/>
        </w:rPr>
        <w:t>s</w:t>
      </w:r>
      <w:r w:rsidR="00F806AF" w:rsidRPr="007C39F0">
        <w:rPr>
          <w:rFonts w:cs="Times New Roman"/>
          <w:sz w:val="24"/>
          <w:szCs w:val="24"/>
        </w:rPr>
        <w:t xml:space="preserve"> in the determinants of BMI.</w:t>
      </w:r>
      <w:r w:rsidR="00167F1D" w:rsidRPr="007C39F0">
        <w:rPr>
          <w:rFonts w:cs="Times New Roman"/>
          <w:sz w:val="24"/>
          <w:szCs w:val="24"/>
        </w:rPr>
        <w:t xml:space="preserve"> </w:t>
      </w:r>
      <w:r w:rsidR="00AE4B0A" w:rsidRPr="007C39F0">
        <w:rPr>
          <w:rFonts w:cs="Times New Roman"/>
          <w:sz w:val="24"/>
          <w:szCs w:val="24"/>
        </w:rPr>
        <w:t xml:space="preserve">The </w:t>
      </w:r>
      <w:r w:rsidR="00846FA0">
        <w:rPr>
          <w:rFonts w:cs="Times New Roman"/>
          <w:sz w:val="24"/>
          <w:szCs w:val="24"/>
        </w:rPr>
        <w:t xml:space="preserve">main </w:t>
      </w:r>
      <w:r w:rsidR="00AE4B0A" w:rsidRPr="007C39F0">
        <w:rPr>
          <w:rFonts w:cs="Times New Roman"/>
          <w:sz w:val="24"/>
          <w:szCs w:val="24"/>
        </w:rPr>
        <w:t>underpinning forces</w:t>
      </w:r>
      <w:r w:rsidR="00AE4B0A" w:rsidRPr="007C39F0" w:rsidDel="0010647F">
        <w:rPr>
          <w:rFonts w:cs="Times New Roman"/>
          <w:sz w:val="24"/>
          <w:szCs w:val="24"/>
        </w:rPr>
        <w:t xml:space="preserve"> </w:t>
      </w:r>
      <w:r w:rsidR="0049482B" w:rsidRPr="007C39F0">
        <w:rPr>
          <w:rFonts w:cs="Times New Roman"/>
          <w:sz w:val="24"/>
          <w:szCs w:val="24"/>
        </w:rPr>
        <w:t>seem</w:t>
      </w:r>
      <w:r w:rsidR="00AE4B0A" w:rsidRPr="007C39F0">
        <w:rPr>
          <w:rFonts w:cs="Times New Roman"/>
          <w:sz w:val="24"/>
          <w:szCs w:val="24"/>
        </w:rPr>
        <w:t xml:space="preserve"> to be associated with c</w:t>
      </w:r>
      <w:r w:rsidR="0010647F" w:rsidRPr="007C39F0">
        <w:rPr>
          <w:rFonts w:cs="Times New Roman"/>
          <w:sz w:val="24"/>
          <w:szCs w:val="24"/>
        </w:rPr>
        <w:t xml:space="preserve">hanges </w:t>
      </w:r>
      <w:r w:rsidR="00AE4B0A" w:rsidRPr="007C39F0">
        <w:rPr>
          <w:rFonts w:cs="Times New Roman"/>
          <w:sz w:val="24"/>
          <w:szCs w:val="24"/>
        </w:rPr>
        <w:t>in</w:t>
      </w:r>
      <w:r w:rsidR="0010647F" w:rsidRPr="007C39F0">
        <w:rPr>
          <w:rFonts w:cs="Times New Roman"/>
          <w:sz w:val="24"/>
          <w:szCs w:val="24"/>
        </w:rPr>
        <w:t xml:space="preserve"> the influence</w:t>
      </w:r>
      <w:r w:rsidR="00AE4B0A" w:rsidRPr="007C39F0">
        <w:rPr>
          <w:rFonts w:cs="Times New Roman"/>
          <w:sz w:val="24"/>
          <w:szCs w:val="24"/>
        </w:rPr>
        <w:t>s</w:t>
      </w:r>
      <w:r w:rsidR="0010647F" w:rsidRPr="007C39F0">
        <w:rPr>
          <w:rFonts w:cs="Times New Roman"/>
          <w:sz w:val="24"/>
          <w:szCs w:val="24"/>
        </w:rPr>
        <w:t xml:space="preserve"> of</w:t>
      </w:r>
      <w:r w:rsidR="00582C15" w:rsidRPr="007C39F0">
        <w:rPr>
          <w:rFonts w:cs="Times New Roman"/>
          <w:sz w:val="24"/>
          <w:szCs w:val="24"/>
        </w:rPr>
        <w:t xml:space="preserve"> </w:t>
      </w:r>
      <w:r w:rsidR="005423CE">
        <w:rPr>
          <w:rFonts w:cs="Times New Roman"/>
          <w:sz w:val="24"/>
          <w:szCs w:val="24"/>
        </w:rPr>
        <w:t>race</w:t>
      </w:r>
      <w:r w:rsidR="00D026C5" w:rsidRPr="007C39F0">
        <w:rPr>
          <w:rFonts w:cs="Times New Roman"/>
          <w:sz w:val="24"/>
          <w:szCs w:val="24"/>
        </w:rPr>
        <w:t>, socio</w:t>
      </w:r>
      <w:r w:rsidR="00BA0544" w:rsidRPr="007C39F0">
        <w:rPr>
          <w:rFonts w:cs="Times New Roman"/>
          <w:sz w:val="24"/>
          <w:szCs w:val="24"/>
        </w:rPr>
        <w:t>-economic context</w:t>
      </w:r>
      <w:r w:rsidR="00582C15" w:rsidRPr="007C39F0">
        <w:rPr>
          <w:rFonts w:cs="Times New Roman"/>
          <w:sz w:val="24"/>
          <w:szCs w:val="24"/>
        </w:rPr>
        <w:t xml:space="preserve"> and physical activity</w:t>
      </w:r>
      <w:r w:rsidR="004D1C9F" w:rsidRPr="007C39F0">
        <w:rPr>
          <w:rFonts w:cs="Times New Roman"/>
          <w:sz w:val="24"/>
          <w:szCs w:val="24"/>
        </w:rPr>
        <w:t xml:space="preserve">. </w:t>
      </w:r>
      <w:r w:rsidR="00416DDB">
        <w:rPr>
          <w:rFonts w:cs="Times New Roman"/>
          <w:sz w:val="24"/>
          <w:szCs w:val="24"/>
        </w:rPr>
        <w:t xml:space="preserve">Sex was not important in explaining the widening of the distribution (although was relevant for explaining differences in the </w:t>
      </w:r>
      <w:r w:rsidR="000F0E34">
        <w:rPr>
          <w:rFonts w:cs="Times New Roman"/>
          <w:sz w:val="24"/>
          <w:szCs w:val="24"/>
        </w:rPr>
        <w:t xml:space="preserve">distribution cross-sectionally) </w:t>
      </w:r>
      <w:r w:rsidR="00416DDB">
        <w:rPr>
          <w:rFonts w:cs="Times New Roman"/>
          <w:sz w:val="24"/>
          <w:szCs w:val="24"/>
        </w:rPr>
        <w:t xml:space="preserve">and this follows other studies </w:t>
      </w:r>
      <w:r w:rsidR="00416DDB">
        <w:rPr>
          <w:rFonts w:cs="Times New Roman"/>
          <w:sz w:val="24"/>
          <w:szCs w:val="24"/>
        </w:rPr>
        <w:fldChar w:fldCharType="begin" w:fldLock="1"/>
      </w:r>
      <w:r w:rsidR="000F0E34">
        <w:rPr>
          <w:rFonts w:cs="Times New Roman"/>
          <w:sz w:val="24"/>
          <w:szCs w:val="24"/>
        </w:rPr>
        <w:instrText>ADDIN CSL_CITATION {"citationItems":[{"id":"ITEM-1","itemData":{"DOI":"10.1136/jech-2015-206468","author":[{"dropping-particle":"","family":"Green","given":"M A","non-dropping-particle":"","parse-names":false,"suffix":""},{"dropping-particle":"V","family":"Subramanian","given":"S","non-dropping-particle":"","parse-names":false,"suffix":""},{"dropping-particle":"","family":"Razak","given":"F","non-dropping-particle":"","parse-names":false,"suffix":""}],"container-title":"Journal of Epidemiology &amp; Community Health","id":"ITEM-1","issued":{"date-parts":[["2016"]]},"page":"832-835","title":"Population-level trends in the distribution of body mass index in England, 1992 – 2013","type":"article-journal","volume":"70"},"uris":["http://www.mendeley.com/documents/?uuid=57f0556b-ffe9-4bcc-95d6-1aa5c21c575a"]},{"id":"ITEM-2","itemData":{"DOI":"10.1136/jech-2018-211664","abstract":"Background Brazil is among the 10 countries with the highest prevalence of overweight in the world. The aim was to analyse the changes in the dispersion of body mass index (BMI) in the Brazilian population from the 1970s to 2013 in specific population groups.Methods Data were extracted from five national household surveys between 1974–1975 and 2013, including adults aged 20 to 64. We calculated SD, median, fifth and 95th percentiles of BMI for each sociodemographic category (sex, age, schooling) and survey year in order to explore whether changes in mean BMI are followed by changes in dispersion.Results During the period the mean BMI ranged from 22.7 kg/m2 to 26.6 kg/m2, with a much higher variation in the 95th percentile (+6.1 kg/m2) when compared with the fifth percentile (+1.8 kg/m2). The within-group differences increased over time. The SD increased in all categories analysed and was higher among women, lower schooling groups and the oldest group. An increase of 1.0 kg/m2 in the BMI mean was associated with an increase of 0.32 kg/m2 in the SD, 0.45 kg/m2 in the fifth percentile and 1.50 kg/m2 in the 95th percentile of BMI.Conclusions Population changes occurred in BMI are more complex than the simple increase of its average. Concomitant to the increase in BMI, there was an increase in the within-group differences, showing that growing inequalities are not driven solely by sociodemographic factors.","author":[{"dropping-particle":"","family":"Wagner","given":"Katia Jakovljevic Pudla","non-dropping-particle":"","parse-names":false,"suffix":""},{"dropping-particle":"","family":"Boing","given":"Antonio Fernando","non-dropping-particle":"","parse-names":false,"suffix":""},{"dropping-particle":"","family":"Cembranel","given":"Francieli","non-dropping-particle":"","parse-names":false,"suffix":""},{"dropping-particle":"","family":"Boing","given":"Alexandra Crispim da Silva","non-dropping-particle":"","parse-names":false,"suffix":""},{"dropping-particle":"V","family":"Subramanian","given":"S","non-dropping-particle":"","parse-names":false,"suffix":""}],"container-title":"Journal of Epidemiology and Community Health","id":"ITEM-2","issue":"6","issued":{"date-parts":[["2019","6","1"]]},"page":"544 LP  - 548","title":"Change in the distribution of body mass index in Brazil: analysing the interindividual inequality between 1974 and 2013","type":"article-journal","volume":"73"},"uris":["http://www.mendeley.com/documents/?uuid=869e61a7-0c19-4d82-b622-ceeca7b5bf2b"]}],"mendeley":{"formattedCitation":"(Green et al., 2016; Wagner et al., 2019)","plainTextFormattedCitation":"(Green et al., 2016; Wagner et al., 2019)","previouslyFormattedCitation":"(Green et al., 2016; Wagner et al., 2019)"},"properties":{"noteIndex":0},"schema":"https://github.com/citation-style-language/schema/raw/master/csl-citation.json"}</w:instrText>
      </w:r>
      <w:r w:rsidR="00416DDB">
        <w:rPr>
          <w:rFonts w:cs="Times New Roman"/>
          <w:sz w:val="24"/>
          <w:szCs w:val="24"/>
        </w:rPr>
        <w:fldChar w:fldCharType="separate"/>
      </w:r>
      <w:r w:rsidR="00416DDB" w:rsidRPr="00416DDB">
        <w:rPr>
          <w:rFonts w:cs="Times New Roman"/>
          <w:noProof/>
          <w:sz w:val="24"/>
          <w:szCs w:val="24"/>
        </w:rPr>
        <w:t>(Green et al., 2016; Wagner et al., 2019)</w:t>
      </w:r>
      <w:r w:rsidR="00416DDB">
        <w:rPr>
          <w:rFonts w:cs="Times New Roman"/>
          <w:sz w:val="24"/>
          <w:szCs w:val="24"/>
        </w:rPr>
        <w:fldChar w:fldCharType="end"/>
      </w:r>
      <w:r w:rsidR="00416DDB">
        <w:rPr>
          <w:rFonts w:cs="Times New Roman"/>
          <w:sz w:val="24"/>
          <w:szCs w:val="24"/>
        </w:rPr>
        <w:t xml:space="preserve">. </w:t>
      </w:r>
    </w:p>
    <w:p w14:paraId="4CB1B956" w14:textId="1DA2898C" w:rsidR="00167F1D" w:rsidRPr="007C39F0" w:rsidRDefault="008C2A6D" w:rsidP="00675EB5">
      <w:pPr>
        <w:spacing w:line="480" w:lineRule="auto"/>
        <w:rPr>
          <w:rFonts w:cs="Times New Roman"/>
          <w:sz w:val="24"/>
          <w:szCs w:val="24"/>
        </w:rPr>
      </w:pPr>
      <w:r>
        <w:rPr>
          <w:rFonts w:cs="Times New Roman"/>
          <w:sz w:val="24"/>
          <w:szCs w:val="24"/>
        </w:rPr>
        <w:t xml:space="preserve">The contextual effect of physical activity remained consistent over time, </w:t>
      </w:r>
      <w:r w:rsidR="009D00B9">
        <w:rPr>
          <w:rFonts w:cs="Times New Roman"/>
          <w:sz w:val="24"/>
          <w:szCs w:val="24"/>
        </w:rPr>
        <w:t>suggesting that it remains an important determinant of body weight. The negative association of physical activity</w:t>
      </w:r>
      <w:r w:rsidR="00026B0D">
        <w:rPr>
          <w:rFonts w:cs="Times New Roman"/>
          <w:sz w:val="24"/>
          <w:szCs w:val="24"/>
        </w:rPr>
        <w:t xml:space="preserve"> to BMI grew stronger as we moved towards the right tail of the distribution supporting findings elsewhere </w:t>
      </w:r>
      <w:r w:rsidR="005C071B">
        <w:rPr>
          <w:rFonts w:cs="Times New Roman"/>
          <w:sz w:val="24"/>
          <w:szCs w:val="24"/>
        </w:rPr>
        <w:fldChar w:fldCharType="begin" w:fldLock="1"/>
      </w:r>
      <w:r w:rsidR="005C071B">
        <w:rPr>
          <w:rFonts w:cs="Times New Roman"/>
          <w:sz w:val="24"/>
          <w:szCs w:val="24"/>
        </w:rPr>
        <w:instrText>ADDIN CSL_CITATION {"citationItems":[{"id":"ITEM-1","itemData":{"DOI":"10.1093/ije/dyz245","ISSN":"0300-5771","abstract":"Most epidemiological studies examine how risk factors relate to average difference in outcomes (linear regression) or odds of a binary outcome (logistic regression); they do not explicitly examine whether risk factors are associated differentially across the distribution of the health outcome investigated. This paper documents a phenomenon found repeatedly in the minority of epidemiological studies which do this (via quantile regression): associations between a range of established risk factors and body mass index (BMI) are progressively stronger in the upper ends of the BMI distribution. In this paper, we document this finding and provide illustrative evidence of it in the 1958 British birth cohort study. Associations of low childhood socio-economic position, high maternal weight, low childhood general cognition and adult physical inactivity with higher BMI are larger at the upper end of the BMI distribution, on both absolute and relative scales. For example, effect estimates for socio-economic position and childhood cognition were around three times larger at the 90th compared with 10th quantile, while effect estimates for physical inactivity were increasingly larger from the 50th to 90th quantiles, yet null at lower quantiles. We provide potential explanations for these findings and discuss implications. Risk factors may have larger causal effects among those in worse health, and these effects may not be discovered when health is only examined in average terms. In such scenarios, population-based approaches to intervention may have larger benefits than anticipated when assuming equivalent benefit across the population. Further research is needed to understand why effect estimates differ across the BMI outcome distribution and to investigate whether differential effects exist for other physical and mental health outcomes.","author":[{"dropping-particle":"","family":"Bann","given":"David","non-dropping-particle":"","parse-names":false,"suffix":""},{"dropping-particle":"","family":"Fitzsimons","given":"Emla","non-dropping-particle":"","parse-names":false,"suffix":""},{"dropping-particle":"","family":"Johnson","given":"William","non-dropping-particle":"","parse-names":false,"suffix":""}],"container-title":"International Journal of Epidemiology","id":"ITEM-1","issued":{"date-parts":[["2020","1","13"]]},"title":"Determinants of the population health distribution: an illustration examining body mass index","type":"article-journal"},"uris":["http://www.mendeley.com/documents/?uuid=948613d2-75af-47dd-b142-101a8a275941"]},{"id":"ITEM-2","itemData":{"DOI":"10.1002/oby.20618","author":[{"dropping-particle":"","family":"Bottai","given":"Matteo","non-dropping-particle":"","parse-names":false,"suffix":""},{"dropping-particle":"","family":"Frongillo","given":"Edward A","non-dropping-particle":"","parse-names":false,"suffix":""},{"dropping-particle":"","family":"Sui","given":"Xuemei","non-dropping-particle":"","parse-names":false,"suffix":""},{"dropping-particle":"","family":"Neill","given":"Jennifer R O","non-dropping-particle":"","parse-names":false,"suffix":""},{"dropping-particle":"","family":"Mckeown","given":"Robert E","non-dropping-particle":"","parse-names":false,"suffix":""},{"dropping-particle":"","family":"Burns","given":"Trudy L","non-dropping-particle":"","parse-names":false,"suffix":""},{"dropping-particle":"","family":"Liese","given":"Angela D","non-dropping-particle":"","parse-names":false,"suffix":""},{"dropping-particle":"","family":"Blair","given":"Steven N","non-dropping-particle":"","parse-names":false,"suffix":""},{"dropping-particle":"","family":"Pate","given":"Russell R","non-dropping-particle":"","parse-names":false,"suffix":""}],"container-title":"Obesity","id":"ITEM-2","issue":"5","issued":{"date-parts":[["2014"]]},"page":"149-156","title":"Use of Quantile Regression to Investigate the Longitudinal Association between Physical Activity and Body Mass Index","type":"article-journal","volume":"22"},"uris":["http://www.mendeley.com/documents/?uuid=c2d2d888-dce7-478e-92b0-4b0ef0f6024c"]},{"id":"ITEM-3","itemData":{"DOI":"10.1186/s12889-015-1606-8","author":[{"dropping-particle":"","family":"Ouyang","given":"Yifei","non-dropping-particle":"","parse-names":false,"suffix":""},{"dropping-particle":"","family":"Wang","given":"Huijun","non-dropping-particle":"","parse-names":false,"suffix":""},{"dropping-particle":"","family":"Su","given":"Chang","non-dropping-particle":"","parse-names":false,"suffix":""},{"dropping-particle":"","family":"Wang","given":"Zhihong","non-dropping-particle":"","parse-names":false,"suffix":""},{"dropping-particle":"","family":"Song","given":"Yiqi","non-dropping-particle":"","parse-names":false,"suffix":""},{"dropping-particle":"","family":"Xiao","given":"Yingting","non-dropping-particle":"","parse-names":false,"suffix":""},{"dropping-particle":"","family":"Du","given":"Wenwen","non-dropping-particle":"","parse-names":false,"suffix":""},{"dropping-particle":"","family":"Zhang","given":"Bing","non-dropping-particle":"","parse-names":false,"suffix":""}],"container-title":"BMC Public Health","id":"ITEM-3","issued":{"date-parts":[["2015"]]},"page":"278","title":"Use of quantile regression to investigate changes in the body mass index distribution of Chinese adults aged 18 – 60 years: a longitudinal study","type":"article-journal","volume":"15"},"uris":["http://www.mendeley.com/documents/?uuid=0cf0d779-ec47-4c0c-b389-11352c8b0beb"]}],"mendeley":{"formattedCitation":"(Bann et al., 2020; Bottai et al., 2014; Ouyang et al., 2015)","plainTextFormattedCitation":"(Bann et al., 2020; Bottai et al., 2014; Ouyang et al., 2015)","previouslyFormattedCitation":"(Bann et al., 2020; Bottai et al., 2014; Ouyang et al., 2015)"},"properties":{"noteIndex":0},"schema":"https://github.com/citation-style-language/schema/raw/master/csl-citation.json"}</w:instrText>
      </w:r>
      <w:r w:rsidR="005C071B">
        <w:rPr>
          <w:rFonts w:cs="Times New Roman"/>
          <w:sz w:val="24"/>
          <w:szCs w:val="24"/>
        </w:rPr>
        <w:fldChar w:fldCharType="separate"/>
      </w:r>
      <w:r w:rsidR="005C071B" w:rsidRPr="005C071B">
        <w:rPr>
          <w:rFonts w:cs="Times New Roman"/>
          <w:noProof/>
          <w:sz w:val="24"/>
          <w:szCs w:val="24"/>
        </w:rPr>
        <w:t>(Bann et al., 2020; Bottai et al., 2014; Ouyang et al., 2015)</w:t>
      </w:r>
      <w:r w:rsidR="005C071B">
        <w:rPr>
          <w:rFonts w:cs="Times New Roman"/>
          <w:sz w:val="24"/>
          <w:szCs w:val="24"/>
        </w:rPr>
        <w:fldChar w:fldCharType="end"/>
      </w:r>
      <w:r w:rsidR="003D5EFE">
        <w:rPr>
          <w:rFonts w:cs="Times New Roman"/>
          <w:sz w:val="24"/>
          <w:szCs w:val="24"/>
        </w:rPr>
        <w:t>.</w:t>
      </w:r>
      <w:r w:rsidR="00026B0D">
        <w:rPr>
          <w:rFonts w:cs="Times New Roman"/>
          <w:sz w:val="24"/>
          <w:szCs w:val="24"/>
        </w:rPr>
        <w:t xml:space="preserve"> Individuals at the 90</w:t>
      </w:r>
      <w:r w:rsidR="00026B0D" w:rsidRPr="002759E1">
        <w:rPr>
          <w:rFonts w:cs="Times New Roman"/>
          <w:sz w:val="24"/>
          <w:szCs w:val="24"/>
          <w:vertAlign w:val="superscript"/>
        </w:rPr>
        <w:t>th</w:t>
      </w:r>
      <w:r w:rsidR="00026B0D">
        <w:rPr>
          <w:rFonts w:cs="Times New Roman"/>
          <w:sz w:val="24"/>
          <w:szCs w:val="24"/>
        </w:rPr>
        <w:t xml:space="preserve"> percentile who met government physical activity guidelines were associated with an average BMI of 2.815 units lower in 2012-14 than compared to those who did not. C</w:t>
      </w:r>
      <w:r>
        <w:rPr>
          <w:rFonts w:cs="Times New Roman"/>
          <w:sz w:val="24"/>
          <w:szCs w:val="24"/>
        </w:rPr>
        <w:t>ompositional changes</w:t>
      </w:r>
      <w:r w:rsidR="00026B0D">
        <w:rPr>
          <w:rFonts w:cs="Times New Roman"/>
          <w:sz w:val="24"/>
          <w:szCs w:val="24"/>
        </w:rPr>
        <w:t>, observed as increases in physical activity levels over time,</w:t>
      </w:r>
      <w:r>
        <w:rPr>
          <w:rFonts w:cs="Times New Roman"/>
          <w:sz w:val="24"/>
          <w:szCs w:val="24"/>
        </w:rPr>
        <w:t xml:space="preserve"> led to a narrowing of the distribution</w:t>
      </w:r>
      <w:r w:rsidR="00026B0D">
        <w:rPr>
          <w:rFonts w:cs="Times New Roman"/>
          <w:sz w:val="24"/>
          <w:szCs w:val="24"/>
        </w:rPr>
        <w:t xml:space="preserve"> through reducing the value of BMI at the 90</w:t>
      </w:r>
      <w:r w:rsidR="00026B0D" w:rsidRPr="002759E1">
        <w:rPr>
          <w:rFonts w:cs="Times New Roman"/>
          <w:sz w:val="24"/>
          <w:szCs w:val="24"/>
          <w:vertAlign w:val="superscript"/>
        </w:rPr>
        <w:t>th</w:t>
      </w:r>
      <w:r w:rsidR="00026B0D">
        <w:rPr>
          <w:rFonts w:cs="Times New Roman"/>
          <w:sz w:val="24"/>
          <w:szCs w:val="24"/>
        </w:rPr>
        <w:t xml:space="preserve"> percentile. These trends support the assertion that increasing physical activity levels represents an important policy </w:t>
      </w:r>
      <w:r w:rsidR="00344C26">
        <w:rPr>
          <w:rFonts w:cs="Times New Roman"/>
          <w:sz w:val="24"/>
          <w:szCs w:val="24"/>
        </w:rPr>
        <w:t>strategy for tackling excess body weight</w:t>
      </w:r>
      <w:r w:rsidR="00026B0D">
        <w:rPr>
          <w:rFonts w:cs="Times New Roman"/>
          <w:sz w:val="24"/>
          <w:szCs w:val="24"/>
        </w:rPr>
        <w:t xml:space="preserve"> </w:t>
      </w:r>
      <w:r w:rsidR="005C071B">
        <w:rPr>
          <w:rFonts w:cs="Times New Roman"/>
          <w:sz w:val="24"/>
          <w:szCs w:val="24"/>
        </w:rPr>
        <w:fldChar w:fldCharType="begin" w:fldLock="1"/>
      </w:r>
      <w:r w:rsidR="005C071B">
        <w:rPr>
          <w:rFonts w:cs="Times New Roman"/>
          <w:sz w:val="24"/>
          <w:szCs w:val="24"/>
        </w:rPr>
        <w:instrText>ADDIN CSL_CITATION {"citationItems":[{"id":"ITEM-1","itemData":{"URL":"https://digital.nhs.uk/data-and-information/publications/statistical/statistics-on-obesity-physical-activity-and-diet/statistics-on-obesity-physical-activity-and-diet-england-2019","author":[{"dropping-particle":"","family":"NHS","given":"","non-dropping-particle":"","parse-names":false,"suffix":""}],"id":"ITEM-1","issued":{"date-parts":[["2019"]]},"title":"Statistics on Obesity, Physical Activity and Diet, England, 2019","type":"webpage"},"uris":["http://www.mendeley.com/documents/?uuid=6a75a8c1-f673-4518-b312-f4df12107e66"]}],"mendeley":{"formattedCitation":"(NHS, 2019)","plainTextFormattedCitation":"(NHS, 2019)"},"properties":{"noteIndex":0},"schema":"https://github.com/citation-style-language/schema/raw/master/csl-citation.json"}</w:instrText>
      </w:r>
      <w:r w:rsidR="005C071B">
        <w:rPr>
          <w:rFonts w:cs="Times New Roman"/>
          <w:sz w:val="24"/>
          <w:szCs w:val="24"/>
        </w:rPr>
        <w:fldChar w:fldCharType="separate"/>
      </w:r>
      <w:r w:rsidR="005C071B" w:rsidRPr="005C071B">
        <w:rPr>
          <w:rFonts w:cs="Times New Roman"/>
          <w:noProof/>
          <w:sz w:val="24"/>
          <w:szCs w:val="24"/>
        </w:rPr>
        <w:t>(NHS, 2019)</w:t>
      </w:r>
      <w:r w:rsidR="005C071B">
        <w:rPr>
          <w:rFonts w:cs="Times New Roman"/>
          <w:sz w:val="24"/>
          <w:szCs w:val="24"/>
        </w:rPr>
        <w:fldChar w:fldCharType="end"/>
      </w:r>
      <w:r w:rsidR="005C071B">
        <w:rPr>
          <w:rFonts w:cs="Times New Roman"/>
          <w:sz w:val="24"/>
          <w:szCs w:val="24"/>
        </w:rPr>
        <w:t>.</w:t>
      </w:r>
      <w:r>
        <w:rPr>
          <w:rFonts w:cs="Times New Roman"/>
          <w:sz w:val="24"/>
          <w:szCs w:val="24"/>
        </w:rPr>
        <w:t xml:space="preserve"> </w:t>
      </w:r>
      <w:r w:rsidR="008833B2">
        <w:rPr>
          <w:rFonts w:cs="Times New Roman"/>
          <w:sz w:val="24"/>
          <w:szCs w:val="24"/>
        </w:rPr>
        <w:t>While o</w:t>
      </w:r>
      <w:r w:rsidR="00666199" w:rsidRPr="007C39F0">
        <w:rPr>
          <w:rFonts w:cs="Times New Roman"/>
          <w:sz w:val="24"/>
          <w:szCs w:val="24"/>
        </w:rPr>
        <w:t>ur</w:t>
      </w:r>
      <w:r w:rsidR="00487B59" w:rsidRPr="007C39F0">
        <w:rPr>
          <w:rFonts w:cs="Times New Roman"/>
          <w:sz w:val="24"/>
          <w:szCs w:val="24"/>
        </w:rPr>
        <w:t xml:space="preserve"> findings should be</w:t>
      </w:r>
      <w:r w:rsidR="008833B2">
        <w:rPr>
          <w:rFonts w:cs="Times New Roman"/>
          <w:sz w:val="24"/>
          <w:szCs w:val="24"/>
        </w:rPr>
        <w:t xml:space="preserve"> </w:t>
      </w:r>
      <w:r w:rsidR="00487B59" w:rsidRPr="007C39F0">
        <w:rPr>
          <w:rFonts w:cs="Times New Roman"/>
          <w:sz w:val="24"/>
          <w:szCs w:val="24"/>
        </w:rPr>
        <w:t>interpreted carefully given the simplicity of our physical activity variable</w:t>
      </w:r>
      <w:r w:rsidR="008833B2">
        <w:rPr>
          <w:rFonts w:cs="Times New Roman"/>
          <w:sz w:val="24"/>
          <w:szCs w:val="24"/>
        </w:rPr>
        <w:t xml:space="preserve">, they do follow similar findings elsewhere </w:t>
      </w:r>
      <w:r w:rsidR="008833B2">
        <w:rPr>
          <w:rFonts w:cs="Times New Roman"/>
          <w:sz w:val="24"/>
          <w:szCs w:val="24"/>
        </w:rPr>
        <w:fldChar w:fldCharType="begin" w:fldLock="1"/>
      </w:r>
      <w:r w:rsidR="003F08EF">
        <w:rPr>
          <w:rFonts w:cs="Times New Roman"/>
          <w:sz w:val="24"/>
          <w:szCs w:val="24"/>
        </w:rPr>
        <w:instrText>ADDIN CSL_CITATION {"citationItems":[{"id":"ITEM-1","itemData":{"DOI":"10.1093/ije/dyz245","ISSN":"0300-5771","abstract":"Most epidemiological studies examine how risk factors relate to average difference in outcomes (linear regression) or odds of a binary outcome (logistic regression); they do not explicitly examine whether risk factors are associated differentially across the distribution of the health outcome investigated. This paper documents a phenomenon found repeatedly in the minority of epidemiological studies which do this (via quantile regression): associations between a range of established risk factors and body mass index (BMI) are progressively stronger in the upper ends of the BMI distribution. In this paper, we document this finding and provide illustrative evidence of it in the 1958 British birth cohort study. Associations of low childhood socio-economic position, high maternal weight, low childhood general cognition and adult physical inactivity with higher BMI are larger at the upper end of the BMI distribution, on both absolute and relative scales. For example, effect estimates for socio-economic position and childhood cognition were around three times larger at the 90th compared with 10th quantile, while effect estimates for physical inactivity were increasingly larger from the 50th to 90th quantiles, yet null at lower quantiles. We provide potential explanations for these findings and discuss implications. Risk factors may have larger causal effects among those in worse health, and these effects may not be discovered when health is only examined in average terms. In such scenarios, population-based approaches to intervention may have larger benefits than anticipated when assuming equivalent benefit across the population. Further research is needed to understand why effect estimates differ across the BMI outcome distribution and to investigate whether differential effects exist for other physical and mental health outcomes.","author":[{"dropping-particle":"","family":"Bann","given":"David","non-dropping-particle":"","parse-names":false,"suffix":""},{"dropping-particle":"","family":"Fitzsimons","given":"Emla","non-dropping-particle":"","parse-names":false,"suffix":""},{"dropping-particle":"","family":"Johnson","given":"William","non-dropping-particle":"","parse-names":false,"suffix":""}],"container-title":"International Journal of Epidemiology","id":"ITEM-1","issued":{"date-parts":[["2020","1","13"]]},"title":"Determinants of the population health distribution: an illustration examining body mass index","type":"article-journal"},"uris":["http://www.mendeley.com/documents/?uuid=948613d2-75af-47dd-b142-101a8a275941"]}],"mendeley":{"formattedCitation":"(Bann et al., 2020)","plainTextFormattedCitation":"(Bann et al., 2020)","previouslyFormattedCitation":"(Bann et al., 2020)"},"properties":{"noteIndex":0},"schema":"https://github.com/citation-style-language/schema/raw/master/csl-citation.json"}</w:instrText>
      </w:r>
      <w:r w:rsidR="008833B2">
        <w:rPr>
          <w:rFonts w:cs="Times New Roman"/>
          <w:sz w:val="24"/>
          <w:szCs w:val="24"/>
        </w:rPr>
        <w:fldChar w:fldCharType="separate"/>
      </w:r>
      <w:r w:rsidR="003F08EF" w:rsidRPr="003F08EF">
        <w:rPr>
          <w:rFonts w:cs="Times New Roman"/>
          <w:noProof/>
          <w:sz w:val="24"/>
          <w:szCs w:val="24"/>
        </w:rPr>
        <w:t>(Bann et al., 2020)</w:t>
      </w:r>
      <w:r w:rsidR="008833B2">
        <w:rPr>
          <w:rFonts w:cs="Times New Roman"/>
          <w:sz w:val="24"/>
          <w:szCs w:val="24"/>
        </w:rPr>
        <w:fldChar w:fldCharType="end"/>
      </w:r>
      <w:r w:rsidR="008833B2">
        <w:rPr>
          <w:rFonts w:cs="Times New Roman"/>
          <w:sz w:val="24"/>
          <w:szCs w:val="24"/>
        </w:rPr>
        <w:t>.</w:t>
      </w:r>
    </w:p>
    <w:p w14:paraId="3AF2B1A7" w14:textId="08C004E9" w:rsidR="004D1C9F" w:rsidRPr="007C39F0" w:rsidRDefault="004D1C9F" w:rsidP="00675EB5">
      <w:pPr>
        <w:spacing w:line="480" w:lineRule="auto"/>
        <w:rPr>
          <w:rFonts w:cs="Times New Roman"/>
          <w:sz w:val="24"/>
          <w:szCs w:val="24"/>
        </w:rPr>
      </w:pPr>
      <w:r w:rsidRPr="007C39F0">
        <w:rPr>
          <w:rFonts w:cs="Times New Roman"/>
          <w:sz w:val="24"/>
          <w:szCs w:val="24"/>
        </w:rPr>
        <w:t xml:space="preserve">The negative compositional associations for </w:t>
      </w:r>
      <w:r w:rsidR="00C83479" w:rsidRPr="007C39F0">
        <w:rPr>
          <w:rFonts w:cs="Times New Roman"/>
          <w:sz w:val="24"/>
          <w:szCs w:val="24"/>
        </w:rPr>
        <w:t>s</w:t>
      </w:r>
      <w:r w:rsidRPr="007C39F0">
        <w:rPr>
          <w:rFonts w:cs="Times New Roman"/>
          <w:sz w:val="24"/>
          <w:szCs w:val="24"/>
        </w:rPr>
        <w:t xml:space="preserve">ocio-economic context indicate that the decline in the share of socially disadvantaged populations </w:t>
      </w:r>
      <w:r w:rsidR="00BA0544" w:rsidRPr="007C39F0">
        <w:rPr>
          <w:rFonts w:cs="Times New Roman"/>
          <w:sz w:val="24"/>
          <w:szCs w:val="24"/>
        </w:rPr>
        <w:t>at the 90</w:t>
      </w:r>
      <w:r w:rsidR="00BA0544" w:rsidRPr="007C39F0">
        <w:rPr>
          <w:rFonts w:cs="Times New Roman"/>
          <w:sz w:val="24"/>
          <w:szCs w:val="24"/>
          <w:vertAlign w:val="superscript"/>
        </w:rPr>
        <w:t>th</w:t>
      </w:r>
      <w:r w:rsidR="00BA0544" w:rsidRPr="007C39F0">
        <w:rPr>
          <w:rFonts w:cs="Times New Roman"/>
          <w:sz w:val="24"/>
          <w:szCs w:val="24"/>
        </w:rPr>
        <w:t xml:space="preserve"> percentile </w:t>
      </w:r>
      <w:r w:rsidRPr="007C39F0">
        <w:rPr>
          <w:rFonts w:cs="Times New Roman"/>
          <w:sz w:val="24"/>
          <w:szCs w:val="24"/>
        </w:rPr>
        <w:t xml:space="preserve">resulted in a reduction </w:t>
      </w:r>
      <w:r w:rsidR="00BA0544" w:rsidRPr="007C39F0">
        <w:rPr>
          <w:rFonts w:cs="Times New Roman"/>
          <w:sz w:val="24"/>
          <w:szCs w:val="24"/>
        </w:rPr>
        <w:t xml:space="preserve">of BMI </w:t>
      </w:r>
      <w:r w:rsidRPr="007C39F0">
        <w:rPr>
          <w:rFonts w:cs="Times New Roman"/>
          <w:sz w:val="24"/>
          <w:szCs w:val="24"/>
        </w:rPr>
        <w:t>at the 90</w:t>
      </w:r>
      <w:r w:rsidRPr="007C39F0">
        <w:rPr>
          <w:rFonts w:cs="Times New Roman"/>
          <w:sz w:val="24"/>
          <w:szCs w:val="24"/>
          <w:vertAlign w:val="superscript"/>
        </w:rPr>
        <w:t>th</w:t>
      </w:r>
      <w:r w:rsidRPr="007C39F0">
        <w:rPr>
          <w:rFonts w:cs="Times New Roman"/>
          <w:sz w:val="24"/>
          <w:szCs w:val="24"/>
        </w:rPr>
        <w:t xml:space="preserve"> percentile. This implies that the widening in the BMI distribution would have been greater in absence of changes in population composition</w:t>
      </w:r>
      <w:r w:rsidR="00BA0544" w:rsidRPr="007C39F0">
        <w:rPr>
          <w:rFonts w:cs="Times New Roman"/>
          <w:sz w:val="24"/>
          <w:szCs w:val="24"/>
        </w:rPr>
        <w:t xml:space="preserve"> in socio-economic context</w:t>
      </w:r>
      <w:r w:rsidRPr="007C39F0">
        <w:rPr>
          <w:rFonts w:cs="Times New Roman"/>
          <w:sz w:val="24"/>
          <w:szCs w:val="24"/>
        </w:rPr>
        <w:t xml:space="preserve">, offsetting the widening effect of differences in coefficients. </w:t>
      </w:r>
      <w:r w:rsidR="00880475" w:rsidRPr="007C39F0">
        <w:rPr>
          <w:rFonts w:cs="Times New Roman"/>
          <w:sz w:val="24"/>
          <w:szCs w:val="24"/>
        </w:rPr>
        <w:t xml:space="preserve">It implies a complex </w:t>
      </w:r>
      <w:r w:rsidR="00880475" w:rsidRPr="007C39F0">
        <w:rPr>
          <w:rFonts w:cs="Times New Roman"/>
          <w:sz w:val="24"/>
          <w:szCs w:val="24"/>
        </w:rPr>
        <w:lastRenderedPageBreak/>
        <w:t>picture whereby inequalities may have narrowed due to fewer individuals of low</w:t>
      </w:r>
      <w:r w:rsidR="00DB3664">
        <w:rPr>
          <w:rFonts w:cs="Times New Roman"/>
          <w:sz w:val="24"/>
          <w:szCs w:val="24"/>
        </w:rPr>
        <w:t>er</w:t>
      </w:r>
      <w:r w:rsidR="00880475" w:rsidRPr="007C39F0">
        <w:rPr>
          <w:rFonts w:cs="Times New Roman"/>
          <w:sz w:val="24"/>
          <w:szCs w:val="24"/>
        </w:rPr>
        <w:t xml:space="preserve"> socio-economic status</w:t>
      </w:r>
      <w:r w:rsidR="00DB3664">
        <w:rPr>
          <w:rFonts w:cs="Times New Roman"/>
          <w:sz w:val="24"/>
          <w:szCs w:val="24"/>
        </w:rPr>
        <w:t xml:space="preserve"> at the 90</w:t>
      </w:r>
      <w:r w:rsidR="00DB3664" w:rsidRPr="00D747C6">
        <w:rPr>
          <w:rFonts w:cs="Times New Roman"/>
          <w:sz w:val="24"/>
          <w:szCs w:val="24"/>
          <w:vertAlign w:val="superscript"/>
        </w:rPr>
        <w:t>th</w:t>
      </w:r>
      <w:r w:rsidR="00DB3664">
        <w:rPr>
          <w:rFonts w:cs="Times New Roman"/>
          <w:sz w:val="24"/>
          <w:szCs w:val="24"/>
        </w:rPr>
        <w:t xml:space="preserve"> percentile of the BMI distribution</w:t>
      </w:r>
      <w:r w:rsidR="00880475" w:rsidRPr="007C39F0">
        <w:rPr>
          <w:rFonts w:cs="Times New Roman"/>
          <w:sz w:val="24"/>
          <w:szCs w:val="24"/>
        </w:rPr>
        <w:t xml:space="preserve">, </w:t>
      </w:r>
      <w:r w:rsidR="00DB3664">
        <w:rPr>
          <w:rFonts w:cs="Times New Roman"/>
          <w:sz w:val="24"/>
          <w:szCs w:val="24"/>
        </w:rPr>
        <w:t>yet</w:t>
      </w:r>
      <w:r w:rsidR="00DB3664" w:rsidRPr="007C39F0">
        <w:rPr>
          <w:rFonts w:cs="Times New Roman"/>
          <w:sz w:val="24"/>
          <w:szCs w:val="24"/>
        </w:rPr>
        <w:t xml:space="preserve"> </w:t>
      </w:r>
      <w:r w:rsidR="00880475" w:rsidRPr="007C39F0">
        <w:rPr>
          <w:rFonts w:cs="Times New Roman"/>
          <w:sz w:val="24"/>
          <w:szCs w:val="24"/>
        </w:rPr>
        <w:t>socio-economic status remains important for understanding differences in BMI among the population at the 90</w:t>
      </w:r>
      <w:r w:rsidR="00880475" w:rsidRPr="007C39F0">
        <w:rPr>
          <w:rFonts w:cs="Times New Roman"/>
          <w:sz w:val="24"/>
          <w:szCs w:val="24"/>
          <w:vertAlign w:val="superscript"/>
        </w:rPr>
        <w:t>th</w:t>
      </w:r>
      <w:r w:rsidR="00880475" w:rsidRPr="007C39F0">
        <w:rPr>
          <w:rFonts w:cs="Times New Roman"/>
          <w:sz w:val="24"/>
          <w:szCs w:val="24"/>
        </w:rPr>
        <w:t xml:space="preserve"> percentile given the distinct social gradient observed for coefficients in 2012-</w:t>
      </w:r>
      <w:r w:rsidR="0030108C">
        <w:rPr>
          <w:rFonts w:cs="Times New Roman"/>
          <w:sz w:val="24"/>
          <w:szCs w:val="24"/>
        </w:rPr>
        <w:t>1</w:t>
      </w:r>
      <w:r w:rsidR="00880475" w:rsidRPr="007C39F0">
        <w:rPr>
          <w:rFonts w:cs="Times New Roman"/>
          <w:sz w:val="24"/>
          <w:szCs w:val="24"/>
        </w:rPr>
        <w:t>4. Greater investigation for the reasons behind these social inequalities is therefore paramount, especially given the notable and persistent inequalities in body weight and their health-related outcomes</w:t>
      </w:r>
      <w:r w:rsidR="00976980">
        <w:rPr>
          <w:rFonts w:cs="Times New Roman"/>
          <w:sz w:val="24"/>
          <w:szCs w:val="24"/>
        </w:rPr>
        <w:t xml:space="preserve"> </w:t>
      </w:r>
      <w:r w:rsidRPr="007C39F0">
        <w:rPr>
          <w:rFonts w:cs="Times New Roman"/>
          <w:sz w:val="24"/>
          <w:szCs w:val="24"/>
        </w:rPr>
        <w:fldChar w:fldCharType="begin" w:fldLock="1"/>
      </w:r>
      <w:r w:rsidR="000777BB">
        <w:rPr>
          <w:rFonts w:cs="Times New Roman"/>
          <w:sz w:val="24"/>
          <w:szCs w:val="24"/>
        </w:rPr>
        <w:instrText>ADDIN CSL_CITATION {"citationItems":[{"id":"ITEM-1","itemData":{"DOI":"10.1136/jech-2015-206468","author":[{"dropping-particle":"","family":"Green","given":"M A","non-dropping-particle":"","parse-names":false,"suffix":""},{"dropping-particle":"V","family":"Subramanian","given":"S","non-dropping-particle":"","parse-names":false,"suffix":""},{"dropping-particle":"","family":"Razak","given":"F","non-dropping-particle":"","parse-names":false,"suffix":""}],"container-title":"Journal of Epidemiology &amp; Community Health","id":"ITEM-1","issued":{"date-parts":[["2016"]]},"page":"832-835","title":"Population-level trends in the distribution of body mass index in England, 1992 – 2013","type":"article-journal","volume":"70"},"uris":["http://www.mendeley.com/documents/?uuid=57f0556b-ffe9-4bcc-95d6-1aa5c21c575a","http://www.mendeley.com/documents/?uuid=d3dc1a55-29bf-478b-a91e-426b600b76a0"]},{"id":"ITEM-2","itemData":{"author":[{"dropping-particle":"","family":"Norris","given":"Tom","non-dropping-particle":"","parse-names":false,"suffix":""},{"dropping-particle":"","family":"Bann","given":"David","non-dropping-particle":"","parse-names":false,"suffix":""},{"dropping-particle":"","family":"Hardy","given":"Rebecca","non-dropping-particle":"","parse-names":false,"suffix":""},{"dropping-particle":"","family":"Johnson","given":"William","non-dropping-particle":"","parse-names":false,"suffix":""}],"container-title":"International Journal of Obesity","id":"ITEM-2","issued":{"date-parts":[["2020"]]},"page":"388-398","title":"Socioeconomic inequalities in childhood-to-adulthood BMI tracking in three British birth cohorts","type":"article-journal","volume":"44"},"uris":["http://www.mendeley.com/documents/?uuid=fce05524-6aac-4812-9491-90c1648ef777"]}],"mendeley":{"formattedCitation":"(Green et al., 2016; Norris et al., 2020)","plainTextFormattedCitation":"(Green et al., 2016; Norris et al., 2020)","previouslyFormattedCitation":"(Green et al., 2016; Norris et al., 2020)"},"properties":{"noteIndex":0},"schema":"https://github.com/citation-style-language/schema/raw/master/csl-citation.json"}</w:instrText>
      </w:r>
      <w:r w:rsidRPr="007C39F0">
        <w:rPr>
          <w:rFonts w:cs="Times New Roman"/>
          <w:sz w:val="24"/>
          <w:szCs w:val="24"/>
        </w:rPr>
        <w:fldChar w:fldCharType="separate"/>
      </w:r>
      <w:r w:rsidR="008152A8" w:rsidRPr="008152A8">
        <w:rPr>
          <w:rFonts w:cs="Times New Roman"/>
          <w:noProof/>
          <w:sz w:val="24"/>
          <w:szCs w:val="24"/>
        </w:rPr>
        <w:t>(Green et al., 2016; Norris et al., 2020)</w:t>
      </w:r>
      <w:r w:rsidRPr="007C39F0">
        <w:rPr>
          <w:rFonts w:cs="Times New Roman"/>
          <w:sz w:val="24"/>
          <w:szCs w:val="24"/>
        </w:rPr>
        <w:fldChar w:fldCharType="end"/>
      </w:r>
      <w:r w:rsidR="00976980">
        <w:rPr>
          <w:rFonts w:cs="Times New Roman"/>
          <w:sz w:val="24"/>
          <w:szCs w:val="24"/>
        </w:rPr>
        <w:t>.</w:t>
      </w:r>
      <w:r w:rsidRPr="007C39F0">
        <w:rPr>
          <w:rFonts w:cs="Times New Roman"/>
          <w:sz w:val="24"/>
          <w:szCs w:val="24"/>
        </w:rPr>
        <w:t xml:space="preserve"> </w:t>
      </w:r>
    </w:p>
    <w:p w14:paraId="0B962D23" w14:textId="55484C83" w:rsidR="0076564E" w:rsidRPr="007C39F0" w:rsidRDefault="00CB42DC" w:rsidP="00675EB5">
      <w:pPr>
        <w:spacing w:line="480" w:lineRule="auto"/>
        <w:rPr>
          <w:rFonts w:cs="Times New Roman"/>
          <w:sz w:val="24"/>
          <w:szCs w:val="24"/>
        </w:rPr>
      </w:pPr>
      <w:r w:rsidRPr="007C39F0">
        <w:rPr>
          <w:rFonts w:cs="Times New Roman"/>
          <w:sz w:val="24"/>
          <w:szCs w:val="24"/>
        </w:rPr>
        <w:t>Our results also demonstrate that demographic, social and behavioural predictors of BMI</w:t>
      </w:r>
      <w:r w:rsidR="00CB7CE3" w:rsidRPr="007C39F0">
        <w:rPr>
          <w:rFonts w:cs="Times New Roman"/>
          <w:sz w:val="24"/>
          <w:szCs w:val="24"/>
        </w:rPr>
        <w:t xml:space="preserve"> </w:t>
      </w:r>
      <w:r w:rsidRPr="007C39F0">
        <w:rPr>
          <w:rFonts w:cs="Times New Roman"/>
          <w:sz w:val="24"/>
          <w:szCs w:val="24"/>
        </w:rPr>
        <w:t>are</w:t>
      </w:r>
      <w:r w:rsidR="0076564E" w:rsidRPr="007C39F0">
        <w:rPr>
          <w:rFonts w:cs="Times New Roman"/>
          <w:sz w:val="24"/>
          <w:szCs w:val="24"/>
        </w:rPr>
        <w:t xml:space="preserve"> </w:t>
      </w:r>
      <w:r w:rsidR="00653A7B" w:rsidRPr="007C39F0">
        <w:rPr>
          <w:rFonts w:cs="Times New Roman"/>
          <w:sz w:val="24"/>
          <w:szCs w:val="24"/>
        </w:rPr>
        <w:t xml:space="preserve">not stable </w:t>
      </w:r>
      <w:r w:rsidR="00CB7CE3" w:rsidRPr="007C39F0">
        <w:rPr>
          <w:rFonts w:cs="Times New Roman"/>
          <w:sz w:val="24"/>
          <w:szCs w:val="24"/>
        </w:rPr>
        <w:t xml:space="preserve">in their associations </w:t>
      </w:r>
      <w:r w:rsidR="00653A7B" w:rsidRPr="007C39F0">
        <w:rPr>
          <w:rFonts w:cs="Times New Roman"/>
          <w:sz w:val="24"/>
          <w:szCs w:val="24"/>
        </w:rPr>
        <w:t xml:space="preserve">across the BMI distribution. </w:t>
      </w:r>
      <w:r w:rsidR="00C363B5" w:rsidRPr="007C39F0">
        <w:rPr>
          <w:rFonts w:cs="Times New Roman"/>
          <w:sz w:val="24"/>
          <w:szCs w:val="24"/>
        </w:rPr>
        <w:t xml:space="preserve">While exploring how predictors of BMI vary across its </w:t>
      </w:r>
      <w:r w:rsidR="00976980">
        <w:rPr>
          <w:rFonts w:cs="Times New Roman"/>
          <w:sz w:val="24"/>
          <w:szCs w:val="24"/>
        </w:rPr>
        <w:t xml:space="preserve">distribution is nothing new </w:t>
      </w:r>
      <w:r w:rsidR="00073080" w:rsidRPr="007C39F0">
        <w:rPr>
          <w:rFonts w:cs="Times New Roman"/>
          <w:sz w:val="24"/>
          <w:szCs w:val="24"/>
        </w:rPr>
        <w:fldChar w:fldCharType="begin" w:fldLock="1"/>
      </w:r>
      <w:r w:rsidR="000777BB">
        <w:rPr>
          <w:rFonts w:cs="Times New Roman"/>
          <w:sz w:val="24"/>
          <w:szCs w:val="24"/>
        </w:rPr>
        <w:instrText>ADDIN CSL_CITATION {"citationItems":[{"id":"ITEM-1","itemData":{"DOI":"10.1002/oby.20618","author":[{"dropping-particle":"","family":"Bottai","given":"Matteo","non-dropping-particle":"","parse-names":false,"suffix":""},{"dropping-particle":"","family":"Frongillo","given":"Edward A","non-dropping-particle":"","parse-names":false,"suffix":""},{"dropping-particle":"","family":"Sui","given":"Xuemei","non-dropping-particle":"","parse-names":false,"suffix":""},{"dropping-particle":"","family":"Neill","given":"Jennifer R O","non-dropping-particle":"","parse-names":false,"suffix":""},{"dropping-particle":"","family":"Mckeown","given":"Robert E","non-dropping-particle":"","parse-names":false,"suffix":""},{"dropping-particle":"","family":"Burns","given":"Trudy L","non-dropping-particle":"","parse-names":false,"suffix":""},{"dropping-particle":"","family":"Liese","given":"Angela D","non-dropping-particle":"","parse-names":false,"suffix":""},{"dropping-particle":"","family":"Blair","given":"Steven N","non-dropping-particle":"","parse-names":false,"suffix":""},{"dropping-particle":"","family":"Pate","given":"Russell R","non-dropping-particle":"","parse-names":false,"suffix":""}],"container-title":"Obesity","id":"ITEM-1","issue":"5","issued":{"date-parts":[["2014"]]},"page":"149-156","title":"Use of Quantile Regression to Investigate the Longitudinal Association between Physical Activity and Body Mass Index","type":"article-journal","volume":"22"},"uris":["http://www.mendeley.com/documents/?uuid=c2d2d888-dce7-478e-92b0-4b0ef0f6024c","http://www.mendeley.com/documents/?uuid=f1da0275-34be-407f-b50b-7f8855ccd751","http://www.mendeley.com/documents/?uuid=994bd025-8e29-4bf7-9ecc-0b229f7654bd"]},{"id":"ITEM-2","itemData":{"DOI":"10.1136/jech-2015-205790","author":[{"dropping-particle":"","family":"Dutton","given":"Daniel J","non-dropping-particle":"","parse-names":false,"suffix":""},{"dropping-particle":"","family":"Mclaren","given":"Lindsay","non-dropping-particle":"","parse-names":false,"suffix":""}],"container-title":"Journal of Epidemiology &amp; Community Health","id":"ITEM-2","issued":{"date-parts":[["2016"]]},"page":"367-373","title":"How important are determinants of obesity measured at the individual level for explaining geographic variation in body mass index distributions? Observational evidence from Canada using Quantile Regression and Blinder-Oaxaca Decomposition","type":"article-journal","volume":"70"},"uris":["http://www.mendeley.com/documents/?uuid=01408a33-bb95-42ef-82db-320f3c47f1dc","http://www.mendeley.com/documents/?uuid=c67b22a2-79a7-4a30-9b69-871be6e807bd","http://www.mendeley.com/documents/?uuid=af45d86f-c163-4b79-a540-e132fc2ddf9d"]},{"id":"ITEM-3","itemData":{"ISSN":"1047-2797","author":[{"dropping-particle":"","family":"Siddiqi","given":"Arjumand","non-dropping-particle":"","parse-names":false,"suffix":""},{"dropping-particle":"","family":"Shahidi","given":"Faraz Vahid","non-dropping-particle":"","parse-names":false,"suffix":""},{"dropping-particle":"","family":"Hildebrand","given":"Vincent","non-dropping-particle":"","parse-names":false,"suffix":""},{"dropping-particle":"","family":"Hong","given":"Anthony","non-dropping-particle":"","parse-names":false,"suffix":""},{"dropping-particle":"","family":"Basu","given":"Sanjay","non-dropping-particle":"","parse-names":false,"suffix":""}],"container-title":"Annals of Epidemiology","id":"ITEM-3","issue":"4","issued":{"date-parts":[["2018"]]},"page":"236-241","publisher":"Elsevier Inc","title":"Illustrating a “consequential” shift in the study of health inequalities: a decomposition of racial differences in the distribution of body mass","type":"article-journal","volume":"28"},"uris":["http://www.mendeley.com/documents/?uuid=a96c1501-f89a-42d6-8755-1c905fa90fb4","http://www.mendeley.com/documents/?uuid=760813e3-2ea5-481f-b126-368e975b0e07","http://www.mendeley.com/documents/?uuid=349328e9-a41a-4e35-8ac9-c856852d93c9"]},{"id":"ITEM-4","itemData":{"DOI":"10.1093/aje/kwv079","author":[{"dropping-particle":"","family":"Basu","given":"Sanjay","non-dropping-particle":"","parse-names":false,"suffix":""},{"dropping-particle":"","family":"Hong","given":"Anthony","non-dropping-particle":"","parse-names":false,"suffix":""},{"dropping-particle":"","family":"Siddiqi","given":"Arjumand","non-dropping-particle":"","parse-names":false,"suffix":""}],"container-title":"American Journal of Epidemiology","id":"ITEM-4","issue":"8","issued":{"date-parts":[["2015"]]},"page":"345-353","title":"Using Decomposition Analysis to Identify Modifiable Racial Disparities in the Distribution of Blood Pressure in the United States","type":"article-journal","volume":"182"},"uris":["http://www.mendeley.com/documents/?uuid=896bb52d-64bf-4a4c-833b-e8d16bea8064","http://www.mendeley.com/documents/?uuid=d2b042d9-7b31-4e07-86ab-e531655ca864","http://www.mendeley.com/documents/?uuid=4245db54-6c17-41a3-966f-487ee42a1135"]},{"id":"ITEM-5","itemData":{"DOI":"10.1007/s10818-019-09283-3","ISSN":"1573-6989","abstract":"India is facing a public health problem of both over-nutrition and persistent under-nutrition. This paper studies the transition in body mass index distribution in India from 2005/2006 to 2015/2016. The change in the distribution is characterized not only by a locational shift but also a shape change. As well as the mean difference decomposition, this study implements a quantile decomposition analysis and decomposes the differentials at various quantile points of the distributions. For both men and women, the largest increases are observed in the middle and upper quantiles of the distribution. These increases are well explained by the changes in the individual’s characteristics. The improvement in living standards makes a significant contribution to the increase in BMI at the right tail of the distribution, where its higher relative importance is observed. This study shows new evidence for the substantial heterogeneity of the contributory factors and their impacts across the distribution.","author":[{"dropping-particle":"","family":"Aizawa","given":"Toshiaki","non-dropping-particle":"","parse-names":false,"suffix":""}],"container-title":"Journal of Bioeconomics","id":"ITEM-5","issue":"1","issued":{"date-parts":[["2019"]]},"page":"3-36","title":"Transition of the BMI distribution in India: evidence from a distributional decomposition analysis","type":"article-journal","volume":"21"},"uris":["http://www.mendeley.com/documents/?uuid=a090a867-a877-4bce-9a10-0f5a563a51cb"]},{"id":"ITEM-6","itemData":{"DOI":"10.1007/s11113-019-09544-z","ISSN":"1573-7829","abstract":"We unravel the absolute level and relative prominence of two demographic processes that are relevant for childhood obesity, and that will ultimately determine the long-term course and pace of change in child obesity rates. We leverage data from the National Health and Nutrition Examination Survey to decompose change in child obesity from 1971 to 2012. We partition change into that attributable to (1) healthier, more nutritionally and economically advantaged cohorts in the population being replaced by cohorts of children who are less advantaged (between-cohort change), and (2) the health habits, nutrition, and social and economic circumstances of all cohorts of children worsening over time (within-cohort change). The rise in obesity among children aged 2 to 19 years is solely due to intracohort change driven by variation in food security composition and in the diet of the population over time. Child obesity in the population rose largely because of individual increases in weight status that are broadly distributed across age and cohort groups. Smaller but significant cohort replacement effects slightly attenuated these intracohort change effects over the study period, leading to a more gradual increase in obesity. Our results provide some reasons for optimism. Given that population estimates of child obesity rose because the typical member of all cohorts became heavier over time at all stages of the early life course, successful policy and health interventions that focus on changing health habits across all ages and generations have the potential to quickly slow or reverse the upward trend in child obesity.","author":[{"dropping-particle":"","family":"Kranjac","given":"Ashley Wendell","non-dropping-particle":"","parse-names":false,"suffix":""},{"dropping-particle":"","family":"Wagmiller","given":"Robert L","non-dropping-particle":"","parse-names":false,"suffix":""}],"container-title":"Population Research and Policy Review","id":"ITEM-6","issue":"2","issued":{"date-parts":[["2020"]]},"page":"375-388","title":"Decomposing Trends in Child Obesity","type":"article-journal","volume":"39"},"uris":["http://www.mendeley.com/documents/?uuid=21f60b1e-60e1-43af-aa81-6076f036bfd8"]}],"mendeley":{"formattedCitation":"(Aizawa, 2019; Basu et al., 2015; Bottai et al., 2014; Dutton &amp; Mclaren, 2016; Kranjac &amp; Wagmiller, 2020; Siddiqi et al., 2018)","plainTextFormattedCitation":"(Aizawa, 2019; Basu et al., 2015; Bottai et al., 2014; Dutton &amp; Mclaren, 2016; Kranjac &amp; Wagmiller, 2020; Siddiqi et al., 2018)","previouslyFormattedCitation":"(Aizawa, 2019; Basu et al., 2015; Bottai et al., 2014; Dutton &amp; Mclaren, 2016; Kranjac &amp; Wagmiller, 2020; Siddiqi et al., 2018)"},"properties":{"noteIndex":0},"schema":"https://github.com/citation-style-language/schema/raw/master/csl-citation.json"}</w:instrText>
      </w:r>
      <w:r w:rsidR="00073080" w:rsidRPr="007C39F0">
        <w:rPr>
          <w:rFonts w:cs="Times New Roman"/>
          <w:sz w:val="24"/>
          <w:szCs w:val="24"/>
        </w:rPr>
        <w:fldChar w:fldCharType="separate"/>
      </w:r>
      <w:r w:rsidR="000777BB" w:rsidRPr="000777BB">
        <w:rPr>
          <w:rFonts w:cs="Times New Roman"/>
          <w:noProof/>
          <w:sz w:val="24"/>
          <w:szCs w:val="24"/>
        </w:rPr>
        <w:t>(Aizawa, 2019; Basu et al., 2015; Bottai et al., 2014; Dutton &amp; Mclaren, 2016; Kranjac &amp; Wagmiller, 2020; Siddiqi et al., 2018)</w:t>
      </w:r>
      <w:r w:rsidR="00073080" w:rsidRPr="007C39F0">
        <w:rPr>
          <w:rFonts w:cs="Times New Roman"/>
          <w:sz w:val="24"/>
          <w:szCs w:val="24"/>
        </w:rPr>
        <w:fldChar w:fldCharType="end"/>
      </w:r>
      <w:r w:rsidR="00976980">
        <w:rPr>
          <w:rFonts w:cs="Times New Roman"/>
          <w:sz w:val="24"/>
          <w:szCs w:val="24"/>
        </w:rPr>
        <w:t>,</w:t>
      </w:r>
      <w:r w:rsidR="00653A7B" w:rsidRPr="007C39F0">
        <w:rPr>
          <w:rFonts w:cs="Times New Roman"/>
          <w:sz w:val="24"/>
          <w:szCs w:val="24"/>
        </w:rPr>
        <w:t xml:space="preserve"> </w:t>
      </w:r>
      <w:r w:rsidR="00C363B5" w:rsidRPr="007C39F0">
        <w:rPr>
          <w:rFonts w:cs="Times New Roman"/>
          <w:sz w:val="24"/>
          <w:szCs w:val="24"/>
        </w:rPr>
        <w:t>it</w:t>
      </w:r>
      <w:r w:rsidR="00653A7B" w:rsidRPr="007C39F0">
        <w:rPr>
          <w:rFonts w:cs="Times New Roman"/>
          <w:sz w:val="24"/>
          <w:szCs w:val="24"/>
        </w:rPr>
        <w:t xml:space="preserve"> demonstr</w:t>
      </w:r>
      <w:r w:rsidR="008807D2" w:rsidRPr="007C39F0">
        <w:rPr>
          <w:rFonts w:cs="Times New Roman"/>
          <w:sz w:val="24"/>
          <w:szCs w:val="24"/>
        </w:rPr>
        <w:t>ate</w:t>
      </w:r>
      <w:r w:rsidR="00C363B5" w:rsidRPr="007C39F0">
        <w:rPr>
          <w:rFonts w:cs="Times New Roman"/>
          <w:sz w:val="24"/>
          <w:szCs w:val="24"/>
        </w:rPr>
        <w:t>s</w:t>
      </w:r>
      <w:r w:rsidR="008807D2" w:rsidRPr="007C39F0">
        <w:rPr>
          <w:rFonts w:cs="Times New Roman"/>
          <w:sz w:val="24"/>
          <w:szCs w:val="24"/>
        </w:rPr>
        <w:t xml:space="preserve"> the importance of </w:t>
      </w:r>
      <w:r w:rsidR="00C363B5" w:rsidRPr="007C39F0">
        <w:rPr>
          <w:rFonts w:cs="Times New Roman"/>
          <w:sz w:val="24"/>
          <w:szCs w:val="24"/>
        </w:rPr>
        <w:t>thinking</w:t>
      </w:r>
      <w:r w:rsidR="008807D2" w:rsidRPr="007C39F0">
        <w:rPr>
          <w:rFonts w:cs="Times New Roman"/>
          <w:sz w:val="24"/>
          <w:szCs w:val="24"/>
        </w:rPr>
        <w:t xml:space="preserve"> beyond </w:t>
      </w:r>
      <w:r w:rsidR="001E0470" w:rsidRPr="007C39F0">
        <w:rPr>
          <w:rFonts w:cs="Times New Roman"/>
          <w:sz w:val="24"/>
          <w:szCs w:val="24"/>
        </w:rPr>
        <w:t>a mean-centric approach</w:t>
      </w:r>
      <w:r w:rsidR="008833B2">
        <w:rPr>
          <w:rFonts w:cs="Times New Roman"/>
          <w:sz w:val="24"/>
          <w:szCs w:val="24"/>
        </w:rPr>
        <w:t xml:space="preserve"> or using specific cut points (e.g. modelling obesity as a binary outcome).</w:t>
      </w:r>
      <w:r w:rsidR="008833B2" w:rsidRPr="007C39F0">
        <w:rPr>
          <w:rFonts w:cs="Times New Roman"/>
          <w:sz w:val="24"/>
          <w:szCs w:val="24"/>
        </w:rPr>
        <w:t xml:space="preserve"> </w:t>
      </w:r>
      <w:r w:rsidR="00356FE4" w:rsidRPr="007C39F0">
        <w:rPr>
          <w:rFonts w:cs="Times New Roman"/>
          <w:sz w:val="24"/>
          <w:szCs w:val="24"/>
        </w:rPr>
        <w:t xml:space="preserve">Understanding </w:t>
      </w:r>
      <w:r w:rsidRPr="007C39F0">
        <w:rPr>
          <w:rFonts w:cs="Times New Roman"/>
          <w:sz w:val="24"/>
          <w:szCs w:val="24"/>
        </w:rPr>
        <w:t>the heterogeneous nature of how</w:t>
      </w:r>
      <w:r w:rsidR="00356FE4" w:rsidRPr="007C39F0">
        <w:rPr>
          <w:rFonts w:cs="Times New Roman"/>
          <w:sz w:val="24"/>
          <w:szCs w:val="24"/>
        </w:rPr>
        <w:t xml:space="preserve"> correlates </w:t>
      </w:r>
      <w:r w:rsidRPr="007C39F0">
        <w:rPr>
          <w:rFonts w:cs="Times New Roman"/>
          <w:sz w:val="24"/>
          <w:szCs w:val="24"/>
        </w:rPr>
        <w:t xml:space="preserve">of BMI </w:t>
      </w:r>
      <w:r w:rsidR="001F1FF0" w:rsidRPr="007C39F0">
        <w:rPr>
          <w:rFonts w:cs="Times New Roman"/>
          <w:sz w:val="24"/>
          <w:szCs w:val="24"/>
        </w:rPr>
        <w:t xml:space="preserve">varies </w:t>
      </w:r>
      <w:r w:rsidR="00356FE4" w:rsidRPr="007C39F0">
        <w:rPr>
          <w:rFonts w:cs="Times New Roman"/>
          <w:sz w:val="24"/>
          <w:szCs w:val="24"/>
        </w:rPr>
        <w:t>and utilising this knowledge to design interventions to target the different part of BMI distribution is paramount.</w:t>
      </w:r>
      <w:r w:rsidR="00642321">
        <w:rPr>
          <w:rFonts w:cs="Times New Roman"/>
          <w:sz w:val="24"/>
          <w:szCs w:val="24"/>
        </w:rPr>
        <w:t xml:space="preserve"> </w:t>
      </w:r>
    </w:p>
    <w:p w14:paraId="4198CE0B" w14:textId="22918B59" w:rsidR="00F93256" w:rsidRDefault="00F93256" w:rsidP="00675EB5">
      <w:pPr>
        <w:spacing w:line="480" w:lineRule="auto"/>
        <w:rPr>
          <w:rFonts w:cs="Times New Roman"/>
          <w:sz w:val="24"/>
          <w:szCs w:val="24"/>
        </w:rPr>
      </w:pPr>
    </w:p>
    <w:p w14:paraId="21253499" w14:textId="77777777" w:rsidR="00F93256" w:rsidRPr="007C39F0" w:rsidRDefault="00F93256" w:rsidP="00F93256">
      <w:pPr>
        <w:spacing w:line="480" w:lineRule="auto"/>
        <w:rPr>
          <w:rFonts w:cs="Times New Roman"/>
          <w:sz w:val="24"/>
          <w:szCs w:val="24"/>
        </w:rPr>
      </w:pPr>
      <w:r w:rsidRPr="007C39F0">
        <w:rPr>
          <w:rFonts w:cs="Times New Roman"/>
          <w:i/>
          <w:sz w:val="24"/>
          <w:szCs w:val="24"/>
        </w:rPr>
        <w:t>Limitations</w:t>
      </w:r>
    </w:p>
    <w:p w14:paraId="2B5F861C" w14:textId="1F604D6A" w:rsidR="00F93256" w:rsidRPr="007C39F0" w:rsidRDefault="00F93256" w:rsidP="00F93256">
      <w:pPr>
        <w:spacing w:line="480" w:lineRule="auto"/>
        <w:rPr>
          <w:rFonts w:cs="Times New Roman"/>
          <w:sz w:val="24"/>
          <w:szCs w:val="24"/>
        </w:rPr>
      </w:pPr>
      <w:r w:rsidRPr="007C39F0">
        <w:rPr>
          <w:rFonts w:cs="Times New Roman"/>
          <w:sz w:val="24"/>
          <w:szCs w:val="24"/>
        </w:rPr>
        <w:t>There are several limitations to our study. We use repeated cross-sectional data which is limited in its ability to draw out causal inferences. The purpose was to study changes within populations and therefore our analyses are appropriate. Our results also follow descriptive analyses of the widening distribution</w:t>
      </w:r>
      <w:r>
        <w:rPr>
          <w:rFonts w:cs="Times New Roman"/>
          <w:sz w:val="24"/>
          <w:szCs w:val="24"/>
        </w:rPr>
        <w:t xml:space="preserve"> of BMI using longitudinal data </w:t>
      </w:r>
      <w:r w:rsidRPr="007C39F0">
        <w:rPr>
          <w:rFonts w:cs="Times New Roman"/>
          <w:sz w:val="24"/>
          <w:szCs w:val="24"/>
        </w:rPr>
        <w:fldChar w:fldCharType="begin" w:fldLock="1"/>
      </w:r>
      <w:r w:rsidR="00A22E68">
        <w:rPr>
          <w:rFonts w:cs="Times New Roman"/>
          <w:sz w:val="24"/>
          <w:szCs w:val="24"/>
        </w:rPr>
        <w:instrText>ADDIN CSL_CITATION {"citationItems":[{"id":"ITEM-1","itemData":{"DOI":"10.1371/journal.pmed.1001828","author":[{"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PLoS Medicine","id":"ITEM-1","issue":"5","issued":{"date-parts":[["2015"]]},"page":"e1001828","title":"How Has the Age-Related Process of Overweight or Obesity Development Changed over Time? Co-ordinated Analyses of Individual Participant Data from Five United Kingdom Birth Cohorts","type":"article-journal","volume":"12"},"uris":["http://www.mendeley.com/documents/?uuid=738495f1-3cad-4009-8d34-980f1efd1c41","http://www.mendeley.com/documents/?uuid=160ac61e-1539-4d52-b15e-973b3b9d3615"]},{"id":"ITEM-2","itemData":{"DOI":"10.1093/ije/dyz245","ISSN":"0300-5771","abstract":"Most epidemiological studies examine how risk factors relate to average difference in outcomes (linear regression) or odds of a binary outcome (logistic regression); they do not explicitly examine whether risk factors are associated differentially across the distribution of the health outcome investigated. This paper documents a phenomenon found repeatedly in the minority of epidemiological studies which do this (via quantile regression): associations between a range of established risk factors and body mass index (BMI) are progressively stronger in the upper ends of the BMI distribution. In this paper, we document this finding and provide illustrative evidence of it in the 1958 British birth cohort study. Associations of low childhood socio-economic position, high maternal weight, low childhood general cognition and adult physical inactivity with higher BMI are larger at the upper end of the BMI distribution, on both absolute and relative scales. For example, effect estimates for socio-economic position and childhood cognition were around three times larger at the 90th compared with 10th quantile, while effect estimates for physical inactivity were increasingly larger from the 50th to 90th quantiles, yet null at lower quantiles. We provide potential explanations for these findings and discuss implications. Risk factors may have larger causal effects among those in worse health, and these effects may not be discovered when health is only examined in average terms. In such scenarios, population-based approaches to intervention may have larger benefits than anticipated when assuming equivalent benefit across the population. Further research is needed to understand why effect estimates differ across the BMI outcome distribution and to investigate whether differential effects exist for other physical and mental health outcomes.","author":[{"dropping-particle":"","family":"Bann","given":"David","non-dropping-particle":"","parse-names":false,"suffix":""},{"dropping-particle":"","family":"Fitzsimons","given":"Emla","non-dropping-particle":"","parse-names":false,"suffix":""},{"dropping-particle":"","family":"Johnson","given":"William","non-dropping-particle":"","parse-names":false,"suffix":""}],"container-title":"International Journal of Epidemiology","id":"ITEM-2","issued":{"date-parts":[["2020","1","13"]]},"title":"Determinants of the population health distribution: an illustration examining body mass index","type":"article-journal"},"uris":["http://www.mendeley.com/documents/?uuid=948613d2-75af-47dd-b142-101a8a275941"]}],"mendeley":{"formattedCitation":"(Bann et al., 2020; Johnson et al., 2015)","plainTextFormattedCitation":"(Bann et al., 2020; Johnson et al., 2015)","previouslyFormattedCitation":"(Bann et al., 2020; Johnson et al., 2015)"},"properties":{"noteIndex":0},"schema":"https://github.com/citation-style-language/schema/raw/master/csl-citation.json"}</w:instrText>
      </w:r>
      <w:r w:rsidRPr="007C39F0">
        <w:rPr>
          <w:rFonts w:cs="Times New Roman"/>
          <w:sz w:val="24"/>
          <w:szCs w:val="24"/>
        </w:rPr>
        <w:fldChar w:fldCharType="separate"/>
      </w:r>
      <w:r w:rsidR="000777BB" w:rsidRPr="000777BB">
        <w:rPr>
          <w:rFonts w:cs="Times New Roman"/>
          <w:noProof/>
          <w:sz w:val="24"/>
          <w:szCs w:val="24"/>
        </w:rPr>
        <w:t>(Bann et al., 2020; Johnson et al., 2015)</w:t>
      </w:r>
      <w:r w:rsidRPr="007C39F0">
        <w:rPr>
          <w:rFonts w:cs="Times New Roman"/>
          <w:sz w:val="24"/>
          <w:szCs w:val="24"/>
        </w:rPr>
        <w:fldChar w:fldCharType="end"/>
      </w:r>
      <w:r>
        <w:rPr>
          <w:rFonts w:cs="Times New Roman"/>
          <w:sz w:val="24"/>
          <w:szCs w:val="24"/>
        </w:rPr>
        <w:t>.</w:t>
      </w:r>
      <w:r w:rsidRPr="007C39F0">
        <w:rPr>
          <w:rFonts w:cs="Times New Roman"/>
          <w:sz w:val="24"/>
          <w:szCs w:val="24"/>
        </w:rPr>
        <w:t xml:space="preserve"> Current longitudinal applications focus on specific cohorts that are less </w:t>
      </w:r>
      <w:r w:rsidR="002510FD">
        <w:rPr>
          <w:rFonts w:cs="Times New Roman"/>
          <w:sz w:val="24"/>
          <w:szCs w:val="24"/>
        </w:rPr>
        <w:t>generalisable</w:t>
      </w:r>
      <w:r w:rsidRPr="007C39F0">
        <w:rPr>
          <w:rFonts w:cs="Times New Roman"/>
          <w:sz w:val="24"/>
          <w:szCs w:val="24"/>
        </w:rPr>
        <w:t xml:space="preserve"> to the wider population. </w:t>
      </w:r>
    </w:p>
    <w:p w14:paraId="0AA8A050" w14:textId="0E3D1519" w:rsidR="00F93256" w:rsidRPr="007C39F0" w:rsidRDefault="00F93256" w:rsidP="00F93256">
      <w:pPr>
        <w:spacing w:line="480" w:lineRule="auto"/>
        <w:rPr>
          <w:rFonts w:cs="Times New Roman"/>
          <w:sz w:val="24"/>
          <w:szCs w:val="24"/>
        </w:rPr>
      </w:pPr>
      <w:r w:rsidRPr="007C39F0">
        <w:rPr>
          <w:rFonts w:cs="Times New Roman"/>
          <w:sz w:val="24"/>
          <w:szCs w:val="24"/>
        </w:rPr>
        <w:lastRenderedPageBreak/>
        <w:t xml:space="preserve">The choice of our explanatory variables was limited by our ability to use comparable variables between our time periods. </w:t>
      </w:r>
      <w:r w:rsidR="0024228F">
        <w:rPr>
          <w:rFonts w:cs="Times New Roman"/>
          <w:sz w:val="24"/>
          <w:szCs w:val="24"/>
        </w:rPr>
        <w:t>Missing data may have introduced bias into our model estimates if records were not missing at random</w:t>
      </w:r>
      <w:r w:rsidR="002510FD">
        <w:rPr>
          <w:rFonts w:cs="Times New Roman"/>
          <w:sz w:val="24"/>
          <w:szCs w:val="24"/>
        </w:rPr>
        <w:t xml:space="preserve"> or differed by time period</w:t>
      </w:r>
      <w:r w:rsidR="0024228F">
        <w:rPr>
          <w:rFonts w:cs="Times New Roman"/>
          <w:sz w:val="24"/>
          <w:szCs w:val="24"/>
        </w:rPr>
        <w:t xml:space="preserve">. </w:t>
      </w:r>
      <w:r w:rsidRPr="007C39F0">
        <w:rPr>
          <w:rFonts w:cs="Times New Roman"/>
          <w:sz w:val="24"/>
          <w:szCs w:val="24"/>
        </w:rPr>
        <w:t>The determinants of body weight are complex and future research should seek to examine the contribution of other factors. Some of our measures were</w:t>
      </w:r>
      <w:r w:rsidR="00906669">
        <w:rPr>
          <w:rFonts w:cs="Times New Roman"/>
          <w:sz w:val="24"/>
          <w:szCs w:val="24"/>
        </w:rPr>
        <w:t xml:space="preserve"> </w:t>
      </w:r>
      <w:r w:rsidR="00906669" w:rsidRPr="00906669">
        <w:rPr>
          <w:rFonts w:cs="Times New Roman"/>
          <w:sz w:val="24"/>
          <w:szCs w:val="24"/>
        </w:rPr>
        <w:t>determined by data availability, hence</w:t>
      </w:r>
      <w:r w:rsidRPr="007C39F0">
        <w:rPr>
          <w:rFonts w:cs="Times New Roman"/>
          <w:sz w:val="24"/>
          <w:szCs w:val="24"/>
        </w:rPr>
        <w:t xml:space="preserve"> simplistic and/or self-reported by individuals</w:t>
      </w:r>
      <w:r w:rsidR="00136223">
        <w:rPr>
          <w:rFonts w:cs="Times New Roman"/>
          <w:sz w:val="24"/>
          <w:szCs w:val="24"/>
        </w:rPr>
        <w:t xml:space="preserve"> </w:t>
      </w:r>
      <w:r w:rsidR="00136223" w:rsidRPr="007C39F0">
        <w:rPr>
          <w:rFonts w:cs="Times New Roman"/>
          <w:sz w:val="24"/>
          <w:szCs w:val="24"/>
        </w:rPr>
        <w:t>(e.g. physical activity)</w:t>
      </w:r>
      <w:r w:rsidRPr="007C39F0">
        <w:rPr>
          <w:rFonts w:cs="Times New Roman"/>
          <w:sz w:val="24"/>
          <w:szCs w:val="24"/>
        </w:rPr>
        <w:t xml:space="preserve">, and these issues may have contributed to introducing measurement bias into our results. </w:t>
      </w:r>
      <w:r w:rsidR="00B2508B">
        <w:rPr>
          <w:rFonts w:cs="Times New Roman"/>
          <w:sz w:val="24"/>
          <w:szCs w:val="24"/>
        </w:rPr>
        <w:t>Evidence, f</w:t>
      </w:r>
      <w:r w:rsidR="00136223">
        <w:rPr>
          <w:rFonts w:cs="Times New Roman"/>
          <w:sz w:val="24"/>
          <w:szCs w:val="24"/>
        </w:rPr>
        <w:t xml:space="preserve">or example, </w:t>
      </w:r>
      <w:r w:rsidR="00B2508B">
        <w:rPr>
          <w:rFonts w:cs="Times New Roman"/>
          <w:sz w:val="24"/>
          <w:szCs w:val="24"/>
        </w:rPr>
        <w:t xml:space="preserve">suggests systematic </w:t>
      </w:r>
      <w:r w:rsidR="00136223">
        <w:rPr>
          <w:rFonts w:cs="Times New Roman"/>
          <w:sz w:val="24"/>
          <w:szCs w:val="24"/>
        </w:rPr>
        <w:t xml:space="preserve">low to moderate </w:t>
      </w:r>
      <w:r w:rsidR="00B2508B">
        <w:rPr>
          <w:rFonts w:cs="Times New Roman"/>
          <w:sz w:val="24"/>
          <w:szCs w:val="24"/>
        </w:rPr>
        <w:t>dis</w:t>
      </w:r>
      <w:r w:rsidR="00136223">
        <w:rPr>
          <w:rFonts w:cs="Times New Roman"/>
          <w:sz w:val="24"/>
          <w:szCs w:val="24"/>
        </w:rPr>
        <w:t xml:space="preserve">agreement between self-reported and objective measured physical activity measures </w:t>
      </w:r>
      <w:r w:rsidR="00136223">
        <w:rPr>
          <w:rFonts w:cs="Times New Roman"/>
          <w:sz w:val="24"/>
          <w:szCs w:val="24"/>
        </w:rPr>
        <w:fldChar w:fldCharType="begin" w:fldLock="1"/>
      </w:r>
      <w:r w:rsidR="00172F56">
        <w:rPr>
          <w:rFonts w:cs="Times New Roman"/>
          <w:sz w:val="24"/>
          <w:szCs w:val="24"/>
        </w:rPr>
        <w:instrText>ADDIN CSL_CITATION {"citationItems":[{"id":"ITEM-1","itemData":{"DOI":"10.1186/1479-5868-5-56","ISSN":"1479-5868 (Electronic)","PMID":"18990237","abstract":"BACKGROUND: Accurate assessment is required to assess current and changing physical activity levels, and to evaluate the effectiveness of interventions designed to increase activity levels. This study systematically reviewed the literature to determine the extent of agreement between subjectively (self-report e.g. questionnaire, diary) and objectively (directly measured; e.g. accelerometry, doubly labeled water) assessed physical activity in adults. METHODS: Eight electronic databases were searched to identify observational and experimental studies of adult populations. Searching identified 4,463 potential articles. Initial screening found that 293 examined the relationship between self-reported and directly measured physical activity and met the eligibility criteria. Data abstraction was completed for 187 articles, which described comparable data and/or comparisons, while 76 articles lacked comparable data or comparisons, and a further 30 did not meet the review's eligibility requirements. A risk of bias assessment was conducted for all articles from which data was abstracted. RESULTS: Correlations between self-report and direct measures were generally low-to-moderate and ranged from -0.71 to 0.96. No clear pattern emerged for the mean differences between self-report and direct measures of physical activity. Trends differed by measure of physical activity employed, level of physical activity measured, and the gender of participants. Results of the risk of bias assessment indicated that 38% of the studies had lower quality scores. CONCLUSION: The findings suggest that the measurement method may have a significant impact on the observed levels of physical activity. Self-report measures of physical activity were both higher and lower than directly measured levels of physical activity, which poses a problem for both reliance on self-report measures and for attempts to correct for self-report - direct measure differences. This review reveals the need for valid, accurate and reliable measures of physical activity in evaluating current and changing physical activity levels, physical activity interventions, and the relationships between physical activity and health outcomes.","author":[{"dropping-particle":"","family":"Prince","given":"Stéphanie A","non-dropping-particle":"","parse-names":false,"suffix":""},{"dropping-particle":"","family":"Adamo","given":"Kristi B","non-dropping-particle":"","parse-names":false,"suffix":""},{"dropping-particle":"","family":"Hamel","given":"Meghan E","non-dropping-particle":"","parse-names":false,"suffix":""},{"dropping-particle":"","family":"Hardt","given":"Jill","non-dropping-particle":"","parse-names":false,"suffix":""},{"dropping-particle":"","family":"Connor Gorber","given":"Sarah","non-dropping-particle":"","parse-names":false,"suffix":""},{"dropping-particle":"","family":"Tremblay","given":"Mark","non-dropping-particle":"","parse-names":false,"suffix":""}],"container-title":"International Journal of Behavioral Nutrition and Physical Activity","id":"ITEM-1","issued":{"date-parts":[["2008","11"]]},"language":"eng","page":"56","title":"A comparison of direct versus self-report measures for assessing physical activity in adults: a systematic review.","type":"article-journal","volume":"5"},"uris":["http://www.mendeley.com/documents/?uuid=cb2ff026-a86b-4f05-aadc-4e313729153e"]}],"mendeley":{"formattedCitation":"(Prince et al., 2008)","plainTextFormattedCitation":"(Prince et al., 2008)","previouslyFormattedCitation":"(Prince et al., 2008)"},"properties":{"noteIndex":0},"schema":"https://github.com/citation-style-language/schema/raw/master/csl-citation.json"}</w:instrText>
      </w:r>
      <w:r w:rsidR="00136223">
        <w:rPr>
          <w:rFonts w:cs="Times New Roman"/>
          <w:sz w:val="24"/>
          <w:szCs w:val="24"/>
        </w:rPr>
        <w:fldChar w:fldCharType="separate"/>
      </w:r>
      <w:r w:rsidR="00136223" w:rsidRPr="00136223">
        <w:rPr>
          <w:rFonts w:cs="Times New Roman"/>
          <w:noProof/>
          <w:sz w:val="24"/>
          <w:szCs w:val="24"/>
        </w:rPr>
        <w:t>(Prince et al., 2008)</w:t>
      </w:r>
      <w:r w:rsidR="00136223">
        <w:rPr>
          <w:rFonts w:cs="Times New Roman"/>
          <w:sz w:val="24"/>
          <w:szCs w:val="24"/>
        </w:rPr>
        <w:fldChar w:fldCharType="end"/>
      </w:r>
      <w:r w:rsidR="00136223">
        <w:rPr>
          <w:rFonts w:cs="Times New Roman"/>
          <w:sz w:val="24"/>
          <w:szCs w:val="24"/>
        </w:rPr>
        <w:t xml:space="preserve">. </w:t>
      </w:r>
      <w:r w:rsidRPr="007C39F0">
        <w:rPr>
          <w:rFonts w:cs="Times New Roman"/>
          <w:sz w:val="24"/>
          <w:szCs w:val="24"/>
        </w:rPr>
        <w:t>Future research should consider additional determinants of obesity such as dietary intake or environmental features (e.g. access to healthy foods</w:t>
      </w:r>
      <w:r w:rsidR="000F0E34">
        <w:rPr>
          <w:rFonts w:cs="Times New Roman"/>
          <w:sz w:val="24"/>
          <w:szCs w:val="24"/>
        </w:rPr>
        <w:t xml:space="preserve">; </w:t>
      </w:r>
      <w:r w:rsidR="000F0E34">
        <w:rPr>
          <w:rFonts w:cs="Times New Roman"/>
          <w:sz w:val="24"/>
          <w:szCs w:val="24"/>
        </w:rPr>
        <w:fldChar w:fldCharType="begin" w:fldLock="1"/>
      </w:r>
      <w:r w:rsidR="00F03388">
        <w:rPr>
          <w:rFonts w:cs="Times New Roman"/>
          <w:sz w:val="24"/>
          <w:szCs w:val="24"/>
        </w:rPr>
        <w:instrText>ADDIN CSL_CITATION {"citationItems":[{"id":"ITEM-1","itemData":{"author":[{"dropping-particle":"","family":"Davillas","given":"Apostolos","non-dropping-particle":"","parse-names":false,"suffix":""},{"dropping-particle":"","family":"Jones","given":"Andy","non-dropping-particle":"","parse-names":false,"suffix":""}],"container-title":"Economics and Human Biology","id":"ITEM-1","issued":{"date-parts":[["2020"]]},"page":"100887","title":"Regional inequalities in adiposity in England: distributional analysis of the contribution of individual-level characteristics and the small area obesogenic environment","type":"article-journal"},"uris":["http://www.mendeley.com/documents/?uuid=a2324f99-4db2-4707-9fda-d24ebeb92046"]}],"mendeley":{"formattedCitation":"(Davillas &amp; Jones, 2020)","manualFormatting":"Davillas &amp; Jones, 2020)","plainTextFormattedCitation":"(Davillas &amp; Jones, 2020)","previouslyFormattedCitation":"(Davillas &amp; Jones, 2020)"},"properties":{"noteIndex":0},"schema":"https://github.com/citation-style-language/schema/raw/master/csl-citation.json"}</w:instrText>
      </w:r>
      <w:r w:rsidR="000F0E34">
        <w:rPr>
          <w:rFonts w:cs="Times New Roman"/>
          <w:sz w:val="24"/>
          <w:szCs w:val="24"/>
        </w:rPr>
        <w:fldChar w:fldCharType="separate"/>
      </w:r>
      <w:r w:rsidR="000F0E34" w:rsidRPr="000F0E34">
        <w:rPr>
          <w:rFonts w:cs="Times New Roman"/>
          <w:noProof/>
          <w:sz w:val="24"/>
          <w:szCs w:val="24"/>
        </w:rPr>
        <w:t>Davillas &amp; Jones, 2020)</w:t>
      </w:r>
      <w:r w:rsidR="000F0E34">
        <w:rPr>
          <w:rFonts w:cs="Times New Roman"/>
          <w:sz w:val="24"/>
          <w:szCs w:val="24"/>
        </w:rPr>
        <w:fldChar w:fldCharType="end"/>
      </w:r>
      <w:r w:rsidR="001E3A0E">
        <w:rPr>
          <w:rFonts w:cs="Times New Roman"/>
          <w:sz w:val="24"/>
          <w:szCs w:val="24"/>
        </w:rPr>
        <w:t xml:space="preserve"> that we were unable to include in our study</w:t>
      </w:r>
      <w:r w:rsidRPr="007C39F0">
        <w:rPr>
          <w:rFonts w:cs="Times New Roman"/>
          <w:sz w:val="24"/>
          <w:szCs w:val="24"/>
        </w:rPr>
        <w:t>.</w:t>
      </w:r>
      <w:r w:rsidR="00402FC2">
        <w:rPr>
          <w:rFonts w:cs="Times New Roman"/>
          <w:sz w:val="24"/>
          <w:szCs w:val="24"/>
        </w:rPr>
        <w:t xml:space="preserve"> </w:t>
      </w:r>
      <w:r w:rsidR="005B3C6C">
        <w:rPr>
          <w:rFonts w:cs="Times New Roman"/>
          <w:sz w:val="24"/>
          <w:szCs w:val="24"/>
        </w:rPr>
        <w:t xml:space="preserve">Additional explanatory variables may help both to explain </w:t>
      </w:r>
      <w:r w:rsidR="00D10B40">
        <w:rPr>
          <w:rFonts w:cs="Times New Roman"/>
          <w:sz w:val="24"/>
          <w:szCs w:val="24"/>
        </w:rPr>
        <w:t xml:space="preserve">why and how </w:t>
      </w:r>
      <w:r w:rsidR="005B3C6C">
        <w:rPr>
          <w:rFonts w:cs="Times New Roman"/>
          <w:sz w:val="24"/>
          <w:szCs w:val="24"/>
        </w:rPr>
        <w:t>the distribution of BMI</w:t>
      </w:r>
      <w:r w:rsidR="00D10B40">
        <w:rPr>
          <w:rFonts w:cs="Times New Roman"/>
          <w:sz w:val="24"/>
          <w:szCs w:val="24"/>
        </w:rPr>
        <w:t xml:space="preserve"> has widened</w:t>
      </w:r>
      <w:r w:rsidR="005B3C6C">
        <w:rPr>
          <w:rFonts w:cs="Times New Roman"/>
          <w:sz w:val="24"/>
          <w:szCs w:val="24"/>
        </w:rPr>
        <w:t xml:space="preserve">, as well as the pathways through which important characteristics such as race are associated to obesity. </w:t>
      </w:r>
      <w:r w:rsidR="00402FC2">
        <w:rPr>
          <w:rFonts w:cs="Times New Roman"/>
          <w:sz w:val="24"/>
          <w:szCs w:val="24"/>
        </w:rPr>
        <w:t xml:space="preserve">The inclusion of additional variables may </w:t>
      </w:r>
      <w:r w:rsidR="00F00F81">
        <w:rPr>
          <w:rFonts w:cs="Times New Roman"/>
          <w:sz w:val="24"/>
          <w:szCs w:val="24"/>
        </w:rPr>
        <w:t>result in</w:t>
      </w:r>
      <w:r w:rsidR="00402FC2">
        <w:rPr>
          <w:rFonts w:cs="Times New Roman"/>
          <w:sz w:val="24"/>
          <w:szCs w:val="24"/>
        </w:rPr>
        <w:t xml:space="preserve"> issues of </w:t>
      </w:r>
      <w:r w:rsidR="00F00F81">
        <w:rPr>
          <w:rFonts w:cs="Times New Roman"/>
          <w:sz w:val="24"/>
          <w:szCs w:val="24"/>
        </w:rPr>
        <w:t xml:space="preserve">low </w:t>
      </w:r>
      <w:r w:rsidR="00402FC2">
        <w:rPr>
          <w:rFonts w:cs="Times New Roman"/>
          <w:sz w:val="24"/>
          <w:szCs w:val="24"/>
        </w:rPr>
        <w:t xml:space="preserve">statistical power and require larger datasets than the </w:t>
      </w:r>
      <w:r w:rsidR="00F00F81">
        <w:rPr>
          <w:rFonts w:cs="Times New Roman"/>
          <w:sz w:val="24"/>
          <w:szCs w:val="24"/>
        </w:rPr>
        <w:t>HSE</w:t>
      </w:r>
      <w:r w:rsidR="00402FC2">
        <w:rPr>
          <w:rFonts w:cs="Times New Roman"/>
          <w:sz w:val="24"/>
          <w:szCs w:val="24"/>
        </w:rPr>
        <w:t xml:space="preserve"> for deploying our methods. An opportunity for future research may be afforded by the growing availability of ‘big data’</w:t>
      </w:r>
      <w:r w:rsidR="00F00F81">
        <w:rPr>
          <w:rFonts w:cs="Times New Roman"/>
          <w:sz w:val="24"/>
          <w:szCs w:val="24"/>
        </w:rPr>
        <w:t xml:space="preserve"> that can allow for greater detail in studying the heterogeneity in determinants of body weight</w:t>
      </w:r>
      <w:r w:rsidR="00402FC2">
        <w:rPr>
          <w:rFonts w:cs="Times New Roman"/>
          <w:sz w:val="24"/>
          <w:szCs w:val="24"/>
        </w:rPr>
        <w:t>.</w:t>
      </w:r>
    </w:p>
    <w:p w14:paraId="176F3A88" w14:textId="26DA6776" w:rsidR="00F93256" w:rsidRPr="007C39F0" w:rsidRDefault="00F93256" w:rsidP="00675EB5">
      <w:pPr>
        <w:spacing w:line="480" w:lineRule="auto"/>
        <w:rPr>
          <w:rFonts w:cs="Times New Roman"/>
          <w:sz w:val="24"/>
          <w:szCs w:val="24"/>
        </w:rPr>
      </w:pPr>
      <w:r w:rsidRPr="007C39F0">
        <w:rPr>
          <w:rFonts w:cs="Times New Roman"/>
          <w:sz w:val="24"/>
          <w:szCs w:val="24"/>
        </w:rPr>
        <w:t>We focus only on specific percentiles (</w:t>
      </w:r>
      <w:r w:rsidR="00402FC2">
        <w:rPr>
          <w:rFonts w:cs="Times New Roman"/>
          <w:sz w:val="24"/>
          <w:szCs w:val="24"/>
        </w:rPr>
        <w:t>10</w:t>
      </w:r>
      <w:r w:rsidR="00402FC2" w:rsidRPr="002759E1">
        <w:rPr>
          <w:rFonts w:cs="Times New Roman"/>
          <w:sz w:val="24"/>
          <w:szCs w:val="24"/>
          <w:vertAlign w:val="superscript"/>
        </w:rPr>
        <w:t>th</w:t>
      </w:r>
      <w:r w:rsidR="00402FC2">
        <w:rPr>
          <w:rFonts w:cs="Times New Roman"/>
          <w:sz w:val="24"/>
          <w:szCs w:val="24"/>
        </w:rPr>
        <w:t>, 50</w:t>
      </w:r>
      <w:r w:rsidR="00402FC2" w:rsidRPr="002759E1">
        <w:rPr>
          <w:rFonts w:cs="Times New Roman"/>
          <w:sz w:val="24"/>
          <w:szCs w:val="24"/>
          <w:vertAlign w:val="superscript"/>
        </w:rPr>
        <w:t>th</w:t>
      </w:r>
      <w:r w:rsidR="00402FC2">
        <w:rPr>
          <w:rFonts w:cs="Times New Roman"/>
          <w:sz w:val="24"/>
          <w:szCs w:val="24"/>
        </w:rPr>
        <w:t xml:space="preserve"> and 90</w:t>
      </w:r>
      <w:r w:rsidR="00402FC2" w:rsidRPr="002759E1">
        <w:rPr>
          <w:rFonts w:cs="Times New Roman"/>
          <w:sz w:val="24"/>
          <w:szCs w:val="24"/>
          <w:vertAlign w:val="superscript"/>
        </w:rPr>
        <w:t>th</w:t>
      </w:r>
      <w:r w:rsidRPr="007C39F0">
        <w:rPr>
          <w:rFonts w:cs="Times New Roman"/>
          <w:sz w:val="24"/>
          <w:szCs w:val="24"/>
        </w:rPr>
        <w:t>). These choices were selected to capture differences in the BMI distribution at the left, middle and right tail. We acknowledge that the specific percentiles selected to represent these positions may be arbitrary and selection of other percentiles may determine our results</w:t>
      </w:r>
      <w:r w:rsidR="00A22E68">
        <w:rPr>
          <w:rFonts w:cs="Times New Roman"/>
          <w:sz w:val="24"/>
          <w:szCs w:val="24"/>
        </w:rPr>
        <w:t xml:space="preserve"> </w:t>
      </w:r>
      <w:r w:rsidR="00A22E68">
        <w:rPr>
          <w:rFonts w:cs="Times New Roman"/>
          <w:sz w:val="24"/>
          <w:szCs w:val="24"/>
        </w:rPr>
        <w:fldChar w:fldCharType="begin" w:fldLock="1"/>
      </w:r>
      <w:r w:rsidR="00664797">
        <w:rPr>
          <w:rFonts w:cs="Times New Roman"/>
          <w:sz w:val="24"/>
          <w:szCs w:val="24"/>
        </w:rPr>
        <w:instrText>ADDIN CSL_CITATION {"citationItems":[{"id":"ITEM-1","itemData":{"DOI":"10.1007/s10818-019-09283-3","ISSN":"1573-6989","abstract":"India is facing a public health problem of both over-nutrition and persistent under-nutrition. This paper studies the transition in body mass index distribution in India from 2005/2006 to 2015/2016. The change in the distribution is characterized not only by a locational shift but also a shape change. As well as the mean difference decomposition, this study implements a quantile decomposition analysis and decomposes the differentials at various quantile points of the distributions. For both men and women, the largest increases are observed in the middle and upper quantiles of the distribution. These increases are well explained by the changes in the individual’s characteristics. The improvement in living standards makes a significant contribution to the increase in BMI at the right tail of the distribution, where its higher relative importance is observed. This study shows new evidence for the substantial heterogeneity of the contributory factors and their impacts across the distribution.","author":[{"dropping-particle":"","family":"Aizawa","given":"Toshiaki","non-dropping-particle":"","parse-names":false,"suffix":""}],"container-title":"Journal of Bioeconomics","id":"ITEM-1","issue":"1","issued":{"date-parts":[["2019"]]},"page":"3-36","title":"Transition of the BMI distribution in India: evidence from a distributional decomposition analysis","type":"article-journal","volume":"21"},"uris":["http://www.mendeley.com/documents/?uuid=a090a867-a877-4bce-9a10-0f5a563a51cb"]}],"mendeley":{"formattedCitation":"(Aizawa, 2019)","plainTextFormattedCitation":"(Aizawa, 2019)","previouslyFormattedCitation":"(Aizawa, 2019)"},"properties":{"noteIndex":0},"schema":"https://github.com/citation-style-language/schema/raw/master/csl-citation.json"}</w:instrText>
      </w:r>
      <w:r w:rsidR="00A22E68">
        <w:rPr>
          <w:rFonts w:cs="Times New Roman"/>
          <w:sz w:val="24"/>
          <w:szCs w:val="24"/>
        </w:rPr>
        <w:fldChar w:fldCharType="separate"/>
      </w:r>
      <w:r w:rsidR="00A22E68" w:rsidRPr="00A22E68">
        <w:rPr>
          <w:rFonts w:cs="Times New Roman"/>
          <w:noProof/>
          <w:sz w:val="24"/>
          <w:szCs w:val="24"/>
        </w:rPr>
        <w:t>(Aizawa, 2019)</w:t>
      </w:r>
      <w:r w:rsidR="00A22E68">
        <w:rPr>
          <w:rFonts w:cs="Times New Roman"/>
          <w:sz w:val="24"/>
          <w:szCs w:val="24"/>
        </w:rPr>
        <w:fldChar w:fldCharType="end"/>
      </w:r>
      <w:r w:rsidRPr="007C39F0">
        <w:rPr>
          <w:rFonts w:cs="Times New Roman"/>
          <w:sz w:val="24"/>
          <w:szCs w:val="24"/>
        </w:rPr>
        <w:t xml:space="preserve">. We tested additional percentiles (e.g. </w:t>
      </w:r>
      <w:r w:rsidR="00402FC2">
        <w:rPr>
          <w:rFonts w:cs="Times New Roman"/>
          <w:sz w:val="24"/>
          <w:szCs w:val="24"/>
        </w:rPr>
        <w:t>25</w:t>
      </w:r>
      <w:r w:rsidR="00402FC2" w:rsidRPr="002759E1">
        <w:rPr>
          <w:rFonts w:cs="Times New Roman"/>
          <w:sz w:val="24"/>
          <w:szCs w:val="24"/>
          <w:vertAlign w:val="superscript"/>
        </w:rPr>
        <w:t>th</w:t>
      </w:r>
      <w:r w:rsidR="00402FC2">
        <w:rPr>
          <w:rFonts w:cs="Times New Roman"/>
          <w:sz w:val="24"/>
          <w:szCs w:val="24"/>
        </w:rPr>
        <w:t xml:space="preserve"> and 75</w:t>
      </w:r>
      <w:r w:rsidR="00402FC2" w:rsidRPr="002759E1">
        <w:rPr>
          <w:rFonts w:cs="Times New Roman"/>
          <w:sz w:val="24"/>
          <w:szCs w:val="24"/>
          <w:vertAlign w:val="superscript"/>
        </w:rPr>
        <w:t>th</w:t>
      </w:r>
      <w:r w:rsidRPr="007C39F0">
        <w:rPr>
          <w:rFonts w:cs="Times New Roman"/>
          <w:sz w:val="24"/>
          <w:szCs w:val="24"/>
        </w:rPr>
        <w:t xml:space="preserve">), however </w:t>
      </w:r>
      <w:r w:rsidR="00402FC2">
        <w:rPr>
          <w:rFonts w:cs="Times New Roman"/>
          <w:sz w:val="24"/>
          <w:szCs w:val="24"/>
        </w:rPr>
        <w:t xml:space="preserve">our </w:t>
      </w:r>
      <w:r w:rsidRPr="007C39F0">
        <w:rPr>
          <w:rFonts w:cs="Times New Roman"/>
          <w:sz w:val="24"/>
          <w:szCs w:val="24"/>
        </w:rPr>
        <w:t>results did not alter significantly.</w:t>
      </w:r>
    </w:p>
    <w:p w14:paraId="6F1DB713" w14:textId="77777777" w:rsidR="00D179EF" w:rsidRDefault="00D179EF" w:rsidP="00675EB5">
      <w:pPr>
        <w:spacing w:line="480" w:lineRule="auto"/>
        <w:rPr>
          <w:rFonts w:cs="Times New Roman"/>
          <w:b/>
          <w:sz w:val="24"/>
          <w:szCs w:val="24"/>
        </w:rPr>
      </w:pPr>
    </w:p>
    <w:p w14:paraId="30A2DB01" w14:textId="77777777" w:rsidR="007C39F0" w:rsidRPr="007C39F0" w:rsidRDefault="007C39F0" w:rsidP="00675EB5">
      <w:pPr>
        <w:spacing w:line="480" w:lineRule="auto"/>
        <w:rPr>
          <w:rFonts w:cs="Times New Roman"/>
          <w:b/>
          <w:sz w:val="24"/>
          <w:szCs w:val="24"/>
        </w:rPr>
        <w:sectPr w:rsidR="007C39F0" w:rsidRPr="007C39F0" w:rsidSect="007C39F0">
          <w:pgSz w:w="11906" w:h="16838" w:code="9"/>
          <w:pgMar w:top="1418" w:right="1418" w:bottom="1418" w:left="1418" w:header="709" w:footer="709" w:gutter="0"/>
          <w:cols w:space="708"/>
          <w:docGrid w:linePitch="360"/>
        </w:sectPr>
      </w:pPr>
      <w:bookmarkStart w:id="0" w:name="_GoBack"/>
      <w:bookmarkEnd w:id="0"/>
    </w:p>
    <w:p w14:paraId="0E4FAEE6" w14:textId="77777777" w:rsidR="00E54CEA" w:rsidRPr="007C39F0" w:rsidRDefault="00E54CEA" w:rsidP="00675EB5">
      <w:pPr>
        <w:spacing w:line="480" w:lineRule="auto"/>
        <w:rPr>
          <w:rFonts w:cs="Times New Roman"/>
          <w:b/>
          <w:sz w:val="24"/>
          <w:szCs w:val="24"/>
        </w:rPr>
      </w:pPr>
      <w:r w:rsidRPr="007C39F0">
        <w:rPr>
          <w:rFonts w:cs="Times New Roman"/>
          <w:b/>
          <w:sz w:val="24"/>
          <w:szCs w:val="24"/>
        </w:rPr>
        <w:lastRenderedPageBreak/>
        <w:t>References</w:t>
      </w:r>
    </w:p>
    <w:p w14:paraId="14CAA5D0" w14:textId="2E72BDCB" w:rsidR="005C071B" w:rsidRPr="005C071B" w:rsidRDefault="00203F7D"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675EB5">
        <w:rPr>
          <w:rFonts w:cs="Times New Roman"/>
          <w:b/>
          <w:sz w:val="24"/>
          <w:szCs w:val="24"/>
        </w:rPr>
        <w:fldChar w:fldCharType="begin" w:fldLock="1"/>
      </w:r>
      <w:r w:rsidRPr="007C39F0">
        <w:rPr>
          <w:rFonts w:cs="Times New Roman"/>
          <w:b/>
          <w:sz w:val="24"/>
          <w:szCs w:val="24"/>
        </w:rPr>
        <w:instrText xml:space="preserve">ADDIN Mendeley Bibliography CSL_BIBLIOGRAPHY </w:instrText>
      </w:r>
      <w:r w:rsidRPr="00675EB5">
        <w:rPr>
          <w:rFonts w:cs="Times New Roman"/>
          <w:b/>
          <w:sz w:val="24"/>
          <w:szCs w:val="24"/>
        </w:rPr>
        <w:fldChar w:fldCharType="separate"/>
      </w:r>
      <w:r w:rsidR="005C071B" w:rsidRPr="005C071B">
        <w:rPr>
          <w:rFonts w:ascii="Calibri" w:hAnsi="Calibri" w:cs="Calibri"/>
          <w:noProof/>
          <w:sz w:val="24"/>
          <w:lang w:val="en-US"/>
        </w:rPr>
        <w:t xml:space="preserve">Aizawa, T. (2019). Transition of the BMI distribution in India: evidence from a distributional decomposition analysis. </w:t>
      </w:r>
      <w:r w:rsidR="005C071B" w:rsidRPr="005C071B">
        <w:rPr>
          <w:rFonts w:ascii="Calibri" w:hAnsi="Calibri" w:cs="Calibri"/>
          <w:i/>
          <w:iCs/>
          <w:noProof/>
          <w:sz w:val="24"/>
          <w:lang w:val="en-US"/>
        </w:rPr>
        <w:t>Journal of Bioeconomics</w:t>
      </w:r>
      <w:r w:rsidR="005C071B" w:rsidRPr="005C071B">
        <w:rPr>
          <w:rFonts w:ascii="Calibri" w:hAnsi="Calibri" w:cs="Calibri"/>
          <w:noProof/>
          <w:sz w:val="24"/>
          <w:lang w:val="en-US"/>
        </w:rPr>
        <w:t xml:space="preserve">, </w:t>
      </w:r>
      <w:r w:rsidR="005C071B" w:rsidRPr="005C071B">
        <w:rPr>
          <w:rFonts w:ascii="Calibri" w:hAnsi="Calibri" w:cs="Calibri"/>
          <w:i/>
          <w:iCs/>
          <w:noProof/>
          <w:sz w:val="24"/>
          <w:lang w:val="en-US"/>
        </w:rPr>
        <w:t>21</w:t>
      </w:r>
      <w:r w:rsidR="005C071B" w:rsidRPr="005C071B">
        <w:rPr>
          <w:rFonts w:ascii="Calibri" w:hAnsi="Calibri" w:cs="Calibri"/>
          <w:noProof/>
          <w:sz w:val="24"/>
          <w:lang w:val="en-US"/>
        </w:rPr>
        <w:t xml:space="preserve">(1), 3–36. </w:t>
      </w:r>
    </w:p>
    <w:p w14:paraId="3D47D030" w14:textId="713AD485"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Aune, D., Sen, A., Prasad, M., Norat, T., Janszky, I., Tonstad, S., … Vatten, L. J. (2016). BMI and all cause mortality: systematic review and non-linear dose-response meta-analysis of 230 cohort studies with 3.74 million deaths among 30.3 million participants. </w:t>
      </w:r>
      <w:r w:rsidRPr="005C071B">
        <w:rPr>
          <w:rFonts w:ascii="Calibri" w:hAnsi="Calibri" w:cs="Calibri"/>
          <w:i/>
          <w:iCs/>
          <w:noProof/>
          <w:sz w:val="24"/>
          <w:lang w:val="en-US"/>
        </w:rPr>
        <w:t>BMJ</w:t>
      </w:r>
      <w:r w:rsidRPr="005C071B">
        <w:rPr>
          <w:rFonts w:ascii="Calibri" w:hAnsi="Calibri" w:cs="Calibri"/>
          <w:noProof/>
          <w:sz w:val="24"/>
          <w:lang w:val="en-US"/>
        </w:rPr>
        <w:t xml:space="preserve"> </w:t>
      </w:r>
      <w:r w:rsidRPr="005C071B">
        <w:rPr>
          <w:rFonts w:ascii="Calibri" w:hAnsi="Calibri" w:cs="Calibri"/>
          <w:i/>
          <w:iCs/>
          <w:noProof/>
          <w:sz w:val="24"/>
          <w:lang w:val="en-US"/>
        </w:rPr>
        <w:t>353</w:t>
      </w:r>
      <w:r w:rsidRPr="005C071B">
        <w:rPr>
          <w:rFonts w:ascii="Calibri" w:hAnsi="Calibri" w:cs="Calibri"/>
          <w:noProof/>
          <w:sz w:val="24"/>
          <w:lang w:val="en-US"/>
        </w:rPr>
        <w:t xml:space="preserve">, i2156. </w:t>
      </w:r>
    </w:p>
    <w:p w14:paraId="070AA10D"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Bann, D., Fitzsimons, E., &amp; Johnson, W. (2020). Determinants of the population health distribution: an illustration examining body mass index. </w:t>
      </w:r>
      <w:r w:rsidRPr="005C071B">
        <w:rPr>
          <w:rFonts w:ascii="Calibri" w:hAnsi="Calibri" w:cs="Calibri"/>
          <w:i/>
          <w:iCs/>
          <w:noProof/>
          <w:sz w:val="24"/>
          <w:lang w:val="en-US"/>
        </w:rPr>
        <w:t>International Journal of Epidemiology</w:t>
      </w:r>
      <w:r w:rsidRPr="005C071B">
        <w:rPr>
          <w:rFonts w:ascii="Calibri" w:hAnsi="Calibri" w:cs="Calibri"/>
          <w:noProof/>
          <w:sz w:val="24"/>
          <w:lang w:val="en-US"/>
        </w:rPr>
        <w:t>. https://doi.org/10.1093/ije/dyz245</w:t>
      </w:r>
    </w:p>
    <w:p w14:paraId="3DD11A82" w14:textId="78F7F1FE"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Basu, S., Hong, A., &amp; Siddiqi, A. (2015). Using Decomposition Analysis to Identify Modifiable Racial Disparities in the Distribution of Blood Pressure in the United States. </w:t>
      </w:r>
      <w:r w:rsidRPr="005C071B">
        <w:rPr>
          <w:rFonts w:ascii="Calibri" w:hAnsi="Calibri" w:cs="Calibri"/>
          <w:i/>
          <w:iCs/>
          <w:noProof/>
          <w:sz w:val="24"/>
          <w:lang w:val="en-US"/>
        </w:rPr>
        <w:t>American Journal of Epidemiology</w:t>
      </w:r>
      <w:r w:rsidRPr="005C071B">
        <w:rPr>
          <w:rFonts w:ascii="Calibri" w:hAnsi="Calibri" w:cs="Calibri"/>
          <w:noProof/>
          <w:sz w:val="24"/>
          <w:lang w:val="en-US"/>
        </w:rPr>
        <w:t xml:space="preserve">, </w:t>
      </w:r>
      <w:r w:rsidRPr="005C071B">
        <w:rPr>
          <w:rFonts w:ascii="Calibri" w:hAnsi="Calibri" w:cs="Calibri"/>
          <w:i/>
          <w:iCs/>
          <w:noProof/>
          <w:sz w:val="24"/>
          <w:lang w:val="en-US"/>
        </w:rPr>
        <w:t>182</w:t>
      </w:r>
      <w:r w:rsidRPr="005C071B">
        <w:rPr>
          <w:rFonts w:ascii="Calibri" w:hAnsi="Calibri" w:cs="Calibri"/>
          <w:noProof/>
          <w:sz w:val="24"/>
          <w:lang w:val="en-US"/>
        </w:rPr>
        <w:t xml:space="preserve">(8), 345–353. </w:t>
      </w:r>
    </w:p>
    <w:p w14:paraId="19F2BC34"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Blinder, A. S. (1973). Wage Discrimination: Reduced Form and Structural Estimates. </w:t>
      </w:r>
      <w:r w:rsidRPr="005C071B">
        <w:rPr>
          <w:rFonts w:ascii="Calibri" w:hAnsi="Calibri" w:cs="Calibri"/>
          <w:i/>
          <w:iCs/>
          <w:noProof/>
          <w:sz w:val="24"/>
          <w:lang w:val="en-US"/>
        </w:rPr>
        <w:t>The Journal of Human Resources</w:t>
      </w:r>
      <w:r w:rsidRPr="005C071B">
        <w:rPr>
          <w:rFonts w:ascii="Calibri" w:hAnsi="Calibri" w:cs="Calibri"/>
          <w:noProof/>
          <w:sz w:val="24"/>
          <w:lang w:val="en-US"/>
        </w:rPr>
        <w:t xml:space="preserve">, </w:t>
      </w:r>
      <w:r w:rsidRPr="005C071B">
        <w:rPr>
          <w:rFonts w:ascii="Calibri" w:hAnsi="Calibri" w:cs="Calibri"/>
          <w:i/>
          <w:iCs/>
          <w:noProof/>
          <w:sz w:val="24"/>
          <w:lang w:val="en-US"/>
        </w:rPr>
        <w:t>8</w:t>
      </w:r>
      <w:r w:rsidRPr="005C071B">
        <w:rPr>
          <w:rFonts w:ascii="Calibri" w:hAnsi="Calibri" w:cs="Calibri"/>
          <w:noProof/>
          <w:sz w:val="24"/>
          <w:lang w:val="en-US"/>
        </w:rPr>
        <w:t>(4), 436–455.</w:t>
      </w:r>
    </w:p>
    <w:p w14:paraId="102ADB9A" w14:textId="71088EA5"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Bottai, M., Frongillo, E. A., Sui, X., Neill, J. R. O., Mckeown, R. E., Burns, T. L., … Pate, R. R. (2014). Use of Quantile Regression to Investigate the Longitudinal Association between Physical Activity and Body Mass Index. </w:t>
      </w:r>
      <w:r w:rsidRPr="005C071B">
        <w:rPr>
          <w:rFonts w:ascii="Calibri" w:hAnsi="Calibri" w:cs="Calibri"/>
          <w:i/>
          <w:iCs/>
          <w:noProof/>
          <w:sz w:val="24"/>
          <w:lang w:val="en-US"/>
        </w:rPr>
        <w:t>Obesity</w:t>
      </w:r>
      <w:r w:rsidRPr="005C071B">
        <w:rPr>
          <w:rFonts w:ascii="Calibri" w:hAnsi="Calibri" w:cs="Calibri"/>
          <w:noProof/>
          <w:sz w:val="24"/>
          <w:lang w:val="en-US"/>
        </w:rPr>
        <w:t xml:space="preserve">, </w:t>
      </w:r>
      <w:r w:rsidRPr="005C071B">
        <w:rPr>
          <w:rFonts w:ascii="Calibri" w:hAnsi="Calibri" w:cs="Calibri"/>
          <w:i/>
          <w:iCs/>
          <w:noProof/>
          <w:sz w:val="24"/>
          <w:lang w:val="en-US"/>
        </w:rPr>
        <w:t>22</w:t>
      </w:r>
      <w:r w:rsidRPr="005C071B">
        <w:rPr>
          <w:rFonts w:ascii="Calibri" w:hAnsi="Calibri" w:cs="Calibri"/>
          <w:noProof/>
          <w:sz w:val="24"/>
          <w:lang w:val="en-US"/>
        </w:rPr>
        <w:t xml:space="preserve">(5), 149–156. </w:t>
      </w:r>
    </w:p>
    <w:p w14:paraId="57376C13"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Davillas, A., &amp; Jones, A. (2020). Regional inequalities in adiposity in England: distributional analysis of the contribution of individual-level characteristics and the small area obesogenic environment. </w:t>
      </w:r>
      <w:r w:rsidRPr="005C071B">
        <w:rPr>
          <w:rFonts w:ascii="Calibri" w:hAnsi="Calibri" w:cs="Calibri"/>
          <w:i/>
          <w:iCs/>
          <w:noProof/>
          <w:sz w:val="24"/>
          <w:lang w:val="en-US"/>
        </w:rPr>
        <w:t>Economics and Human Biology</w:t>
      </w:r>
      <w:r w:rsidRPr="005C071B">
        <w:rPr>
          <w:rFonts w:ascii="Calibri" w:hAnsi="Calibri" w:cs="Calibri"/>
          <w:noProof/>
          <w:sz w:val="24"/>
          <w:lang w:val="en-US"/>
        </w:rPr>
        <w:t>, 100887.</w:t>
      </w:r>
    </w:p>
    <w:p w14:paraId="0439F989"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Department of Health. (2004). At least five a week: Evidence on the impact of physical </w:t>
      </w:r>
      <w:r w:rsidRPr="005C071B">
        <w:rPr>
          <w:rFonts w:ascii="Calibri" w:hAnsi="Calibri" w:cs="Calibri"/>
          <w:noProof/>
          <w:sz w:val="24"/>
          <w:lang w:val="en-US"/>
        </w:rPr>
        <w:lastRenderedPageBreak/>
        <w:t>activity and its relationship to health. Retrieved from https://webarchive.nationalarchives.gov.uk/20130105001829/http://www.dh.gov.uk/prod_consum_dh/groups/dh_digitalassets/@dh/@en/documents/digitalasset/dh_4080981.pdf</w:t>
      </w:r>
    </w:p>
    <w:p w14:paraId="3F26AE13"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Department of Health. (2011). Start Active, Stay Active: A report on physical activity from the four home countries’ Chief Medical Officers.</w:t>
      </w:r>
    </w:p>
    <w:p w14:paraId="49F0D64F" w14:textId="70555696"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Dutton, D. J., &amp; Mclaren, L. (2016). How important are determinants of obesity measured at the individual level for explaining geographic variation in body mass index distributions? Observational evidence from Canada using Quantile Regression and Blinder-Oaxaca Decomposition. </w:t>
      </w:r>
      <w:r w:rsidRPr="005C071B">
        <w:rPr>
          <w:rFonts w:ascii="Calibri" w:hAnsi="Calibri" w:cs="Calibri"/>
          <w:i/>
          <w:iCs/>
          <w:noProof/>
          <w:sz w:val="24"/>
          <w:lang w:val="en-US"/>
        </w:rPr>
        <w:t>Journal of Epidemiology &amp; Community Health</w:t>
      </w:r>
      <w:r w:rsidRPr="005C071B">
        <w:rPr>
          <w:rFonts w:ascii="Calibri" w:hAnsi="Calibri" w:cs="Calibri"/>
          <w:noProof/>
          <w:sz w:val="24"/>
          <w:lang w:val="en-US"/>
        </w:rPr>
        <w:t xml:space="preserve">, </w:t>
      </w:r>
      <w:r w:rsidRPr="005C071B">
        <w:rPr>
          <w:rFonts w:ascii="Calibri" w:hAnsi="Calibri" w:cs="Calibri"/>
          <w:i/>
          <w:iCs/>
          <w:noProof/>
          <w:sz w:val="24"/>
          <w:lang w:val="en-US"/>
        </w:rPr>
        <w:t>70</w:t>
      </w:r>
      <w:r w:rsidRPr="005C071B">
        <w:rPr>
          <w:rFonts w:ascii="Calibri" w:hAnsi="Calibri" w:cs="Calibri"/>
          <w:noProof/>
          <w:sz w:val="24"/>
          <w:lang w:val="en-US"/>
        </w:rPr>
        <w:t xml:space="preserve">, 367–373. </w:t>
      </w:r>
    </w:p>
    <w:p w14:paraId="375A7283"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El-Sayed, A. M., Scarborough, P., &amp; Galea, S. (2011). Ethnic inequalities in obesity among children and adults in the UK: a systematic review of the literature. </w:t>
      </w:r>
      <w:r w:rsidRPr="005C071B">
        <w:rPr>
          <w:rFonts w:ascii="Calibri" w:hAnsi="Calibri" w:cs="Calibri"/>
          <w:i/>
          <w:iCs/>
          <w:noProof/>
          <w:sz w:val="24"/>
          <w:lang w:val="en-US"/>
        </w:rPr>
        <w:t>Obesity Reviews</w:t>
      </w:r>
      <w:r w:rsidRPr="005C071B">
        <w:rPr>
          <w:rFonts w:ascii="Calibri" w:hAnsi="Calibri" w:cs="Calibri"/>
          <w:noProof/>
          <w:sz w:val="24"/>
          <w:lang w:val="en-US"/>
        </w:rPr>
        <w:t xml:space="preserve">, </w:t>
      </w:r>
      <w:r w:rsidRPr="005C071B">
        <w:rPr>
          <w:rFonts w:ascii="Calibri" w:hAnsi="Calibri" w:cs="Calibri"/>
          <w:i/>
          <w:iCs/>
          <w:noProof/>
          <w:sz w:val="24"/>
          <w:lang w:val="en-US"/>
        </w:rPr>
        <w:t>12</w:t>
      </w:r>
      <w:r w:rsidRPr="005C071B">
        <w:rPr>
          <w:rFonts w:ascii="Calibri" w:hAnsi="Calibri" w:cs="Calibri"/>
          <w:noProof/>
          <w:sz w:val="24"/>
          <w:lang w:val="en-US"/>
        </w:rPr>
        <w:t>(5), e516-34.</w:t>
      </w:r>
    </w:p>
    <w:p w14:paraId="23E7CEF4" w14:textId="14E7A212"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Firpo, S., Fortin, N. M., &amp; Lemieux, T. (2009). Unconditional quantile regressions. </w:t>
      </w:r>
      <w:r w:rsidRPr="005C071B">
        <w:rPr>
          <w:rFonts w:ascii="Calibri" w:hAnsi="Calibri" w:cs="Calibri"/>
          <w:i/>
          <w:iCs/>
          <w:noProof/>
          <w:sz w:val="24"/>
          <w:lang w:val="en-US"/>
        </w:rPr>
        <w:t>Econometrica</w:t>
      </w:r>
      <w:r w:rsidRPr="005C071B">
        <w:rPr>
          <w:rFonts w:ascii="Calibri" w:hAnsi="Calibri" w:cs="Calibri"/>
          <w:noProof/>
          <w:sz w:val="24"/>
          <w:lang w:val="en-US"/>
        </w:rPr>
        <w:t xml:space="preserve">, </w:t>
      </w:r>
      <w:r w:rsidRPr="005C071B">
        <w:rPr>
          <w:rFonts w:ascii="Calibri" w:hAnsi="Calibri" w:cs="Calibri"/>
          <w:i/>
          <w:iCs/>
          <w:noProof/>
          <w:sz w:val="24"/>
          <w:lang w:val="en-US"/>
        </w:rPr>
        <w:t>77</w:t>
      </w:r>
      <w:r w:rsidRPr="005C071B">
        <w:rPr>
          <w:rFonts w:ascii="Calibri" w:hAnsi="Calibri" w:cs="Calibri"/>
          <w:noProof/>
          <w:sz w:val="24"/>
          <w:lang w:val="en-US"/>
        </w:rPr>
        <w:t xml:space="preserve">(3), 953–973. </w:t>
      </w:r>
    </w:p>
    <w:p w14:paraId="0EFB256F" w14:textId="15413D78"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Green, M. A., Subramanian, S. V, &amp; Razak, F. (2016). Population-level trends in the distribution of body mass index in England, 1992 – 2013. </w:t>
      </w:r>
      <w:r w:rsidRPr="005C071B">
        <w:rPr>
          <w:rFonts w:ascii="Calibri" w:hAnsi="Calibri" w:cs="Calibri"/>
          <w:i/>
          <w:iCs/>
          <w:noProof/>
          <w:sz w:val="24"/>
          <w:lang w:val="en-US"/>
        </w:rPr>
        <w:t>Journal of Epidemiology &amp; Community Health</w:t>
      </w:r>
      <w:r w:rsidRPr="005C071B">
        <w:rPr>
          <w:rFonts w:ascii="Calibri" w:hAnsi="Calibri" w:cs="Calibri"/>
          <w:noProof/>
          <w:sz w:val="24"/>
          <w:lang w:val="en-US"/>
        </w:rPr>
        <w:t xml:space="preserve">, </w:t>
      </w:r>
      <w:r w:rsidRPr="005C071B">
        <w:rPr>
          <w:rFonts w:ascii="Calibri" w:hAnsi="Calibri" w:cs="Calibri"/>
          <w:i/>
          <w:iCs/>
          <w:noProof/>
          <w:sz w:val="24"/>
          <w:lang w:val="en-US"/>
        </w:rPr>
        <w:t>70</w:t>
      </w:r>
      <w:r w:rsidRPr="005C071B">
        <w:rPr>
          <w:rFonts w:ascii="Calibri" w:hAnsi="Calibri" w:cs="Calibri"/>
          <w:noProof/>
          <w:sz w:val="24"/>
          <w:lang w:val="en-US"/>
        </w:rPr>
        <w:t xml:space="preserve">, 832–835. </w:t>
      </w:r>
    </w:p>
    <w:p w14:paraId="53D7CF0B" w14:textId="02DFEF8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Hayes, A. J., Lung, T. W. C., Bauman, A., &amp; Howard, K. (2017). Modelling obesity trends in Australia: unravelling the past and predicting the future. </w:t>
      </w:r>
      <w:r w:rsidRPr="005C071B">
        <w:rPr>
          <w:rFonts w:ascii="Calibri" w:hAnsi="Calibri" w:cs="Calibri"/>
          <w:i/>
          <w:iCs/>
          <w:noProof/>
          <w:sz w:val="24"/>
          <w:lang w:val="en-US"/>
        </w:rPr>
        <w:t>International Journal of Obesity</w:t>
      </w:r>
      <w:r w:rsidRPr="005C071B">
        <w:rPr>
          <w:rFonts w:ascii="Calibri" w:hAnsi="Calibri" w:cs="Calibri"/>
          <w:noProof/>
          <w:sz w:val="24"/>
          <w:lang w:val="en-US"/>
        </w:rPr>
        <w:t xml:space="preserve">, </w:t>
      </w:r>
      <w:r w:rsidRPr="005C071B">
        <w:rPr>
          <w:rFonts w:ascii="Calibri" w:hAnsi="Calibri" w:cs="Calibri"/>
          <w:i/>
          <w:iCs/>
          <w:noProof/>
          <w:sz w:val="24"/>
          <w:lang w:val="en-US"/>
        </w:rPr>
        <w:t>41</w:t>
      </w:r>
      <w:r w:rsidRPr="005C071B">
        <w:rPr>
          <w:rFonts w:ascii="Calibri" w:hAnsi="Calibri" w:cs="Calibri"/>
          <w:noProof/>
          <w:sz w:val="24"/>
          <w:lang w:val="en-US"/>
        </w:rPr>
        <w:t xml:space="preserve">, 178–185. </w:t>
      </w:r>
    </w:p>
    <w:p w14:paraId="192EA9EC" w14:textId="63F4B3BB"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Johnson, W., Li, L., Kuh, D., &amp; Hardy, R. (2015). How Has the Age-Related Process of Overweight or Obesity Development Changed over Time? Co-ordinated Analyses of </w:t>
      </w:r>
      <w:r w:rsidRPr="005C071B">
        <w:rPr>
          <w:rFonts w:ascii="Calibri" w:hAnsi="Calibri" w:cs="Calibri"/>
          <w:noProof/>
          <w:sz w:val="24"/>
          <w:lang w:val="en-US"/>
        </w:rPr>
        <w:lastRenderedPageBreak/>
        <w:t xml:space="preserve">Individual Participant Data from Five United Kingdom Birth Cohorts. </w:t>
      </w:r>
      <w:r w:rsidRPr="005C071B">
        <w:rPr>
          <w:rFonts w:ascii="Calibri" w:hAnsi="Calibri" w:cs="Calibri"/>
          <w:i/>
          <w:iCs/>
          <w:noProof/>
          <w:sz w:val="24"/>
          <w:lang w:val="en-US"/>
        </w:rPr>
        <w:t>PLoS Medicine</w:t>
      </w:r>
      <w:r w:rsidRPr="005C071B">
        <w:rPr>
          <w:rFonts w:ascii="Calibri" w:hAnsi="Calibri" w:cs="Calibri"/>
          <w:noProof/>
          <w:sz w:val="24"/>
          <w:lang w:val="en-US"/>
        </w:rPr>
        <w:t xml:space="preserve">, </w:t>
      </w:r>
      <w:r w:rsidRPr="005C071B">
        <w:rPr>
          <w:rFonts w:ascii="Calibri" w:hAnsi="Calibri" w:cs="Calibri"/>
          <w:i/>
          <w:iCs/>
          <w:noProof/>
          <w:sz w:val="24"/>
          <w:lang w:val="en-US"/>
        </w:rPr>
        <w:t>12</w:t>
      </w:r>
      <w:r w:rsidRPr="005C071B">
        <w:rPr>
          <w:rFonts w:ascii="Calibri" w:hAnsi="Calibri" w:cs="Calibri"/>
          <w:noProof/>
          <w:sz w:val="24"/>
          <w:lang w:val="en-US"/>
        </w:rPr>
        <w:t xml:space="preserve">(5), e1001828. </w:t>
      </w:r>
    </w:p>
    <w:p w14:paraId="2E397CCE" w14:textId="3D9FF4C9"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Kranjac, A. W., &amp; Wagmiller, R. L. (2020). Decomposing Trends in Child Obesity. </w:t>
      </w:r>
      <w:r w:rsidRPr="005C071B">
        <w:rPr>
          <w:rFonts w:ascii="Calibri" w:hAnsi="Calibri" w:cs="Calibri"/>
          <w:i/>
          <w:iCs/>
          <w:noProof/>
          <w:sz w:val="24"/>
          <w:lang w:val="en-US"/>
        </w:rPr>
        <w:t>Population Research and Policy Review</w:t>
      </w:r>
      <w:r w:rsidRPr="005C071B">
        <w:rPr>
          <w:rFonts w:ascii="Calibri" w:hAnsi="Calibri" w:cs="Calibri"/>
          <w:noProof/>
          <w:sz w:val="24"/>
          <w:lang w:val="en-US"/>
        </w:rPr>
        <w:t xml:space="preserve">, </w:t>
      </w:r>
      <w:r w:rsidRPr="005C071B">
        <w:rPr>
          <w:rFonts w:ascii="Calibri" w:hAnsi="Calibri" w:cs="Calibri"/>
          <w:i/>
          <w:iCs/>
          <w:noProof/>
          <w:sz w:val="24"/>
          <w:lang w:val="en-US"/>
        </w:rPr>
        <w:t>39</w:t>
      </w:r>
      <w:r w:rsidRPr="005C071B">
        <w:rPr>
          <w:rFonts w:ascii="Calibri" w:hAnsi="Calibri" w:cs="Calibri"/>
          <w:noProof/>
          <w:sz w:val="24"/>
          <w:lang w:val="en-US"/>
        </w:rPr>
        <w:t xml:space="preserve">(2), 375–388. </w:t>
      </w:r>
    </w:p>
    <w:p w14:paraId="6E75BBE8"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Krishna, A., Razak, F., Lebel, A., Smith, G. D., &amp; Subramanian, S. V. (2015). Trends in group inequalities and interindividual inequalities in BMI in the United States, 1993-2012. </w:t>
      </w:r>
      <w:r w:rsidRPr="005C071B">
        <w:rPr>
          <w:rFonts w:ascii="Calibri" w:hAnsi="Calibri" w:cs="Calibri"/>
          <w:i/>
          <w:iCs/>
          <w:noProof/>
          <w:sz w:val="24"/>
          <w:lang w:val="en-US"/>
        </w:rPr>
        <w:t>American Journal of Clinical Nutrition</w:t>
      </w:r>
      <w:r w:rsidRPr="005C071B">
        <w:rPr>
          <w:rFonts w:ascii="Calibri" w:hAnsi="Calibri" w:cs="Calibri"/>
          <w:noProof/>
          <w:sz w:val="24"/>
          <w:lang w:val="en-US"/>
        </w:rPr>
        <w:t xml:space="preserve">, </w:t>
      </w:r>
      <w:r w:rsidRPr="005C071B">
        <w:rPr>
          <w:rFonts w:ascii="Calibri" w:hAnsi="Calibri" w:cs="Calibri"/>
          <w:i/>
          <w:iCs/>
          <w:noProof/>
          <w:sz w:val="24"/>
          <w:lang w:val="en-US"/>
        </w:rPr>
        <w:t>101</w:t>
      </w:r>
      <w:r w:rsidRPr="005C071B">
        <w:rPr>
          <w:rFonts w:ascii="Calibri" w:hAnsi="Calibri" w:cs="Calibri"/>
          <w:noProof/>
          <w:sz w:val="24"/>
          <w:lang w:val="en-US"/>
        </w:rPr>
        <w:t>(3), 598–605.</w:t>
      </w:r>
    </w:p>
    <w:p w14:paraId="35B6A1A7" w14:textId="3C7EAA6C"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Machado, J. A. F., &amp; Mata, J. (2005). Counterfactual decomposition of changes in wage distribution using quantile regression. </w:t>
      </w:r>
      <w:r w:rsidRPr="005C071B">
        <w:rPr>
          <w:rFonts w:ascii="Calibri" w:hAnsi="Calibri" w:cs="Calibri"/>
          <w:i/>
          <w:iCs/>
          <w:noProof/>
          <w:sz w:val="24"/>
          <w:lang w:val="en-US"/>
        </w:rPr>
        <w:t>Journal of Applied Econometrics</w:t>
      </w:r>
      <w:r w:rsidRPr="005C071B">
        <w:rPr>
          <w:rFonts w:ascii="Calibri" w:hAnsi="Calibri" w:cs="Calibri"/>
          <w:noProof/>
          <w:sz w:val="24"/>
          <w:lang w:val="en-US"/>
        </w:rPr>
        <w:t xml:space="preserve">, </w:t>
      </w:r>
      <w:r w:rsidRPr="005C071B">
        <w:rPr>
          <w:rFonts w:ascii="Calibri" w:hAnsi="Calibri" w:cs="Calibri"/>
          <w:i/>
          <w:iCs/>
          <w:noProof/>
          <w:sz w:val="24"/>
          <w:lang w:val="en-US"/>
        </w:rPr>
        <w:t>20</w:t>
      </w:r>
      <w:r w:rsidRPr="005C071B">
        <w:rPr>
          <w:rFonts w:ascii="Calibri" w:hAnsi="Calibri" w:cs="Calibri"/>
          <w:noProof/>
          <w:sz w:val="24"/>
          <w:lang w:val="en-US"/>
        </w:rPr>
        <w:t xml:space="preserve">, 445–465. </w:t>
      </w:r>
    </w:p>
    <w:p w14:paraId="3A644C93" w14:textId="625CBE2F"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Mindell, J., Biddulph, J. P., Hirani, V., Stamatakis, E., Craig, R., Nunn, S., &amp; Shelton, N. (2012). Cohort Profile: The Health Survey for England. </w:t>
      </w:r>
      <w:r w:rsidRPr="005C071B">
        <w:rPr>
          <w:rFonts w:ascii="Calibri" w:hAnsi="Calibri" w:cs="Calibri"/>
          <w:i/>
          <w:iCs/>
          <w:noProof/>
          <w:sz w:val="24"/>
          <w:lang w:val="en-US"/>
        </w:rPr>
        <w:t>International Journal of Epidemiology</w:t>
      </w:r>
      <w:r w:rsidRPr="005C071B">
        <w:rPr>
          <w:rFonts w:ascii="Calibri" w:hAnsi="Calibri" w:cs="Calibri"/>
          <w:noProof/>
          <w:sz w:val="24"/>
          <w:lang w:val="en-US"/>
        </w:rPr>
        <w:t xml:space="preserve">, </w:t>
      </w:r>
      <w:r w:rsidRPr="005C071B">
        <w:rPr>
          <w:rFonts w:ascii="Calibri" w:hAnsi="Calibri" w:cs="Calibri"/>
          <w:i/>
          <w:iCs/>
          <w:noProof/>
          <w:sz w:val="24"/>
          <w:lang w:val="en-US"/>
        </w:rPr>
        <w:t>41</w:t>
      </w:r>
      <w:r w:rsidRPr="005C071B">
        <w:rPr>
          <w:rFonts w:ascii="Calibri" w:hAnsi="Calibri" w:cs="Calibri"/>
          <w:noProof/>
          <w:sz w:val="24"/>
          <w:lang w:val="en-US"/>
        </w:rPr>
        <w:t xml:space="preserve">, 1585–1593. </w:t>
      </w:r>
    </w:p>
    <w:p w14:paraId="34DA7321"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NHS. (2019). Statistics on Obesity, Physical Activity and Diet, England, 2019. Retrieved from https://digital.nhs.uk/data-and-information/publications/statistical/statistics-on-obesity-physical-activity-and-diet/statistics-on-obesity-physical-activity-and-diet-england-2019</w:t>
      </w:r>
    </w:p>
    <w:p w14:paraId="3B7F76A8"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Norris, T., Bann, D., Hardy, R., &amp; Johnson, W. (2020). Socioeconomic inequalities in childhood-to-adulthood BMI tracking in three British birth cohorts. </w:t>
      </w:r>
      <w:r w:rsidRPr="005C071B">
        <w:rPr>
          <w:rFonts w:ascii="Calibri" w:hAnsi="Calibri" w:cs="Calibri"/>
          <w:i/>
          <w:iCs/>
          <w:noProof/>
          <w:sz w:val="24"/>
          <w:lang w:val="en-US"/>
        </w:rPr>
        <w:t>International Journal of Obesity</w:t>
      </w:r>
      <w:r w:rsidRPr="005C071B">
        <w:rPr>
          <w:rFonts w:ascii="Calibri" w:hAnsi="Calibri" w:cs="Calibri"/>
          <w:noProof/>
          <w:sz w:val="24"/>
          <w:lang w:val="en-US"/>
        </w:rPr>
        <w:t xml:space="preserve">, </w:t>
      </w:r>
      <w:r w:rsidRPr="005C071B">
        <w:rPr>
          <w:rFonts w:ascii="Calibri" w:hAnsi="Calibri" w:cs="Calibri"/>
          <w:i/>
          <w:iCs/>
          <w:noProof/>
          <w:sz w:val="24"/>
          <w:lang w:val="en-US"/>
        </w:rPr>
        <w:t>44</w:t>
      </w:r>
      <w:r w:rsidRPr="005C071B">
        <w:rPr>
          <w:rFonts w:ascii="Calibri" w:hAnsi="Calibri" w:cs="Calibri"/>
          <w:noProof/>
          <w:sz w:val="24"/>
          <w:lang w:val="en-US"/>
        </w:rPr>
        <w:t>, 388–398.</w:t>
      </w:r>
    </w:p>
    <w:p w14:paraId="23F7D151"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Oaxaca, R. (1973). Male-Female Wage Differentials in Urban Labor Markets. </w:t>
      </w:r>
      <w:r w:rsidRPr="005C071B">
        <w:rPr>
          <w:rFonts w:ascii="Calibri" w:hAnsi="Calibri" w:cs="Calibri"/>
          <w:i/>
          <w:iCs/>
          <w:noProof/>
          <w:sz w:val="24"/>
          <w:lang w:val="en-US"/>
        </w:rPr>
        <w:t>International Economic Review</w:t>
      </w:r>
      <w:r w:rsidRPr="005C071B">
        <w:rPr>
          <w:rFonts w:ascii="Calibri" w:hAnsi="Calibri" w:cs="Calibri"/>
          <w:noProof/>
          <w:sz w:val="24"/>
          <w:lang w:val="en-US"/>
        </w:rPr>
        <w:t xml:space="preserve">, </w:t>
      </w:r>
      <w:r w:rsidRPr="005C071B">
        <w:rPr>
          <w:rFonts w:ascii="Calibri" w:hAnsi="Calibri" w:cs="Calibri"/>
          <w:i/>
          <w:iCs/>
          <w:noProof/>
          <w:sz w:val="24"/>
          <w:lang w:val="en-US"/>
        </w:rPr>
        <w:t>14</w:t>
      </w:r>
      <w:r w:rsidRPr="005C071B">
        <w:rPr>
          <w:rFonts w:ascii="Calibri" w:hAnsi="Calibri" w:cs="Calibri"/>
          <w:noProof/>
          <w:sz w:val="24"/>
          <w:lang w:val="en-US"/>
        </w:rPr>
        <w:t>(3), 693–709.</w:t>
      </w:r>
    </w:p>
    <w:p w14:paraId="7525D26F" w14:textId="1AF8FFD2"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Ouyang, Y., Wang, H., Su, C., Wang, Z., Song, Y., Xiao, Y., … Zhang, B. (2015). Use of quantile regression to investigate changes in the body mass index distribution of Chinese adults </w:t>
      </w:r>
      <w:r w:rsidRPr="005C071B">
        <w:rPr>
          <w:rFonts w:ascii="Calibri" w:hAnsi="Calibri" w:cs="Calibri"/>
          <w:noProof/>
          <w:sz w:val="24"/>
          <w:lang w:val="en-US"/>
        </w:rPr>
        <w:lastRenderedPageBreak/>
        <w:t xml:space="preserve">aged 18 – 60 years: a longitudinal study. </w:t>
      </w:r>
      <w:r w:rsidRPr="005C071B">
        <w:rPr>
          <w:rFonts w:ascii="Calibri" w:hAnsi="Calibri" w:cs="Calibri"/>
          <w:i/>
          <w:iCs/>
          <w:noProof/>
          <w:sz w:val="24"/>
          <w:lang w:val="en-US"/>
        </w:rPr>
        <w:t>BMC Public Health</w:t>
      </w:r>
      <w:r w:rsidRPr="005C071B">
        <w:rPr>
          <w:rFonts w:ascii="Calibri" w:hAnsi="Calibri" w:cs="Calibri"/>
          <w:noProof/>
          <w:sz w:val="24"/>
          <w:lang w:val="en-US"/>
        </w:rPr>
        <w:t xml:space="preserve">, </w:t>
      </w:r>
      <w:r w:rsidRPr="005C071B">
        <w:rPr>
          <w:rFonts w:ascii="Calibri" w:hAnsi="Calibri" w:cs="Calibri"/>
          <w:i/>
          <w:iCs/>
          <w:noProof/>
          <w:sz w:val="24"/>
          <w:lang w:val="en-US"/>
        </w:rPr>
        <w:t>15</w:t>
      </w:r>
      <w:r w:rsidRPr="005C071B">
        <w:rPr>
          <w:rFonts w:ascii="Calibri" w:hAnsi="Calibri" w:cs="Calibri"/>
          <w:noProof/>
          <w:sz w:val="24"/>
          <w:lang w:val="en-US"/>
        </w:rPr>
        <w:t xml:space="preserve">, 278. </w:t>
      </w:r>
    </w:p>
    <w:p w14:paraId="4706ED80" w14:textId="5D7AE099"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Prince, S. A., Adamo, K. B., Hamel, M. E., Hardt, J., Connor Gorber, S., &amp; Tremblay, M. (2008). A comparison of direct versus self-report measures for assessing physical activity in adults: a systematic review. </w:t>
      </w:r>
      <w:r w:rsidRPr="005C071B">
        <w:rPr>
          <w:rFonts w:ascii="Calibri" w:hAnsi="Calibri" w:cs="Calibri"/>
          <w:i/>
          <w:iCs/>
          <w:noProof/>
          <w:sz w:val="24"/>
          <w:lang w:val="en-US"/>
        </w:rPr>
        <w:t>International Journal of Behavioral Nutrition and Physical Activity</w:t>
      </w:r>
      <w:r w:rsidRPr="005C071B">
        <w:rPr>
          <w:rFonts w:ascii="Calibri" w:hAnsi="Calibri" w:cs="Calibri"/>
          <w:noProof/>
          <w:sz w:val="24"/>
          <w:lang w:val="en-US"/>
        </w:rPr>
        <w:t xml:space="preserve">, </w:t>
      </w:r>
      <w:r w:rsidRPr="005C071B">
        <w:rPr>
          <w:rFonts w:ascii="Calibri" w:hAnsi="Calibri" w:cs="Calibri"/>
          <w:i/>
          <w:iCs/>
          <w:noProof/>
          <w:sz w:val="24"/>
          <w:lang w:val="en-US"/>
        </w:rPr>
        <w:t>5</w:t>
      </w:r>
      <w:r w:rsidRPr="005C071B">
        <w:rPr>
          <w:rFonts w:ascii="Calibri" w:hAnsi="Calibri" w:cs="Calibri"/>
          <w:noProof/>
          <w:sz w:val="24"/>
          <w:lang w:val="en-US"/>
        </w:rPr>
        <w:t xml:space="preserve">, 56. </w:t>
      </w:r>
    </w:p>
    <w:p w14:paraId="6FD22708" w14:textId="039A0ABF"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Rothman, K. J. (2008). BMI-related errors in the measurement of obesity. </w:t>
      </w:r>
      <w:r w:rsidRPr="005C071B">
        <w:rPr>
          <w:rFonts w:ascii="Calibri" w:hAnsi="Calibri" w:cs="Calibri"/>
          <w:i/>
          <w:iCs/>
          <w:noProof/>
          <w:sz w:val="24"/>
          <w:lang w:val="en-US"/>
        </w:rPr>
        <w:t>International Journal of Health Geographics</w:t>
      </w:r>
      <w:r w:rsidRPr="005C071B">
        <w:rPr>
          <w:rFonts w:ascii="Calibri" w:hAnsi="Calibri" w:cs="Calibri"/>
          <w:noProof/>
          <w:sz w:val="24"/>
          <w:lang w:val="en-US"/>
        </w:rPr>
        <w:t xml:space="preserve">, </w:t>
      </w:r>
      <w:r w:rsidRPr="005C071B">
        <w:rPr>
          <w:rFonts w:ascii="Calibri" w:hAnsi="Calibri" w:cs="Calibri"/>
          <w:i/>
          <w:iCs/>
          <w:noProof/>
          <w:sz w:val="24"/>
          <w:lang w:val="en-US"/>
        </w:rPr>
        <w:t>32</w:t>
      </w:r>
      <w:r w:rsidRPr="005C071B">
        <w:rPr>
          <w:rFonts w:ascii="Calibri" w:hAnsi="Calibri" w:cs="Calibri"/>
          <w:noProof/>
          <w:sz w:val="24"/>
          <w:lang w:val="en-US"/>
        </w:rPr>
        <w:t xml:space="preserve">, S56–S59. </w:t>
      </w:r>
    </w:p>
    <w:p w14:paraId="6C304E72" w14:textId="77777777"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Siddiqi, A., Shahidi, F. V., Hildebrand, V., Hong, A., &amp; Basu, S. (2018). Illustrating a “consequential” shift in the study of health inequalities: a decomposition of racial differences in the distribution of body mass. </w:t>
      </w:r>
      <w:r w:rsidRPr="005C071B">
        <w:rPr>
          <w:rFonts w:ascii="Calibri" w:hAnsi="Calibri" w:cs="Calibri"/>
          <w:i/>
          <w:iCs/>
          <w:noProof/>
          <w:sz w:val="24"/>
          <w:lang w:val="en-US"/>
        </w:rPr>
        <w:t>Annals of Epidemiology</w:t>
      </w:r>
      <w:r w:rsidRPr="005C071B">
        <w:rPr>
          <w:rFonts w:ascii="Calibri" w:hAnsi="Calibri" w:cs="Calibri"/>
          <w:noProof/>
          <w:sz w:val="24"/>
          <w:lang w:val="en-US"/>
        </w:rPr>
        <w:t xml:space="preserve">, </w:t>
      </w:r>
      <w:r w:rsidRPr="005C071B">
        <w:rPr>
          <w:rFonts w:ascii="Calibri" w:hAnsi="Calibri" w:cs="Calibri"/>
          <w:i/>
          <w:iCs/>
          <w:noProof/>
          <w:sz w:val="24"/>
          <w:lang w:val="en-US"/>
        </w:rPr>
        <w:t>28</w:t>
      </w:r>
      <w:r w:rsidRPr="005C071B">
        <w:rPr>
          <w:rFonts w:ascii="Calibri" w:hAnsi="Calibri" w:cs="Calibri"/>
          <w:noProof/>
          <w:sz w:val="24"/>
          <w:lang w:val="en-US"/>
        </w:rPr>
        <w:t>(4), 236–241.</w:t>
      </w:r>
    </w:p>
    <w:p w14:paraId="143E6507" w14:textId="479AF5B0"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lang w:val="en-US"/>
        </w:rPr>
      </w:pPr>
      <w:r w:rsidRPr="005C071B">
        <w:rPr>
          <w:rFonts w:ascii="Calibri" w:hAnsi="Calibri" w:cs="Calibri"/>
          <w:noProof/>
          <w:sz w:val="24"/>
          <w:lang w:val="en-US"/>
        </w:rPr>
        <w:t xml:space="preserve">Wagner, K. J. P., Boing, A. F., Cembranel, F., Boing, A. C. da S., &amp; Subramanian, S. V. (2019). Change in the distribution of body mass index in Brazil: analysing the interindividual inequality between 1974 and 2013. </w:t>
      </w:r>
      <w:r w:rsidRPr="005C071B">
        <w:rPr>
          <w:rFonts w:ascii="Calibri" w:hAnsi="Calibri" w:cs="Calibri"/>
          <w:i/>
          <w:iCs/>
          <w:noProof/>
          <w:sz w:val="24"/>
          <w:lang w:val="en-US"/>
        </w:rPr>
        <w:t>Journal of Epidemiology and Community Health</w:t>
      </w:r>
      <w:r w:rsidRPr="005C071B">
        <w:rPr>
          <w:rFonts w:ascii="Calibri" w:hAnsi="Calibri" w:cs="Calibri"/>
          <w:noProof/>
          <w:sz w:val="24"/>
          <w:lang w:val="en-US"/>
        </w:rPr>
        <w:t xml:space="preserve">, </w:t>
      </w:r>
      <w:r w:rsidRPr="005C071B">
        <w:rPr>
          <w:rFonts w:ascii="Calibri" w:hAnsi="Calibri" w:cs="Calibri"/>
          <w:i/>
          <w:iCs/>
          <w:noProof/>
          <w:sz w:val="24"/>
          <w:lang w:val="en-US"/>
        </w:rPr>
        <w:t>73</w:t>
      </w:r>
      <w:r w:rsidRPr="005C071B">
        <w:rPr>
          <w:rFonts w:ascii="Calibri" w:hAnsi="Calibri" w:cs="Calibri"/>
          <w:noProof/>
          <w:sz w:val="24"/>
          <w:lang w:val="en-US"/>
        </w:rPr>
        <w:t xml:space="preserve">(6), 544 LP – 548. </w:t>
      </w:r>
    </w:p>
    <w:p w14:paraId="38B66987" w14:textId="1ED03289" w:rsidR="005C071B" w:rsidRPr="005C071B" w:rsidRDefault="005C071B" w:rsidP="005C071B">
      <w:pPr>
        <w:widowControl w:val="0"/>
        <w:autoSpaceDE w:val="0"/>
        <w:autoSpaceDN w:val="0"/>
        <w:adjustRightInd w:val="0"/>
        <w:spacing w:before="100" w:after="100" w:line="480" w:lineRule="auto"/>
        <w:ind w:left="480" w:hanging="480"/>
        <w:rPr>
          <w:rFonts w:ascii="Calibri" w:hAnsi="Calibri" w:cs="Calibri"/>
          <w:noProof/>
          <w:sz w:val="24"/>
        </w:rPr>
      </w:pPr>
      <w:r w:rsidRPr="005C071B">
        <w:rPr>
          <w:rFonts w:ascii="Calibri" w:hAnsi="Calibri" w:cs="Calibri"/>
          <w:noProof/>
          <w:sz w:val="24"/>
          <w:lang w:val="en-US"/>
        </w:rPr>
        <w:t xml:space="preserve">Yamada, G., Jones-Smith, J. C., Castillo-Salgado, C., &amp; Moulton, L. H. (2020). Differences in magnitude and rates of change in BMI distributions by socioeconomic and geographic factors in Mexico, Colombia, and Peru, 2005–2010. </w:t>
      </w:r>
      <w:r w:rsidRPr="005C071B">
        <w:rPr>
          <w:rFonts w:ascii="Calibri" w:hAnsi="Calibri" w:cs="Calibri"/>
          <w:i/>
          <w:iCs/>
          <w:noProof/>
          <w:sz w:val="24"/>
          <w:lang w:val="en-US"/>
        </w:rPr>
        <w:t>European Journal of Clinical Nutrition</w:t>
      </w:r>
      <w:r w:rsidRPr="005C071B">
        <w:rPr>
          <w:rFonts w:ascii="Calibri" w:hAnsi="Calibri" w:cs="Calibri"/>
          <w:noProof/>
          <w:sz w:val="24"/>
          <w:lang w:val="en-US"/>
        </w:rPr>
        <w:t xml:space="preserve">, </w:t>
      </w:r>
      <w:r w:rsidRPr="005C071B">
        <w:rPr>
          <w:rFonts w:ascii="Calibri" w:hAnsi="Calibri" w:cs="Calibri"/>
          <w:i/>
          <w:iCs/>
          <w:noProof/>
          <w:sz w:val="24"/>
          <w:lang w:val="en-US"/>
        </w:rPr>
        <w:t>74</w:t>
      </w:r>
      <w:r w:rsidRPr="005C071B">
        <w:rPr>
          <w:rFonts w:ascii="Calibri" w:hAnsi="Calibri" w:cs="Calibri"/>
          <w:noProof/>
          <w:sz w:val="24"/>
          <w:lang w:val="en-US"/>
        </w:rPr>
        <w:t xml:space="preserve">(3), 472–480. </w:t>
      </w:r>
    </w:p>
    <w:p w14:paraId="12FCC1E6" w14:textId="1F693E84" w:rsidR="00983B22" w:rsidRPr="00675EB5" w:rsidRDefault="00203F7D" w:rsidP="005C071B">
      <w:pPr>
        <w:widowControl w:val="0"/>
        <w:autoSpaceDE w:val="0"/>
        <w:autoSpaceDN w:val="0"/>
        <w:adjustRightInd w:val="0"/>
        <w:spacing w:before="100" w:after="100" w:line="480" w:lineRule="auto"/>
        <w:ind w:left="480" w:hanging="480"/>
        <w:rPr>
          <w:rFonts w:cs="Times New Roman"/>
        </w:rPr>
      </w:pPr>
      <w:r w:rsidRPr="00675EB5">
        <w:rPr>
          <w:rFonts w:cs="Times New Roman"/>
          <w:b/>
        </w:rPr>
        <w:fldChar w:fldCharType="end"/>
      </w:r>
    </w:p>
    <w:sectPr w:rsidR="00983B22" w:rsidRPr="00675EB5" w:rsidSect="00473B0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BA7FE" w14:textId="77777777" w:rsidR="00FC3AEA" w:rsidRDefault="00FC3AEA" w:rsidP="00EF5E21">
      <w:pPr>
        <w:spacing w:after="0" w:line="240" w:lineRule="auto"/>
      </w:pPr>
      <w:r>
        <w:separator/>
      </w:r>
    </w:p>
  </w:endnote>
  <w:endnote w:type="continuationSeparator" w:id="0">
    <w:p w14:paraId="4AD3EEE7" w14:textId="77777777" w:rsidR="00FC3AEA" w:rsidRDefault="00FC3AEA" w:rsidP="00EF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365750"/>
      <w:docPartObj>
        <w:docPartGallery w:val="Page Numbers (Bottom of Page)"/>
        <w:docPartUnique/>
      </w:docPartObj>
    </w:sdtPr>
    <w:sdtEndPr>
      <w:rPr>
        <w:rStyle w:val="PageNumber"/>
      </w:rPr>
    </w:sdtEndPr>
    <w:sdtContent>
      <w:p w14:paraId="3A626008" w14:textId="1E0F22B7" w:rsidR="002316BB" w:rsidRDefault="002316BB" w:rsidP="00E63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99A55" w14:textId="77777777" w:rsidR="002316BB" w:rsidRDefault="002316BB" w:rsidP="003F7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322871"/>
      <w:docPartObj>
        <w:docPartGallery w:val="Page Numbers (Bottom of Page)"/>
        <w:docPartUnique/>
      </w:docPartObj>
    </w:sdtPr>
    <w:sdtEndPr>
      <w:rPr>
        <w:rStyle w:val="PageNumber"/>
      </w:rPr>
    </w:sdtEndPr>
    <w:sdtContent>
      <w:p w14:paraId="1FB01DCE" w14:textId="7A4E7359" w:rsidR="002316BB" w:rsidRDefault="002316BB" w:rsidP="00E63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0F9410" w14:textId="77777777" w:rsidR="002316BB" w:rsidRDefault="002316BB" w:rsidP="003F74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BB6C" w14:textId="77777777" w:rsidR="00FC3AEA" w:rsidRDefault="00FC3AEA" w:rsidP="00EF5E21">
      <w:pPr>
        <w:spacing w:after="0" w:line="240" w:lineRule="auto"/>
      </w:pPr>
      <w:r>
        <w:separator/>
      </w:r>
    </w:p>
  </w:footnote>
  <w:footnote w:type="continuationSeparator" w:id="0">
    <w:p w14:paraId="2C399C4C" w14:textId="77777777" w:rsidR="00FC3AEA" w:rsidRDefault="00FC3AEA" w:rsidP="00EF5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25F"/>
    <w:multiLevelType w:val="hybridMultilevel"/>
    <w:tmpl w:val="01CE9854"/>
    <w:lvl w:ilvl="0" w:tplc="39D4FC9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45874"/>
    <w:multiLevelType w:val="multilevel"/>
    <w:tmpl w:val="22D2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87A12"/>
    <w:multiLevelType w:val="hybridMultilevel"/>
    <w:tmpl w:val="9B68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2394F"/>
    <w:multiLevelType w:val="hybridMultilevel"/>
    <w:tmpl w:val="84984C5A"/>
    <w:lvl w:ilvl="0" w:tplc="8266F5E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8689A"/>
    <w:multiLevelType w:val="multilevel"/>
    <w:tmpl w:val="5548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B4202"/>
    <w:multiLevelType w:val="hybridMultilevel"/>
    <w:tmpl w:val="235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7642E"/>
    <w:multiLevelType w:val="hybridMultilevel"/>
    <w:tmpl w:val="4622E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C2C55"/>
    <w:multiLevelType w:val="hybridMultilevel"/>
    <w:tmpl w:val="DF3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C5FEE"/>
    <w:multiLevelType w:val="hybridMultilevel"/>
    <w:tmpl w:val="69927A22"/>
    <w:lvl w:ilvl="0" w:tplc="648495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91EDB"/>
    <w:multiLevelType w:val="multilevel"/>
    <w:tmpl w:val="FAA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36484"/>
    <w:multiLevelType w:val="hybridMultilevel"/>
    <w:tmpl w:val="104A3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54450"/>
    <w:multiLevelType w:val="multilevel"/>
    <w:tmpl w:val="FB82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34032"/>
    <w:multiLevelType w:val="hybridMultilevel"/>
    <w:tmpl w:val="08BE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9549C"/>
    <w:multiLevelType w:val="hybridMultilevel"/>
    <w:tmpl w:val="3A7A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43FB0"/>
    <w:multiLevelType w:val="hybridMultilevel"/>
    <w:tmpl w:val="F9EA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03493"/>
    <w:multiLevelType w:val="hybridMultilevel"/>
    <w:tmpl w:val="8C7AA116"/>
    <w:lvl w:ilvl="0" w:tplc="D40C77B2">
      <w:start w:val="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A37021"/>
    <w:multiLevelType w:val="hybridMultilevel"/>
    <w:tmpl w:val="D03E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4"/>
  </w:num>
  <w:num w:numId="5">
    <w:abstractNumId w:val="13"/>
  </w:num>
  <w:num w:numId="6">
    <w:abstractNumId w:val="2"/>
  </w:num>
  <w:num w:numId="7">
    <w:abstractNumId w:val="14"/>
  </w:num>
  <w:num w:numId="8">
    <w:abstractNumId w:val="12"/>
  </w:num>
  <w:num w:numId="9">
    <w:abstractNumId w:val="16"/>
  </w:num>
  <w:num w:numId="10">
    <w:abstractNumId w:val="5"/>
  </w:num>
  <w:num w:numId="11">
    <w:abstractNumId w:val="0"/>
  </w:num>
  <w:num w:numId="12">
    <w:abstractNumId w:val="15"/>
  </w:num>
  <w:num w:numId="13">
    <w:abstractNumId w:val="3"/>
  </w:num>
  <w:num w:numId="14">
    <w:abstractNumId w:val="6"/>
  </w:num>
  <w:num w:numId="15">
    <w:abstractNumId w:val="8"/>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47"/>
    <w:rsid w:val="0000079A"/>
    <w:rsid w:val="0000181C"/>
    <w:rsid w:val="000023A0"/>
    <w:rsid w:val="00004C5E"/>
    <w:rsid w:val="00004D2F"/>
    <w:rsid w:val="00004ED5"/>
    <w:rsid w:val="00010193"/>
    <w:rsid w:val="00014F5F"/>
    <w:rsid w:val="00016991"/>
    <w:rsid w:val="00017879"/>
    <w:rsid w:val="00017AFF"/>
    <w:rsid w:val="0002111E"/>
    <w:rsid w:val="00023824"/>
    <w:rsid w:val="000244DE"/>
    <w:rsid w:val="00024D9D"/>
    <w:rsid w:val="000253E3"/>
    <w:rsid w:val="00026038"/>
    <w:rsid w:val="00026A71"/>
    <w:rsid w:val="00026B0D"/>
    <w:rsid w:val="00030E1E"/>
    <w:rsid w:val="00031C48"/>
    <w:rsid w:val="00033E48"/>
    <w:rsid w:val="00033F92"/>
    <w:rsid w:val="00034A65"/>
    <w:rsid w:val="00036F39"/>
    <w:rsid w:val="0003752A"/>
    <w:rsid w:val="00042D75"/>
    <w:rsid w:val="00043E47"/>
    <w:rsid w:val="00045CD6"/>
    <w:rsid w:val="00046D0D"/>
    <w:rsid w:val="00052047"/>
    <w:rsid w:val="000532E4"/>
    <w:rsid w:val="00056E75"/>
    <w:rsid w:val="000608DD"/>
    <w:rsid w:val="00064095"/>
    <w:rsid w:val="00064AE1"/>
    <w:rsid w:val="000658C6"/>
    <w:rsid w:val="000670A2"/>
    <w:rsid w:val="00070016"/>
    <w:rsid w:val="0007075F"/>
    <w:rsid w:val="00070BD7"/>
    <w:rsid w:val="00073080"/>
    <w:rsid w:val="00073E05"/>
    <w:rsid w:val="000754E2"/>
    <w:rsid w:val="00076101"/>
    <w:rsid w:val="00076AD7"/>
    <w:rsid w:val="000777BB"/>
    <w:rsid w:val="00080854"/>
    <w:rsid w:val="000818BB"/>
    <w:rsid w:val="00082062"/>
    <w:rsid w:val="00085538"/>
    <w:rsid w:val="00086A43"/>
    <w:rsid w:val="00086BA0"/>
    <w:rsid w:val="00087538"/>
    <w:rsid w:val="000903C2"/>
    <w:rsid w:val="00091BE9"/>
    <w:rsid w:val="000923AC"/>
    <w:rsid w:val="000940FB"/>
    <w:rsid w:val="00094CC6"/>
    <w:rsid w:val="000959E1"/>
    <w:rsid w:val="000969D0"/>
    <w:rsid w:val="000A0CE0"/>
    <w:rsid w:val="000A40AC"/>
    <w:rsid w:val="000A5700"/>
    <w:rsid w:val="000A7144"/>
    <w:rsid w:val="000A73C6"/>
    <w:rsid w:val="000B0F1B"/>
    <w:rsid w:val="000B10C2"/>
    <w:rsid w:val="000B34F2"/>
    <w:rsid w:val="000B4871"/>
    <w:rsid w:val="000B53F7"/>
    <w:rsid w:val="000B5A78"/>
    <w:rsid w:val="000B5BA4"/>
    <w:rsid w:val="000C09AD"/>
    <w:rsid w:val="000C50AD"/>
    <w:rsid w:val="000C53AD"/>
    <w:rsid w:val="000D059C"/>
    <w:rsid w:val="000D06C7"/>
    <w:rsid w:val="000D0B29"/>
    <w:rsid w:val="000D3B60"/>
    <w:rsid w:val="000D3EBA"/>
    <w:rsid w:val="000D4A93"/>
    <w:rsid w:val="000D766D"/>
    <w:rsid w:val="000E3CC7"/>
    <w:rsid w:val="000E5B27"/>
    <w:rsid w:val="000E5BD1"/>
    <w:rsid w:val="000E6366"/>
    <w:rsid w:val="000E7400"/>
    <w:rsid w:val="000F0E34"/>
    <w:rsid w:val="000F2905"/>
    <w:rsid w:val="000F4056"/>
    <w:rsid w:val="000F41FD"/>
    <w:rsid w:val="000F47ED"/>
    <w:rsid w:val="000F525D"/>
    <w:rsid w:val="000F5893"/>
    <w:rsid w:val="000F5AC8"/>
    <w:rsid w:val="000F7A52"/>
    <w:rsid w:val="000F7E13"/>
    <w:rsid w:val="001010F7"/>
    <w:rsid w:val="00101DCE"/>
    <w:rsid w:val="00105528"/>
    <w:rsid w:val="0010647F"/>
    <w:rsid w:val="00106805"/>
    <w:rsid w:val="00110B2E"/>
    <w:rsid w:val="001132CB"/>
    <w:rsid w:val="00113B7E"/>
    <w:rsid w:val="001141BC"/>
    <w:rsid w:val="00114C86"/>
    <w:rsid w:val="001151C0"/>
    <w:rsid w:val="00115479"/>
    <w:rsid w:val="00115FF7"/>
    <w:rsid w:val="00116D8D"/>
    <w:rsid w:val="0011770B"/>
    <w:rsid w:val="00117745"/>
    <w:rsid w:val="00120FF5"/>
    <w:rsid w:val="00123ACA"/>
    <w:rsid w:val="00123FCD"/>
    <w:rsid w:val="001250A9"/>
    <w:rsid w:val="001262CD"/>
    <w:rsid w:val="001267BF"/>
    <w:rsid w:val="00126F2E"/>
    <w:rsid w:val="001279AC"/>
    <w:rsid w:val="00127D65"/>
    <w:rsid w:val="00130801"/>
    <w:rsid w:val="00130DFF"/>
    <w:rsid w:val="00132048"/>
    <w:rsid w:val="001320D9"/>
    <w:rsid w:val="0013360C"/>
    <w:rsid w:val="00136223"/>
    <w:rsid w:val="0013700D"/>
    <w:rsid w:val="001376AA"/>
    <w:rsid w:val="001376DD"/>
    <w:rsid w:val="00137E70"/>
    <w:rsid w:val="00142117"/>
    <w:rsid w:val="00143E32"/>
    <w:rsid w:val="001445C5"/>
    <w:rsid w:val="00144E6F"/>
    <w:rsid w:val="001466DD"/>
    <w:rsid w:val="00146B3F"/>
    <w:rsid w:val="001513B0"/>
    <w:rsid w:val="001546F9"/>
    <w:rsid w:val="00154C6B"/>
    <w:rsid w:val="00155F14"/>
    <w:rsid w:val="001560C8"/>
    <w:rsid w:val="00156622"/>
    <w:rsid w:val="001567FB"/>
    <w:rsid w:val="00156BC3"/>
    <w:rsid w:val="00156F59"/>
    <w:rsid w:val="00157912"/>
    <w:rsid w:val="00160ACF"/>
    <w:rsid w:val="00161E04"/>
    <w:rsid w:val="00163902"/>
    <w:rsid w:val="00165F01"/>
    <w:rsid w:val="00166C49"/>
    <w:rsid w:val="00167F1D"/>
    <w:rsid w:val="00170939"/>
    <w:rsid w:val="0017255B"/>
    <w:rsid w:val="00172F56"/>
    <w:rsid w:val="00175768"/>
    <w:rsid w:val="00175DD0"/>
    <w:rsid w:val="00177890"/>
    <w:rsid w:val="0018059C"/>
    <w:rsid w:val="00180D0D"/>
    <w:rsid w:val="00181790"/>
    <w:rsid w:val="0018245A"/>
    <w:rsid w:val="00184BA9"/>
    <w:rsid w:val="001866EC"/>
    <w:rsid w:val="00191886"/>
    <w:rsid w:val="00191DD1"/>
    <w:rsid w:val="001949CA"/>
    <w:rsid w:val="001959AD"/>
    <w:rsid w:val="00196098"/>
    <w:rsid w:val="001A2837"/>
    <w:rsid w:val="001A3661"/>
    <w:rsid w:val="001A7514"/>
    <w:rsid w:val="001A7A06"/>
    <w:rsid w:val="001A7CD5"/>
    <w:rsid w:val="001A7EAF"/>
    <w:rsid w:val="001B0C8F"/>
    <w:rsid w:val="001B79B2"/>
    <w:rsid w:val="001C24AD"/>
    <w:rsid w:val="001C3045"/>
    <w:rsid w:val="001C3CC9"/>
    <w:rsid w:val="001C3E32"/>
    <w:rsid w:val="001C45D8"/>
    <w:rsid w:val="001C49AC"/>
    <w:rsid w:val="001C74DC"/>
    <w:rsid w:val="001C7608"/>
    <w:rsid w:val="001D062C"/>
    <w:rsid w:val="001D1CB0"/>
    <w:rsid w:val="001D27D1"/>
    <w:rsid w:val="001D347F"/>
    <w:rsid w:val="001D3B32"/>
    <w:rsid w:val="001D5607"/>
    <w:rsid w:val="001D7C8B"/>
    <w:rsid w:val="001E0470"/>
    <w:rsid w:val="001E0F42"/>
    <w:rsid w:val="001E374F"/>
    <w:rsid w:val="001E3A0E"/>
    <w:rsid w:val="001E41C8"/>
    <w:rsid w:val="001E5E89"/>
    <w:rsid w:val="001E6F26"/>
    <w:rsid w:val="001E7245"/>
    <w:rsid w:val="001E72F3"/>
    <w:rsid w:val="001F1422"/>
    <w:rsid w:val="001F1FF0"/>
    <w:rsid w:val="001F3AFE"/>
    <w:rsid w:val="001F52F1"/>
    <w:rsid w:val="001F5ABE"/>
    <w:rsid w:val="001F7A49"/>
    <w:rsid w:val="00201177"/>
    <w:rsid w:val="002028F6"/>
    <w:rsid w:val="002033AA"/>
    <w:rsid w:val="00203F7D"/>
    <w:rsid w:val="002041D2"/>
    <w:rsid w:val="00204435"/>
    <w:rsid w:val="00206484"/>
    <w:rsid w:val="0020759A"/>
    <w:rsid w:val="00210CA8"/>
    <w:rsid w:val="002114B3"/>
    <w:rsid w:val="0021329A"/>
    <w:rsid w:val="002132F6"/>
    <w:rsid w:val="00214532"/>
    <w:rsid w:val="00214EF4"/>
    <w:rsid w:val="00215258"/>
    <w:rsid w:val="00220A2B"/>
    <w:rsid w:val="00220E26"/>
    <w:rsid w:val="00222102"/>
    <w:rsid w:val="0022271C"/>
    <w:rsid w:val="002241A3"/>
    <w:rsid w:val="00224359"/>
    <w:rsid w:val="00224B3E"/>
    <w:rsid w:val="00225BEE"/>
    <w:rsid w:val="00225F5E"/>
    <w:rsid w:val="00227539"/>
    <w:rsid w:val="00231161"/>
    <w:rsid w:val="002316BB"/>
    <w:rsid w:val="00231B57"/>
    <w:rsid w:val="002326F6"/>
    <w:rsid w:val="002341FF"/>
    <w:rsid w:val="00234956"/>
    <w:rsid w:val="002359E3"/>
    <w:rsid w:val="0023638D"/>
    <w:rsid w:val="00237753"/>
    <w:rsid w:val="0023783B"/>
    <w:rsid w:val="00240A65"/>
    <w:rsid w:val="00241E00"/>
    <w:rsid w:val="0024228F"/>
    <w:rsid w:val="0024447F"/>
    <w:rsid w:val="0024459C"/>
    <w:rsid w:val="00245F76"/>
    <w:rsid w:val="00245FD0"/>
    <w:rsid w:val="002478AA"/>
    <w:rsid w:val="00247A65"/>
    <w:rsid w:val="002510FD"/>
    <w:rsid w:val="0025260B"/>
    <w:rsid w:val="0025422C"/>
    <w:rsid w:val="00254D22"/>
    <w:rsid w:val="00257D08"/>
    <w:rsid w:val="002617D3"/>
    <w:rsid w:val="00264A90"/>
    <w:rsid w:val="00265AEE"/>
    <w:rsid w:val="0027019B"/>
    <w:rsid w:val="0027184E"/>
    <w:rsid w:val="00272D80"/>
    <w:rsid w:val="002731D0"/>
    <w:rsid w:val="00273B93"/>
    <w:rsid w:val="00273BC1"/>
    <w:rsid w:val="00273EA9"/>
    <w:rsid w:val="0027443C"/>
    <w:rsid w:val="0027472C"/>
    <w:rsid w:val="002759E1"/>
    <w:rsid w:val="00281C4B"/>
    <w:rsid w:val="00282B70"/>
    <w:rsid w:val="002830F7"/>
    <w:rsid w:val="0028579B"/>
    <w:rsid w:val="002866FB"/>
    <w:rsid w:val="00286D1F"/>
    <w:rsid w:val="002870E3"/>
    <w:rsid w:val="00287583"/>
    <w:rsid w:val="00290194"/>
    <w:rsid w:val="00290324"/>
    <w:rsid w:val="00291780"/>
    <w:rsid w:val="00291834"/>
    <w:rsid w:val="00292AEC"/>
    <w:rsid w:val="002943CB"/>
    <w:rsid w:val="00295505"/>
    <w:rsid w:val="002A0381"/>
    <w:rsid w:val="002A1036"/>
    <w:rsid w:val="002A2C74"/>
    <w:rsid w:val="002A30B3"/>
    <w:rsid w:val="002A3D67"/>
    <w:rsid w:val="002A728C"/>
    <w:rsid w:val="002B076B"/>
    <w:rsid w:val="002B3275"/>
    <w:rsid w:val="002B538F"/>
    <w:rsid w:val="002B6547"/>
    <w:rsid w:val="002B6900"/>
    <w:rsid w:val="002B7B5F"/>
    <w:rsid w:val="002C0057"/>
    <w:rsid w:val="002C08DF"/>
    <w:rsid w:val="002C0D0A"/>
    <w:rsid w:val="002C16BB"/>
    <w:rsid w:val="002C23F6"/>
    <w:rsid w:val="002C45D9"/>
    <w:rsid w:val="002C5005"/>
    <w:rsid w:val="002C7EF4"/>
    <w:rsid w:val="002D06FB"/>
    <w:rsid w:val="002D15FA"/>
    <w:rsid w:val="002D3827"/>
    <w:rsid w:val="002D4037"/>
    <w:rsid w:val="002D546B"/>
    <w:rsid w:val="002E31FA"/>
    <w:rsid w:val="002E4ADB"/>
    <w:rsid w:val="002E4D8B"/>
    <w:rsid w:val="002E52C2"/>
    <w:rsid w:val="002E593F"/>
    <w:rsid w:val="002E61F8"/>
    <w:rsid w:val="002E64F0"/>
    <w:rsid w:val="002E6DE9"/>
    <w:rsid w:val="002E72F8"/>
    <w:rsid w:val="002E7519"/>
    <w:rsid w:val="002E7A94"/>
    <w:rsid w:val="002F00C9"/>
    <w:rsid w:val="002F28DF"/>
    <w:rsid w:val="002F479B"/>
    <w:rsid w:val="002F4845"/>
    <w:rsid w:val="00300CC5"/>
    <w:rsid w:val="0030108C"/>
    <w:rsid w:val="00301193"/>
    <w:rsid w:val="00302300"/>
    <w:rsid w:val="00303FB4"/>
    <w:rsid w:val="003041CB"/>
    <w:rsid w:val="003052A3"/>
    <w:rsid w:val="003058FA"/>
    <w:rsid w:val="00306EC1"/>
    <w:rsid w:val="0030741E"/>
    <w:rsid w:val="003113A9"/>
    <w:rsid w:val="0031165A"/>
    <w:rsid w:val="00316AA7"/>
    <w:rsid w:val="00320E11"/>
    <w:rsid w:val="003210F4"/>
    <w:rsid w:val="00321700"/>
    <w:rsid w:val="00321E08"/>
    <w:rsid w:val="00325392"/>
    <w:rsid w:val="0032626B"/>
    <w:rsid w:val="00326F1B"/>
    <w:rsid w:val="00327006"/>
    <w:rsid w:val="003273F9"/>
    <w:rsid w:val="00327528"/>
    <w:rsid w:val="00327951"/>
    <w:rsid w:val="00331C2E"/>
    <w:rsid w:val="00332386"/>
    <w:rsid w:val="00333B0D"/>
    <w:rsid w:val="00334152"/>
    <w:rsid w:val="00334250"/>
    <w:rsid w:val="00334C97"/>
    <w:rsid w:val="003351D8"/>
    <w:rsid w:val="00337F00"/>
    <w:rsid w:val="003413CB"/>
    <w:rsid w:val="00341CF0"/>
    <w:rsid w:val="00343EEA"/>
    <w:rsid w:val="00343FF1"/>
    <w:rsid w:val="00344003"/>
    <w:rsid w:val="00344C26"/>
    <w:rsid w:val="00345520"/>
    <w:rsid w:val="00345A61"/>
    <w:rsid w:val="00345AFD"/>
    <w:rsid w:val="00352F17"/>
    <w:rsid w:val="00353288"/>
    <w:rsid w:val="0035521B"/>
    <w:rsid w:val="00355450"/>
    <w:rsid w:val="0035612B"/>
    <w:rsid w:val="00356FE4"/>
    <w:rsid w:val="003575E5"/>
    <w:rsid w:val="00357935"/>
    <w:rsid w:val="003614FF"/>
    <w:rsid w:val="003621C7"/>
    <w:rsid w:val="0036239B"/>
    <w:rsid w:val="0036243D"/>
    <w:rsid w:val="00362B5D"/>
    <w:rsid w:val="003654CA"/>
    <w:rsid w:val="003675D0"/>
    <w:rsid w:val="00371025"/>
    <w:rsid w:val="00371A7C"/>
    <w:rsid w:val="003773A9"/>
    <w:rsid w:val="003807E5"/>
    <w:rsid w:val="00381F01"/>
    <w:rsid w:val="00382F70"/>
    <w:rsid w:val="00383C04"/>
    <w:rsid w:val="00384504"/>
    <w:rsid w:val="0038606D"/>
    <w:rsid w:val="0038629A"/>
    <w:rsid w:val="0038649B"/>
    <w:rsid w:val="003866B6"/>
    <w:rsid w:val="00387A60"/>
    <w:rsid w:val="003906EE"/>
    <w:rsid w:val="00391CC7"/>
    <w:rsid w:val="003934FB"/>
    <w:rsid w:val="0039578B"/>
    <w:rsid w:val="0039617F"/>
    <w:rsid w:val="00397103"/>
    <w:rsid w:val="003A012E"/>
    <w:rsid w:val="003A0ADD"/>
    <w:rsid w:val="003A2F83"/>
    <w:rsid w:val="003A31C7"/>
    <w:rsid w:val="003A4DA4"/>
    <w:rsid w:val="003A52BD"/>
    <w:rsid w:val="003A54E1"/>
    <w:rsid w:val="003A650F"/>
    <w:rsid w:val="003A7DB2"/>
    <w:rsid w:val="003B0950"/>
    <w:rsid w:val="003B178F"/>
    <w:rsid w:val="003B1C74"/>
    <w:rsid w:val="003B1D7A"/>
    <w:rsid w:val="003B4119"/>
    <w:rsid w:val="003C00F2"/>
    <w:rsid w:val="003C03B9"/>
    <w:rsid w:val="003C1A46"/>
    <w:rsid w:val="003C1C9C"/>
    <w:rsid w:val="003C4342"/>
    <w:rsid w:val="003C5540"/>
    <w:rsid w:val="003D0A65"/>
    <w:rsid w:val="003D1115"/>
    <w:rsid w:val="003D2640"/>
    <w:rsid w:val="003D59FC"/>
    <w:rsid w:val="003D5EFE"/>
    <w:rsid w:val="003D6064"/>
    <w:rsid w:val="003D68DB"/>
    <w:rsid w:val="003D690F"/>
    <w:rsid w:val="003E0C25"/>
    <w:rsid w:val="003E22BC"/>
    <w:rsid w:val="003E28E4"/>
    <w:rsid w:val="003E2945"/>
    <w:rsid w:val="003E2E66"/>
    <w:rsid w:val="003E4ABF"/>
    <w:rsid w:val="003F01CC"/>
    <w:rsid w:val="003F08EF"/>
    <w:rsid w:val="003F1F3B"/>
    <w:rsid w:val="003F2841"/>
    <w:rsid w:val="003F2B99"/>
    <w:rsid w:val="003F2CE3"/>
    <w:rsid w:val="003F3380"/>
    <w:rsid w:val="003F398B"/>
    <w:rsid w:val="003F5388"/>
    <w:rsid w:val="003F612F"/>
    <w:rsid w:val="003F721A"/>
    <w:rsid w:val="003F74A2"/>
    <w:rsid w:val="00401061"/>
    <w:rsid w:val="00402971"/>
    <w:rsid w:val="00402FC2"/>
    <w:rsid w:val="00403FB5"/>
    <w:rsid w:val="00404BD4"/>
    <w:rsid w:val="00406BC3"/>
    <w:rsid w:val="00410A5E"/>
    <w:rsid w:val="00411088"/>
    <w:rsid w:val="004110B3"/>
    <w:rsid w:val="00412068"/>
    <w:rsid w:val="0041447C"/>
    <w:rsid w:val="00414E73"/>
    <w:rsid w:val="00416277"/>
    <w:rsid w:val="00416DDB"/>
    <w:rsid w:val="00417A4D"/>
    <w:rsid w:val="00417DD7"/>
    <w:rsid w:val="00420182"/>
    <w:rsid w:val="00421B4B"/>
    <w:rsid w:val="00422171"/>
    <w:rsid w:val="00424BCA"/>
    <w:rsid w:val="00427F2B"/>
    <w:rsid w:val="00431491"/>
    <w:rsid w:val="0043272C"/>
    <w:rsid w:val="00433582"/>
    <w:rsid w:val="00436441"/>
    <w:rsid w:val="00437C33"/>
    <w:rsid w:val="004406B4"/>
    <w:rsid w:val="004418BB"/>
    <w:rsid w:val="00442A2E"/>
    <w:rsid w:val="00442D7E"/>
    <w:rsid w:val="0044352D"/>
    <w:rsid w:val="00444160"/>
    <w:rsid w:val="004453A1"/>
    <w:rsid w:val="00445B79"/>
    <w:rsid w:val="0044682C"/>
    <w:rsid w:val="00451275"/>
    <w:rsid w:val="0045220E"/>
    <w:rsid w:val="00453F38"/>
    <w:rsid w:val="004545B4"/>
    <w:rsid w:val="00454D12"/>
    <w:rsid w:val="00454F47"/>
    <w:rsid w:val="004562CE"/>
    <w:rsid w:val="004563BF"/>
    <w:rsid w:val="00456794"/>
    <w:rsid w:val="004603AA"/>
    <w:rsid w:val="004658A5"/>
    <w:rsid w:val="0046632E"/>
    <w:rsid w:val="00467A5E"/>
    <w:rsid w:val="00471366"/>
    <w:rsid w:val="00471BB4"/>
    <w:rsid w:val="004720A5"/>
    <w:rsid w:val="00472A0B"/>
    <w:rsid w:val="00473B03"/>
    <w:rsid w:val="00473C87"/>
    <w:rsid w:val="00474588"/>
    <w:rsid w:val="004749A1"/>
    <w:rsid w:val="00475854"/>
    <w:rsid w:val="004776E7"/>
    <w:rsid w:val="00483598"/>
    <w:rsid w:val="00485058"/>
    <w:rsid w:val="00485B42"/>
    <w:rsid w:val="004876DC"/>
    <w:rsid w:val="00487B59"/>
    <w:rsid w:val="0049482B"/>
    <w:rsid w:val="004954A9"/>
    <w:rsid w:val="00497BDF"/>
    <w:rsid w:val="004A060C"/>
    <w:rsid w:val="004A2BE3"/>
    <w:rsid w:val="004A2DF7"/>
    <w:rsid w:val="004A3C99"/>
    <w:rsid w:val="004A4DB7"/>
    <w:rsid w:val="004A567B"/>
    <w:rsid w:val="004A7AA5"/>
    <w:rsid w:val="004B1A2A"/>
    <w:rsid w:val="004B1C4B"/>
    <w:rsid w:val="004B2BFA"/>
    <w:rsid w:val="004B2ED2"/>
    <w:rsid w:val="004B3149"/>
    <w:rsid w:val="004B3741"/>
    <w:rsid w:val="004B5D05"/>
    <w:rsid w:val="004B6425"/>
    <w:rsid w:val="004B6914"/>
    <w:rsid w:val="004B7723"/>
    <w:rsid w:val="004C0294"/>
    <w:rsid w:val="004C24EC"/>
    <w:rsid w:val="004C5521"/>
    <w:rsid w:val="004C594A"/>
    <w:rsid w:val="004C7D0D"/>
    <w:rsid w:val="004D0221"/>
    <w:rsid w:val="004D0ED4"/>
    <w:rsid w:val="004D14C5"/>
    <w:rsid w:val="004D1C9F"/>
    <w:rsid w:val="004D2638"/>
    <w:rsid w:val="004D3534"/>
    <w:rsid w:val="004D413B"/>
    <w:rsid w:val="004D5253"/>
    <w:rsid w:val="004D67E3"/>
    <w:rsid w:val="004D6F92"/>
    <w:rsid w:val="004E050D"/>
    <w:rsid w:val="004E28F4"/>
    <w:rsid w:val="004F0B57"/>
    <w:rsid w:val="004F0E08"/>
    <w:rsid w:val="004F25BE"/>
    <w:rsid w:val="004F2DFC"/>
    <w:rsid w:val="004F4C85"/>
    <w:rsid w:val="004F580E"/>
    <w:rsid w:val="004F5908"/>
    <w:rsid w:val="004F600B"/>
    <w:rsid w:val="004F60B6"/>
    <w:rsid w:val="004F614F"/>
    <w:rsid w:val="004F6BDF"/>
    <w:rsid w:val="004F7F61"/>
    <w:rsid w:val="00501FAC"/>
    <w:rsid w:val="00502C78"/>
    <w:rsid w:val="00502C8B"/>
    <w:rsid w:val="005036AA"/>
    <w:rsid w:val="00503965"/>
    <w:rsid w:val="00503A2D"/>
    <w:rsid w:val="00505052"/>
    <w:rsid w:val="00505180"/>
    <w:rsid w:val="00507714"/>
    <w:rsid w:val="005078D4"/>
    <w:rsid w:val="005103B5"/>
    <w:rsid w:val="00510701"/>
    <w:rsid w:val="0051084E"/>
    <w:rsid w:val="00510B4A"/>
    <w:rsid w:val="00510E12"/>
    <w:rsid w:val="00510E2B"/>
    <w:rsid w:val="00510FD0"/>
    <w:rsid w:val="0051132F"/>
    <w:rsid w:val="00511528"/>
    <w:rsid w:val="00512F42"/>
    <w:rsid w:val="00514717"/>
    <w:rsid w:val="00514CFE"/>
    <w:rsid w:val="0051617A"/>
    <w:rsid w:val="0051621B"/>
    <w:rsid w:val="00516B84"/>
    <w:rsid w:val="00516CC2"/>
    <w:rsid w:val="00517089"/>
    <w:rsid w:val="005173C2"/>
    <w:rsid w:val="00520871"/>
    <w:rsid w:val="00522C88"/>
    <w:rsid w:val="00525F50"/>
    <w:rsid w:val="0052726B"/>
    <w:rsid w:val="00527748"/>
    <w:rsid w:val="00527BF3"/>
    <w:rsid w:val="005304CC"/>
    <w:rsid w:val="00530BD1"/>
    <w:rsid w:val="00533611"/>
    <w:rsid w:val="005411F2"/>
    <w:rsid w:val="005419E5"/>
    <w:rsid w:val="005423CE"/>
    <w:rsid w:val="005424C1"/>
    <w:rsid w:val="00542A05"/>
    <w:rsid w:val="00544542"/>
    <w:rsid w:val="00554866"/>
    <w:rsid w:val="005552CB"/>
    <w:rsid w:val="00555F3A"/>
    <w:rsid w:val="00557772"/>
    <w:rsid w:val="0056243A"/>
    <w:rsid w:val="005635B3"/>
    <w:rsid w:val="00564057"/>
    <w:rsid w:val="005640DB"/>
    <w:rsid w:val="0056564B"/>
    <w:rsid w:val="005673C0"/>
    <w:rsid w:val="005677B2"/>
    <w:rsid w:val="00567A2C"/>
    <w:rsid w:val="00573492"/>
    <w:rsid w:val="00574849"/>
    <w:rsid w:val="00574BD6"/>
    <w:rsid w:val="00574F87"/>
    <w:rsid w:val="00576419"/>
    <w:rsid w:val="005810D1"/>
    <w:rsid w:val="00581F3B"/>
    <w:rsid w:val="0058231E"/>
    <w:rsid w:val="005825EE"/>
    <w:rsid w:val="00582C15"/>
    <w:rsid w:val="00583562"/>
    <w:rsid w:val="00584B77"/>
    <w:rsid w:val="00584DF3"/>
    <w:rsid w:val="005852DA"/>
    <w:rsid w:val="00585B62"/>
    <w:rsid w:val="0058627A"/>
    <w:rsid w:val="00587197"/>
    <w:rsid w:val="00587BAA"/>
    <w:rsid w:val="00590453"/>
    <w:rsid w:val="00590FA0"/>
    <w:rsid w:val="005939E9"/>
    <w:rsid w:val="00596EFB"/>
    <w:rsid w:val="005A147B"/>
    <w:rsid w:val="005A18D7"/>
    <w:rsid w:val="005A25C2"/>
    <w:rsid w:val="005A389C"/>
    <w:rsid w:val="005A3928"/>
    <w:rsid w:val="005A3ADB"/>
    <w:rsid w:val="005A5326"/>
    <w:rsid w:val="005A5615"/>
    <w:rsid w:val="005B0E3C"/>
    <w:rsid w:val="005B126A"/>
    <w:rsid w:val="005B3C6C"/>
    <w:rsid w:val="005B4643"/>
    <w:rsid w:val="005B5DBD"/>
    <w:rsid w:val="005B61F1"/>
    <w:rsid w:val="005B683F"/>
    <w:rsid w:val="005C071B"/>
    <w:rsid w:val="005C4A39"/>
    <w:rsid w:val="005C4B75"/>
    <w:rsid w:val="005C68A8"/>
    <w:rsid w:val="005C6FF1"/>
    <w:rsid w:val="005D07F8"/>
    <w:rsid w:val="005D3A2C"/>
    <w:rsid w:val="005D3D6D"/>
    <w:rsid w:val="005E021C"/>
    <w:rsid w:val="005E0441"/>
    <w:rsid w:val="005E0D61"/>
    <w:rsid w:val="005E3387"/>
    <w:rsid w:val="005E517E"/>
    <w:rsid w:val="005E5D64"/>
    <w:rsid w:val="005E5F7B"/>
    <w:rsid w:val="005F01FA"/>
    <w:rsid w:val="005F0826"/>
    <w:rsid w:val="005F556B"/>
    <w:rsid w:val="005F6FBB"/>
    <w:rsid w:val="005F752D"/>
    <w:rsid w:val="006000AC"/>
    <w:rsid w:val="00600CC7"/>
    <w:rsid w:val="006048AB"/>
    <w:rsid w:val="006053E1"/>
    <w:rsid w:val="006065FC"/>
    <w:rsid w:val="00606FC1"/>
    <w:rsid w:val="006076FD"/>
    <w:rsid w:val="00610175"/>
    <w:rsid w:val="00610AE9"/>
    <w:rsid w:val="00610CCB"/>
    <w:rsid w:val="00610EFB"/>
    <w:rsid w:val="006147E5"/>
    <w:rsid w:val="00614E23"/>
    <w:rsid w:val="00615804"/>
    <w:rsid w:val="00621427"/>
    <w:rsid w:val="0062332C"/>
    <w:rsid w:val="00623EF0"/>
    <w:rsid w:val="00624DAE"/>
    <w:rsid w:val="00625666"/>
    <w:rsid w:val="00625824"/>
    <w:rsid w:val="00626DD0"/>
    <w:rsid w:val="006276BF"/>
    <w:rsid w:val="006320D0"/>
    <w:rsid w:val="00633254"/>
    <w:rsid w:val="0063394A"/>
    <w:rsid w:val="0063408B"/>
    <w:rsid w:val="00635263"/>
    <w:rsid w:val="00636331"/>
    <w:rsid w:val="00636377"/>
    <w:rsid w:val="00636F9A"/>
    <w:rsid w:val="00640259"/>
    <w:rsid w:val="006411CF"/>
    <w:rsid w:val="00642321"/>
    <w:rsid w:val="0064381A"/>
    <w:rsid w:val="00643919"/>
    <w:rsid w:val="0064611E"/>
    <w:rsid w:val="00650133"/>
    <w:rsid w:val="00652786"/>
    <w:rsid w:val="00653A7B"/>
    <w:rsid w:val="006540A2"/>
    <w:rsid w:val="00656F82"/>
    <w:rsid w:val="00661DE7"/>
    <w:rsid w:val="0066293B"/>
    <w:rsid w:val="00662D83"/>
    <w:rsid w:val="00664367"/>
    <w:rsid w:val="00664797"/>
    <w:rsid w:val="00666199"/>
    <w:rsid w:val="00666B28"/>
    <w:rsid w:val="00667A3C"/>
    <w:rsid w:val="006724F3"/>
    <w:rsid w:val="00675463"/>
    <w:rsid w:val="00675660"/>
    <w:rsid w:val="00675E40"/>
    <w:rsid w:val="00675EB5"/>
    <w:rsid w:val="00677E7E"/>
    <w:rsid w:val="00680184"/>
    <w:rsid w:val="006815BE"/>
    <w:rsid w:val="00681C14"/>
    <w:rsid w:val="006821DC"/>
    <w:rsid w:val="00683046"/>
    <w:rsid w:val="006835B2"/>
    <w:rsid w:val="00683975"/>
    <w:rsid w:val="00684C99"/>
    <w:rsid w:val="00684E8E"/>
    <w:rsid w:val="006853CB"/>
    <w:rsid w:val="00687131"/>
    <w:rsid w:val="00687F47"/>
    <w:rsid w:val="006907AA"/>
    <w:rsid w:val="00695413"/>
    <w:rsid w:val="00696B7A"/>
    <w:rsid w:val="006977A9"/>
    <w:rsid w:val="006A0995"/>
    <w:rsid w:val="006A30F9"/>
    <w:rsid w:val="006A352B"/>
    <w:rsid w:val="006A4523"/>
    <w:rsid w:val="006A4FAA"/>
    <w:rsid w:val="006B0872"/>
    <w:rsid w:val="006B37E5"/>
    <w:rsid w:val="006B403F"/>
    <w:rsid w:val="006B67DA"/>
    <w:rsid w:val="006C5F6D"/>
    <w:rsid w:val="006D002F"/>
    <w:rsid w:val="006D1AED"/>
    <w:rsid w:val="006D336F"/>
    <w:rsid w:val="006D7DB6"/>
    <w:rsid w:val="006E2774"/>
    <w:rsid w:val="006E27B8"/>
    <w:rsid w:val="006E324F"/>
    <w:rsid w:val="006E33B8"/>
    <w:rsid w:val="006E38B8"/>
    <w:rsid w:val="006F0ADC"/>
    <w:rsid w:val="006F249E"/>
    <w:rsid w:val="006F26BC"/>
    <w:rsid w:val="006F5AD6"/>
    <w:rsid w:val="006F6A4C"/>
    <w:rsid w:val="006F6EAA"/>
    <w:rsid w:val="007019AA"/>
    <w:rsid w:val="00701B14"/>
    <w:rsid w:val="007022F3"/>
    <w:rsid w:val="007030AE"/>
    <w:rsid w:val="00703770"/>
    <w:rsid w:val="00704B3A"/>
    <w:rsid w:val="007059AC"/>
    <w:rsid w:val="007069F0"/>
    <w:rsid w:val="00707057"/>
    <w:rsid w:val="007103FD"/>
    <w:rsid w:val="007104A2"/>
    <w:rsid w:val="00710E37"/>
    <w:rsid w:val="00712469"/>
    <w:rsid w:val="00712DDC"/>
    <w:rsid w:val="00713049"/>
    <w:rsid w:val="0071434C"/>
    <w:rsid w:val="007153C0"/>
    <w:rsid w:val="007157CC"/>
    <w:rsid w:val="00715BF6"/>
    <w:rsid w:val="00716C93"/>
    <w:rsid w:val="007204E4"/>
    <w:rsid w:val="007222FE"/>
    <w:rsid w:val="007230F7"/>
    <w:rsid w:val="007273D6"/>
    <w:rsid w:val="00727919"/>
    <w:rsid w:val="00730A9A"/>
    <w:rsid w:val="00732944"/>
    <w:rsid w:val="0073773F"/>
    <w:rsid w:val="00737BE3"/>
    <w:rsid w:val="00737F77"/>
    <w:rsid w:val="00740359"/>
    <w:rsid w:val="00741044"/>
    <w:rsid w:val="00741E36"/>
    <w:rsid w:val="00745DA8"/>
    <w:rsid w:val="00747180"/>
    <w:rsid w:val="007508E9"/>
    <w:rsid w:val="0075261F"/>
    <w:rsid w:val="00754337"/>
    <w:rsid w:val="007547D7"/>
    <w:rsid w:val="007553E6"/>
    <w:rsid w:val="00756087"/>
    <w:rsid w:val="007649C3"/>
    <w:rsid w:val="00764F18"/>
    <w:rsid w:val="0076564E"/>
    <w:rsid w:val="007658D8"/>
    <w:rsid w:val="007666E5"/>
    <w:rsid w:val="007669FB"/>
    <w:rsid w:val="0076722C"/>
    <w:rsid w:val="00767EF3"/>
    <w:rsid w:val="00770954"/>
    <w:rsid w:val="00771009"/>
    <w:rsid w:val="007726A5"/>
    <w:rsid w:val="00773D6B"/>
    <w:rsid w:val="00775EBD"/>
    <w:rsid w:val="00775FFA"/>
    <w:rsid w:val="00776E66"/>
    <w:rsid w:val="0077750E"/>
    <w:rsid w:val="00780B7F"/>
    <w:rsid w:val="00780D27"/>
    <w:rsid w:val="00781B78"/>
    <w:rsid w:val="007826DE"/>
    <w:rsid w:val="00784E7C"/>
    <w:rsid w:val="00787180"/>
    <w:rsid w:val="00790255"/>
    <w:rsid w:val="00791DB4"/>
    <w:rsid w:val="00795485"/>
    <w:rsid w:val="007A17A3"/>
    <w:rsid w:val="007A1EEB"/>
    <w:rsid w:val="007A287D"/>
    <w:rsid w:val="007A3104"/>
    <w:rsid w:val="007A3804"/>
    <w:rsid w:val="007A3D16"/>
    <w:rsid w:val="007A4FC7"/>
    <w:rsid w:val="007A5B10"/>
    <w:rsid w:val="007A5C31"/>
    <w:rsid w:val="007A6474"/>
    <w:rsid w:val="007A6954"/>
    <w:rsid w:val="007B0C55"/>
    <w:rsid w:val="007B1988"/>
    <w:rsid w:val="007B4224"/>
    <w:rsid w:val="007B5132"/>
    <w:rsid w:val="007B7222"/>
    <w:rsid w:val="007C0DBC"/>
    <w:rsid w:val="007C15CE"/>
    <w:rsid w:val="007C39F0"/>
    <w:rsid w:val="007C3D70"/>
    <w:rsid w:val="007C45E4"/>
    <w:rsid w:val="007C5B4A"/>
    <w:rsid w:val="007D22F8"/>
    <w:rsid w:val="007D316D"/>
    <w:rsid w:val="007D345C"/>
    <w:rsid w:val="007D37F7"/>
    <w:rsid w:val="007D406D"/>
    <w:rsid w:val="007D482F"/>
    <w:rsid w:val="007D4A97"/>
    <w:rsid w:val="007D605D"/>
    <w:rsid w:val="007D6940"/>
    <w:rsid w:val="007D7CC2"/>
    <w:rsid w:val="007E1574"/>
    <w:rsid w:val="007E18B4"/>
    <w:rsid w:val="007E296C"/>
    <w:rsid w:val="007E31E8"/>
    <w:rsid w:val="007E3E2C"/>
    <w:rsid w:val="007E5250"/>
    <w:rsid w:val="007F04D1"/>
    <w:rsid w:val="007F45DF"/>
    <w:rsid w:val="007F62E5"/>
    <w:rsid w:val="00800547"/>
    <w:rsid w:val="00801AD2"/>
    <w:rsid w:val="00802373"/>
    <w:rsid w:val="00802888"/>
    <w:rsid w:val="0080393C"/>
    <w:rsid w:val="00805952"/>
    <w:rsid w:val="00805EC6"/>
    <w:rsid w:val="00810E87"/>
    <w:rsid w:val="00812322"/>
    <w:rsid w:val="008152A8"/>
    <w:rsid w:val="00816196"/>
    <w:rsid w:val="00816E08"/>
    <w:rsid w:val="00820E3A"/>
    <w:rsid w:val="0082239B"/>
    <w:rsid w:val="00822966"/>
    <w:rsid w:val="00824D8D"/>
    <w:rsid w:val="008257F8"/>
    <w:rsid w:val="0082685C"/>
    <w:rsid w:val="00827A67"/>
    <w:rsid w:val="00833DE8"/>
    <w:rsid w:val="00835BA4"/>
    <w:rsid w:val="00835C7A"/>
    <w:rsid w:val="00837987"/>
    <w:rsid w:val="00840AB9"/>
    <w:rsid w:val="00842848"/>
    <w:rsid w:val="008461B1"/>
    <w:rsid w:val="00846FA0"/>
    <w:rsid w:val="008471EE"/>
    <w:rsid w:val="00852EB3"/>
    <w:rsid w:val="008531E4"/>
    <w:rsid w:val="00857759"/>
    <w:rsid w:val="00860301"/>
    <w:rsid w:val="00860D61"/>
    <w:rsid w:val="00860DA2"/>
    <w:rsid w:val="008652F1"/>
    <w:rsid w:val="008657AB"/>
    <w:rsid w:val="00865AAA"/>
    <w:rsid w:val="00865B99"/>
    <w:rsid w:val="008665F1"/>
    <w:rsid w:val="00867172"/>
    <w:rsid w:val="008675E7"/>
    <w:rsid w:val="008717FD"/>
    <w:rsid w:val="00872DA7"/>
    <w:rsid w:val="00874687"/>
    <w:rsid w:val="00874B25"/>
    <w:rsid w:val="00875F5B"/>
    <w:rsid w:val="00880475"/>
    <w:rsid w:val="008807D2"/>
    <w:rsid w:val="00880CE6"/>
    <w:rsid w:val="00880F2D"/>
    <w:rsid w:val="0088132F"/>
    <w:rsid w:val="00881480"/>
    <w:rsid w:val="00881924"/>
    <w:rsid w:val="0088320E"/>
    <w:rsid w:val="008833B2"/>
    <w:rsid w:val="008850C0"/>
    <w:rsid w:val="008902B9"/>
    <w:rsid w:val="008907DA"/>
    <w:rsid w:val="00890A28"/>
    <w:rsid w:val="008932DB"/>
    <w:rsid w:val="00893485"/>
    <w:rsid w:val="00894406"/>
    <w:rsid w:val="008A025C"/>
    <w:rsid w:val="008A0500"/>
    <w:rsid w:val="008A1678"/>
    <w:rsid w:val="008A43C6"/>
    <w:rsid w:val="008A46FE"/>
    <w:rsid w:val="008A4884"/>
    <w:rsid w:val="008A5C0B"/>
    <w:rsid w:val="008A714B"/>
    <w:rsid w:val="008A7547"/>
    <w:rsid w:val="008A7591"/>
    <w:rsid w:val="008A7C21"/>
    <w:rsid w:val="008B0CDE"/>
    <w:rsid w:val="008B1533"/>
    <w:rsid w:val="008B1757"/>
    <w:rsid w:val="008B275F"/>
    <w:rsid w:val="008B3C99"/>
    <w:rsid w:val="008B48FA"/>
    <w:rsid w:val="008B6B7B"/>
    <w:rsid w:val="008B706F"/>
    <w:rsid w:val="008C0367"/>
    <w:rsid w:val="008C130B"/>
    <w:rsid w:val="008C2A6D"/>
    <w:rsid w:val="008C4DC6"/>
    <w:rsid w:val="008C5DBF"/>
    <w:rsid w:val="008C678A"/>
    <w:rsid w:val="008C79F1"/>
    <w:rsid w:val="008C7FC0"/>
    <w:rsid w:val="008D1720"/>
    <w:rsid w:val="008D2347"/>
    <w:rsid w:val="008D303E"/>
    <w:rsid w:val="008D6021"/>
    <w:rsid w:val="008D72EB"/>
    <w:rsid w:val="008E02E1"/>
    <w:rsid w:val="008E0A1B"/>
    <w:rsid w:val="008E2B9C"/>
    <w:rsid w:val="008E30EB"/>
    <w:rsid w:val="008E5488"/>
    <w:rsid w:val="008E6E1F"/>
    <w:rsid w:val="008F13AB"/>
    <w:rsid w:val="008F1CA7"/>
    <w:rsid w:val="008F1EEE"/>
    <w:rsid w:val="008F28F2"/>
    <w:rsid w:val="008F3376"/>
    <w:rsid w:val="008F3B87"/>
    <w:rsid w:val="008F5796"/>
    <w:rsid w:val="008F5FBF"/>
    <w:rsid w:val="008F61BF"/>
    <w:rsid w:val="008F6C67"/>
    <w:rsid w:val="008F7482"/>
    <w:rsid w:val="0090012B"/>
    <w:rsid w:val="00901264"/>
    <w:rsid w:val="00905AB2"/>
    <w:rsid w:val="00906669"/>
    <w:rsid w:val="009120FF"/>
    <w:rsid w:val="00913B91"/>
    <w:rsid w:val="00914165"/>
    <w:rsid w:val="0091609D"/>
    <w:rsid w:val="00917395"/>
    <w:rsid w:val="009175F0"/>
    <w:rsid w:val="00920243"/>
    <w:rsid w:val="0092128A"/>
    <w:rsid w:val="009212CC"/>
    <w:rsid w:val="00921A45"/>
    <w:rsid w:val="009242D0"/>
    <w:rsid w:val="00925D28"/>
    <w:rsid w:val="00926CA0"/>
    <w:rsid w:val="009308EE"/>
    <w:rsid w:val="00934523"/>
    <w:rsid w:val="00935203"/>
    <w:rsid w:val="00937B86"/>
    <w:rsid w:val="00940167"/>
    <w:rsid w:val="00940B0E"/>
    <w:rsid w:val="00942BD0"/>
    <w:rsid w:val="0094409D"/>
    <w:rsid w:val="00947230"/>
    <w:rsid w:val="00950E82"/>
    <w:rsid w:val="009532C2"/>
    <w:rsid w:val="009533EC"/>
    <w:rsid w:val="00954B8D"/>
    <w:rsid w:val="0095669E"/>
    <w:rsid w:val="00956BDC"/>
    <w:rsid w:val="009575D8"/>
    <w:rsid w:val="009607C2"/>
    <w:rsid w:val="00960F08"/>
    <w:rsid w:val="00961E72"/>
    <w:rsid w:val="00964126"/>
    <w:rsid w:val="009650E6"/>
    <w:rsid w:val="009653FA"/>
    <w:rsid w:val="009704DB"/>
    <w:rsid w:val="009709E9"/>
    <w:rsid w:val="0097206D"/>
    <w:rsid w:val="00976296"/>
    <w:rsid w:val="00976492"/>
    <w:rsid w:val="00976861"/>
    <w:rsid w:val="00976980"/>
    <w:rsid w:val="009779C5"/>
    <w:rsid w:val="00980BAF"/>
    <w:rsid w:val="009813E7"/>
    <w:rsid w:val="00982B31"/>
    <w:rsid w:val="00983B22"/>
    <w:rsid w:val="009845CB"/>
    <w:rsid w:val="009860A1"/>
    <w:rsid w:val="0098615F"/>
    <w:rsid w:val="00986858"/>
    <w:rsid w:val="009879A6"/>
    <w:rsid w:val="00990A59"/>
    <w:rsid w:val="00992ED8"/>
    <w:rsid w:val="00993C3C"/>
    <w:rsid w:val="00994EF2"/>
    <w:rsid w:val="00995844"/>
    <w:rsid w:val="009966E7"/>
    <w:rsid w:val="009A224D"/>
    <w:rsid w:val="009A2681"/>
    <w:rsid w:val="009A2F7E"/>
    <w:rsid w:val="009A38C7"/>
    <w:rsid w:val="009A65A4"/>
    <w:rsid w:val="009B0BBD"/>
    <w:rsid w:val="009B2146"/>
    <w:rsid w:val="009B27EC"/>
    <w:rsid w:val="009B3DBC"/>
    <w:rsid w:val="009B4E29"/>
    <w:rsid w:val="009B56C0"/>
    <w:rsid w:val="009B75B0"/>
    <w:rsid w:val="009B7D0B"/>
    <w:rsid w:val="009C23A5"/>
    <w:rsid w:val="009C3315"/>
    <w:rsid w:val="009C42BE"/>
    <w:rsid w:val="009C4A3D"/>
    <w:rsid w:val="009C5F3A"/>
    <w:rsid w:val="009C7EDE"/>
    <w:rsid w:val="009D00B9"/>
    <w:rsid w:val="009D0940"/>
    <w:rsid w:val="009D2BF4"/>
    <w:rsid w:val="009D4E23"/>
    <w:rsid w:val="009D625C"/>
    <w:rsid w:val="009D7ED2"/>
    <w:rsid w:val="009E28E4"/>
    <w:rsid w:val="009E2BEA"/>
    <w:rsid w:val="009E35DD"/>
    <w:rsid w:val="009E5B91"/>
    <w:rsid w:val="009E5CA1"/>
    <w:rsid w:val="009F1333"/>
    <w:rsid w:val="009F3A30"/>
    <w:rsid w:val="009F4A57"/>
    <w:rsid w:val="009F7D7E"/>
    <w:rsid w:val="00A00198"/>
    <w:rsid w:val="00A00BD6"/>
    <w:rsid w:val="00A024E4"/>
    <w:rsid w:val="00A047A8"/>
    <w:rsid w:val="00A05614"/>
    <w:rsid w:val="00A078E3"/>
    <w:rsid w:val="00A11026"/>
    <w:rsid w:val="00A118C2"/>
    <w:rsid w:val="00A135C3"/>
    <w:rsid w:val="00A13A11"/>
    <w:rsid w:val="00A13A39"/>
    <w:rsid w:val="00A13D1F"/>
    <w:rsid w:val="00A13EC9"/>
    <w:rsid w:val="00A1541D"/>
    <w:rsid w:val="00A1605E"/>
    <w:rsid w:val="00A2045A"/>
    <w:rsid w:val="00A20555"/>
    <w:rsid w:val="00A20703"/>
    <w:rsid w:val="00A21AB0"/>
    <w:rsid w:val="00A22E68"/>
    <w:rsid w:val="00A239FE"/>
    <w:rsid w:val="00A24F90"/>
    <w:rsid w:val="00A27558"/>
    <w:rsid w:val="00A275A4"/>
    <w:rsid w:val="00A27800"/>
    <w:rsid w:val="00A31671"/>
    <w:rsid w:val="00A32512"/>
    <w:rsid w:val="00A326DC"/>
    <w:rsid w:val="00A32A67"/>
    <w:rsid w:val="00A34833"/>
    <w:rsid w:val="00A34DB8"/>
    <w:rsid w:val="00A35268"/>
    <w:rsid w:val="00A357BB"/>
    <w:rsid w:val="00A3594F"/>
    <w:rsid w:val="00A37136"/>
    <w:rsid w:val="00A43624"/>
    <w:rsid w:val="00A44D92"/>
    <w:rsid w:val="00A451D3"/>
    <w:rsid w:val="00A45596"/>
    <w:rsid w:val="00A455FC"/>
    <w:rsid w:val="00A5359D"/>
    <w:rsid w:val="00A53F0E"/>
    <w:rsid w:val="00A56200"/>
    <w:rsid w:val="00A60DB8"/>
    <w:rsid w:val="00A61B17"/>
    <w:rsid w:val="00A62AF5"/>
    <w:rsid w:val="00A63593"/>
    <w:rsid w:val="00A6403E"/>
    <w:rsid w:val="00A64C35"/>
    <w:rsid w:val="00A652B1"/>
    <w:rsid w:val="00A65ABA"/>
    <w:rsid w:val="00A71152"/>
    <w:rsid w:val="00A71E14"/>
    <w:rsid w:val="00A72CE6"/>
    <w:rsid w:val="00A75CC9"/>
    <w:rsid w:val="00A761CE"/>
    <w:rsid w:val="00A8249A"/>
    <w:rsid w:val="00A83F1D"/>
    <w:rsid w:val="00A84772"/>
    <w:rsid w:val="00A907DE"/>
    <w:rsid w:val="00A90D9D"/>
    <w:rsid w:val="00A913CF"/>
    <w:rsid w:val="00A91B0B"/>
    <w:rsid w:val="00A92BA6"/>
    <w:rsid w:val="00A952C8"/>
    <w:rsid w:val="00A96A2D"/>
    <w:rsid w:val="00A96BFF"/>
    <w:rsid w:val="00AA171D"/>
    <w:rsid w:val="00AA1ABB"/>
    <w:rsid w:val="00AA307F"/>
    <w:rsid w:val="00AA33A3"/>
    <w:rsid w:val="00AA5433"/>
    <w:rsid w:val="00AA703F"/>
    <w:rsid w:val="00AA7054"/>
    <w:rsid w:val="00AB0240"/>
    <w:rsid w:val="00AB119C"/>
    <w:rsid w:val="00AB5DEB"/>
    <w:rsid w:val="00AC2850"/>
    <w:rsid w:val="00AC3680"/>
    <w:rsid w:val="00AC3747"/>
    <w:rsid w:val="00AC3DA5"/>
    <w:rsid w:val="00AC5118"/>
    <w:rsid w:val="00AC6B28"/>
    <w:rsid w:val="00AC7C64"/>
    <w:rsid w:val="00AC7D84"/>
    <w:rsid w:val="00AD1570"/>
    <w:rsid w:val="00AD35CD"/>
    <w:rsid w:val="00AD376A"/>
    <w:rsid w:val="00AD39BD"/>
    <w:rsid w:val="00AD4A79"/>
    <w:rsid w:val="00AD71A2"/>
    <w:rsid w:val="00AE164E"/>
    <w:rsid w:val="00AE1E71"/>
    <w:rsid w:val="00AE2186"/>
    <w:rsid w:val="00AE236F"/>
    <w:rsid w:val="00AE25BC"/>
    <w:rsid w:val="00AE2962"/>
    <w:rsid w:val="00AE340A"/>
    <w:rsid w:val="00AE36AB"/>
    <w:rsid w:val="00AE3D7C"/>
    <w:rsid w:val="00AE45C4"/>
    <w:rsid w:val="00AE4B0A"/>
    <w:rsid w:val="00AE5048"/>
    <w:rsid w:val="00AE63A9"/>
    <w:rsid w:val="00AE7BFB"/>
    <w:rsid w:val="00AF1E4D"/>
    <w:rsid w:val="00AF2852"/>
    <w:rsid w:val="00AF32D6"/>
    <w:rsid w:val="00AF486E"/>
    <w:rsid w:val="00AF49D5"/>
    <w:rsid w:val="00AF7CAB"/>
    <w:rsid w:val="00B001B4"/>
    <w:rsid w:val="00B010A6"/>
    <w:rsid w:val="00B02D2D"/>
    <w:rsid w:val="00B03FDF"/>
    <w:rsid w:val="00B04EDA"/>
    <w:rsid w:val="00B05F82"/>
    <w:rsid w:val="00B07D6B"/>
    <w:rsid w:val="00B10B04"/>
    <w:rsid w:val="00B11E32"/>
    <w:rsid w:val="00B12E28"/>
    <w:rsid w:val="00B13313"/>
    <w:rsid w:val="00B1737E"/>
    <w:rsid w:val="00B17C69"/>
    <w:rsid w:val="00B217ED"/>
    <w:rsid w:val="00B21F71"/>
    <w:rsid w:val="00B22CA5"/>
    <w:rsid w:val="00B22E04"/>
    <w:rsid w:val="00B22FE6"/>
    <w:rsid w:val="00B24019"/>
    <w:rsid w:val="00B24A63"/>
    <w:rsid w:val="00B2508B"/>
    <w:rsid w:val="00B269FD"/>
    <w:rsid w:val="00B26EAC"/>
    <w:rsid w:val="00B35C78"/>
    <w:rsid w:val="00B360B0"/>
    <w:rsid w:val="00B36456"/>
    <w:rsid w:val="00B37914"/>
    <w:rsid w:val="00B40B30"/>
    <w:rsid w:val="00B41B68"/>
    <w:rsid w:val="00B41C6B"/>
    <w:rsid w:val="00B42378"/>
    <w:rsid w:val="00B4371B"/>
    <w:rsid w:val="00B43D5B"/>
    <w:rsid w:val="00B440F5"/>
    <w:rsid w:val="00B44EA1"/>
    <w:rsid w:val="00B451A4"/>
    <w:rsid w:val="00B45AA4"/>
    <w:rsid w:val="00B47406"/>
    <w:rsid w:val="00B47629"/>
    <w:rsid w:val="00B50810"/>
    <w:rsid w:val="00B50F9B"/>
    <w:rsid w:val="00B5170D"/>
    <w:rsid w:val="00B5437F"/>
    <w:rsid w:val="00B54684"/>
    <w:rsid w:val="00B55037"/>
    <w:rsid w:val="00B55742"/>
    <w:rsid w:val="00B56E84"/>
    <w:rsid w:val="00B56FC5"/>
    <w:rsid w:val="00B60D13"/>
    <w:rsid w:val="00B62822"/>
    <w:rsid w:val="00B64FB8"/>
    <w:rsid w:val="00B66CAF"/>
    <w:rsid w:val="00B67BC2"/>
    <w:rsid w:val="00B705D1"/>
    <w:rsid w:val="00B7064D"/>
    <w:rsid w:val="00B7254C"/>
    <w:rsid w:val="00B7362B"/>
    <w:rsid w:val="00B802B5"/>
    <w:rsid w:val="00B831A6"/>
    <w:rsid w:val="00B8338D"/>
    <w:rsid w:val="00B85180"/>
    <w:rsid w:val="00B85A9D"/>
    <w:rsid w:val="00B900B6"/>
    <w:rsid w:val="00B92469"/>
    <w:rsid w:val="00B92B57"/>
    <w:rsid w:val="00B92BA0"/>
    <w:rsid w:val="00B9314C"/>
    <w:rsid w:val="00B94254"/>
    <w:rsid w:val="00B94DD9"/>
    <w:rsid w:val="00BA0544"/>
    <w:rsid w:val="00BA0BBE"/>
    <w:rsid w:val="00BA4873"/>
    <w:rsid w:val="00BA598A"/>
    <w:rsid w:val="00BA6248"/>
    <w:rsid w:val="00BA6D91"/>
    <w:rsid w:val="00BA791D"/>
    <w:rsid w:val="00BA7975"/>
    <w:rsid w:val="00BB00E6"/>
    <w:rsid w:val="00BB163A"/>
    <w:rsid w:val="00BB2D34"/>
    <w:rsid w:val="00BB3691"/>
    <w:rsid w:val="00BB37F2"/>
    <w:rsid w:val="00BB3E5C"/>
    <w:rsid w:val="00BB6B02"/>
    <w:rsid w:val="00BB731C"/>
    <w:rsid w:val="00BB7499"/>
    <w:rsid w:val="00BC1FE3"/>
    <w:rsid w:val="00BC2137"/>
    <w:rsid w:val="00BC3A01"/>
    <w:rsid w:val="00BC4941"/>
    <w:rsid w:val="00BC61B6"/>
    <w:rsid w:val="00BC798D"/>
    <w:rsid w:val="00BD0611"/>
    <w:rsid w:val="00BD0F04"/>
    <w:rsid w:val="00BD1928"/>
    <w:rsid w:val="00BD231B"/>
    <w:rsid w:val="00BD3783"/>
    <w:rsid w:val="00BD437F"/>
    <w:rsid w:val="00BD516F"/>
    <w:rsid w:val="00BD5F56"/>
    <w:rsid w:val="00BD635E"/>
    <w:rsid w:val="00BD797E"/>
    <w:rsid w:val="00BE0F26"/>
    <w:rsid w:val="00BE157D"/>
    <w:rsid w:val="00BE2074"/>
    <w:rsid w:val="00BE541C"/>
    <w:rsid w:val="00BE54D3"/>
    <w:rsid w:val="00BE5ADF"/>
    <w:rsid w:val="00BE6D54"/>
    <w:rsid w:val="00BF03D4"/>
    <w:rsid w:val="00BF2687"/>
    <w:rsid w:val="00BF2D0E"/>
    <w:rsid w:val="00BF403F"/>
    <w:rsid w:val="00BF63CA"/>
    <w:rsid w:val="00C00644"/>
    <w:rsid w:val="00C03B84"/>
    <w:rsid w:val="00C0466D"/>
    <w:rsid w:val="00C0676A"/>
    <w:rsid w:val="00C07410"/>
    <w:rsid w:val="00C1152A"/>
    <w:rsid w:val="00C1258C"/>
    <w:rsid w:val="00C12AE0"/>
    <w:rsid w:val="00C14314"/>
    <w:rsid w:val="00C149F6"/>
    <w:rsid w:val="00C15183"/>
    <w:rsid w:val="00C17B8E"/>
    <w:rsid w:val="00C2085C"/>
    <w:rsid w:val="00C20B36"/>
    <w:rsid w:val="00C20CF4"/>
    <w:rsid w:val="00C231A4"/>
    <w:rsid w:val="00C23D08"/>
    <w:rsid w:val="00C24E23"/>
    <w:rsid w:val="00C25E92"/>
    <w:rsid w:val="00C325C3"/>
    <w:rsid w:val="00C3507D"/>
    <w:rsid w:val="00C35DBB"/>
    <w:rsid w:val="00C3614F"/>
    <w:rsid w:val="00C363B5"/>
    <w:rsid w:val="00C36941"/>
    <w:rsid w:val="00C36FBC"/>
    <w:rsid w:val="00C370BA"/>
    <w:rsid w:val="00C413C8"/>
    <w:rsid w:val="00C41D1A"/>
    <w:rsid w:val="00C42283"/>
    <w:rsid w:val="00C43558"/>
    <w:rsid w:val="00C435D6"/>
    <w:rsid w:val="00C44BA7"/>
    <w:rsid w:val="00C44C60"/>
    <w:rsid w:val="00C46441"/>
    <w:rsid w:val="00C4663E"/>
    <w:rsid w:val="00C47E76"/>
    <w:rsid w:val="00C50062"/>
    <w:rsid w:val="00C50D5E"/>
    <w:rsid w:val="00C511C4"/>
    <w:rsid w:val="00C518B6"/>
    <w:rsid w:val="00C52E4A"/>
    <w:rsid w:val="00C55DD1"/>
    <w:rsid w:val="00C57501"/>
    <w:rsid w:val="00C57A3B"/>
    <w:rsid w:val="00C66C60"/>
    <w:rsid w:val="00C67AF4"/>
    <w:rsid w:val="00C67C3E"/>
    <w:rsid w:val="00C67DB9"/>
    <w:rsid w:val="00C705A7"/>
    <w:rsid w:val="00C71E3A"/>
    <w:rsid w:val="00C7327A"/>
    <w:rsid w:val="00C74667"/>
    <w:rsid w:val="00C74970"/>
    <w:rsid w:val="00C80161"/>
    <w:rsid w:val="00C8091E"/>
    <w:rsid w:val="00C813A3"/>
    <w:rsid w:val="00C83479"/>
    <w:rsid w:val="00C845C9"/>
    <w:rsid w:val="00C857CC"/>
    <w:rsid w:val="00C92957"/>
    <w:rsid w:val="00C931EC"/>
    <w:rsid w:val="00C94368"/>
    <w:rsid w:val="00C94F78"/>
    <w:rsid w:val="00C9548C"/>
    <w:rsid w:val="00C95A3A"/>
    <w:rsid w:val="00C96C4C"/>
    <w:rsid w:val="00C97477"/>
    <w:rsid w:val="00C97AFF"/>
    <w:rsid w:val="00C97CAE"/>
    <w:rsid w:val="00CA03CA"/>
    <w:rsid w:val="00CB0795"/>
    <w:rsid w:val="00CB42DC"/>
    <w:rsid w:val="00CB5972"/>
    <w:rsid w:val="00CB5A51"/>
    <w:rsid w:val="00CB6BE4"/>
    <w:rsid w:val="00CB6DAC"/>
    <w:rsid w:val="00CB7CE3"/>
    <w:rsid w:val="00CC0103"/>
    <w:rsid w:val="00CC157C"/>
    <w:rsid w:val="00CC22A3"/>
    <w:rsid w:val="00CC24CE"/>
    <w:rsid w:val="00CC437C"/>
    <w:rsid w:val="00CC4497"/>
    <w:rsid w:val="00CC4CD2"/>
    <w:rsid w:val="00CC7067"/>
    <w:rsid w:val="00CD0B9B"/>
    <w:rsid w:val="00CD1C92"/>
    <w:rsid w:val="00CD3776"/>
    <w:rsid w:val="00CD566E"/>
    <w:rsid w:val="00CD6584"/>
    <w:rsid w:val="00CE076C"/>
    <w:rsid w:val="00CE1C90"/>
    <w:rsid w:val="00CE2FC6"/>
    <w:rsid w:val="00CE3D89"/>
    <w:rsid w:val="00CE5F68"/>
    <w:rsid w:val="00CE6745"/>
    <w:rsid w:val="00CE725D"/>
    <w:rsid w:val="00CF0D47"/>
    <w:rsid w:val="00CF12FA"/>
    <w:rsid w:val="00CF2212"/>
    <w:rsid w:val="00CF5204"/>
    <w:rsid w:val="00CF5468"/>
    <w:rsid w:val="00CF7A2B"/>
    <w:rsid w:val="00D011C6"/>
    <w:rsid w:val="00D026C5"/>
    <w:rsid w:val="00D02AEB"/>
    <w:rsid w:val="00D02CBC"/>
    <w:rsid w:val="00D030E0"/>
    <w:rsid w:val="00D036EA"/>
    <w:rsid w:val="00D04D21"/>
    <w:rsid w:val="00D051FF"/>
    <w:rsid w:val="00D05D3D"/>
    <w:rsid w:val="00D07351"/>
    <w:rsid w:val="00D1079A"/>
    <w:rsid w:val="00D10B40"/>
    <w:rsid w:val="00D15E01"/>
    <w:rsid w:val="00D179EF"/>
    <w:rsid w:val="00D20C1B"/>
    <w:rsid w:val="00D21043"/>
    <w:rsid w:val="00D2109C"/>
    <w:rsid w:val="00D22598"/>
    <w:rsid w:val="00D22F67"/>
    <w:rsid w:val="00D22FD2"/>
    <w:rsid w:val="00D23409"/>
    <w:rsid w:val="00D3026C"/>
    <w:rsid w:val="00D30833"/>
    <w:rsid w:val="00D30B2A"/>
    <w:rsid w:val="00D32058"/>
    <w:rsid w:val="00D326C8"/>
    <w:rsid w:val="00D32877"/>
    <w:rsid w:val="00D32D60"/>
    <w:rsid w:val="00D33051"/>
    <w:rsid w:val="00D351AC"/>
    <w:rsid w:val="00D37343"/>
    <w:rsid w:val="00D4005C"/>
    <w:rsid w:val="00D42344"/>
    <w:rsid w:val="00D42A8B"/>
    <w:rsid w:val="00D45545"/>
    <w:rsid w:val="00D45C01"/>
    <w:rsid w:val="00D46CC1"/>
    <w:rsid w:val="00D47B70"/>
    <w:rsid w:val="00D50532"/>
    <w:rsid w:val="00D50E66"/>
    <w:rsid w:val="00D51311"/>
    <w:rsid w:val="00D513FE"/>
    <w:rsid w:val="00D54EB6"/>
    <w:rsid w:val="00D55C99"/>
    <w:rsid w:val="00D60B6B"/>
    <w:rsid w:val="00D61311"/>
    <w:rsid w:val="00D61700"/>
    <w:rsid w:val="00D620F2"/>
    <w:rsid w:val="00D621E3"/>
    <w:rsid w:val="00D623BA"/>
    <w:rsid w:val="00D62E73"/>
    <w:rsid w:val="00D630A8"/>
    <w:rsid w:val="00D63ABC"/>
    <w:rsid w:val="00D645A1"/>
    <w:rsid w:val="00D65DD7"/>
    <w:rsid w:val="00D67DF6"/>
    <w:rsid w:val="00D72E5F"/>
    <w:rsid w:val="00D73564"/>
    <w:rsid w:val="00D73C5E"/>
    <w:rsid w:val="00D741BB"/>
    <w:rsid w:val="00D744A7"/>
    <w:rsid w:val="00D747C6"/>
    <w:rsid w:val="00D75180"/>
    <w:rsid w:val="00D7592B"/>
    <w:rsid w:val="00D77C71"/>
    <w:rsid w:val="00D8380E"/>
    <w:rsid w:val="00D8592C"/>
    <w:rsid w:val="00D860DD"/>
    <w:rsid w:val="00D86AEE"/>
    <w:rsid w:val="00D9462F"/>
    <w:rsid w:val="00D96200"/>
    <w:rsid w:val="00D96827"/>
    <w:rsid w:val="00D9798C"/>
    <w:rsid w:val="00DA0194"/>
    <w:rsid w:val="00DA25DD"/>
    <w:rsid w:val="00DA278A"/>
    <w:rsid w:val="00DA2D08"/>
    <w:rsid w:val="00DA72A0"/>
    <w:rsid w:val="00DB1C27"/>
    <w:rsid w:val="00DB31B0"/>
    <w:rsid w:val="00DB3664"/>
    <w:rsid w:val="00DB3E13"/>
    <w:rsid w:val="00DB3E85"/>
    <w:rsid w:val="00DB40F7"/>
    <w:rsid w:val="00DB7A95"/>
    <w:rsid w:val="00DB7D55"/>
    <w:rsid w:val="00DC249E"/>
    <w:rsid w:val="00DC5051"/>
    <w:rsid w:val="00DD2D9E"/>
    <w:rsid w:val="00DD38EA"/>
    <w:rsid w:val="00DE048D"/>
    <w:rsid w:val="00DE22D0"/>
    <w:rsid w:val="00DE2F61"/>
    <w:rsid w:val="00DE32C0"/>
    <w:rsid w:val="00DE5BE8"/>
    <w:rsid w:val="00DE7C03"/>
    <w:rsid w:val="00DF25F0"/>
    <w:rsid w:val="00DF3C78"/>
    <w:rsid w:val="00DF4391"/>
    <w:rsid w:val="00DF5B16"/>
    <w:rsid w:val="00DF6BCA"/>
    <w:rsid w:val="00DF6D9A"/>
    <w:rsid w:val="00DF709D"/>
    <w:rsid w:val="00E00E9C"/>
    <w:rsid w:val="00E02C00"/>
    <w:rsid w:val="00E06779"/>
    <w:rsid w:val="00E069F1"/>
    <w:rsid w:val="00E10196"/>
    <w:rsid w:val="00E12BCC"/>
    <w:rsid w:val="00E1405C"/>
    <w:rsid w:val="00E206DE"/>
    <w:rsid w:val="00E2080E"/>
    <w:rsid w:val="00E21BB9"/>
    <w:rsid w:val="00E226C6"/>
    <w:rsid w:val="00E22B42"/>
    <w:rsid w:val="00E238D7"/>
    <w:rsid w:val="00E25B60"/>
    <w:rsid w:val="00E26D9F"/>
    <w:rsid w:val="00E270A9"/>
    <w:rsid w:val="00E27AC8"/>
    <w:rsid w:val="00E31C8D"/>
    <w:rsid w:val="00E334E0"/>
    <w:rsid w:val="00E34908"/>
    <w:rsid w:val="00E34E37"/>
    <w:rsid w:val="00E3787F"/>
    <w:rsid w:val="00E37974"/>
    <w:rsid w:val="00E37D9E"/>
    <w:rsid w:val="00E37E33"/>
    <w:rsid w:val="00E413BD"/>
    <w:rsid w:val="00E442B1"/>
    <w:rsid w:val="00E443E6"/>
    <w:rsid w:val="00E451C7"/>
    <w:rsid w:val="00E469A1"/>
    <w:rsid w:val="00E51141"/>
    <w:rsid w:val="00E51836"/>
    <w:rsid w:val="00E51F92"/>
    <w:rsid w:val="00E53910"/>
    <w:rsid w:val="00E54CEA"/>
    <w:rsid w:val="00E62A5F"/>
    <w:rsid w:val="00E635D7"/>
    <w:rsid w:val="00E65DC8"/>
    <w:rsid w:val="00E66D08"/>
    <w:rsid w:val="00E672B3"/>
    <w:rsid w:val="00E67554"/>
    <w:rsid w:val="00E67919"/>
    <w:rsid w:val="00E70E71"/>
    <w:rsid w:val="00E737C5"/>
    <w:rsid w:val="00E75925"/>
    <w:rsid w:val="00E77658"/>
    <w:rsid w:val="00E77DED"/>
    <w:rsid w:val="00E85388"/>
    <w:rsid w:val="00E85ADE"/>
    <w:rsid w:val="00E86F97"/>
    <w:rsid w:val="00E871A4"/>
    <w:rsid w:val="00E876D2"/>
    <w:rsid w:val="00E90946"/>
    <w:rsid w:val="00E90C65"/>
    <w:rsid w:val="00E91D96"/>
    <w:rsid w:val="00E938AB"/>
    <w:rsid w:val="00E93D4D"/>
    <w:rsid w:val="00E95D7D"/>
    <w:rsid w:val="00E97FEC"/>
    <w:rsid w:val="00EA0D94"/>
    <w:rsid w:val="00EA158E"/>
    <w:rsid w:val="00EA1B42"/>
    <w:rsid w:val="00EA2C13"/>
    <w:rsid w:val="00EA2FAF"/>
    <w:rsid w:val="00EA44F7"/>
    <w:rsid w:val="00EA4C78"/>
    <w:rsid w:val="00EA5FCF"/>
    <w:rsid w:val="00EA6E49"/>
    <w:rsid w:val="00EA70E6"/>
    <w:rsid w:val="00EB483E"/>
    <w:rsid w:val="00EB7569"/>
    <w:rsid w:val="00EC052C"/>
    <w:rsid w:val="00EC18F5"/>
    <w:rsid w:val="00EC64A1"/>
    <w:rsid w:val="00EC7567"/>
    <w:rsid w:val="00EC7620"/>
    <w:rsid w:val="00ED0E71"/>
    <w:rsid w:val="00ED437F"/>
    <w:rsid w:val="00ED59A0"/>
    <w:rsid w:val="00ED5F61"/>
    <w:rsid w:val="00EE0B8B"/>
    <w:rsid w:val="00EE1C39"/>
    <w:rsid w:val="00EE3D2B"/>
    <w:rsid w:val="00EE4245"/>
    <w:rsid w:val="00EE54D7"/>
    <w:rsid w:val="00EF19BB"/>
    <w:rsid w:val="00EF19DF"/>
    <w:rsid w:val="00EF2894"/>
    <w:rsid w:val="00EF2920"/>
    <w:rsid w:val="00EF3B2E"/>
    <w:rsid w:val="00EF5454"/>
    <w:rsid w:val="00EF5D6F"/>
    <w:rsid w:val="00EF5E21"/>
    <w:rsid w:val="00F00384"/>
    <w:rsid w:val="00F00F81"/>
    <w:rsid w:val="00F014C3"/>
    <w:rsid w:val="00F01EDD"/>
    <w:rsid w:val="00F03388"/>
    <w:rsid w:val="00F05B61"/>
    <w:rsid w:val="00F05E58"/>
    <w:rsid w:val="00F103CE"/>
    <w:rsid w:val="00F1176A"/>
    <w:rsid w:val="00F11A19"/>
    <w:rsid w:val="00F11ADC"/>
    <w:rsid w:val="00F12B29"/>
    <w:rsid w:val="00F136E0"/>
    <w:rsid w:val="00F15C8C"/>
    <w:rsid w:val="00F22AE3"/>
    <w:rsid w:val="00F23A60"/>
    <w:rsid w:val="00F23B2D"/>
    <w:rsid w:val="00F23CBC"/>
    <w:rsid w:val="00F25042"/>
    <w:rsid w:val="00F260EE"/>
    <w:rsid w:val="00F26225"/>
    <w:rsid w:val="00F26EAD"/>
    <w:rsid w:val="00F3186B"/>
    <w:rsid w:val="00F3218E"/>
    <w:rsid w:val="00F32829"/>
    <w:rsid w:val="00F342A9"/>
    <w:rsid w:val="00F355CE"/>
    <w:rsid w:val="00F373BB"/>
    <w:rsid w:val="00F419BA"/>
    <w:rsid w:val="00F43B68"/>
    <w:rsid w:val="00F45500"/>
    <w:rsid w:val="00F45F63"/>
    <w:rsid w:val="00F47B76"/>
    <w:rsid w:val="00F5029C"/>
    <w:rsid w:val="00F5082D"/>
    <w:rsid w:val="00F50E4E"/>
    <w:rsid w:val="00F51A83"/>
    <w:rsid w:val="00F535AE"/>
    <w:rsid w:val="00F54223"/>
    <w:rsid w:val="00F54B3A"/>
    <w:rsid w:val="00F57334"/>
    <w:rsid w:val="00F60184"/>
    <w:rsid w:val="00F604BC"/>
    <w:rsid w:val="00F61947"/>
    <w:rsid w:val="00F65209"/>
    <w:rsid w:val="00F65613"/>
    <w:rsid w:val="00F67BCE"/>
    <w:rsid w:val="00F67EAD"/>
    <w:rsid w:val="00F701E2"/>
    <w:rsid w:val="00F7039B"/>
    <w:rsid w:val="00F731B2"/>
    <w:rsid w:val="00F75520"/>
    <w:rsid w:val="00F75670"/>
    <w:rsid w:val="00F75767"/>
    <w:rsid w:val="00F80282"/>
    <w:rsid w:val="00F806AF"/>
    <w:rsid w:val="00F81817"/>
    <w:rsid w:val="00F8198D"/>
    <w:rsid w:val="00F81D5A"/>
    <w:rsid w:val="00F82012"/>
    <w:rsid w:val="00F8367B"/>
    <w:rsid w:val="00F85A92"/>
    <w:rsid w:val="00F861DD"/>
    <w:rsid w:val="00F86FD9"/>
    <w:rsid w:val="00F870A7"/>
    <w:rsid w:val="00F9011A"/>
    <w:rsid w:val="00F91714"/>
    <w:rsid w:val="00F91B08"/>
    <w:rsid w:val="00F93256"/>
    <w:rsid w:val="00F938C5"/>
    <w:rsid w:val="00F93DBD"/>
    <w:rsid w:val="00F94310"/>
    <w:rsid w:val="00F95174"/>
    <w:rsid w:val="00F9734F"/>
    <w:rsid w:val="00F973F8"/>
    <w:rsid w:val="00FA37BA"/>
    <w:rsid w:val="00FA4D37"/>
    <w:rsid w:val="00FA5655"/>
    <w:rsid w:val="00FA6EBE"/>
    <w:rsid w:val="00FB1638"/>
    <w:rsid w:val="00FB3F09"/>
    <w:rsid w:val="00FC03FB"/>
    <w:rsid w:val="00FC0BAC"/>
    <w:rsid w:val="00FC2ABF"/>
    <w:rsid w:val="00FC3AEA"/>
    <w:rsid w:val="00FC3B6D"/>
    <w:rsid w:val="00FC4297"/>
    <w:rsid w:val="00FC4C33"/>
    <w:rsid w:val="00FC73DF"/>
    <w:rsid w:val="00FC748C"/>
    <w:rsid w:val="00FD073D"/>
    <w:rsid w:val="00FD0F8B"/>
    <w:rsid w:val="00FD5E36"/>
    <w:rsid w:val="00FE1282"/>
    <w:rsid w:val="00FE2C38"/>
    <w:rsid w:val="00FE340F"/>
    <w:rsid w:val="00FE39AF"/>
    <w:rsid w:val="00FE4845"/>
    <w:rsid w:val="00FE607F"/>
    <w:rsid w:val="00FF084D"/>
    <w:rsid w:val="00FF0CA8"/>
    <w:rsid w:val="00FF1FE6"/>
    <w:rsid w:val="00FF3496"/>
    <w:rsid w:val="00FF460A"/>
    <w:rsid w:val="00FF4ADC"/>
    <w:rsid w:val="00FF4B9D"/>
    <w:rsid w:val="00FF5A3C"/>
    <w:rsid w:val="00FF5EC8"/>
    <w:rsid w:val="00FF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28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2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5DF"/>
    <w:rPr>
      <w:color w:val="0000FF"/>
      <w:u w:val="single"/>
    </w:rPr>
  </w:style>
  <w:style w:type="character" w:customStyle="1" w:styleId="cit-name-surname">
    <w:name w:val="cit-name-surname"/>
    <w:basedOn w:val="DefaultParagraphFont"/>
    <w:rsid w:val="007F45DF"/>
  </w:style>
  <w:style w:type="character" w:customStyle="1" w:styleId="apple-converted-space">
    <w:name w:val="apple-converted-space"/>
    <w:basedOn w:val="DefaultParagraphFont"/>
    <w:rsid w:val="007F45DF"/>
  </w:style>
  <w:style w:type="character" w:customStyle="1" w:styleId="cit-name-given-names">
    <w:name w:val="cit-name-given-names"/>
    <w:basedOn w:val="DefaultParagraphFont"/>
    <w:rsid w:val="007F45DF"/>
  </w:style>
  <w:style w:type="character" w:styleId="HTMLCite">
    <w:name w:val="HTML Cite"/>
    <w:basedOn w:val="DefaultParagraphFont"/>
    <w:uiPriority w:val="99"/>
    <w:semiHidden/>
    <w:unhideWhenUsed/>
    <w:rsid w:val="007F45DF"/>
    <w:rPr>
      <w:i/>
      <w:iCs/>
    </w:rPr>
  </w:style>
  <w:style w:type="character" w:customStyle="1" w:styleId="cit-article-title">
    <w:name w:val="cit-article-title"/>
    <w:basedOn w:val="DefaultParagraphFont"/>
    <w:rsid w:val="007F45DF"/>
  </w:style>
  <w:style w:type="character" w:customStyle="1" w:styleId="cit-pub-date">
    <w:name w:val="cit-pub-date"/>
    <w:basedOn w:val="DefaultParagraphFont"/>
    <w:rsid w:val="007F45DF"/>
  </w:style>
  <w:style w:type="character" w:customStyle="1" w:styleId="cit-vol">
    <w:name w:val="cit-vol"/>
    <w:basedOn w:val="DefaultParagraphFont"/>
    <w:rsid w:val="007F45DF"/>
  </w:style>
  <w:style w:type="character" w:customStyle="1" w:styleId="cit-fpage">
    <w:name w:val="cit-fpage"/>
    <w:basedOn w:val="DefaultParagraphFont"/>
    <w:rsid w:val="007F45DF"/>
  </w:style>
  <w:style w:type="character" w:customStyle="1" w:styleId="cit-lpage">
    <w:name w:val="cit-lpage"/>
    <w:basedOn w:val="DefaultParagraphFont"/>
    <w:rsid w:val="007F45DF"/>
  </w:style>
  <w:style w:type="character" w:customStyle="1" w:styleId="Heading1Char">
    <w:name w:val="Heading 1 Char"/>
    <w:basedOn w:val="DefaultParagraphFont"/>
    <w:link w:val="Heading1"/>
    <w:uiPriority w:val="9"/>
    <w:rsid w:val="00D42344"/>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D42344"/>
  </w:style>
  <w:style w:type="character" w:customStyle="1" w:styleId="slug-pub-date">
    <w:name w:val="slug-pub-date"/>
    <w:basedOn w:val="DefaultParagraphFont"/>
    <w:rsid w:val="00D42344"/>
  </w:style>
  <w:style w:type="character" w:customStyle="1" w:styleId="slug-vol">
    <w:name w:val="slug-vol"/>
    <w:basedOn w:val="DefaultParagraphFont"/>
    <w:rsid w:val="00D42344"/>
  </w:style>
  <w:style w:type="character" w:customStyle="1" w:styleId="slug-issue">
    <w:name w:val="slug-issue"/>
    <w:basedOn w:val="DefaultParagraphFont"/>
    <w:rsid w:val="00D42344"/>
  </w:style>
  <w:style w:type="character" w:customStyle="1" w:styleId="slug-pages">
    <w:name w:val="slug-pages"/>
    <w:basedOn w:val="DefaultParagraphFont"/>
    <w:rsid w:val="00D42344"/>
  </w:style>
  <w:style w:type="character" w:customStyle="1" w:styleId="highwire-cite-journal">
    <w:name w:val="highwire-cite-journal"/>
    <w:basedOn w:val="DefaultParagraphFont"/>
    <w:rsid w:val="002041D2"/>
  </w:style>
  <w:style w:type="character" w:customStyle="1" w:styleId="highwire-cite-published-year">
    <w:name w:val="highwire-cite-published-year"/>
    <w:basedOn w:val="DefaultParagraphFont"/>
    <w:rsid w:val="002041D2"/>
  </w:style>
  <w:style w:type="character" w:customStyle="1" w:styleId="highwire-cite-volume-issue">
    <w:name w:val="highwire-cite-volume-issue"/>
    <w:basedOn w:val="DefaultParagraphFont"/>
    <w:rsid w:val="002041D2"/>
  </w:style>
  <w:style w:type="character" w:customStyle="1" w:styleId="highwire-cite-doi">
    <w:name w:val="highwire-cite-doi"/>
    <w:basedOn w:val="DefaultParagraphFont"/>
    <w:rsid w:val="002041D2"/>
  </w:style>
  <w:style w:type="character" w:customStyle="1" w:styleId="highwire-cite-date">
    <w:name w:val="highwire-cite-date"/>
    <w:basedOn w:val="DefaultParagraphFont"/>
    <w:rsid w:val="002041D2"/>
  </w:style>
  <w:style w:type="character" w:customStyle="1" w:styleId="highwire-cite-article-as">
    <w:name w:val="highwire-cite-article-as"/>
    <w:basedOn w:val="DefaultParagraphFont"/>
    <w:rsid w:val="002041D2"/>
  </w:style>
  <w:style w:type="character" w:customStyle="1" w:styleId="italic">
    <w:name w:val="italic"/>
    <w:basedOn w:val="DefaultParagraphFont"/>
    <w:rsid w:val="002041D2"/>
  </w:style>
  <w:style w:type="character" w:customStyle="1" w:styleId="contrib-role">
    <w:name w:val="contrib-role"/>
    <w:basedOn w:val="DefaultParagraphFont"/>
    <w:rsid w:val="002041D2"/>
  </w:style>
  <w:style w:type="paragraph" w:styleId="ListParagraph">
    <w:name w:val="List Paragraph"/>
    <w:basedOn w:val="Normal"/>
    <w:uiPriority w:val="34"/>
    <w:qFormat/>
    <w:rsid w:val="00110B2E"/>
    <w:pPr>
      <w:ind w:left="720"/>
      <w:contextualSpacing/>
    </w:pPr>
  </w:style>
  <w:style w:type="paragraph" w:styleId="NormalWeb">
    <w:name w:val="Normal (Web)"/>
    <w:basedOn w:val="Normal"/>
    <w:uiPriority w:val="99"/>
    <w:unhideWhenUsed/>
    <w:rsid w:val="00203F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F03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3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2957"/>
    <w:rPr>
      <w:sz w:val="18"/>
      <w:szCs w:val="18"/>
    </w:rPr>
  </w:style>
  <w:style w:type="paragraph" w:styleId="CommentText">
    <w:name w:val="annotation text"/>
    <w:basedOn w:val="Normal"/>
    <w:link w:val="CommentTextChar"/>
    <w:uiPriority w:val="99"/>
    <w:semiHidden/>
    <w:unhideWhenUsed/>
    <w:rsid w:val="00C92957"/>
    <w:pPr>
      <w:spacing w:line="240" w:lineRule="auto"/>
    </w:pPr>
    <w:rPr>
      <w:sz w:val="24"/>
      <w:szCs w:val="24"/>
    </w:rPr>
  </w:style>
  <w:style w:type="character" w:customStyle="1" w:styleId="CommentTextChar">
    <w:name w:val="Comment Text Char"/>
    <w:basedOn w:val="DefaultParagraphFont"/>
    <w:link w:val="CommentText"/>
    <w:uiPriority w:val="99"/>
    <w:semiHidden/>
    <w:rsid w:val="00C92957"/>
    <w:rPr>
      <w:sz w:val="24"/>
      <w:szCs w:val="24"/>
    </w:rPr>
  </w:style>
  <w:style w:type="paragraph" w:styleId="CommentSubject">
    <w:name w:val="annotation subject"/>
    <w:basedOn w:val="CommentText"/>
    <w:next w:val="CommentText"/>
    <w:link w:val="CommentSubjectChar"/>
    <w:uiPriority w:val="99"/>
    <w:semiHidden/>
    <w:unhideWhenUsed/>
    <w:rsid w:val="00C92957"/>
    <w:rPr>
      <w:b/>
      <w:bCs/>
      <w:sz w:val="20"/>
      <w:szCs w:val="20"/>
    </w:rPr>
  </w:style>
  <w:style w:type="character" w:customStyle="1" w:styleId="CommentSubjectChar">
    <w:name w:val="Comment Subject Char"/>
    <w:basedOn w:val="CommentTextChar"/>
    <w:link w:val="CommentSubject"/>
    <w:uiPriority w:val="99"/>
    <w:semiHidden/>
    <w:rsid w:val="00C92957"/>
    <w:rPr>
      <w:b/>
      <w:bCs/>
      <w:sz w:val="20"/>
      <w:szCs w:val="20"/>
    </w:rPr>
  </w:style>
  <w:style w:type="table" w:styleId="TableGridLight">
    <w:name w:val="Grid Table Light"/>
    <w:basedOn w:val="TableNormal"/>
    <w:uiPriority w:val="40"/>
    <w:rsid w:val="00B56E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04C5E"/>
    <w:rPr>
      <w:color w:val="808080"/>
    </w:rPr>
  </w:style>
  <w:style w:type="paragraph" w:customStyle="1" w:styleId="p1">
    <w:name w:val="p1"/>
    <w:basedOn w:val="Normal"/>
    <w:rsid w:val="002478AA"/>
    <w:pPr>
      <w:spacing w:after="0" w:line="240" w:lineRule="auto"/>
    </w:pPr>
    <w:rPr>
      <w:rFonts w:ascii="Times" w:hAnsi="Times" w:cs="Times New Roman"/>
      <w:sz w:val="12"/>
      <w:szCs w:val="12"/>
      <w:lang w:eastAsia="en-GB"/>
    </w:rPr>
  </w:style>
  <w:style w:type="paragraph" w:styleId="Revision">
    <w:name w:val="Revision"/>
    <w:hidden/>
    <w:uiPriority w:val="99"/>
    <w:semiHidden/>
    <w:rsid w:val="004954A9"/>
    <w:pPr>
      <w:spacing w:after="0" w:line="240" w:lineRule="auto"/>
    </w:pPr>
  </w:style>
  <w:style w:type="paragraph" w:styleId="Header">
    <w:name w:val="header"/>
    <w:basedOn w:val="Normal"/>
    <w:link w:val="HeaderChar"/>
    <w:uiPriority w:val="99"/>
    <w:unhideWhenUsed/>
    <w:rsid w:val="00EF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21"/>
  </w:style>
  <w:style w:type="paragraph" w:styleId="Footer">
    <w:name w:val="footer"/>
    <w:basedOn w:val="Normal"/>
    <w:link w:val="FooterChar"/>
    <w:uiPriority w:val="99"/>
    <w:unhideWhenUsed/>
    <w:rsid w:val="00EF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21"/>
  </w:style>
  <w:style w:type="character" w:styleId="LineNumber">
    <w:name w:val="line number"/>
    <w:basedOn w:val="DefaultParagraphFont"/>
    <w:uiPriority w:val="99"/>
    <w:semiHidden/>
    <w:unhideWhenUsed/>
    <w:rsid w:val="002F00C9"/>
  </w:style>
  <w:style w:type="table" w:styleId="TableGrid">
    <w:name w:val="Table Grid"/>
    <w:basedOn w:val="TableNormal"/>
    <w:uiPriority w:val="59"/>
    <w:rsid w:val="008A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3252">
      <w:bodyDiv w:val="1"/>
      <w:marLeft w:val="0"/>
      <w:marRight w:val="0"/>
      <w:marTop w:val="0"/>
      <w:marBottom w:val="0"/>
      <w:divBdr>
        <w:top w:val="none" w:sz="0" w:space="0" w:color="auto"/>
        <w:left w:val="none" w:sz="0" w:space="0" w:color="auto"/>
        <w:bottom w:val="none" w:sz="0" w:space="0" w:color="auto"/>
        <w:right w:val="none" w:sz="0" w:space="0" w:color="auto"/>
      </w:divBdr>
    </w:div>
    <w:div w:id="62265796">
      <w:bodyDiv w:val="1"/>
      <w:marLeft w:val="0"/>
      <w:marRight w:val="0"/>
      <w:marTop w:val="0"/>
      <w:marBottom w:val="0"/>
      <w:divBdr>
        <w:top w:val="none" w:sz="0" w:space="0" w:color="auto"/>
        <w:left w:val="none" w:sz="0" w:space="0" w:color="auto"/>
        <w:bottom w:val="none" w:sz="0" w:space="0" w:color="auto"/>
        <w:right w:val="none" w:sz="0" w:space="0" w:color="auto"/>
      </w:divBdr>
    </w:div>
    <w:div w:id="110714071">
      <w:bodyDiv w:val="1"/>
      <w:marLeft w:val="0"/>
      <w:marRight w:val="0"/>
      <w:marTop w:val="0"/>
      <w:marBottom w:val="0"/>
      <w:divBdr>
        <w:top w:val="none" w:sz="0" w:space="0" w:color="auto"/>
        <w:left w:val="none" w:sz="0" w:space="0" w:color="auto"/>
        <w:bottom w:val="none" w:sz="0" w:space="0" w:color="auto"/>
        <w:right w:val="none" w:sz="0" w:space="0" w:color="auto"/>
      </w:divBdr>
    </w:div>
    <w:div w:id="111480170">
      <w:bodyDiv w:val="1"/>
      <w:marLeft w:val="0"/>
      <w:marRight w:val="0"/>
      <w:marTop w:val="0"/>
      <w:marBottom w:val="0"/>
      <w:divBdr>
        <w:top w:val="none" w:sz="0" w:space="0" w:color="auto"/>
        <w:left w:val="none" w:sz="0" w:space="0" w:color="auto"/>
        <w:bottom w:val="none" w:sz="0" w:space="0" w:color="auto"/>
        <w:right w:val="none" w:sz="0" w:space="0" w:color="auto"/>
      </w:divBdr>
    </w:div>
    <w:div w:id="174922851">
      <w:bodyDiv w:val="1"/>
      <w:marLeft w:val="0"/>
      <w:marRight w:val="0"/>
      <w:marTop w:val="0"/>
      <w:marBottom w:val="0"/>
      <w:divBdr>
        <w:top w:val="none" w:sz="0" w:space="0" w:color="auto"/>
        <w:left w:val="none" w:sz="0" w:space="0" w:color="auto"/>
        <w:bottom w:val="none" w:sz="0" w:space="0" w:color="auto"/>
        <w:right w:val="none" w:sz="0" w:space="0" w:color="auto"/>
      </w:divBdr>
    </w:div>
    <w:div w:id="188302038">
      <w:bodyDiv w:val="1"/>
      <w:marLeft w:val="0"/>
      <w:marRight w:val="0"/>
      <w:marTop w:val="0"/>
      <w:marBottom w:val="0"/>
      <w:divBdr>
        <w:top w:val="none" w:sz="0" w:space="0" w:color="auto"/>
        <w:left w:val="none" w:sz="0" w:space="0" w:color="auto"/>
        <w:bottom w:val="none" w:sz="0" w:space="0" w:color="auto"/>
        <w:right w:val="none" w:sz="0" w:space="0" w:color="auto"/>
      </w:divBdr>
    </w:div>
    <w:div w:id="189876848">
      <w:bodyDiv w:val="1"/>
      <w:marLeft w:val="0"/>
      <w:marRight w:val="0"/>
      <w:marTop w:val="0"/>
      <w:marBottom w:val="0"/>
      <w:divBdr>
        <w:top w:val="none" w:sz="0" w:space="0" w:color="auto"/>
        <w:left w:val="none" w:sz="0" w:space="0" w:color="auto"/>
        <w:bottom w:val="none" w:sz="0" w:space="0" w:color="auto"/>
        <w:right w:val="none" w:sz="0" w:space="0" w:color="auto"/>
      </w:divBdr>
    </w:div>
    <w:div w:id="205025548">
      <w:bodyDiv w:val="1"/>
      <w:marLeft w:val="0"/>
      <w:marRight w:val="0"/>
      <w:marTop w:val="0"/>
      <w:marBottom w:val="0"/>
      <w:divBdr>
        <w:top w:val="none" w:sz="0" w:space="0" w:color="auto"/>
        <w:left w:val="none" w:sz="0" w:space="0" w:color="auto"/>
        <w:bottom w:val="none" w:sz="0" w:space="0" w:color="auto"/>
        <w:right w:val="none" w:sz="0" w:space="0" w:color="auto"/>
      </w:divBdr>
    </w:div>
    <w:div w:id="277493443">
      <w:bodyDiv w:val="1"/>
      <w:marLeft w:val="0"/>
      <w:marRight w:val="0"/>
      <w:marTop w:val="0"/>
      <w:marBottom w:val="0"/>
      <w:divBdr>
        <w:top w:val="none" w:sz="0" w:space="0" w:color="auto"/>
        <w:left w:val="none" w:sz="0" w:space="0" w:color="auto"/>
        <w:bottom w:val="none" w:sz="0" w:space="0" w:color="auto"/>
        <w:right w:val="none" w:sz="0" w:space="0" w:color="auto"/>
      </w:divBdr>
    </w:div>
    <w:div w:id="290593560">
      <w:bodyDiv w:val="1"/>
      <w:marLeft w:val="0"/>
      <w:marRight w:val="0"/>
      <w:marTop w:val="0"/>
      <w:marBottom w:val="0"/>
      <w:divBdr>
        <w:top w:val="none" w:sz="0" w:space="0" w:color="auto"/>
        <w:left w:val="none" w:sz="0" w:space="0" w:color="auto"/>
        <w:bottom w:val="none" w:sz="0" w:space="0" w:color="auto"/>
        <w:right w:val="none" w:sz="0" w:space="0" w:color="auto"/>
      </w:divBdr>
    </w:div>
    <w:div w:id="311835468">
      <w:bodyDiv w:val="1"/>
      <w:marLeft w:val="0"/>
      <w:marRight w:val="0"/>
      <w:marTop w:val="0"/>
      <w:marBottom w:val="0"/>
      <w:divBdr>
        <w:top w:val="none" w:sz="0" w:space="0" w:color="auto"/>
        <w:left w:val="none" w:sz="0" w:space="0" w:color="auto"/>
        <w:bottom w:val="none" w:sz="0" w:space="0" w:color="auto"/>
        <w:right w:val="none" w:sz="0" w:space="0" w:color="auto"/>
      </w:divBdr>
    </w:div>
    <w:div w:id="327638724">
      <w:bodyDiv w:val="1"/>
      <w:marLeft w:val="0"/>
      <w:marRight w:val="0"/>
      <w:marTop w:val="0"/>
      <w:marBottom w:val="0"/>
      <w:divBdr>
        <w:top w:val="none" w:sz="0" w:space="0" w:color="auto"/>
        <w:left w:val="none" w:sz="0" w:space="0" w:color="auto"/>
        <w:bottom w:val="none" w:sz="0" w:space="0" w:color="auto"/>
        <w:right w:val="none" w:sz="0" w:space="0" w:color="auto"/>
      </w:divBdr>
    </w:div>
    <w:div w:id="394091723">
      <w:bodyDiv w:val="1"/>
      <w:marLeft w:val="0"/>
      <w:marRight w:val="0"/>
      <w:marTop w:val="0"/>
      <w:marBottom w:val="0"/>
      <w:divBdr>
        <w:top w:val="none" w:sz="0" w:space="0" w:color="auto"/>
        <w:left w:val="none" w:sz="0" w:space="0" w:color="auto"/>
        <w:bottom w:val="none" w:sz="0" w:space="0" w:color="auto"/>
        <w:right w:val="none" w:sz="0" w:space="0" w:color="auto"/>
      </w:divBdr>
    </w:div>
    <w:div w:id="425925616">
      <w:bodyDiv w:val="1"/>
      <w:marLeft w:val="0"/>
      <w:marRight w:val="0"/>
      <w:marTop w:val="0"/>
      <w:marBottom w:val="0"/>
      <w:divBdr>
        <w:top w:val="none" w:sz="0" w:space="0" w:color="auto"/>
        <w:left w:val="none" w:sz="0" w:space="0" w:color="auto"/>
        <w:bottom w:val="none" w:sz="0" w:space="0" w:color="auto"/>
        <w:right w:val="none" w:sz="0" w:space="0" w:color="auto"/>
      </w:divBdr>
    </w:div>
    <w:div w:id="571894095">
      <w:bodyDiv w:val="1"/>
      <w:marLeft w:val="0"/>
      <w:marRight w:val="0"/>
      <w:marTop w:val="0"/>
      <w:marBottom w:val="0"/>
      <w:divBdr>
        <w:top w:val="none" w:sz="0" w:space="0" w:color="auto"/>
        <w:left w:val="none" w:sz="0" w:space="0" w:color="auto"/>
        <w:bottom w:val="none" w:sz="0" w:space="0" w:color="auto"/>
        <w:right w:val="none" w:sz="0" w:space="0" w:color="auto"/>
      </w:divBdr>
    </w:div>
    <w:div w:id="599263255">
      <w:bodyDiv w:val="1"/>
      <w:marLeft w:val="0"/>
      <w:marRight w:val="0"/>
      <w:marTop w:val="0"/>
      <w:marBottom w:val="0"/>
      <w:divBdr>
        <w:top w:val="none" w:sz="0" w:space="0" w:color="auto"/>
        <w:left w:val="none" w:sz="0" w:space="0" w:color="auto"/>
        <w:bottom w:val="none" w:sz="0" w:space="0" w:color="auto"/>
        <w:right w:val="none" w:sz="0" w:space="0" w:color="auto"/>
      </w:divBdr>
    </w:div>
    <w:div w:id="624776413">
      <w:bodyDiv w:val="1"/>
      <w:marLeft w:val="0"/>
      <w:marRight w:val="0"/>
      <w:marTop w:val="0"/>
      <w:marBottom w:val="0"/>
      <w:divBdr>
        <w:top w:val="none" w:sz="0" w:space="0" w:color="auto"/>
        <w:left w:val="none" w:sz="0" w:space="0" w:color="auto"/>
        <w:bottom w:val="none" w:sz="0" w:space="0" w:color="auto"/>
        <w:right w:val="none" w:sz="0" w:space="0" w:color="auto"/>
      </w:divBdr>
    </w:div>
    <w:div w:id="645085911">
      <w:bodyDiv w:val="1"/>
      <w:marLeft w:val="0"/>
      <w:marRight w:val="0"/>
      <w:marTop w:val="0"/>
      <w:marBottom w:val="0"/>
      <w:divBdr>
        <w:top w:val="none" w:sz="0" w:space="0" w:color="auto"/>
        <w:left w:val="none" w:sz="0" w:space="0" w:color="auto"/>
        <w:bottom w:val="none" w:sz="0" w:space="0" w:color="auto"/>
        <w:right w:val="none" w:sz="0" w:space="0" w:color="auto"/>
      </w:divBdr>
    </w:div>
    <w:div w:id="684399391">
      <w:bodyDiv w:val="1"/>
      <w:marLeft w:val="0"/>
      <w:marRight w:val="0"/>
      <w:marTop w:val="0"/>
      <w:marBottom w:val="0"/>
      <w:divBdr>
        <w:top w:val="none" w:sz="0" w:space="0" w:color="auto"/>
        <w:left w:val="none" w:sz="0" w:space="0" w:color="auto"/>
        <w:bottom w:val="none" w:sz="0" w:space="0" w:color="auto"/>
        <w:right w:val="none" w:sz="0" w:space="0" w:color="auto"/>
      </w:divBdr>
    </w:div>
    <w:div w:id="704519483">
      <w:bodyDiv w:val="1"/>
      <w:marLeft w:val="0"/>
      <w:marRight w:val="0"/>
      <w:marTop w:val="0"/>
      <w:marBottom w:val="0"/>
      <w:divBdr>
        <w:top w:val="none" w:sz="0" w:space="0" w:color="auto"/>
        <w:left w:val="none" w:sz="0" w:space="0" w:color="auto"/>
        <w:bottom w:val="none" w:sz="0" w:space="0" w:color="auto"/>
        <w:right w:val="none" w:sz="0" w:space="0" w:color="auto"/>
      </w:divBdr>
    </w:div>
    <w:div w:id="722487448">
      <w:bodyDiv w:val="1"/>
      <w:marLeft w:val="0"/>
      <w:marRight w:val="0"/>
      <w:marTop w:val="0"/>
      <w:marBottom w:val="0"/>
      <w:divBdr>
        <w:top w:val="none" w:sz="0" w:space="0" w:color="auto"/>
        <w:left w:val="none" w:sz="0" w:space="0" w:color="auto"/>
        <w:bottom w:val="none" w:sz="0" w:space="0" w:color="auto"/>
        <w:right w:val="none" w:sz="0" w:space="0" w:color="auto"/>
      </w:divBdr>
    </w:div>
    <w:div w:id="733623975">
      <w:bodyDiv w:val="1"/>
      <w:marLeft w:val="0"/>
      <w:marRight w:val="0"/>
      <w:marTop w:val="0"/>
      <w:marBottom w:val="0"/>
      <w:divBdr>
        <w:top w:val="none" w:sz="0" w:space="0" w:color="auto"/>
        <w:left w:val="none" w:sz="0" w:space="0" w:color="auto"/>
        <w:bottom w:val="none" w:sz="0" w:space="0" w:color="auto"/>
        <w:right w:val="none" w:sz="0" w:space="0" w:color="auto"/>
      </w:divBdr>
      <w:divsChild>
        <w:div w:id="349569519">
          <w:marLeft w:val="0"/>
          <w:marRight w:val="0"/>
          <w:marTop w:val="0"/>
          <w:marBottom w:val="0"/>
          <w:divBdr>
            <w:top w:val="none" w:sz="0" w:space="0" w:color="auto"/>
            <w:left w:val="none" w:sz="0" w:space="0" w:color="auto"/>
            <w:bottom w:val="none" w:sz="0" w:space="0" w:color="auto"/>
            <w:right w:val="none" w:sz="0" w:space="0" w:color="auto"/>
          </w:divBdr>
          <w:divsChild>
            <w:div w:id="1489055965">
              <w:marLeft w:val="0"/>
              <w:marRight w:val="0"/>
              <w:marTop w:val="0"/>
              <w:marBottom w:val="0"/>
              <w:divBdr>
                <w:top w:val="none" w:sz="0" w:space="0" w:color="auto"/>
                <w:left w:val="none" w:sz="0" w:space="0" w:color="auto"/>
                <w:bottom w:val="none" w:sz="0" w:space="0" w:color="auto"/>
                <w:right w:val="none" w:sz="0" w:space="0" w:color="auto"/>
              </w:divBdr>
              <w:divsChild>
                <w:div w:id="17153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1994">
      <w:bodyDiv w:val="1"/>
      <w:marLeft w:val="0"/>
      <w:marRight w:val="0"/>
      <w:marTop w:val="0"/>
      <w:marBottom w:val="0"/>
      <w:divBdr>
        <w:top w:val="none" w:sz="0" w:space="0" w:color="auto"/>
        <w:left w:val="none" w:sz="0" w:space="0" w:color="auto"/>
        <w:bottom w:val="none" w:sz="0" w:space="0" w:color="auto"/>
        <w:right w:val="none" w:sz="0" w:space="0" w:color="auto"/>
      </w:divBdr>
      <w:divsChild>
        <w:div w:id="1889875649">
          <w:marLeft w:val="0"/>
          <w:marRight w:val="0"/>
          <w:marTop w:val="0"/>
          <w:marBottom w:val="0"/>
          <w:divBdr>
            <w:top w:val="none" w:sz="0" w:space="0" w:color="auto"/>
            <w:left w:val="none" w:sz="0" w:space="0" w:color="auto"/>
            <w:bottom w:val="none" w:sz="0" w:space="0" w:color="auto"/>
            <w:right w:val="none" w:sz="0" w:space="0" w:color="auto"/>
          </w:divBdr>
          <w:divsChild>
            <w:div w:id="51739820">
              <w:marLeft w:val="0"/>
              <w:marRight w:val="0"/>
              <w:marTop w:val="0"/>
              <w:marBottom w:val="0"/>
              <w:divBdr>
                <w:top w:val="none" w:sz="0" w:space="0" w:color="auto"/>
                <w:left w:val="none" w:sz="0" w:space="0" w:color="auto"/>
                <w:bottom w:val="none" w:sz="0" w:space="0" w:color="auto"/>
                <w:right w:val="none" w:sz="0" w:space="0" w:color="auto"/>
              </w:divBdr>
              <w:divsChild>
                <w:div w:id="19256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052">
      <w:bodyDiv w:val="1"/>
      <w:marLeft w:val="0"/>
      <w:marRight w:val="0"/>
      <w:marTop w:val="0"/>
      <w:marBottom w:val="0"/>
      <w:divBdr>
        <w:top w:val="none" w:sz="0" w:space="0" w:color="auto"/>
        <w:left w:val="none" w:sz="0" w:space="0" w:color="auto"/>
        <w:bottom w:val="none" w:sz="0" w:space="0" w:color="auto"/>
        <w:right w:val="none" w:sz="0" w:space="0" w:color="auto"/>
      </w:divBdr>
      <w:divsChild>
        <w:div w:id="1709067911">
          <w:marLeft w:val="0"/>
          <w:marRight w:val="0"/>
          <w:marTop w:val="0"/>
          <w:marBottom w:val="0"/>
          <w:divBdr>
            <w:top w:val="none" w:sz="0" w:space="0" w:color="auto"/>
            <w:left w:val="none" w:sz="0" w:space="0" w:color="auto"/>
            <w:bottom w:val="none" w:sz="0" w:space="0" w:color="auto"/>
            <w:right w:val="none" w:sz="0" w:space="0" w:color="auto"/>
          </w:divBdr>
          <w:divsChild>
            <w:div w:id="1438283994">
              <w:marLeft w:val="0"/>
              <w:marRight w:val="0"/>
              <w:marTop w:val="0"/>
              <w:marBottom w:val="0"/>
              <w:divBdr>
                <w:top w:val="none" w:sz="0" w:space="0" w:color="auto"/>
                <w:left w:val="none" w:sz="0" w:space="0" w:color="auto"/>
                <w:bottom w:val="none" w:sz="0" w:space="0" w:color="auto"/>
                <w:right w:val="none" w:sz="0" w:space="0" w:color="auto"/>
              </w:divBdr>
              <w:divsChild>
                <w:div w:id="763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285">
      <w:bodyDiv w:val="1"/>
      <w:marLeft w:val="0"/>
      <w:marRight w:val="0"/>
      <w:marTop w:val="0"/>
      <w:marBottom w:val="0"/>
      <w:divBdr>
        <w:top w:val="none" w:sz="0" w:space="0" w:color="auto"/>
        <w:left w:val="none" w:sz="0" w:space="0" w:color="auto"/>
        <w:bottom w:val="none" w:sz="0" w:space="0" w:color="auto"/>
        <w:right w:val="none" w:sz="0" w:space="0" w:color="auto"/>
      </w:divBdr>
      <w:divsChild>
        <w:div w:id="987826815">
          <w:marLeft w:val="0"/>
          <w:marRight w:val="0"/>
          <w:marTop w:val="0"/>
          <w:marBottom w:val="0"/>
          <w:divBdr>
            <w:top w:val="none" w:sz="0" w:space="0" w:color="auto"/>
            <w:left w:val="none" w:sz="0" w:space="0" w:color="auto"/>
            <w:bottom w:val="none" w:sz="0" w:space="0" w:color="auto"/>
            <w:right w:val="none" w:sz="0" w:space="0" w:color="auto"/>
          </w:divBdr>
          <w:divsChild>
            <w:div w:id="179318902">
              <w:marLeft w:val="0"/>
              <w:marRight w:val="0"/>
              <w:marTop w:val="0"/>
              <w:marBottom w:val="0"/>
              <w:divBdr>
                <w:top w:val="none" w:sz="0" w:space="0" w:color="auto"/>
                <w:left w:val="none" w:sz="0" w:space="0" w:color="auto"/>
                <w:bottom w:val="none" w:sz="0" w:space="0" w:color="auto"/>
                <w:right w:val="none" w:sz="0" w:space="0" w:color="auto"/>
              </w:divBdr>
              <w:divsChild>
                <w:div w:id="11517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109">
      <w:bodyDiv w:val="1"/>
      <w:marLeft w:val="0"/>
      <w:marRight w:val="0"/>
      <w:marTop w:val="0"/>
      <w:marBottom w:val="0"/>
      <w:divBdr>
        <w:top w:val="none" w:sz="0" w:space="0" w:color="auto"/>
        <w:left w:val="none" w:sz="0" w:space="0" w:color="auto"/>
        <w:bottom w:val="none" w:sz="0" w:space="0" w:color="auto"/>
        <w:right w:val="none" w:sz="0" w:space="0" w:color="auto"/>
      </w:divBdr>
    </w:div>
    <w:div w:id="861240118">
      <w:bodyDiv w:val="1"/>
      <w:marLeft w:val="0"/>
      <w:marRight w:val="0"/>
      <w:marTop w:val="0"/>
      <w:marBottom w:val="0"/>
      <w:divBdr>
        <w:top w:val="none" w:sz="0" w:space="0" w:color="auto"/>
        <w:left w:val="none" w:sz="0" w:space="0" w:color="auto"/>
        <w:bottom w:val="none" w:sz="0" w:space="0" w:color="auto"/>
        <w:right w:val="none" w:sz="0" w:space="0" w:color="auto"/>
      </w:divBdr>
    </w:div>
    <w:div w:id="875971586">
      <w:bodyDiv w:val="1"/>
      <w:marLeft w:val="0"/>
      <w:marRight w:val="0"/>
      <w:marTop w:val="0"/>
      <w:marBottom w:val="0"/>
      <w:divBdr>
        <w:top w:val="none" w:sz="0" w:space="0" w:color="auto"/>
        <w:left w:val="none" w:sz="0" w:space="0" w:color="auto"/>
        <w:bottom w:val="none" w:sz="0" w:space="0" w:color="auto"/>
        <w:right w:val="none" w:sz="0" w:space="0" w:color="auto"/>
      </w:divBdr>
    </w:div>
    <w:div w:id="880938178">
      <w:bodyDiv w:val="1"/>
      <w:marLeft w:val="0"/>
      <w:marRight w:val="0"/>
      <w:marTop w:val="0"/>
      <w:marBottom w:val="0"/>
      <w:divBdr>
        <w:top w:val="none" w:sz="0" w:space="0" w:color="auto"/>
        <w:left w:val="none" w:sz="0" w:space="0" w:color="auto"/>
        <w:bottom w:val="none" w:sz="0" w:space="0" w:color="auto"/>
        <w:right w:val="none" w:sz="0" w:space="0" w:color="auto"/>
      </w:divBdr>
    </w:div>
    <w:div w:id="971909721">
      <w:bodyDiv w:val="1"/>
      <w:marLeft w:val="0"/>
      <w:marRight w:val="0"/>
      <w:marTop w:val="0"/>
      <w:marBottom w:val="0"/>
      <w:divBdr>
        <w:top w:val="none" w:sz="0" w:space="0" w:color="auto"/>
        <w:left w:val="none" w:sz="0" w:space="0" w:color="auto"/>
        <w:bottom w:val="none" w:sz="0" w:space="0" w:color="auto"/>
        <w:right w:val="none" w:sz="0" w:space="0" w:color="auto"/>
      </w:divBdr>
      <w:divsChild>
        <w:div w:id="1992323298">
          <w:marLeft w:val="0"/>
          <w:marRight w:val="0"/>
          <w:marTop w:val="0"/>
          <w:marBottom w:val="0"/>
          <w:divBdr>
            <w:top w:val="none" w:sz="0" w:space="0" w:color="auto"/>
            <w:left w:val="none" w:sz="0" w:space="0" w:color="auto"/>
            <w:bottom w:val="none" w:sz="0" w:space="0" w:color="auto"/>
            <w:right w:val="none" w:sz="0" w:space="0" w:color="auto"/>
          </w:divBdr>
          <w:divsChild>
            <w:div w:id="495413542">
              <w:marLeft w:val="0"/>
              <w:marRight w:val="0"/>
              <w:marTop w:val="0"/>
              <w:marBottom w:val="0"/>
              <w:divBdr>
                <w:top w:val="none" w:sz="0" w:space="0" w:color="auto"/>
                <w:left w:val="none" w:sz="0" w:space="0" w:color="auto"/>
                <w:bottom w:val="none" w:sz="0" w:space="0" w:color="auto"/>
                <w:right w:val="none" w:sz="0" w:space="0" w:color="auto"/>
              </w:divBdr>
              <w:divsChild>
                <w:div w:id="20023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09213">
      <w:bodyDiv w:val="1"/>
      <w:marLeft w:val="0"/>
      <w:marRight w:val="0"/>
      <w:marTop w:val="0"/>
      <w:marBottom w:val="0"/>
      <w:divBdr>
        <w:top w:val="none" w:sz="0" w:space="0" w:color="auto"/>
        <w:left w:val="none" w:sz="0" w:space="0" w:color="auto"/>
        <w:bottom w:val="none" w:sz="0" w:space="0" w:color="auto"/>
        <w:right w:val="none" w:sz="0" w:space="0" w:color="auto"/>
      </w:divBdr>
      <w:divsChild>
        <w:div w:id="241256735">
          <w:marLeft w:val="0"/>
          <w:marRight w:val="0"/>
          <w:marTop w:val="0"/>
          <w:marBottom w:val="0"/>
          <w:divBdr>
            <w:top w:val="none" w:sz="0" w:space="0" w:color="auto"/>
            <w:left w:val="none" w:sz="0" w:space="0" w:color="auto"/>
            <w:bottom w:val="none" w:sz="0" w:space="0" w:color="auto"/>
            <w:right w:val="none" w:sz="0" w:space="0" w:color="auto"/>
          </w:divBdr>
          <w:divsChild>
            <w:div w:id="1911304616">
              <w:marLeft w:val="0"/>
              <w:marRight w:val="0"/>
              <w:marTop w:val="0"/>
              <w:marBottom w:val="0"/>
              <w:divBdr>
                <w:top w:val="none" w:sz="0" w:space="0" w:color="auto"/>
                <w:left w:val="none" w:sz="0" w:space="0" w:color="auto"/>
                <w:bottom w:val="none" w:sz="0" w:space="0" w:color="auto"/>
                <w:right w:val="none" w:sz="0" w:space="0" w:color="auto"/>
              </w:divBdr>
              <w:divsChild>
                <w:div w:id="287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2727">
      <w:bodyDiv w:val="1"/>
      <w:marLeft w:val="0"/>
      <w:marRight w:val="0"/>
      <w:marTop w:val="0"/>
      <w:marBottom w:val="0"/>
      <w:divBdr>
        <w:top w:val="none" w:sz="0" w:space="0" w:color="auto"/>
        <w:left w:val="none" w:sz="0" w:space="0" w:color="auto"/>
        <w:bottom w:val="none" w:sz="0" w:space="0" w:color="auto"/>
        <w:right w:val="none" w:sz="0" w:space="0" w:color="auto"/>
      </w:divBdr>
      <w:divsChild>
        <w:div w:id="1539319308">
          <w:marLeft w:val="0"/>
          <w:marRight w:val="0"/>
          <w:marTop w:val="0"/>
          <w:marBottom w:val="0"/>
          <w:divBdr>
            <w:top w:val="none" w:sz="0" w:space="0" w:color="auto"/>
            <w:left w:val="none" w:sz="0" w:space="0" w:color="auto"/>
            <w:bottom w:val="none" w:sz="0" w:space="0" w:color="auto"/>
            <w:right w:val="none" w:sz="0" w:space="0" w:color="auto"/>
          </w:divBdr>
          <w:divsChild>
            <w:div w:id="724257636">
              <w:marLeft w:val="0"/>
              <w:marRight w:val="0"/>
              <w:marTop w:val="0"/>
              <w:marBottom w:val="0"/>
              <w:divBdr>
                <w:top w:val="none" w:sz="0" w:space="0" w:color="auto"/>
                <w:left w:val="none" w:sz="0" w:space="0" w:color="auto"/>
                <w:bottom w:val="none" w:sz="0" w:space="0" w:color="auto"/>
                <w:right w:val="none" w:sz="0" w:space="0" w:color="auto"/>
              </w:divBdr>
              <w:divsChild>
                <w:div w:id="11504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2738">
      <w:bodyDiv w:val="1"/>
      <w:marLeft w:val="0"/>
      <w:marRight w:val="0"/>
      <w:marTop w:val="0"/>
      <w:marBottom w:val="0"/>
      <w:divBdr>
        <w:top w:val="none" w:sz="0" w:space="0" w:color="auto"/>
        <w:left w:val="none" w:sz="0" w:space="0" w:color="auto"/>
        <w:bottom w:val="none" w:sz="0" w:space="0" w:color="auto"/>
        <w:right w:val="none" w:sz="0" w:space="0" w:color="auto"/>
      </w:divBdr>
    </w:div>
    <w:div w:id="1079138540">
      <w:bodyDiv w:val="1"/>
      <w:marLeft w:val="0"/>
      <w:marRight w:val="0"/>
      <w:marTop w:val="0"/>
      <w:marBottom w:val="0"/>
      <w:divBdr>
        <w:top w:val="none" w:sz="0" w:space="0" w:color="auto"/>
        <w:left w:val="none" w:sz="0" w:space="0" w:color="auto"/>
        <w:bottom w:val="none" w:sz="0" w:space="0" w:color="auto"/>
        <w:right w:val="none" w:sz="0" w:space="0" w:color="auto"/>
      </w:divBdr>
    </w:div>
    <w:div w:id="1099568870">
      <w:bodyDiv w:val="1"/>
      <w:marLeft w:val="0"/>
      <w:marRight w:val="0"/>
      <w:marTop w:val="0"/>
      <w:marBottom w:val="0"/>
      <w:divBdr>
        <w:top w:val="none" w:sz="0" w:space="0" w:color="auto"/>
        <w:left w:val="none" w:sz="0" w:space="0" w:color="auto"/>
        <w:bottom w:val="none" w:sz="0" w:space="0" w:color="auto"/>
        <w:right w:val="none" w:sz="0" w:space="0" w:color="auto"/>
      </w:divBdr>
    </w:div>
    <w:div w:id="1164202471">
      <w:bodyDiv w:val="1"/>
      <w:marLeft w:val="0"/>
      <w:marRight w:val="0"/>
      <w:marTop w:val="0"/>
      <w:marBottom w:val="0"/>
      <w:divBdr>
        <w:top w:val="none" w:sz="0" w:space="0" w:color="auto"/>
        <w:left w:val="none" w:sz="0" w:space="0" w:color="auto"/>
        <w:bottom w:val="none" w:sz="0" w:space="0" w:color="auto"/>
        <w:right w:val="none" w:sz="0" w:space="0" w:color="auto"/>
      </w:divBdr>
      <w:divsChild>
        <w:div w:id="626856413">
          <w:marLeft w:val="0"/>
          <w:marRight w:val="0"/>
          <w:marTop w:val="0"/>
          <w:marBottom w:val="0"/>
          <w:divBdr>
            <w:top w:val="none" w:sz="0" w:space="0" w:color="auto"/>
            <w:left w:val="none" w:sz="0" w:space="0" w:color="auto"/>
            <w:bottom w:val="none" w:sz="0" w:space="0" w:color="auto"/>
            <w:right w:val="none" w:sz="0" w:space="0" w:color="auto"/>
          </w:divBdr>
          <w:divsChild>
            <w:div w:id="1066876056">
              <w:marLeft w:val="0"/>
              <w:marRight w:val="0"/>
              <w:marTop w:val="0"/>
              <w:marBottom w:val="0"/>
              <w:divBdr>
                <w:top w:val="none" w:sz="0" w:space="0" w:color="auto"/>
                <w:left w:val="none" w:sz="0" w:space="0" w:color="auto"/>
                <w:bottom w:val="none" w:sz="0" w:space="0" w:color="auto"/>
                <w:right w:val="none" w:sz="0" w:space="0" w:color="auto"/>
              </w:divBdr>
              <w:divsChild>
                <w:div w:id="293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7508">
      <w:bodyDiv w:val="1"/>
      <w:marLeft w:val="0"/>
      <w:marRight w:val="0"/>
      <w:marTop w:val="0"/>
      <w:marBottom w:val="0"/>
      <w:divBdr>
        <w:top w:val="none" w:sz="0" w:space="0" w:color="auto"/>
        <w:left w:val="none" w:sz="0" w:space="0" w:color="auto"/>
        <w:bottom w:val="none" w:sz="0" w:space="0" w:color="auto"/>
        <w:right w:val="none" w:sz="0" w:space="0" w:color="auto"/>
      </w:divBdr>
    </w:div>
    <w:div w:id="1310860864">
      <w:bodyDiv w:val="1"/>
      <w:marLeft w:val="0"/>
      <w:marRight w:val="0"/>
      <w:marTop w:val="0"/>
      <w:marBottom w:val="0"/>
      <w:divBdr>
        <w:top w:val="none" w:sz="0" w:space="0" w:color="auto"/>
        <w:left w:val="none" w:sz="0" w:space="0" w:color="auto"/>
        <w:bottom w:val="none" w:sz="0" w:space="0" w:color="auto"/>
        <w:right w:val="none" w:sz="0" w:space="0" w:color="auto"/>
      </w:divBdr>
    </w:div>
    <w:div w:id="1368218326">
      <w:bodyDiv w:val="1"/>
      <w:marLeft w:val="0"/>
      <w:marRight w:val="0"/>
      <w:marTop w:val="0"/>
      <w:marBottom w:val="0"/>
      <w:divBdr>
        <w:top w:val="none" w:sz="0" w:space="0" w:color="auto"/>
        <w:left w:val="none" w:sz="0" w:space="0" w:color="auto"/>
        <w:bottom w:val="none" w:sz="0" w:space="0" w:color="auto"/>
        <w:right w:val="none" w:sz="0" w:space="0" w:color="auto"/>
      </w:divBdr>
    </w:div>
    <w:div w:id="1422066776">
      <w:bodyDiv w:val="1"/>
      <w:marLeft w:val="0"/>
      <w:marRight w:val="0"/>
      <w:marTop w:val="0"/>
      <w:marBottom w:val="0"/>
      <w:divBdr>
        <w:top w:val="none" w:sz="0" w:space="0" w:color="auto"/>
        <w:left w:val="none" w:sz="0" w:space="0" w:color="auto"/>
        <w:bottom w:val="none" w:sz="0" w:space="0" w:color="auto"/>
        <w:right w:val="none" w:sz="0" w:space="0" w:color="auto"/>
      </w:divBdr>
    </w:div>
    <w:div w:id="1436368924">
      <w:bodyDiv w:val="1"/>
      <w:marLeft w:val="0"/>
      <w:marRight w:val="0"/>
      <w:marTop w:val="0"/>
      <w:marBottom w:val="0"/>
      <w:divBdr>
        <w:top w:val="none" w:sz="0" w:space="0" w:color="auto"/>
        <w:left w:val="none" w:sz="0" w:space="0" w:color="auto"/>
        <w:bottom w:val="none" w:sz="0" w:space="0" w:color="auto"/>
        <w:right w:val="none" w:sz="0" w:space="0" w:color="auto"/>
      </w:divBdr>
    </w:div>
    <w:div w:id="1471751417">
      <w:bodyDiv w:val="1"/>
      <w:marLeft w:val="0"/>
      <w:marRight w:val="0"/>
      <w:marTop w:val="0"/>
      <w:marBottom w:val="0"/>
      <w:divBdr>
        <w:top w:val="none" w:sz="0" w:space="0" w:color="auto"/>
        <w:left w:val="none" w:sz="0" w:space="0" w:color="auto"/>
        <w:bottom w:val="none" w:sz="0" w:space="0" w:color="auto"/>
        <w:right w:val="none" w:sz="0" w:space="0" w:color="auto"/>
      </w:divBdr>
      <w:divsChild>
        <w:div w:id="273758344">
          <w:marLeft w:val="0"/>
          <w:marRight w:val="0"/>
          <w:marTop w:val="0"/>
          <w:marBottom w:val="0"/>
          <w:divBdr>
            <w:top w:val="none" w:sz="0" w:space="0" w:color="auto"/>
            <w:left w:val="none" w:sz="0" w:space="0" w:color="auto"/>
            <w:bottom w:val="none" w:sz="0" w:space="0" w:color="auto"/>
            <w:right w:val="none" w:sz="0" w:space="0" w:color="auto"/>
          </w:divBdr>
          <w:divsChild>
            <w:div w:id="1259827015">
              <w:marLeft w:val="0"/>
              <w:marRight w:val="0"/>
              <w:marTop w:val="0"/>
              <w:marBottom w:val="0"/>
              <w:divBdr>
                <w:top w:val="none" w:sz="0" w:space="0" w:color="auto"/>
                <w:left w:val="none" w:sz="0" w:space="0" w:color="auto"/>
                <w:bottom w:val="none" w:sz="0" w:space="0" w:color="auto"/>
                <w:right w:val="none" w:sz="0" w:space="0" w:color="auto"/>
              </w:divBdr>
              <w:divsChild>
                <w:div w:id="1597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903">
      <w:bodyDiv w:val="1"/>
      <w:marLeft w:val="0"/>
      <w:marRight w:val="0"/>
      <w:marTop w:val="0"/>
      <w:marBottom w:val="0"/>
      <w:divBdr>
        <w:top w:val="none" w:sz="0" w:space="0" w:color="auto"/>
        <w:left w:val="none" w:sz="0" w:space="0" w:color="auto"/>
        <w:bottom w:val="none" w:sz="0" w:space="0" w:color="auto"/>
        <w:right w:val="none" w:sz="0" w:space="0" w:color="auto"/>
      </w:divBdr>
    </w:div>
    <w:div w:id="150747636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55">
          <w:marLeft w:val="0"/>
          <w:marRight w:val="0"/>
          <w:marTop w:val="0"/>
          <w:marBottom w:val="0"/>
          <w:divBdr>
            <w:top w:val="none" w:sz="0" w:space="0" w:color="auto"/>
            <w:left w:val="none" w:sz="0" w:space="0" w:color="auto"/>
            <w:bottom w:val="none" w:sz="0" w:space="0" w:color="auto"/>
            <w:right w:val="none" w:sz="0" w:space="0" w:color="auto"/>
          </w:divBdr>
          <w:divsChild>
            <w:div w:id="1611862394">
              <w:marLeft w:val="0"/>
              <w:marRight w:val="0"/>
              <w:marTop w:val="0"/>
              <w:marBottom w:val="0"/>
              <w:divBdr>
                <w:top w:val="none" w:sz="0" w:space="0" w:color="auto"/>
                <w:left w:val="none" w:sz="0" w:space="0" w:color="auto"/>
                <w:bottom w:val="none" w:sz="0" w:space="0" w:color="auto"/>
                <w:right w:val="none" w:sz="0" w:space="0" w:color="auto"/>
              </w:divBdr>
              <w:divsChild>
                <w:div w:id="1825970442">
                  <w:marLeft w:val="0"/>
                  <w:marRight w:val="0"/>
                  <w:marTop w:val="0"/>
                  <w:marBottom w:val="0"/>
                  <w:divBdr>
                    <w:top w:val="none" w:sz="0" w:space="0" w:color="auto"/>
                    <w:left w:val="none" w:sz="0" w:space="0" w:color="auto"/>
                    <w:bottom w:val="none" w:sz="0" w:space="0" w:color="auto"/>
                    <w:right w:val="none" w:sz="0" w:space="0" w:color="auto"/>
                  </w:divBdr>
                  <w:divsChild>
                    <w:div w:id="1888640623">
                      <w:marLeft w:val="0"/>
                      <w:marRight w:val="0"/>
                      <w:marTop w:val="0"/>
                      <w:marBottom w:val="0"/>
                      <w:divBdr>
                        <w:top w:val="none" w:sz="0" w:space="0" w:color="auto"/>
                        <w:left w:val="none" w:sz="0" w:space="0" w:color="auto"/>
                        <w:bottom w:val="none" w:sz="0" w:space="0" w:color="auto"/>
                        <w:right w:val="none" w:sz="0" w:space="0" w:color="auto"/>
                      </w:divBdr>
                      <w:divsChild>
                        <w:div w:id="732387574">
                          <w:marLeft w:val="0"/>
                          <w:marRight w:val="0"/>
                          <w:marTop w:val="0"/>
                          <w:marBottom w:val="0"/>
                          <w:divBdr>
                            <w:top w:val="none" w:sz="0" w:space="0" w:color="auto"/>
                            <w:left w:val="none" w:sz="0" w:space="0" w:color="auto"/>
                            <w:bottom w:val="none" w:sz="0" w:space="0" w:color="auto"/>
                            <w:right w:val="none" w:sz="0" w:space="0" w:color="auto"/>
                          </w:divBdr>
                          <w:divsChild>
                            <w:div w:id="173036056">
                              <w:marLeft w:val="0"/>
                              <w:marRight w:val="0"/>
                              <w:marTop w:val="0"/>
                              <w:marBottom w:val="0"/>
                              <w:divBdr>
                                <w:top w:val="none" w:sz="0" w:space="0" w:color="auto"/>
                                <w:left w:val="none" w:sz="0" w:space="0" w:color="auto"/>
                                <w:bottom w:val="none" w:sz="0" w:space="0" w:color="auto"/>
                                <w:right w:val="none" w:sz="0" w:space="0" w:color="auto"/>
                              </w:divBdr>
                              <w:divsChild>
                                <w:div w:id="400257710">
                                  <w:marLeft w:val="0"/>
                                  <w:marRight w:val="0"/>
                                  <w:marTop w:val="0"/>
                                  <w:marBottom w:val="0"/>
                                  <w:divBdr>
                                    <w:top w:val="none" w:sz="0" w:space="0" w:color="auto"/>
                                    <w:left w:val="none" w:sz="0" w:space="0" w:color="auto"/>
                                    <w:bottom w:val="none" w:sz="0" w:space="0" w:color="auto"/>
                                    <w:right w:val="none" w:sz="0" w:space="0" w:color="auto"/>
                                  </w:divBdr>
                                  <w:divsChild>
                                    <w:div w:id="17365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239872">
      <w:bodyDiv w:val="1"/>
      <w:marLeft w:val="0"/>
      <w:marRight w:val="0"/>
      <w:marTop w:val="0"/>
      <w:marBottom w:val="0"/>
      <w:divBdr>
        <w:top w:val="none" w:sz="0" w:space="0" w:color="auto"/>
        <w:left w:val="none" w:sz="0" w:space="0" w:color="auto"/>
        <w:bottom w:val="none" w:sz="0" w:space="0" w:color="auto"/>
        <w:right w:val="none" w:sz="0" w:space="0" w:color="auto"/>
      </w:divBdr>
    </w:div>
    <w:div w:id="1649364237">
      <w:bodyDiv w:val="1"/>
      <w:marLeft w:val="0"/>
      <w:marRight w:val="0"/>
      <w:marTop w:val="0"/>
      <w:marBottom w:val="0"/>
      <w:divBdr>
        <w:top w:val="none" w:sz="0" w:space="0" w:color="auto"/>
        <w:left w:val="none" w:sz="0" w:space="0" w:color="auto"/>
        <w:bottom w:val="none" w:sz="0" w:space="0" w:color="auto"/>
        <w:right w:val="none" w:sz="0" w:space="0" w:color="auto"/>
      </w:divBdr>
    </w:div>
    <w:div w:id="1686976075">
      <w:bodyDiv w:val="1"/>
      <w:marLeft w:val="0"/>
      <w:marRight w:val="0"/>
      <w:marTop w:val="0"/>
      <w:marBottom w:val="0"/>
      <w:divBdr>
        <w:top w:val="none" w:sz="0" w:space="0" w:color="auto"/>
        <w:left w:val="none" w:sz="0" w:space="0" w:color="auto"/>
        <w:bottom w:val="none" w:sz="0" w:space="0" w:color="auto"/>
        <w:right w:val="none" w:sz="0" w:space="0" w:color="auto"/>
      </w:divBdr>
    </w:div>
    <w:div w:id="1735932412">
      <w:bodyDiv w:val="1"/>
      <w:marLeft w:val="0"/>
      <w:marRight w:val="0"/>
      <w:marTop w:val="0"/>
      <w:marBottom w:val="0"/>
      <w:divBdr>
        <w:top w:val="none" w:sz="0" w:space="0" w:color="auto"/>
        <w:left w:val="none" w:sz="0" w:space="0" w:color="auto"/>
        <w:bottom w:val="none" w:sz="0" w:space="0" w:color="auto"/>
        <w:right w:val="none" w:sz="0" w:space="0" w:color="auto"/>
      </w:divBdr>
    </w:div>
    <w:div w:id="1817188538">
      <w:bodyDiv w:val="1"/>
      <w:marLeft w:val="0"/>
      <w:marRight w:val="0"/>
      <w:marTop w:val="0"/>
      <w:marBottom w:val="0"/>
      <w:divBdr>
        <w:top w:val="none" w:sz="0" w:space="0" w:color="auto"/>
        <w:left w:val="none" w:sz="0" w:space="0" w:color="auto"/>
        <w:bottom w:val="none" w:sz="0" w:space="0" w:color="auto"/>
        <w:right w:val="none" w:sz="0" w:space="0" w:color="auto"/>
      </w:divBdr>
    </w:div>
    <w:div w:id="1824925234">
      <w:bodyDiv w:val="1"/>
      <w:marLeft w:val="0"/>
      <w:marRight w:val="0"/>
      <w:marTop w:val="0"/>
      <w:marBottom w:val="0"/>
      <w:divBdr>
        <w:top w:val="none" w:sz="0" w:space="0" w:color="auto"/>
        <w:left w:val="none" w:sz="0" w:space="0" w:color="auto"/>
        <w:bottom w:val="none" w:sz="0" w:space="0" w:color="auto"/>
        <w:right w:val="none" w:sz="0" w:space="0" w:color="auto"/>
      </w:divBdr>
    </w:div>
    <w:div w:id="1875926294">
      <w:bodyDiv w:val="1"/>
      <w:marLeft w:val="0"/>
      <w:marRight w:val="0"/>
      <w:marTop w:val="0"/>
      <w:marBottom w:val="0"/>
      <w:divBdr>
        <w:top w:val="none" w:sz="0" w:space="0" w:color="auto"/>
        <w:left w:val="none" w:sz="0" w:space="0" w:color="auto"/>
        <w:bottom w:val="none" w:sz="0" w:space="0" w:color="auto"/>
        <w:right w:val="none" w:sz="0" w:space="0" w:color="auto"/>
      </w:divBdr>
      <w:divsChild>
        <w:div w:id="847447062">
          <w:marLeft w:val="0"/>
          <w:marRight w:val="0"/>
          <w:marTop w:val="0"/>
          <w:marBottom w:val="0"/>
          <w:divBdr>
            <w:top w:val="none" w:sz="0" w:space="0" w:color="auto"/>
            <w:left w:val="none" w:sz="0" w:space="0" w:color="auto"/>
            <w:bottom w:val="none" w:sz="0" w:space="0" w:color="auto"/>
            <w:right w:val="none" w:sz="0" w:space="0" w:color="auto"/>
          </w:divBdr>
          <w:divsChild>
            <w:div w:id="819034512">
              <w:marLeft w:val="0"/>
              <w:marRight w:val="0"/>
              <w:marTop w:val="0"/>
              <w:marBottom w:val="0"/>
              <w:divBdr>
                <w:top w:val="none" w:sz="0" w:space="0" w:color="auto"/>
                <w:left w:val="none" w:sz="0" w:space="0" w:color="auto"/>
                <w:bottom w:val="none" w:sz="0" w:space="0" w:color="auto"/>
                <w:right w:val="none" w:sz="0" w:space="0" w:color="auto"/>
              </w:divBdr>
              <w:divsChild>
                <w:div w:id="17454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753">
          <w:marLeft w:val="0"/>
          <w:marRight w:val="0"/>
          <w:marTop w:val="0"/>
          <w:marBottom w:val="0"/>
          <w:divBdr>
            <w:top w:val="none" w:sz="0" w:space="0" w:color="auto"/>
            <w:left w:val="none" w:sz="0" w:space="0" w:color="auto"/>
            <w:bottom w:val="none" w:sz="0" w:space="0" w:color="auto"/>
            <w:right w:val="none" w:sz="0" w:space="0" w:color="auto"/>
          </w:divBdr>
          <w:divsChild>
            <w:div w:id="1103573483">
              <w:marLeft w:val="0"/>
              <w:marRight w:val="0"/>
              <w:marTop w:val="0"/>
              <w:marBottom w:val="0"/>
              <w:divBdr>
                <w:top w:val="none" w:sz="0" w:space="0" w:color="auto"/>
                <w:left w:val="none" w:sz="0" w:space="0" w:color="auto"/>
                <w:bottom w:val="none" w:sz="0" w:space="0" w:color="auto"/>
                <w:right w:val="none" w:sz="0" w:space="0" w:color="auto"/>
              </w:divBdr>
            </w:div>
          </w:divsChild>
        </w:div>
        <w:div w:id="1393625418">
          <w:marLeft w:val="0"/>
          <w:marRight w:val="0"/>
          <w:marTop w:val="0"/>
          <w:marBottom w:val="0"/>
          <w:divBdr>
            <w:top w:val="none" w:sz="0" w:space="0" w:color="auto"/>
            <w:left w:val="none" w:sz="0" w:space="0" w:color="auto"/>
            <w:bottom w:val="none" w:sz="0" w:space="0" w:color="auto"/>
            <w:right w:val="none" w:sz="0" w:space="0" w:color="auto"/>
          </w:divBdr>
          <w:divsChild>
            <w:div w:id="462895480">
              <w:marLeft w:val="0"/>
              <w:marRight w:val="0"/>
              <w:marTop w:val="0"/>
              <w:marBottom w:val="0"/>
              <w:divBdr>
                <w:top w:val="none" w:sz="0" w:space="0" w:color="auto"/>
                <w:left w:val="none" w:sz="0" w:space="0" w:color="auto"/>
                <w:bottom w:val="none" w:sz="0" w:space="0" w:color="auto"/>
                <w:right w:val="none" w:sz="0" w:space="0" w:color="auto"/>
              </w:divBdr>
              <w:divsChild>
                <w:div w:id="941108274">
                  <w:marLeft w:val="0"/>
                  <w:marRight w:val="0"/>
                  <w:marTop w:val="0"/>
                  <w:marBottom w:val="0"/>
                  <w:divBdr>
                    <w:top w:val="none" w:sz="0" w:space="0" w:color="auto"/>
                    <w:left w:val="none" w:sz="0" w:space="0" w:color="auto"/>
                    <w:bottom w:val="none" w:sz="0" w:space="0" w:color="auto"/>
                    <w:right w:val="none" w:sz="0" w:space="0" w:color="auto"/>
                  </w:divBdr>
                  <w:divsChild>
                    <w:div w:id="853299761">
                      <w:marLeft w:val="0"/>
                      <w:marRight w:val="0"/>
                      <w:marTop w:val="0"/>
                      <w:marBottom w:val="0"/>
                      <w:divBdr>
                        <w:top w:val="none" w:sz="0" w:space="0" w:color="auto"/>
                        <w:left w:val="none" w:sz="0" w:space="0" w:color="auto"/>
                        <w:bottom w:val="none" w:sz="0" w:space="0" w:color="auto"/>
                        <w:right w:val="none" w:sz="0" w:space="0" w:color="auto"/>
                      </w:divBdr>
                      <w:divsChild>
                        <w:div w:id="2105804555">
                          <w:marLeft w:val="0"/>
                          <w:marRight w:val="0"/>
                          <w:marTop w:val="0"/>
                          <w:marBottom w:val="0"/>
                          <w:divBdr>
                            <w:top w:val="none" w:sz="0" w:space="0" w:color="auto"/>
                            <w:left w:val="none" w:sz="0" w:space="0" w:color="auto"/>
                            <w:bottom w:val="none" w:sz="0" w:space="0" w:color="auto"/>
                            <w:right w:val="none" w:sz="0" w:space="0" w:color="auto"/>
                          </w:divBdr>
                          <w:divsChild>
                            <w:div w:id="1648509786">
                              <w:marLeft w:val="0"/>
                              <w:marRight w:val="0"/>
                              <w:marTop w:val="0"/>
                              <w:marBottom w:val="0"/>
                              <w:divBdr>
                                <w:top w:val="none" w:sz="0" w:space="0" w:color="auto"/>
                                <w:left w:val="none" w:sz="0" w:space="0" w:color="auto"/>
                                <w:bottom w:val="none" w:sz="0" w:space="0" w:color="auto"/>
                                <w:right w:val="none" w:sz="0" w:space="0" w:color="auto"/>
                              </w:divBdr>
                              <w:divsChild>
                                <w:div w:id="618493883">
                                  <w:marLeft w:val="0"/>
                                  <w:marRight w:val="0"/>
                                  <w:marTop w:val="0"/>
                                  <w:marBottom w:val="0"/>
                                  <w:divBdr>
                                    <w:top w:val="none" w:sz="0" w:space="0" w:color="auto"/>
                                    <w:left w:val="none" w:sz="0" w:space="0" w:color="auto"/>
                                    <w:bottom w:val="none" w:sz="0" w:space="0" w:color="auto"/>
                                    <w:right w:val="none" w:sz="0" w:space="0" w:color="auto"/>
                                  </w:divBdr>
                                  <w:divsChild>
                                    <w:div w:id="1498379927">
                                      <w:marLeft w:val="0"/>
                                      <w:marRight w:val="0"/>
                                      <w:marTop w:val="0"/>
                                      <w:marBottom w:val="0"/>
                                      <w:divBdr>
                                        <w:top w:val="none" w:sz="0" w:space="0" w:color="auto"/>
                                        <w:left w:val="none" w:sz="0" w:space="0" w:color="auto"/>
                                        <w:bottom w:val="none" w:sz="0" w:space="0" w:color="auto"/>
                                        <w:right w:val="none" w:sz="0" w:space="0" w:color="auto"/>
                                      </w:divBdr>
                                      <w:divsChild>
                                        <w:div w:id="1193761861">
                                          <w:marLeft w:val="0"/>
                                          <w:marRight w:val="0"/>
                                          <w:marTop w:val="0"/>
                                          <w:marBottom w:val="0"/>
                                          <w:divBdr>
                                            <w:top w:val="none" w:sz="0" w:space="0" w:color="auto"/>
                                            <w:left w:val="none" w:sz="0" w:space="0" w:color="auto"/>
                                            <w:bottom w:val="none" w:sz="0" w:space="0" w:color="auto"/>
                                            <w:right w:val="none" w:sz="0" w:space="0" w:color="auto"/>
                                          </w:divBdr>
                                          <w:divsChild>
                                            <w:div w:id="93327373">
                                              <w:marLeft w:val="0"/>
                                              <w:marRight w:val="0"/>
                                              <w:marTop w:val="0"/>
                                              <w:marBottom w:val="0"/>
                                              <w:divBdr>
                                                <w:top w:val="none" w:sz="0" w:space="0" w:color="auto"/>
                                                <w:left w:val="none" w:sz="0" w:space="0" w:color="auto"/>
                                                <w:bottom w:val="none" w:sz="0" w:space="0" w:color="auto"/>
                                                <w:right w:val="none" w:sz="0" w:space="0" w:color="auto"/>
                                              </w:divBdr>
                                              <w:divsChild>
                                                <w:div w:id="1565291241">
                                                  <w:marLeft w:val="0"/>
                                                  <w:marRight w:val="0"/>
                                                  <w:marTop w:val="0"/>
                                                  <w:marBottom w:val="0"/>
                                                  <w:divBdr>
                                                    <w:top w:val="none" w:sz="0" w:space="0" w:color="auto"/>
                                                    <w:left w:val="none" w:sz="0" w:space="0" w:color="auto"/>
                                                    <w:bottom w:val="none" w:sz="0" w:space="0" w:color="auto"/>
                                                    <w:right w:val="none" w:sz="0" w:space="0" w:color="auto"/>
                                                  </w:divBdr>
                                                  <w:divsChild>
                                                    <w:div w:id="1367683244">
                                                      <w:marLeft w:val="0"/>
                                                      <w:marRight w:val="0"/>
                                                      <w:marTop w:val="0"/>
                                                      <w:marBottom w:val="0"/>
                                                      <w:divBdr>
                                                        <w:top w:val="none" w:sz="0" w:space="0" w:color="auto"/>
                                                        <w:left w:val="none" w:sz="0" w:space="0" w:color="auto"/>
                                                        <w:bottom w:val="none" w:sz="0" w:space="0" w:color="auto"/>
                                                        <w:right w:val="none" w:sz="0" w:space="0" w:color="auto"/>
                                                      </w:divBdr>
                                                      <w:divsChild>
                                                        <w:div w:id="213539468">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918855285">
      <w:bodyDiv w:val="1"/>
      <w:marLeft w:val="0"/>
      <w:marRight w:val="0"/>
      <w:marTop w:val="0"/>
      <w:marBottom w:val="0"/>
      <w:divBdr>
        <w:top w:val="none" w:sz="0" w:space="0" w:color="auto"/>
        <w:left w:val="none" w:sz="0" w:space="0" w:color="auto"/>
        <w:bottom w:val="none" w:sz="0" w:space="0" w:color="auto"/>
        <w:right w:val="none" w:sz="0" w:space="0" w:color="auto"/>
      </w:divBdr>
    </w:div>
    <w:div w:id="1957981655">
      <w:bodyDiv w:val="1"/>
      <w:marLeft w:val="0"/>
      <w:marRight w:val="0"/>
      <w:marTop w:val="0"/>
      <w:marBottom w:val="0"/>
      <w:divBdr>
        <w:top w:val="none" w:sz="0" w:space="0" w:color="auto"/>
        <w:left w:val="none" w:sz="0" w:space="0" w:color="auto"/>
        <w:bottom w:val="none" w:sz="0" w:space="0" w:color="auto"/>
        <w:right w:val="none" w:sz="0" w:space="0" w:color="auto"/>
      </w:divBdr>
    </w:div>
    <w:div w:id="2033996872">
      <w:bodyDiv w:val="1"/>
      <w:marLeft w:val="0"/>
      <w:marRight w:val="0"/>
      <w:marTop w:val="0"/>
      <w:marBottom w:val="0"/>
      <w:divBdr>
        <w:top w:val="none" w:sz="0" w:space="0" w:color="auto"/>
        <w:left w:val="none" w:sz="0" w:space="0" w:color="auto"/>
        <w:bottom w:val="none" w:sz="0" w:space="0" w:color="auto"/>
        <w:right w:val="none" w:sz="0" w:space="0" w:color="auto"/>
      </w:divBdr>
      <w:divsChild>
        <w:div w:id="1001396823">
          <w:marLeft w:val="0"/>
          <w:marRight w:val="0"/>
          <w:marTop w:val="0"/>
          <w:marBottom w:val="0"/>
          <w:divBdr>
            <w:top w:val="none" w:sz="0" w:space="0" w:color="auto"/>
            <w:left w:val="none" w:sz="0" w:space="0" w:color="auto"/>
            <w:bottom w:val="none" w:sz="0" w:space="0" w:color="auto"/>
            <w:right w:val="none" w:sz="0" w:space="0" w:color="auto"/>
          </w:divBdr>
        </w:div>
      </w:divsChild>
    </w:div>
    <w:div w:id="2122260329">
      <w:bodyDiv w:val="1"/>
      <w:marLeft w:val="0"/>
      <w:marRight w:val="0"/>
      <w:marTop w:val="0"/>
      <w:marBottom w:val="0"/>
      <w:divBdr>
        <w:top w:val="none" w:sz="0" w:space="0" w:color="auto"/>
        <w:left w:val="none" w:sz="0" w:space="0" w:color="auto"/>
        <w:bottom w:val="none" w:sz="0" w:space="0" w:color="auto"/>
        <w:right w:val="none" w:sz="0" w:space="0" w:color="auto"/>
      </w:divBdr>
    </w:div>
    <w:div w:id="21395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4329-F613-BF43-AF2C-402179A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19685</Words>
  <Characters>112205</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Green</dc:creator>
  <cp:lastModifiedBy>Green, Mark</cp:lastModifiedBy>
  <cp:revision>5</cp:revision>
  <cp:lastPrinted>2020-06-12T11:17:00Z</cp:lastPrinted>
  <dcterms:created xsi:type="dcterms:W3CDTF">2020-09-14T10:53:00Z</dcterms:created>
  <dcterms:modified xsi:type="dcterms:W3CDTF">2020-09-15T08:54:00Z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http://www.zotero.org/styles/bmj-open</vt:lpwstr>
  </property>
  <property fmtid="{D5CDD505-2E9C-101B-9397-08002B2CF9AE}" pid="13" name="Mendeley Recent Style Name 4_1">
    <vt:lpwstr>BMJ Open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(deprecated)</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a6baa682-596c-368b-87dc-891d3370777e</vt:lpwstr>
  </property>
</Properties>
</file>