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769A3" w14:textId="56339285" w:rsidR="0058342E" w:rsidRPr="00721A20" w:rsidRDefault="00E846E3" w:rsidP="00721A20">
      <w:pPr>
        <w:pStyle w:val="Title"/>
      </w:pPr>
      <w:bookmarkStart w:id="0" w:name="_Hlk510517710"/>
      <w:bookmarkStart w:id="1" w:name="_Hlk9592457"/>
      <w:bookmarkStart w:id="2" w:name="_Hlk509327643"/>
      <w:r>
        <w:t>M</w:t>
      </w:r>
      <w:r w:rsidR="002202AB">
        <w:t>ental</w:t>
      </w:r>
      <w:r w:rsidR="00606338">
        <w:t xml:space="preserve"> health</w:t>
      </w:r>
      <w:r w:rsidR="002202AB">
        <w:t xml:space="preserve"> disorder</w:t>
      </w:r>
      <w:r>
        <w:t>s and alcohol misuse</w:t>
      </w:r>
      <w:r w:rsidR="00B22486">
        <w:t xml:space="preserve"> </w:t>
      </w:r>
      <w:r>
        <w:t>among</w:t>
      </w:r>
      <w:r w:rsidR="0026011B">
        <w:t xml:space="preserve"> </w:t>
      </w:r>
      <w:r w:rsidR="00C83659">
        <w:t xml:space="preserve">UK </w:t>
      </w:r>
      <w:r w:rsidR="00E018D2">
        <w:t>military veterans</w:t>
      </w:r>
      <w:r w:rsidR="0026011B">
        <w:t xml:space="preserve"> </w:t>
      </w:r>
      <w:r w:rsidR="00B22486">
        <w:t>and</w:t>
      </w:r>
      <w:r w:rsidR="00C05BB8" w:rsidRPr="00721A20">
        <w:t xml:space="preserve"> </w:t>
      </w:r>
      <w:r w:rsidR="0026011B">
        <w:t>the general population</w:t>
      </w:r>
      <w:r>
        <w:t>: A comparison</w:t>
      </w:r>
      <w:r w:rsidR="00360D0D">
        <w:t xml:space="preserve"> study</w:t>
      </w:r>
    </w:p>
    <w:p w14:paraId="4EB42FBD" w14:textId="7A05EA79" w:rsidR="00721A20" w:rsidRPr="009347B5" w:rsidRDefault="00721A20" w:rsidP="00721A20">
      <w:pPr>
        <w:pStyle w:val="Subtitle"/>
        <w:rPr>
          <w:color w:val="002060"/>
        </w:rPr>
      </w:pPr>
      <w:bookmarkStart w:id="3" w:name="_Hlk510517722"/>
      <w:bookmarkEnd w:id="0"/>
      <w:r w:rsidRPr="009347B5">
        <w:rPr>
          <w:color w:val="002060"/>
        </w:rPr>
        <w:t>Rebecca Rhead</w:t>
      </w:r>
      <w:r w:rsidR="00686852" w:rsidRPr="00633719">
        <w:rPr>
          <w:color w:val="002060"/>
          <w:vertAlign w:val="superscript"/>
        </w:rPr>
        <w:t>1</w:t>
      </w:r>
      <w:r w:rsidR="00F40C76">
        <w:rPr>
          <w:color w:val="002060"/>
          <w:vertAlign w:val="superscript"/>
        </w:rPr>
        <w:t>,2</w:t>
      </w:r>
      <w:r w:rsidRPr="009347B5">
        <w:rPr>
          <w:color w:val="002060"/>
        </w:rPr>
        <w:t>, Deirdre Mac</w:t>
      </w:r>
      <w:r w:rsidR="00094E6D">
        <w:rPr>
          <w:color w:val="002060"/>
        </w:rPr>
        <w:t>M</w:t>
      </w:r>
      <w:r w:rsidRPr="009347B5">
        <w:rPr>
          <w:color w:val="002060"/>
        </w:rPr>
        <w:t>anus</w:t>
      </w:r>
      <w:r w:rsidR="00F40C76">
        <w:rPr>
          <w:color w:val="002060"/>
          <w:vertAlign w:val="superscript"/>
        </w:rPr>
        <w:t>1</w:t>
      </w:r>
      <w:r w:rsidR="00C20507">
        <w:rPr>
          <w:color w:val="002060"/>
          <w:vertAlign w:val="superscript"/>
        </w:rPr>
        <w:t>,2</w:t>
      </w:r>
      <w:r w:rsidRPr="009347B5">
        <w:rPr>
          <w:color w:val="002060"/>
        </w:rPr>
        <w:t>, Margaret Jone</w:t>
      </w:r>
      <w:r w:rsidR="00F40C76">
        <w:rPr>
          <w:color w:val="002060"/>
        </w:rPr>
        <w:t>s</w:t>
      </w:r>
      <w:r w:rsidR="00F40C76">
        <w:rPr>
          <w:color w:val="002060"/>
          <w:vertAlign w:val="superscript"/>
        </w:rPr>
        <w:t>2</w:t>
      </w:r>
      <w:r w:rsidR="00A83B35">
        <w:rPr>
          <w:color w:val="002060"/>
        </w:rPr>
        <w:t>,</w:t>
      </w:r>
      <w:r w:rsidR="00477830">
        <w:rPr>
          <w:color w:val="002060"/>
        </w:rPr>
        <w:t xml:space="preserve"> Neil Greenberg</w:t>
      </w:r>
      <w:r w:rsidR="00F40C76">
        <w:rPr>
          <w:color w:val="002060"/>
          <w:vertAlign w:val="superscript"/>
        </w:rPr>
        <w:t>2</w:t>
      </w:r>
      <w:r w:rsidR="00477830">
        <w:rPr>
          <w:color w:val="002060"/>
        </w:rPr>
        <w:t xml:space="preserve">, Nicola </w:t>
      </w:r>
      <w:r w:rsidR="00E846E3">
        <w:rPr>
          <w:color w:val="002060"/>
        </w:rPr>
        <w:t xml:space="preserve">T </w:t>
      </w:r>
      <w:r w:rsidR="00477830">
        <w:rPr>
          <w:color w:val="002060"/>
        </w:rPr>
        <w:t>Fear</w:t>
      </w:r>
      <w:r w:rsidR="00F40C76">
        <w:rPr>
          <w:color w:val="002060"/>
          <w:vertAlign w:val="superscript"/>
        </w:rPr>
        <w:t>2</w:t>
      </w:r>
      <w:r w:rsidR="00CC1298">
        <w:rPr>
          <w:color w:val="002060"/>
          <w:vertAlign w:val="superscript"/>
        </w:rPr>
        <w:t>,3</w:t>
      </w:r>
      <w:r w:rsidR="00477830">
        <w:rPr>
          <w:color w:val="002060"/>
        </w:rPr>
        <w:t>,</w:t>
      </w:r>
      <w:r w:rsidR="00F30E1C">
        <w:rPr>
          <w:color w:val="002060"/>
        </w:rPr>
        <w:t xml:space="preserve"> Laura Goodwin</w:t>
      </w:r>
      <w:bookmarkEnd w:id="3"/>
      <w:r w:rsidR="00237866">
        <w:rPr>
          <w:color w:val="002060"/>
          <w:vertAlign w:val="superscript"/>
        </w:rPr>
        <w:t>2</w:t>
      </w:r>
      <w:r w:rsidR="00CC1298">
        <w:rPr>
          <w:color w:val="002060"/>
          <w:vertAlign w:val="superscript"/>
        </w:rPr>
        <w:t>,4</w:t>
      </w:r>
    </w:p>
    <w:p w14:paraId="3E3D39FA" w14:textId="77777777" w:rsidR="00721A20" w:rsidRDefault="00721A20" w:rsidP="00721A20"/>
    <w:p w14:paraId="350486CE" w14:textId="500110D4" w:rsidR="001752DB" w:rsidRPr="009347B5" w:rsidRDefault="00686852" w:rsidP="001752DB">
      <w:pPr>
        <w:spacing w:after="0"/>
        <w:rPr>
          <w:rFonts w:cs="Times New Roman"/>
          <w:sz w:val="20"/>
          <w:szCs w:val="20"/>
        </w:rPr>
      </w:pPr>
      <w:bookmarkStart w:id="4" w:name="_Hlk510531991"/>
      <w:r w:rsidRPr="00633719">
        <w:rPr>
          <w:rStyle w:val="SubtleEmphasis"/>
        </w:rPr>
        <w:t>1</w:t>
      </w:r>
      <w:r>
        <w:rPr>
          <w:rFonts w:cs="Times New Roman"/>
          <w:b/>
          <w:sz w:val="20"/>
          <w:szCs w:val="20"/>
        </w:rPr>
        <w:t xml:space="preserve"> </w:t>
      </w:r>
      <w:r w:rsidR="009347B5" w:rsidRPr="009347B5">
        <w:rPr>
          <w:rFonts w:cs="Times New Roman"/>
          <w:b/>
          <w:sz w:val="20"/>
          <w:szCs w:val="20"/>
        </w:rPr>
        <w:t>Department of Forensic and Neurodevelopmental Science</w:t>
      </w:r>
      <w:r w:rsidR="001752DB" w:rsidRPr="009347B5">
        <w:rPr>
          <w:rFonts w:cs="Times New Roman"/>
          <w:b/>
          <w:sz w:val="20"/>
          <w:szCs w:val="20"/>
        </w:rPr>
        <w:t xml:space="preserve">, King’s College London, London, </w:t>
      </w:r>
      <w:r w:rsidR="00CC1298">
        <w:rPr>
          <w:rFonts w:cs="Times New Roman"/>
          <w:b/>
          <w:sz w:val="20"/>
          <w:szCs w:val="20"/>
        </w:rPr>
        <w:t>UK</w:t>
      </w:r>
      <w:r w:rsidR="001752DB" w:rsidRPr="009347B5">
        <w:rPr>
          <w:rFonts w:cs="Times New Roman"/>
          <w:b/>
          <w:sz w:val="20"/>
          <w:szCs w:val="20"/>
        </w:rPr>
        <w:t xml:space="preserve"> </w:t>
      </w:r>
    </w:p>
    <w:p w14:paraId="1E397CC8" w14:textId="53EF6C02" w:rsidR="009347B5" w:rsidRDefault="00686852" w:rsidP="009347B5">
      <w:pPr>
        <w:rPr>
          <w:rFonts w:cs="Times New Roman"/>
          <w:b/>
          <w:sz w:val="20"/>
          <w:szCs w:val="20"/>
        </w:rPr>
      </w:pPr>
      <w:bookmarkStart w:id="5" w:name="_Hlk510532010"/>
      <w:bookmarkEnd w:id="4"/>
      <w:r w:rsidRPr="00633719">
        <w:rPr>
          <w:rStyle w:val="SubtleEmphasis"/>
        </w:rPr>
        <w:t>2</w:t>
      </w:r>
      <w:r>
        <w:rPr>
          <w:rFonts w:cs="Times New Roman"/>
          <w:b/>
          <w:sz w:val="20"/>
          <w:szCs w:val="20"/>
        </w:rPr>
        <w:t xml:space="preserve"> </w:t>
      </w:r>
      <w:r w:rsidR="009347B5" w:rsidRPr="009347B5">
        <w:rPr>
          <w:rFonts w:cs="Times New Roman"/>
          <w:b/>
          <w:sz w:val="20"/>
          <w:szCs w:val="20"/>
        </w:rPr>
        <w:t xml:space="preserve">King’s Centre for Military Health Research, </w:t>
      </w:r>
      <w:r w:rsidR="00CC1298" w:rsidRPr="00CC1298">
        <w:rPr>
          <w:rFonts w:cs="Times New Roman"/>
          <w:b/>
          <w:sz w:val="20"/>
          <w:szCs w:val="20"/>
        </w:rPr>
        <w:t xml:space="preserve">Department of Psychological Medicine, </w:t>
      </w:r>
      <w:r w:rsidR="009347B5" w:rsidRPr="009347B5">
        <w:rPr>
          <w:rFonts w:cs="Times New Roman"/>
          <w:b/>
          <w:sz w:val="20"/>
          <w:szCs w:val="20"/>
        </w:rPr>
        <w:t xml:space="preserve">King’s College London, London, </w:t>
      </w:r>
      <w:r w:rsidR="00CC1298">
        <w:rPr>
          <w:rFonts w:cs="Times New Roman"/>
          <w:b/>
          <w:sz w:val="20"/>
          <w:szCs w:val="20"/>
        </w:rPr>
        <w:t>UK</w:t>
      </w:r>
    </w:p>
    <w:p w14:paraId="7CED7922" w14:textId="136DB5C2" w:rsidR="00995E80" w:rsidRPr="0067135F" w:rsidRDefault="00CC1298" w:rsidP="009347B5">
      <w:pPr>
        <w:rPr>
          <w:rFonts w:cs="Times New Roman"/>
          <w:b/>
          <w:sz w:val="20"/>
          <w:szCs w:val="20"/>
        </w:rPr>
      </w:pPr>
      <w:r>
        <w:rPr>
          <w:rStyle w:val="SubtleEmphasis"/>
        </w:rPr>
        <w:t xml:space="preserve">3 </w:t>
      </w:r>
      <w:r w:rsidR="00995E80" w:rsidRPr="0067135F">
        <w:rPr>
          <w:rFonts w:cs="Times New Roman"/>
          <w:b/>
          <w:sz w:val="20"/>
          <w:szCs w:val="20"/>
        </w:rPr>
        <w:t xml:space="preserve">Academic Department of Military Mental Health, </w:t>
      </w:r>
      <w:r w:rsidRPr="00CC1298">
        <w:rPr>
          <w:rFonts w:cs="Times New Roman"/>
          <w:b/>
          <w:sz w:val="20"/>
          <w:szCs w:val="20"/>
        </w:rPr>
        <w:t xml:space="preserve">Department of Psychological Medicine, </w:t>
      </w:r>
      <w:r w:rsidR="00995E80" w:rsidRPr="0067135F">
        <w:rPr>
          <w:rFonts w:cs="Times New Roman"/>
          <w:b/>
          <w:sz w:val="20"/>
          <w:szCs w:val="20"/>
        </w:rPr>
        <w:t>King’s</w:t>
      </w:r>
      <w:r>
        <w:rPr>
          <w:rFonts w:cs="Times New Roman"/>
          <w:b/>
          <w:sz w:val="20"/>
          <w:szCs w:val="20"/>
        </w:rPr>
        <w:t xml:space="preserve"> </w:t>
      </w:r>
      <w:r w:rsidR="00995E80" w:rsidRPr="0067135F">
        <w:rPr>
          <w:rFonts w:cs="Times New Roman"/>
          <w:b/>
          <w:sz w:val="20"/>
          <w:szCs w:val="20"/>
        </w:rPr>
        <w:t>College London, London, U</w:t>
      </w:r>
      <w:r>
        <w:rPr>
          <w:rFonts w:cs="Times New Roman"/>
          <w:b/>
          <w:sz w:val="20"/>
          <w:szCs w:val="20"/>
        </w:rPr>
        <w:t>K</w:t>
      </w:r>
    </w:p>
    <w:p w14:paraId="689D2EF9" w14:textId="1F9B8DFB" w:rsidR="001752DB" w:rsidRPr="009347B5" w:rsidRDefault="00CC1298" w:rsidP="001752DB">
      <w:pPr>
        <w:spacing w:after="0"/>
        <w:rPr>
          <w:rFonts w:cs="Times New Roman"/>
          <w:b/>
          <w:sz w:val="20"/>
          <w:szCs w:val="20"/>
        </w:rPr>
      </w:pPr>
      <w:bookmarkStart w:id="6" w:name="_Hlk514858244"/>
      <w:bookmarkStart w:id="7" w:name="_Hlk510531999"/>
      <w:bookmarkEnd w:id="5"/>
      <w:r>
        <w:rPr>
          <w:rStyle w:val="SubtleEmphasis"/>
        </w:rPr>
        <w:t>4</w:t>
      </w:r>
      <w:r w:rsidR="00686852">
        <w:rPr>
          <w:rFonts w:cs="Times New Roman"/>
          <w:b/>
          <w:bCs/>
          <w:sz w:val="20"/>
          <w:szCs w:val="20"/>
          <w:lang w:val="en-US"/>
        </w:rPr>
        <w:t xml:space="preserve"> </w:t>
      </w:r>
      <w:r w:rsidR="001752DB" w:rsidRPr="009347B5">
        <w:rPr>
          <w:rFonts w:cs="Times New Roman"/>
          <w:b/>
          <w:bCs/>
          <w:sz w:val="20"/>
          <w:szCs w:val="20"/>
          <w:lang w:val="en-US"/>
        </w:rPr>
        <w:t xml:space="preserve">Department of </w:t>
      </w:r>
      <w:r w:rsidR="00981165">
        <w:rPr>
          <w:rFonts w:cs="Times New Roman"/>
          <w:b/>
          <w:bCs/>
          <w:sz w:val="20"/>
          <w:szCs w:val="20"/>
          <w:lang w:val="en-US"/>
        </w:rPr>
        <w:t>Psychological Sciences</w:t>
      </w:r>
      <w:bookmarkEnd w:id="6"/>
      <w:r w:rsidR="001752DB" w:rsidRPr="009347B5">
        <w:rPr>
          <w:rFonts w:cs="Times New Roman"/>
          <w:b/>
          <w:bCs/>
          <w:sz w:val="20"/>
          <w:szCs w:val="20"/>
          <w:lang w:val="en-US"/>
        </w:rPr>
        <w:t>, University</w:t>
      </w:r>
      <w:r w:rsidR="00981165">
        <w:rPr>
          <w:rFonts w:cs="Times New Roman"/>
          <w:b/>
          <w:bCs/>
          <w:sz w:val="20"/>
          <w:szCs w:val="20"/>
          <w:lang w:val="en-US"/>
        </w:rPr>
        <w:t xml:space="preserve"> of Liverpool</w:t>
      </w:r>
      <w:r w:rsidR="001752DB" w:rsidRPr="009347B5">
        <w:rPr>
          <w:rFonts w:cs="Times New Roman"/>
          <w:b/>
          <w:bCs/>
          <w:sz w:val="20"/>
          <w:szCs w:val="20"/>
          <w:lang w:val="en-US"/>
        </w:rPr>
        <w:t xml:space="preserve">, Liverpool, </w:t>
      </w:r>
      <w:r>
        <w:rPr>
          <w:rFonts w:cs="Times New Roman"/>
          <w:b/>
          <w:bCs/>
          <w:sz w:val="20"/>
          <w:szCs w:val="20"/>
          <w:lang w:val="en-US"/>
        </w:rPr>
        <w:t>UK</w:t>
      </w:r>
      <w:r w:rsidR="001752DB" w:rsidRPr="009347B5">
        <w:rPr>
          <w:rFonts w:cs="Times New Roman"/>
          <w:b/>
          <w:bCs/>
          <w:sz w:val="20"/>
          <w:szCs w:val="20"/>
          <w:lang w:val="en-US"/>
        </w:rPr>
        <w:t xml:space="preserve"> </w:t>
      </w:r>
    </w:p>
    <w:bookmarkEnd w:id="7"/>
    <w:p w14:paraId="712007C8" w14:textId="77777777" w:rsidR="001752DB" w:rsidRPr="009347B5" w:rsidRDefault="001752DB" w:rsidP="001752DB">
      <w:pPr>
        <w:spacing w:after="0"/>
        <w:rPr>
          <w:rFonts w:cs="Times New Roman"/>
          <w:b/>
          <w:sz w:val="20"/>
          <w:szCs w:val="20"/>
        </w:rPr>
      </w:pPr>
    </w:p>
    <w:bookmarkEnd w:id="1"/>
    <w:p w14:paraId="081BC101" w14:textId="4F96E9F1" w:rsidR="001752DB" w:rsidRPr="009347B5" w:rsidRDefault="001752DB" w:rsidP="001752DB">
      <w:pPr>
        <w:spacing w:after="0"/>
        <w:rPr>
          <w:rFonts w:cs="Times New Roman"/>
          <w:b/>
          <w:sz w:val="20"/>
          <w:szCs w:val="20"/>
        </w:rPr>
      </w:pPr>
      <w:r w:rsidRPr="009347B5">
        <w:rPr>
          <w:rFonts w:cs="Times New Roman"/>
          <w:sz w:val="20"/>
          <w:szCs w:val="20"/>
        </w:rPr>
        <w:t xml:space="preserve">Correspondence to: Dr Rebecca D Rhead </w:t>
      </w:r>
      <w:r w:rsidRPr="009347B5">
        <w:rPr>
          <w:rFonts w:cs="Times New Roman"/>
          <w:b/>
          <w:sz w:val="20"/>
          <w:szCs w:val="20"/>
        </w:rPr>
        <w:t>(rebecca.rhead@kcl.ac.uk)</w:t>
      </w:r>
    </w:p>
    <w:bookmarkEnd w:id="2"/>
    <w:p w14:paraId="4DE6055C" w14:textId="50A0FF8E" w:rsidR="00721A20" w:rsidRDefault="00721A20" w:rsidP="00721A20"/>
    <w:p w14:paraId="4B78BBCF" w14:textId="5FF35847" w:rsidR="00963B94" w:rsidRDefault="00963B94" w:rsidP="00721A20">
      <w:r w:rsidRPr="00963B94">
        <w:rPr>
          <w:b/>
        </w:rPr>
        <w:t>Wordcount:</w:t>
      </w:r>
      <w:r>
        <w:t xml:space="preserve"> 3735</w:t>
      </w:r>
    </w:p>
    <w:p w14:paraId="0B6E83C5" w14:textId="77777777" w:rsidR="001752DB" w:rsidRDefault="001752DB">
      <w:pPr>
        <w:spacing w:before="0" w:after="0"/>
        <w:rPr>
          <w:rFonts w:cs="Times New Roman"/>
          <w:b/>
          <w:bCs/>
          <w:sz w:val="28"/>
        </w:rPr>
      </w:pPr>
      <w:r>
        <w:rPr>
          <w:rFonts w:cs="Times New Roman"/>
          <w:b/>
          <w:bCs/>
          <w:sz w:val="28"/>
        </w:rPr>
        <w:br w:type="page"/>
      </w:r>
    </w:p>
    <w:p w14:paraId="123E6581" w14:textId="4B4B0E45" w:rsidR="00F4382B" w:rsidRDefault="00F4382B" w:rsidP="00F4382B">
      <w:pPr>
        <w:pStyle w:val="Heading1"/>
      </w:pPr>
      <w:bookmarkStart w:id="8" w:name="_Hlk9593051"/>
      <w:r>
        <w:lastRenderedPageBreak/>
        <w:t>Abstract</w:t>
      </w:r>
    </w:p>
    <w:p w14:paraId="196F4F13" w14:textId="2D8A29CD" w:rsidR="00F4382B" w:rsidRDefault="00F4382B" w:rsidP="00A77293">
      <w:pPr>
        <w:pStyle w:val="Heading2"/>
      </w:pPr>
      <w:r w:rsidRPr="00922A43">
        <w:t>Background</w:t>
      </w:r>
    </w:p>
    <w:p w14:paraId="2FD5B57A" w14:textId="0B996662" w:rsidR="00A77293" w:rsidRDefault="008806A7" w:rsidP="00F4382B">
      <w:r>
        <w:t>For a small minority</w:t>
      </w:r>
      <w:r w:rsidR="00B71699">
        <w:t xml:space="preserve"> of personnel</w:t>
      </w:r>
      <w:r>
        <w:t xml:space="preserve">, military service can have a negative impact on </w:t>
      </w:r>
      <w:r w:rsidR="00EC04C3">
        <w:t xml:space="preserve">their </w:t>
      </w:r>
      <w:r>
        <w:t>mental health</w:t>
      </w:r>
      <w:r w:rsidR="004D728D" w:rsidRPr="00EA525B">
        <w:t>. Yet n</w:t>
      </w:r>
      <w:r w:rsidR="00F73BA9" w:rsidRPr="00EA525B">
        <w:t>o</w:t>
      </w:r>
      <w:r w:rsidR="00C671D0" w:rsidRPr="00EA525B">
        <w:t xml:space="preserve"> </w:t>
      </w:r>
      <w:r w:rsidR="007E3472" w:rsidRPr="00EA525B">
        <w:t xml:space="preserve">studies </w:t>
      </w:r>
      <w:r w:rsidR="00904D0A" w:rsidRPr="00EA525B">
        <w:t xml:space="preserve">have </w:t>
      </w:r>
      <w:r w:rsidR="00C671D0" w:rsidRPr="00EA525B">
        <w:t xml:space="preserve">assessed </w:t>
      </w:r>
      <w:r w:rsidR="00F73BA9" w:rsidRPr="00EA525B">
        <w:t xml:space="preserve">how </w:t>
      </w:r>
      <w:r w:rsidR="00C671D0" w:rsidRPr="00EA525B">
        <w:t xml:space="preserve">the mental health of </w:t>
      </w:r>
      <w:r w:rsidR="00F73BA9" w:rsidRPr="00EA525B">
        <w:t xml:space="preserve">UK </w:t>
      </w:r>
      <w:r w:rsidR="007E3472" w:rsidRPr="00EA525B">
        <w:t xml:space="preserve">veterans </w:t>
      </w:r>
      <w:r w:rsidR="00EA525B">
        <w:t>(</w:t>
      </w:r>
      <w:r w:rsidR="00904D0A" w:rsidRPr="00EA525B">
        <w:t>who served</w:t>
      </w:r>
      <w:r w:rsidR="007E3472" w:rsidRPr="00EA525B">
        <w:t xml:space="preserve"> during </w:t>
      </w:r>
      <w:r w:rsidR="00423CAB">
        <w:t xml:space="preserve">the recent </w:t>
      </w:r>
      <w:r w:rsidR="007E3472" w:rsidRPr="00EA525B">
        <w:t>operations in Afghanistan or Iraq</w:t>
      </w:r>
      <w:r w:rsidR="00EA525B">
        <w:t>)</w:t>
      </w:r>
      <w:r w:rsidR="00F73BA9" w:rsidRPr="00EA525B">
        <w:t xml:space="preserve"> compares </w:t>
      </w:r>
      <w:r w:rsidR="00C671D0" w:rsidRPr="00EA525B">
        <w:t xml:space="preserve">to </w:t>
      </w:r>
      <w:r w:rsidR="00423CAB">
        <w:t>non-veterans</w:t>
      </w:r>
      <w:r w:rsidR="00F73BA9" w:rsidRPr="00EA525B">
        <w:t>, to determine if they are at a disadvantage</w:t>
      </w:r>
      <w:r w:rsidR="00904D0A" w:rsidRPr="00EA525B">
        <w:t>.</w:t>
      </w:r>
      <w:r w:rsidR="004D728D" w:rsidRPr="00EA525B">
        <w:t xml:space="preserve"> </w:t>
      </w:r>
      <w:r w:rsidR="000F2C02" w:rsidRPr="00EA525B">
        <w:t xml:space="preserve">We examine the prevalence of mental disorders and alcohol misuse in UK veterans </w:t>
      </w:r>
      <w:r w:rsidR="00EA525B">
        <w:t>compared to</w:t>
      </w:r>
      <w:r w:rsidR="000F2C02" w:rsidRPr="00EA525B">
        <w:t xml:space="preserve"> </w:t>
      </w:r>
      <w:r w:rsidR="003C25A2">
        <w:t>non-veterans</w:t>
      </w:r>
      <w:r w:rsidR="000F2C02" w:rsidRPr="00EA525B">
        <w:t>.</w:t>
      </w:r>
    </w:p>
    <w:p w14:paraId="552556DD" w14:textId="0544A75A" w:rsidR="00F4382B" w:rsidRDefault="00F4382B" w:rsidP="00A77293">
      <w:pPr>
        <w:pStyle w:val="Heading2"/>
      </w:pPr>
      <w:r w:rsidRPr="00922A43">
        <w:t>Methods</w:t>
      </w:r>
    </w:p>
    <w:p w14:paraId="35D4D148" w14:textId="6852FA03" w:rsidR="00A77293" w:rsidRDefault="000F2C02" w:rsidP="00A77293">
      <w:r>
        <w:t xml:space="preserve">Veteran </w:t>
      </w:r>
      <w:r w:rsidR="00EC66D8">
        <w:t>data</w:t>
      </w:r>
      <w:r>
        <w:t xml:space="preserve"> was taken </w:t>
      </w:r>
      <w:r w:rsidR="00EC66D8">
        <w:t>from the</w:t>
      </w:r>
      <w:r>
        <w:t xml:space="preserve"> third phase of the</w:t>
      </w:r>
      <w:r w:rsidR="00EC66D8">
        <w:t xml:space="preserve"> King’s Centre for Military Health Research (KCMHR) cohort study </w:t>
      </w:r>
      <w:r>
        <w:t>(n=</w:t>
      </w:r>
      <w:r w:rsidR="0084682D" w:rsidRPr="00D21341">
        <w:t>2,917</w:t>
      </w:r>
      <w:r>
        <w:t xml:space="preserve">). </w:t>
      </w:r>
      <w:r w:rsidR="00EC66D8">
        <w:t xml:space="preserve"> These data were compared with data on non-veterans taken from two large general population surveys: </w:t>
      </w:r>
      <w:r w:rsidR="0084682D">
        <w:t xml:space="preserve">2014 </w:t>
      </w:r>
      <w:r w:rsidR="00EC66D8">
        <w:t>Adult Psychiatric Morbidity Survey (APMS</w:t>
      </w:r>
      <w:r w:rsidR="0084682D">
        <w:t>,</w:t>
      </w:r>
      <w:r>
        <w:t xml:space="preserve"> n=</w:t>
      </w:r>
      <w:r w:rsidR="0084682D">
        <w:rPr>
          <w:rFonts w:cs="Times New Roman"/>
        </w:rPr>
        <w:t>5,871</w:t>
      </w:r>
      <w:r w:rsidR="00EC66D8">
        <w:t xml:space="preserve">) and </w:t>
      </w:r>
      <w:r w:rsidR="0084682D">
        <w:t xml:space="preserve">wave 6 of </w:t>
      </w:r>
      <w:r w:rsidR="00EC66D8">
        <w:t>the UK Household Longitudinal Study (UKHLS</w:t>
      </w:r>
      <w:r w:rsidR="0084682D">
        <w:t>,</w:t>
      </w:r>
      <w:r>
        <w:t xml:space="preserve"> n=</w:t>
      </w:r>
      <w:r w:rsidR="0084682D" w:rsidRPr="0054237D">
        <w:rPr>
          <w:rFonts w:cs="Times New Roman"/>
        </w:rPr>
        <w:t>22,760</w:t>
      </w:r>
      <w:r w:rsidR="00EC66D8">
        <w:t>).</w:t>
      </w:r>
      <w:r w:rsidR="007E3472">
        <w:t xml:space="preserve"> </w:t>
      </w:r>
    </w:p>
    <w:p w14:paraId="1BB8389F" w14:textId="248E0C81" w:rsidR="00F4382B" w:rsidRDefault="00BD7CA6" w:rsidP="00A77293">
      <w:pPr>
        <w:pStyle w:val="Heading2"/>
      </w:pPr>
      <w:r>
        <w:t>Results</w:t>
      </w:r>
    </w:p>
    <w:p w14:paraId="09AC7B04" w14:textId="4A201901" w:rsidR="00FE6BE1" w:rsidRDefault="00FE6BE1" w:rsidP="00FE6BE1">
      <w:r>
        <w:t xml:space="preserve">We found that, </w:t>
      </w:r>
      <w:r w:rsidRPr="00FE5A82">
        <w:t>overall</w:t>
      </w:r>
      <w:r>
        <w:t xml:space="preserve">, UK veterans </w:t>
      </w:r>
      <w:r w:rsidRPr="00363122">
        <w:t xml:space="preserve">who served at the time of recent </w:t>
      </w:r>
      <w:r>
        <w:t xml:space="preserve">military operations were more likely to </w:t>
      </w:r>
      <w:r w:rsidR="00EF4D1E">
        <w:t>report significantly higher prevalence of CMD (23% vs 16%), PTSD (</w:t>
      </w:r>
      <w:r w:rsidR="000F153D">
        <w:t>8</w:t>
      </w:r>
      <w:r w:rsidR="00EF4D1E">
        <w:t>% vs 5%) and alcohol misuse (1</w:t>
      </w:r>
      <w:r w:rsidR="000F153D">
        <w:t>1</w:t>
      </w:r>
      <w:r w:rsidR="00EF4D1E">
        <w:t xml:space="preserve">% vs </w:t>
      </w:r>
      <w:r w:rsidR="000F153D">
        <w:t>6</w:t>
      </w:r>
      <w:r w:rsidR="00EF4D1E">
        <w:t>%) than non-veterans.</w:t>
      </w:r>
      <w:r>
        <w:t xml:space="preserve"> Stratifying by gender showed that the negative impact of being a veteran on mental health and alcohol misuse was restricted to male veterans. Being ill or disabled </w:t>
      </w:r>
      <w:r w:rsidR="00D20C29">
        <w:t>wa</w:t>
      </w:r>
      <w:r>
        <w:t xml:space="preserve">s associated with </w:t>
      </w:r>
      <w:r w:rsidR="00D20C29">
        <w:t xml:space="preserve">a higher prevalence of </w:t>
      </w:r>
      <w:r>
        <w:t xml:space="preserve">CMD and PTSD for both veterans and non-veterans. </w:t>
      </w:r>
    </w:p>
    <w:p w14:paraId="2C783CBA" w14:textId="709DBCCD" w:rsidR="00F4382B" w:rsidRPr="00922A43" w:rsidRDefault="00BD7CA6" w:rsidP="00A77293">
      <w:pPr>
        <w:pStyle w:val="Heading2"/>
      </w:pPr>
      <w:r>
        <w:t>Conclusion</w:t>
      </w:r>
    </w:p>
    <w:p w14:paraId="58CE3D0C" w14:textId="37E93E25" w:rsidR="00EC66D8" w:rsidRDefault="00DA6DD3" w:rsidP="00EC66D8">
      <w:r>
        <w:t xml:space="preserve">Whilst the same sociodemographic groups within the veteran and non-veteran populations seemed to have an increased risk of mental health problems (e.g. those who were unemployed), male veterans </w:t>
      </w:r>
      <w:r w:rsidR="00EC66D8">
        <w:t>in particular appear to be at a distinct disadvantage compared to those who have never served.</w:t>
      </w:r>
    </w:p>
    <w:bookmarkEnd w:id="8"/>
    <w:p w14:paraId="64A3A493" w14:textId="40A32DA6" w:rsidR="0084682D" w:rsidRPr="0084682D" w:rsidRDefault="0084682D" w:rsidP="00F4382B">
      <w:pPr>
        <w:rPr>
          <w:i/>
        </w:rPr>
      </w:pPr>
      <w:r w:rsidRPr="00184A7C">
        <w:rPr>
          <w:i/>
        </w:rPr>
        <w:t>Wordcount = 2</w:t>
      </w:r>
      <w:r w:rsidR="00184A7C" w:rsidRPr="00184A7C">
        <w:rPr>
          <w:i/>
        </w:rPr>
        <w:t>4</w:t>
      </w:r>
      <w:r w:rsidR="00B17B43">
        <w:rPr>
          <w:i/>
        </w:rPr>
        <w:t>3</w:t>
      </w:r>
      <w:r w:rsidRPr="00184A7C">
        <w:rPr>
          <w:i/>
        </w:rPr>
        <w:t>/250</w:t>
      </w:r>
    </w:p>
    <w:p w14:paraId="765B4630" w14:textId="77777777" w:rsidR="00F4382B" w:rsidRDefault="00F4382B" w:rsidP="009347B5">
      <w:pPr>
        <w:pStyle w:val="Heading1"/>
      </w:pPr>
    </w:p>
    <w:p w14:paraId="5BE81037" w14:textId="77777777" w:rsidR="0084682D" w:rsidRDefault="0084682D" w:rsidP="0084682D">
      <w:pPr>
        <w:pStyle w:val="Heading2"/>
      </w:pPr>
      <w:r w:rsidRPr="00922A43">
        <w:t>Funding source</w:t>
      </w:r>
    </w:p>
    <w:p w14:paraId="70C30291" w14:textId="06E116D7" w:rsidR="0084682D" w:rsidRDefault="0084682D" w:rsidP="0084682D">
      <w:r>
        <w:t>Forces in Mind Trust</w:t>
      </w:r>
      <w:r w:rsidR="00B50B88">
        <w:t xml:space="preserve"> (FiMT16/0304K).</w:t>
      </w:r>
    </w:p>
    <w:p w14:paraId="78DA4230" w14:textId="77777777" w:rsidR="00F4382B" w:rsidRDefault="00F4382B" w:rsidP="009347B5">
      <w:pPr>
        <w:pStyle w:val="Heading1"/>
      </w:pPr>
    </w:p>
    <w:p w14:paraId="2FAB45BD" w14:textId="77777777" w:rsidR="00F4382B" w:rsidRDefault="00F4382B">
      <w:pPr>
        <w:spacing w:before="0" w:after="0"/>
        <w:rPr>
          <w:rFonts w:cs="Times New Roman"/>
          <w:b/>
          <w:bCs/>
          <w:color w:val="002060"/>
          <w:sz w:val="28"/>
        </w:rPr>
      </w:pPr>
      <w:r>
        <w:br w:type="page"/>
      </w:r>
    </w:p>
    <w:p w14:paraId="0DC85486" w14:textId="0EAD7697" w:rsidR="00721A20" w:rsidRDefault="00721A20" w:rsidP="009347B5">
      <w:pPr>
        <w:pStyle w:val="Heading1"/>
      </w:pPr>
      <w:r w:rsidRPr="00721A20">
        <w:lastRenderedPageBreak/>
        <w:t>Introduction</w:t>
      </w:r>
    </w:p>
    <w:p w14:paraId="1DEF4A5D" w14:textId="4B3C2930" w:rsidR="00A77920" w:rsidRPr="0067135F" w:rsidRDefault="008C504F" w:rsidP="00A77920">
      <w:r>
        <w:t xml:space="preserve">The majority of </w:t>
      </w:r>
      <w:r w:rsidR="008A6842">
        <w:t xml:space="preserve">UK </w:t>
      </w:r>
      <w:r w:rsidR="00F743C5">
        <w:t xml:space="preserve">Armed Forces (AF) personnel </w:t>
      </w:r>
      <w:r>
        <w:t xml:space="preserve">cope well with the challenges of military service and successfully adapt to </w:t>
      </w:r>
      <w:r w:rsidR="003C25A2">
        <w:t>veteran</w:t>
      </w:r>
      <w:r>
        <w:t xml:space="preserve"> life after they </w:t>
      </w:r>
      <w:r w:rsidRPr="00105F55">
        <w:t>leave</w:t>
      </w:r>
      <w:r w:rsidR="00B71699">
        <w:t xml:space="preserve"> </w:t>
      </w:r>
      <w:r w:rsidR="00DA6DD3">
        <w:fldChar w:fldCharType="begin"/>
      </w:r>
      <w:r w:rsidR="0072226B">
        <w:instrText xml:space="preserve"> ADDIN ZOTERO_ITEM CSL_CITATION {"citationID":"c6ajmwG4","properties":{"formattedCitation":"(Royal British Legion, 2014)","plainCitation":"(Royal British Legion, 2014)","noteIndex":0},"citationItems":[{"id":372,"uris":["http://zotero.org/users/3740225/items/WKGTZS9Y"],"uri":["http://zotero.org/users/3740225/items/WKGTZS9Y"],"itemData":{"id":372,"type":"report","event-place":"London, England","language":"English","publisher-place":"London, England","title":"A UK household survey of the ex-service community","author":[{"family":"Royal British Legion","given":""}],"issued":{"date-parts":[["2014"]]}}}],"schema":"https://github.com/citation-style-language/schema/raw/master/csl-citation.json"} </w:instrText>
      </w:r>
      <w:r w:rsidR="00DA6DD3">
        <w:fldChar w:fldCharType="separate"/>
      </w:r>
      <w:r w:rsidR="0072226B">
        <w:rPr>
          <w:rFonts w:cs="Times New Roman"/>
        </w:rPr>
        <w:t>(Royal British Legion, 2014)</w:t>
      </w:r>
      <w:r w:rsidR="00DA6DD3">
        <w:fldChar w:fldCharType="end"/>
      </w:r>
      <w:r w:rsidR="00DA6DD3">
        <w:t>.</w:t>
      </w:r>
      <w:r w:rsidRPr="00105F55">
        <w:t xml:space="preserve"> For some, </w:t>
      </w:r>
      <w:r w:rsidR="00F743C5" w:rsidRPr="00105F55">
        <w:t>military s</w:t>
      </w:r>
      <w:r w:rsidR="00380B40" w:rsidRPr="00105F55">
        <w:t xml:space="preserve">ervice </w:t>
      </w:r>
      <w:r w:rsidR="00273290" w:rsidRPr="00105F55">
        <w:t xml:space="preserve">can </w:t>
      </w:r>
      <w:r w:rsidR="00167925" w:rsidRPr="00105F55">
        <w:t>negatively</w:t>
      </w:r>
      <w:r w:rsidR="00380B40" w:rsidRPr="00105F55">
        <w:t xml:space="preserve"> </w:t>
      </w:r>
      <w:r w:rsidRPr="00164A36">
        <w:t xml:space="preserve">impact their mental </w:t>
      </w:r>
      <w:r w:rsidRPr="0067135F">
        <w:t>health</w:t>
      </w:r>
      <w:r w:rsidR="004637B9" w:rsidRPr="0067135F">
        <w:t xml:space="preserve"> </w:t>
      </w:r>
      <w:r w:rsidR="00AC4D6D" w:rsidRPr="00105F55">
        <w:fldChar w:fldCharType="begin"/>
      </w:r>
      <w:r w:rsidR="0072226B">
        <w:instrText xml:space="preserve"> ADDIN ZOTERO_ITEM CSL_CITATION {"citationID":"TSkS9M3N","properties":{"formattedCitation":"(Iversen &amp; Greenberg, 2009; Stevelink et al., 2018)","plainCitation":"(Iversen &amp; Greenberg, 2009; Stevelink et al., 2018)","noteIndex":0},"citationItems":[{"id":388,"uris":["http://zotero.org/users/3740225/items/PHP2HSZZ"],"uri":["http://zotero.org/users/3740225/items/PHP2HSZZ"],"itemData":{"id":388,"type":"article-journal","abstract":"The psychiatric problems of combat returnees are a topical and important issue given the ongoing conflicts in Iraq and Afghanistan. Despite the media prominence afforded to post-traumatic stress disorder, the most common disorders in the UK armed forces post-deployment are depression, alcohol misuse and anxiety disorders. Although the majority of service personnel do well after leaving military life, a minority who leave with psychiatric problems appear to be at risk of social exclusion and ongoing ill health. Reserve veterans are at greater risk as they do not have access to the usual support networks of the regular military. Steps to improve the knowledge and expertise of primary care services about veterans' mental health issues and increasing the availability of treatment options are important and are underway.","container-title":"Advances in Psychiatric Treatment","DOI":"10.1192/apt.bp.107.004713","ISSN":"1355-5146, 1472-1481","issue":"2","page":"100-106","source":"Cambridge Core","title":"Mental health of regular and reserve military veterans","volume":"15","author":[{"family":"Iversen","given":"Amy C."},{"family":"Greenberg","given":"Neil"}],"issued":{"date-parts":[["2009",3]]}}},{"id":110,"uris":["http://zotero.org/users/3740225/items/UNFP4NDK"],"uri":["http://zotero.org/users/3740225/items/UNFP4NDK"],"itemData":{"id":110,"type":"article-journal","abstract":"BACKGROUND: Little is known about the prevalence of mental health outcomes in UK personnel at the end of the British involvement in the Iraq and Afghanistan conflicts.AimsWe examined the prevalence of mental disorders and alcohol misuse, whether this differed between serving and ex-serving regular personnel and by deployment status.\nMETHOD: This is the third phase of a military cohort study (2014-2016; n = 8093). The sample was based on participants from previous phases (2004-2006 and 2007-2009) and a new randomly selected sample of those who had joined the UK armed forces since 2009.\nRESULTS: The prevalence was 6.2% for probable post-traumatic stress disorder, 21.9% for common mental disorders and 10.0% for alcohol misuse. Deployment to Iraq or Afghanistan and a combat role during deployment were associated with significantly worse mental health outcomes and alcohol misuse in ex-serving regular personnel but not in currently serving regular personnel.\nCONCLUSIONS: The findings highlight an increasing prevalence of post-traumatic stress disorder and a lowering prevalence of alcohol misuse compared with our previous findings and stresses the importance of continued surveillance during service and beyond.\nDECLARATION OF INTEREST: All authors are based at King's College London which, for the purpose of this study and other military-related studies, receives funding from the UK Ministry of Defence (MoD). S.A.M.S., M.J., L.H., D.P., S.M. and R.J.R. salaries were totally or partially paid by the UK MoD. The UK MoD provides support to the Academic Department of Military Mental Health, and the salaries of N.J., N.G. and N.T.F. are covered totally or partly by this contribution. D.Mu. is employed by Combat Stress, a national UK charity that provides clinical mental health services to veterans. D.MacM. is the lead consultant for an NHS Veteran Mental Health Service. N.G. is the Royal College of Psychiatrists' Lead for Military and Veterans' Health, a trustee of Walking with the Wounded, and an independent director at the Forces in Mind Trust; however, he was not directed by these organisations in any way in relation to his contribution to this paper. N.J. is a full-time member of the armed forces seconded to King's College London. N.T.F. reports grants from the US Department of Defense and the UK MoD, is a trustee (unpaid) of The Warrior Programme and an independent advisor to the Independent Group Advising on the Release of Data (IGARD). S.W. is a trustee (unpaid) of Combat Stress and Honorary Civilian Consultant Advisor in Psychiatry for the British Army (unpaid). S.W. is affiliated to the National Institute for Health Research Health Protection Research Unit (NIHR HPRU) in Emergency Preparedness and Response at King's College London in partnership with Public Health England, in collaboration with the University of East Anglia and Newcastle University. The views expressed are those of the author(s) and not necessarily those of the National Health Service, the NIHR, the Department of Health, Public Health England or the UK MoD.","container-title":"The British Journal of Psychiatry: The Journal of Mental Science","DOI":"10.1192/bjp.2018.175","ISSN":"1472-1465","journalAbbreviation":"Br J Psychiatry","language":"eng","note":"PMID: 30295216","page":"1-8","source":"PubMed","title":"Mental health outcomes at the end of the British involvement in the Iraq and Afghanistan conflicts: a cohort study","title-short":"Mental health outcomes at the end of the British involvement in the Iraq and Afghanistan conflicts","author":[{"family":"Stevelink","given":"S"},{"family":"Jones","given":"Margaret"},{"family":"Hull","given":"Lisa"},{"family":"Pernet","given":"David"},{"family":"MacCrimmon","given":"Shirlee"},{"family":"Goodwin","given":"Laura"},{"family":"MacManus","given":"Deirdre"},{"family":"Murphy","given":"Dominic"},{"family":"Jones","given":"Norman"},{"family":"Greenberg","given":"Neil"},{"family":"Rona","given":"Roberto J."},{"family":"Fear","given":"Nicola T."},{"family":"Wessely","given":"Simon"}],"issued":{"date-parts":[["2018",10,8]]}}}],"schema":"https://github.com/citation-style-language/schema/raw/master/csl-citation.json"} </w:instrText>
      </w:r>
      <w:r w:rsidR="00AC4D6D" w:rsidRPr="00105F55">
        <w:fldChar w:fldCharType="separate"/>
      </w:r>
      <w:r w:rsidR="0072226B">
        <w:rPr>
          <w:rFonts w:cs="Times New Roman"/>
        </w:rPr>
        <w:t>(Iversen &amp; Greenberg, 2009; Stevelink et al., 2018)</w:t>
      </w:r>
      <w:r w:rsidR="00AC4D6D" w:rsidRPr="00105F55">
        <w:fldChar w:fldCharType="end"/>
      </w:r>
      <w:r w:rsidR="005A2A3C" w:rsidRPr="00105F55">
        <w:t>.</w:t>
      </w:r>
      <w:r w:rsidR="00B1741D" w:rsidRPr="00105F55">
        <w:t xml:space="preserve"> </w:t>
      </w:r>
      <w:r w:rsidR="00370504" w:rsidRPr="0067135F">
        <w:t>Ensuring</w:t>
      </w:r>
      <w:r w:rsidR="00984399">
        <w:t xml:space="preserve"> that</w:t>
      </w:r>
      <w:r w:rsidR="00370504" w:rsidRPr="0067135F">
        <w:t xml:space="preserve"> the mental health </w:t>
      </w:r>
      <w:r w:rsidR="008D7DE2" w:rsidRPr="0067135F">
        <w:t xml:space="preserve">needs </w:t>
      </w:r>
      <w:r w:rsidR="00370504" w:rsidRPr="0067135F">
        <w:t>of veterans</w:t>
      </w:r>
      <w:r w:rsidR="00241466" w:rsidRPr="0067135F">
        <w:t xml:space="preserve"> are met</w:t>
      </w:r>
      <w:r w:rsidR="00370504" w:rsidRPr="0067135F">
        <w:t xml:space="preserve"> is a</w:t>
      </w:r>
      <w:r w:rsidR="00241466" w:rsidRPr="0067135F">
        <w:t xml:space="preserve"> </w:t>
      </w:r>
      <w:r w:rsidR="008D3B36">
        <w:t xml:space="preserve">UK </w:t>
      </w:r>
      <w:r w:rsidR="00B71699">
        <w:t>G</w:t>
      </w:r>
      <w:r w:rsidR="00B71699" w:rsidRPr="0067135F">
        <w:t xml:space="preserve">overnment </w:t>
      </w:r>
      <w:r w:rsidR="00370504" w:rsidRPr="0067135F">
        <w:t>priority</w:t>
      </w:r>
      <w:r w:rsidR="008D7DE2" w:rsidRPr="0067135F">
        <w:t xml:space="preserve"> </w:t>
      </w:r>
      <w:r w:rsidR="00190F9C" w:rsidRPr="00F61722">
        <w:fldChar w:fldCharType="begin"/>
      </w:r>
      <w:r w:rsidR="0072226B">
        <w:instrText xml:space="preserve"> ADDIN ZOTERO_ITEM CSL_CITATION {"citationID":"U3MFLIxf","properties":{"formattedCitation":"(Defence Select Committee, 2018)","plainCitation":"(Defence Select Committee, 2018)","noteIndex":0},"citationItems":[{"id":355,"uris":["http://zotero.org/users/3740225/items/SUT4F828"],"uri":["http://zotero.org/users/3740225/items/SUT4F828"],"itemData":{"id":355,"type":"report","number":"HC 813","title":"Mental health and the Armed Forces, Part One: The Scale of mental health issues: Government Response to the Committee’s Eleventh Report.","author":[{"family":"Defence Select Committee","given":""}],"issued":{"date-parts":[["2018",10,23]]}}}],"schema":"https://github.com/citation-style-language/schema/raw/master/csl-citation.json"} </w:instrText>
      </w:r>
      <w:r w:rsidR="00190F9C" w:rsidRPr="00F61722">
        <w:fldChar w:fldCharType="separate"/>
      </w:r>
      <w:r w:rsidR="0072226B">
        <w:rPr>
          <w:rFonts w:cs="Times New Roman"/>
        </w:rPr>
        <w:t>(Defence Select Committee, 2018)</w:t>
      </w:r>
      <w:r w:rsidR="00190F9C" w:rsidRPr="00F61722">
        <w:fldChar w:fldCharType="end"/>
      </w:r>
      <w:r w:rsidR="009428FF" w:rsidRPr="00F61722">
        <w:t xml:space="preserve"> </w:t>
      </w:r>
      <w:r w:rsidR="008D7DE2" w:rsidRPr="00F61722">
        <w:t>and lega</w:t>
      </w:r>
      <w:r w:rsidR="002751A7" w:rsidRPr="00F61722">
        <w:t>l</w:t>
      </w:r>
      <w:r w:rsidR="008D7DE2" w:rsidRPr="00F61722">
        <w:t xml:space="preserve"> obligation</w:t>
      </w:r>
      <w:r w:rsidR="008D7DE2">
        <w:t xml:space="preserve"> enshrined in</w:t>
      </w:r>
      <w:r w:rsidR="002751A7">
        <w:t xml:space="preserve"> </w:t>
      </w:r>
      <w:r w:rsidR="003053DF">
        <w:t xml:space="preserve">the </w:t>
      </w:r>
      <w:r w:rsidR="008D5343" w:rsidRPr="00BB7616">
        <w:t>A</w:t>
      </w:r>
      <w:r w:rsidR="00A24ED4">
        <w:t>F</w:t>
      </w:r>
      <w:r w:rsidR="008D5343" w:rsidRPr="00BB7616">
        <w:t xml:space="preserve"> Covenant</w:t>
      </w:r>
      <w:r w:rsidR="00A6730B">
        <w:t xml:space="preserve"> </w:t>
      </w:r>
      <w:r w:rsidR="00A6730B">
        <w:fldChar w:fldCharType="begin"/>
      </w:r>
      <w:r w:rsidR="0072226B">
        <w:instrText xml:space="preserve"> ADDIN ZOTERO_ITEM CSL_CITATION {"citationID":"3pge3dpJ","properties":{"formattedCitation":"(C. Taylor, 2011)","plainCitation":"(C. Taylor, 2011)","noteIndex":0},"citationItems":[{"id":424,"uris":["http://zotero.org/users/3740225/items/4S2Z5EHS"],"uri":["http://zotero.org/users/3740225/items/4S2Z5EHS"],"itemData":{"id":424,"type":"report","publisher":"Standard note SN/IA/5979. London: Government Publication","title":"Armed Forces Covenant","author":[{"family":"Taylor","given":"Claire"}],"issued":{"date-parts":[["2011"]]}}}],"schema":"https://github.com/citation-style-language/schema/raw/master/csl-citation.json"} </w:instrText>
      </w:r>
      <w:r w:rsidR="00A6730B">
        <w:fldChar w:fldCharType="separate"/>
      </w:r>
      <w:r w:rsidR="0072226B">
        <w:rPr>
          <w:rFonts w:cs="Times New Roman"/>
        </w:rPr>
        <w:t>(C. Taylor, 2011)</w:t>
      </w:r>
      <w:r w:rsidR="00A6730B">
        <w:fldChar w:fldCharType="end"/>
      </w:r>
      <w:r w:rsidR="008D5343" w:rsidRPr="00BB7616">
        <w:t>.</w:t>
      </w:r>
      <w:r w:rsidR="00AC47B5">
        <w:t xml:space="preserve"> </w:t>
      </w:r>
      <w:r w:rsidR="00220CED">
        <w:t xml:space="preserve">Despite this, </w:t>
      </w:r>
      <w:bookmarkStart w:id="9" w:name="_Hlk517266819"/>
      <w:r w:rsidR="00220CED">
        <w:t xml:space="preserve">there is </w:t>
      </w:r>
      <w:r w:rsidR="00A24ED4">
        <w:t xml:space="preserve">little UK </w:t>
      </w:r>
      <w:r w:rsidR="00D35BD0">
        <w:t xml:space="preserve">research </w:t>
      </w:r>
      <w:r w:rsidR="005A2A3C">
        <w:t xml:space="preserve">into </w:t>
      </w:r>
      <w:r w:rsidR="001B5965">
        <w:t>how the mental health of</w:t>
      </w:r>
      <w:r w:rsidR="00733646">
        <w:t xml:space="preserve"> veteran</w:t>
      </w:r>
      <w:r w:rsidR="001B5965">
        <w:t>s</w:t>
      </w:r>
      <w:r w:rsidR="00733646">
        <w:t xml:space="preserve"> compare</w:t>
      </w:r>
      <w:r w:rsidR="001B5965">
        <w:t>s</w:t>
      </w:r>
      <w:r w:rsidR="00733646">
        <w:t xml:space="preserve"> to the general population</w:t>
      </w:r>
      <w:r w:rsidR="00733646" w:rsidRPr="00164A36">
        <w:t xml:space="preserve">. </w:t>
      </w:r>
      <w:bookmarkEnd w:id="9"/>
    </w:p>
    <w:p w14:paraId="2DF77584" w14:textId="214B2751" w:rsidR="00755B3A" w:rsidRDefault="0012009A" w:rsidP="00C03059">
      <w:pPr>
        <w:autoSpaceDE w:val="0"/>
        <w:autoSpaceDN w:val="0"/>
        <w:adjustRightInd w:val="0"/>
        <w:spacing w:before="0" w:after="0"/>
      </w:pPr>
      <w:r w:rsidRPr="0067135F">
        <w:t xml:space="preserve">Much </w:t>
      </w:r>
      <w:r w:rsidR="00C03059" w:rsidRPr="0067135F">
        <w:t xml:space="preserve">international </w:t>
      </w:r>
      <w:r w:rsidRPr="0067135F">
        <w:t>research has been conducted on</w:t>
      </w:r>
      <w:r w:rsidR="00BE0240" w:rsidRPr="0067135F">
        <w:t xml:space="preserve"> the mental health of </w:t>
      </w:r>
      <w:r w:rsidR="00764D98" w:rsidRPr="0067135F">
        <w:rPr>
          <w:i/>
        </w:rPr>
        <w:t>serving</w:t>
      </w:r>
      <w:r w:rsidR="00764D98" w:rsidRPr="0067135F">
        <w:t xml:space="preserve"> </w:t>
      </w:r>
      <w:r w:rsidR="00BE0240" w:rsidRPr="0067135F">
        <w:t xml:space="preserve">military </w:t>
      </w:r>
      <w:r w:rsidR="00764D98" w:rsidRPr="0067135F">
        <w:t>personnel</w:t>
      </w:r>
      <w:r w:rsidR="00D35BD0" w:rsidRPr="0067135F">
        <w:t xml:space="preserve"> </w:t>
      </w:r>
      <w:r w:rsidR="00BC315E" w:rsidRPr="00164A36">
        <w:fldChar w:fldCharType="begin"/>
      </w:r>
      <w:r w:rsidR="0072226B">
        <w:instrText xml:space="preserve"> ADDIN ZOTERO_ITEM CSL_CITATION {"citationID":"uT39I7cY","properties":{"formattedCitation":"(Fear et al., 2010; Hooff et al., 2014; Lee et al., 2013; Sundin et al., 2014)","plainCitation":"(Fear et al., 2010; Hooff et al., 2014; Lee et al., 2013; Sundin et al., 2014)","noteIndex":0},"citationItems":[{"id":132,"uris":["http://zotero.org/users/3740225/items/PZ9EG93B"],"uri":["http://zotero.org/users/3740225/items/PZ9EG93B"],"itemData":{"id":132,"type":"article-journal","abstract":"Summary\nConcerns have been raised about the psychological effect of continued combat exposure and of repeated deployments. We examined the consequences of deployment to Iraq and Afghanistan on the mental health of UK armed forces from 2003 to 2009, the effect of multiple deployments, and time since return from deployment. We reassessed the prevalence of probable mental disorders in participants of our previous study (2003–05). We also studied two new randomly chosen samples: those with recent deployment to Afghanistan, and those who had joined the UK armed forces since April, 2003, to ensure that the final sample continued to be representative of the UK armed forces. Between November, 2007, and September, 2009, participants completed a questionnaire about their deployment experiences and health outcomes. 9990 (56%) participants completed the study questionnaire (8278 regulars, 1712 reservists). The prevalence of probable post-traumatic stress disorder was 4·0% (95% CI 3·5–4·5; n=376), 19·7% (18·7–20·6; n=1908) for symptoms of common mental disorders, and 13·0% (12·2–13·8; n=1323) for alcohol misuse. Deployment to Iraq or Afghanistan was significantly associated with alcohol misuse for regulars (odds ratio 1·22, 95% CI 1·02–1·46) and with probable post-traumatic stress disorder for reservists (2·83, 1·23–6·51). Regular personnel in combat roles were more likely than were those in support roles to report probable post-traumatic stress disorder (1·87, 1·26–2·78). There was no association with number of deployments for any outcome. There was some evidence for a small increase in the reporting of probable post-traumatic stress disorder with time since return from deployment in regulars (1·13, 1·03–1·24). Symptoms of common mental disorders and alcohol misuse remain the most frequently reported mental disorders in UK armed forces personnel, whereas the prevalence of probable post-traumatic stress disorder was low. These findings show the importance of continued health surveillance of UK military personnel. UK Ministry of Defence.","container-title":"The Lancet","DOI":"10.1016/S0140-6736(10)60672-1","ISSN":"0140-6736","issue":"9728","journalAbbreviation":"The Lancet","page":"1783-1797","source":"ScienceDirect","title":"What are the consequences of deployment to Iraq and Afghanistan on the mental health of the UK armed forces? A cohort study","title-short":"What are the consequences of deployment to Iraq and Afghanistan on the mental health of the UK armed forces?","volume":"375","author":[{"family":"Fear","given":"Nicola T"},{"family":"Jones","given":"Margaret"},{"family":"Murphy","given":"Dominic"},{"family":"Hull","given":"Lisa"},{"family":"Iversen","given":"Amy C"},{"family":"Coker","given":"Bolaji"},{"family":"Machell","given":"Louise"},{"family":"Sundin","given":"Josefin"},{"family":"Woodhead","given":"Charlotte"},{"family":"Jones","given":"Norman"},{"family":"Greenberg","given":"Neil"},{"family":"Landau","given":"Sabine"},{"family":"Dandeker","given":"Christopher"},{"family":"Rona","given":"Roberto J"},{"family":"Hotopf","given":"Matthew"},{"family":"Wessely","given":"Simon"}],"issued":{"date-parts":[["2010",5,22]]}}},{"id":624,"uris":["http://zotero.org/users/3740225/items/S9NIZFUG"],"uri":["http://zotero.org/users/3740225/items/S9NIZFUG"],"itemData":{"id":624,"type":"article-journal","abstract":"Background\nResearch of military personnel who deployed to the conflicts in Iraq or\nAfghanistan has suggested that there are differences in mental health\noutcomes between UK and US military personnel.\n\n\nAims\nTo compare the prevalence of post-traumatic stress disorder (PTSD),\nhazardous alcohol consumption, aggressive behaviour and multiple physical\nsymptoms in US and UK military personnel deployed to Iraq.\n\n\nMethod\nData were from one US (n = 1560) and one UK\n(n = 313) study of post-deployment military health of\narmy personnel who had deployed to Iraq during 2007–2008. Analyses were\nstratified by high- and low-combat exposure.\n\n\nResults\nSignificant differences in combat exposure and sociodemographics were\nobserved between US and UK personnel; controlling for these variables\naccounted for the difference in prevalence of PTSD, but not in the total\nsymptom level scores. Levels of hazardous alcohol consumption (low-combat\nexposure: odds ratio (OR) = 0.13, 95% CI 0.07–0.21; high-combat exposure:\nOR = 0.23, 95% CI 0.14–0.39) and aggression (low-combat exposure: OR =\n0.36, 95% CI 0.19–0.68) were significantly lower in US compared with UK\npersonnel. There was no difference in multiple physical symptoms.\n\n\nConclusions\nDifferences in self-reported combat exposures explain most of the\ndifferences in reported prevalence of PTSD. Adjusting for self-reported\ncombat exposures and sociodemographics did not explain differences in\nhazardous alcohol consumption or aggression.","container-title":"The British Journal of Psychiatry","DOI":"10.1192/bjp.bp.113.129569","ISSN":"0007-1250, 1472-1465","issue":"3","language":"en","page":"200-207","source":"Cambridge Core","title":"Mental health outcomes in US and UK military personnel returning from Iraq","volume":"204","author":[{"family":"Sundin","given":"Josefin"},{"family":"Herrell","given":"Richard K."},{"family":"Hoge","given":"Charles W."},{"family":"Fear","given":"Nicola T."},{"family":"Adler","given":"Amy B."},{"family":"Greenberg","given":"Neil"},{"family":"Riviere","given":"Lyndon A."},{"family":"Thomas","given":"Jeffrey L."},{"family":"Wessely","given":"Simon"},{"family":"Bliese","given":"Paul D."}],"issued":{"date-parts":[["2014",3]]}}},{"id":617,"uris":["http://zotero.org/users/3740225/items/K2IU5RQP"],"uri":["http://zotero.org/users/3740225/items/K2IU5RQP"],"itemData":{"id":617,"type":"article-journal","container-title":"Journal of occupational health psychology","ISSN":"1939-1307","issue":"3","journalAbbreviation":"Journal of occupational health psychology","page":"327","title":"Longitudinal analysis of psychological resilience and mental health in Canadian military personnel returning from overseas deployment.","volume":"18","author":[{"family":"Lee","given":"Jennifer EC"},{"family":"Sudom","given":"Kerry A"},{"family":"Zamorski","given":"Mark A"}],"issued":{"date-parts":[["2013"]]}}},{"id":615,"uris":["http://zotero.org/users/3740225/items/ZK8J96TW"],"uri":["http://zotero.org/users/3740225/items/ZK8J96TW"],"itemData":{"id":615,"type":"article-journal","abstract":"BackgroundThe Australian Defence Force (ADF) Mental Health Prevalence and Wellbeing Study (MHPWS) is the first study of mental disorder prevalence in an entire military population.ObjectiveThe MHPWS aims to establish mental disorder prevalence, refine current ADF mental health screening methods, and identify specific occupational factors that influence mental health. This paper describes the design, sampling strategies, and methodology used in this study.MethodAt Phase 1, approximately half of all regular Navy, Army, and Air Force personnel (n=24,481) completed self-report questionnaires. At Phase 2, a stratified sub-sample (n=1,798) completed a structured diagnostic interview to detect mental disorder. Based on data from non-responders, data were weighted to represent the entire ADF population (n=50,049).ResultsOne in five ADF members met criteria for a 12-month mental disorder (22%). The most common disorder category was anxiety disorders (14.8%), followed by affective (9.5%) and alcohol disorders (5.2%). At risk ADF sub-groups were Army personnel, and those in the lower ranks. Deployment status did not have an impact on mental disorder rates.ConclusionThis study has important implications for mental health service delivery for Australian and international military personnel as well as contemporary veterans.","container-title":"European Journal of Psychotraumatology","DOI":"10.3402/ejpt.v5.23950","ISSN":"2000-8198","issue":"1","page":"23950","source":"Taylor and Francis+NEJM","title":"The Australian Defence Force Mental Health Prevalence and Wellbeing Study: design and methods","title-short":"The Australian Defence Force Mental Health Prevalence and Wellbeing Study","volume":"5","author":[{"family":"Hooff","given":"Miranda Van"},{"family":"McFarlane","given":"Alexander C."},{"family":"Davies","given":"Christopher E."},{"family":"Searle","given":"Amelia K."},{"family":"Fairweather-Schmidt","given":"A. Kate"},{"family":"Verhagen","given":"Alan"},{"family":"Benassi","given":"Helen"},{"family":"Hodson","given":"Stephanie E."}],"issued":{"date-parts":[["2014",12,1]]}}}],"schema":"https://github.com/citation-style-language/schema/raw/master/csl-citation.json"} </w:instrText>
      </w:r>
      <w:r w:rsidR="00BC315E" w:rsidRPr="00164A36">
        <w:fldChar w:fldCharType="separate"/>
      </w:r>
      <w:r w:rsidR="0072226B">
        <w:rPr>
          <w:rFonts w:cs="Times New Roman"/>
        </w:rPr>
        <w:t>(Fear et al., 2010; Hooff et al., 2014; Lee et al., 2013; Sundin et al., 2014)</w:t>
      </w:r>
      <w:r w:rsidR="00BC315E" w:rsidRPr="00164A36">
        <w:fldChar w:fldCharType="end"/>
      </w:r>
      <w:r w:rsidRPr="00164A36">
        <w:t>.</w:t>
      </w:r>
      <w:r w:rsidR="00ED5A3F" w:rsidRPr="0067135F">
        <w:t xml:space="preserve"> </w:t>
      </w:r>
      <w:r w:rsidR="00C03059" w:rsidRPr="0067135F">
        <w:t>UK</w:t>
      </w:r>
      <w:r w:rsidR="00922F73" w:rsidRPr="0067135F">
        <w:t xml:space="preserve"> comparisons made between serving personnel and </w:t>
      </w:r>
      <w:r w:rsidR="00C8655F" w:rsidRPr="0067135F">
        <w:t xml:space="preserve">working </w:t>
      </w:r>
      <w:r w:rsidR="003C25A2">
        <w:t>non-veterans</w:t>
      </w:r>
      <w:r w:rsidR="00C03059" w:rsidRPr="0067135F">
        <w:t xml:space="preserve"> found </w:t>
      </w:r>
      <w:r w:rsidR="00922F73" w:rsidRPr="0067135F">
        <w:t xml:space="preserve">symptoms of </w:t>
      </w:r>
      <w:r w:rsidR="00ED6F73">
        <w:t>common mental disorders (</w:t>
      </w:r>
      <w:r w:rsidR="005A40E5" w:rsidRPr="0067135F">
        <w:t>CMD</w:t>
      </w:r>
      <w:r w:rsidR="00ED6F73">
        <w:t>)</w:t>
      </w:r>
      <w:r w:rsidR="00C03059" w:rsidRPr="0067135F">
        <w:t xml:space="preserve"> </w:t>
      </w:r>
      <w:r w:rsidR="000B0B48" w:rsidRPr="0067135F">
        <w:t>to be</w:t>
      </w:r>
      <w:r w:rsidR="002455E2" w:rsidRPr="0067135F">
        <w:t xml:space="preserve"> more common among serving military personnel</w:t>
      </w:r>
      <w:r w:rsidR="00DC39B3" w:rsidRPr="0067135F">
        <w:t xml:space="preserve"> </w:t>
      </w:r>
      <w:r w:rsidR="00DC39B3" w:rsidRPr="00164A36">
        <w:fldChar w:fldCharType="begin"/>
      </w:r>
      <w:r w:rsidR="0072226B">
        <w:instrText xml:space="preserve"> ADDIN ZOTERO_ITEM CSL_CITATION {"citationID":"6A8V4x8d","properties":{"formattedCitation":"(Goodwin et al., 2015)","plainCitation":"(Goodwin et al., 2015)","noteIndex":0},"citationItems":[{"id":131,"uris":["http://zotero.org/users/3740225/items/GNB56XSZ"],"uri":["http://zotero.org/users/3740225/items/GNB56XSZ"],"itemData":{"id":131,"type":"article-journal","abstract":"Background\nAlthough the military is considered to be a stressful occupation, there are remarkably few studies that compare the prevalence of common mental disorder (CMD) between the military and the general population. This study examined the prevalence of probable CMD in a serving UK military sample compared to a general population sample of employed individuals.\n\n\nMethod\nData for the general population was from the 2003 and 2008 collections for the Health Survey for England (HSE) and for the serving military from phases 1 (2004–2006) and 2 (2007–2009) of the King's Centre for Military Health Research (KCMHR) cohort study. Probable CMD was assessed by the General Health Questionnaire (GHQ-12). The datasets were appended to calculate the odds of CMD in the military compared to the general population.\n \n\nResults\nThe odds of probable CMD was approximately double in the military, when comparing phase 1 of the military study to the 2003 HSE [odds ratio (OR) 2.4, 95% confidence interval (CI) 2.1–2.7], and phase 2 to the 2008 HSE (OR 2.3, 95% CI 2.0–2.6) after adjustment for sex, age, social class, education and marital status.\n\n\nConclusions\nServing military personnel are more likely to endorse symptoms of CMD compared to those selected from a general population study as employed in other occupations, even after accounting for demographic characteristics. This difference may be partly explained by the context of the military study, with evidence from previous research for higher reports of symptoms from the GHQ in occupational compared to population studies, in addition to the role of predisposing characteristics.","container-title":"Psychological Medicine","DOI":"10.1017/S0033291714002980","ISSN":"0033-2917, 1469-8978","issue":"9","page":"1881-1891","source":"Cambridge Core","title":"Are common mental disorders more prevalent in the UK serving military compared to the general working population?","volume":"45","author":[{"family":"Goodwin","given":"L."},{"family":"Wessely","given":"S."},{"family":"Hotopf","given":"M."},{"family":"Jones","given":"M."},{"family":"Greenberg","given":"N."},{"family":"Rona","given":"R. J."},{"family":"Hull","given":"L."},{"family":"Fear","given":"N. T."}],"issued":{"date-parts":[["2015",7]]}}}],"schema":"https://github.com/citation-style-language/schema/raw/master/csl-citation.json"} </w:instrText>
      </w:r>
      <w:r w:rsidR="00DC39B3" w:rsidRPr="00164A36">
        <w:fldChar w:fldCharType="separate"/>
      </w:r>
      <w:r w:rsidR="0072226B">
        <w:rPr>
          <w:rFonts w:cs="Times New Roman"/>
        </w:rPr>
        <w:t>(Goodwin et al., 2015)</w:t>
      </w:r>
      <w:r w:rsidR="00DC39B3" w:rsidRPr="00164A36">
        <w:fldChar w:fldCharType="end"/>
      </w:r>
      <w:r w:rsidR="002455E2" w:rsidRPr="00164A36">
        <w:t>.</w:t>
      </w:r>
      <w:r w:rsidR="005A40E5" w:rsidRPr="00164A36">
        <w:t xml:space="preserve"> </w:t>
      </w:r>
      <w:r w:rsidR="00175074" w:rsidRPr="00164A36">
        <w:t xml:space="preserve">Alcohol misuse </w:t>
      </w:r>
      <w:r w:rsidR="00AB4D84" w:rsidRPr="0067135F">
        <w:t xml:space="preserve">has also been found to be </w:t>
      </w:r>
      <w:r w:rsidR="0062548F" w:rsidRPr="0067135F">
        <w:t xml:space="preserve">more common </w:t>
      </w:r>
      <w:r w:rsidR="00766EFE" w:rsidRPr="0067135F">
        <w:t>in UK military personnel than the general population</w:t>
      </w:r>
      <w:r w:rsidR="00755B3A">
        <w:t xml:space="preserve"> with </w:t>
      </w:r>
      <w:r w:rsidR="00D05F5F" w:rsidRPr="0067135F">
        <w:t xml:space="preserve">heavy drinkers </w:t>
      </w:r>
      <w:r w:rsidR="00755B3A">
        <w:t>less likely</w:t>
      </w:r>
      <w:r w:rsidR="00D05F5F" w:rsidRPr="0067135F">
        <w:t xml:space="preserve"> to change their drinking patterns over time</w:t>
      </w:r>
      <w:r w:rsidR="00AB4D84" w:rsidRPr="0067135F">
        <w:t xml:space="preserve"> </w:t>
      </w:r>
      <w:r w:rsidR="00787C7F" w:rsidRPr="00164A36">
        <w:fldChar w:fldCharType="begin"/>
      </w:r>
      <w:r w:rsidR="0072226B">
        <w:instrText xml:space="preserve"> ADDIN ZOTERO_ITEM CSL_CITATION {"citationID":"Sh4n7mNp","properties":{"formattedCitation":"(Fear et al., 2007; Goodwin et al., 2017; Thandi et al., 2015)","plainCitation":"(Fear et al., 2007; Goodwin et al., 2017; Thandi et al., 2015)","noteIndex":0},"citationItems":[{"id":130,"uris":["http://zotero.org/users/3740225/items/AXKJRPXN"],"uri":["http://zotero.org/users/3740225/items/AXKJRPXN"],"itemData":{"id":130,"type":"article-journal","abstract":"Aims  To examine patterns of drinking in the UK Armed Forces, how they vary according to gender and other demographics, and to make comparisons with the general population. Design  Large cross-sectional postal questionnaire study (response rate 60%). Setting  United Kingdom. Participants  A random representative sample of the regular UK Armed Forces who were in service in March 2003 (n = 8686; 7937 men, 749 women). Comparisons were made with the general population of Great Britain. Measurements  Alcohol consumption was assessed using the Alcohol Use Disorders Identification Test (AUDIT). Findings  Sixty-seven per cent of men and 49% of women in the UK Armed Forces had an AUDIT score of 8+ (defined as hazardous drinking), compared to 38% of men and 16% of women in the general population. In both sexes, for all ages, the military have a higher prevalence of hazardous drinking. Binge drinking was associated with being younger, being in the Army, being single, being a smoker and being white. Among military men, heavy drinking (AUDIT score 16+) was associated with holding a lower rank, being younger, being single, being in the Naval Service or Army, being deployed to Iraq, not having children, being a smoker, having a combat role and having a parent with a drink or drug problem. Conclusions  Excessive alcohol consumption is more common in the UK Armed Forces than in the general population. There are certain socio-demographic characteristics associated with heavy drinking within the military; for example, young age, being single and being a smoker, which may allow the targeting of preventive interventions.","container-title":"Addiction","DOI":"10.1111/j.1360-0443.2007.01978.x","ISSN":"1360-0443","issue":"11","language":"en","page":"1749-1759","source":"Wiley Online Library","title":"Patterns of drinking in the UK Armed Forces","volume":"102","author":[{"family":"Fear","given":"Nicola T."},{"family":"Iversen","given":"Amy"},{"family":"Meltzer","given":"Howard"},{"family":"Workman","given":"Lorna"},{"family":"Hull","given":"Lisa"},{"family":"Greenberg","given":"Neil"},{"family":"Barker","given":"Christopher"},{"family":"Browne","given":"Tess"},{"family":"Earnshaw","given":"Mark"},{"family":"Horn","given":"Oded"},{"family":"Jones","given":"Margaret"},{"family":"Murphy","given":"Dominic"},{"family":"Rona","given":"Roberto J."},{"family":"Hotopf","given":"Matthew"},{"family":"Wessely","given":"Simon"}],"issued":{"date-parts":[["2007",11,1]]}}},{"id":33,"uris":["http://zotero.org/users/3740225/items/KGI45MVR"],"uri":["http://zotero.org/users/3740225/items/KGI45MVR"],"itemData":{"id":33,"type":"article-journal","abstract":"Introduction\nThere are higher levels of alcohol misuse in the military compared to the general population. Yet there is a dearth of research in military populations on the longitudinal patterns of alcohol use. This study aims to identify group trajectories of alcohol consumption in the UK military and to identify associations with childhood adversity, deployment history and mental disorder.\nMethods\nData on weekly alcohol consumption across an eight year period and three phases of a UK military cohort study (n=667) were examined using growth mixture modelling.\nResults\nFive alcohol trajectory classes were identified: mid-average drinkers (55%), abstainers (4%), low level drinkers (19%), decreasing drinkers (3%) and heavy drinkers (19%). Alcohol consumption remained stable over the three periods in all classes, other than in the small decreasing trajectory class. Individuals in the heavy drinking class were more likely to have deployed to Iraq. Abstainers and heavy drinkers were more likely to report post-traumatic stress disorders at baseline compared to average drinkers.\nConclusions\nHeavy drinkers in the UK military did not change their drinking pattern over a period of eight years. This highlights the need to develop effective preventive programmes to lessen the physical and psychological consequences of long-term heavy alcohol use. Individuals with a mental health problem appeared more likely to either be drinking at a high level or to be abstaining from use.","container-title":"Addictive Behaviors","DOI":"10.1016/j.addbeh.2017.07.010","ISSN":"0306-4603","journalAbbreviation":"Addictive Behaviors","page":"130-137","source":"ScienceDirect","title":"Trajectories of alcohol use in the UK military and associations with mental health","volume":"75","author":[{"family":"Goodwin","given":"L."},{"family":"Norton","given":"S."},{"family":"Fear","given":"N. T."},{"family":"Jones","given":"M."},{"family":"Hull","given":"L."},{"family":"Wessely","given":"S."},{"family":"Rona","given":"R. J."}],"issued":{"date-parts":[["2017",12,1]]}}},{"id":603,"uris":["http://zotero.org/users/3740225/items/9YCNQHLT"],"uri":["http://zotero.org/users/3740225/items/9YCNQHLT"],"itemData":{"id":603,"type":"article-journal","abstract":"OBJECTIVES: We assessed changes in Alcohol Use Disorders Identification Test (AUDIT) scores over time. We investigated the impact of life events and changes in mental health status on AUDIT scores over time in UK military personnel.\nMETHODS: A random representative sample of regular UK military personnel who had been serving in 2003 were surveyed in 2004-2006 (phase 1) and again in 2007-2009 (phase 2). The impact of changes in symptoms of psychological distress, probable post-traumatic stress disorder (PTSD), marital status, serving status, rank, deployment to Iraq/Afghanistan and smoking was assessed between phases.\nRESULTS: We found a statistically significant but small decrease in AUDIT scores between phases 1 and 2 (mean change=-1.01, 95% confidence interval=-1.14, -0.88). Participants reported a decrease in AUDIT scores if they experienced remission in psychological distress (adjusted mean -2.21, 95% CI -2.58, -1.84) and probable PTSD (adjusted mean -3.59, 95% CI -4.41, -2.78), if they stopped smoking (adjusted mean -1.41, 95% CI -1.83, -0.98) and were in a new relationship (adjusted mean -2.77, 95% CI -3.15, -2.38). On the other hand, reporting new onset or persistent symptoms of probable PTSD (adjusted mean 1.34, 95% CI 0.71, 1.98) or a relationship breakdown (adjusted mean 0.53, 95% CI 0.07, 0.99) at phase 2 were associated with an increase in AUDIT scores.\nCONCLUSIONS: The overall level of hazardous alcohol consumption remains high in the UK military. Changes in AUDIT scores were linked to mental health and life events but not with deployment to Iraq or Afghanistan.","container-title":"Drug and Alcohol Dependence","DOI":"10.1016/j.drugalcdep.2015.08.033","ISSN":"1879-0046","journalAbbreviation":"Drug Alcohol Depend","language":"eng","note":"PMID: 26409753","page":"78-83","source":"PubMed","title":"Alcohol misuse in the United Kingdom Armed Forces: A longitudinal study","title-short":"Alcohol misuse in the United Kingdom Armed Forces","volume":"156","author":[{"family":"Thandi","given":"Gursimran"},{"family":"Sundin","given":"Josefin"},{"family":"Ng-Knight","given":"Terry"},{"family":"Jones","given":"Margaret"},{"family":"Hull","given":"Lisa"},{"family":"Jones","given":"Norman"},{"family":"Greenberg","given":"Neil"},{"family":"Rona","given":"Roberto J."},{"family":"Wessely","given":"Simon"},{"family":"Fear","given":"Nicola T."}],"issued":{"date-parts":[["2015",11,1]]}}}],"schema":"https://github.com/citation-style-language/schema/raw/master/csl-citation.json"} </w:instrText>
      </w:r>
      <w:r w:rsidR="00787C7F" w:rsidRPr="00164A36">
        <w:fldChar w:fldCharType="separate"/>
      </w:r>
      <w:r w:rsidR="0072226B">
        <w:rPr>
          <w:rFonts w:cs="Times New Roman"/>
        </w:rPr>
        <w:t>(Fear et al., 2007; Goodwin et al., 2017; Thandi et al., 2015)</w:t>
      </w:r>
      <w:r w:rsidR="00787C7F" w:rsidRPr="00164A36">
        <w:fldChar w:fldCharType="end"/>
      </w:r>
      <w:r w:rsidR="00787C7F" w:rsidRPr="00164A36">
        <w:t>.</w:t>
      </w:r>
      <w:r w:rsidR="00C03059" w:rsidRPr="00164A36">
        <w:t xml:space="preserve"> </w:t>
      </w:r>
    </w:p>
    <w:p w14:paraId="1BCBEE95" w14:textId="77777777" w:rsidR="00755B3A" w:rsidRDefault="00755B3A" w:rsidP="00755B3A">
      <w:pPr>
        <w:autoSpaceDE w:val="0"/>
        <w:autoSpaceDN w:val="0"/>
        <w:adjustRightInd w:val="0"/>
        <w:spacing w:before="0" w:after="0"/>
      </w:pPr>
    </w:p>
    <w:p w14:paraId="252E2542" w14:textId="568DBBB0" w:rsidR="006B5DE6" w:rsidRPr="00FF178A" w:rsidRDefault="0008628C" w:rsidP="00472A74">
      <w:pPr>
        <w:autoSpaceDE w:val="0"/>
        <w:autoSpaceDN w:val="0"/>
        <w:adjustRightInd w:val="0"/>
        <w:spacing w:before="0" w:after="0"/>
      </w:pPr>
      <w:r>
        <w:t>Thoug</w:t>
      </w:r>
      <w:r w:rsidR="00754146">
        <w:t xml:space="preserve">h studies from other countries have shown veterans to have poorer mental health </w:t>
      </w:r>
      <w:r w:rsidR="005A3016">
        <w:t xml:space="preserve">than </w:t>
      </w:r>
      <w:r w:rsidR="003C25A2">
        <w:t>non-veterans</w:t>
      </w:r>
      <w:r w:rsidR="00754146">
        <w:t xml:space="preserve"> </w:t>
      </w:r>
      <w:r w:rsidR="00754146">
        <w:fldChar w:fldCharType="begin"/>
      </w:r>
      <w:r w:rsidR="0072226B">
        <w:instrText xml:space="preserve"> ADDIN ZOTERO_ITEM CSL_CITATION {"citationID":"RXK5aAg4","properties":{"formattedCitation":"(Hoerster et al., 2012; Oster et al., 2017)","plainCitation":"(Hoerster et al., 2012; Oster et al., 2017)","noteIndex":0},"citationItems":[{"id":614,"uris":["http://zotero.org/users/3740225/items/KAB4JQTM"],"uri":["http://zotero.org/users/3740225/items/KAB4JQTM"],"itemData":{"id":614,"type":"article-journal","abstract":"Background\nLittle is known about health and health behavior differences among military service veterans, active duty service members, National Guard/Reserve members, and civilians. Several important differences were identified among U.S. women from these subpopulations; to identify areas for targeted intervention, studies comparing men from these subpopulations are needed.\nPurpose\nTo compare veteran, military, and civilian men on leading U.S. health indicators.\nMethods\nData were from the 2010 Behavioral Risk Factor Surveillance Survey, a U.S. population-based study. In 2011, self-reported health outcomes were compared using multivariable logistic regression across male veterans (n=53,406); active duty service members (n=2144); National Guard/Reserve service members (n=3724); and civilians (n=110,116).\nResults\nMultivariate logistic regression results are presented. Despite better healthcare access, veterans had poorer health and functioning than civilians and National Guard/Reserve members on several indicators. Veterans also were more likely than those on active duty to report diabetes. Veterans were more likely to report current smoking and heavy alcohol consumption than National Guard/Reserve members and civilian men, and lack of exercise compared to active duty men and National Guard/Reserve members. National Guard/Reserve men had higher levels of obesity, diabetes, and cardiovascular disease (versus active duty and veterans, active duty, and civilians, respectively). Active duty men were more likely to report current smoking and heavy alcohol consumption than civilians and National Guard/Reserve members, and reported more smokeless tobacco use than civilians.\nConclusions\nVeterans have poorer health and health behaviors; increased prevention efforts are needed from veteran-serving organizations. Despite good health, active duty men reported unhealthy lifestyles, indicating an important area for prevention efforts.","container-title":"American Journal of Preventive Medicine","DOI":"10.1016/j.amepre.2012.07.029","ISSN":"0749-3797","issue":"5","journalAbbreviation":"American Journal of Preventive Medicine","page":"483-489","source":"ScienceDirect","title":"Health and Health Behavior Differences: U.S. Military, Veteran, and Civilian Men","title-short":"Health and Health Behavior Differences","volume":"43","author":[{"family":"Hoerster","given":"Katherine D."},{"family":"Lehavot","given":"Keren"},{"family":"Simpson","given":"Tracy"},{"family":"McFall","given":"Miles"},{"family":"Reiber","given":"Gayle"},{"family":"Nelson","given":"Karin M."}],"issued":{"date-parts":[["2012",11,1]]}}},{"id":612,"uris":["http://zotero.org/users/3740225/items/MTYKB597"],"uri":["http://zotero.org/users/3740225/items/MTYKB597"],"itemData":{"id":612,"type":"article-journal","abstract":"Background\nFor the majority of serving members, life in the military has a positive effect on wellbeing. However, the type, intensity and duration of service, along with the transition from fulltime military to civilian life, may have a negative effect on veterans’ wellbeing. Such negative consequences, alongside the growing veteran population, indicate the need for greater exploration of veterans’ physical, mental and social wellbeing.\n\nMethods\nThe current paper reports on the findings of a rapid review of the literature on the health and wellbeing needs of veterans, commissioned by the Australian Department of Veterans’ Affairs to inform future programs and services. The databases Embase, Medline, Cinahl, PubMed, Web of Science and Cochrane Database were searched for systematic reviews reporting on veterans’ physical, mental and social wellbeing published in English in peer-reviewed journals.\n\nResults\nA total of 21 systematic reviews were included. The reviews reported on a range of mental, physical and social health problems affecting veterans. While there was limited information on prevalence rates of physical, mental and social health problems in veterans compared to civilian populations, the reviews demonstrated the interconnection between these domains and the effect of demographic and military service factors.\n\nConclusions\nA key finding of the review is the interconnection of the mental, physical, and social health of veterans, highlighting the importance that an integrated approach to veterans’ wellbeing is adopted. It is suggested that understanding key factors, such as demographic factors and factors relating to military service, can support improved service provision for veterans.\n\nElectronic supplementary material\nThe online version of this article (10.1186/s12888-017-1547-0) contains supplementary material, which is available to authorized users.","container-title":"BMC Psychiatry","DOI":"10.1186/s12888-017-1547-0","ISSN":"1471-244X","journalAbbreviation":"BMC Psychiatry","note":"PMID: 29284431\nPMCID: PMC5747125","source":"PubMed Central","title":"The health and wellbeing needs of veterans: a rapid review","title-short":"The health and wellbeing needs of veterans","URL":"https://www.ncbi.nlm.nih.gov/pmc/articles/PMC5747125/","volume":"17","author":[{"family":"Oster","given":"Candice"},{"family":"Morello","given":"Andrea"},{"family":"Venning","given":"Anthony"},{"family":"Redpath","given":"Paula"},{"family":"Lawn","given":"Sharon"}],"accessed":{"date-parts":[["2019",4,2]]},"issued":{"date-parts":[["2017",12,29]]}}}],"schema":"https://github.com/citation-style-language/schema/raw/master/csl-citation.json"} </w:instrText>
      </w:r>
      <w:r w:rsidR="00754146">
        <w:fldChar w:fldCharType="separate"/>
      </w:r>
      <w:r w:rsidR="0072226B">
        <w:rPr>
          <w:rFonts w:cs="Times New Roman"/>
        </w:rPr>
        <w:t>(Hoerster et al., 2012; Oster et al., 2017)</w:t>
      </w:r>
      <w:r w:rsidR="00754146">
        <w:fldChar w:fldCharType="end"/>
      </w:r>
      <w:r w:rsidR="00754146">
        <w:t>, f</w:t>
      </w:r>
      <w:r w:rsidR="00167925" w:rsidRPr="0067135F">
        <w:t xml:space="preserve">indings from the few </w:t>
      </w:r>
      <w:r w:rsidR="00754146">
        <w:t>UK</w:t>
      </w:r>
      <w:r w:rsidR="00167925" w:rsidRPr="0067135F">
        <w:t xml:space="preserve"> studies comparing </w:t>
      </w:r>
      <w:r w:rsidR="00E018D2" w:rsidRPr="0067135F">
        <w:t>military veterans</w:t>
      </w:r>
      <w:r w:rsidR="00535555" w:rsidRPr="0067135F">
        <w:t xml:space="preserve"> </w:t>
      </w:r>
      <w:r w:rsidR="00167925" w:rsidRPr="0067135F">
        <w:t xml:space="preserve">and </w:t>
      </w:r>
      <w:r w:rsidR="003C25A2">
        <w:t>non-veteran</w:t>
      </w:r>
      <w:r w:rsidR="00167925" w:rsidRPr="0067135F">
        <w:t xml:space="preserve"> mental</w:t>
      </w:r>
      <w:r w:rsidR="00167925">
        <w:t xml:space="preserve"> health </w:t>
      </w:r>
      <w:r w:rsidR="006649C0">
        <w:t xml:space="preserve">have </w:t>
      </w:r>
      <w:r w:rsidR="00167925">
        <w:t>suggest</w:t>
      </w:r>
      <w:r w:rsidR="006649C0">
        <w:t>ed</w:t>
      </w:r>
      <w:r w:rsidR="00167925">
        <w:t xml:space="preserve"> that there is </w:t>
      </w:r>
      <w:r w:rsidR="00AD6628">
        <w:t>little differen</w:t>
      </w:r>
      <w:r w:rsidR="00F836CF">
        <w:t>ce</w:t>
      </w:r>
      <w:r w:rsidR="004066AC">
        <w:t xml:space="preserve"> between the two groups</w:t>
      </w:r>
      <w:r w:rsidR="00C254DB">
        <w:t xml:space="preserve"> </w:t>
      </w:r>
      <w:r w:rsidR="008C7730">
        <w:fldChar w:fldCharType="begin"/>
      </w:r>
      <w:r w:rsidR="0072226B">
        <w:instrText xml:space="preserve"> ADDIN ZOTERO_ITEM CSL_CITATION {"citationID":"Ip1iAHxm","properties":{"formattedCitation":"(Murphy et al., 2016; Woodhead et al., 2011b, 2011a)","plainCitation":"(Murphy et al., 2016; Woodhead et al., 2011b, 2011a)","noteIndex":0},"citationItems":[{"id":358,"uris":["http://zotero.org/users/3740225/items/I4HKRWN9"],"uri":["http://zotero.org/users/3740225/items/I4HKRWN9"],"itemData":{"id":358,"type":"article-journal","abstract":"The aim of this paper was to provide insights into alcohol misuse within UK veterans to inform as to whether their presentations differ from the general public. This was done by exploring differences in the severity of alcohol misuse between UK veterans and the general public admitted to a general NHS hospital over an 18 month period using retrospective data. All patients admitted to the hospital were screened for alcohol misuse. Those deemed as experiencing problems were referred for specialist nurse-led support. A total of 2331 individuals were referred for this supported and administered with a standardised assessment that included measures of the severity of alcohol difficulties (AUDIT), dependency levels (LDQ), and assessed for the presence of withdrawal symptoms (CIWA-Ar). In addition, information was collected on service utilisation, referral category (medical or mental health), other substance misuse, and demographic characteristics. No differences were found between the severity of reported alcohol difficulties between veterans and non-veterans. Evidence was found to suggest that veterans were more likely to be referred for support with alcohol difficulties at an older age and to be admitted to hospital for longer periods of time. This could have considerable cost implications for the NHS. It was more common for veterans to present at hospital with physical health difficulties prior to being referred for support for alcohol.","container-title":"Journal of Clinical Medicine","DOI":"10.3390/jcm5110095","ISSN":"2077-0383","issue":"11","journalAbbreviation":"J Clin Med","note":"PMID: 27827830\nPMCID: PMC5126792","source":"PubMed Central","title":"Do Alcohol Misuse, Service Utilisation, and Demographic Characteristics Differ between UK Veterans and Members of the General Public Attending an NHS General Hospital?","URL":"http://www.ncbi.nlm.nih.gov/pmc/articles/PMC5126792/","volume":"5","author":[{"family":"Murphy","given":"D"},{"family":"Palmer","given":"E"},{"family":"Westwood","given":"G"},{"family":"Busuttil","given":"W"},{"family":"Greenberg","given":"N"}],"issued":{"date-parts":[["2016",11,2]]}}},{"id":356,"uris":["http://zotero.org/users/3740225/items/ATUZKKIR"],"uri":["http://zotero.org/users/3740225/items/ATUZKKIR"],"itemData":{"id":356,"type":"article-journal","abstract":"PurposeIn the context of increasing concerns for the health of UK armed forces veterans, this study aims to compare the prevalence of current mental, physical and behavioural difficulties in conscripted national service veterans with population controls, and to assess the impact of length of service in the military. The compulsory nature of national service sets these veterans apart from younger veterans.MethodData are drawn from a nationally representative community-dwelling sample of England. We compared 484 male national service veterans to 301 male non-veterans aged 65+ years.ResultsThere were no differences in mental, behavioural or physical outcomes, except that veterans were less likely to have “any mental disorder” than non-veterans (age adjusted OR = 0.56, 95% CI 0.31, 0.99). Longer serving veterans were older but were not different in terms of mental, behavioural or physical outcomes.ConclusionsCommunity-dwelling national service veterans are at no greater risk of current adverse mental, physical or behavioural health than population controls.","container-title":"Social Psychiatry and Psychiatric Epidemiology","DOI":"10.1007/s00127-010-0232-0","ISSN":"0933-7954, 1433-9285","issue":"7","journalAbbreviation":"Soc Psychiatry Psychiatr Epidemiol","language":"en","page":"559-566","source":"link.springer.com","title":"Health of national service veterans: an analysis of a community-based sample using data from the 2007 Adult Psychiatric Morbidity Survey of England","title-short":"Health of national service veterans","volume":"46","author":[{"family":"Woodhead","given":"C."},{"family":"Rona","given":"R J."},{"family":"Iversen","given":"A C."},{"family":"MacManus","given":"D"},{"family":"Hotopf","given":"M"},{"family":"Dean","given":"Kimberlie"},{"family":"McManus","given":"Sally"},{"family":"Meltzer","given":"Howard"},{"family":"Brugha","given":"Traolach"},{"family":"Jenkins","given":"Rachel"},{"family":"Wessely","given":"Simon"},{"family":"Fear","given":"Nicola T."}],"issued":{"date-parts":[["2011",7,1]]}}},{"id":357,"uris":["http://zotero.org/users/3740225/items/GFSR3SRL"],"uri":["http://zotero.org/users/3740225/items/GFSR3SRL"],"itemData":{"id":357,"type":"article-journal","abstract":"BACKGROUND: There is concern surrounding the psychological health and uptake of treatment services among veterans of the UK Armed Forces.\nMETHOD: Data from a cross-sectional, nationally representative sample were used to compare health outcomes and treatment seeking among 257 post-national service veterans aged 16-64 years and 504 age and sex frequency-matched non-veterans living in the community in England. Early leavers (&lt;4 years service) were compared with longer serving veterans.\nRESULTS: Male veterans reported more childhood adversity and were more likely to have experienced a major trauma in adulthood than non-veterans. There was no association between any measure of mental health and veteran status in males, except reporting more violent behaviours [adjusted odds ratio (aOR) 1.44, 95% confidence interval (CI) 1.01-2.06]. In females, a significant association was found between veteran status and ever having suicidal thoughts (aOR 2.82, 95% CI 1.13-7.03). No differences in treatment-seeking behaviour were identified between veterans and non-veterans with any mental disorder. Early service leavers were more likely to be heavy drinkers (aOR 4.16, 95% CI 1.08-16.00), to have had suicidal thoughts (aOR 2.37, 95% CI 1.21-4.66) and to have self-harmed (aOR 12.36, 95% CI 1.61-94.68) than longer serving veterans.\nCONCLUSIONS: The findings of this study do not suggest that being a veteran is associated with adversity in terms of mental health, social disadvantage or reluctance to seek treatment compared with the general population. Some evidence implies that early service leavers may experience more mental health problems than longer-serving veterans.","container-title":"Psychological Medicine","DOI":"10.1017/S0033291710000759","ISSN":"1469-8978","issue":"2","journalAbbreviation":"Psychol Med","language":"eng","note":"PMID: 20406527","page":"363-372","source":"PubMed","title":"Mental health and health service use among post-national service veterans: results from the 2007 Adult Psychiatric Morbidity Survey of England","title-short":"Mental health and health service use among post-national service veterans","volume":"41","author":[{"family":"Woodhead","given":"C."},{"family":"Rona","given":"R. J."},{"family":"Iversen","given":"A."},{"family":"MacManus","given":"D."},{"family":"Hotopf","given":"M."},{"family":"Dean","given":"K."},{"family":"McManus","given":"S."},{"family":"Meltzer","given":"H."},{"family":"Brugha","given":"T."},{"family":"Jenkins","given":"R."},{"family":"Wessely","given":"S."},{"family":"Fear","given":"N. T."}],"issued":{"date-parts":[["2011",2]]}}}],"schema":"https://github.com/citation-style-language/schema/raw/master/csl-citation.json"} </w:instrText>
      </w:r>
      <w:r w:rsidR="008C7730">
        <w:fldChar w:fldCharType="separate"/>
      </w:r>
      <w:r w:rsidR="0072226B">
        <w:rPr>
          <w:rFonts w:cs="Times New Roman"/>
        </w:rPr>
        <w:t>(Murphy et al., 2016; Woodhead et al., 2011b, 2011a)</w:t>
      </w:r>
      <w:r w:rsidR="008C7730">
        <w:fldChar w:fldCharType="end"/>
      </w:r>
      <w:r w:rsidR="00AD6628">
        <w:t>.</w:t>
      </w:r>
      <w:r w:rsidR="002819FF" w:rsidRPr="00A05B74">
        <w:t xml:space="preserve"> </w:t>
      </w:r>
      <w:r w:rsidR="00D8766D">
        <w:t>Analysis restricted to a represe</w:t>
      </w:r>
      <w:r w:rsidR="00690003" w:rsidRPr="007363E8">
        <w:t>ntative</w:t>
      </w:r>
      <w:r w:rsidR="007363E8" w:rsidRPr="007363E8">
        <w:t xml:space="preserve"> sample of</w:t>
      </w:r>
      <w:r w:rsidR="00690003" w:rsidRPr="007363E8">
        <w:t xml:space="preserve"> post</w:t>
      </w:r>
      <w:r w:rsidR="00454593" w:rsidRPr="007363E8">
        <w:t xml:space="preserve">-national service veterans (n=257) </w:t>
      </w:r>
      <w:r w:rsidR="007363E8" w:rsidRPr="004D0B2A">
        <w:t>found no</w:t>
      </w:r>
      <w:r w:rsidR="00B36B43">
        <w:t xml:space="preserve"> statistically</w:t>
      </w:r>
      <w:r w:rsidR="007363E8" w:rsidRPr="004D0B2A">
        <w:t xml:space="preserve"> significant difference in the prevalence of poor mental health between veterans and non-veterans </w:t>
      </w:r>
      <w:r w:rsidR="007363E8" w:rsidRPr="004D0B2A">
        <w:fldChar w:fldCharType="begin"/>
      </w:r>
      <w:r w:rsidR="0072226B">
        <w:instrText xml:space="preserve"> ADDIN ZOTERO_ITEM CSL_CITATION {"citationID":"QeKctREt","properties":{"formattedCitation":"(Woodhead et al., 2011b)","plainCitation":"(Woodhead et al., 2011b)","noteIndex":0},"citationItems":[{"id":357,"uris":["http://zotero.org/users/3740225/items/GFSR3SRL"],"uri":["http://zotero.org/users/3740225/items/GFSR3SRL"],"itemData":{"id":357,"type":"article-journal","abstract":"BACKGROUND: There is concern surrounding the psychological health and uptake of treatment services among veterans of the UK Armed Forces.\nMETHOD: Data from a cross-sectional, nationally representative sample were used to compare health outcomes and treatment seeking among 257 post-national service veterans aged 16-64 years and 504 age and sex frequency-matched non-veterans living in the community in England. Early leavers (&lt;4 years service) were compared with longer serving veterans.\nRESULTS: Male veterans reported more childhood adversity and were more likely to have experienced a major trauma in adulthood than non-veterans. There was no association between any measure of mental health and veteran status in males, except reporting more violent behaviours [adjusted odds ratio (aOR) 1.44, 95% confidence interval (CI) 1.01-2.06]. In females, a significant association was found between veteran status and ever having suicidal thoughts (aOR 2.82, 95% CI 1.13-7.03). No differences in treatment-seeking behaviour were identified between veterans and non-veterans with any mental disorder. Early service leavers were more likely to be heavy drinkers (aOR 4.16, 95% CI 1.08-16.00), to have had suicidal thoughts (aOR 2.37, 95% CI 1.21-4.66) and to have self-harmed (aOR 12.36, 95% CI 1.61-94.68) than longer serving veterans.\nCONCLUSIONS: The findings of this study do not suggest that being a veteran is associated with adversity in terms of mental health, social disadvantage or reluctance to seek treatment compared with the general population. Some evidence implies that early service leavers may experience more mental health problems than longer-serving veterans.","container-title":"Psychological Medicine","DOI":"10.1017/S0033291710000759","ISSN":"1469-8978","issue":"2","journalAbbreviation":"Psychol Med","language":"eng","note":"PMID: 20406527","page":"363-372","source":"PubMed","title":"Mental health and health service use among post-national service veterans: results from the 2007 Adult Psychiatric Morbidity Survey of England","title-short":"Mental health and health service use among post-national service veterans","volume":"41","author":[{"family":"Woodhead","given":"C."},{"family":"Rona","given":"R. J."},{"family":"Iversen","given":"A."},{"family":"MacManus","given":"D."},{"family":"Hotopf","given":"M."},{"family":"Dean","given":"K."},{"family":"McManus","given":"S."},{"family":"Meltzer","given":"H."},{"family":"Brugha","given":"T."},{"family":"Jenkins","given":"R."},{"family":"Wessely","given":"S."},{"family":"Fear","given":"N. T."}],"issued":{"date-parts":[["2011",2]]}}}],"schema":"https://github.com/citation-style-language/schema/raw/master/csl-citation.json"} </w:instrText>
      </w:r>
      <w:r w:rsidR="007363E8" w:rsidRPr="004D0B2A">
        <w:fldChar w:fldCharType="separate"/>
      </w:r>
      <w:r w:rsidR="0072226B">
        <w:rPr>
          <w:rFonts w:cs="Times New Roman"/>
        </w:rPr>
        <w:t>(Woodhead et al., 2011b)</w:t>
      </w:r>
      <w:r w:rsidR="007363E8" w:rsidRPr="004D0B2A">
        <w:fldChar w:fldCharType="end"/>
      </w:r>
      <w:r w:rsidR="00454593" w:rsidRPr="004D0B2A">
        <w:t>.</w:t>
      </w:r>
      <w:r w:rsidR="00274879" w:rsidRPr="004D0B2A">
        <w:t xml:space="preserve"> </w:t>
      </w:r>
      <w:r w:rsidR="00274879" w:rsidRPr="00BC4C1A">
        <w:t xml:space="preserve">However, </w:t>
      </w:r>
      <w:r w:rsidR="00A7157F" w:rsidRPr="00BC4C1A">
        <w:t>the</w:t>
      </w:r>
      <w:r w:rsidR="001B5965">
        <w:t xml:space="preserve"> study utilised a small</w:t>
      </w:r>
      <w:r w:rsidR="00A7157F" w:rsidRPr="00BC4C1A">
        <w:t xml:space="preserve"> sample of veterans</w:t>
      </w:r>
      <w:r w:rsidR="001B5965">
        <w:t xml:space="preserve">, </w:t>
      </w:r>
      <w:r w:rsidR="002F55E2" w:rsidRPr="00BC4C1A">
        <w:t>few of whom had serv</w:t>
      </w:r>
      <w:r w:rsidR="00E10033" w:rsidRPr="00BC4C1A">
        <w:t xml:space="preserve">ed while </w:t>
      </w:r>
      <w:r w:rsidR="004D0B2A">
        <w:t xml:space="preserve">recent </w:t>
      </w:r>
      <w:r w:rsidR="00E10033" w:rsidRPr="00BC4C1A">
        <w:t>military operations were ongoing in Iraq and Afghanistan</w:t>
      </w:r>
      <w:r w:rsidR="00A7157F" w:rsidRPr="00BC4C1A">
        <w:t>.</w:t>
      </w:r>
      <w:r w:rsidR="00274879" w:rsidRPr="00BC4C1A">
        <w:t xml:space="preserve"> </w:t>
      </w:r>
      <w:bookmarkStart w:id="10" w:name="_Hlk6931225"/>
      <w:r w:rsidR="00655CD2" w:rsidRPr="00D05F5F">
        <w:t>Re</w:t>
      </w:r>
      <w:r w:rsidR="005869E1" w:rsidRPr="00D05F5F">
        <w:t>cent estimates suggest that</w:t>
      </w:r>
      <w:r w:rsidR="00D05F5F" w:rsidRPr="00D05F5F">
        <w:t xml:space="preserve"> probable</w:t>
      </w:r>
      <w:r w:rsidR="005869E1" w:rsidRPr="00D05F5F">
        <w:t xml:space="preserve"> </w:t>
      </w:r>
      <w:r w:rsidR="00ED6F73">
        <w:t>post-</w:t>
      </w:r>
      <w:r w:rsidR="00ED6F73" w:rsidRPr="00FF178A">
        <w:t>traumatic stress disorder (</w:t>
      </w:r>
      <w:r w:rsidR="005869E1" w:rsidRPr="00FF178A">
        <w:t>PTSD</w:t>
      </w:r>
      <w:r w:rsidR="00ED6F73" w:rsidRPr="00FF178A">
        <w:t>)</w:t>
      </w:r>
      <w:r w:rsidR="00E10033" w:rsidRPr="00FF178A">
        <w:t xml:space="preserve"> </w:t>
      </w:r>
      <w:r w:rsidR="003435CC" w:rsidRPr="00FF178A">
        <w:t>is</w:t>
      </w:r>
      <w:r w:rsidR="00472A74" w:rsidRPr="00FF178A">
        <w:t xml:space="preserve"> now</w:t>
      </w:r>
      <w:r w:rsidR="003435CC" w:rsidRPr="00FF178A">
        <w:t xml:space="preserve"> higher among</w:t>
      </w:r>
      <w:r w:rsidR="005869E1" w:rsidRPr="00FF178A">
        <w:t xml:space="preserve"> </w:t>
      </w:r>
      <w:r w:rsidR="00655CD2" w:rsidRPr="00FF178A">
        <w:t>UK</w:t>
      </w:r>
      <w:r w:rsidR="003D3F0D" w:rsidRPr="00FF178A">
        <w:t xml:space="preserve"> </w:t>
      </w:r>
      <w:r w:rsidR="005869E1" w:rsidRPr="00FF178A">
        <w:t>veterans</w:t>
      </w:r>
      <w:r w:rsidR="000D163B" w:rsidRPr="00FF178A">
        <w:t xml:space="preserve"> compared to those in service</w:t>
      </w:r>
      <w:r w:rsidR="00FF178A" w:rsidRPr="00FF178A">
        <w:t xml:space="preserve"> </w:t>
      </w:r>
      <w:bookmarkEnd w:id="10"/>
      <w:r w:rsidR="00FF178A" w:rsidRPr="00FF178A">
        <w:fldChar w:fldCharType="begin"/>
      </w:r>
      <w:r w:rsidR="0072226B">
        <w:instrText xml:space="preserve"> ADDIN ZOTERO_ITEM CSL_CITATION {"citationID":"slFRWSzl","properties":{"formattedCitation":"(Stevelink et al., 2018)","plainCitation":"(Stevelink et al., 2018)","noteIndex":0},"citationItems":[{"id":110,"uris":["http://zotero.org/users/3740225/items/UNFP4NDK"],"uri":["http://zotero.org/users/3740225/items/UNFP4NDK"],"itemData":{"id":110,"type":"article-journal","abstract":"BACKGROUND: Little is known about the prevalence of mental health outcomes in UK personnel at the end of the British involvement in the Iraq and Afghanistan conflicts.AimsWe examined the prevalence of mental disorders and alcohol misuse, whether this differed between serving and ex-serving regular personnel and by deployment status.\nMETHOD: This is the third phase of a military cohort study (2014-2016; n = 8093). The sample was based on participants from previous phases (2004-2006 and 2007-2009) and a new randomly selected sample of those who had joined the UK armed forces since 2009.\nRESULTS: The prevalence was 6.2% for probable post-traumatic stress disorder, 21.9% for common mental disorders and 10.0% for alcohol misuse. Deployment to Iraq or Afghanistan and a combat role during deployment were associated with significantly worse mental health outcomes and alcohol misuse in ex-serving regular personnel but not in currently serving regular personnel.\nCONCLUSIONS: The findings highlight an increasing prevalence of post-traumatic stress disorder and a lowering prevalence of alcohol misuse compared with our previous findings and stresses the importance of continued surveillance during service and beyond.\nDECLARATION OF INTEREST: All authors are based at King's College London which, for the purpose of this study and other military-related studies, receives funding from the UK Ministry of Defence (MoD). S.A.M.S., M.J., L.H., D.P., S.M. and R.J.R. salaries were totally or partially paid by the UK MoD. The UK MoD provides support to the Academic Department of Military Mental Health, and the salaries of N.J., N.G. and N.T.F. are covered totally or partly by this contribution. D.Mu. is employed by Combat Stress, a national UK charity that provides clinical mental health services to veterans. D.MacM. is the lead consultant for an NHS Veteran Mental Health Service. N.G. is the Royal College of Psychiatrists' Lead for Military and Veterans' Health, a trustee of Walking with the Wounded, and an independent director at the Forces in Mind Trust; however, he was not directed by these organisations in any way in relation to his contribution to this paper. N.J. is a full-time member of the armed forces seconded to King's College London. N.T.F. reports grants from the US Department of Defense and the UK MoD, is a trustee (unpaid) of The Warrior Programme and an independent advisor to the Independent Group Advising on the Release of Data (IGARD). S.W. is a trustee (unpaid) of Combat Stress and Honorary Civilian Consultant Advisor in Psychiatry for the British Army (unpaid). S.W. is affiliated to the National Institute for Health Research Health Protection Research Unit (NIHR HPRU) in Emergency Preparedness and Response at King's College London in partnership with Public Health England, in collaboration with the University of East Anglia and Newcastle University. The views expressed are those of the author(s) and not necessarily those of the National Health Service, the NIHR, the Department of Health, Public Health England or the UK MoD.","container-title":"The British Journal of Psychiatry: The Journal of Mental Science","DOI":"10.1192/bjp.2018.175","ISSN":"1472-1465","journalAbbreviation":"Br J Psychiatry","language":"eng","note":"PMID: 30295216","page":"1-8","source":"PubMed","title":"Mental health outcomes at the end of the British involvement in the Iraq and Afghanistan conflicts: a cohort study","title-short":"Mental health outcomes at the end of the British involvement in the Iraq and Afghanistan conflicts","author":[{"family":"Stevelink","given":"S"},{"family":"Jones","given":"Margaret"},{"family":"Hull","given":"Lisa"},{"family":"Pernet","given":"David"},{"family":"MacCrimmon","given":"Shirlee"},{"family":"Goodwin","given":"Laura"},{"family":"MacManus","given":"Deirdre"},{"family":"Murphy","given":"Dominic"},{"family":"Jones","given":"Norman"},{"family":"Greenberg","given":"Neil"},{"family":"Rona","given":"Roberto J."},{"family":"Fear","given":"Nicola T."},{"family":"Wessely","given":"Simon"}],"issued":{"date-parts":[["2018",10,8]]}}}],"schema":"https://github.com/citation-style-language/schema/raw/master/csl-citation.json"} </w:instrText>
      </w:r>
      <w:r w:rsidR="00FF178A" w:rsidRPr="00FF178A">
        <w:fldChar w:fldCharType="separate"/>
      </w:r>
      <w:r w:rsidR="0072226B">
        <w:rPr>
          <w:rFonts w:cs="Times New Roman"/>
        </w:rPr>
        <w:t>(Stevelink et al., 2018)</w:t>
      </w:r>
      <w:r w:rsidR="00FF178A" w:rsidRPr="00FF178A">
        <w:fldChar w:fldCharType="end"/>
      </w:r>
      <w:r w:rsidR="000D4E29" w:rsidRPr="00FF178A">
        <w:t xml:space="preserve">. </w:t>
      </w:r>
      <w:r w:rsidR="00472A74" w:rsidRPr="00FF178A">
        <w:t>Whether it is also higher compared to the general population remains uncertain, as</w:t>
      </w:r>
      <w:r w:rsidR="003535D5">
        <w:t xml:space="preserve"> is our understanding of the</w:t>
      </w:r>
      <w:r w:rsidR="00472A74" w:rsidRPr="00FF178A">
        <w:t xml:space="preserve"> manifestation of PTSD</w:t>
      </w:r>
      <w:r w:rsidR="00984399" w:rsidRPr="00FF178A">
        <w:t>;</w:t>
      </w:r>
      <w:r w:rsidR="00E10033" w:rsidRPr="00FF178A">
        <w:t xml:space="preserve"> </w:t>
      </w:r>
      <w:r w:rsidR="00472A74" w:rsidRPr="00FF178A">
        <w:t xml:space="preserve">veterans may </w:t>
      </w:r>
      <w:r w:rsidR="001305AE" w:rsidRPr="00FF178A">
        <w:t>experience more severe or differing symptoms</w:t>
      </w:r>
      <w:r w:rsidR="00472A74" w:rsidRPr="00FF178A">
        <w:t xml:space="preserve"> than non-veterans</w:t>
      </w:r>
      <w:r w:rsidR="00FF178A" w:rsidRPr="00FF178A">
        <w:fldChar w:fldCharType="begin"/>
      </w:r>
      <w:r w:rsidR="0072226B">
        <w:instrText xml:space="preserve"> ADDIN ZOTERO_ITEM CSL_CITATION {"citationID":"TpAKxfAS","properties":{"formattedCitation":"(Vasterling et al., 2010; Wilkins et al., 2011)","plainCitation":"(Vasterling et al., 2010; Wilkins et al., 2011)","noteIndex":0},"citationItems":[{"id":31,"uris":["http://zotero.org/users/3740225/items/AFHCVYPX"],"uri":["http://zotero.org/users/3740225/items/AFHCVYPX"],"itemData":{"id":31,"type":"article-journal","abstract":"The posttraumatic stress disorder checklist is a commonly used measure, with military (PCL-M), civilian (PCL-C), and specific trauma (PCL-S) versions. This synthesis of the psychometric properties of all three versions found the PCL to be a well-validated measure. The PCL shows good temporal stability, internal consistency, test–retest reliability, and convergent validity. The majority of structural validity studies support four factor models. Little is available on discriminant validity and sensitivity to change. Strengths, limitations, and future research directions are discussed. Understanding the PCL's psychometric properties, strengths (e.g., items map on to DSM-IV diagnostic criteria), and limitations (e.g., may overestimate PTSD prevalence) will help clinicians and researchers make educated decisions regarding the appropriate use of this measure in their particular setting. Depression and Anxiety, 2011. © 2011 Wiley-Liss, Inc.","container-title":"Depression and Anxiety","DOI":"10.1002/da.20837","ISSN":"1520-6394","issue":"7","language":"en","page":"596-606","source":"Wiley Online Library","title":"Synthesis of the psychometric properties of the PTSD checklist (PCL) military, civilian, and specific versions","volume":"28","author":[{"family":"Wilkins","given":"Kendall C."},{"family":"Lang","given":"Ariel J."},{"family":"Norman","given":"Sonya B."}],"issued":{"date-parts":[["2011",7,1]]}}},{"id":28,"uris":["http://zotero.org/users/3740225/items/XWMN3BPL"],"uri":["http://zotero.org/users/3740225/items/XWMN3BPL"],"itemData":{"id":28,"type":"article-journal","abstract":"This prospective study examined: (a) the effects of Iraq War deployment versus non-deployment on pre- to postdeployment change in PTSD symptoms and (b) among deployed soldiers, associations of deployment/postdeployment stress exposures and baseline PTSD symptoms with PTSD symptom change. Seven hundred seventy-four U.S. Army soldiers completed self-report measures of stress exposure and PTSD symptom severity before and after Iraq deployment and were compared with 309 soldiers who did not deploy. Deployed soldiers, compared with non-deployed soldiers, reported increased PTSD symptom severity from Time 1 to Time 2. After controlling for baseline symptoms, deployment-related stressors contributed to longitudinal increases in PTSD symptoms. Combat severity was more strongly associated with symptom increases among active duty soldiers with higher baseline PTSD symptoms.","container-title":"Journal of Traumatic Stress","DOI":"10.1002/jts.20487","ISSN":"1573-6598","issue":"1","language":"en","page":"41-51","source":"Wiley Online Library","title":"PTSD symptom increases in Iraq-deployed soldiers: Comparison with nondeployed soldiers and associations with baseline symptoms, deployment experiences, and postdeployment stress","title-short":"PTSD symptom increases in Iraq-deployed soldiers","volume":"23","author":[{"family":"Vasterling","given":"Jennifer J."},{"family":"Proctor","given":"Susan P."},{"family":"Friedman","given":"Matthew J."},{"family":"Hoge","given":"Charles W."},{"family":"Heeren","given":"Timothy"},{"family":"King","given":"Lynda A."},{"family":"King","given":"Daniel W."}],"issued":{"date-parts":[["2010",2,1]]}}}],"schema":"https://github.com/citation-style-language/schema/raw/master/csl-citation.json"} </w:instrText>
      </w:r>
      <w:r w:rsidR="00FF178A" w:rsidRPr="00FF178A">
        <w:fldChar w:fldCharType="separate"/>
      </w:r>
      <w:r w:rsidR="0072226B">
        <w:rPr>
          <w:rFonts w:cs="Times New Roman"/>
        </w:rPr>
        <w:t>(Vasterling et al., 2010; Wilkins et al., 2011)</w:t>
      </w:r>
      <w:r w:rsidR="00FF178A" w:rsidRPr="00FF178A">
        <w:fldChar w:fldCharType="end"/>
      </w:r>
      <w:r w:rsidR="008B2A0F" w:rsidRPr="00FF178A">
        <w:t xml:space="preserve">. </w:t>
      </w:r>
    </w:p>
    <w:p w14:paraId="71E08C01" w14:textId="4D1114F3" w:rsidR="003435CC" w:rsidRPr="000F6646" w:rsidRDefault="00A05B74" w:rsidP="00D24F85">
      <w:r w:rsidRPr="00FF178A">
        <w:t xml:space="preserve">This study </w:t>
      </w:r>
      <w:r w:rsidR="00AF23F3" w:rsidRPr="00FF178A">
        <w:t>compares</w:t>
      </w:r>
      <w:r w:rsidR="00AF23F3" w:rsidRPr="00363122">
        <w:t xml:space="preserve"> </w:t>
      </w:r>
      <w:r w:rsidR="00CA3320">
        <w:t>the</w:t>
      </w:r>
      <w:r w:rsidR="003D3F0D" w:rsidRPr="00363122">
        <w:t xml:space="preserve"> </w:t>
      </w:r>
      <w:r w:rsidRPr="00363122">
        <w:t>prevalence</w:t>
      </w:r>
      <w:r w:rsidR="00157FD4" w:rsidRPr="00363122">
        <w:t xml:space="preserve"> </w:t>
      </w:r>
      <w:r w:rsidRPr="00363122">
        <w:t xml:space="preserve">of </w:t>
      </w:r>
      <w:r w:rsidR="00161E82" w:rsidRPr="00363122">
        <w:t>CMD</w:t>
      </w:r>
      <w:r w:rsidR="00B50270" w:rsidRPr="00363122">
        <w:t>, PTSD</w:t>
      </w:r>
      <w:r w:rsidR="008D7DE2" w:rsidRPr="00363122">
        <w:t xml:space="preserve"> and alcohol misuse</w:t>
      </w:r>
      <w:r w:rsidR="00CA3320">
        <w:t xml:space="preserve">, and </w:t>
      </w:r>
      <w:r w:rsidR="00984399">
        <w:t xml:space="preserve">the </w:t>
      </w:r>
      <w:r w:rsidR="00CA3320">
        <w:t xml:space="preserve">associated </w:t>
      </w:r>
      <w:r w:rsidR="004D3A09">
        <w:t>domains</w:t>
      </w:r>
      <w:r w:rsidR="00984399">
        <w:t xml:space="preserve"> of PTSD and alcohol </w:t>
      </w:r>
      <w:r w:rsidR="00ED6F73">
        <w:t>m</w:t>
      </w:r>
      <w:r w:rsidR="00984399">
        <w:t>isuse</w:t>
      </w:r>
      <w:r w:rsidR="00CA3320">
        <w:t>,</w:t>
      </w:r>
      <w:r w:rsidRPr="00363122">
        <w:t xml:space="preserve"> </w:t>
      </w:r>
      <w:r w:rsidR="00132F5C" w:rsidRPr="00363122">
        <w:t>in</w:t>
      </w:r>
      <w:r w:rsidR="00917666" w:rsidRPr="00363122">
        <w:t xml:space="preserve"> current cohorts of</w:t>
      </w:r>
      <w:r w:rsidR="00132F5C" w:rsidRPr="00363122">
        <w:t xml:space="preserve"> veterans </w:t>
      </w:r>
      <w:r w:rsidR="006D448C" w:rsidRPr="00363122">
        <w:t xml:space="preserve">who served at the time of recent conflicts </w:t>
      </w:r>
      <w:r w:rsidR="00132F5C" w:rsidRPr="00363122">
        <w:t>and</w:t>
      </w:r>
      <w:r w:rsidR="00984399">
        <w:t xml:space="preserve"> in</w:t>
      </w:r>
      <w:r w:rsidR="00132F5C" w:rsidRPr="00363122">
        <w:t xml:space="preserve"> non-veterans </w:t>
      </w:r>
      <w:r w:rsidR="00F36D45" w:rsidRPr="00363122">
        <w:t>using large, nationally representative samples</w:t>
      </w:r>
      <w:r w:rsidR="00A751DA">
        <w:t>.</w:t>
      </w:r>
      <w:r w:rsidR="000F6646">
        <w:t xml:space="preserve"> </w:t>
      </w:r>
      <w:r w:rsidR="003C7C04" w:rsidRPr="000F6646">
        <w:t>S</w:t>
      </w:r>
      <w:r w:rsidRPr="000F6646">
        <w:t>ocio-demographic characteristics</w:t>
      </w:r>
      <w:r w:rsidR="002C4BA3" w:rsidRPr="000F6646">
        <w:t xml:space="preserve"> </w:t>
      </w:r>
      <w:r w:rsidR="003C7C04" w:rsidRPr="000F6646">
        <w:t>such as</w:t>
      </w:r>
      <w:r w:rsidRPr="000F6646">
        <w:t xml:space="preserve"> employment status and </w:t>
      </w:r>
      <w:r w:rsidR="001D6739" w:rsidRPr="001D6739">
        <w:t>socio</w:t>
      </w:r>
      <w:r w:rsidR="001D6739">
        <w:t>-</w:t>
      </w:r>
      <w:r w:rsidR="001D6739" w:rsidRPr="001D6739">
        <w:t xml:space="preserve">economic </w:t>
      </w:r>
      <w:r w:rsidR="00CE0318" w:rsidRPr="000F6646">
        <w:t>grade</w:t>
      </w:r>
      <w:r w:rsidR="001D6739">
        <w:t xml:space="preserve"> </w:t>
      </w:r>
      <w:r w:rsidR="003C7C04" w:rsidRPr="000F6646">
        <w:t>are commonly associated with mental health</w:t>
      </w:r>
      <w:r w:rsidR="00B372EA" w:rsidRPr="000F6646">
        <w:t xml:space="preserve"> </w:t>
      </w:r>
      <w:r w:rsidR="0039437D" w:rsidRPr="000F6646">
        <w:fldChar w:fldCharType="begin"/>
      </w:r>
      <w:r w:rsidR="0072226B">
        <w:instrText xml:space="preserve"> ADDIN ZOTERO_ITEM CSL_CITATION {"citationID":"mmU9kMgL","properties":{"formattedCitation":"(Ostler et al., 2001)","plainCitation":"(Ostler et al., 2001)","noteIndex":0},"citationItems":[{"id":623,"uris":["http://zotero.org/users/3740225/items/K5TR3KHQ"],"uri":["http://zotero.org/users/3740225/items/K5TR3KHQ"],"itemData":{"id":623,"type":"article-journal","abstract":"Background\nHealth inequalities exist for many disorders, but the contribution of deprivation to the prevalence and outcome of depressive symptoms in primary care populations has been infrequently studied.\n\n\nAims\nTo examine the influence of Jarman under-privileged area (UPA) scores on the prevalence and outcome of depressive symptoms in general practice patients.\n\n\nMethod\n18 414 patients attending 55 representative practices completed the Hospital Anxiety and Depression Scale and a questionnaire for employment status. Outcome of those screening positive was assessed at 6 weeks and 6 months.\n\n\nResults\nThe UPA score accounted for 48.3% of the variance between practices in prevalence of depressive symptoms. Attending a high UPA score practice predicted persistence of depressive symptoms to 6 months.\n\n\nConclusions\nThe socio-economic deprivation of a practice locality is a powerful predictor of the prevalence and persistence of depressive symptoms.","container-title":"The British Journal of Psychiatry","DOI":"10.1192/bjp.178.1.12","ISSN":"0007-1250, 1472-1465","issue":"1","language":"en","page":"12-17","source":"Cambridge Core","title":"Influence of socio-economic deprivation on the prevalence and outcome of depression in primary care: The Hampshire Depression Project","title-short":"Influence of socio-economic deprivation on the prevalence and outcome of depression in primary care","volume":"178","author":[{"family":"Ostler","given":"K."},{"family":"Thompson","given":"C."},{"family":"Kinmonth","given":"A.-L. K."},{"family":"Peveler","given":"R. C."},{"family":"Stevens","given":"L."},{"family":"Stevens","given":"A."}],"issued":{"date-parts":[["2001",1]]}}}],"schema":"https://github.com/citation-style-language/schema/raw/master/csl-citation.json"} </w:instrText>
      </w:r>
      <w:r w:rsidR="0039437D" w:rsidRPr="000F6646">
        <w:fldChar w:fldCharType="separate"/>
      </w:r>
      <w:r w:rsidR="0072226B">
        <w:rPr>
          <w:rFonts w:cs="Times New Roman"/>
        </w:rPr>
        <w:t>(Ostler et al., 2001)</w:t>
      </w:r>
      <w:r w:rsidR="0039437D" w:rsidRPr="000F6646">
        <w:fldChar w:fldCharType="end"/>
      </w:r>
      <w:r w:rsidR="003C7C04" w:rsidRPr="000F6646">
        <w:t>, these factors will be adjusted for in our analysis</w:t>
      </w:r>
      <w:r w:rsidR="00D9303E" w:rsidRPr="000F6646">
        <w:t xml:space="preserve"> and prevalence </w:t>
      </w:r>
      <w:r w:rsidR="00B11299" w:rsidRPr="000F6646">
        <w:t>estimates</w:t>
      </w:r>
      <w:r w:rsidR="00D9303E" w:rsidRPr="000F6646">
        <w:t xml:space="preserve"> will be made in working and non-working groups </w:t>
      </w:r>
      <w:r w:rsidR="00B11299" w:rsidRPr="000F6646">
        <w:t>as well</w:t>
      </w:r>
      <w:r w:rsidR="00D9303E" w:rsidRPr="000F6646">
        <w:t xml:space="preserve"> as overall. </w:t>
      </w:r>
      <w:r w:rsidR="0095279E" w:rsidRPr="000F6646">
        <w:t>Analyse</w:t>
      </w:r>
      <w:r w:rsidR="007D39CC" w:rsidRPr="000F6646">
        <w:t>s will a</w:t>
      </w:r>
      <w:r w:rsidR="00CE0318" w:rsidRPr="000F6646">
        <w:t xml:space="preserve">lso </w:t>
      </w:r>
      <w:r w:rsidR="005B3E3A" w:rsidRPr="000F6646">
        <w:t xml:space="preserve">examine </w:t>
      </w:r>
      <w:r w:rsidR="00A06EFB" w:rsidRPr="000F6646">
        <w:t xml:space="preserve">if </w:t>
      </w:r>
      <w:r w:rsidR="009E62F4" w:rsidRPr="000F6646">
        <w:t xml:space="preserve">there are </w:t>
      </w:r>
      <w:r w:rsidR="005B3E3A" w:rsidRPr="000F6646">
        <w:t>gender</w:t>
      </w:r>
      <w:r w:rsidR="009E62F4" w:rsidRPr="000F6646">
        <w:t xml:space="preserve"> differences in</w:t>
      </w:r>
      <w:r w:rsidR="005B3E3A" w:rsidRPr="000F6646">
        <w:t xml:space="preserve"> how </w:t>
      </w:r>
      <w:r w:rsidR="009E62F4" w:rsidRPr="000F6646">
        <w:t>veteran</w:t>
      </w:r>
      <w:r w:rsidR="005B3E3A" w:rsidRPr="000F6646">
        <w:t>s</w:t>
      </w:r>
      <w:r w:rsidR="009E62F4" w:rsidRPr="000F6646">
        <w:t xml:space="preserve"> compare to equivalent non-veterans.</w:t>
      </w:r>
    </w:p>
    <w:p w14:paraId="029EF0FA" w14:textId="4E6808B6" w:rsidR="00A05B74" w:rsidRDefault="00132F5C" w:rsidP="00D24F85">
      <w:r w:rsidRPr="001305AE">
        <w:t>This study</w:t>
      </w:r>
      <w:r>
        <w:t xml:space="preserve"> aims to:</w:t>
      </w:r>
    </w:p>
    <w:p w14:paraId="1459E9FD" w14:textId="5EF8F9BD" w:rsidR="00B65A68" w:rsidRDefault="006755B2" w:rsidP="0047595D">
      <w:pPr>
        <w:pStyle w:val="ListParagraph"/>
        <w:numPr>
          <w:ilvl w:val="0"/>
          <w:numId w:val="6"/>
        </w:numPr>
      </w:pPr>
      <w:r>
        <w:t xml:space="preserve">Establish how </w:t>
      </w:r>
      <w:r w:rsidR="0055152C">
        <w:t>the prevalence of mental health problems</w:t>
      </w:r>
      <w:r w:rsidR="00163B0A">
        <w:t xml:space="preserve"> </w:t>
      </w:r>
      <w:r w:rsidR="009E62F4">
        <w:t xml:space="preserve">and </w:t>
      </w:r>
      <w:r w:rsidR="004D3A09">
        <w:t>domains</w:t>
      </w:r>
      <w:r w:rsidR="0055408F">
        <w:t xml:space="preserve"> </w:t>
      </w:r>
      <w:r>
        <w:t>compare for veteran</w:t>
      </w:r>
      <w:r w:rsidR="00917666">
        <w:t>s</w:t>
      </w:r>
      <w:r>
        <w:t xml:space="preserve"> and non-veterans</w:t>
      </w:r>
      <w:r w:rsidR="00917666">
        <w:t>, by gender</w:t>
      </w:r>
      <w:r w:rsidR="005D2606">
        <w:t>, in</w:t>
      </w:r>
      <w:r w:rsidR="00092F06">
        <w:t>cluding</w:t>
      </w:r>
      <w:r>
        <w:t xml:space="preserve"> </w:t>
      </w:r>
      <w:r w:rsidR="00092F06">
        <w:t xml:space="preserve">individual comparisons for </w:t>
      </w:r>
      <w:r>
        <w:t>working and non-working groups.</w:t>
      </w:r>
    </w:p>
    <w:p w14:paraId="20F99766" w14:textId="683B6EFB" w:rsidR="00454306" w:rsidRDefault="004410B5" w:rsidP="00363F08">
      <w:pPr>
        <w:pStyle w:val="ListParagraph"/>
        <w:numPr>
          <w:ilvl w:val="0"/>
          <w:numId w:val="6"/>
        </w:numPr>
      </w:pPr>
      <w:r>
        <w:t xml:space="preserve">Examine the </w:t>
      </w:r>
      <w:r w:rsidR="00157FD4">
        <w:t>association</w:t>
      </w:r>
      <w:r w:rsidR="00157FD4" w:rsidRPr="000A062B">
        <w:t xml:space="preserve"> </w:t>
      </w:r>
      <w:r w:rsidR="00D24F85" w:rsidRPr="000A062B">
        <w:t>of socio</w:t>
      </w:r>
      <w:r w:rsidR="001D6739">
        <w:t>-</w:t>
      </w:r>
      <w:r w:rsidR="00D24F85" w:rsidRPr="000A062B">
        <w:t>economic</w:t>
      </w:r>
      <w:r w:rsidR="002A0552">
        <w:t xml:space="preserve"> grade, employment </w:t>
      </w:r>
      <w:r w:rsidR="00D24F85" w:rsidRPr="000A062B">
        <w:t xml:space="preserve">status, </w:t>
      </w:r>
      <w:r w:rsidR="002A0552">
        <w:t>education and</w:t>
      </w:r>
      <w:r w:rsidR="00D24F85" w:rsidRPr="000A062B">
        <w:t xml:space="preserve"> </w:t>
      </w:r>
      <w:r w:rsidR="002A0552">
        <w:t xml:space="preserve">marital status </w:t>
      </w:r>
      <w:r w:rsidR="00157FD4">
        <w:t>with</w:t>
      </w:r>
      <w:r w:rsidR="00D24F85" w:rsidRPr="000A062B">
        <w:t xml:space="preserve"> mental health</w:t>
      </w:r>
      <w:r>
        <w:t>, and how th</w:t>
      </w:r>
      <w:r w:rsidR="0055152C">
        <w:t xml:space="preserve">ese associations </w:t>
      </w:r>
      <w:r w:rsidR="00D24F85" w:rsidRPr="000A062B">
        <w:t>differ between veterans and non-veterans</w:t>
      </w:r>
      <w:r>
        <w:t>.</w:t>
      </w:r>
      <w:bookmarkStart w:id="11" w:name="_Hlk509328684"/>
    </w:p>
    <w:p w14:paraId="2AFD81F3" w14:textId="77777777" w:rsidR="00E16336" w:rsidRDefault="00E16336">
      <w:pPr>
        <w:spacing w:before="0" w:after="0"/>
        <w:rPr>
          <w:rFonts w:cs="Times New Roman"/>
          <w:b/>
          <w:bCs/>
          <w:color w:val="002060"/>
          <w:sz w:val="28"/>
        </w:rPr>
      </w:pPr>
      <w:r>
        <w:br w:type="page"/>
      </w:r>
    </w:p>
    <w:p w14:paraId="165C8122" w14:textId="4D1B4A48" w:rsidR="00721A20" w:rsidRDefault="00721A20" w:rsidP="009347B5">
      <w:pPr>
        <w:pStyle w:val="Heading1"/>
      </w:pPr>
      <w:r>
        <w:lastRenderedPageBreak/>
        <w:t>Methods</w:t>
      </w:r>
    </w:p>
    <w:p w14:paraId="3DC01CDA" w14:textId="2D8B958F" w:rsidR="00C94134" w:rsidRPr="0054237D" w:rsidRDefault="00C94134" w:rsidP="00936D6C">
      <w:pPr>
        <w:pStyle w:val="Heading2"/>
        <w:rPr>
          <w:rFonts w:cs="Times New Roman"/>
        </w:rPr>
      </w:pPr>
      <w:r w:rsidRPr="0054237D">
        <w:rPr>
          <w:rFonts w:cs="Times New Roman"/>
        </w:rPr>
        <w:t xml:space="preserve">Data </w:t>
      </w:r>
    </w:p>
    <w:p w14:paraId="4D8EAEDE" w14:textId="2CC9EFD4" w:rsidR="00E20125" w:rsidRPr="0054237D" w:rsidRDefault="00E20125" w:rsidP="00432BC1">
      <w:pPr>
        <w:pStyle w:val="Heading5"/>
        <w:rPr>
          <w:rFonts w:cs="Times New Roman"/>
        </w:rPr>
      </w:pPr>
      <w:r w:rsidRPr="0054237D">
        <w:rPr>
          <w:rFonts w:cs="Times New Roman"/>
        </w:rPr>
        <w:t>Veterans</w:t>
      </w:r>
    </w:p>
    <w:p w14:paraId="6F458197" w14:textId="5E04F093" w:rsidR="00B87711" w:rsidRDefault="00F559F1" w:rsidP="00A7698A">
      <w:pPr>
        <w:rPr>
          <w:rFonts w:cs="Times New Roman"/>
        </w:rPr>
      </w:pPr>
      <w:r w:rsidRPr="0054237D">
        <w:rPr>
          <w:rFonts w:cs="Times New Roman"/>
        </w:rPr>
        <w:t>Our</w:t>
      </w:r>
      <w:r w:rsidR="00E5059F" w:rsidRPr="0054237D">
        <w:rPr>
          <w:rFonts w:cs="Times New Roman"/>
        </w:rPr>
        <w:t xml:space="preserve"> veteran </w:t>
      </w:r>
      <w:r w:rsidR="00CE086F" w:rsidRPr="0054237D">
        <w:rPr>
          <w:rFonts w:cs="Times New Roman"/>
        </w:rPr>
        <w:t>sample</w:t>
      </w:r>
      <w:r w:rsidR="00E5059F" w:rsidRPr="0054237D">
        <w:rPr>
          <w:rFonts w:cs="Times New Roman"/>
        </w:rPr>
        <w:t xml:space="preserve"> was</w:t>
      </w:r>
      <w:r w:rsidRPr="0054237D">
        <w:rPr>
          <w:rFonts w:cs="Times New Roman"/>
        </w:rPr>
        <w:t xml:space="preserve"> taken from </w:t>
      </w:r>
      <w:r w:rsidR="00CB43A4" w:rsidRPr="0054237D">
        <w:rPr>
          <w:rFonts w:cs="Times New Roman"/>
        </w:rPr>
        <w:t xml:space="preserve">phase 3 of </w:t>
      </w:r>
      <w:r w:rsidRPr="0054237D">
        <w:rPr>
          <w:rFonts w:cs="Times New Roman"/>
        </w:rPr>
        <w:t>the King</w:t>
      </w:r>
      <w:r w:rsidRPr="0054237D">
        <w:rPr>
          <w:rStyle w:val="s1"/>
          <w:rFonts w:ascii="Times New Roman" w:hAnsi="Times New Roman" w:cs="Times New Roman"/>
          <w:sz w:val="24"/>
          <w:szCs w:val="24"/>
        </w:rPr>
        <w:t>’</w:t>
      </w:r>
      <w:r w:rsidRPr="0054237D">
        <w:rPr>
          <w:rFonts w:cs="Times New Roman"/>
        </w:rPr>
        <w:t xml:space="preserve">s Centre for Military Health Research (KCMHR) </w:t>
      </w:r>
      <w:r w:rsidR="003E5CCE" w:rsidRPr="0054237D">
        <w:rPr>
          <w:rFonts w:cs="Times New Roman"/>
        </w:rPr>
        <w:t xml:space="preserve">cohort study, </w:t>
      </w:r>
      <w:r w:rsidRPr="0054237D">
        <w:rPr>
          <w:rFonts w:cs="Times New Roman"/>
        </w:rPr>
        <w:t>a large</w:t>
      </w:r>
      <w:r w:rsidR="00A21BFC" w:rsidRPr="0054237D">
        <w:rPr>
          <w:rFonts w:cs="Times New Roman"/>
        </w:rPr>
        <w:t xml:space="preserve"> ongoing study of UK military personnel assessing </w:t>
      </w:r>
      <w:r w:rsidR="00B71699">
        <w:rPr>
          <w:rFonts w:cs="Times New Roman"/>
        </w:rPr>
        <w:t xml:space="preserve">the </w:t>
      </w:r>
      <w:r w:rsidR="00A21BFC" w:rsidRPr="0054237D">
        <w:rPr>
          <w:rFonts w:cs="Times New Roman"/>
        </w:rPr>
        <w:t xml:space="preserve">physical and mental </w:t>
      </w:r>
      <w:r w:rsidR="0043296F">
        <w:rPr>
          <w:rFonts w:cs="Times New Roman"/>
        </w:rPr>
        <w:t xml:space="preserve">health </w:t>
      </w:r>
      <w:r w:rsidR="00A21BFC" w:rsidRPr="0054237D">
        <w:rPr>
          <w:rFonts w:cs="Times New Roman"/>
        </w:rPr>
        <w:t>consequences</w:t>
      </w:r>
      <w:r w:rsidR="00EA458F">
        <w:rPr>
          <w:rFonts w:cs="Times New Roman"/>
        </w:rPr>
        <w:t xml:space="preserve"> (CMD, PTSD and alcohol misuse)</w:t>
      </w:r>
      <w:r w:rsidR="00A21BFC" w:rsidRPr="0054237D">
        <w:rPr>
          <w:rFonts w:cs="Times New Roman"/>
        </w:rPr>
        <w:t xml:space="preserve"> of military service and deployment</w:t>
      </w:r>
      <w:r w:rsidRPr="0054237D">
        <w:rPr>
          <w:rFonts w:cs="Times New Roman"/>
        </w:rPr>
        <w:t xml:space="preserve">. </w:t>
      </w:r>
      <w:r w:rsidR="00A21BFC" w:rsidRPr="0054237D">
        <w:rPr>
          <w:rFonts w:cs="Times New Roman"/>
        </w:rPr>
        <w:t>Previous waves of the cohort were</w:t>
      </w:r>
      <w:r w:rsidRPr="0054237D">
        <w:rPr>
          <w:rFonts w:cs="Times New Roman"/>
        </w:rPr>
        <w:t xml:space="preserve"> collected </w:t>
      </w:r>
      <w:r w:rsidR="008D7DE2" w:rsidRPr="0054237D">
        <w:rPr>
          <w:rFonts w:cs="Times New Roman"/>
        </w:rPr>
        <w:t>between</w:t>
      </w:r>
      <w:r w:rsidRPr="0054237D">
        <w:rPr>
          <w:rFonts w:cs="Times New Roman"/>
        </w:rPr>
        <w:t xml:space="preserve"> </w:t>
      </w:r>
      <w:r w:rsidR="00A21BFC" w:rsidRPr="0054237D">
        <w:rPr>
          <w:rFonts w:cs="Times New Roman"/>
        </w:rPr>
        <w:t xml:space="preserve">June 2004 and March </w:t>
      </w:r>
      <w:r w:rsidRPr="0054237D">
        <w:rPr>
          <w:rFonts w:cs="Times New Roman"/>
        </w:rPr>
        <w:t xml:space="preserve">2006 (phase 1) </w:t>
      </w:r>
      <w:r w:rsidRPr="0054237D">
        <w:rPr>
          <w:rFonts w:cs="Times New Roman"/>
        </w:rPr>
        <w:fldChar w:fldCharType="begin"/>
      </w:r>
      <w:r w:rsidR="0072226B">
        <w:rPr>
          <w:rFonts w:cs="Times New Roman"/>
        </w:rPr>
        <w:instrText xml:space="preserve"> ADDIN ZOTERO_ITEM CSL_CITATION {"citationID":"N2zNRnPX","properties":{"formattedCitation":"(Hotopf et al., 2006)","plainCitation":"(Hotopf et al., 2006)","noteIndex":0},"citationItems":[{"id":449,"uris":["http://zotero.org/users/3740225/items/WNHTQ7TP"],"uri":["http://zotero.org/users/3740225/items/WNHTQ7TP"],"itemData":{"id":449,"type":"article-journal","abstract":"BACKGROUND: Concerns have been raised about the mental and physical health of UK military personnel who deployed to the 2003 war in Iraq and subsequent tours of duty in the country.\nMETHODS: We compared health outcomes in a random sample of UK armed forces personnel who were deployed to the 2003 Iraq war with those in personnel who were not deployed. Participants completed a questionnaire covering the nature of the deployment and health outcomes, which included symptoms of post-traumatic stress disorder, common mental disorders, general wellbeing, alcohol consumption, physical symptoms, and fatigue.\nFINDINGS: The participation rate was 62.3% (n=4722) in the deployed sample, and 56.3% (n=5550) in the non-deployed sample. Differences in health outcomes between groups were slight. There was a modest increase in the number of individuals with multiple physical symptoms (odds ratio 1.33; 95% CI 1.15-1.54). No other differences between groups were noted. The effect of deployment was different for reservists compared with regulars. In regulars, only presence of multiple physical symptoms was weakly associated with deployment (1.32; 1.14-1.53), whereas for reservists deployment was associated with common mental disorders (2.47, 1.35-4.52) and fatigue (1.78; 1.09-2.91). There was no evidence that later deployments, which were associated with escalating insurgency and UK casualties, were associated with poorer mental health outcomes.\nINTERPRETATION: For regular personnel in the UK armed forces, deployment to the Iraq war has not, so far, been associated with significantly worse health outcomes, apart from a modest effect on multiple physical symptoms. There is evidence of a clinically and statistically significant effect on health in reservists.","container-title":"Lancet (London, England)","DOI":"10.1016/S0140-6736(06)68662-5","ISSN":"1474-547X","issue":"9524","journalAbbreviation":"Lancet","language":"eng","note":"PMID: 16731268","page":"1731-1741","source":"PubMed","title":"The health of UK military personnel who deployed to the 2003 Iraq war: a cohort study","title-short":"The health of UK military personnel who deployed to the 2003 Iraq war","volume":"367","author":[{"family":"Hotopf","given":"Matthew"},{"family":"Hull","given":"Lisa"},{"family":"Fear","given":"Nicola T."},{"family":"Browne","given":"Tess"},{"family":"Horn","given":"Oded"},{"family":"Iversen","given":"Amy"},{"family":"Jones","given":"Margaret"},{"family":"Murphy","given":"Dominic"},{"family":"Bland","given":"Duncan"},{"family":"Earnshaw","given":"Mark"},{"family":"Greenberg","given":"Neil"},{"family":"Hughes","given":"Jamie Hacker"},{"family":"Tate","given":"A. Rosemary"},{"family":"Dandeker","given":"Christopher"},{"family":"Rona","given":"Roberto"},{"family":"Wessely","given":"Simon"}],"issued":{"date-parts":[["2006",5,27]]}}}],"schema":"https://github.com/citation-style-language/schema/raw/master/csl-citation.json"} </w:instrText>
      </w:r>
      <w:r w:rsidRPr="0054237D">
        <w:rPr>
          <w:rFonts w:cs="Times New Roman"/>
        </w:rPr>
        <w:fldChar w:fldCharType="separate"/>
      </w:r>
      <w:r w:rsidR="0072226B">
        <w:rPr>
          <w:rFonts w:cs="Times New Roman"/>
        </w:rPr>
        <w:t>(Hotopf et al., 2006)</w:t>
      </w:r>
      <w:r w:rsidRPr="0054237D">
        <w:rPr>
          <w:rFonts w:cs="Times New Roman"/>
        </w:rPr>
        <w:fldChar w:fldCharType="end"/>
      </w:r>
      <w:r w:rsidRPr="0054237D">
        <w:rPr>
          <w:rFonts w:cs="Times New Roman"/>
        </w:rPr>
        <w:t xml:space="preserve">, </w:t>
      </w:r>
      <w:r w:rsidR="003E5CCE" w:rsidRPr="0054237D">
        <w:rPr>
          <w:rFonts w:cs="Times New Roman"/>
        </w:rPr>
        <w:t xml:space="preserve">and </w:t>
      </w:r>
      <w:r w:rsidR="00A21BFC" w:rsidRPr="0054237D">
        <w:rPr>
          <w:rFonts w:cs="Times New Roman"/>
        </w:rPr>
        <w:t xml:space="preserve">November </w:t>
      </w:r>
      <w:r w:rsidRPr="0054237D">
        <w:rPr>
          <w:rFonts w:cs="Times New Roman"/>
        </w:rPr>
        <w:t>2007</w:t>
      </w:r>
      <w:r w:rsidR="00A21BFC" w:rsidRPr="0054237D">
        <w:rPr>
          <w:rFonts w:cs="Times New Roman"/>
        </w:rPr>
        <w:t xml:space="preserve"> and September </w:t>
      </w:r>
      <w:r w:rsidRPr="0054237D">
        <w:rPr>
          <w:rFonts w:cs="Times New Roman"/>
        </w:rPr>
        <w:t xml:space="preserve">2009 (phase 2) </w:t>
      </w:r>
      <w:r w:rsidRPr="0054237D">
        <w:rPr>
          <w:rFonts w:cs="Times New Roman"/>
        </w:rPr>
        <w:fldChar w:fldCharType="begin"/>
      </w:r>
      <w:r w:rsidR="0072226B">
        <w:rPr>
          <w:rFonts w:cs="Times New Roman"/>
        </w:rPr>
        <w:instrText xml:space="preserve"> ADDIN ZOTERO_ITEM CSL_CITATION {"citationID":"1LYZvrzf","properties":{"formattedCitation":"(Fear et al., 2010)","plainCitation":"(Fear et al., 2010)","noteIndex":0},"citationItems":[{"id":132,"uris":["http://zotero.org/users/3740225/items/PZ9EG93B"],"uri":["http://zotero.org/users/3740225/items/PZ9EG93B"],"itemData":{"id":132,"type":"article-journal","abstract":"Summary\nConcerns have been raised about the psychological effect of continued combat exposure and of repeated deployments. We examined the consequences of deployment to Iraq and Afghanistan on the mental health of UK armed forces from 2003 to 2009, the effect of multiple deployments, and time since return from deployment. We reassessed the prevalence of probable mental disorders in participants of our previous study (2003–05). We also studied two new randomly chosen samples: those with recent deployment to Afghanistan, and those who had joined the UK armed forces since April, 2003, to ensure that the final sample continued to be representative of the UK armed forces. Between November, 2007, and September, 2009, participants completed a questionnaire about their deployment experiences and health outcomes. 9990 (56%) participants completed the study questionnaire (8278 regulars, 1712 reservists). The prevalence of probable post-traumatic stress disorder was 4·0% (95% CI 3·5–4·5; n=376), 19·7% (18·7–20·6; n=1908) for symptoms of common mental disorders, and 13·0% (12·2–13·8; n=1323) for alcohol misuse. Deployment to Iraq or Afghanistan was significantly associated with alcohol misuse for regulars (odds ratio 1·22, 95% CI 1·02–1·46) and with probable post-traumatic stress disorder for reservists (2·83, 1·23–6·51). Regular personnel in combat roles were more likely than were those in support roles to report probable post-traumatic stress disorder (1·87, 1·26–2·78). There was no association with number of deployments for any outcome. There was some evidence for a small increase in the reporting of probable post-traumatic stress disorder with time since return from deployment in regulars (1·13, 1·03–1·24). Symptoms of common mental disorders and alcohol misuse remain the most frequently reported mental disorders in UK armed forces personnel, whereas the prevalence of probable post-traumatic stress disorder was low. These findings show the importance of continued health surveillance of UK military personnel. UK Ministry of Defence.","container-title":"The Lancet","DOI":"10.1016/S0140-6736(10)60672-1","ISSN":"0140-6736","issue":"9728","journalAbbreviation":"The Lancet","page":"1783-1797","source":"ScienceDirect","title":"What are the consequences of deployment to Iraq and Afghanistan on the mental health of the UK armed forces? A cohort study","title-short":"What are the consequences of deployment to Iraq and Afghanistan on the mental health of the UK armed forces?","volume":"375","author":[{"family":"Fear","given":"Nicola T"},{"family":"Jones","given":"Margaret"},{"family":"Murphy","given":"Dominic"},{"family":"Hull","given":"Lisa"},{"family":"Iversen","given":"Amy C"},{"family":"Coker","given":"Bolaji"},{"family":"Machell","given":"Louise"},{"family":"Sundin","given":"Josefin"},{"family":"Woodhead","given":"Charlotte"},{"family":"Jones","given":"Norman"},{"family":"Greenberg","given":"Neil"},{"family":"Landau","given":"Sabine"},{"family":"Dandeker","given":"Christopher"},{"family":"Rona","given":"Roberto J"},{"family":"Hotopf","given":"Matthew"},{"family":"Wessely","given":"Simon"}],"issued":{"date-parts":[["2010",5,22]]}}}],"schema":"https://github.com/citation-style-language/schema/raw/master/csl-citation.json"} </w:instrText>
      </w:r>
      <w:r w:rsidRPr="0054237D">
        <w:rPr>
          <w:rFonts w:cs="Times New Roman"/>
        </w:rPr>
        <w:fldChar w:fldCharType="separate"/>
      </w:r>
      <w:r w:rsidR="0072226B">
        <w:rPr>
          <w:rFonts w:cs="Times New Roman"/>
        </w:rPr>
        <w:t>(Fear et al., 2010)</w:t>
      </w:r>
      <w:r w:rsidRPr="0054237D">
        <w:rPr>
          <w:rFonts w:cs="Times New Roman"/>
        </w:rPr>
        <w:fldChar w:fldCharType="end"/>
      </w:r>
      <w:r w:rsidR="00E77708" w:rsidRPr="0054237D">
        <w:rPr>
          <w:rFonts w:cs="Times New Roman"/>
        </w:rPr>
        <w:t xml:space="preserve">. This study uses the most recent </w:t>
      </w:r>
      <w:r w:rsidR="001D6739">
        <w:rPr>
          <w:rFonts w:cs="Times New Roman"/>
        </w:rPr>
        <w:t>phase</w:t>
      </w:r>
      <w:r w:rsidR="00E77708" w:rsidRPr="0054237D">
        <w:rPr>
          <w:rFonts w:cs="Times New Roman"/>
        </w:rPr>
        <w:t xml:space="preserve"> (phase 3) for which data was collected </w:t>
      </w:r>
      <w:r w:rsidR="00A21BFC" w:rsidRPr="0054237D">
        <w:rPr>
          <w:rFonts w:cs="Times New Roman"/>
        </w:rPr>
        <w:t xml:space="preserve">between </w:t>
      </w:r>
      <w:r w:rsidR="00645CEF" w:rsidRPr="0054237D">
        <w:rPr>
          <w:rFonts w:cs="Times New Roman"/>
        </w:rPr>
        <w:t>October</w:t>
      </w:r>
      <w:r w:rsidR="00A21BFC" w:rsidRPr="0054237D">
        <w:rPr>
          <w:rFonts w:cs="Times New Roman"/>
        </w:rPr>
        <w:t xml:space="preserve"> </w:t>
      </w:r>
      <w:r w:rsidRPr="0054237D">
        <w:rPr>
          <w:rFonts w:cs="Times New Roman"/>
        </w:rPr>
        <w:t>2014</w:t>
      </w:r>
      <w:r w:rsidR="00A21BFC" w:rsidRPr="0054237D">
        <w:rPr>
          <w:rFonts w:cs="Times New Roman"/>
        </w:rPr>
        <w:t xml:space="preserve"> and </w:t>
      </w:r>
      <w:r w:rsidR="00645CEF" w:rsidRPr="0054237D">
        <w:rPr>
          <w:rFonts w:cs="Times New Roman"/>
        </w:rPr>
        <w:t>December</w:t>
      </w:r>
      <w:r w:rsidR="00A21BFC" w:rsidRPr="0054237D">
        <w:rPr>
          <w:rFonts w:cs="Times New Roman"/>
        </w:rPr>
        <w:t xml:space="preserve"> </w:t>
      </w:r>
      <w:r w:rsidRPr="0054237D">
        <w:rPr>
          <w:rFonts w:cs="Times New Roman"/>
        </w:rPr>
        <w:t>201</w:t>
      </w:r>
      <w:r w:rsidR="00645CEF" w:rsidRPr="0054237D">
        <w:rPr>
          <w:rFonts w:cs="Times New Roman"/>
        </w:rPr>
        <w:t>6</w:t>
      </w:r>
      <w:r w:rsidRPr="0054237D">
        <w:rPr>
          <w:rFonts w:cs="Times New Roman"/>
        </w:rPr>
        <w:t xml:space="preserve"> </w:t>
      </w:r>
      <w:r w:rsidR="00E77708" w:rsidRPr="0054237D">
        <w:rPr>
          <w:rFonts w:cs="Times New Roman"/>
        </w:rPr>
        <w:t>with a</w:t>
      </w:r>
      <w:r w:rsidR="00BC7C95">
        <w:rPr>
          <w:rFonts w:cs="Times New Roman"/>
        </w:rPr>
        <w:t>n overall</w:t>
      </w:r>
      <w:r w:rsidR="00E77708" w:rsidRPr="0054237D">
        <w:rPr>
          <w:rFonts w:cs="Times New Roman"/>
        </w:rPr>
        <w:t xml:space="preserve"> response rate of </w:t>
      </w:r>
      <w:r w:rsidR="00FE4153">
        <w:rPr>
          <w:rFonts w:cs="Times New Roman"/>
        </w:rPr>
        <w:t>44</w:t>
      </w:r>
      <w:r w:rsidR="00E77708" w:rsidRPr="0054237D">
        <w:rPr>
          <w:rFonts w:cs="Times New Roman"/>
        </w:rPr>
        <w:t>%</w:t>
      </w:r>
      <w:r w:rsidR="00DF0250" w:rsidRPr="0054237D">
        <w:rPr>
          <w:rFonts w:cs="Times New Roman"/>
        </w:rPr>
        <w:t xml:space="preserve"> </w:t>
      </w:r>
      <w:r w:rsidR="00FA0847" w:rsidRPr="0054237D">
        <w:rPr>
          <w:rFonts w:cs="Times New Roman"/>
        </w:rPr>
        <w:fldChar w:fldCharType="begin"/>
      </w:r>
      <w:r w:rsidR="0072226B">
        <w:rPr>
          <w:rFonts w:cs="Times New Roman"/>
        </w:rPr>
        <w:instrText xml:space="preserve"> ADDIN ZOTERO_ITEM CSL_CITATION {"citationID":"rhgQ8aDP","properties":{"formattedCitation":"(Stevelink et al., 2018)","plainCitation":"(Stevelink et al., 2018)","noteIndex":0},"citationItems":[{"id":110,"uris":["http://zotero.org/users/3740225/items/UNFP4NDK"],"uri":["http://zotero.org/users/3740225/items/UNFP4NDK"],"itemData":{"id":110,"type":"article-journal","abstract":"BACKGROUND: Little is known about the prevalence of mental health outcomes in UK personnel at the end of the British involvement in the Iraq and Afghanistan conflicts.AimsWe examined the prevalence of mental disorders and alcohol misuse, whether this differed between serving and ex-serving regular personnel and by deployment status.\nMETHOD: This is the third phase of a military cohort study (2014-2016; n = 8093). The sample was based on participants from previous phases (2004-2006 and 2007-2009) and a new randomly selected sample of those who had joined the UK armed forces since 2009.\nRESULTS: The prevalence was 6.2% for probable post-traumatic stress disorder, 21.9% for common mental disorders and 10.0% for alcohol misuse. Deployment to Iraq or Afghanistan and a combat role during deployment were associated with significantly worse mental health outcomes and alcohol misuse in ex-serving regular personnel but not in currently serving regular personnel.\nCONCLUSIONS: The findings highlight an increasing prevalence of post-traumatic stress disorder and a lowering prevalence of alcohol misuse compared with our previous findings and stresses the importance of continued surveillance during service and beyond.\nDECLARATION OF INTEREST: All authors are based at King's College London which, for the purpose of this study and other military-related studies, receives funding from the UK Ministry of Defence (MoD). S.A.M.S., M.J., L.H., D.P., S.M. and R.J.R. salaries were totally or partially paid by the UK MoD. The UK MoD provides support to the Academic Department of Military Mental Health, and the salaries of N.J., N.G. and N.T.F. are covered totally or partly by this contribution. D.Mu. is employed by Combat Stress, a national UK charity that provides clinical mental health services to veterans. D.MacM. is the lead consultant for an NHS Veteran Mental Health Service. N.G. is the Royal College of Psychiatrists' Lead for Military and Veterans' Health, a trustee of Walking with the Wounded, and an independent director at the Forces in Mind Trust; however, he was not directed by these organisations in any way in relation to his contribution to this paper. N.J. is a full-time member of the armed forces seconded to King's College London. N.T.F. reports grants from the US Department of Defense and the UK MoD, is a trustee (unpaid) of The Warrior Programme and an independent advisor to the Independent Group Advising on the Release of Data (IGARD). S.W. is a trustee (unpaid) of Combat Stress and Honorary Civilian Consultant Advisor in Psychiatry for the British Army (unpaid). S.W. is affiliated to the National Institute for Health Research Health Protection Research Unit (NIHR HPRU) in Emergency Preparedness and Response at King's College London in partnership with Public Health England, in collaboration with the University of East Anglia and Newcastle University. The views expressed are those of the author(s) and not necessarily those of the National Health Service, the NIHR, the Department of Health, Public Health England or the UK MoD.","container-title":"The British Journal of Psychiatry: The Journal of Mental Science","DOI":"10.1192/bjp.2018.175","ISSN":"1472-1465","journalAbbreviation":"Br J Psychiatry","language":"eng","note":"PMID: 30295216","page":"1-8","source":"PubMed","title":"Mental health outcomes at the end of the British involvement in the Iraq and Afghanistan conflicts: a cohort study","title-short":"Mental health outcomes at the end of the British involvement in the Iraq and Afghanistan conflicts","author":[{"family":"Stevelink","given":"S"},{"family":"Jones","given":"Margaret"},{"family":"Hull","given":"Lisa"},{"family":"Pernet","given":"David"},{"family":"MacCrimmon","given":"Shirlee"},{"family":"Goodwin","given":"Laura"},{"family":"MacManus","given":"Deirdre"},{"family":"Murphy","given":"Dominic"},{"family":"Jones","given":"Norman"},{"family":"Greenberg","given":"Neil"},{"family":"Rona","given":"Roberto J."},{"family":"Fear","given":"Nicola T."},{"family":"Wessely","given":"Simon"}],"issued":{"date-parts":[["2018",10,8]]}}}],"schema":"https://github.com/citation-style-language/schema/raw/master/csl-citation.json"} </w:instrText>
      </w:r>
      <w:r w:rsidR="00FA0847" w:rsidRPr="0054237D">
        <w:rPr>
          <w:rFonts w:cs="Times New Roman"/>
        </w:rPr>
        <w:fldChar w:fldCharType="separate"/>
      </w:r>
      <w:r w:rsidR="0072226B">
        <w:rPr>
          <w:rFonts w:cs="Times New Roman"/>
        </w:rPr>
        <w:t>(Stevelink et al., 2018)</w:t>
      </w:r>
      <w:r w:rsidR="00FA0847" w:rsidRPr="0054237D">
        <w:rPr>
          <w:rFonts w:cs="Times New Roman"/>
        </w:rPr>
        <w:fldChar w:fldCharType="end"/>
      </w:r>
      <w:r w:rsidR="00752606" w:rsidRPr="0054237D">
        <w:rPr>
          <w:rFonts w:cs="Times New Roman"/>
        </w:rPr>
        <w:t>.</w:t>
      </w:r>
      <w:r w:rsidR="00A7698A" w:rsidRPr="0054237D">
        <w:rPr>
          <w:rFonts w:cs="Times New Roman"/>
        </w:rPr>
        <w:t xml:space="preserve"> </w:t>
      </w:r>
      <w:r w:rsidR="00EA458F">
        <w:rPr>
          <w:rFonts w:cs="Times New Roman"/>
        </w:rPr>
        <w:t xml:space="preserve"> </w:t>
      </w:r>
      <w:r w:rsidR="008419D1" w:rsidRPr="008419D1">
        <w:rPr>
          <w:rFonts w:cs="Times New Roman"/>
        </w:rPr>
        <w:t xml:space="preserve">Sample weights were calculated as the inverse probability of an individual being sampled from a specific subpopulation (TELIC, Era, HERRICK, phase two replenishment, phase three replenishment) and specific engagement type (regular or reserve). Response weights were generated to account for non-response and calculated as the inverse probability of responding once sampled, driven by factors shown empirically to predict response (gender, age, rank, service, engagement type, serving status, </w:t>
      </w:r>
      <w:r w:rsidR="004C0D54">
        <w:rPr>
          <w:rFonts w:cs="Times New Roman"/>
        </w:rPr>
        <w:t>subpopulation</w:t>
      </w:r>
      <w:r w:rsidR="004C0D54" w:rsidRPr="008419D1">
        <w:rPr>
          <w:rFonts w:cs="Times New Roman"/>
        </w:rPr>
        <w:t xml:space="preserve"> </w:t>
      </w:r>
      <w:r w:rsidR="008419D1" w:rsidRPr="008419D1">
        <w:rPr>
          <w:rFonts w:cs="Times New Roman"/>
        </w:rPr>
        <w:t xml:space="preserve">and the interaction between </w:t>
      </w:r>
      <w:r w:rsidR="004C0D54">
        <w:rPr>
          <w:rFonts w:cs="Times New Roman"/>
        </w:rPr>
        <w:t>subpopulation</w:t>
      </w:r>
      <w:r w:rsidR="004C0D54" w:rsidRPr="008419D1">
        <w:rPr>
          <w:rFonts w:cs="Times New Roman"/>
        </w:rPr>
        <w:t xml:space="preserve"> </w:t>
      </w:r>
      <w:r w:rsidR="008419D1" w:rsidRPr="008419D1">
        <w:rPr>
          <w:rFonts w:cs="Times New Roman"/>
        </w:rPr>
        <w:t>and engagement type). The sample weights and response weights were multiplied together to make a single weight. The weighted analyses provided valid results under the assumption that the data were missing at random and that the observed variables modelled to drive non-response were correctly identified</w:t>
      </w:r>
      <w:r w:rsidR="008419D1">
        <w:rPr>
          <w:rFonts w:cs="Times New Roman"/>
        </w:rPr>
        <w:t xml:space="preserve"> (see </w:t>
      </w:r>
      <w:r w:rsidR="008419D1">
        <w:rPr>
          <w:rFonts w:cs="Times New Roman"/>
        </w:rPr>
        <w:fldChar w:fldCharType="begin"/>
      </w:r>
      <w:r w:rsidR="0072226B">
        <w:rPr>
          <w:rFonts w:cs="Times New Roman"/>
        </w:rPr>
        <w:instrText xml:space="preserve"> ADDIN ZOTERO_ITEM CSL_CITATION {"citationID":"4GcY9hen","properties":{"formattedCitation":"(Stevelink et al., 2018)","plainCitation":"(Stevelink et al., 2018)","noteIndex":0},"citationItems":[{"id":110,"uris":["http://zotero.org/users/3740225/items/UNFP4NDK"],"uri":["http://zotero.org/users/3740225/items/UNFP4NDK"],"itemData":{"id":110,"type":"article-journal","abstract":"BACKGROUND: Little is known about the prevalence of mental health outcomes in UK personnel at the end of the British involvement in the Iraq and Afghanistan conflicts.AimsWe examined the prevalence of mental disorders and alcohol misuse, whether this differed between serving and ex-serving regular personnel and by deployment status.\nMETHOD: This is the third phase of a military cohort study (2014-2016; n = 8093). The sample was based on participants from previous phases (2004-2006 and 2007-2009) and a new randomly selected sample of those who had joined the UK armed forces since 2009.\nRESULTS: The prevalence was 6.2% for probable post-traumatic stress disorder, 21.9% for common mental disorders and 10.0% for alcohol misuse. Deployment to Iraq or Afghanistan and a combat role during deployment were associated with significantly worse mental health outcomes and alcohol misuse in ex-serving regular personnel but not in currently serving regular personnel.\nCONCLUSIONS: The findings highlight an increasing prevalence of post-traumatic stress disorder and a lowering prevalence of alcohol misuse compared with our previous findings and stresses the importance of continued surveillance during service and beyond.\nDECLARATION OF INTEREST: All authors are based at King's College London which, for the purpose of this study and other military-related studies, receives funding from the UK Ministry of Defence (MoD). S.A.M.S., M.J., L.H., D.P., S.M. and R.J.R. salaries were totally or partially paid by the UK MoD. The UK MoD provides support to the Academic Department of Military Mental Health, and the salaries of N.J., N.G. and N.T.F. are covered totally or partly by this contribution. D.Mu. is employed by Combat Stress, a national UK charity that provides clinical mental health services to veterans. D.MacM. is the lead consultant for an NHS Veteran Mental Health Service. N.G. is the Royal College of Psychiatrists' Lead for Military and Veterans' Health, a trustee of Walking with the Wounded, and an independent director at the Forces in Mind Trust; however, he was not directed by these organisations in any way in relation to his contribution to this paper. N.J. is a full-time member of the armed forces seconded to King's College London. N.T.F. reports grants from the US Department of Defense and the UK MoD, is a trustee (unpaid) of The Warrior Programme and an independent advisor to the Independent Group Advising on the Release of Data (IGARD). S.W. is a trustee (unpaid) of Combat Stress and Honorary Civilian Consultant Advisor in Psychiatry for the British Army (unpaid). S.W. is affiliated to the National Institute for Health Research Health Protection Research Unit (NIHR HPRU) in Emergency Preparedness and Response at King's College London in partnership with Public Health England, in collaboration with the University of East Anglia and Newcastle University. The views expressed are those of the author(s) and not necessarily those of the National Health Service, the NIHR, the Department of Health, Public Health England or the UK MoD.","container-title":"The British Journal of Psychiatry: The Journal of Mental Science","DOI":"10.1192/bjp.2018.175","ISSN":"1472-1465","journalAbbreviation":"Br J Psychiatry","language":"eng","note":"PMID: 30295216","page":"1-8","source":"PubMed","title":"Mental health outcomes at the end of the British involvement in the Iraq and Afghanistan conflicts: a cohort study","title-short":"Mental health outcomes at the end of the British involvement in the Iraq and Afghanistan conflicts","author":[{"family":"Stevelink","given":"S"},{"family":"Jones","given":"Margaret"},{"family":"Hull","given":"Lisa"},{"family":"Pernet","given":"David"},{"family":"MacCrimmon","given":"Shirlee"},{"family":"Goodwin","given":"Laura"},{"family":"MacManus","given":"Deirdre"},{"family":"Murphy","given":"Dominic"},{"family":"Jones","given":"Norman"},{"family":"Greenberg","given":"Neil"},{"family":"Rona","given":"Roberto J."},{"family":"Fear","given":"Nicola T."},{"family":"Wessely","given":"Simon"}],"issued":{"date-parts":[["2018",10,8]]}}}],"schema":"https://github.com/citation-style-language/schema/raw/master/csl-citation.json"} </w:instrText>
      </w:r>
      <w:r w:rsidR="008419D1">
        <w:rPr>
          <w:rFonts w:cs="Times New Roman"/>
        </w:rPr>
        <w:fldChar w:fldCharType="separate"/>
      </w:r>
      <w:r w:rsidR="0072226B">
        <w:rPr>
          <w:rFonts w:cs="Times New Roman"/>
        </w:rPr>
        <w:t>(Stevelink et al., 2018)</w:t>
      </w:r>
      <w:r w:rsidR="008419D1">
        <w:rPr>
          <w:rFonts w:cs="Times New Roman"/>
        </w:rPr>
        <w:fldChar w:fldCharType="end"/>
      </w:r>
      <w:r w:rsidR="008419D1">
        <w:rPr>
          <w:rFonts w:cs="Times New Roman"/>
        </w:rPr>
        <w:t>)</w:t>
      </w:r>
      <w:r w:rsidR="008419D1" w:rsidRPr="008419D1">
        <w:rPr>
          <w:rFonts w:cs="Times New Roman"/>
        </w:rPr>
        <w:t>.</w:t>
      </w:r>
    </w:p>
    <w:p w14:paraId="745B6E4F" w14:textId="2E2C472F" w:rsidR="00A111CC" w:rsidRPr="00B45F98" w:rsidRDefault="0051243A" w:rsidP="00C94134">
      <w:pPr>
        <w:rPr>
          <w:rFonts w:cs="Times New Roman"/>
          <w:highlight w:val="yellow"/>
        </w:rPr>
      </w:pPr>
      <w:r w:rsidRPr="00B45F98">
        <w:rPr>
          <w:rFonts w:cs="Times New Roman"/>
        </w:rPr>
        <w:t>This study define</w:t>
      </w:r>
      <w:r w:rsidRPr="00E018D2">
        <w:rPr>
          <w:rFonts w:cs="Times New Roman"/>
        </w:rPr>
        <w:t>s veterans</w:t>
      </w:r>
      <w:r w:rsidRPr="00B45F98">
        <w:rPr>
          <w:rFonts w:cs="Times New Roman"/>
        </w:rPr>
        <w:t xml:space="preserve"> as </w:t>
      </w:r>
      <w:r w:rsidR="00DF0250" w:rsidRPr="00B45F98">
        <w:rPr>
          <w:rFonts w:cs="Times New Roman"/>
        </w:rPr>
        <w:t>those who have served in the military as a regular and have since left</w:t>
      </w:r>
      <w:r w:rsidRPr="00B45F98">
        <w:rPr>
          <w:rFonts w:cs="Times New Roman"/>
        </w:rPr>
        <w:t xml:space="preserve">. Those still </w:t>
      </w:r>
      <w:r w:rsidR="00925BF7" w:rsidRPr="00B45F98">
        <w:rPr>
          <w:rFonts w:cs="Times New Roman"/>
        </w:rPr>
        <w:t xml:space="preserve">engaging </w:t>
      </w:r>
      <w:r w:rsidRPr="00B45F98">
        <w:rPr>
          <w:rFonts w:cs="Times New Roman"/>
        </w:rPr>
        <w:t>in active service, and those who</w:t>
      </w:r>
      <w:r w:rsidR="00C304F3" w:rsidRPr="00B45F98">
        <w:rPr>
          <w:rFonts w:cs="Times New Roman"/>
        </w:rPr>
        <w:t xml:space="preserve"> </w:t>
      </w:r>
      <w:r w:rsidR="00C304F3" w:rsidRPr="00B45F98">
        <w:rPr>
          <w:rFonts w:cs="Times New Roman"/>
          <w:i/>
        </w:rPr>
        <w:t>only</w:t>
      </w:r>
      <w:r w:rsidR="00C304F3" w:rsidRPr="00B45F98">
        <w:rPr>
          <w:rFonts w:cs="Times New Roman"/>
        </w:rPr>
        <w:t xml:space="preserve"> served as reservists were</w:t>
      </w:r>
      <w:r w:rsidRPr="00B45F98">
        <w:rPr>
          <w:rFonts w:cs="Times New Roman"/>
        </w:rPr>
        <w:t xml:space="preserve"> excluded from </w:t>
      </w:r>
      <w:r w:rsidR="00AD1DF4">
        <w:rPr>
          <w:rFonts w:cs="Times New Roman"/>
        </w:rPr>
        <w:t>these analyses</w:t>
      </w:r>
      <w:r w:rsidR="00CE086F" w:rsidRPr="00B45F98">
        <w:rPr>
          <w:rFonts w:cs="Times New Roman"/>
        </w:rPr>
        <w:t xml:space="preserve">. </w:t>
      </w:r>
    </w:p>
    <w:p w14:paraId="3FF27C72" w14:textId="2CCF9E56" w:rsidR="00607AC6" w:rsidRPr="00B45F98" w:rsidRDefault="00E20125" w:rsidP="0054237D">
      <w:pPr>
        <w:pStyle w:val="Heading5"/>
        <w:rPr>
          <w:rFonts w:cs="Times New Roman"/>
        </w:rPr>
      </w:pPr>
      <w:bookmarkStart w:id="12" w:name="_Hlk510517861"/>
      <w:r w:rsidRPr="00B45F98">
        <w:rPr>
          <w:rFonts w:cs="Times New Roman"/>
        </w:rPr>
        <w:t>Non-veterans (general population)</w:t>
      </w:r>
    </w:p>
    <w:p w14:paraId="746655F9" w14:textId="1CFBC01B" w:rsidR="00EA458F" w:rsidRDefault="00607AC6" w:rsidP="00EA458F">
      <w:pPr>
        <w:rPr>
          <w:rFonts w:cs="Times New Roman"/>
        </w:rPr>
      </w:pPr>
      <w:r w:rsidRPr="00C51E05">
        <w:t>Our non-veteran sample was taken from two surveys; the</w:t>
      </w:r>
      <w:r w:rsidR="00ED6F73">
        <w:t xml:space="preserve"> 2014-2016</w:t>
      </w:r>
      <w:r w:rsidRPr="00C51E05">
        <w:t xml:space="preserve"> UK Household Longitudinal Study (UKHLS) and the </w:t>
      </w:r>
      <w:r w:rsidR="00B66456">
        <w:t xml:space="preserve">2014 </w:t>
      </w:r>
      <w:r w:rsidRPr="00C51E05">
        <w:t xml:space="preserve">Adult Psychiatric Morbidity Survey (APMS). </w:t>
      </w:r>
      <w:r w:rsidR="00EA458F" w:rsidRPr="00C51E05">
        <w:rPr>
          <w:rFonts w:cs="Times New Roman"/>
        </w:rPr>
        <w:t xml:space="preserve">The use of two surveys was necessary as mental health assessments needed to be made using the same measures of PTSD, CMD and alcohol misuse </w:t>
      </w:r>
      <w:r w:rsidR="00C51E05" w:rsidRPr="00C51E05">
        <w:rPr>
          <w:rFonts w:cs="Times New Roman"/>
        </w:rPr>
        <w:t>as used by</w:t>
      </w:r>
      <w:r w:rsidR="00597D16" w:rsidRPr="00C51E05">
        <w:rPr>
          <w:rFonts w:cs="Times New Roman"/>
        </w:rPr>
        <w:t xml:space="preserve"> the KCMHR cohort study to ensure comparability -</w:t>
      </w:r>
      <w:r w:rsidR="00EA458F" w:rsidRPr="00C51E05">
        <w:rPr>
          <w:rFonts w:cs="Times New Roman"/>
        </w:rPr>
        <w:t xml:space="preserve"> UKHLS contains the same measure of CMD, while APMS contains the same measures of PTSD and alcohol misuse.</w:t>
      </w:r>
      <w:r w:rsidR="00597D16" w:rsidRPr="00C51E05">
        <w:rPr>
          <w:rFonts w:cs="Times New Roman"/>
        </w:rPr>
        <w:t xml:space="preserve"> No single general population survey</w:t>
      </w:r>
      <w:r w:rsidR="00086B43" w:rsidRPr="00C51E05">
        <w:rPr>
          <w:rFonts w:cs="Times New Roman"/>
        </w:rPr>
        <w:t xml:space="preserve"> with</w:t>
      </w:r>
      <w:r w:rsidR="00597D16" w:rsidRPr="00C51E05">
        <w:rPr>
          <w:rFonts w:cs="Times New Roman"/>
        </w:rPr>
        <w:t xml:space="preserve"> all thre</w:t>
      </w:r>
      <w:r w:rsidR="00C51E05" w:rsidRPr="00C51E05">
        <w:rPr>
          <w:rFonts w:cs="Times New Roman"/>
        </w:rPr>
        <w:t xml:space="preserve">e </w:t>
      </w:r>
      <w:r w:rsidR="00086B43" w:rsidRPr="00C51E05">
        <w:rPr>
          <w:rFonts w:cs="Times New Roman"/>
        </w:rPr>
        <w:t>measures was available</w:t>
      </w:r>
      <w:r w:rsidR="00597D16" w:rsidRPr="00C51E05">
        <w:rPr>
          <w:rFonts w:cs="Times New Roman"/>
        </w:rPr>
        <w:t>.</w:t>
      </w:r>
      <w:r w:rsidR="00597D16">
        <w:rPr>
          <w:rFonts w:cs="Times New Roman"/>
        </w:rPr>
        <w:t xml:space="preserve"> </w:t>
      </w:r>
    </w:p>
    <w:p w14:paraId="56D8F115" w14:textId="5272FB97" w:rsidR="004B0283" w:rsidRDefault="004B0283" w:rsidP="00051E65">
      <w:pPr>
        <w:spacing w:before="0" w:after="0"/>
      </w:pPr>
      <w:r>
        <w:t xml:space="preserve">The UKHLS </w:t>
      </w:r>
      <w:r w:rsidRPr="00624597">
        <w:t>is the la</w:t>
      </w:r>
      <w:r w:rsidR="00245481">
        <w:t>rgest panel survey in the world.</w:t>
      </w:r>
      <w:r w:rsidRPr="00624597">
        <w:t xml:space="preserve"> </w:t>
      </w:r>
      <w:r>
        <w:t>Launched in 2008 as a continuation of the British Household Panel Survey</w:t>
      </w:r>
      <w:r w:rsidR="00F5552B">
        <w:t xml:space="preserve"> </w:t>
      </w:r>
      <w:r w:rsidR="00F5552B">
        <w:fldChar w:fldCharType="begin"/>
      </w:r>
      <w:r w:rsidR="0072226B">
        <w:instrText xml:space="preserve"> ADDIN ZOTERO_ITEM CSL_CITATION {"citationID":"OsHjdvdp","properties":{"formattedCitation":"(Lynn, 2006)","plainCitation":"(Lynn, 2006)","noteIndex":0},"citationItems":[{"id":392,"uris":["http://zotero.org/users/3740225/items/549H52CP"],"uri":["http://zotero.org/users/3740225/items/549H52CP"],"itemData":{"id":392,"type":"article-journal","container-title":"Institute for Social Research","journalAbbreviation":"Institute for Social Research","title":"Quality Profile: BHPS Version 2.0: Waves 1 to 13 1991-2003. University of Essex","author":[{"family":"Lynn","given":"P"}],"issued":{"date-parts":[["2006"]]}}}],"schema":"https://github.com/citation-style-language/schema/raw/master/csl-citation.json"} </w:instrText>
      </w:r>
      <w:r w:rsidR="00F5552B">
        <w:fldChar w:fldCharType="separate"/>
      </w:r>
      <w:r w:rsidR="0072226B">
        <w:rPr>
          <w:rFonts w:cs="Times New Roman"/>
        </w:rPr>
        <w:t>(Lynn, 2006)</w:t>
      </w:r>
      <w:r w:rsidR="00F5552B">
        <w:fldChar w:fldCharType="end"/>
      </w:r>
      <w:r>
        <w:t xml:space="preserve">, the UKHLS follows the original sample and also includes a newly-selected General Population Sample (GPS) </w:t>
      </w:r>
      <w:r w:rsidR="00C304F3">
        <w:t>of</w:t>
      </w:r>
      <w:r>
        <w:t xml:space="preserve"> 25,500 responding households across the UK.</w:t>
      </w:r>
      <w:r w:rsidRPr="001E38D5">
        <w:t xml:space="preserve"> </w:t>
      </w:r>
      <w:r>
        <w:t>The GPS is based upon a proportionately stratified, equal probability (clustered) sample of residential addresses drawn to a uniform design throughout England, Scotland and Wales</w:t>
      </w:r>
      <w:r w:rsidR="00F5552B">
        <w:t xml:space="preserve"> </w:t>
      </w:r>
      <w:r w:rsidR="00F5552B">
        <w:fldChar w:fldCharType="begin"/>
      </w:r>
      <w:r w:rsidR="0072226B">
        <w:instrText xml:space="preserve"> ADDIN ZOTERO_ITEM CSL_CITATION {"citationID":"ZRG4Lert","properties":{"formattedCitation":"(Lynn, 2006)","plainCitation":"(Lynn, 2006)","noteIndex":0},"citationItems":[{"id":392,"uris":["http://zotero.org/users/3740225/items/549H52CP"],"uri":["http://zotero.org/users/3740225/items/549H52CP"],"itemData":{"id":392,"type":"article-journal","container-title":"Institute for Social Research","journalAbbreviation":"Institute for Social Research","title":"Quality Profile: BHPS Version 2.0: Waves 1 to 13 1991-2003. University of Essex","author":[{"family":"Lynn","given":"P"}],"issued":{"date-parts":[["2006"]]}}}],"schema":"https://github.com/citation-style-language/schema/raw/master/csl-citation.json"} </w:instrText>
      </w:r>
      <w:r w:rsidR="00F5552B">
        <w:fldChar w:fldCharType="separate"/>
      </w:r>
      <w:r w:rsidR="0072226B">
        <w:rPr>
          <w:rFonts w:cs="Times New Roman"/>
        </w:rPr>
        <w:t>(Lynn, 2006)</w:t>
      </w:r>
      <w:r w:rsidR="00F5552B">
        <w:fldChar w:fldCharType="end"/>
      </w:r>
      <w:r>
        <w:t>. Wave 6 of UKHLS</w:t>
      </w:r>
      <w:r w:rsidR="00C304F3">
        <w:t xml:space="preserve"> </w:t>
      </w:r>
      <w:r w:rsidR="00C304F3" w:rsidRPr="00146284">
        <w:t>(2014-2016)</w:t>
      </w:r>
      <w:r>
        <w:t xml:space="preserve"> achieved an individual adult response rate of 6</w:t>
      </w:r>
      <w:r w:rsidR="00B66456">
        <w:t>5</w:t>
      </w:r>
      <w:r>
        <w:t xml:space="preserve">%. </w:t>
      </w:r>
    </w:p>
    <w:p w14:paraId="5BA6894D" w14:textId="4472EEE9" w:rsidR="004B0283" w:rsidRDefault="004B0283" w:rsidP="00051E65">
      <w:pPr>
        <w:spacing w:before="0" w:after="0"/>
      </w:pPr>
    </w:p>
    <w:p w14:paraId="2E712C64" w14:textId="09F1AD25" w:rsidR="00E2786D" w:rsidRDefault="004B0283" w:rsidP="00051E65">
      <w:pPr>
        <w:spacing w:before="0" w:after="0"/>
      </w:pPr>
      <w:r w:rsidRPr="009C4343">
        <w:rPr>
          <w:rFonts w:eastAsia="Times New Roman" w:cs="Times New Roman"/>
          <w:lang w:eastAsia="en-GB"/>
        </w:rPr>
        <w:t>The APMS provides data on the prevalence of both treated and untreated psychiatric disorder</w:t>
      </w:r>
      <w:r>
        <w:rPr>
          <w:rFonts w:eastAsia="Times New Roman" w:cs="Times New Roman"/>
          <w:lang w:eastAsia="en-GB"/>
        </w:rPr>
        <w:t>s</w:t>
      </w:r>
      <w:r w:rsidRPr="009C4343">
        <w:rPr>
          <w:rFonts w:eastAsia="Times New Roman" w:cs="Times New Roman"/>
          <w:lang w:eastAsia="en-GB"/>
        </w:rPr>
        <w:t xml:space="preserve"> in the English adult population (aged 16 </w:t>
      </w:r>
      <w:r w:rsidR="00B66456">
        <w:rPr>
          <w:rFonts w:eastAsia="Times New Roman" w:cs="Times New Roman"/>
          <w:lang w:eastAsia="en-GB"/>
        </w:rPr>
        <w:t xml:space="preserve">yrs </w:t>
      </w:r>
      <w:r w:rsidRPr="009C4343">
        <w:rPr>
          <w:rFonts w:eastAsia="Times New Roman" w:cs="Times New Roman"/>
          <w:lang w:eastAsia="en-GB"/>
        </w:rPr>
        <w:t xml:space="preserve">and over). </w:t>
      </w:r>
      <w:r>
        <w:t xml:space="preserve">The sample for APMS 2014 was designed to be representative of the population living in private households in England, adopting a multi-stage stratified probability sampling design </w:t>
      </w:r>
      <w:r>
        <w:fldChar w:fldCharType="begin"/>
      </w:r>
      <w:r w:rsidR="0072226B">
        <w:instrText xml:space="preserve"> ADDIN ZOTERO_ITEM CSL_CITATION {"citationID":"sYQzRxnJ","properties":{"formattedCitation":"(McManus et al., 2016)","plainCitation":"(McManus et al., 2016)","noteIndex":0},"citationItems":[{"id":425,"uris":["http://zotero.org/users/3740225/items/M36M5AQN"],"uri":["http://zotero.org/users/3740225/items/M36M5AQN"],"itemData":{"id":425,"type":"book","ISBN":"1-78386-825-2","publisher":"NHS Digital","title":"Mental Health and Wellbeing in England: Adult Psychiatric Morbidity Survey 2014: a Survey Carried Out for NHS Digital by NatCen Social Research and the Department of Health Sciences, University of Leicester","author":[{"family":"McManus","given":"Sally"},{"family":"Bebbington","given":"Paul"},{"family":"Jenkins","given":"Rachel"},{"family":"Brugha","given":"Terry"}],"issued":{"date-parts":[["2016"]]}}}],"schema":"https://github.com/citation-style-language/schema/raw/master/csl-citation.json"} </w:instrText>
      </w:r>
      <w:r>
        <w:fldChar w:fldCharType="separate"/>
      </w:r>
      <w:r w:rsidR="0072226B">
        <w:rPr>
          <w:rFonts w:cs="Times New Roman"/>
        </w:rPr>
        <w:t>(McManus et al., 2016)</w:t>
      </w:r>
      <w:r>
        <w:fldChar w:fldCharType="end"/>
      </w:r>
      <w:r>
        <w:t xml:space="preserve"> and a</w:t>
      </w:r>
      <w:r w:rsidR="00CD53D4">
        <w:t xml:space="preserve">chieved a response rate of 57%. </w:t>
      </w:r>
      <w:r w:rsidR="00827906" w:rsidRPr="00A201B2">
        <w:t xml:space="preserve">Though both datasets </w:t>
      </w:r>
      <w:r w:rsidR="00B115F8" w:rsidRPr="00A201B2">
        <w:t>included optional weights neither were used in this analysis.</w:t>
      </w:r>
      <w:r w:rsidR="00B115F8">
        <w:t xml:space="preserve"> </w:t>
      </w:r>
    </w:p>
    <w:p w14:paraId="79885806" w14:textId="37EC4D5B" w:rsidR="007A5537" w:rsidRDefault="0050287B" w:rsidP="00051E65">
      <w:pPr>
        <w:pStyle w:val="Heading2"/>
      </w:pPr>
      <w:r>
        <w:t>M</w:t>
      </w:r>
      <w:r w:rsidR="007A5537">
        <w:t>easures</w:t>
      </w:r>
    </w:p>
    <w:p w14:paraId="18687E21" w14:textId="08C3EC71" w:rsidR="00647353" w:rsidRPr="00647353" w:rsidRDefault="00647353" w:rsidP="00051E65">
      <w:pPr>
        <w:pStyle w:val="Heading5"/>
      </w:pPr>
      <w:r>
        <w:t>Mental health</w:t>
      </w:r>
      <w:r w:rsidR="00CE086F">
        <w:t xml:space="preserve"> and alcohol misuse</w:t>
      </w:r>
    </w:p>
    <w:bookmarkEnd w:id="12"/>
    <w:p w14:paraId="0734B907" w14:textId="5D7C47B3" w:rsidR="00EF032F" w:rsidRPr="00051E65" w:rsidRDefault="007153A1" w:rsidP="007153A1">
      <w:pPr>
        <w:rPr>
          <w:rFonts w:cs="Times New Roman"/>
          <w:szCs w:val="22"/>
        </w:rPr>
      </w:pPr>
      <w:r w:rsidRPr="005757E9">
        <w:rPr>
          <w:rFonts w:cs="Times New Roman"/>
        </w:rPr>
        <w:t>Mental health and alcohol misuse w</w:t>
      </w:r>
      <w:r w:rsidR="008D3B36">
        <w:rPr>
          <w:rFonts w:cs="Times New Roman"/>
        </w:rPr>
        <w:t>ere</w:t>
      </w:r>
      <w:r w:rsidRPr="005757E9">
        <w:rPr>
          <w:rFonts w:cs="Times New Roman"/>
        </w:rPr>
        <w:t xml:space="preserve"> evaluated using the 12-item GHQ-12 </w:t>
      </w:r>
      <w:r w:rsidRPr="005757E9">
        <w:rPr>
          <w:rFonts w:cs="Times New Roman"/>
        </w:rPr>
        <w:fldChar w:fldCharType="begin"/>
      </w:r>
      <w:r w:rsidR="0072226B">
        <w:rPr>
          <w:rFonts w:cs="Times New Roman"/>
        </w:rPr>
        <w:instrText xml:space="preserve"> ADDIN ZOTERO_ITEM CSL_CITATION {"citationID":"EChFzwj4","properties":{"formattedCitation":"(Goldberg et al., 1997)","plainCitation":"(Goldberg et al., 1997)","noteIndex":0},"citationItems":[{"id":129,"uris":["http://zotero.org/users/3740225/items/P6J8WQIE"],"uri":["http://zotero.org/users/3740225/items/P6J8WQIE"],"itemData":{"id":129,"type":"article-journal","abstract":"Background. In recent years the 12-item General Health Questionnaire (GHQ-12) has been\nextensively used as a short screening instrument, producing results that are comparable to longer\nversions of the GHQ.Methods. The validity of the GHQ-12 was compared with the GHQ-28 in a World Health\nOrganization study of psychological disorders in general health care. Results are presented for\n5438 patients interviewed in 15 centres using the primary care version of the Composite\nInternational Diagnostic Instrument, or CIDI-PC.Results. Results were uniformly good, with the average area under the ROC curve 88, range\nfrom 83 to 95. Minor variations in the criteria used for defining a case made little difference to\n the validity of the GHQ, and complex scoring methods offered no advantages over simpler\nones. The GHQ was translated into 10 other languages for the purposes of this study, and\nvalidity coefficients were almost as high as in the original language. There was no tendency for\nthe GHQ to work less efficiently in developing countries. Finally gender, age and educational\nlevel are shown to have no significant effect on the validity of the GHQ.Conclusions. If investigators wish to use a screening instrument as a case detector, the shorter\nGHQ is remarkably robust and works as well as the longer instrument. The latter should only\nbe preferred if there is an interest in the scaled scores provided in addition to the total score.","container-title":"Psychological Medicine","ISSN":"1469-8978, 0033-2917","issue":"1","page":"191-197","source":"Cambridge Core","title":"The validity of two versions of the GHQ in the WHO study of mental illness in general health care","volume":"27","author":[{"family":"Goldberg","given":"D. P."},{"family":"Gater","given":"R."},{"family":"Sartorius","given":"N."},{"family":"Ustun","given":"T. B."},{"family":"Piccinelli","given":"M."},{"family":"Gureje","given":"O."},{"family":"Rutter","given":"C."}],"issued":{"date-parts":[["1997",1]]}}}],"schema":"https://github.com/citation-style-language/schema/raw/master/csl-citation.json"} </w:instrText>
      </w:r>
      <w:r w:rsidRPr="005757E9">
        <w:rPr>
          <w:rFonts w:cs="Times New Roman"/>
        </w:rPr>
        <w:fldChar w:fldCharType="separate"/>
      </w:r>
      <w:r w:rsidR="0072226B">
        <w:rPr>
          <w:rFonts w:cs="Times New Roman"/>
        </w:rPr>
        <w:t>(Goldberg et al., 1997)</w:t>
      </w:r>
      <w:r w:rsidRPr="005757E9">
        <w:rPr>
          <w:rFonts w:cs="Times New Roman"/>
        </w:rPr>
        <w:fldChar w:fldCharType="end"/>
      </w:r>
      <w:r w:rsidRPr="005757E9">
        <w:rPr>
          <w:rFonts w:cs="Times New Roman"/>
        </w:rPr>
        <w:t xml:space="preserve"> to assess CMD, the 17-item National Centre for PTSD Checklist</w:t>
      </w:r>
      <w:r w:rsidR="00BC7C95">
        <w:rPr>
          <w:rFonts w:cs="Times New Roman"/>
        </w:rPr>
        <w:t xml:space="preserve"> – </w:t>
      </w:r>
      <w:r w:rsidR="003C25A2">
        <w:rPr>
          <w:rFonts w:cs="Times New Roman"/>
        </w:rPr>
        <w:t>Non-veteran</w:t>
      </w:r>
      <w:r w:rsidR="00BC7C95">
        <w:rPr>
          <w:rFonts w:cs="Times New Roman"/>
        </w:rPr>
        <w:t xml:space="preserve"> version</w:t>
      </w:r>
      <w:r w:rsidRPr="005757E9">
        <w:rPr>
          <w:rFonts w:cs="Times New Roman"/>
        </w:rPr>
        <w:t xml:space="preserve"> (PCL-C) </w:t>
      </w:r>
      <w:r w:rsidRPr="005757E9">
        <w:rPr>
          <w:rFonts w:cs="Times New Roman"/>
        </w:rPr>
        <w:lastRenderedPageBreak/>
        <w:fldChar w:fldCharType="begin"/>
      </w:r>
      <w:r w:rsidR="0072226B">
        <w:rPr>
          <w:rFonts w:cs="Times New Roman"/>
        </w:rPr>
        <w:instrText xml:space="preserve"> ADDIN ZOTERO_ITEM CSL_CITATION {"citationID":"ZC27PcQB","properties":{"formattedCitation":"(Weathers et al., 1994)","plainCitation":"(Weathers et al., 1994)","noteIndex":0},"citationItems":[{"id":431,"uris":["http://zotero.org/users/3740225/items/S7KCI9KD"],"uri":["http://zotero.org/users/3740225/items/S7KCI9KD"],"itemData":{"id":431,"type":"article-journal","container-title":"Boston, MA: National Center for PTSD","journalAbbreviation":"Boston, MA: National Center for PTSD","title":"The PTSD checklist-civilian version (PCL-C)","author":[{"family":"Weathers","given":"Frank W"},{"family":"Litz","given":"Brett T"},{"family":"Herman","given":"D"},{"family":"Huska","given":"J"},{"family":"Keane","given":"T"}],"issued":{"date-parts":[["1994"]]}}}],"schema":"https://github.com/citation-style-language/schema/raw/master/csl-citation.json"} </w:instrText>
      </w:r>
      <w:r w:rsidRPr="005757E9">
        <w:rPr>
          <w:rFonts w:cs="Times New Roman"/>
        </w:rPr>
        <w:fldChar w:fldCharType="separate"/>
      </w:r>
      <w:r w:rsidR="0072226B">
        <w:rPr>
          <w:rFonts w:cs="Times New Roman"/>
        </w:rPr>
        <w:t>(Weathers et al., 1994)</w:t>
      </w:r>
      <w:r w:rsidRPr="005757E9">
        <w:rPr>
          <w:rFonts w:cs="Times New Roman"/>
        </w:rPr>
        <w:fldChar w:fldCharType="end"/>
      </w:r>
      <w:r w:rsidRPr="005757E9">
        <w:rPr>
          <w:rFonts w:cs="Times New Roman"/>
        </w:rPr>
        <w:t xml:space="preserve"> to assess PTSD, and </w:t>
      </w:r>
      <w:r w:rsidRPr="005757E9">
        <w:rPr>
          <w:rFonts w:cs="Times New Roman"/>
          <w:szCs w:val="22"/>
        </w:rPr>
        <w:t xml:space="preserve">the 10-item World Health Organization’s Alcohol Use Disorders Identification Test (AUDIT) to identify probable alcohol misuse </w:t>
      </w:r>
      <w:r w:rsidRPr="005757E9">
        <w:rPr>
          <w:rFonts w:cs="Times New Roman"/>
          <w:szCs w:val="22"/>
        </w:rPr>
        <w:fldChar w:fldCharType="begin"/>
      </w:r>
      <w:r w:rsidR="0072226B">
        <w:rPr>
          <w:rFonts w:cs="Times New Roman"/>
          <w:szCs w:val="22"/>
        </w:rPr>
        <w:instrText xml:space="preserve"> ADDIN ZOTERO_ITEM CSL_CITATION {"citationID":"VwoiVAM3","properties":{"formattedCitation":"(Babor et al., 2001; Fear et al., 2007)","plainCitation":"(Babor et al., 2001; Fear et al., 2007)","noteIndex":0},"citationItems":[{"id":430,"uris":["http://zotero.org/users/3740225/items/SUFP2QAD"],"uri":["http://zotero.org/users/3740225/items/SUFP2QAD"],"itemData":{"id":430,"type":"article-journal","title":"AUDIT: The alcohol use disorders identification test: Guidelines for use in primary health care","author":[{"family":"Babor","given":"Thomas F"},{"family":"Higgins-Biddle","given":"John C"},{"family":"Saunders","given":"John B"},{"family":"Monteiro","given":"Maristela G"},{"literal":"World Health Organization"}],"issued":{"date-parts":[["2001"]]}}},{"id":130,"uris":["http://zotero.org/users/3740225/items/AXKJRPXN"],"uri":["http://zotero.org/users/3740225/items/AXKJRPXN"],"itemData":{"id":130,"type":"article-journal","abstract":"Aims  To examine patterns of drinking in the UK Armed Forces, how they vary according to gender and other demographics, and to make comparisons with the general population. Design  Large cross-sectional postal questionnaire study (response rate 60%). Setting  United Kingdom. Participants  A random representative sample of the regular UK Armed Forces who were in service in March 2003 (n = 8686; 7937 men, 749 women). Comparisons were made with the general population of Great Britain. Measurements  Alcohol consumption was assessed using the Alcohol Use Disorders Identification Test (AUDIT). Findings  Sixty-seven per cent of men and 49% of women in the UK Armed Forces had an AUDIT score of 8+ (defined as hazardous drinking), compared to 38% of men and 16% of women in the general population. In both sexes, for all ages, the military have a higher prevalence of hazardous drinking. Binge drinking was associated with being younger, being in the Army, being single, being a smoker and being white. Among military men, heavy drinking (AUDIT score 16+) was associated with holding a lower rank, being younger, being single, being in the Naval Service or Army, being deployed to Iraq, not having children, being a smoker, having a combat role and having a parent with a drink or drug problem. Conclusions  Excessive alcohol consumption is more common in the UK Armed Forces than in the general population. There are certain socio-demographic characteristics associated with heavy drinking within the military; for example, young age, being single and being a smoker, which may allow the targeting of preventive interventions.","container-title":"Addiction","DOI":"10.1111/j.1360-0443.2007.01978.x","ISSN":"1360-0443","issue":"11","language":"en","page":"1749-1759","source":"Wiley Online Library","title":"Patterns of drinking in the UK Armed Forces","volume":"102","author":[{"family":"Fear","given":"Nicola T."},{"family":"Iversen","given":"Amy"},{"family":"Meltzer","given":"Howard"},{"family":"Workman","given":"Lorna"},{"family":"Hull","given":"Lisa"},{"family":"Greenberg","given":"Neil"},{"family":"Barker","given":"Christopher"},{"family":"Browne","given":"Tess"},{"family":"Earnshaw","given":"Mark"},{"family":"Horn","given":"Oded"},{"family":"Jones","given":"Margaret"},{"family":"Murphy","given":"Dominic"},{"family":"Rona","given":"Roberto J."},{"family":"Hotopf","given":"Matthew"},{"family":"Wessely","given":"Simon"}],"issued":{"date-parts":[["2007",11,1]]}}}],"schema":"https://github.com/citation-style-language/schema/raw/master/csl-citation.json"} </w:instrText>
      </w:r>
      <w:r w:rsidRPr="005757E9">
        <w:rPr>
          <w:rFonts w:cs="Times New Roman"/>
          <w:szCs w:val="22"/>
        </w:rPr>
        <w:fldChar w:fldCharType="separate"/>
      </w:r>
      <w:r w:rsidR="0072226B">
        <w:rPr>
          <w:rFonts w:cs="Times New Roman"/>
        </w:rPr>
        <w:t>(Babor et al., 2001; Fear et al., 2007)</w:t>
      </w:r>
      <w:r w:rsidRPr="005757E9">
        <w:rPr>
          <w:rFonts w:cs="Times New Roman"/>
          <w:szCs w:val="22"/>
        </w:rPr>
        <w:fldChar w:fldCharType="end"/>
      </w:r>
      <w:r w:rsidRPr="005757E9">
        <w:rPr>
          <w:rFonts w:cs="Times New Roman"/>
          <w:szCs w:val="22"/>
        </w:rPr>
        <w:t>.</w:t>
      </w:r>
    </w:p>
    <w:p w14:paraId="0449D532" w14:textId="149BC270" w:rsidR="00671668" w:rsidRDefault="009F04A6" w:rsidP="00A4166B">
      <w:pPr>
        <w:spacing w:before="0" w:after="0"/>
      </w:pPr>
      <w:r>
        <w:t>GHQ-12 symptoms</w:t>
      </w:r>
      <w:r w:rsidR="005757E9">
        <w:t xml:space="preserve"> were</w:t>
      </w:r>
      <w:r>
        <w:t xml:space="preserve"> </w:t>
      </w:r>
      <w:r w:rsidR="00146284" w:rsidRPr="00164560">
        <w:t>rated on a four-poin</w:t>
      </w:r>
      <w:r w:rsidR="00B57D84">
        <w:t>t scale.</w:t>
      </w:r>
      <w:r w:rsidR="00146284" w:rsidRPr="00164560">
        <w:t xml:space="preserve"> </w:t>
      </w:r>
      <w:r w:rsidR="00361A14">
        <w:t xml:space="preserve">A </w:t>
      </w:r>
      <w:r w:rsidR="00146284" w:rsidRPr="00164560">
        <w:t>bi-modal scoring method of 0-0-1-1 was used</w:t>
      </w:r>
      <w:r w:rsidR="00146284">
        <w:t xml:space="preserve"> </w:t>
      </w:r>
      <w:r w:rsidR="00146284">
        <w:fldChar w:fldCharType="begin"/>
      </w:r>
      <w:r w:rsidR="0072226B">
        <w:instrText xml:space="preserve"> ADDIN ZOTERO_ITEM CSL_CITATION {"citationID":"hkVSSVOw","properties":{"formattedCitation":"(Goldberg et al., 1997)","plainCitation":"(Goldberg et al., 1997)","noteIndex":0},"citationItems":[{"id":129,"uris":["http://zotero.org/users/3740225/items/P6J8WQIE"],"uri":["http://zotero.org/users/3740225/items/P6J8WQIE"],"itemData":{"id":129,"type":"article-journal","abstract":"Background. In recent years the 12-item General Health Questionnaire (GHQ-12) has been\nextensively used as a short screening instrument, producing results that are comparable to longer\nversions of the GHQ.Methods. The validity of the GHQ-12 was compared with the GHQ-28 in a World Health\nOrganization study of psychological disorders in general health care. Results are presented for\n5438 patients interviewed in 15 centres using the primary care version of the Composite\nInternational Diagnostic Instrument, or CIDI-PC.Results. Results were uniformly good, with the average area under the ROC curve 88, range\nfrom 83 to 95. Minor variations in the criteria used for defining a case made little difference to\n the validity of the GHQ, and complex scoring methods offered no advantages over simpler\nones. The GHQ was translated into 10 other languages for the purposes of this study, and\nvalidity coefficients were almost as high as in the original language. There was no tendency for\nthe GHQ to work less efficiently in developing countries. Finally gender, age and educational\nlevel are shown to have no significant effect on the validity of the GHQ.Conclusions. If investigators wish to use a screening instrument as a case detector, the shorter\nGHQ is remarkably robust and works as well as the longer instrument. The latter should only\nbe preferred if there is an interest in the scaled scores provided in addition to the total score.","container-title":"Psychological Medicine","ISSN":"1469-8978, 0033-2917","issue":"1","page":"191-197","source":"Cambridge Core","title":"The validity of two versions of the GHQ in the WHO study of mental illness in general health care","volume":"27","author":[{"family":"Goldberg","given":"D. P."},{"family":"Gater","given":"R."},{"family":"Sartorius","given":"N."},{"family":"Ustun","given":"T. B."},{"family":"Piccinelli","given":"M."},{"family":"Gureje","given":"O."},{"family":"Rutter","given":"C."}],"issued":{"date-parts":[["1997",1]]}}}],"schema":"https://github.com/citation-style-language/schema/raw/master/csl-citation.json"} </w:instrText>
      </w:r>
      <w:r w:rsidR="00146284">
        <w:fldChar w:fldCharType="separate"/>
      </w:r>
      <w:r w:rsidR="0072226B">
        <w:rPr>
          <w:rFonts w:cs="Times New Roman"/>
        </w:rPr>
        <w:t>(Goldberg et al., 1997)</w:t>
      </w:r>
      <w:r w:rsidR="00146284">
        <w:fldChar w:fldCharType="end"/>
      </w:r>
      <w:r w:rsidR="00146284" w:rsidRPr="00164560">
        <w:t xml:space="preserve">. Possible scores </w:t>
      </w:r>
      <w:r w:rsidR="00146284" w:rsidRPr="00E34DD6">
        <w:t>ranged from 0 to 12 with a cut-off of 4 or more to represent probable CMD</w:t>
      </w:r>
      <w:r w:rsidR="007E1769">
        <w:t xml:space="preserve"> </w:t>
      </w:r>
      <w:r w:rsidR="007E1769">
        <w:fldChar w:fldCharType="begin"/>
      </w:r>
      <w:r w:rsidR="0072226B">
        <w:instrText xml:space="preserve"> ADDIN ZOTERO_ITEM CSL_CITATION {"citationID":"HC2LS5Xv","properties":{"formattedCitation":"(Goldberg et al., 1997)","plainCitation":"(Goldberg et al., 1997)","noteIndex":0},"citationItems":[{"id":129,"uris":["http://zotero.org/users/3740225/items/P6J8WQIE"],"uri":["http://zotero.org/users/3740225/items/P6J8WQIE"],"itemData":{"id":129,"type":"article-journal","abstract":"Background. In recent years the 12-item General Health Questionnaire (GHQ-12) has been\nextensively used as a short screening instrument, producing results that are comparable to longer\nversions of the GHQ.Methods. The validity of the GHQ-12 was compared with the GHQ-28 in a World Health\nOrganization study of psychological disorders in general health care. Results are presented for\n5438 patients interviewed in 15 centres using the primary care version of the Composite\nInternational Diagnostic Instrument, or CIDI-PC.Results. Results were uniformly good, with the average area under the ROC curve 88, range\nfrom 83 to 95. Minor variations in the criteria used for defining a case made little difference to\n the validity of the GHQ, and complex scoring methods offered no advantages over simpler\nones. The GHQ was translated into 10 other languages for the purposes of this study, and\nvalidity coefficients were almost as high as in the original language. There was no tendency for\nthe GHQ to work less efficiently in developing countries. Finally gender, age and educational\nlevel are shown to have no significant effect on the validity of the GHQ.Conclusions. If investigators wish to use a screening instrument as a case detector, the shorter\nGHQ is remarkably robust and works as well as the longer instrument. The latter should only\nbe preferred if there is an interest in the scaled scores provided in addition to the total score.","container-title":"Psychological Medicine","ISSN":"1469-8978, 0033-2917","issue":"1","page":"191-197","source":"Cambridge Core","title":"The validity of two versions of the GHQ in the WHO study of mental illness in general health care","volume":"27","author":[{"family":"Goldberg","given":"D. P."},{"family":"Gater","given":"R."},{"family":"Sartorius","given":"N."},{"family":"Ustun","given":"T. B."},{"family":"Piccinelli","given":"M."},{"family":"Gureje","given":"O."},{"family":"Rutter","given":"C."}],"issued":{"date-parts":[["1997",1]]}}}],"schema":"https://github.com/citation-style-language/schema/raw/master/csl-citation.json"} </w:instrText>
      </w:r>
      <w:r w:rsidR="007E1769">
        <w:fldChar w:fldCharType="separate"/>
      </w:r>
      <w:r w:rsidR="0072226B">
        <w:rPr>
          <w:rFonts w:cs="Times New Roman"/>
        </w:rPr>
        <w:t>(Goldberg et al., 1997)</w:t>
      </w:r>
      <w:r w:rsidR="007E1769">
        <w:fldChar w:fldCharType="end"/>
      </w:r>
      <w:r w:rsidR="00146284" w:rsidRPr="00E34DD6">
        <w:t xml:space="preserve">. </w:t>
      </w:r>
      <w:r w:rsidR="00D23B58" w:rsidRPr="0054237D">
        <w:t>PCL-C</w:t>
      </w:r>
      <w:r w:rsidR="00361A14">
        <w:t xml:space="preserve"> </w:t>
      </w:r>
      <w:r w:rsidR="00E2786D">
        <w:t xml:space="preserve">symptoms were </w:t>
      </w:r>
      <w:r w:rsidR="00361A14">
        <w:t xml:space="preserve">rated </w:t>
      </w:r>
      <w:r w:rsidR="00D56F4B">
        <w:t>1 to 5</w:t>
      </w:r>
      <w:r w:rsidR="00361A14">
        <w:t xml:space="preserve">. Possible scores ranged from 17 to 85 with a </w:t>
      </w:r>
      <w:r w:rsidR="00A46622" w:rsidRPr="0054237D">
        <w:rPr>
          <w:szCs w:val="22"/>
        </w:rPr>
        <w:t>cut-off</w:t>
      </w:r>
      <w:r w:rsidR="001B0C64" w:rsidRPr="0054237D">
        <w:rPr>
          <w:szCs w:val="22"/>
        </w:rPr>
        <w:t xml:space="preserve"> point of 50</w:t>
      </w:r>
      <w:r w:rsidR="00995842">
        <w:rPr>
          <w:szCs w:val="22"/>
        </w:rPr>
        <w:t xml:space="preserve"> or more</w:t>
      </w:r>
      <w:r w:rsidR="00361A14">
        <w:rPr>
          <w:szCs w:val="22"/>
        </w:rPr>
        <w:t xml:space="preserve"> </w:t>
      </w:r>
      <w:r w:rsidR="001B0C64" w:rsidRPr="0054237D">
        <w:rPr>
          <w:szCs w:val="22"/>
        </w:rPr>
        <w:t xml:space="preserve">to assess caseness </w:t>
      </w:r>
      <w:r w:rsidR="001B0C64" w:rsidRPr="0054237D">
        <w:rPr>
          <w:shd w:val="clear" w:color="auto" w:fill="FFFFFF" w:themeFill="background1"/>
        </w:rPr>
        <w:fldChar w:fldCharType="begin"/>
      </w:r>
      <w:r w:rsidR="0072226B">
        <w:rPr>
          <w:shd w:val="clear" w:color="auto" w:fill="FFFFFF" w:themeFill="background1"/>
        </w:rPr>
        <w:instrText xml:space="preserve"> ADDIN ZOTERO_ITEM CSL_CITATION {"citationID":"AuDiN5Yi","properties":{"formattedCitation":"(Weathers et al., 1994)","plainCitation":"(Weathers et al., 1994)","noteIndex":0},"citationItems":[{"id":431,"uris":["http://zotero.org/users/3740225/items/S7KCI9KD"],"uri":["http://zotero.org/users/3740225/items/S7KCI9KD"],"itemData":{"id":431,"type":"article-journal","container-title":"Boston, MA: National Center for PTSD","journalAbbreviation":"Boston, MA: National Center for PTSD","title":"The PTSD checklist-civilian version (PCL-C)","author":[{"family":"Weathers","given":"Frank W"},{"family":"Litz","given":"Brett T"},{"family":"Herman","given":"D"},{"family":"Huska","given":"J"},{"family":"Keane","given":"T"}],"issued":{"date-parts":[["1994"]]}}}],"schema":"https://github.com/citation-style-language/schema/raw/master/csl-citation.json"} </w:instrText>
      </w:r>
      <w:r w:rsidR="001B0C64" w:rsidRPr="0054237D">
        <w:rPr>
          <w:shd w:val="clear" w:color="auto" w:fill="FFFFFF" w:themeFill="background1"/>
        </w:rPr>
        <w:fldChar w:fldCharType="separate"/>
      </w:r>
      <w:r w:rsidR="0072226B">
        <w:rPr>
          <w:rFonts w:cs="Times New Roman"/>
        </w:rPr>
        <w:t>(Weathers et al., 1994)</w:t>
      </w:r>
      <w:r w:rsidR="001B0C64" w:rsidRPr="0054237D">
        <w:rPr>
          <w:shd w:val="clear" w:color="auto" w:fill="FFFFFF" w:themeFill="background1"/>
        </w:rPr>
        <w:fldChar w:fldCharType="end"/>
      </w:r>
      <w:r w:rsidR="001B0C64" w:rsidRPr="0054237D">
        <w:rPr>
          <w:shd w:val="clear" w:color="auto" w:fill="FFFFFF" w:themeFill="background1"/>
        </w:rPr>
        <w:t xml:space="preserve">. </w:t>
      </w:r>
      <w:r w:rsidR="00D23B58" w:rsidRPr="0054237D">
        <w:t xml:space="preserve">DSM-IV </w:t>
      </w:r>
      <w:r w:rsidR="004D3A09">
        <w:t>domains</w:t>
      </w:r>
      <w:r w:rsidR="00995842">
        <w:t>:</w:t>
      </w:r>
      <w:r w:rsidR="00D23B58" w:rsidRPr="0054237D">
        <w:t xml:space="preserve"> </w:t>
      </w:r>
      <w:r w:rsidR="004C7784">
        <w:t>re-experiencing</w:t>
      </w:r>
      <w:r w:rsidR="00146284" w:rsidRPr="0054237D">
        <w:t>, avoidance and hyperarousal</w:t>
      </w:r>
      <w:r w:rsidR="00CA3022" w:rsidRPr="0054237D">
        <w:t xml:space="preserve"> were </w:t>
      </w:r>
      <w:r w:rsidR="005C281B" w:rsidRPr="0054237D">
        <w:t xml:space="preserve">also </w:t>
      </w:r>
      <w:r w:rsidR="00CA3022" w:rsidRPr="0054237D">
        <w:t>assess</w:t>
      </w:r>
      <w:r w:rsidR="005C281B" w:rsidRPr="0054237D">
        <w:t>ed</w:t>
      </w:r>
      <w:r w:rsidR="00CA3022" w:rsidRPr="0054237D">
        <w:t xml:space="preserve"> </w:t>
      </w:r>
      <w:r w:rsidR="00146284" w:rsidRPr="0054237D">
        <w:fldChar w:fldCharType="begin"/>
      </w:r>
      <w:r w:rsidR="0072226B">
        <w:instrText xml:space="preserve"> ADDIN ZOTERO_ITEM CSL_CITATION {"citationID":"vCYA6UwR","properties":{"formattedCitation":"(S. Taylor et al., 1998)","plainCitation":"(S. Taylor et al., 1998)","noteIndex":0},"citationItems":[{"id":396,"uris":["http://zotero.org/users/3740225/items/8A9R4N2D"],"uri":["http://zotero.org/users/3740225/items/8A9R4N2D"],"itemData":{"id":396,"type":"article-journal","abstract":"Posttraumatic stress disorder, as defined by the Diagnostic and Statistical Manual of Mental Disorders (3rd ed., rev. and 4th ed.; American Psychiatric Association, 1987, 1994, respectively), is characterized by 17 symptoms, descriptively clustered into 3 groups: (a) intrusions, (b) hyperarousal, and (c) avoidance and numbing. The present study sought to identify the basic dimensions (factors) that underlie these symptoms. Two samples were assessed: 103 victims of motor vehicle accidents and 419 United Nations peacekeepers deployed in Bosnia. A principal axis factor analysis was conducted for each sample. In each sample, 2 correlated factors were obtained, which were very similar across samples. Factor 1 was labeled Intrusions and Avoidance, and Factor 2 represented Hyperarousal and Numbing. These factors loaded on a single higher order factor. The higher order factor accounted for 13% to 38% of variance in symptom severity, and the lower order factors accounted for an additional 8% to 9% of variance. If the authors assume that each factor corresponds to a distinct mechanism (R. B. Cattell, 1978), then the results suggest that posttraumatic stress reactions arise from a general mechanism, with contributions from 2 specific mechanisms.","archive":"Scopus","container-title":"Journal of Abnormal Psychology","DOI":"10.1037/0021-843X.107.1.154","issue":"1","page":"154-160","source":"Scopus","title":"The structure of posttraumatic stress symptoms","volume":"107","author":[{"family":"Taylor","given":"S."},{"family":"Koch","given":"W.J."},{"family":"Kuch","given":"K."},{"family":"Crockett","given":"D.J."},{"family":"Passey","given":"G."}],"issued":{"date-parts":[["1998"]]}}}],"schema":"https://github.com/citation-style-language/schema/raw/master/csl-citation.json"} </w:instrText>
      </w:r>
      <w:r w:rsidR="00146284" w:rsidRPr="0054237D">
        <w:fldChar w:fldCharType="separate"/>
      </w:r>
      <w:r w:rsidR="0072226B">
        <w:rPr>
          <w:rFonts w:cs="Times New Roman"/>
        </w:rPr>
        <w:t>(S. Taylor et al., 1998)</w:t>
      </w:r>
      <w:r w:rsidR="00146284" w:rsidRPr="0054237D">
        <w:fldChar w:fldCharType="end"/>
      </w:r>
      <w:r w:rsidR="00873F62">
        <w:t xml:space="preserve">. </w:t>
      </w:r>
      <w:r w:rsidR="008735C7">
        <w:t xml:space="preserve">The study is restricted to the use of </w:t>
      </w:r>
      <w:r w:rsidR="00873F62">
        <w:t xml:space="preserve">DSM-IV criteria </w:t>
      </w:r>
      <w:r w:rsidR="008735C7">
        <w:t>as PCL-C was the only measure of PTSD included in APMS.</w:t>
      </w:r>
      <w:r w:rsidR="00146284" w:rsidRPr="0054237D">
        <w:t xml:space="preserve"> </w:t>
      </w:r>
    </w:p>
    <w:p w14:paraId="3DE8D902" w14:textId="77777777" w:rsidR="00671668" w:rsidRDefault="00671668" w:rsidP="00A4166B">
      <w:pPr>
        <w:spacing w:before="0" w:after="0"/>
      </w:pPr>
    </w:p>
    <w:p w14:paraId="15E5A60F" w14:textId="7AA828D6" w:rsidR="00A4166B" w:rsidRDefault="00D0406B" w:rsidP="00A4166B">
      <w:pPr>
        <w:spacing w:before="0" w:after="0"/>
      </w:pPr>
      <w:r>
        <w:t>AUDIT</w:t>
      </w:r>
      <w:r w:rsidR="00E2786D">
        <w:t xml:space="preserve"> s</w:t>
      </w:r>
      <w:r w:rsidR="0011744B">
        <w:t>cores range from 0 to 40 and</w:t>
      </w:r>
      <w:r w:rsidR="00264249">
        <w:t xml:space="preserve"> a</w:t>
      </w:r>
      <w:r w:rsidR="0041258B">
        <w:t xml:space="preserve"> cut off of</w:t>
      </w:r>
      <w:r w:rsidR="00C94134" w:rsidRPr="00F61E19">
        <w:t xml:space="preserve"> 16</w:t>
      </w:r>
      <w:r w:rsidR="00995842">
        <w:t xml:space="preserve"> or more</w:t>
      </w:r>
      <w:r w:rsidR="0011744B">
        <w:t xml:space="preserve"> was used to assess caseness </w:t>
      </w:r>
      <w:r w:rsidR="00C94134" w:rsidRPr="00F61E19">
        <w:fldChar w:fldCharType="begin"/>
      </w:r>
      <w:r w:rsidR="0072226B">
        <w:instrText xml:space="preserve"> ADDIN ZOTERO_ITEM CSL_CITATION {"citationID":"vMHCXtBK","properties":{"formattedCitation":"(Babor et al., 2001; Fear et al., 2007)","plainCitation":"(Babor et al., 2001; Fear et al., 2007)","noteIndex":0},"citationItems":[{"id":130,"uris":["http://zotero.org/users/3740225/items/AXKJRPXN"],"uri":["http://zotero.org/users/3740225/items/AXKJRPXN"],"itemData":{"id":130,"type":"article-journal","abstract":"Aims  To examine patterns of drinking in the UK Armed Forces, how they vary according to gender and other demographics, and to make comparisons with the general population. Design  Large cross-sectional postal questionnaire study (response rate 60%). Setting  United Kingdom. Participants  A random representative sample of the regular UK Armed Forces who were in service in March 2003 (n = 8686; 7937 men, 749 women). Comparisons were made with the general population of Great Britain. Measurements  Alcohol consumption was assessed using the Alcohol Use Disorders Identification Test (AUDIT). Findings  Sixty-seven per cent of men and 49% of women in the UK Armed Forces had an AUDIT score of 8+ (defined as hazardous drinking), compared to 38% of men and 16% of women in the general population. In both sexes, for all ages, the military have a higher prevalence of hazardous drinking. Binge drinking was associated with being younger, being in the Army, being single, being a smoker and being white. Among military men, heavy drinking (AUDIT score 16+) was associated with holding a lower rank, being younger, being single, being in the Naval Service or Army, being deployed to Iraq, not having children, being a smoker, having a combat role and having a parent with a drink or drug problem. Conclusions  Excessive alcohol consumption is more common in the UK Armed Forces than in the general population. There are certain socio-demographic characteristics associated with heavy drinking within the military; for example, young age, being single and being a smoker, which may allow the targeting of preventive interventions.","container-title":"Addiction","DOI":"10.1111/j.1360-0443.2007.01978.x","ISSN":"1360-0443","issue":"11","language":"en","page":"1749-1759","source":"Wiley Online Library","title":"Patterns of drinking in the UK Armed Forces","volume":"102","author":[{"family":"Fear","given":"Nicola T."},{"family":"Iversen","given":"Amy"},{"family":"Meltzer","given":"Howard"},{"family":"Workman","given":"Lorna"},{"family":"Hull","given":"Lisa"},{"family":"Greenberg","given":"Neil"},{"family":"Barker","given":"Christopher"},{"family":"Browne","given":"Tess"},{"family":"Earnshaw","given":"Mark"},{"family":"Horn","given":"Oded"},{"family":"Jones","given":"Margaret"},{"family":"Murphy","given":"Dominic"},{"family":"Rona","given":"Roberto J."},{"family":"Hotopf","given":"Matthew"},{"family":"Wessely","given":"Simon"}],"issued":{"date-parts":[["2007",11,1]]}}},{"id":430,"uris":["http://zotero.org/users/3740225/items/SUFP2QAD"],"uri":["http://zotero.org/users/3740225/items/SUFP2QAD"],"itemData":{"id":430,"type":"article-journal","title":"AUDIT: The alcohol use disorders identification test: Guidelines for use in primary health care","author":[{"family":"Babor","given":"Thomas F"},{"family":"Higgins-Biddle","given":"John C"},{"family":"Saunders","given":"John B"},{"family":"Monteiro","given":"Maristela G"},{"literal":"World Health Organization"}],"issued":{"date-parts":[["2001"]]}}}],"schema":"https://github.com/citation-style-language/schema/raw/master/csl-citation.json"} </w:instrText>
      </w:r>
      <w:r w:rsidR="00C94134" w:rsidRPr="00F61E19">
        <w:fldChar w:fldCharType="separate"/>
      </w:r>
      <w:r w:rsidR="0072226B">
        <w:rPr>
          <w:rFonts w:cs="Times New Roman"/>
        </w:rPr>
        <w:t>(Babor et al., 2001; Fear et al., 2007)</w:t>
      </w:r>
      <w:r w:rsidR="00C94134" w:rsidRPr="00F61E19">
        <w:fldChar w:fldCharType="end"/>
      </w:r>
      <w:r w:rsidR="00264249">
        <w:t>.</w:t>
      </w:r>
      <w:r w:rsidR="0041258B">
        <w:t xml:space="preserve"> </w:t>
      </w:r>
      <w:r w:rsidR="00671668">
        <w:t xml:space="preserve">The </w:t>
      </w:r>
      <w:r w:rsidR="0041258B">
        <w:t>AUDIT</w:t>
      </w:r>
      <w:r w:rsidR="00671668">
        <w:t>’s three</w:t>
      </w:r>
      <w:r w:rsidR="0041258B">
        <w:t xml:space="preserve"> </w:t>
      </w:r>
      <w:r w:rsidR="008B40A7">
        <w:t xml:space="preserve">mutually exclusive </w:t>
      </w:r>
      <w:r w:rsidR="004D3A09">
        <w:t>domains</w:t>
      </w:r>
      <w:r w:rsidR="0041258B">
        <w:t xml:space="preserve"> were also examined</w:t>
      </w:r>
      <w:r w:rsidR="00F5552B">
        <w:t xml:space="preserve"> </w:t>
      </w:r>
      <w:r w:rsidR="00F5552B">
        <w:fldChar w:fldCharType="begin"/>
      </w:r>
      <w:r w:rsidR="0072226B">
        <w:instrText xml:space="preserve"> ADDIN ZOTERO_ITEM CSL_CITATION {"citationID":"nhjmppRv","properties":{"formattedCitation":"(Babor et al., 2001)","plainCitation":"(Babor et al., 2001)","noteIndex":0},"citationItems":[{"id":430,"uris":["http://zotero.org/users/3740225/items/SUFP2QAD"],"uri":["http://zotero.org/users/3740225/items/SUFP2QAD"],"itemData":{"id":430,"type":"article-journal","title":"AUDIT: The alcohol use disorders identification test: Guidelines for use in primary health care","author":[{"family":"Babor","given":"Thomas F"},{"family":"Higgins-Biddle","given":"John C"},{"family":"Saunders","given":"John B"},{"family":"Monteiro","given":"Maristela G"},{"literal":"World Health Organization"}],"issued":{"date-parts":[["2001"]]}}}],"schema":"https://github.com/citation-style-language/schema/raw/master/csl-citation.json"} </w:instrText>
      </w:r>
      <w:r w:rsidR="00F5552B">
        <w:fldChar w:fldCharType="separate"/>
      </w:r>
      <w:r w:rsidR="0072226B">
        <w:rPr>
          <w:rFonts w:cs="Times New Roman"/>
        </w:rPr>
        <w:t>(Babor et al., 2001)</w:t>
      </w:r>
      <w:r w:rsidR="00F5552B">
        <w:fldChar w:fldCharType="end"/>
      </w:r>
      <w:r w:rsidR="00671668">
        <w:t>:</w:t>
      </w:r>
    </w:p>
    <w:p w14:paraId="75CE926A" w14:textId="2E6345E6" w:rsidR="00671668" w:rsidRDefault="00671668" w:rsidP="00A4166B">
      <w:pPr>
        <w:spacing w:before="0" w:after="0"/>
      </w:pPr>
    </w:p>
    <w:p w14:paraId="30DA72E4" w14:textId="7116CE5C" w:rsidR="00671668" w:rsidRDefault="00671668" w:rsidP="00671668">
      <w:pPr>
        <w:pStyle w:val="ListParagraph"/>
        <w:numPr>
          <w:ilvl w:val="0"/>
          <w:numId w:val="33"/>
        </w:numPr>
        <w:spacing w:before="0" w:after="0"/>
      </w:pPr>
      <w:r w:rsidRPr="00671668">
        <w:rPr>
          <w:b/>
          <w:bCs/>
        </w:rPr>
        <w:t>Hazardous drinking:</w:t>
      </w:r>
      <w:r>
        <w:t xml:space="preserve"> </w:t>
      </w:r>
      <w:r w:rsidRPr="00671668">
        <w:t>a pattern of alcohol consumption that increases the risk of harmful consequences for the user or other</w:t>
      </w:r>
      <w:r w:rsidR="00240F8D">
        <w:t>s</w:t>
      </w:r>
      <w:r w:rsidR="009D30A5">
        <w:t xml:space="preserve"> </w:t>
      </w:r>
      <w:r w:rsidR="007C29B1">
        <w:t>–</w:t>
      </w:r>
      <w:r w:rsidR="009D30A5">
        <w:t xml:space="preserve"> </w:t>
      </w:r>
      <w:r w:rsidR="007C29B1" w:rsidRPr="001B6ADD">
        <w:rPr>
          <w:i/>
          <w:iCs/>
        </w:rPr>
        <w:t>based</w:t>
      </w:r>
      <w:r w:rsidR="007C76B6">
        <w:rPr>
          <w:i/>
          <w:iCs/>
        </w:rPr>
        <w:t xml:space="preserve"> on</w:t>
      </w:r>
      <w:r w:rsidR="007C29B1" w:rsidRPr="001B6ADD">
        <w:rPr>
          <w:i/>
          <w:iCs/>
        </w:rPr>
        <w:t xml:space="preserve"> </w:t>
      </w:r>
      <w:r w:rsidR="00D57F46" w:rsidRPr="001B6ADD">
        <w:rPr>
          <w:i/>
          <w:iCs/>
        </w:rPr>
        <w:t xml:space="preserve">frequency </w:t>
      </w:r>
      <w:r w:rsidR="00B43D4B">
        <w:rPr>
          <w:i/>
          <w:iCs/>
        </w:rPr>
        <w:t>and quantity</w:t>
      </w:r>
      <w:r w:rsidR="007C76B6">
        <w:rPr>
          <w:i/>
          <w:iCs/>
        </w:rPr>
        <w:t xml:space="preserve"> of alcohol </w:t>
      </w:r>
      <w:r w:rsidR="00C950A4">
        <w:rPr>
          <w:i/>
          <w:iCs/>
        </w:rPr>
        <w:t>consumption</w:t>
      </w:r>
      <w:r w:rsidR="00D57F46" w:rsidRPr="001B6ADD">
        <w:rPr>
          <w:i/>
          <w:iCs/>
        </w:rPr>
        <w:t>.</w:t>
      </w:r>
    </w:p>
    <w:p w14:paraId="66C474C1" w14:textId="12F7A09A" w:rsidR="00671668" w:rsidRPr="00671668" w:rsidRDefault="00671668" w:rsidP="00671668">
      <w:pPr>
        <w:pStyle w:val="ListParagraph"/>
        <w:numPr>
          <w:ilvl w:val="0"/>
          <w:numId w:val="33"/>
        </w:numPr>
        <w:spacing w:before="0" w:after="0"/>
        <w:rPr>
          <w:b/>
          <w:bCs/>
        </w:rPr>
      </w:pPr>
      <w:r w:rsidRPr="00671668">
        <w:rPr>
          <w:b/>
          <w:bCs/>
        </w:rPr>
        <w:t xml:space="preserve">Evidence of present harm: </w:t>
      </w:r>
      <w:r w:rsidRPr="00671668">
        <w:t>alcohol consumption that results in consequences to physical and mental health</w:t>
      </w:r>
      <w:r w:rsidR="00620F2D">
        <w:t xml:space="preserve"> – </w:t>
      </w:r>
      <w:r w:rsidR="00620F2D" w:rsidRPr="006339B0">
        <w:rPr>
          <w:i/>
          <w:iCs/>
        </w:rPr>
        <w:t>indicated by drinking related injuries</w:t>
      </w:r>
      <w:r w:rsidR="00620F2D">
        <w:rPr>
          <w:i/>
          <w:iCs/>
        </w:rPr>
        <w:t>, blackouts</w:t>
      </w:r>
      <w:r w:rsidR="00620F2D" w:rsidRPr="006339B0">
        <w:rPr>
          <w:i/>
          <w:iCs/>
        </w:rPr>
        <w:t xml:space="preserve"> and/or guilt as</w:t>
      </w:r>
      <w:r w:rsidR="00620F2D">
        <w:rPr>
          <w:i/>
          <w:iCs/>
        </w:rPr>
        <w:t xml:space="preserve"> </w:t>
      </w:r>
      <w:r w:rsidR="00620F2D" w:rsidRPr="006339B0">
        <w:rPr>
          <w:i/>
          <w:iCs/>
        </w:rPr>
        <w:t>well as concern from others.</w:t>
      </w:r>
    </w:p>
    <w:p w14:paraId="0D1100EB" w14:textId="65786C5C" w:rsidR="00620F2D" w:rsidRPr="001B6ADD" w:rsidRDefault="00671668" w:rsidP="001B6ADD">
      <w:pPr>
        <w:pStyle w:val="ListParagraph"/>
        <w:numPr>
          <w:ilvl w:val="0"/>
          <w:numId w:val="33"/>
        </w:numPr>
        <w:spacing w:before="0" w:after="0"/>
        <w:rPr>
          <w:b/>
          <w:bCs/>
        </w:rPr>
      </w:pPr>
      <w:r w:rsidRPr="00620F2D">
        <w:rPr>
          <w:b/>
          <w:bCs/>
        </w:rPr>
        <w:t>Dependant drinking:</w:t>
      </w:r>
      <w:r w:rsidRPr="00671668">
        <w:t xml:space="preserve"> a strong desire to consume alcohol</w:t>
      </w:r>
      <w:r>
        <w:t xml:space="preserve"> and</w:t>
      </w:r>
      <w:r w:rsidRPr="00671668">
        <w:t xml:space="preserve"> </w:t>
      </w:r>
      <w:r w:rsidR="00614031" w:rsidRPr="00614031">
        <w:t>diminished</w:t>
      </w:r>
      <w:r w:rsidRPr="00671668">
        <w:t xml:space="preserve"> control over its use</w:t>
      </w:r>
      <w:r>
        <w:t xml:space="preserve"> </w:t>
      </w:r>
      <w:r w:rsidRPr="00671668">
        <w:t>despite harm-full consequences</w:t>
      </w:r>
      <w:r w:rsidR="00620F2D" w:rsidRPr="00620F2D">
        <w:rPr>
          <w:i/>
          <w:iCs/>
        </w:rPr>
        <w:t xml:space="preserve"> </w:t>
      </w:r>
      <w:r w:rsidR="00620F2D">
        <w:t xml:space="preserve">– </w:t>
      </w:r>
      <w:r w:rsidR="00620F2D" w:rsidRPr="00620F2D">
        <w:rPr>
          <w:i/>
          <w:iCs/>
        </w:rPr>
        <w:t>indicated by</w:t>
      </w:r>
      <w:r w:rsidR="00620F2D">
        <w:t xml:space="preserve"> </w:t>
      </w:r>
      <w:r w:rsidR="00620F2D" w:rsidRPr="00620F2D">
        <w:rPr>
          <w:i/>
          <w:iCs/>
        </w:rPr>
        <w:t>impaired control over drinking, increased salience of drinking</w:t>
      </w:r>
      <w:r w:rsidR="00DB0D8E">
        <w:rPr>
          <w:i/>
          <w:iCs/>
        </w:rPr>
        <w:t>, and</w:t>
      </w:r>
      <w:r w:rsidR="00620F2D" w:rsidRPr="00620F2D">
        <w:rPr>
          <w:i/>
          <w:iCs/>
        </w:rPr>
        <w:t xml:space="preserve"> drinking</w:t>
      </w:r>
      <w:r w:rsidR="00890D5A">
        <w:rPr>
          <w:i/>
          <w:iCs/>
        </w:rPr>
        <w:t xml:space="preserve"> in the morning</w:t>
      </w:r>
      <w:r w:rsidR="00620F2D" w:rsidRPr="00620F2D">
        <w:rPr>
          <w:i/>
          <w:iCs/>
        </w:rPr>
        <w:t>.</w:t>
      </w:r>
    </w:p>
    <w:p w14:paraId="606790FC" w14:textId="6048D642" w:rsidR="00F558B8" w:rsidRPr="00EA4B3E" w:rsidRDefault="00432BC1" w:rsidP="00432BC1">
      <w:pPr>
        <w:pStyle w:val="Heading5"/>
        <w:rPr>
          <w:lang w:eastAsia="en-GB"/>
        </w:rPr>
      </w:pPr>
      <w:r>
        <w:rPr>
          <w:lang w:eastAsia="en-GB"/>
        </w:rPr>
        <w:t>Socio-demographic characteristics</w:t>
      </w:r>
    </w:p>
    <w:p w14:paraId="6FE2AB4E" w14:textId="4C74A0C9" w:rsidR="00D73CAE" w:rsidRDefault="0036581E">
      <w:pPr>
        <w:spacing w:before="0" w:after="0"/>
      </w:pPr>
      <w:r>
        <w:t>T</w:t>
      </w:r>
      <w:r w:rsidR="00466F4E">
        <w:t xml:space="preserve">he socio-demographic characteristics of veterans and non-veterans </w:t>
      </w:r>
      <w:r w:rsidR="00146284">
        <w:t>were</w:t>
      </w:r>
      <w:r>
        <w:t xml:space="preserve"> examined </w:t>
      </w:r>
      <w:r w:rsidR="00466F4E">
        <w:t>using data on</w:t>
      </w:r>
      <w:r w:rsidR="00C95C35" w:rsidRPr="00C95C35">
        <w:t xml:space="preserve"> </w:t>
      </w:r>
      <w:r w:rsidR="00B743D5" w:rsidRPr="00026307">
        <w:t>gender</w:t>
      </w:r>
      <w:r w:rsidR="00C95C35" w:rsidRPr="00026307">
        <w:t>, ag</w:t>
      </w:r>
      <w:r w:rsidR="00F968DD" w:rsidRPr="00026307">
        <w:t>e</w:t>
      </w:r>
      <w:r w:rsidR="00B71699">
        <w:t xml:space="preserve"> in years</w:t>
      </w:r>
      <w:r w:rsidR="00D56F4B" w:rsidRPr="00026307">
        <w:t xml:space="preserve"> (2</w:t>
      </w:r>
      <w:r w:rsidR="00026307" w:rsidRPr="00026307">
        <w:t>2</w:t>
      </w:r>
      <w:r w:rsidR="00D56F4B" w:rsidRPr="00026307">
        <w:t>-</w:t>
      </w:r>
      <w:r w:rsidR="00026307" w:rsidRPr="00026307">
        <w:t>34, 35-44, 45-54, 55-64, 65-74</w:t>
      </w:r>
      <w:r w:rsidR="00D56F4B" w:rsidRPr="00026307">
        <w:t>)</w:t>
      </w:r>
      <w:r w:rsidR="00866E8C" w:rsidRPr="00026307">
        <w:t>,</w:t>
      </w:r>
      <w:r w:rsidR="00CE086F" w:rsidRPr="00026307">
        <w:t xml:space="preserve"> </w:t>
      </w:r>
      <w:r w:rsidR="00F968DD" w:rsidRPr="00026307">
        <w:t>level</w:t>
      </w:r>
      <w:r w:rsidR="00F968DD">
        <w:t xml:space="preserve"> of education </w:t>
      </w:r>
      <w:r w:rsidR="00466F4E">
        <w:t>(no qualification, GCSE</w:t>
      </w:r>
      <w:r w:rsidR="00FA1C01">
        <w:t xml:space="preserve"> or equivalent</w:t>
      </w:r>
      <w:r w:rsidR="00466F4E">
        <w:t>, A-level</w:t>
      </w:r>
      <w:r w:rsidR="00BB01C3">
        <w:t xml:space="preserve"> or</w:t>
      </w:r>
      <w:r w:rsidR="00466F4E">
        <w:t xml:space="preserve"> </w:t>
      </w:r>
      <w:r w:rsidR="00BB01C3">
        <w:t>d</w:t>
      </w:r>
      <w:r w:rsidR="00466F4E">
        <w:t xml:space="preserve">egree level), </w:t>
      </w:r>
      <w:r w:rsidR="00C95C35" w:rsidRPr="00C95C35">
        <w:t>marital status</w:t>
      </w:r>
      <w:r w:rsidR="00466F4E">
        <w:t xml:space="preserve"> (married/in a relationship, single or </w:t>
      </w:r>
      <w:r w:rsidR="00866E8C">
        <w:t>d</w:t>
      </w:r>
      <w:r w:rsidR="00466F4E">
        <w:t xml:space="preserve">ivorced/separated/widowed), and </w:t>
      </w:r>
      <w:r w:rsidR="00466F4E" w:rsidRPr="00161BBB">
        <w:t xml:space="preserve">employment status (employed </w:t>
      </w:r>
      <w:r w:rsidR="00F5552B" w:rsidRPr="00161BBB">
        <w:t>p</w:t>
      </w:r>
      <w:r w:rsidR="00F5552B">
        <w:t>art</w:t>
      </w:r>
      <w:r w:rsidR="00F5552B" w:rsidRPr="00161BBB">
        <w:t>-</w:t>
      </w:r>
      <w:r w:rsidR="00F5552B">
        <w:t>time</w:t>
      </w:r>
      <w:r w:rsidR="00466F4E" w:rsidRPr="00161BBB">
        <w:t>/f</w:t>
      </w:r>
      <w:r w:rsidR="00E078CA">
        <w:t>ull</w:t>
      </w:r>
      <w:r w:rsidR="00F5552B">
        <w:t>-</w:t>
      </w:r>
      <w:r w:rsidR="00466F4E" w:rsidRPr="00161BBB">
        <w:t>t</w:t>
      </w:r>
      <w:r w:rsidR="00E078CA">
        <w:t>ime</w:t>
      </w:r>
      <w:r w:rsidR="00466F4E" w:rsidRPr="00161BBB">
        <w:t xml:space="preserve">, unemployed, retired, </w:t>
      </w:r>
      <w:r w:rsidR="004202AF" w:rsidRPr="00161BBB">
        <w:t>long term ill</w:t>
      </w:r>
      <w:r w:rsidR="00BB01C3" w:rsidRPr="00161BBB">
        <w:t>/</w:t>
      </w:r>
      <w:r w:rsidR="004202AF" w:rsidRPr="00161BBB">
        <w:t xml:space="preserve">disabled </w:t>
      </w:r>
      <w:r w:rsidR="00BB01C3" w:rsidRPr="00161BBB">
        <w:t>or</w:t>
      </w:r>
      <w:r w:rsidR="004202AF" w:rsidRPr="00161BBB">
        <w:t xml:space="preserve"> </w:t>
      </w:r>
      <w:r w:rsidR="00466F4E" w:rsidRPr="00161BBB">
        <w:t xml:space="preserve">economically inactive). </w:t>
      </w:r>
    </w:p>
    <w:p w14:paraId="643FA991" w14:textId="77777777" w:rsidR="00D73CAE" w:rsidRDefault="00D73CAE">
      <w:pPr>
        <w:spacing w:before="0" w:after="0"/>
      </w:pPr>
    </w:p>
    <w:p w14:paraId="2325D1DC" w14:textId="5394597C" w:rsidR="00571B7D" w:rsidRDefault="00A96E8E">
      <w:pPr>
        <w:spacing w:before="0" w:after="0"/>
      </w:pPr>
      <w:r>
        <w:t>A dichotomised version of employment status was used in</w:t>
      </w:r>
      <w:r w:rsidR="00D73CAE">
        <w:t xml:space="preserve"> our comparison of mental health prevalence (to </w:t>
      </w:r>
      <w:r w:rsidR="00BB7F8B">
        <w:t>assess</w:t>
      </w:r>
      <w:r w:rsidR="005A6B85">
        <w:t xml:space="preserve"> </w:t>
      </w:r>
      <w:r w:rsidR="005C08D6">
        <w:t xml:space="preserve">mental health </w:t>
      </w:r>
      <w:r w:rsidR="00BB7F8B">
        <w:t xml:space="preserve">differences </w:t>
      </w:r>
      <w:r w:rsidR="000F3F06">
        <w:t xml:space="preserve">by veteran status </w:t>
      </w:r>
      <w:r w:rsidR="005C08D6">
        <w:t>in</w:t>
      </w:r>
      <w:r w:rsidR="005A6B85">
        <w:t xml:space="preserve"> working and non-working</w:t>
      </w:r>
      <w:r w:rsidR="005C08D6">
        <w:t xml:space="preserve"> </w:t>
      </w:r>
      <w:r w:rsidR="00B36335">
        <w:t>groups)</w:t>
      </w:r>
      <w:r>
        <w:t xml:space="preserve"> with employed </w:t>
      </w:r>
      <w:r w:rsidR="00F5552B">
        <w:t>part-time</w:t>
      </w:r>
      <w:r>
        <w:t>/f</w:t>
      </w:r>
      <w:r w:rsidR="00E078CA">
        <w:t>ull</w:t>
      </w:r>
      <w:r w:rsidR="00F5552B">
        <w:t>-</w:t>
      </w:r>
      <w:r>
        <w:t>t</w:t>
      </w:r>
      <w:r w:rsidR="00E078CA">
        <w:t>ime</w:t>
      </w:r>
      <w:r>
        <w:t xml:space="preserve"> defined as working, and all other responses defined as non-working. </w:t>
      </w:r>
    </w:p>
    <w:p w14:paraId="5922669C" w14:textId="77777777" w:rsidR="00A96E8E" w:rsidRDefault="00A96E8E">
      <w:pPr>
        <w:spacing w:before="0" w:after="0"/>
      </w:pPr>
    </w:p>
    <w:p w14:paraId="4EC5E870" w14:textId="73B3A5DF" w:rsidR="00862835" w:rsidRPr="0054237D" w:rsidRDefault="00D85662">
      <w:pPr>
        <w:spacing w:before="0" w:after="0"/>
        <w:rPr>
          <w:b/>
        </w:rPr>
      </w:pPr>
      <w:r w:rsidRPr="00161BBB">
        <w:t xml:space="preserve">A five </w:t>
      </w:r>
      <w:r w:rsidR="00465E1C" w:rsidRPr="00161BBB">
        <w:t xml:space="preserve">category </w:t>
      </w:r>
      <w:r w:rsidR="007E50EC">
        <w:t>NS-SEC</w:t>
      </w:r>
      <w:r w:rsidR="00466F4E" w:rsidRPr="00161BBB">
        <w:t xml:space="preserve"> social grade</w:t>
      </w:r>
      <w:r w:rsidR="00465E1C" w:rsidRPr="00161BBB">
        <w:t xml:space="preserve"> variable</w:t>
      </w:r>
      <w:r w:rsidR="00AD1DF4">
        <w:t xml:space="preserve"> </w:t>
      </w:r>
      <w:r w:rsidR="00FA1C01">
        <w:fldChar w:fldCharType="begin"/>
      </w:r>
      <w:r w:rsidR="0072226B">
        <w:instrText xml:space="preserve"> ADDIN ZOTERO_ITEM CSL_CITATION {"citationID":"ddyiAfZ1","properties":{"formattedCitation":"(Office for National Statistics, n.d.)","plainCitation":"(Office for National Statistics, n.d.)","noteIndex":0},"citationItems":[{"id":35,"uris":["http://zotero.org/users/3740225/items/XHASHA56"],"uri":["http://zotero.org/users/3740225/items/XHASHA56"],"itemData":{"id":35,"type":"webpage","container-title":"The National Statistics Socio-economic classification (NS-SEC) - Office for National Statistics","title":"NS-SEC","URL":"https://www.ons.gov.uk/methodology/classificationsandstandards/otherclassifications/thenationalstatisticssocioeconomicclassificationnssecrebasedonsoc2010","author":[{"family":"Office for National Statistics","given":""}],"accessed":{"date-parts":[["2018",3,6]]}}}],"schema":"https://github.com/citation-style-language/schema/raw/master/csl-citation.json"} </w:instrText>
      </w:r>
      <w:r w:rsidR="00FA1C01">
        <w:fldChar w:fldCharType="separate"/>
      </w:r>
      <w:r w:rsidR="0072226B">
        <w:rPr>
          <w:rFonts w:cs="Times New Roman"/>
        </w:rPr>
        <w:t>(Office for National Statistics, n.d.)</w:t>
      </w:r>
      <w:r w:rsidR="00FA1C01">
        <w:fldChar w:fldCharType="end"/>
      </w:r>
      <w:r w:rsidR="00466F4E" w:rsidRPr="00161BBB">
        <w:t xml:space="preserve"> was available in </w:t>
      </w:r>
      <w:r w:rsidR="00EE037C" w:rsidRPr="00161BBB">
        <w:t>both the APMS and</w:t>
      </w:r>
      <w:r w:rsidR="00432BC1" w:rsidRPr="00161BBB">
        <w:t xml:space="preserve"> UKHLS datasets.</w:t>
      </w:r>
      <w:r w:rsidR="002B10CD" w:rsidRPr="00161BBB">
        <w:t xml:space="preserve"> </w:t>
      </w:r>
      <w:r w:rsidR="00432BC1" w:rsidRPr="00161BBB">
        <w:t xml:space="preserve">This data was </w:t>
      </w:r>
      <w:r w:rsidR="00EE037C" w:rsidRPr="00161BBB">
        <w:t>not</w:t>
      </w:r>
      <w:r w:rsidR="002B10CD" w:rsidRPr="00161BBB">
        <w:t xml:space="preserve"> available in the KCMHR cohort and </w:t>
      </w:r>
      <w:r w:rsidR="00EE037C" w:rsidRPr="00161BBB">
        <w:t>v</w:t>
      </w:r>
      <w:r w:rsidR="00466F4E" w:rsidRPr="00161BBB">
        <w:t xml:space="preserve">eterans were </w:t>
      </w:r>
      <w:r w:rsidR="00465E1C" w:rsidRPr="00161BBB">
        <w:t xml:space="preserve">manually </w:t>
      </w:r>
      <w:r w:rsidR="00466F4E" w:rsidRPr="00161BBB">
        <w:t>assigned a</w:t>
      </w:r>
      <w:r w:rsidR="00A0770B" w:rsidRPr="00161BBB">
        <w:t>n NS-SEC</w:t>
      </w:r>
      <w:r w:rsidR="00466F4E" w:rsidRPr="00161BBB">
        <w:t xml:space="preserve"> social grade based on their reported job title</w:t>
      </w:r>
      <w:r w:rsidR="00A0770B" w:rsidRPr="00161BBB">
        <w:t xml:space="preserve">. </w:t>
      </w:r>
      <w:r w:rsidR="00B47847">
        <w:t xml:space="preserve">A total of 6.1% of </w:t>
      </w:r>
      <w:r w:rsidR="001C569A">
        <w:t>employed</w:t>
      </w:r>
      <w:r w:rsidR="00A0770B" w:rsidRPr="00161BBB">
        <w:t xml:space="preserve"> veterans were unable to be assigne</w:t>
      </w:r>
      <w:r w:rsidR="002D134C" w:rsidRPr="00161BBB">
        <w:t xml:space="preserve">d an NS-SEC </w:t>
      </w:r>
      <w:r w:rsidR="002B10CD" w:rsidRPr="00161BBB">
        <w:t xml:space="preserve">social </w:t>
      </w:r>
      <w:r w:rsidR="002D134C" w:rsidRPr="00161BBB">
        <w:t xml:space="preserve">grade as their job title was not reported </w:t>
      </w:r>
      <w:r w:rsidR="003B4917" w:rsidRPr="00161BBB">
        <w:t>(n=</w:t>
      </w:r>
      <w:r w:rsidR="001C569A">
        <w:t>195</w:t>
      </w:r>
      <w:r w:rsidR="002D134C" w:rsidRPr="00161BBB">
        <w:t>)</w:t>
      </w:r>
      <w:r w:rsidR="0057087F" w:rsidRPr="00161BBB">
        <w:t>,</w:t>
      </w:r>
      <w:r w:rsidR="002D134C" w:rsidRPr="00161BBB">
        <w:t xml:space="preserve"> </w:t>
      </w:r>
      <w:r w:rsidR="001C569A">
        <w:t xml:space="preserve">or </w:t>
      </w:r>
      <w:r w:rsidR="002D134C" w:rsidRPr="00161BBB">
        <w:t xml:space="preserve">their job title was not sufficiently detailed to allow for a classification </w:t>
      </w:r>
      <w:r w:rsidR="005E166C" w:rsidRPr="00161BBB">
        <w:t>(n=2</w:t>
      </w:r>
      <w:r w:rsidR="001C569A">
        <w:t>23</w:t>
      </w:r>
      <w:r w:rsidR="002D134C" w:rsidRPr="00161BBB">
        <w:t>)</w:t>
      </w:r>
      <w:r w:rsidR="001C569A">
        <w:t>.</w:t>
      </w:r>
      <w:bookmarkEnd w:id="11"/>
    </w:p>
    <w:p w14:paraId="62177BC6" w14:textId="2CA84759" w:rsidR="00E81562" w:rsidRDefault="00E81562" w:rsidP="001D177F">
      <w:pPr>
        <w:pStyle w:val="Heading2"/>
      </w:pPr>
      <w:r w:rsidRPr="00975764">
        <w:t>Statistical Analysis</w:t>
      </w:r>
      <w:r w:rsidR="00BE5659">
        <w:tab/>
      </w:r>
    </w:p>
    <w:p w14:paraId="26A6BF76" w14:textId="3109BE48" w:rsidR="00E758E3" w:rsidRPr="00E758E3" w:rsidRDefault="00862835" w:rsidP="00E758E3">
      <w:pPr>
        <w:pStyle w:val="Heading5"/>
      </w:pPr>
      <w:r>
        <w:t xml:space="preserve">Restricting the military </w:t>
      </w:r>
      <w:r w:rsidR="00E758E3">
        <w:t>sample</w:t>
      </w:r>
    </w:p>
    <w:p w14:paraId="46FA40B7" w14:textId="008F434E" w:rsidR="00B70F47" w:rsidRPr="00D21341" w:rsidRDefault="00696C5F">
      <w:pPr>
        <w:pStyle w:val="NoSpacing"/>
        <w:jc w:val="both"/>
        <w:rPr>
          <w:rFonts w:ascii="Times New Roman" w:hAnsi="Times New Roman"/>
        </w:rPr>
      </w:pPr>
      <w:r>
        <w:rPr>
          <w:rFonts w:ascii="Times New Roman" w:hAnsi="Times New Roman"/>
        </w:rPr>
        <w:t>Of the 8</w:t>
      </w:r>
      <w:r w:rsidR="00E53C55">
        <w:rPr>
          <w:rFonts w:ascii="Times New Roman" w:hAnsi="Times New Roman"/>
        </w:rPr>
        <w:t>,</w:t>
      </w:r>
      <w:r>
        <w:rPr>
          <w:rFonts w:ascii="Times New Roman" w:hAnsi="Times New Roman"/>
        </w:rPr>
        <w:t xml:space="preserve">094 </w:t>
      </w:r>
      <w:r w:rsidR="00BC7C95">
        <w:rPr>
          <w:rFonts w:ascii="Times New Roman" w:hAnsi="Times New Roman"/>
        </w:rPr>
        <w:t xml:space="preserve">personnel </w:t>
      </w:r>
      <w:r>
        <w:rPr>
          <w:rFonts w:ascii="Times New Roman" w:hAnsi="Times New Roman"/>
        </w:rPr>
        <w:t xml:space="preserve">who participated in phase 3 of the </w:t>
      </w:r>
      <w:r w:rsidR="00A7719A" w:rsidRPr="00A7719A">
        <w:rPr>
          <w:rFonts w:ascii="Times New Roman" w:hAnsi="Times New Roman"/>
        </w:rPr>
        <w:t>KCMHR</w:t>
      </w:r>
      <w:r w:rsidR="008401E4">
        <w:rPr>
          <w:rFonts w:ascii="Times New Roman" w:hAnsi="Times New Roman"/>
        </w:rPr>
        <w:t xml:space="preserve"> cohort study</w:t>
      </w:r>
      <w:r>
        <w:rPr>
          <w:rFonts w:ascii="Times New Roman" w:hAnsi="Times New Roman"/>
        </w:rPr>
        <w:t xml:space="preserve">, </w:t>
      </w:r>
      <w:r w:rsidRPr="00A7719A">
        <w:rPr>
          <w:rFonts w:ascii="Times New Roman" w:hAnsi="Times New Roman"/>
        </w:rPr>
        <w:t>3</w:t>
      </w:r>
      <w:r w:rsidR="00E53C55">
        <w:rPr>
          <w:rFonts w:ascii="Times New Roman" w:hAnsi="Times New Roman"/>
        </w:rPr>
        <w:t>,</w:t>
      </w:r>
      <w:r w:rsidRPr="00A7719A">
        <w:rPr>
          <w:rFonts w:ascii="Times New Roman" w:hAnsi="Times New Roman"/>
        </w:rPr>
        <w:t>008</w:t>
      </w:r>
      <w:r w:rsidR="00A7719A" w:rsidRPr="00A7719A">
        <w:rPr>
          <w:rFonts w:ascii="Times New Roman" w:hAnsi="Times New Roman"/>
        </w:rPr>
        <w:t xml:space="preserve"> met our definition of a veteran</w:t>
      </w:r>
      <w:r w:rsidR="007E50EC">
        <w:rPr>
          <w:rFonts w:ascii="Times New Roman" w:hAnsi="Times New Roman"/>
        </w:rPr>
        <w:t xml:space="preserve"> (</w:t>
      </w:r>
      <w:r w:rsidR="00C2699E">
        <w:rPr>
          <w:rFonts w:ascii="Times New Roman" w:hAnsi="Times New Roman"/>
        </w:rPr>
        <w:t xml:space="preserve">a </w:t>
      </w:r>
      <w:r w:rsidR="007E50EC">
        <w:rPr>
          <w:rFonts w:ascii="Times New Roman" w:hAnsi="Times New Roman"/>
        </w:rPr>
        <w:t xml:space="preserve">former regular </w:t>
      </w:r>
      <w:r w:rsidR="009408CC">
        <w:rPr>
          <w:rFonts w:ascii="Times New Roman" w:hAnsi="Times New Roman"/>
        </w:rPr>
        <w:t>who is no longer affiliated with the military</w:t>
      </w:r>
      <w:r w:rsidR="007E50EC">
        <w:rPr>
          <w:rFonts w:ascii="Times New Roman" w:hAnsi="Times New Roman"/>
        </w:rPr>
        <w:t>)</w:t>
      </w:r>
      <w:r w:rsidR="00A7719A" w:rsidRPr="00A7719A">
        <w:rPr>
          <w:rFonts w:ascii="Times New Roman" w:hAnsi="Times New Roman"/>
        </w:rPr>
        <w:t xml:space="preserve">. </w:t>
      </w:r>
      <w:r w:rsidR="00B70F47">
        <w:rPr>
          <w:rFonts w:ascii="Times New Roman" w:hAnsi="Times New Roman"/>
        </w:rPr>
        <w:t>Thirty-five</w:t>
      </w:r>
      <w:r w:rsidR="00E758E3">
        <w:rPr>
          <w:rFonts w:ascii="Times New Roman" w:hAnsi="Times New Roman"/>
        </w:rPr>
        <w:t xml:space="preserve"> veterans</w:t>
      </w:r>
      <w:r w:rsidR="00A7719A" w:rsidRPr="00A7719A">
        <w:rPr>
          <w:rFonts w:ascii="Times New Roman" w:hAnsi="Times New Roman"/>
        </w:rPr>
        <w:t xml:space="preserve"> were </w:t>
      </w:r>
      <w:r w:rsidR="00A7719A" w:rsidRPr="00D21341">
        <w:rPr>
          <w:rFonts w:ascii="Times New Roman" w:hAnsi="Times New Roman"/>
        </w:rPr>
        <w:t>excluded as information on employment</w:t>
      </w:r>
      <w:r w:rsidR="00DF2214" w:rsidRPr="00D21341">
        <w:rPr>
          <w:rFonts w:ascii="Times New Roman" w:hAnsi="Times New Roman"/>
        </w:rPr>
        <w:t xml:space="preserve"> status</w:t>
      </w:r>
      <w:r w:rsidR="00A7719A" w:rsidRPr="00D21341">
        <w:rPr>
          <w:rFonts w:ascii="Times New Roman" w:hAnsi="Times New Roman"/>
        </w:rPr>
        <w:t xml:space="preserve"> was not provided</w:t>
      </w:r>
      <w:r w:rsidR="00E758E3" w:rsidRPr="00D21341">
        <w:rPr>
          <w:rFonts w:ascii="Times New Roman" w:hAnsi="Times New Roman"/>
        </w:rPr>
        <w:t>.</w:t>
      </w:r>
      <w:r w:rsidR="00022BC6" w:rsidRPr="00D21341">
        <w:rPr>
          <w:rFonts w:ascii="Times New Roman" w:hAnsi="Times New Roman"/>
        </w:rPr>
        <w:t xml:space="preserve"> Further exclusions were made during mental health comparative analysis as some veterans did not respond to any items on the respective scale (GHQ n=5</w:t>
      </w:r>
      <w:r w:rsidR="00E74FDC" w:rsidRPr="00D21341">
        <w:rPr>
          <w:rFonts w:ascii="Times New Roman" w:hAnsi="Times New Roman"/>
        </w:rPr>
        <w:t>6</w:t>
      </w:r>
      <w:r w:rsidR="00022BC6" w:rsidRPr="00D21341">
        <w:rPr>
          <w:rFonts w:ascii="Times New Roman" w:hAnsi="Times New Roman"/>
        </w:rPr>
        <w:t xml:space="preserve">, </w:t>
      </w:r>
      <w:r w:rsidR="00D85662" w:rsidRPr="00D21341">
        <w:rPr>
          <w:rFonts w:ascii="Times New Roman" w:hAnsi="Times New Roman"/>
        </w:rPr>
        <w:t>PCL-C n=</w:t>
      </w:r>
      <w:r w:rsidR="00E74FDC" w:rsidRPr="00D21341">
        <w:rPr>
          <w:rFonts w:ascii="Times New Roman" w:hAnsi="Times New Roman"/>
        </w:rPr>
        <w:t>67</w:t>
      </w:r>
      <w:r w:rsidR="00D85662" w:rsidRPr="00D21341">
        <w:rPr>
          <w:rFonts w:ascii="Times New Roman" w:hAnsi="Times New Roman"/>
        </w:rPr>
        <w:t>, AUDIT n=</w:t>
      </w:r>
      <w:r w:rsidR="00E74FDC" w:rsidRPr="00D21341">
        <w:rPr>
          <w:rFonts w:ascii="Times New Roman" w:hAnsi="Times New Roman"/>
        </w:rPr>
        <w:t>64</w:t>
      </w:r>
      <w:r w:rsidR="00022BC6" w:rsidRPr="00D21341">
        <w:rPr>
          <w:rFonts w:ascii="Times New Roman" w:hAnsi="Times New Roman"/>
        </w:rPr>
        <w:t xml:space="preserve">). </w:t>
      </w:r>
      <w:r w:rsidR="009D3959" w:rsidRPr="00D21341">
        <w:rPr>
          <w:rFonts w:ascii="Times New Roman" w:hAnsi="Times New Roman"/>
        </w:rPr>
        <w:t>O</w:t>
      </w:r>
      <w:r w:rsidR="00D847F7" w:rsidRPr="00D21341">
        <w:rPr>
          <w:rFonts w:ascii="Times New Roman" w:hAnsi="Times New Roman"/>
        </w:rPr>
        <w:t xml:space="preserve">ur </w:t>
      </w:r>
      <w:r w:rsidR="00022BC6" w:rsidRPr="00D21341">
        <w:rPr>
          <w:rFonts w:ascii="Times New Roman" w:hAnsi="Times New Roman"/>
        </w:rPr>
        <w:t xml:space="preserve">veteran sample size </w:t>
      </w:r>
      <w:r w:rsidR="00BC004E" w:rsidRPr="00D21341">
        <w:rPr>
          <w:rFonts w:ascii="Times New Roman" w:hAnsi="Times New Roman"/>
        </w:rPr>
        <w:t>ranged from 2,906 – 2,91</w:t>
      </w:r>
      <w:r w:rsidR="005862A8" w:rsidRPr="00D21341">
        <w:rPr>
          <w:rFonts w:ascii="Times New Roman" w:hAnsi="Times New Roman"/>
        </w:rPr>
        <w:t>7</w:t>
      </w:r>
      <w:r w:rsidR="00022BC6" w:rsidRPr="00D21341">
        <w:rPr>
          <w:rFonts w:ascii="Times New Roman" w:hAnsi="Times New Roman"/>
        </w:rPr>
        <w:t xml:space="preserve"> depending on the mental health outcome.</w:t>
      </w:r>
      <w:r w:rsidR="00B16F38" w:rsidRPr="00D21341">
        <w:rPr>
          <w:rFonts w:ascii="Times New Roman" w:hAnsi="Times New Roman"/>
        </w:rPr>
        <w:t xml:space="preserve"> The sample size was reduced </w:t>
      </w:r>
      <w:r w:rsidR="009D3959" w:rsidRPr="00D21341">
        <w:rPr>
          <w:rFonts w:ascii="Times New Roman" w:hAnsi="Times New Roman"/>
        </w:rPr>
        <w:t xml:space="preserve">(n=418) </w:t>
      </w:r>
      <w:r w:rsidR="00B16F38" w:rsidRPr="00D21341">
        <w:rPr>
          <w:rFonts w:ascii="Times New Roman" w:hAnsi="Times New Roman"/>
        </w:rPr>
        <w:t xml:space="preserve">for models where </w:t>
      </w:r>
      <w:r w:rsidR="00DD02C2">
        <w:rPr>
          <w:rFonts w:ascii="Times New Roman" w:hAnsi="Times New Roman"/>
        </w:rPr>
        <w:t>social grade (</w:t>
      </w:r>
      <w:r w:rsidR="00B16F38" w:rsidRPr="00D21341">
        <w:rPr>
          <w:rFonts w:ascii="Times New Roman" w:hAnsi="Times New Roman"/>
        </w:rPr>
        <w:t>NS-SEC</w:t>
      </w:r>
      <w:r w:rsidR="00DD02C2">
        <w:rPr>
          <w:rFonts w:ascii="Times New Roman" w:hAnsi="Times New Roman"/>
        </w:rPr>
        <w:t>)</w:t>
      </w:r>
      <w:r w:rsidR="00B16F38" w:rsidRPr="00D21341">
        <w:rPr>
          <w:rFonts w:ascii="Times New Roman" w:hAnsi="Times New Roman"/>
        </w:rPr>
        <w:t xml:space="preserve"> </w:t>
      </w:r>
      <w:r w:rsidR="00077021" w:rsidRPr="00D21341">
        <w:rPr>
          <w:rFonts w:ascii="Times New Roman" w:hAnsi="Times New Roman"/>
        </w:rPr>
        <w:t xml:space="preserve">of employed veterans </w:t>
      </w:r>
      <w:r w:rsidR="00B16F38" w:rsidRPr="00D21341">
        <w:rPr>
          <w:rFonts w:ascii="Times New Roman" w:hAnsi="Times New Roman"/>
        </w:rPr>
        <w:t>was accounted fo</w:t>
      </w:r>
      <w:r w:rsidR="009D3959" w:rsidRPr="00D21341">
        <w:rPr>
          <w:rFonts w:ascii="Times New Roman" w:hAnsi="Times New Roman"/>
        </w:rPr>
        <w:t>r</w:t>
      </w:r>
      <w:r w:rsidR="00B16F38" w:rsidRPr="00D21341">
        <w:rPr>
          <w:rFonts w:ascii="Times New Roman" w:hAnsi="Times New Roman"/>
        </w:rPr>
        <w:t>.</w:t>
      </w:r>
    </w:p>
    <w:p w14:paraId="33D7FC06" w14:textId="17B3E745" w:rsidR="00E758E3" w:rsidRDefault="00E758E3" w:rsidP="00E758E3">
      <w:pPr>
        <w:pStyle w:val="Heading5"/>
      </w:pPr>
      <w:r w:rsidRPr="00D21341">
        <w:lastRenderedPageBreak/>
        <w:t>Matching samples on age and gender</w:t>
      </w:r>
    </w:p>
    <w:p w14:paraId="747F3196" w14:textId="765AEE4F" w:rsidR="008F784F" w:rsidRDefault="008F784F" w:rsidP="0054237D">
      <w:r>
        <w:t>To enable comparisons between veterans and non-veterans, o</w:t>
      </w:r>
      <w:r w:rsidR="00FA1004">
        <w:t xml:space="preserve">ur </w:t>
      </w:r>
      <w:r w:rsidR="002B0EA9">
        <w:t>non-</w:t>
      </w:r>
      <w:r w:rsidR="00FA1004">
        <w:rPr>
          <w:rFonts w:eastAsia="Calibri" w:cs="Times New Roman"/>
          <w:szCs w:val="22"/>
        </w:rPr>
        <w:t>v</w:t>
      </w:r>
      <w:r w:rsidR="00FA1004" w:rsidRPr="0054237D">
        <w:rPr>
          <w:rFonts w:eastAsia="Calibri" w:cs="Times New Roman"/>
          <w:szCs w:val="22"/>
        </w:rPr>
        <w:t>eteran sample</w:t>
      </w:r>
      <w:r w:rsidR="002B0EA9">
        <w:rPr>
          <w:rFonts w:eastAsia="Calibri" w:cs="Times New Roman"/>
          <w:szCs w:val="22"/>
        </w:rPr>
        <w:t>s</w:t>
      </w:r>
      <w:r w:rsidR="00FA1004" w:rsidRPr="0054237D">
        <w:rPr>
          <w:rFonts w:eastAsia="Calibri" w:cs="Times New Roman"/>
          <w:szCs w:val="22"/>
        </w:rPr>
        <w:t xml:space="preserve"> w</w:t>
      </w:r>
      <w:r w:rsidR="002B0EA9">
        <w:rPr>
          <w:rFonts w:eastAsia="Calibri" w:cs="Times New Roman"/>
          <w:szCs w:val="22"/>
        </w:rPr>
        <w:t>ere</w:t>
      </w:r>
      <w:r w:rsidR="00FA1004" w:rsidRPr="0054237D">
        <w:rPr>
          <w:rFonts w:eastAsia="Calibri" w:cs="Times New Roman"/>
          <w:szCs w:val="22"/>
        </w:rPr>
        <w:t xml:space="preserve"> </w:t>
      </w:r>
      <w:r w:rsidR="00077021">
        <w:rPr>
          <w:rFonts w:eastAsia="Calibri" w:cs="Times New Roman"/>
          <w:szCs w:val="22"/>
        </w:rPr>
        <w:t>reweighted to match</w:t>
      </w:r>
      <w:r w:rsidR="00FA1004" w:rsidRPr="0054237D">
        <w:rPr>
          <w:rFonts w:eastAsia="Calibri" w:cs="Times New Roman"/>
          <w:szCs w:val="22"/>
        </w:rPr>
        <w:t xml:space="preserve"> on</w:t>
      </w:r>
      <w:r w:rsidR="00077021">
        <w:rPr>
          <w:rFonts w:eastAsia="Calibri" w:cs="Times New Roman"/>
          <w:szCs w:val="22"/>
        </w:rPr>
        <w:t xml:space="preserve"> </w:t>
      </w:r>
      <w:r w:rsidR="00FA1004" w:rsidRPr="0054237D">
        <w:rPr>
          <w:rFonts w:eastAsia="Calibri" w:cs="Times New Roman"/>
          <w:szCs w:val="22"/>
        </w:rPr>
        <w:t>age and gender with the veteran sample.</w:t>
      </w:r>
    </w:p>
    <w:p w14:paraId="443CFE15" w14:textId="00337C41" w:rsidR="005D46E0" w:rsidRDefault="004070F0" w:rsidP="004B63EB">
      <w:pPr>
        <w:rPr>
          <w:rFonts w:cs="Times New Roman"/>
        </w:rPr>
      </w:pPr>
      <w:r w:rsidRPr="00B338EE">
        <w:rPr>
          <w:rFonts w:cs="Times New Roman"/>
        </w:rPr>
        <w:t>For our comparison of</w:t>
      </w:r>
      <w:r w:rsidR="00624597" w:rsidRPr="00B338EE">
        <w:rPr>
          <w:rFonts w:cs="Times New Roman"/>
        </w:rPr>
        <w:t xml:space="preserve"> CMD </w:t>
      </w:r>
      <w:r w:rsidR="002404F8" w:rsidRPr="00B338EE">
        <w:rPr>
          <w:rFonts w:cs="Times New Roman"/>
        </w:rPr>
        <w:t>ac</w:t>
      </w:r>
      <w:r w:rsidR="002404F8" w:rsidRPr="00640A45">
        <w:rPr>
          <w:rFonts w:cs="Times New Roman"/>
        </w:rPr>
        <w:t>ross</w:t>
      </w:r>
      <w:r w:rsidR="00624597" w:rsidRPr="00640A45">
        <w:rPr>
          <w:rFonts w:cs="Times New Roman"/>
        </w:rPr>
        <w:t xml:space="preserve"> veterans and non-veterans, </w:t>
      </w:r>
      <w:r w:rsidR="00975764" w:rsidRPr="0054237D">
        <w:rPr>
          <w:rFonts w:cs="Times New Roman"/>
        </w:rPr>
        <w:t xml:space="preserve">KCMHR </w:t>
      </w:r>
      <w:r w:rsidR="00624597" w:rsidRPr="0054237D">
        <w:rPr>
          <w:rFonts w:cs="Times New Roman"/>
        </w:rPr>
        <w:t xml:space="preserve">and UKHLS data were combined into a single dataset. UKHLS </w:t>
      </w:r>
      <w:r w:rsidR="004D03FC" w:rsidRPr="0054237D">
        <w:rPr>
          <w:rFonts w:cs="Times New Roman"/>
        </w:rPr>
        <w:t>participants outside the age range of our veteran sample</w:t>
      </w:r>
      <w:r w:rsidR="00DA0ECE">
        <w:rPr>
          <w:rFonts w:cs="Times New Roman"/>
        </w:rPr>
        <w:t xml:space="preserve"> (22-74</w:t>
      </w:r>
      <w:r w:rsidR="001D4DAF">
        <w:rPr>
          <w:rFonts w:cs="Times New Roman"/>
        </w:rPr>
        <w:t xml:space="preserve"> years</w:t>
      </w:r>
      <w:r w:rsidR="00DA0ECE">
        <w:rPr>
          <w:rFonts w:cs="Times New Roman"/>
        </w:rPr>
        <w:t>)</w:t>
      </w:r>
      <w:r w:rsidR="004D03FC" w:rsidRPr="0054237D">
        <w:rPr>
          <w:rFonts w:cs="Times New Roman"/>
        </w:rPr>
        <w:t xml:space="preserve"> were removed from the sample (n= 8,065) as were those who reported</w:t>
      </w:r>
      <w:r w:rsidR="006311F4" w:rsidRPr="0054237D">
        <w:rPr>
          <w:rFonts w:cs="Times New Roman"/>
        </w:rPr>
        <w:t xml:space="preserve"> currently</w:t>
      </w:r>
      <w:r w:rsidR="005D46E0" w:rsidRPr="0054237D">
        <w:rPr>
          <w:rFonts w:cs="Times New Roman"/>
        </w:rPr>
        <w:t xml:space="preserve"> or previously</w:t>
      </w:r>
      <w:r w:rsidR="004D03FC" w:rsidRPr="0054237D">
        <w:rPr>
          <w:rFonts w:cs="Times New Roman"/>
        </w:rPr>
        <w:t xml:space="preserve"> serving in the armed forces (n=75).</w:t>
      </w:r>
      <w:r w:rsidR="00E53C55" w:rsidRPr="0054237D">
        <w:rPr>
          <w:rFonts w:cs="Times New Roman"/>
        </w:rPr>
        <w:t xml:space="preserve"> </w:t>
      </w:r>
      <w:r w:rsidR="004D03FC" w:rsidRPr="0054237D">
        <w:rPr>
          <w:rFonts w:cs="Times New Roman"/>
        </w:rPr>
        <w:t xml:space="preserve">The remaining sample of </w:t>
      </w:r>
      <w:r w:rsidR="001121FC" w:rsidRPr="0054237D">
        <w:rPr>
          <w:rFonts w:cs="Times New Roman"/>
        </w:rPr>
        <w:t>22,760</w:t>
      </w:r>
      <w:r w:rsidR="004D03FC" w:rsidRPr="0054237D">
        <w:rPr>
          <w:rFonts w:cs="Times New Roman"/>
        </w:rPr>
        <w:t xml:space="preserve"> </w:t>
      </w:r>
      <w:r w:rsidR="00EC4EFC" w:rsidRPr="0054237D">
        <w:rPr>
          <w:rFonts w:cs="Times New Roman"/>
        </w:rPr>
        <w:t>w</w:t>
      </w:r>
      <w:r w:rsidR="007E18B0">
        <w:rPr>
          <w:rFonts w:cs="Times New Roman"/>
        </w:rPr>
        <w:t xml:space="preserve">as </w:t>
      </w:r>
      <w:r w:rsidR="007E18B0">
        <w:rPr>
          <w:rStyle w:val="st"/>
        </w:rPr>
        <w:t xml:space="preserve">reweighted to </w:t>
      </w:r>
      <w:r w:rsidR="007E18B0" w:rsidRPr="00C97DAE">
        <w:rPr>
          <w:rStyle w:val="Emphasis"/>
          <w:i w:val="0"/>
        </w:rPr>
        <w:t>match</w:t>
      </w:r>
      <w:r w:rsidR="007E18B0">
        <w:rPr>
          <w:rStyle w:val="st"/>
        </w:rPr>
        <w:t xml:space="preserve"> the exact age and gender of veterans in the</w:t>
      </w:r>
      <w:r w:rsidR="00624597" w:rsidRPr="0054237D">
        <w:rPr>
          <w:rFonts w:cs="Times New Roman"/>
        </w:rPr>
        <w:t xml:space="preserve"> KCMHR </w:t>
      </w:r>
      <w:r w:rsidRPr="0054237D">
        <w:rPr>
          <w:rFonts w:cs="Times New Roman"/>
        </w:rPr>
        <w:t xml:space="preserve">data </w:t>
      </w:r>
      <w:r w:rsidR="00624597" w:rsidRPr="0054237D">
        <w:rPr>
          <w:rFonts w:cs="Times New Roman"/>
        </w:rPr>
        <w:t xml:space="preserve">using </w:t>
      </w:r>
      <w:r w:rsidR="00FA19A5" w:rsidRPr="0054237D">
        <w:rPr>
          <w:rFonts w:cs="Times New Roman"/>
        </w:rPr>
        <w:t xml:space="preserve">entropy balancing (a multivariate reweighting method described in </w:t>
      </w:r>
      <w:r w:rsidR="00FA19A5" w:rsidRPr="0054237D">
        <w:rPr>
          <w:rFonts w:cs="Times New Roman"/>
        </w:rPr>
        <w:fldChar w:fldCharType="begin"/>
      </w:r>
      <w:r w:rsidR="0072226B">
        <w:rPr>
          <w:rFonts w:cs="Times New Roman"/>
        </w:rPr>
        <w:instrText xml:space="preserve"> ADDIN ZOTERO_ITEM CSL_CITATION {"citationID":"QYRb3KJP","properties":{"formattedCitation":"(Hainmueller, 2012)","plainCitation":"(Hainmueller, 2012)","noteIndex":0},"citationItems":[{"id":381,"uris":["http://zotero.org/users/3740225/items/WTU7WPWH"],"uri":["http://zotero.org/users/3740225/items/WTU7WPWH"],"itemData":{"id":381,"type":"article-journal","container-title":"Political Analysis","ISSN":"1476-4989","issue":"1","journalAbbreviation":"Political Analysis","page":"25-46","title":"Entropy balancing for causal effects: A multivariate reweighting method to produce balanced samples in observational studies","volume":"20","author":[{"family":"Hainmueller","given":"Jens"}],"issued":{"date-parts":[["2012"]]}}}],"schema":"https://github.com/citation-style-language/schema/raw/master/csl-citation.json"} </w:instrText>
      </w:r>
      <w:r w:rsidR="00FA19A5" w:rsidRPr="0054237D">
        <w:rPr>
          <w:rFonts w:cs="Times New Roman"/>
        </w:rPr>
        <w:fldChar w:fldCharType="separate"/>
      </w:r>
      <w:r w:rsidR="0072226B">
        <w:rPr>
          <w:rFonts w:cs="Times New Roman"/>
        </w:rPr>
        <w:t>(Hainmueller, 2012)</w:t>
      </w:r>
      <w:r w:rsidR="00FA19A5" w:rsidRPr="0054237D">
        <w:rPr>
          <w:rFonts w:cs="Times New Roman"/>
        </w:rPr>
        <w:fldChar w:fldCharType="end"/>
      </w:r>
      <w:r w:rsidR="00FA19A5" w:rsidRPr="0054237D">
        <w:rPr>
          <w:rFonts w:cs="Times New Roman"/>
        </w:rPr>
        <w:t>)</w:t>
      </w:r>
      <w:r w:rsidRPr="0054237D">
        <w:rPr>
          <w:rFonts w:cs="Times New Roman"/>
        </w:rPr>
        <w:t xml:space="preserve"> </w:t>
      </w:r>
      <w:r w:rsidR="00624597" w:rsidRPr="0054237D">
        <w:rPr>
          <w:rFonts w:cs="Times New Roman"/>
        </w:rPr>
        <w:t xml:space="preserve">to ensure </w:t>
      </w:r>
      <w:r w:rsidR="00FA19A5" w:rsidRPr="0054237D">
        <w:rPr>
          <w:rFonts w:cs="Times New Roman"/>
        </w:rPr>
        <w:t>c</w:t>
      </w:r>
      <w:r w:rsidR="00A7719A" w:rsidRPr="0054237D">
        <w:rPr>
          <w:rFonts w:cs="Times New Roman"/>
        </w:rPr>
        <w:t>omparability</w:t>
      </w:r>
      <w:r w:rsidR="00624597" w:rsidRPr="0054237D">
        <w:rPr>
          <w:rFonts w:cs="Times New Roman"/>
        </w:rPr>
        <w:t>.</w:t>
      </w:r>
      <w:r w:rsidR="00A337A6" w:rsidRPr="0054237D">
        <w:rPr>
          <w:rFonts w:cs="Times New Roman"/>
        </w:rPr>
        <w:t xml:space="preserve"> </w:t>
      </w:r>
    </w:p>
    <w:p w14:paraId="4DA53278" w14:textId="7DD7A7FA" w:rsidR="00E80FCC" w:rsidRPr="00E80FCC" w:rsidRDefault="00E80FCC" w:rsidP="00E80FCC">
      <w:r w:rsidRPr="00E80FCC">
        <w:t>Entropy balancing allows the researcher to obtain a high degree of covariate balance</w:t>
      </w:r>
      <w:r>
        <w:t xml:space="preserve"> between samples, it is</w:t>
      </w:r>
      <w:r w:rsidRPr="00E80FCC">
        <w:t xml:space="preserve"> </w:t>
      </w:r>
      <w:r>
        <w:t xml:space="preserve">also </w:t>
      </w:r>
      <w:r w:rsidRPr="00E80FCC">
        <w:t>versatile</w:t>
      </w:r>
      <w:r>
        <w:t xml:space="preserve"> and</w:t>
      </w:r>
      <w:r w:rsidRPr="00E80FCC">
        <w:t xml:space="preserve"> retains valuable information in the pre-processed data by allowing the unit weights to vary smoothly across units</w:t>
      </w:r>
      <w:r>
        <w:t>.</w:t>
      </w:r>
      <w:r w:rsidR="002B0EA9">
        <w:t xml:space="preserve"> </w:t>
      </w:r>
      <w:r>
        <w:t>Entropy balancing is only problematic i</w:t>
      </w:r>
      <w:r w:rsidR="00F07DD6">
        <w:t>f</w:t>
      </w:r>
      <w:r>
        <w:t xml:space="preserve"> misused. </w:t>
      </w:r>
      <w:r w:rsidR="002B0EA9">
        <w:t xml:space="preserve">Imposing a large number of constraints or setting unrealistic balance constrains with small </w:t>
      </w:r>
      <w:r w:rsidR="00F0136A">
        <w:t>and/</w:t>
      </w:r>
      <w:r w:rsidR="002B0EA9">
        <w:t xml:space="preserve">or limited data can lead to inflated standard errors.  To avoid this, we have only imposed two constraints (age and gender) and have </w:t>
      </w:r>
      <w:r w:rsidR="00DC29DA">
        <w:t xml:space="preserve">used large </w:t>
      </w:r>
      <w:r w:rsidR="00B977C3">
        <w:t>datasets without unrealistic</w:t>
      </w:r>
      <w:r w:rsidR="00F0136A">
        <w:t xml:space="preserve"> balance</w:t>
      </w:r>
      <w:r w:rsidR="00B977C3">
        <w:t xml:space="preserve"> constraints.</w:t>
      </w:r>
    </w:p>
    <w:p w14:paraId="605DEE55" w14:textId="19753C6C" w:rsidR="00E53C55" w:rsidRPr="00735DDC" w:rsidRDefault="00FA1004" w:rsidP="00C03F75">
      <w:r>
        <w:rPr>
          <w:rFonts w:cs="Times New Roman"/>
        </w:rPr>
        <w:t>Se</w:t>
      </w:r>
      <w:r w:rsidR="002404F8" w:rsidRPr="00C03F75">
        <w:rPr>
          <w:rFonts w:cs="Times New Roman"/>
        </w:rPr>
        <w:t>parate</w:t>
      </w:r>
      <w:r w:rsidR="006E47E7">
        <w:rPr>
          <w:rFonts w:cs="Times New Roman"/>
        </w:rPr>
        <w:t xml:space="preserve"> analys</w:t>
      </w:r>
      <w:r w:rsidR="00C6294F">
        <w:rPr>
          <w:rFonts w:cs="Times New Roman"/>
        </w:rPr>
        <w:t>es</w:t>
      </w:r>
      <w:r w:rsidR="006E47E7">
        <w:rPr>
          <w:rFonts w:cs="Times New Roman"/>
        </w:rPr>
        <w:t xml:space="preserve"> w</w:t>
      </w:r>
      <w:r w:rsidR="00C6294F">
        <w:rPr>
          <w:rFonts w:cs="Times New Roman"/>
        </w:rPr>
        <w:t>ere</w:t>
      </w:r>
      <w:r w:rsidR="006E47E7">
        <w:rPr>
          <w:rFonts w:cs="Times New Roman"/>
        </w:rPr>
        <w:t xml:space="preserve"> conducted for comparisons of</w:t>
      </w:r>
      <w:r>
        <w:rPr>
          <w:rFonts w:cs="Times New Roman"/>
        </w:rPr>
        <w:t xml:space="preserve"> </w:t>
      </w:r>
      <w:r w:rsidR="002404F8" w:rsidRPr="00C03F75">
        <w:rPr>
          <w:rFonts w:cs="Times New Roman"/>
        </w:rPr>
        <w:t xml:space="preserve">PTSD and alcohol misuse </w:t>
      </w:r>
      <w:r w:rsidR="00794C1E">
        <w:rPr>
          <w:rFonts w:cs="Times New Roman"/>
        </w:rPr>
        <w:t>in</w:t>
      </w:r>
      <w:r w:rsidR="00794C1E" w:rsidRPr="00C03F75">
        <w:rPr>
          <w:rFonts w:cs="Times New Roman"/>
        </w:rPr>
        <w:t xml:space="preserve"> </w:t>
      </w:r>
      <w:r w:rsidR="005D46E0" w:rsidRPr="00C03F75">
        <w:rPr>
          <w:rFonts w:cs="Times New Roman"/>
        </w:rPr>
        <w:t xml:space="preserve">veterans and </w:t>
      </w:r>
      <w:r w:rsidR="00794C1E">
        <w:rPr>
          <w:rFonts w:cs="Times New Roman"/>
        </w:rPr>
        <w:t xml:space="preserve">non-veterans where </w:t>
      </w:r>
      <w:r w:rsidR="002404F8" w:rsidRPr="00C03F75">
        <w:rPr>
          <w:rFonts w:cs="Times New Roman"/>
        </w:rPr>
        <w:t>KCMHR and APMS data</w:t>
      </w:r>
      <w:r w:rsidR="005D46E0" w:rsidRPr="00C03F75">
        <w:rPr>
          <w:rFonts w:cs="Times New Roman"/>
        </w:rPr>
        <w:t xml:space="preserve"> were combined into a single dataset. APMS participants outside the age r</w:t>
      </w:r>
      <w:r w:rsidR="00C03F75" w:rsidRPr="00C03F75">
        <w:rPr>
          <w:rFonts w:cs="Times New Roman"/>
        </w:rPr>
        <w:t>ange of the veteran sample (n=1157</w:t>
      </w:r>
      <w:r w:rsidR="005D46E0" w:rsidRPr="00C03F75">
        <w:rPr>
          <w:rFonts w:cs="Times New Roman"/>
        </w:rPr>
        <w:t xml:space="preserve">) or who reported </w:t>
      </w:r>
      <w:r w:rsidR="00BC004E">
        <w:rPr>
          <w:rFonts w:cs="Times New Roman"/>
        </w:rPr>
        <w:t>ever</w:t>
      </w:r>
      <w:r w:rsidR="005D46E0" w:rsidRPr="00C03F75">
        <w:rPr>
          <w:rFonts w:cs="Times New Roman"/>
        </w:rPr>
        <w:t xml:space="preserve"> serving in the </w:t>
      </w:r>
      <w:r w:rsidR="00C03F75" w:rsidRPr="00C03F75">
        <w:rPr>
          <w:rFonts w:cs="Times New Roman"/>
        </w:rPr>
        <w:t>armed forces (n=518</w:t>
      </w:r>
      <w:r w:rsidR="005D46E0" w:rsidRPr="00C03F75">
        <w:rPr>
          <w:rFonts w:cs="Times New Roman"/>
        </w:rPr>
        <w:t>) were excluded.</w:t>
      </w:r>
      <w:r w:rsidR="00C03F75">
        <w:rPr>
          <w:rFonts w:cs="Times New Roman"/>
        </w:rPr>
        <w:t xml:space="preserve"> The remaining sample of 5,871</w:t>
      </w:r>
      <w:r w:rsidR="002404F8" w:rsidRPr="00C03F75">
        <w:rPr>
          <w:rFonts w:cs="Times New Roman"/>
        </w:rPr>
        <w:t xml:space="preserve"> were </w:t>
      </w:r>
      <w:r w:rsidR="00C97DAE">
        <w:rPr>
          <w:rFonts w:cs="Times New Roman"/>
        </w:rPr>
        <w:t>re-weighted to match</w:t>
      </w:r>
      <w:r w:rsidR="002404F8" w:rsidRPr="00C03F75">
        <w:rPr>
          <w:rFonts w:cs="Times New Roman"/>
        </w:rPr>
        <w:t xml:space="preserve"> on age and gender using </w:t>
      </w:r>
      <w:r w:rsidR="00FA19A5" w:rsidRPr="00C03F75">
        <w:rPr>
          <w:rFonts w:cs="Times New Roman"/>
        </w:rPr>
        <w:t>entropy balancing</w:t>
      </w:r>
      <w:r w:rsidR="002404F8" w:rsidRPr="00C03F75">
        <w:rPr>
          <w:rFonts w:cs="Times New Roman"/>
        </w:rPr>
        <w:t xml:space="preserve">. </w:t>
      </w:r>
    </w:p>
    <w:p w14:paraId="159D44A3" w14:textId="4CDE285C" w:rsidR="000A27F8" w:rsidRDefault="00FA19A5" w:rsidP="00F74E46">
      <w:r w:rsidRPr="00735DDC">
        <w:t>For e</w:t>
      </w:r>
      <w:r w:rsidR="00E67000" w:rsidRPr="00735DDC">
        <w:t>ach set of analysis (KCMHR vs UK</w:t>
      </w:r>
      <w:r w:rsidRPr="00735DDC">
        <w:t>HLS &amp; KCMHR vs APMS)</w:t>
      </w:r>
      <w:r>
        <w:t xml:space="preserve"> </w:t>
      </w:r>
      <w:r w:rsidR="00AE4260">
        <w:t>our</w:t>
      </w:r>
      <w:r>
        <w:t xml:space="preserve"> veteran sample was weighted for non-response</w:t>
      </w:r>
      <w:r w:rsidR="00F5552B">
        <w:fldChar w:fldCharType="begin"/>
      </w:r>
      <w:r w:rsidR="0072226B">
        <w:instrText xml:space="preserve"> ADDIN ZOTERO_ITEM CSL_CITATION {"citationID":"mfMQmmPF","properties":{"formattedCitation":"(Stevelink et al., 2018)","plainCitation":"(Stevelink et al., 2018)","noteIndex":0},"citationItems":[{"id":110,"uris":["http://zotero.org/users/3740225/items/UNFP4NDK"],"uri":["http://zotero.org/users/3740225/items/UNFP4NDK"],"itemData":{"id":110,"type":"article-journal","abstract":"BACKGROUND: Little is known about the prevalence of mental health outcomes in UK personnel at the end of the British involvement in the Iraq and Afghanistan conflicts.AimsWe examined the prevalence of mental disorders and alcohol misuse, whether this differed between serving and ex-serving regular personnel and by deployment status.\nMETHOD: This is the third phase of a military cohort study (2014-2016; n = 8093). The sample was based on participants from previous phases (2004-2006 and 2007-2009) and a new randomly selected sample of those who had joined the UK armed forces since 2009.\nRESULTS: The prevalence was 6.2% for probable post-traumatic stress disorder, 21.9% for common mental disorders and 10.0% for alcohol misuse. Deployment to Iraq or Afghanistan and a combat role during deployment were associated with significantly worse mental health outcomes and alcohol misuse in ex-serving regular personnel but not in currently serving regular personnel.\nCONCLUSIONS: The findings highlight an increasing prevalence of post-traumatic stress disorder and a lowering prevalence of alcohol misuse compared with our previous findings and stresses the importance of continued surveillance during service and beyond.\nDECLARATION OF INTEREST: All authors are based at King's College London which, for the purpose of this study and other military-related studies, receives funding from the UK Ministry of Defence (MoD). S.A.M.S., M.J., L.H., D.P., S.M. and R.J.R. salaries were totally or partially paid by the UK MoD. The UK MoD provides support to the Academic Department of Military Mental Health, and the salaries of N.J., N.G. and N.T.F. are covered totally or partly by this contribution. D.Mu. is employed by Combat Stress, a national UK charity that provides clinical mental health services to veterans. D.MacM. is the lead consultant for an NHS Veteran Mental Health Service. N.G. is the Royal College of Psychiatrists' Lead for Military and Veterans' Health, a trustee of Walking with the Wounded, and an independent director at the Forces in Mind Trust; however, he was not directed by these organisations in any way in relation to his contribution to this paper. N.J. is a full-time member of the armed forces seconded to King's College London. N.T.F. reports grants from the US Department of Defense and the UK MoD, is a trustee (unpaid) of The Warrior Programme and an independent advisor to the Independent Group Advising on the Release of Data (IGARD). S.W. is a trustee (unpaid) of Combat Stress and Honorary Civilian Consultant Advisor in Psychiatry for the British Army (unpaid). S.W. is affiliated to the National Institute for Health Research Health Protection Research Unit (NIHR HPRU) in Emergency Preparedness and Response at King's College London in partnership with Public Health England, in collaboration with the University of East Anglia and Newcastle University. The views expressed are those of the author(s) and not necessarily those of the National Health Service, the NIHR, the Department of Health, Public Health England or the UK MoD.","container-title":"The British Journal of Psychiatry: The Journal of Mental Science","DOI":"10.1192/bjp.2018.175","ISSN":"1472-1465","journalAbbreviation":"Br J Psychiatry","language":"eng","note":"PMID: 30295216","page":"1-8","source":"PubMed","title":"Mental health outcomes at the end of the British involvement in the Iraq and Afghanistan conflicts: a cohort study","title-short":"Mental health outcomes at the end of the British involvement in the Iraq and Afghanistan conflicts","author":[{"family":"Stevelink","given":"S"},{"family":"Jones","given":"Margaret"},{"family":"Hull","given":"Lisa"},{"family":"Pernet","given":"David"},{"family":"MacCrimmon","given":"Shirlee"},{"family":"Goodwin","given":"Laura"},{"family":"MacManus","given":"Deirdre"},{"family":"Murphy","given":"Dominic"},{"family":"Jones","given":"Norman"},{"family":"Greenberg","given":"Neil"},{"family":"Rona","given":"Roberto J."},{"family":"Fear","given":"Nicola T."},{"family":"Wessely","given":"Simon"}],"issued":{"date-parts":[["2018",10,8]]}}}],"schema":"https://github.com/citation-style-language/schema/raw/master/csl-citation.json"} </w:instrText>
      </w:r>
      <w:r w:rsidR="00F5552B">
        <w:fldChar w:fldCharType="separate"/>
      </w:r>
      <w:r w:rsidR="0072226B">
        <w:rPr>
          <w:rFonts w:cs="Times New Roman"/>
        </w:rPr>
        <w:t>(Stevelink et al., 2018)</w:t>
      </w:r>
      <w:r w:rsidR="00F5552B">
        <w:fldChar w:fldCharType="end"/>
      </w:r>
      <w:r>
        <w:t xml:space="preserve">, and entropy weights were applied to the respective non-veteran samples </w:t>
      </w:r>
      <w:r w:rsidR="00BC004E">
        <w:t>to ensure age and gender comparability</w:t>
      </w:r>
      <w:r>
        <w:t xml:space="preserve">. All proportions and odds ratios reported </w:t>
      </w:r>
      <w:r w:rsidR="00E064CC">
        <w:t>in this study</w:t>
      </w:r>
      <w:r>
        <w:t xml:space="preserve"> are weighted, frequencies are unweighted. </w:t>
      </w:r>
    </w:p>
    <w:p w14:paraId="536C9B11" w14:textId="5403172F" w:rsidR="005D46E0" w:rsidRDefault="00E758E3" w:rsidP="00E758E3">
      <w:pPr>
        <w:pStyle w:val="Heading5"/>
      </w:pPr>
      <w:r>
        <w:t>Analysis</w:t>
      </w:r>
    </w:p>
    <w:p w14:paraId="7E748F17" w14:textId="4FE6F0D7" w:rsidR="008A618C" w:rsidRPr="00BC4C1A" w:rsidRDefault="0013536C" w:rsidP="00BC4C1A">
      <w:pPr>
        <w:pStyle w:val="ListParagraph"/>
        <w:numPr>
          <w:ilvl w:val="0"/>
          <w:numId w:val="3"/>
        </w:numPr>
      </w:pPr>
      <w:r w:rsidRPr="00BC4C1A">
        <w:t>Prevalence</w:t>
      </w:r>
      <w:r w:rsidR="00C021C6" w:rsidRPr="00BC4C1A">
        <w:t xml:space="preserve"> </w:t>
      </w:r>
      <w:r w:rsidR="00E91A10" w:rsidRPr="00BC4C1A">
        <w:t>of GHQ</w:t>
      </w:r>
      <w:r w:rsidR="00B37087" w:rsidRPr="00BC4C1A">
        <w:t>-12</w:t>
      </w:r>
      <w:r w:rsidRPr="00BC4C1A">
        <w:t xml:space="preserve">, </w:t>
      </w:r>
      <w:r w:rsidR="00E91A10" w:rsidRPr="00BC4C1A">
        <w:t xml:space="preserve">PCL-C </w:t>
      </w:r>
      <w:r w:rsidRPr="00BC4C1A">
        <w:t xml:space="preserve">and </w:t>
      </w:r>
      <w:r w:rsidR="00E91A10" w:rsidRPr="00BC4C1A">
        <w:t>AUDIT</w:t>
      </w:r>
      <w:r w:rsidR="00975764" w:rsidRPr="00BC4C1A">
        <w:t xml:space="preserve"> </w:t>
      </w:r>
      <w:r w:rsidR="00E91A10" w:rsidRPr="00BC4C1A">
        <w:t xml:space="preserve">caseness </w:t>
      </w:r>
      <w:r w:rsidR="00A427A6" w:rsidRPr="00BC4C1A">
        <w:t>were</w:t>
      </w:r>
      <w:r w:rsidR="00975764" w:rsidRPr="00BC4C1A">
        <w:t xml:space="preserve"> calculated</w:t>
      </w:r>
      <w:r w:rsidR="00D65F97" w:rsidRPr="00BC4C1A">
        <w:t>,</w:t>
      </w:r>
      <w:r w:rsidR="00975764" w:rsidRPr="00BC4C1A">
        <w:t xml:space="preserve"> and adjusted logistic regression analyses </w:t>
      </w:r>
      <w:r w:rsidR="00A427A6" w:rsidRPr="00BC4C1A">
        <w:t>used to</w:t>
      </w:r>
      <w:r w:rsidR="00975764" w:rsidRPr="00BC4C1A">
        <w:t xml:space="preserve"> compare veterans</w:t>
      </w:r>
      <w:r w:rsidR="005B3882" w:rsidRPr="00BC4C1A">
        <w:t xml:space="preserve"> and non-veterans in working</w:t>
      </w:r>
      <w:r w:rsidR="00B479FA" w:rsidRPr="00BC4C1A">
        <w:t xml:space="preserve"> and non-working </w:t>
      </w:r>
      <w:r w:rsidR="005B3882" w:rsidRPr="00BC4C1A">
        <w:t xml:space="preserve">groups </w:t>
      </w:r>
      <w:r w:rsidR="00975764" w:rsidRPr="00BC4C1A">
        <w:t xml:space="preserve">after accounting for </w:t>
      </w:r>
      <w:r w:rsidR="00DA2A70" w:rsidRPr="00BC4C1A">
        <w:t>socio-demographic characteristics</w:t>
      </w:r>
      <w:r w:rsidR="00E65C20">
        <w:t xml:space="preserve"> (age, gender, education, marital status, employment and social grade).</w:t>
      </w:r>
      <w:r w:rsidR="003F1CE1" w:rsidRPr="00BC4C1A">
        <w:t xml:space="preserve"> </w:t>
      </w:r>
      <w:r w:rsidR="00665334" w:rsidRPr="00BC4C1A">
        <w:t>These comparisons were stratified by gender</w:t>
      </w:r>
      <w:r w:rsidR="00FA1C01">
        <w:t>,</w:t>
      </w:r>
      <w:r w:rsidR="00B04DF4" w:rsidRPr="00BC4C1A">
        <w:t xml:space="preserve"> as </w:t>
      </w:r>
      <w:r w:rsidR="00FA1C01">
        <w:t>gender</w:t>
      </w:r>
      <w:r w:rsidR="00B04DF4" w:rsidRPr="00BC4C1A">
        <w:t xml:space="preserve"> </w:t>
      </w:r>
      <w:r w:rsidR="00C17B6C">
        <w:t>moderated</w:t>
      </w:r>
      <w:r w:rsidR="00B04DF4" w:rsidRPr="00BC4C1A">
        <w:t xml:space="preserve"> the effect of veteran status on mental health caseness.</w:t>
      </w:r>
    </w:p>
    <w:p w14:paraId="67F3FE25" w14:textId="5554288A" w:rsidR="008A618C" w:rsidRPr="0054237D" w:rsidRDefault="00A35C3F" w:rsidP="00EC7DE9">
      <w:pPr>
        <w:pStyle w:val="ListParagraph"/>
        <w:numPr>
          <w:ilvl w:val="0"/>
          <w:numId w:val="3"/>
        </w:numPr>
      </w:pPr>
      <w:r w:rsidRPr="00BC4C1A">
        <w:t>Caseness for AUDIT and</w:t>
      </w:r>
      <w:r w:rsidR="00B833D2" w:rsidRPr="00BC4C1A">
        <w:t xml:space="preserve"> PCL-C </w:t>
      </w:r>
      <w:r w:rsidR="004D3A09">
        <w:t>domains</w:t>
      </w:r>
      <w:r w:rsidRPr="00BC4C1A">
        <w:t xml:space="preserve"> w</w:t>
      </w:r>
      <w:r w:rsidR="00722301" w:rsidRPr="00BC4C1A">
        <w:t>ere</w:t>
      </w:r>
      <w:r w:rsidR="00975764" w:rsidRPr="00BC4C1A">
        <w:t xml:space="preserve"> compared </w:t>
      </w:r>
      <w:r w:rsidR="006A1D3E" w:rsidRPr="00BC4C1A">
        <w:t xml:space="preserve">between veterans and non-veterans </w:t>
      </w:r>
      <w:r w:rsidR="00975764" w:rsidRPr="00BC4C1A">
        <w:t xml:space="preserve">using </w:t>
      </w:r>
      <w:r w:rsidR="00B47847">
        <w:t>unadjusted</w:t>
      </w:r>
      <w:r w:rsidR="00B833D2" w:rsidRPr="00BC4C1A">
        <w:t xml:space="preserve"> and </w:t>
      </w:r>
      <w:r w:rsidR="00975764" w:rsidRPr="00BC4C1A">
        <w:t>logistic regression</w:t>
      </w:r>
      <w:r w:rsidR="007231F7">
        <w:t>s</w:t>
      </w:r>
      <w:r w:rsidR="00935888">
        <w:t xml:space="preserve"> (adjusting for socio-demographic characteristics)</w:t>
      </w:r>
      <w:r w:rsidR="006A1D3E" w:rsidRPr="00BC4C1A">
        <w:t xml:space="preserve">. </w:t>
      </w:r>
    </w:p>
    <w:p w14:paraId="106D1573" w14:textId="419BA81E" w:rsidR="00EE05C3" w:rsidRPr="008C7BCD" w:rsidRDefault="008C7BCD" w:rsidP="00EE05C3">
      <w:pPr>
        <w:pStyle w:val="ListParagraph"/>
        <w:numPr>
          <w:ilvl w:val="0"/>
          <w:numId w:val="3"/>
        </w:numPr>
      </w:pPr>
      <w:r w:rsidRPr="008C7BCD">
        <w:t xml:space="preserve">Using logistic regression, the association between socio-demographic characteristics and mental health caseness </w:t>
      </w:r>
      <w:r w:rsidR="001D4DAF">
        <w:t>was</w:t>
      </w:r>
      <w:r w:rsidR="001D4DAF" w:rsidRPr="008C7BCD">
        <w:t xml:space="preserve"> </w:t>
      </w:r>
      <w:r w:rsidRPr="008C7BCD">
        <w:t xml:space="preserve">assessed in veteran and non-veteran samples separately. </w:t>
      </w:r>
      <w:r w:rsidR="00622479" w:rsidRPr="008C7BCD">
        <w:t xml:space="preserve">Interaction effects were tested </w:t>
      </w:r>
      <w:r w:rsidR="00262CAA">
        <w:t xml:space="preserve">using a Wald test </w:t>
      </w:r>
      <w:r w:rsidR="00622479" w:rsidRPr="008C7BCD">
        <w:t>to</w:t>
      </w:r>
      <w:r w:rsidR="000724D4">
        <w:t xml:space="preserve"> compare models with and without an interaction term</w:t>
      </w:r>
      <w:r w:rsidR="00622479" w:rsidRPr="008C7BCD">
        <w:t xml:space="preserve"> </w:t>
      </w:r>
      <w:r w:rsidR="005C5756">
        <w:t xml:space="preserve">to </w:t>
      </w:r>
      <w:r w:rsidR="00622479" w:rsidRPr="008C7BCD">
        <w:t>determine whether sociodemographic characteristics moderate</w:t>
      </w:r>
      <w:r w:rsidR="008961CD">
        <w:t>d</w:t>
      </w:r>
      <w:r w:rsidR="00622479" w:rsidRPr="008C7BCD">
        <w:t xml:space="preserve"> the effect of </w:t>
      </w:r>
      <w:r w:rsidR="00453CC4">
        <w:t>being a veteran</w:t>
      </w:r>
      <w:r w:rsidR="008D61EA">
        <w:t xml:space="preserve"> (compared to not being a veteran)</w:t>
      </w:r>
      <w:r w:rsidR="00622479" w:rsidRPr="008C7BCD">
        <w:t xml:space="preserve"> on mental health outcomes. </w:t>
      </w:r>
    </w:p>
    <w:p w14:paraId="468BF31A" w14:textId="01575BBC" w:rsidR="002D218C" w:rsidRPr="00726B4A" w:rsidRDefault="00C816FA" w:rsidP="00BC4C1A">
      <w:pPr>
        <w:pStyle w:val="ListParagraph"/>
        <w:numPr>
          <w:ilvl w:val="0"/>
          <w:numId w:val="3"/>
        </w:numPr>
      </w:pPr>
      <w:r w:rsidRPr="00726B4A">
        <w:t>S</w:t>
      </w:r>
      <w:r w:rsidR="002D218C" w:rsidRPr="00726B4A">
        <w:t xml:space="preserve">ensitivity analyses were conducted </w:t>
      </w:r>
      <w:r w:rsidR="00545A79" w:rsidRPr="00726B4A">
        <w:t xml:space="preserve">in males and females separately </w:t>
      </w:r>
      <w:r w:rsidR="002D218C" w:rsidRPr="00726B4A">
        <w:t xml:space="preserve">to examine </w:t>
      </w:r>
      <w:r w:rsidR="00545A79" w:rsidRPr="00726B4A">
        <w:t>differences between</w:t>
      </w:r>
      <w:r w:rsidR="002D218C" w:rsidRPr="00726B4A">
        <w:t xml:space="preserve"> veterans and non-veterans</w:t>
      </w:r>
      <w:r w:rsidR="00545A79" w:rsidRPr="00726B4A">
        <w:t>, stratifying the samples based upon the</w:t>
      </w:r>
      <w:r w:rsidR="00DD02C2" w:rsidRPr="00726B4A">
        <w:t xml:space="preserve"> </w:t>
      </w:r>
      <w:r w:rsidR="003B1CFD" w:rsidRPr="00726B4A">
        <w:t>veteran</w:t>
      </w:r>
      <w:r w:rsidR="00DD02C2" w:rsidRPr="00726B4A">
        <w:t>s</w:t>
      </w:r>
      <w:r w:rsidR="00545A79" w:rsidRPr="00726B4A">
        <w:t>’</w:t>
      </w:r>
      <w:r w:rsidR="003B1CFD" w:rsidRPr="00726B4A">
        <w:t xml:space="preserve"> military</w:t>
      </w:r>
      <w:r w:rsidR="002D218C" w:rsidRPr="00726B4A">
        <w:t xml:space="preserve"> experience</w:t>
      </w:r>
      <w:r w:rsidR="008C7BCD" w:rsidRPr="00726B4A">
        <w:t xml:space="preserve">. </w:t>
      </w:r>
      <w:r w:rsidR="002D218C" w:rsidRPr="00726B4A">
        <w:t xml:space="preserve">The veteran sample was stratified by </w:t>
      </w:r>
      <w:r w:rsidR="00545A79" w:rsidRPr="00726B4A">
        <w:t xml:space="preserve">i) </w:t>
      </w:r>
      <w:r w:rsidR="002D218C" w:rsidRPr="00726B4A">
        <w:t>deploy</w:t>
      </w:r>
      <w:r w:rsidR="007C0B59" w:rsidRPr="00726B4A">
        <w:t>ment</w:t>
      </w:r>
      <w:r w:rsidR="002D218C" w:rsidRPr="00726B4A">
        <w:t xml:space="preserve"> </w:t>
      </w:r>
      <w:r w:rsidR="007C0B59" w:rsidRPr="00726B4A">
        <w:t>to</w:t>
      </w:r>
      <w:r w:rsidR="002D218C" w:rsidRPr="00726B4A">
        <w:t xml:space="preserve"> Iraq or Afghanistan (yes, no) and</w:t>
      </w:r>
      <w:r w:rsidR="00545A79" w:rsidRPr="00726B4A">
        <w:t xml:space="preserve"> ii) restricted to only</w:t>
      </w:r>
      <w:r w:rsidR="00114770" w:rsidRPr="00726B4A">
        <w:t xml:space="preserve"> those who were deployed, </w:t>
      </w:r>
      <w:r w:rsidR="00A853FE" w:rsidRPr="00726B4A">
        <w:t xml:space="preserve">whether they </w:t>
      </w:r>
      <w:r w:rsidR="00545A79" w:rsidRPr="00726B4A">
        <w:t xml:space="preserve">had </w:t>
      </w:r>
      <w:r w:rsidR="00C04480" w:rsidRPr="00726B4A">
        <w:t xml:space="preserve">deployed </w:t>
      </w:r>
      <w:r w:rsidR="00A853FE" w:rsidRPr="00726B4A">
        <w:t xml:space="preserve">in a </w:t>
      </w:r>
      <w:r w:rsidR="002D218C" w:rsidRPr="00726B4A">
        <w:t xml:space="preserve">combat </w:t>
      </w:r>
      <w:r w:rsidR="00A853FE" w:rsidRPr="00726B4A">
        <w:t>role</w:t>
      </w:r>
      <w:r w:rsidR="002D218C" w:rsidRPr="00726B4A">
        <w:t xml:space="preserve"> (yes, no)</w:t>
      </w:r>
      <w:r w:rsidR="00545A79" w:rsidRPr="00726B4A">
        <w:t xml:space="preserve"> (in males only)</w:t>
      </w:r>
      <w:r w:rsidR="002D218C" w:rsidRPr="00726B4A">
        <w:t xml:space="preserve">. Veterans within </w:t>
      </w:r>
      <w:r w:rsidR="00A853FE" w:rsidRPr="00726B4A">
        <w:t xml:space="preserve">each of </w:t>
      </w:r>
      <w:r w:rsidR="002D218C" w:rsidRPr="00726B4A">
        <w:t>these strata were matched on age and gender to non-veterans, and the prevalence of probable CMD, PTSD and alcohol misuse was compared</w:t>
      </w:r>
      <w:r w:rsidR="0004168A" w:rsidRPr="00726B4A">
        <w:t xml:space="preserve"> using logis</w:t>
      </w:r>
      <w:r w:rsidR="003E09E9" w:rsidRPr="00726B4A">
        <w:t>tic regression</w:t>
      </w:r>
      <w:r w:rsidR="00E9067C" w:rsidRPr="00726B4A">
        <w:t xml:space="preserve"> before and after adjusting for </w:t>
      </w:r>
      <w:r w:rsidR="00A92664" w:rsidRPr="00726B4A">
        <w:t xml:space="preserve">education and marital status (as indictors of socio-economic status and </w:t>
      </w:r>
      <w:r w:rsidR="00545A79" w:rsidRPr="00726B4A">
        <w:t xml:space="preserve">a proxy for </w:t>
      </w:r>
      <w:r w:rsidR="00A92664" w:rsidRPr="00726B4A">
        <w:t>social support)</w:t>
      </w:r>
      <w:r w:rsidR="002D218C" w:rsidRPr="00726B4A">
        <w:t xml:space="preserve">. </w:t>
      </w:r>
    </w:p>
    <w:p w14:paraId="7436AEFD" w14:textId="6C6F6DD0" w:rsidR="00E16336" w:rsidRDefault="00D4116B" w:rsidP="001B6ADD">
      <w:pPr>
        <w:rPr>
          <w:rFonts w:cs="Times New Roman"/>
          <w:b/>
          <w:bCs/>
          <w:color w:val="002060"/>
          <w:sz w:val="28"/>
        </w:rPr>
      </w:pPr>
      <w:r>
        <w:rPr>
          <w:szCs w:val="22"/>
        </w:rPr>
        <w:t>All data wa</w:t>
      </w:r>
      <w:r w:rsidRPr="004F41BE">
        <w:rPr>
          <w:szCs w:val="22"/>
        </w:rPr>
        <w:t>s analysed using the statistical software package Stata (version 14).</w:t>
      </w:r>
      <w:bookmarkStart w:id="13" w:name="_Hlk509330402"/>
    </w:p>
    <w:p w14:paraId="476CB110" w14:textId="5A6F204A" w:rsidR="00721A20" w:rsidRDefault="00B74C08" w:rsidP="009347B5">
      <w:pPr>
        <w:pStyle w:val="Heading1"/>
      </w:pPr>
      <w:r>
        <w:lastRenderedPageBreak/>
        <w:t>Results</w:t>
      </w:r>
    </w:p>
    <w:p w14:paraId="4EE08158" w14:textId="4D5EDD88" w:rsidR="003403B2" w:rsidRDefault="005A05C9" w:rsidP="0047595D">
      <w:bookmarkStart w:id="14" w:name="_Hlk513021570"/>
      <w:r w:rsidRPr="005A05C9">
        <w:t>Table 1 shows the s</w:t>
      </w:r>
      <w:r w:rsidR="00F758D4" w:rsidRPr="005A05C9">
        <w:t xml:space="preserve">ociodemographic characteristics for KCMHR, APMS and UKHLS samples </w:t>
      </w:r>
      <w:r w:rsidRPr="005A05C9">
        <w:t>after entropy balancing.</w:t>
      </w:r>
      <w:r w:rsidR="00F758D4" w:rsidRPr="005A05C9">
        <w:t xml:space="preserve"> </w:t>
      </w:r>
    </w:p>
    <w:p w14:paraId="604C22B0" w14:textId="0F384139" w:rsidR="005356C3" w:rsidRDefault="005356C3" w:rsidP="006B7D8E">
      <w:pPr>
        <w:pStyle w:val="Heading2"/>
      </w:pPr>
      <w:r w:rsidRPr="004F3EF9">
        <w:t>Mental health prevalence and employment status</w:t>
      </w:r>
    </w:p>
    <w:p w14:paraId="3270E738" w14:textId="071A9F46" w:rsidR="00F74E46" w:rsidRDefault="00B96808" w:rsidP="00F74E46">
      <w:r>
        <w:t xml:space="preserve">Overall, veterans report </w:t>
      </w:r>
      <w:r w:rsidR="00615228">
        <w:t xml:space="preserve">significantly </w:t>
      </w:r>
      <w:r>
        <w:t>higher prevalence of CMD (23% vs 16%), PTSD (</w:t>
      </w:r>
      <w:r w:rsidR="00A853FE">
        <w:t>8</w:t>
      </w:r>
      <w:r>
        <w:t>% vs 5%) and alcohol misuse (1</w:t>
      </w:r>
      <w:r w:rsidR="00A853FE">
        <w:t>1</w:t>
      </w:r>
      <w:r>
        <w:t xml:space="preserve">% vs </w:t>
      </w:r>
      <w:r w:rsidR="00A853FE">
        <w:t>6</w:t>
      </w:r>
      <w:r>
        <w:t>%) than non-veterans (see Table 2).</w:t>
      </w:r>
      <w:r w:rsidR="00F74E46">
        <w:t xml:space="preserve"> </w:t>
      </w:r>
      <w:bookmarkEnd w:id="14"/>
      <w:r w:rsidR="00F74E46">
        <w:t>Caseness for CMD and PTSD is also significantly lower for working people compared to non-working people</w:t>
      </w:r>
      <w:r w:rsidR="0014770C">
        <w:t xml:space="preserve"> for </w:t>
      </w:r>
      <w:r w:rsidR="00B81742">
        <w:t>both veterans and non-veterans</w:t>
      </w:r>
      <w:r w:rsidR="00F74E46">
        <w:t>.</w:t>
      </w:r>
    </w:p>
    <w:p w14:paraId="51999BD2" w14:textId="40AFC6F8" w:rsidR="00547BEC" w:rsidRDefault="00754BC0" w:rsidP="00547BEC">
      <w:pPr>
        <w:spacing w:before="120"/>
      </w:pPr>
      <w:r w:rsidRPr="00A97744">
        <w:t xml:space="preserve">Amongst men, </w:t>
      </w:r>
      <w:r w:rsidR="0067135F">
        <w:t>being a veteran</w:t>
      </w:r>
      <w:r w:rsidR="00932CA1" w:rsidRPr="00A97744">
        <w:t xml:space="preserve"> </w:t>
      </w:r>
      <w:r w:rsidR="008E6582">
        <w:t>was</w:t>
      </w:r>
      <w:r w:rsidR="008E6582" w:rsidRPr="00A97744">
        <w:t xml:space="preserve"> </w:t>
      </w:r>
      <w:r w:rsidR="003F1CE1" w:rsidRPr="00A97744">
        <w:t xml:space="preserve">significantly </w:t>
      </w:r>
      <w:r w:rsidR="00932CA1" w:rsidRPr="00A97744">
        <w:t xml:space="preserve">associated with </w:t>
      </w:r>
      <w:r w:rsidR="0067135F">
        <w:t>reporting probable</w:t>
      </w:r>
      <w:r w:rsidR="00B96808">
        <w:t xml:space="preserve"> CMD</w:t>
      </w:r>
      <w:r w:rsidR="00932CA1" w:rsidRPr="00A97744">
        <w:t xml:space="preserve"> for</w:t>
      </w:r>
      <w:r w:rsidR="003F1CE1" w:rsidRPr="00A97744">
        <w:t xml:space="preserve"> both</w:t>
      </w:r>
      <w:r w:rsidR="00932CA1" w:rsidRPr="00A97744">
        <w:t xml:space="preserve"> </w:t>
      </w:r>
      <w:r w:rsidR="0003041C" w:rsidRPr="00A97744">
        <w:t>working and non-working groups</w:t>
      </w:r>
      <w:r w:rsidR="00C12898">
        <w:t>.</w:t>
      </w:r>
      <w:r w:rsidR="0003041C" w:rsidRPr="00A97744">
        <w:t xml:space="preserve"> </w:t>
      </w:r>
      <w:r w:rsidR="00C12898">
        <w:t>T</w:t>
      </w:r>
      <w:r w:rsidR="0003041C" w:rsidRPr="00A97744">
        <w:t>he strength and s</w:t>
      </w:r>
      <w:r w:rsidR="0003041C" w:rsidRPr="001A1FD6">
        <w:t>ignificance of these associations remains largely unchanged when adjusting for socio-demographic characteristics.</w:t>
      </w:r>
      <w:r w:rsidR="001A1FD6" w:rsidRPr="001A1FD6">
        <w:t xml:space="preserve"> </w:t>
      </w:r>
      <w:r w:rsidR="008E6582">
        <w:t>There was</w:t>
      </w:r>
      <w:r w:rsidR="00547BEC" w:rsidRPr="00131EB7">
        <w:t xml:space="preserve"> no significant difference in CMD prevalence between female veterans and female non-vetera</w:t>
      </w:r>
      <w:r w:rsidR="00607C35">
        <w:t xml:space="preserve">ns </w:t>
      </w:r>
      <w:r w:rsidR="00657CEA">
        <w:t>regardless of working group</w:t>
      </w:r>
      <w:r w:rsidR="007B0CFE">
        <w:t>.</w:t>
      </w:r>
      <w:r w:rsidR="00B66456">
        <w:t xml:space="preserve"> </w:t>
      </w:r>
    </w:p>
    <w:p w14:paraId="0CFF63D3" w14:textId="5A923CCC" w:rsidR="007F31E1" w:rsidRDefault="00C12898" w:rsidP="004522D4">
      <w:r>
        <w:t>Male veterans in both working and non-working groups were significantly more likely to report</w:t>
      </w:r>
      <w:r w:rsidR="007F31E1" w:rsidRPr="00771DB4">
        <w:t xml:space="preserve"> probable PTSD</w:t>
      </w:r>
      <w:r>
        <w:t xml:space="preserve"> than non-veterans</w:t>
      </w:r>
      <w:r w:rsidR="00A801D8">
        <w:t xml:space="preserve">. </w:t>
      </w:r>
      <w:r w:rsidR="00515EB7">
        <w:t>F</w:t>
      </w:r>
      <w:r w:rsidR="007D4150">
        <w:t xml:space="preserve">emale veterans in employment were </w:t>
      </w:r>
      <w:r w:rsidR="00A368B9" w:rsidRPr="00515EB7">
        <w:t>significant</w:t>
      </w:r>
      <w:r w:rsidR="003845BD">
        <w:t>ly</w:t>
      </w:r>
      <w:r w:rsidR="00A368B9" w:rsidRPr="00515EB7">
        <w:t xml:space="preserve"> </w:t>
      </w:r>
      <w:r w:rsidR="007D4150" w:rsidRPr="00515EB7">
        <w:t xml:space="preserve">more likely to </w:t>
      </w:r>
      <w:r w:rsidR="00615228" w:rsidRPr="00515EB7">
        <w:t>report probable</w:t>
      </w:r>
      <w:r w:rsidR="00911FAB" w:rsidRPr="00515EB7">
        <w:t xml:space="preserve"> PTSD</w:t>
      </w:r>
      <w:r w:rsidR="00615228" w:rsidRPr="00515EB7">
        <w:t xml:space="preserve"> than employed women from the general population</w:t>
      </w:r>
      <w:r w:rsidR="00122671">
        <w:t xml:space="preserve"> (t</w:t>
      </w:r>
      <w:r w:rsidR="00515EB7">
        <w:t xml:space="preserve">here </w:t>
      </w:r>
      <w:r w:rsidR="003E4524">
        <w:t>was</w:t>
      </w:r>
      <w:r w:rsidR="00515EB7">
        <w:t xml:space="preserve"> no significant difference amongst non-working women</w:t>
      </w:r>
      <w:r w:rsidR="00122671">
        <w:t>)</w:t>
      </w:r>
      <w:r w:rsidR="00515EB7">
        <w:t>.</w:t>
      </w:r>
    </w:p>
    <w:p w14:paraId="4FA66ADB" w14:textId="2E17BB65" w:rsidR="00884FCC" w:rsidRDefault="00A964B6" w:rsidP="0014136F">
      <w:r>
        <w:t xml:space="preserve">Only employed male veterans were significantly more likely to report alcohol misuse than their non-veteran counterparts. </w:t>
      </w:r>
      <w:r w:rsidRPr="00A964B6">
        <w:t>B</w:t>
      </w:r>
      <w:r w:rsidR="00453CC4" w:rsidRPr="00A964B6">
        <w:t>eing a veteran</w:t>
      </w:r>
      <w:r w:rsidR="00E945D9" w:rsidRPr="00A964B6">
        <w:t xml:space="preserve"> </w:t>
      </w:r>
      <w:r w:rsidRPr="00A964B6">
        <w:t xml:space="preserve">was not found to be associated with reporting </w:t>
      </w:r>
      <w:r w:rsidR="00E945D9" w:rsidRPr="00A964B6">
        <w:t>alcohol misuse for women</w:t>
      </w:r>
      <w:r w:rsidR="00097B15">
        <w:t>,</w:t>
      </w:r>
      <w:r w:rsidR="00246372" w:rsidRPr="00A964B6">
        <w:t xml:space="preserve"> regardless of working group</w:t>
      </w:r>
      <w:r w:rsidR="001559F2" w:rsidRPr="00A964B6">
        <w:t>.</w:t>
      </w:r>
    </w:p>
    <w:p w14:paraId="605DDFA1" w14:textId="24ED77FA" w:rsidR="005356C3" w:rsidRDefault="004D3A09" w:rsidP="006B7D8E">
      <w:pPr>
        <w:pStyle w:val="Heading2"/>
      </w:pPr>
      <w:r>
        <w:t>Domains</w:t>
      </w:r>
    </w:p>
    <w:p w14:paraId="44EDBA4A" w14:textId="071463B3" w:rsidR="00410820" w:rsidRPr="0014136F" w:rsidRDefault="00FE3C6D" w:rsidP="00A63436">
      <w:pPr>
        <w:spacing w:before="120"/>
      </w:pPr>
      <w:bookmarkStart w:id="15" w:name="_Hlk516149615"/>
      <w:r w:rsidRPr="00B338EE">
        <w:t xml:space="preserve">Male veterans </w:t>
      </w:r>
      <w:r w:rsidR="00720FFB">
        <w:t>were</w:t>
      </w:r>
      <w:r w:rsidRPr="00B338EE">
        <w:t xml:space="preserve"> significantly more likely </w:t>
      </w:r>
      <w:r w:rsidR="009350A5" w:rsidRPr="00B338EE">
        <w:t xml:space="preserve">to </w:t>
      </w:r>
      <w:r w:rsidR="00E15E96" w:rsidRPr="0054237D">
        <w:t xml:space="preserve">meet criteria for </w:t>
      </w:r>
      <w:r w:rsidR="00255D02">
        <w:t>all</w:t>
      </w:r>
      <w:r w:rsidR="009350A5" w:rsidRPr="00B338EE">
        <w:t xml:space="preserve"> PTSD </w:t>
      </w:r>
      <w:r w:rsidR="004D3A09">
        <w:t>domains</w:t>
      </w:r>
      <w:r w:rsidR="00AA47DB">
        <w:t xml:space="preserve">. </w:t>
      </w:r>
      <w:r w:rsidR="00074411">
        <w:t>T</w:t>
      </w:r>
      <w:r w:rsidR="00410820" w:rsidRPr="00410820">
        <w:t xml:space="preserve">here </w:t>
      </w:r>
      <w:r w:rsidR="00C32EBD">
        <w:t>was</w:t>
      </w:r>
      <w:r w:rsidR="00410820" w:rsidRPr="00410820">
        <w:t xml:space="preserve"> no </w:t>
      </w:r>
      <w:r w:rsidR="00B16F38">
        <w:t xml:space="preserve">statistically </w:t>
      </w:r>
      <w:r w:rsidR="00410820" w:rsidRPr="00410820">
        <w:t xml:space="preserve">significant association between </w:t>
      </w:r>
      <w:r w:rsidR="00453CC4">
        <w:t>being a veteran</w:t>
      </w:r>
      <w:r w:rsidR="00410820" w:rsidRPr="00410820">
        <w:t xml:space="preserve"> and </w:t>
      </w:r>
      <w:r w:rsidR="00255D02">
        <w:t xml:space="preserve">any PTSD </w:t>
      </w:r>
      <w:r w:rsidR="009D6ACC">
        <w:t>domain</w:t>
      </w:r>
      <w:r w:rsidR="00E4775D">
        <w:t xml:space="preserve"> </w:t>
      </w:r>
      <w:r w:rsidR="00410820" w:rsidRPr="00410820">
        <w:t xml:space="preserve">for women. </w:t>
      </w:r>
      <w:r w:rsidR="00E945D9" w:rsidRPr="00600061">
        <w:t xml:space="preserve">Male veterans </w:t>
      </w:r>
      <w:r w:rsidR="00006ADE">
        <w:t>were</w:t>
      </w:r>
      <w:r w:rsidR="00E945D9" w:rsidRPr="00600061">
        <w:t xml:space="preserve"> significantly more likely to meet the criteria for hazardous, dependen</w:t>
      </w:r>
      <w:r w:rsidR="00E945D9">
        <w:t>t</w:t>
      </w:r>
      <w:r w:rsidR="00E945D9" w:rsidRPr="00600061">
        <w:t xml:space="preserve"> and harmful drinking than non-veterans. </w:t>
      </w:r>
      <w:r w:rsidR="00E945D9" w:rsidRPr="00202133">
        <w:t xml:space="preserve">Female </w:t>
      </w:r>
      <w:r w:rsidR="00093815" w:rsidRPr="00202133">
        <w:t xml:space="preserve">veterans </w:t>
      </w:r>
      <w:r w:rsidR="00093815">
        <w:t>were</w:t>
      </w:r>
      <w:r w:rsidR="00E945D9" w:rsidRPr="00202133">
        <w:t xml:space="preserve"> significantly more likely to report </w:t>
      </w:r>
      <w:r w:rsidR="00074411">
        <w:t>symptoms of hazardous drinking only</w:t>
      </w:r>
      <w:r w:rsidR="00DD02C2">
        <w:t xml:space="preserve"> (compared to female non-veterans)</w:t>
      </w:r>
      <w:r w:rsidR="00453CC4">
        <w:t xml:space="preserve"> (see Table 3)</w:t>
      </w:r>
      <w:r w:rsidR="00074411">
        <w:t>.</w:t>
      </w:r>
    </w:p>
    <w:bookmarkEnd w:id="13"/>
    <w:bookmarkEnd w:id="15"/>
    <w:p w14:paraId="62FD1B9D" w14:textId="2CDB16B1" w:rsidR="005356C3" w:rsidRPr="004306A9" w:rsidRDefault="005356C3" w:rsidP="006B7D8E">
      <w:pPr>
        <w:pStyle w:val="Heading2"/>
      </w:pPr>
      <w:r w:rsidRPr="004306A9">
        <w:t>S</w:t>
      </w:r>
      <w:r w:rsidR="00392305" w:rsidRPr="004306A9">
        <w:t xml:space="preserve">ociodemographic characteristics associated with poor mental health </w:t>
      </w:r>
      <w:r w:rsidRPr="004306A9">
        <w:rPr>
          <w:color w:val="FFFFFF" w:themeColor="background1"/>
        </w:rPr>
        <w:t>s</w:t>
      </w:r>
    </w:p>
    <w:p w14:paraId="29C6DC03" w14:textId="1A557C1B" w:rsidR="00B27191" w:rsidRPr="004306A9" w:rsidRDefault="00F05D28" w:rsidP="00232636">
      <w:r w:rsidRPr="004306A9">
        <w:t>Table 4</w:t>
      </w:r>
      <w:r w:rsidR="00006BBB" w:rsidRPr="004306A9">
        <w:t xml:space="preserve"> </w:t>
      </w:r>
      <w:r w:rsidR="00232636" w:rsidRPr="004306A9">
        <w:t>shows the age</w:t>
      </w:r>
      <w:r w:rsidR="00B27191" w:rsidRPr="004306A9">
        <w:t xml:space="preserve"> and gender </w:t>
      </w:r>
      <w:r w:rsidR="00232636" w:rsidRPr="004306A9">
        <w:t>adjusted associations between socio-demographic characteristics and mental health caseness for</w:t>
      </w:r>
      <w:r w:rsidR="00EB3DA9" w:rsidRPr="004306A9">
        <w:t xml:space="preserve"> </w:t>
      </w:r>
      <w:r w:rsidR="00232636" w:rsidRPr="004306A9">
        <w:t>veterans and non-veterans</w:t>
      </w:r>
      <w:r w:rsidR="00EB3DA9" w:rsidRPr="004306A9">
        <w:t xml:space="preserve"> separately</w:t>
      </w:r>
      <w:r w:rsidR="00232636" w:rsidRPr="004306A9">
        <w:t xml:space="preserve">. </w:t>
      </w:r>
    </w:p>
    <w:p w14:paraId="7EB952BE" w14:textId="77777777" w:rsidR="00E67972" w:rsidRPr="004306A9" w:rsidRDefault="00E67972" w:rsidP="00E67972">
      <w:pPr>
        <w:pStyle w:val="Heading5"/>
      </w:pPr>
      <w:r w:rsidRPr="004306A9">
        <w:t>Common Mental Disorders</w:t>
      </w:r>
    </w:p>
    <w:p w14:paraId="4FB9ED13" w14:textId="07FAEB0C" w:rsidR="00B635C6" w:rsidRDefault="00DD78CB" w:rsidP="00F1212B">
      <w:r w:rsidRPr="004306A9">
        <w:t>E</w:t>
      </w:r>
      <w:r w:rsidR="00045434" w:rsidRPr="004306A9">
        <w:t>mployment</w:t>
      </w:r>
      <w:r w:rsidRPr="004306A9">
        <w:t xml:space="preserve"> status</w:t>
      </w:r>
      <w:r w:rsidR="00C542D1" w:rsidRPr="004306A9">
        <w:t xml:space="preserve"> (</w:t>
      </w:r>
      <w:r w:rsidR="008E4167" w:rsidRPr="004306A9">
        <w:t>p</w:t>
      </w:r>
      <w:r w:rsidR="00276B92" w:rsidRPr="004306A9">
        <w:t>&lt;0.01, chi2=12</w:t>
      </w:r>
      <w:r w:rsidR="008E4167" w:rsidRPr="004306A9">
        <w:t>.</w:t>
      </w:r>
      <w:r w:rsidR="00276B92" w:rsidRPr="004306A9">
        <w:t>9, df=4</w:t>
      </w:r>
      <w:r w:rsidR="00C542D1" w:rsidRPr="004306A9">
        <w:t>)</w:t>
      </w:r>
      <w:r w:rsidR="00F47DF5" w:rsidRPr="004306A9">
        <w:t>, gender (</w:t>
      </w:r>
      <w:r w:rsidR="008E4167" w:rsidRPr="004306A9">
        <w:t>p&lt;0.00</w:t>
      </w:r>
      <w:r w:rsidR="003046A3">
        <w:t>5</w:t>
      </w:r>
      <w:r w:rsidR="008E4167" w:rsidRPr="004306A9">
        <w:t>, chi2=9.2, df=1</w:t>
      </w:r>
      <w:r w:rsidR="00F47DF5" w:rsidRPr="004306A9">
        <w:t>)</w:t>
      </w:r>
      <w:r w:rsidR="00045434" w:rsidRPr="004306A9">
        <w:t xml:space="preserve"> and age</w:t>
      </w:r>
      <w:r w:rsidRPr="004306A9">
        <w:t xml:space="preserve"> </w:t>
      </w:r>
      <w:r w:rsidR="00C542D1" w:rsidRPr="004306A9">
        <w:t>(</w:t>
      </w:r>
      <w:r w:rsidR="008E4167" w:rsidRPr="004306A9">
        <w:t>p</w:t>
      </w:r>
      <w:r w:rsidR="00276B92" w:rsidRPr="004306A9">
        <w:t>&lt;0.0</w:t>
      </w:r>
      <w:r w:rsidR="00153FD1">
        <w:t>5</w:t>
      </w:r>
      <w:r w:rsidR="00276B92" w:rsidRPr="004306A9">
        <w:t xml:space="preserve"> chi2=11.1, df=4</w:t>
      </w:r>
      <w:r w:rsidR="00C542D1" w:rsidRPr="004306A9">
        <w:t xml:space="preserve">) </w:t>
      </w:r>
      <w:r w:rsidR="00006ADE" w:rsidRPr="004306A9">
        <w:t>were</w:t>
      </w:r>
      <w:r w:rsidRPr="004306A9">
        <w:t xml:space="preserve"> found to significantly moderate the effect of </w:t>
      </w:r>
      <w:r w:rsidR="00453CC4">
        <w:t>veteran</w:t>
      </w:r>
      <w:r w:rsidRPr="004306A9">
        <w:t xml:space="preserve"> </w:t>
      </w:r>
      <w:r w:rsidR="006C5456" w:rsidDel="006C5456">
        <w:t xml:space="preserve"> </w:t>
      </w:r>
      <w:r w:rsidRPr="004306A9">
        <w:t>on CMD.</w:t>
      </w:r>
      <w:r w:rsidR="00045434" w:rsidRPr="004306A9">
        <w:t xml:space="preserve"> </w:t>
      </w:r>
    </w:p>
    <w:p w14:paraId="7D5BB4F1" w14:textId="17D1EF12" w:rsidR="00AB43C0" w:rsidRPr="004306A9" w:rsidRDefault="004B5732" w:rsidP="00F1212B">
      <w:r>
        <w:t>B</w:t>
      </w:r>
      <w:r w:rsidR="006F49E2" w:rsidRPr="004306A9">
        <w:t>eing unemployed and long term ill or disabled was associated with CMD caseness</w:t>
      </w:r>
      <w:r>
        <w:t xml:space="preserve"> for both veterans and non-veterans, </w:t>
      </w:r>
      <w:r w:rsidR="00DD02C2">
        <w:t>al</w:t>
      </w:r>
      <w:r w:rsidR="006F49E2" w:rsidRPr="004306A9">
        <w:t xml:space="preserve">though </w:t>
      </w:r>
      <w:r w:rsidR="00FE7B25">
        <w:t xml:space="preserve">the size of the effect was larger </w:t>
      </w:r>
      <w:r w:rsidR="006F49E2" w:rsidRPr="004306A9">
        <w:t xml:space="preserve">for veterans. </w:t>
      </w:r>
      <w:r w:rsidR="00DD78CB" w:rsidRPr="004306A9">
        <w:t>Amongst</w:t>
      </w:r>
      <w:r w:rsidR="007E7EAA" w:rsidRPr="004306A9">
        <w:t xml:space="preserve"> the general </w:t>
      </w:r>
      <w:r w:rsidR="006F49E2">
        <w:t>p</w:t>
      </w:r>
      <w:r w:rsidR="007E7EAA" w:rsidRPr="004306A9">
        <w:t xml:space="preserve">opulation, </w:t>
      </w:r>
      <w:r w:rsidR="00DD78CB" w:rsidRPr="004306A9">
        <w:t xml:space="preserve">gender </w:t>
      </w:r>
      <w:r w:rsidR="008F19CA" w:rsidRPr="004306A9">
        <w:t>was</w:t>
      </w:r>
      <w:r w:rsidR="00DD78CB" w:rsidRPr="004306A9">
        <w:t xml:space="preserve"> significantly associated with probable CMD, </w:t>
      </w:r>
      <w:r w:rsidR="007E7EAA" w:rsidRPr="004306A9">
        <w:t xml:space="preserve">with women having greater odds of meeting caseness criteria. There </w:t>
      </w:r>
      <w:r w:rsidR="008F19CA" w:rsidRPr="004306A9">
        <w:t>was</w:t>
      </w:r>
      <w:r w:rsidR="007E7EAA" w:rsidRPr="004306A9">
        <w:t xml:space="preserve"> no </w:t>
      </w:r>
      <w:r w:rsidR="00B36B43">
        <w:t>statistically significant</w:t>
      </w:r>
      <w:r w:rsidR="007E7EAA" w:rsidRPr="004306A9">
        <w:t xml:space="preserve"> association between gender and CMD caseness amongst veterans.</w:t>
      </w:r>
      <w:r w:rsidR="007E0926" w:rsidRPr="004306A9">
        <w:t xml:space="preserve"> </w:t>
      </w:r>
      <w:r w:rsidR="004306A9">
        <w:t xml:space="preserve">Veterans aged 45+ </w:t>
      </w:r>
      <w:r w:rsidR="004736EB">
        <w:t xml:space="preserve">years </w:t>
      </w:r>
      <w:r w:rsidR="00F1212B">
        <w:t>were</w:t>
      </w:r>
      <w:r w:rsidR="004306A9">
        <w:t xml:space="preserve"> less likely to meet the threshold for CMD caseness than younger </w:t>
      </w:r>
      <w:r w:rsidR="00F1212B">
        <w:t xml:space="preserve">participants, though for non-veterans, only those aged </w:t>
      </w:r>
      <w:r w:rsidR="00F1212B" w:rsidRPr="0080373F">
        <w:t>65+</w:t>
      </w:r>
      <w:r w:rsidR="00F1212B">
        <w:t xml:space="preserve"> </w:t>
      </w:r>
      <w:r w:rsidR="004736EB">
        <w:t xml:space="preserve">years </w:t>
      </w:r>
      <w:r w:rsidR="00F1212B">
        <w:t xml:space="preserve">were </w:t>
      </w:r>
      <w:r w:rsidR="006B4391">
        <w:t xml:space="preserve">significantly </w:t>
      </w:r>
      <w:r w:rsidR="00F1212B">
        <w:t xml:space="preserve">less likely to indicate probable CMD. </w:t>
      </w:r>
    </w:p>
    <w:p w14:paraId="6F5579B5" w14:textId="77777777" w:rsidR="00E945D9" w:rsidRPr="006D6290" w:rsidRDefault="00E945D9" w:rsidP="00E945D9">
      <w:pPr>
        <w:pStyle w:val="Heading5"/>
      </w:pPr>
      <w:r w:rsidRPr="006D6290">
        <w:t>PTSD</w:t>
      </w:r>
    </w:p>
    <w:p w14:paraId="1CEC4655" w14:textId="0EE63DFE" w:rsidR="006D6290" w:rsidRPr="00AB43C0" w:rsidRDefault="00874C96" w:rsidP="007E0926">
      <w:r w:rsidRPr="006D6290">
        <w:t>Marital status</w:t>
      </w:r>
      <w:r w:rsidR="00C542D1" w:rsidRPr="006D6290">
        <w:t xml:space="preserve"> </w:t>
      </w:r>
      <w:r w:rsidRPr="006D6290">
        <w:t xml:space="preserve">(p&lt;0.01, chi2=8.20, df=2) </w:t>
      </w:r>
      <w:r w:rsidR="008251BF" w:rsidRPr="006D6290">
        <w:t>and age</w:t>
      </w:r>
      <w:r w:rsidR="00C542D1" w:rsidRPr="006D6290">
        <w:t xml:space="preserve"> </w:t>
      </w:r>
      <w:r w:rsidRPr="006D6290">
        <w:t xml:space="preserve">(p&lt;0.01, chi2=15.42, df=4) </w:t>
      </w:r>
      <w:r w:rsidR="00006ADE" w:rsidRPr="006D6290">
        <w:t>were</w:t>
      </w:r>
      <w:r w:rsidR="008251BF" w:rsidRPr="006D6290">
        <w:t xml:space="preserve"> found to significantly moderate t</w:t>
      </w:r>
      <w:r w:rsidR="00045434" w:rsidRPr="006D6290">
        <w:t xml:space="preserve">he effect of </w:t>
      </w:r>
      <w:r w:rsidR="00453CC4">
        <w:t>being a veteran</w:t>
      </w:r>
      <w:r w:rsidR="00045434" w:rsidRPr="006D6290">
        <w:t xml:space="preserve"> on PTSD</w:t>
      </w:r>
      <w:r w:rsidR="008251BF" w:rsidRPr="006D6290">
        <w:t>.</w:t>
      </w:r>
      <w:r w:rsidR="007E0926" w:rsidRPr="006D6290">
        <w:t xml:space="preserve"> </w:t>
      </w:r>
      <w:r w:rsidR="006D6290" w:rsidRPr="00AB43C0">
        <w:t xml:space="preserve">For both samples, being single was </w:t>
      </w:r>
      <w:r w:rsidR="006D6290" w:rsidRPr="00AB43C0">
        <w:lastRenderedPageBreak/>
        <w:t xml:space="preserve">significantly associated with probable PTSD compared to being in a relationship, </w:t>
      </w:r>
      <w:r w:rsidR="00A15B1D">
        <w:t>al</w:t>
      </w:r>
      <w:r w:rsidR="006D6290" w:rsidRPr="00AB43C0">
        <w:t xml:space="preserve">though the </w:t>
      </w:r>
      <w:r w:rsidR="00F17E19">
        <w:t>size of the effect was smaller</w:t>
      </w:r>
      <w:r w:rsidR="006D6290" w:rsidRPr="00AB43C0">
        <w:t xml:space="preserve"> for veterans. </w:t>
      </w:r>
      <w:r w:rsidR="00F642B2" w:rsidRPr="00C97DAE">
        <w:t>Veterans aged 44-74</w:t>
      </w:r>
      <w:r w:rsidR="00DA0ECE" w:rsidRPr="00C97DAE">
        <w:t xml:space="preserve"> y</w:t>
      </w:r>
      <w:r w:rsidR="004736EB">
        <w:t>ea</w:t>
      </w:r>
      <w:r w:rsidR="00DA0ECE" w:rsidRPr="00C97DAE">
        <w:t>rs</w:t>
      </w:r>
      <w:r w:rsidR="00F642B2" w:rsidRPr="00C97DAE">
        <w:t xml:space="preserve"> were less likely to meet criteria for </w:t>
      </w:r>
      <w:r w:rsidR="00A15B1D" w:rsidRPr="00C97DAE">
        <w:t xml:space="preserve">PTSD </w:t>
      </w:r>
      <w:r w:rsidR="00F642B2" w:rsidRPr="00C97DAE">
        <w:t>caseness than participants aged 22-44</w:t>
      </w:r>
      <w:r w:rsidR="00DA0ECE" w:rsidRPr="00C97DAE">
        <w:t xml:space="preserve"> y</w:t>
      </w:r>
      <w:r w:rsidR="004736EB">
        <w:t>ea</w:t>
      </w:r>
      <w:r w:rsidR="00DA0ECE" w:rsidRPr="00C97DAE">
        <w:t>rs</w:t>
      </w:r>
      <w:r w:rsidR="00F642B2" w:rsidRPr="00C97DAE">
        <w:t xml:space="preserve">, as were non-veterans </w:t>
      </w:r>
      <w:r w:rsidR="00FA1C01">
        <w:t>aged</w:t>
      </w:r>
      <w:r w:rsidR="00F642B2" w:rsidRPr="00C97DAE">
        <w:t xml:space="preserve"> 65-74</w:t>
      </w:r>
      <w:r w:rsidR="00DA0ECE" w:rsidRPr="00C97DAE">
        <w:t xml:space="preserve"> y</w:t>
      </w:r>
      <w:r w:rsidR="004736EB">
        <w:t>ea</w:t>
      </w:r>
      <w:r w:rsidR="00DA0ECE" w:rsidRPr="00C97DAE">
        <w:t>rs</w:t>
      </w:r>
      <w:r w:rsidR="00F642B2" w:rsidRPr="00C97DAE">
        <w:t>.</w:t>
      </w:r>
    </w:p>
    <w:p w14:paraId="666F29A4" w14:textId="07EC30A8" w:rsidR="00E945D9" w:rsidRPr="00AB43C0" w:rsidRDefault="00A15B1D" w:rsidP="007E0926">
      <w:r>
        <w:t>Alt</w:t>
      </w:r>
      <w:r w:rsidR="00F642B2" w:rsidRPr="00AB43C0">
        <w:t xml:space="preserve">hough no </w:t>
      </w:r>
      <w:r w:rsidR="00B36B43">
        <w:t>statistically significant</w:t>
      </w:r>
      <w:r w:rsidR="00F642B2" w:rsidRPr="00AB43C0">
        <w:t xml:space="preserve"> interactions were found for </w:t>
      </w:r>
      <w:r w:rsidR="00320A95">
        <w:t xml:space="preserve">level of </w:t>
      </w:r>
      <w:r w:rsidR="00F642B2" w:rsidRPr="00AB43C0">
        <w:t>education or employment</w:t>
      </w:r>
      <w:r w:rsidR="00320A95">
        <w:t xml:space="preserve"> status</w:t>
      </w:r>
      <w:r w:rsidR="00F642B2" w:rsidRPr="00AB43C0">
        <w:t>, h</w:t>
      </w:r>
      <w:r w:rsidR="00E945D9" w:rsidRPr="00AB43C0">
        <w:t xml:space="preserve">aving any educational qualification </w:t>
      </w:r>
      <w:r w:rsidR="008F19CA" w:rsidRPr="00AB43C0">
        <w:t>was</w:t>
      </w:r>
      <w:r w:rsidR="00E945D9" w:rsidRPr="00AB43C0">
        <w:t xml:space="preserve"> associated with </w:t>
      </w:r>
      <w:r w:rsidR="00DD02C2">
        <w:t xml:space="preserve">a </w:t>
      </w:r>
      <w:r w:rsidR="00E945D9" w:rsidRPr="00AB43C0">
        <w:t>decreased likelihood of meeting criteria for PTSD caseness for both samples</w:t>
      </w:r>
      <w:r w:rsidR="00795370" w:rsidRPr="00AB43C0">
        <w:t xml:space="preserve"> compared to having no qualifications</w:t>
      </w:r>
      <w:r w:rsidR="00E945D9" w:rsidRPr="00AB43C0">
        <w:t xml:space="preserve">. </w:t>
      </w:r>
      <w:r w:rsidR="00F642B2" w:rsidRPr="00AB43C0">
        <w:t>Additionally, f</w:t>
      </w:r>
      <w:r w:rsidR="00795370" w:rsidRPr="00AB43C0">
        <w:t>or both samples, compared to being employed, being unemployed and</w:t>
      </w:r>
      <w:r w:rsidR="00E945D9" w:rsidRPr="00AB43C0">
        <w:t xml:space="preserve"> long term ill or disabled </w:t>
      </w:r>
      <w:r w:rsidR="008F19CA" w:rsidRPr="00AB43C0">
        <w:t>was</w:t>
      </w:r>
      <w:r w:rsidR="00E945D9" w:rsidRPr="00AB43C0">
        <w:t xml:space="preserve"> associated with PTSD </w:t>
      </w:r>
      <w:r w:rsidR="00795370" w:rsidRPr="00AB43C0">
        <w:t>caseness</w:t>
      </w:r>
      <w:r w:rsidR="00680DE7">
        <w:t>.</w:t>
      </w:r>
    </w:p>
    <w:p w14:paraId="151672BC" w14:textId="77777777" w:rsidR="00E945D9" w:rsidRPr="0015065E" w:rsidRDefault="00E945D9" w:rsidP="00E945D9">
      <w:pPr>
        <w:rPr>
          <w:i/>
          <w:u w:val="single"/>
        </w:rPr>
      </w:pPr>
      <w:r w:rsidRPr="0015065E">
        <w:rPr>
          <w:i/>
          <w:u w:val="single"/>
        </w:rPr>
        <w:t>Alcohol Misuse</w:t>
      </w:r>
    </w:p>
    <w:p w14:paraId="04E9DA73" w14:textId="44D7C0B4" w:rsidR="00795653" w:rsidRPr="0015065E" w:rsidRDefault="00795653" w:rsidP="0014136F">
      <w:r w:rsidRPr="0015065E">
        <w:t>Marital status significantly moderate</w:t>
      </w:r>
      <w:r w:rsidR="00C17B6C">
        <w:t>d</w:t>
      </w:r>
      <w:r w:rsidRPr="0015065E">
        <w:t xml:space="preserve"> the effect of </w:t>
      </w:r>
      <w:r w:rsidR="00453CC4">
        <w:t>being a veteran</w:t>
      </w:r>
      <w:r w:rsidRPr="0015065E">
        <w:t xml:space="preserve"> on alcohol misuse (p&lt;0.01, chi2=14.26, df=2). </w:t>
      </w:r>
      <w:r w:rsidR="00C158EA" w:rsidRPr="0015065E">
        <w:t>For non-veterans, being single (compared to being in a relationship) was associated with alcohol misuse. For veterans, being separated, divorced or widowed (compared to being in a relationship) was associated with alcohol misuse.</w:t>
      </w:r>
    </w:p>
    <w:p w14:paraId="7B416780" w14:textId="126302BF" w:rsidR="003F6151" w:rsidRDefault="00CD1D3D" w:rsidP="00BC4C1A">
      <w:r w:rsidRPr="00F4270B">
        <w:t xml:space="preserve">No </w:t>
      </w:r>
      <w:r w:rsidR="00B36B43">
        <w:t>statistically significant</w:t>
      </w:r>
      <w:r w:rsidRPr="00F4270B">
        <w:t xml:space="preserve"> interactions were found for employment, </w:t>
      </w:r>
      <w:r w:rsidR="00F4270B" w:rsidRPr="00F4270B">
        <w:t>though for</w:t>
      </w:r>
      <w:r w:rsidR="00AE3E58" w:rsidRPr="00F4270B">
        <w:t xml:space="preserve"> </w:t>
      </w:r>
      <w:r w:rsidR="00E945D9" w:rsidRPr="00F4270B">
        <w:t xml:space="preserve">both samples, </w:t>
      </w:r>
      <w:r w:rsidR="00206DD4" w:rsidRPr="00F4270B">
        <w:t xml:space="preserve">participants unable to work because they </w:t>
      </w:r>
      <w:r w:rsidR="00006ADE" w:rsidRPr="00F4270B">
        <w:t>were</w:t>
      </w:r>
      <w:r w:rsidR="00206DD4" w:rsidRPr="00F4270B">
        <w:t xml:space="preserve"> </w:t>
      </w:r>
      <w:r w:rsidR="00E945D9" w:rsidRPr="00F4270B">
        <w:t xml:space="preserve">long term ill or disabled </w:t>
      </w:r>
      <w:r w:rsidR="00006ADE" w:rsidRPr="00F4270B">
        <w:t>were</w:t>
      </w:r>
      <w:r w:rsidR="00206DD4" w:rsidRPr="00F4270B">
        <w:t xml:space="preserve"> more likely to misuse a</w:t>
      </w:r>
      <w:r w:rsidR="00E945D9" w:rsidRPr="00F4270B">
        <w:t xml:space="preserve">lcohol </w:t>
      </w:r>
      <w:r w:rsidR="00206DD4" w:rsidRPr="00F4270B">
        <w:t>(compared to those in employment)</w:t>
      </w:r>
      <w:r w:rsidR="00E945D9" w:rsidRPr="00F4270B">
        <w:t xml:space="preserve">. </w:t>
      </w:r>
    </w:p>
    <w:p w14:paraId="0604E3D3" w14:textId="1ADBBF2A" w:rsidR="004E0C85" w:rsidRPr="00F23324" w:rsidRDefault="004E0C85" w:rsidP="004E0C85">
      <w:pPr>
        <w:pStyle w:val="Heading2"/>
      </w:pPr>
      <w:r w:rsidRPr="00F23324">
        <w:t xml:space="preserve">Sensitivity Analysis </w:t>
      </w:r>
    </w:p>
    <w:p w14:paraId="2520DAA7" w14:textId="77777777" w:rsidR="00975C29" w:rsidRPr="00F3656B" w:rsidRDefault="00795653" w:rsidP="001B6ADD">
      <w:r w:rsidRPr="00F3656B">
        <w:t>Results of our sensitivity analysis</w:t>
      </w:r>
      <w:r w:rsidR="006A790D" w:rsidRPr="00F3656B">
        <w:t xml:space="preserve"> show</w:t>
      </w:r>
      <w:r w:rsidR="00DD02C2" w:rsidRPr="00F3656B">
        <w:t>ed</w:t>
      </w:r>
      <w:r w:rsidR="006A790D" w:rsidRPr="00F3656B">
        <w:t xml:space="preserve"> that male veterans </w:t>
      </w:r>
      <w:r w:rsidR="00FE5A82" w:rsidRPr="00F3656B">
        <w:t>were</w:t>
      </w:r>
      <w:r w:rsidR="00E8597A" w:rsidRPr="00F3656B">
        <w:t xml:space="preserve"> significantly</w:t>
      </w:r>
      <w:r w:rsidR="006A790D" w:rsidRPr="00F3656B">
        <w:t xml:space="preserve"> more likely than non-veterans</w:t>
      </w:r>
      <w:r w:rsidR="00273632" w:rsidRPr="00F3656B">
        <w:t xml:space="preserve"> </w:t>
      </w:r>
      <w:r w:rsidR="00A40183" w:rsidRPr="00F3656B">
        <w:t>of the same age</w:t>
      </w:r>
      <w:r w:rsidR="006A790D" w:rsidRPr="00F3656B">
        <w:t xml:space="preserve"> to </w:t>
      </w:r>
      <w:r w:rsidR="008579E1" w:rsidRPr="00F3656B">
        <w:t>exhibit</w:t>
      </w:r>
      <w:r w:rsidR="00F20B29" w:rsidRPr="00F3656B">
        <w:t xml:space="preserve"> probable</w:t>
      </w:r>
      <w:r w:rsidR="008579E1" w:rsidRPr="00F3656B">
        <w:t xml:space="preserve"> CMD and alcohol misuse</w:t>
      </w:r>
      <w:r w:rsidR="00B36652" w:rsidRPr="00F3656B">
        <w:t xml:space="preserve"> regardless</w:t>
      </w:r>
      <w:r w:rsidR="00AE6541" w:rsidRPr="00F3656B">
        <w:t xml:space="preserve"> of </w:t>
      </w:r>
      <w:r w:rsidR="00545A79" w:rsidRPr="00F3656B">
        <w:t xml:space="preserve">i) </w:t>
      </w:r>
      <w:r w:rsidR="006A7761" w:rsidRPr="00F3656B">
        <w:t xml:space="preserve">whether or not they had </w:t>
      </w:r>
      <w:r w:rsidR="00631AC0" w:rsidRPr="00F3656B">
        <w:t>deplo</w:t>
      </w:r>
      <w:r w:rsidR="006A7761" w:rsidRPr="00F3656B">
        <w:t>yed</w:t>
      </w:r>
      <w:r w:rsidR="00631AC0" w:rsidRPr="00F3656B">
        <w:t xml:space="preserve"> </w:t>
      </w:r>
      <w:r w:rsidR="006A7761" w:rsidRPr="00F3656B">
        <w:t xml:space="preserve">and </w:t>
      </w:r>
      <w:r w:rsidR="00545A79" w:rsidRPr="00F3656B">
        <w:t xml:space="preserve">ii) </w:t>
      </w:r>
      <w:r w:rsidR="006A7761" w:rsidRPr="00F3656B">
        <w:t xml:space="preserve">whether or not they were </w:t>
      </w:r>
      <w:r w:rsidR="00F073F1" w:rsidRPr="00F3656B">
        <w:t xml:space="preserve">deployed </w:t>
      </w:r>
      <w:r w:rsidR="006A7761" w:rsidRPr="00F3656B">
        <w:t>in a combat role</w:t>
      </w:r>
      <w:r w:rsidRPr="00F3656B">
        <w:t xml:space="preserve"> (see </w:t>
      </w:r>
      <w:r w:rsidR="003E726A" w:rsidRPr="00F3656B">
        <w:t>Table S1</w:t>
      </w:r>
      <w:r w:rsidRPr="00F3656B">
        <w:t>)</w:t>
      </w:r>
      <w:r w:rsidR="00631AC0" w:rsidRPr="00F3656B">
        <w:t xml:space="preserve">. </w:t>
      </w:r>
    </w:p>
    <w:p w14:paraId="52900F81" w14:textId="6813E8E4" w:rsidR="009D1BDE" w:rsidRPr="00F3656B" w:rsidRDefault="00DA7B3F" w:rsidP="001B6ADD">
      <w:r w:rsidRPr="00F3656B">
        <w:t>When analyses were restricted only to veterans who had deployed, we found m</w:t>
      </w:r>
      <w:r w:rsidR="00C76F49" w:rsidRPr="00F3656B">
        <w:t xml:space="preserve">ale veterans were significantly more likely than non-veterans </w:t>
      </w:r>
      <w:r w:rsidRPr="00F3656B">
        <w:t xml:space="preserve">of the same age </w:t>
      </w:r>
      <w:r w:rsidR="00C76F49" w:rsidRPr="00F3656B">
        <w:t xml:space="preserve">to meet criteria </w:t>
      </w:r>
      <w:r w:rsidR="00DA2CDF" w:rsidRPr="00F3656B">
        <w:t>for PTSD caseness</w:t>
      </w:r>
      <w:r w:rsidR="00E065B2" w:rsidRPr="00F3656B">
        <w:t>. However, when comparing male veterans who had not been deployed with non-veterans of the same age, we f</w:t>
      </w:r>
      <w:r w:rsidR="00A97239" w:rsidRPr="00F3656B">
        <w:t>oun</w:t>
      </w:r>
      <w:r w:rsidR="00E065B2" w:rsidRPr="00F3656B">
        <w:t>d no</w:t>
      </w:r>
      <w:r w:rsidR="00AB2BA4" w:rsidRPr="00F3656B">
        <w:t xml:space="preserve"> significant difference </w:t>
      </w:r>
      <w:r w:rsidR="006E6A97" w:rsidRPr="00F3656B">
        <w:t xml:space="preserve">between the two groups </w:t>
      </w:r>
      <w:r w:rsidR="00AB2BA4" w:rsidRPr="00F3656B">
        <w:t xml:space="preserve">in the proportion of </w:t>
      </w:r>
      <w:r w:rsidR="006E6A97" w:rsidRPr="00F3656B">
        <w:t>those</w:t>
      </w:r>
      <w:r w:rsidR="00AB2BA4" w:rsidRPr="00F3656B">
        <w:t xml:space="preserve"> who met criteria for probable PTSD.</w:t>
      </w:r>
      <w:r w:rsidR="00726B4A">
        <w:t xml:space="preserve"> </w:t>
      </w:r>
      <w:r w:rsidR="00D14763" w:rsidRPr="00F3656B">
        <w:t xml:space="preserve">Male veterans were also significantly more likely than non-veterans </w:t>
      </w:r>
      <w:r w:rsidR="009F17C5" w:rsidRPr="00F3656B">
        <w:t xml:space="preserve">to meet criteria for PTSD caseness </w:t>
      </w:r>
      <w:r w:rsidR="006A7761" w:rsidRPr="00F3656B">
        <w:t xml:space="preserve">when restricted to </w:t>
      </w:r>
      <w:r w:rsidR="00545A79" w:rsidRPr="00F3656B">
        <w:t xml:space="preserve">veterans </w:t>
      </w:r>
      <w:r w:rsidR="006D53FD" w:rsidRPr="00F3656B">
        <w:t>deployed</w:t>
      </w:r>
      <w:r w:rsidR="006A7761" w:rsidRPr="00F3656B">
        <w:t xml:space="preserve"> </w:t>
      </w:r>
      <w:r w:rsidR="009F17C5" w:rsidRPr="00F3656B">
        <w:t xml:space="preserve">in </w:t>
      </w:r>
      <w:r w:rsidR="006A7761" w:rsidRPr="00F3656B">
        <w:t>a</w:t>
      </w:r>
      <w:r w:rsidR="009F17C5" w:rsidRPr="00F3656B">
        <w:t xml:space="preserve"> combat role</w:t>
      </w:r>
      <w:r w:rsidR="00192A4E" w:rsidRPr="00F3656B">
        <w:t>.</w:t>
      </w:r>
      <w:r w:rsidR="006A7761" w:rsidRPr="00F3656B">
        <w:t xml:space="preserve"> </w:t>
      </w:r>
      <w:r w:rsidR="00D72721" w:rsidRPr="00F3656B">
        <w:t xml:space="preserve">Prior to adjusting for education and </w:t>
      </w:r>
      <w:r w:rsidR="003D2DD8" w:rsidRPr="00F3656B">
        <w:t>marital status</w:t>
      </w:r>
      <w:r w:rsidR="000F5C04" w:rsidRPr="00F3656B">
        <w:t>, we found</w:t>
      </w:r>
      <w:r w:rsidR="006A7761" w:rsidRPr="00F3656B">
        <w:t xml:space="preserve"> no difference between veterans </w:t>
      </w:r>
      <w:r w:rsidR="001806A9" w:rsidRPr="00F3656B">
        <w:t xml:space="preserve">who were deployed </w:t>
      </w:r>
      <w:r w:rsidR="006A7761" w:rsidRPr="00F3656B">
        <w:t>in a non-combat role</w:t>
      </w:r>
      <w:r w:rsidR="006E4A43" w:rsidRPr="00F3656B">
        <w:t xml:space="preserve"> and non-veterans of the same age</w:t>
      </w:r>
      <w:r w:rsidR="00EC6D9F" w:rsidRPr="00F3656B">
        <w:t>.</w:t>
      </w:r>
      <w:r w:rsidR="00A31624" w:rsidRPr="00F3656B">
        <w:t xml:space="preserve"> </w:t>
      </w:r>
      <w:r w:rsidR="00EC6D9F" w:rsidRPr="00F3656B">
        <w:t>A</w:t>
      </w:r>
      <w:r w:rsidR="000F5C04" w:rsidRPr="00F3656B">
        <w:t xml:space="preserve">fter </w:t>
      </w:r>
      <w:r w:rsidR="00A31624" w:rsidRPr="00F3656B">
        <w:t>making this adjustment</w:t>
      </w:r>
      <w:r w:rsidR="00EC6D9F" w:rsidRPr="00F3656B">
        <w:t xml:space="preserve"> however</w:t>
      </w:r>
      <w:r w:rsidR="00192A4E" w:rsidRPr="00F3656B">
        <w:t xml:space="preserve">, male veterans were significantly more likely </w:t>
      </w:r>
      <w:r w:rsidR="003864C9" w:rsidRPr="00F3656B">
        <w:t>to meet criteria for PTSD</w:t>
      </w:r>
      <w:r w:rsidR="009D1BDE" w:rsidRPr="00F3656B">
        <w:t xml:space="preserve"> than non-veterans of the same age</w:t>
      </w:r>
      <w:r w:rsidR="004850D9" w:rsidRPr="00F3656B">
        <w:t xml:space="preserve">. </w:t>
      </w:r>
    </w:p>
    <w:p w14:paraId="7897D48C" w14:textId="7BAF9D34" w:rsidR="003672D5" w:rsidRPr="00F3656B" w:rsidRDefault="001A5124" w:rsidP="001B6ADD">
      <w:r w:rsidRPr="00F3656B">
        <w:t>We f</w:t>
      </w:r>
      <w:r w:rsidR="008E5EC2" w:rsidRPr="00F3656B">
        <w:t>ound</w:t>
      </w:r>
      <w:r w:rsidRPr="00F3656B">
        <w:t xml:space="preserve"> no </w:t>
      </w:r>
      <w:r w:rsidR="00D06C81" w:rsidRPr="00F3656B">
        <w:t xml:space="preserve">statistically </w:t>
      </w:r>
      <w:r w:rsidRPr="00F3656B">
        <w:t>significant difference</w:t>
      </w:r>
      <w:r w:rsidR="008E5EC2" w:rsidRPr="00F3656B">
        <w:t>s</w:t>
      </w:r>
      <w:r w:rsidRPr="00F3656B">
        <w:t xml:space="preserve"> between f</w:t>
      </w:r>
      <w:r w:rsidR="00070E62" w:rsidRPr="00F3656B">
        <w:t xml:space="preserve">emale veterans </w:t>
      </w:r>
      <w:r w:rsidRPr="00F3656B">
        <w:t xml:space="preserve">and </w:t>
      </w:r>
      <w:r w:rsidR="00070E62" w:rsidRPr="00F3656B">
        <w:t xml:space="preserve">non-veterans </w:t>
      </w:r>
      <w:r w:rsidRPr="00F3656B">
        <w:t>when accounting for deployment</w:t>
      </w:r>
      <w:r w:rsidR="003F6151" w:rsidRPr="00F3656B">
        <w:t>.</w:t>
      </w:r>
    </w:p>
    <w:p w14:paraId="22F70A73" w14:textId="22E9A626" w:rsidR="00691AC6" w:rsidRDefault="00B74C08">
      <w:pPr>
        <w:pStyle w:val="Heading1"/>
      </w:pPr>
      <w:r>
        <w:t>Discussion</w:t>
      </w:r>
    </w:p>
    <w:p w14:paraId="453274D5" w14:textId="53953CF8" w:rsidR="008A1937" w:rsidRDefault="000D0A10" w:rsidP="00C70636">
      <w:r>
        <w:t>T</w:t>
      </w:r>
      <w:r w:rsidR="00D639BD">
        <w:t xml:space="preserve">his study has compared alcohol misuse, PTSD and CMD in a large representative sample of recent military service leavers </w:t>
      </w:r>
      <w:r w:rsidR="00923DEA">
        <w:t>to the general population</w:t>
      </w:r>
      <w:r>
        <w:t xml:space="preserve">. </w:t>
      </w:r>
      <w:r w:rsidR="008002FE">
        <w:t>We f</w:t>
      </w:r>
      <w:r w:rsidR="00FE5A82">
        <w:t>ou</w:t>
      </w:r>
      <w:r w:rsidR="008002FE">
        <w:t>nd that</w:t>
      </w:r>
      <w:r w:rsidR="00FE5A82">
        <w:t>,</w:t>
      </w:r>
      <w:r w:rsidR="008002FE">
        <w:t xml:space="preserve"> </w:t>
      </w:r>
      <w:r w:rsidR="008002FE" w:rsidRPr="00FE5A82">
        <w:t>overall</w:t>
      </w:r>
      <w:r w:rsidR="008002FE">
        <w:t xml:space="preserve">, </w:t>
      </w:r>
      <w:r w:rsidR="00355F6E">
        <w:t xml:space="preserve">UK </w:t>
      </w:r>
      <w:r w:rsidR="00F27DFF">
        <w:t>veteran</w:t>
      </w:r>
      <w:r w:rsidR="00355F6E">
        <w:t>s</w:t>
      </w:r>
      <w:r w:rsidR="00F27DFF">
        <w:t xml:space="preserve"> </w:t>
      </w:r>
      <w:r w:rsidR="00355F6E" w:rsidRPr="00363122">
        <w:t xml:space="preserve">who served at the time of recent </w:t>
      </w:r>
      <w:r w:rsidR="00EE07B7">
        <w:t>military operations</w:t>
      </w:r>
      <w:r w:rsidR="00355F6E">
        <w:t xml:space="preserve"> </w:t>
      </w:r>
      <w:r w:rsidR="008A1463">
        <w:t>we</w:t>
      </w:r>
      <w:r w:rsidR="00F27DFF">
        <w:t xml:space="preserve">re </w:t>
      </w:r>
      <w:r w:rsidR="008002FE">
        <w:t>more likely to exhibit probable CMD, PTSD and alcohol misuse than non-veterans</w:t>
      </w:r>
      <w:r w:rsidR="00D52912">
        <w:t xml:space="preserve">. </w:t>
      </w:r>
      <w:r w:rsidR="00EA7941">
        <w:t>These</w:t>
      </w:r>
      <w:r w:rsidR="00377CE3">
        <w:t xml:space="preserve"> findings persist after adjusting for socio-demographic characteristics</w:t>
      </w:r>
      <w:r w:rsidR="00EA7941">
        <w:t>.</w:t>
      </w:r>
      <w:r w:rsidR="005B38A7">
        <w:t xml:space="preserve"> W</w:t>
      </w:r>
      <w:r w:rsidR="0085637E">
        <w:t>hen stratifying by working status, w</w:t>
      </w:r>
      <w:r w:rsidR="00924A6B">
        <w:t>orking veterans</w:t>
      </w:r>
      <w:r w:rsidR="00434DFE">
        <w:t xml:space="preserve"> compared to working non</w:t>
      </w:r>
      <w:r w:rsidR="008C6C7A">
        <w:t>-</w:t>
      </w:r>
      <w:r w:rsidR="00434DFE">
        <w:t>veterans</w:t>
      </w:r>
      <w:r w:rsidR="00924A6B">
        <w:t xml:space="preserve"> </w:t>
      </w:r>
      <w:r w:rsidR="002E0724">
        <w:t>were</w:t>
      </w:r>
      <w:r w:rsidR="00924A6B">
        <w:t xml:space="preserve"> at a disadvantage for </w:t>
      </w:r>
      <w:r w:rsidR="00A15B1D">
        <w:t xml:space="preserve">all three </w:t>
      </w:r>
      <w:r w:rsidR="00924A6B">
        <w:t>outcomes</w:t>
      </w:r>
      <w:r w:rsidR="002C7C5F">
        <w:t xml:space="preserve"> whereas n</w:t>
      </w:r>
      <w:r w:rsidR="00924A6B">
        <w:t>on-working veterans</w:t>
      </w:r>
      <w:r w:rsidR="00434DFE">
        <w:t xml:space="preserve"> compared to </w:t>
      </w:r>
      <w:r w:rsidR="00320A95">
        <w:t>non-</w:t>
      </w:r>
      <w:r w:rsidR="000A27F8">
        <w:t>working non</w:t>
      </w:r>
      <w:r w:rsidR="008C6C7A">
        <w:t>-</w:t>
      </w:r>
      <w:r w:rsidR="00434DFE">
        <w:t>veterans</w:t>
      </w:r>
      <w:r w:rsidR="00924A6B">
        <w:t xml:space="preserve"> </w:t>
      </w:r>
      <w:r w:rsidR="006F3EE0">
        <w:t>were</w:t>
      </w:r>
      <w:r w:rsidR="00924A6B">
        <w:t xml:space="preserve"> more likely to report probable CMD and PTSD</w:t>
      </w:r>
      <w:r w:rsidR="005577A3" w:rsidRPr="005F6B50">
        <w:t>.</w:t>
      </w:r>
      <w:r w:rsidR="00B85516" w:rsidRPr="005F6B50">
        <w:t xml:space="preserve"> </w:t>
      </w:r>
      <w:r w:rsidR="00770AB0">
        <w:t xml:space="preserve">Stratifying by gender showed that the negative impact of being a veteran on mental health and alcohol misuse was restricted to male veterans. Being ill or disabled was associated with CMD and PTSD for both veterans and non-veterans. </w:t>
      </w:r>
    </w:p>
    <w:p w14:paraId="4F580BFE" w14:textId="2CEEBE0C" w:rsidR="006464E9" w:rsidRPr="00F3656B" w:rsidRDefault="00C91C62" w:rsidP="00C70636">
      <w:r>
        <w:lastRenderedPageBreak/>
        <w:t xml:space="preserve">The only previous </w:t>
      </w:r>
      <w:r w:rsidR="00877C66" w:rsidRPr="00F74E46">
        <w:t>UK</w:t>
      </w:r>
      <w:r w:rsidR="00FA1F75" w:rsidRPr="00F74E46">
        <w:t>-wide</w:t>
      </w:r>
      <w:r w:rsidR="00877C66">
        <w:t xml:space="preserve"> </w:t>
      </w:r>
      <w:r>
        <w:t xml:space="preserve">mental health comparison study between veterans </w:t>
      </w:r>
      <w:r w:rsidRPr="0080373F">
        <w:t>and non-veterans</w:t>
      </w:r>
      <w:r w:rsidR="0080373F" w:rsidRPr="0080373F">
        <w:t xml:space="preserve"> – Woodhead </w:t>
      </w:r>
      <w:r w:rsidR="00320A95">
        <w:t xml:space="preserve">et al. </w:t>
      </w:r>
      <w:r w:rsidR="0080373F" w:rsidRPr="0080373F">
        <w:t>(2011) –</w:t>
      </w:r>
      <w:r w:rsidRPr="0080373F">
        <w:t xml:space="preserve"> </w:t>
      </w:r>
      <w:r w:rsidR="00EA7941" w:rsidRPr="0080373F">
        <w:t>found no significant difference</w:t>
      </w:r>
      <w:r w:rsidRPr="0080373F">
        <w:t xml:space="preserve"> between the two groups. Woodhead </w:t>
      </w:r>
      <w:r w:rsidR="00320A95">
        <w:t xml:space="preserve">et al. (2011) </w:t>
      </w:r>
      <w:r w:rsidRPr="0080373F">
        <w:t>utilised a previous</w:t>
      </w:r>
      <w:r w:rsidR="00D76D68" w:rsidRPr="0080373F">
        <w:t xml:space="preserve"> </w:t>
      </w:r>
      <w:r w:rsidR="00D76D68" w:rsidRPr="00F3656B">
        <w:t>cohort of veterans, few of whom had served during recent military operations</w:t>
      </w:r>
      <w:r w:rsidR="00333453" w:rsidRPr="00F3656B">
        <w:t xml:space="preserve"> in Iraq and Afghanistan. </w:t>
      </w:r>
      <w:r w:rsidR="00387C14" w:rsidRPr="00F3656B">
        <w:t xml:space="preserve">This might suggest that the mental health disparity between veterans and non-veterans in the current study could have resulted from deployment to these recent operations. </w:t>
      </w:r>
      <w:r w:rsidR="002B3433" w:rsidRPr="00F3656B">
        <w:t>The findings of our</w:t>
      </w:r>
      <w:r w:rsidR="007B0930" w:rsidRPr="00F3656B">
        <w:t xml:space="preserve"> sensitivity analysis </w:t>
      </w:r>
      <w:r w:rsidR="00585D2E" w:rsidRPr="00F3656B">
        <w:t xml:space="preserve">partially </w:t>
      </w:r>
      <w:r w:rsidR="002B3433" w:rsidRPr="00F3656B">
        <w:t xml:space="preserve">support this </w:t>
      </w:r>
      <w:r w:rsidR="00585D2E" w:rsidRPr="00F3656B">
        <w:t>hypothesis</w:t>
      </w:r>
      <w:r w:rsidR="00EE2CCB" w:rsidRPr="00F3656B">
        <w:t>. They s</w:t>
      </w:r>
      <w:r w:rsidR="00266E44" w:rsidRPr="00F3656B">
        <w:t xml:space="preserve">how that </w:t>
      </w:r>
      <w:r w:rsidR="00EE2CCB" w:rsidRPr="00F3656B">
        <w:t xml:space="preserve">while </w:t>
      </w:r>
      <w:r w:rsidR="00266E44" w:rsidRPr="00F3656B">
        <w:t>veterans who ha</w:t>
      </w:r>
      <w:r w:rsidR="00A97239" w:rsidRPr="00F3656B">
        <w:t>d</w:t>
      </w:r>
      <w:r w:rsidR="00266E44" w:rsidRPr="00F3656B">
        <w:t xml:space="preserve"> been deployed to Iraq or Afghanistan were more likely to meet criteria for probable PTSD than non-veterans of the same age</w:t>
      </w:r>
      <w:r w:rsidR="00EE2CCB" w:rsidRPr="00F3656B">
        <w:t>, veterans who had not been deployed were not more likely to meet criteria</w:t>
      </w:r>
      <w:r w:rsidR="00266E44" w:rsidRPr="00F3656B">
        <w:t xml:space="preserve">.  </w:t>
      </w:r>
    </w:p>
    <w:p w14:paraId="6272D347" w14:textId="1047CD9D" w:rsidR="00D71AC3" w:rsidRPr="00F3656B" w:rsidRDefault="00D1155E" w:rsidP="00C70636">
      <w:r w:rsidRPr="00F3656B">
        <w:t>Male veterans were more likely to meet criteria for probable CMD and misuse of alcohol than non-veterans of the same age</w:t>
      </w:r>
      <w:r w:rsidR="00451808" w:rsidRPr="00F3656B">
        <w:t xml:space="preserve"> </w:t>
      </w:r>
      <w:r w:rsidR="00A02B36" w:rsidRPr="00F3656B">
        <w:t>regardless of</w:t>
      </w:r>
      <w:r w:rsidR="00387C14" w:rsidRPr="00F3656B">
        <w:t xml:space="preserve"> </w:t>
      </w:r>
      <w:r w:rsidR="00AA68DD" w:rsidRPr="00F3656B">
        <w:t xml:space="preserve">whether </w:t>
      </w:r>
      <w:r w:rsidR="002E4E8A" w:rsidRPr="00F3656B">
        <w:t xml:space="preserve">they were deployed </w:t>
      </w:r>
      <w:r w:rsidR="0028356A" w:rsidRPr="00F3656B">
        <w:t>to Iraq or Afghanistan</w:t>
      </w:r>
      <w:r w:rsidR="004447C6" w:rsidRPr="00F3656B">
        <w:t>,</w:t>
      </w:r>
      <w:r w:rsidR="0028356A" w:rsidRPr="00F3656B">
        <w:t xml:space="preserve"> </w:t>
      </w:r>
      <w:r w:rsidR="002E4E8A" w:rsidRPr="00F3656B">
        <w:t xml:space="preserve">or </w:t>
      </w:r>
      <w:r w:rsidR="004447C6" w:rsidRPr="00F3656B">
        <w:t xml:space="preserve">whether they were </w:t>
      </w:r>
      <w:r w:rsidR="002E4E8A" w:rsidRPr="00F3656B">
        <w:t>deployed in a combat role.</w:t>
      </w:r>
      <w:r w:rsidR="00387C14" w:rsidRPr="00F3656B">
        <w:t xml:space="preserve"> Deployment to Iraq or Afghanistan therefore may not be the only factor contributing to the </w:t>
      </w:r>
      <w:r w:rsidR="002B3433" w:rsidRPr="00F3656B">
        <w:t>increased levels of CMDs and alcohol misuse in</w:t>
      </w:r>
      <w:r w:rsidR="00387C14" w:rsidRPr="00F3656B">
        <w:t xml:space="preserve"> male veterans. </w:t>
      </w:r>
      <w:r w:rsidR="00EC0F51" w:rsidRPr="00F3656B">
        <w:t>It is possible that other vulnerability factors</w:t>
      </w:r>
      <w:r w:rsidR="00602C04" w:rsidRPr="00F3656B">
        <w:t>,</w:t>
      </w:r>
      <w:r w:rsidR="00EC0F51" w:rsidRPr="00F3656B">
        <w:t xml:space="preserve"> such as </w:t>
      </w:r>
      <w:r w:rsidR="00EC0F51" w:rsidRPr="00F3656B">
        <w:rPr>
          <w:lang w:val="en-US"/>
        </w:rPr>
        <w:t xml:space="preserve">childhood adversity </w:t>
      </w:r>
      <w:r w:rsidR="00EC0F51" w:rsidRPr="00F3656B">
        <w:rPr>
          <w:lang w:val="en-US"/>
        </w:rPr>
        <w:fldChar w:fldCharType="begin"/>
      </w:r>
      <w:r w:rsidR="0072226B" w:rsidRPr="00F3656B">
        <w:rPr>
          <w:lang w:val="en-US"/>
        </w:rPr>
        <w:instrText xml:space="preserve"> ADDIN ZOTERO_ITEM CSL_CITATION {"citationID":"t2bSeHw7","properties":{"formattedCitation":"(Iversen et al., 2007)","plainCitation":"(Iversen et al., 2007)","noteIndex":0},"citationItems":[{"id":26,"uris":["http://zotero.org/users/3740225/items/AR6T5S4L"],"uri":["http://zotero.org/users/3740225/items/AR6T5S4L"],"itemData":{"id":26,"type":"article-journal","abstract":"Background\nExposure to childhood adversity may explain why only a minority of combatants exposed to trauma develop psychological problems.\n\n\nAims\nTo examine the association between self-reported childhood vulnerability and later health outcomes in a large randomly selected male military cohort.\n\n\nMethod\nData are derived from the first stage of a cohort study comparing Iraq veterans and non-deployed UK military personnel. We describe data collected by questionnaire from males in the regular UK armed forces (n=7937).\n\n\nResults\nPre-enlistment vulnerability is associated with being single, of lower rank, having low educational attainment and serving in the Army. Pre-enlistment vulnerability is associated with a variety of negative health outcomes. Two main factors emerge as important predictors of ill health: a ‘family relationships’ factor reflecting the home environment and an ‘externalising behaviour’ factor reflecting behavioural disturbance.\n\n\nConclusions\nPre-enlistment vulnerability is an important individual risk factor for ill health in military men. Awareness of such factors is important in understanding post-combat psychiatric disorder.","container-title":"The British Journal of Psychiatry","DOI":"10.1192/bjp.bp.107.039818","ISSN":"0007-1250, 1472-1465","issue":"6","language":"en","page":"506-511","source":"Cambridge Core","title":"Influence of childhood adversity on health among male UK military personnel","volume":"191","author":[{"family":"Iversen","given":"Amy C."},{"family":"Fear","given":"Nicola T."},{"family":"Simonoff","given":"Emily"},{"family":"Hull","given":"Lisa"},{"family":"Horn","given":"Oded"},{"family":"Greenberg","given":"Neil"},{"family":"Hotopf","given":"Matthew"},{"family":"Rona","given":"Roberto"},{"family":"Wessely","given":"Simon"}],"issued":{"date-parts":[["2007",12]]}}}],"schema":"https://github.com/citation-style-language/schema/raw/master/csl-citation.json"} </w:instrText>
      </w:r>
      <w:r w:rsidR="00EC0F51" w:rsidRPr="00F3656B">
        <w:rPr>
          <w:lang w:val="en-US"/>
        </w:rPr>
        <w:fldChar w:fldCharType="separate"/>
      </w:r>
      <w:r w:rsidR="0072226B" w:rsidRPr="00F3656B">
        <w:rPr>
          <w:rFonts w:cs="Times New Roman"/>
        </w:rPr>
        <w:t>(Iversen et al., 2007)</w:t>
      </w:r>
      <w:r w:rsidR="00EC0F51" w:rsidRPr="00F3656B">
        <w:rPr>
          <w:lang w:val="en-US"/>
        </w:rPr>
        <w:fldChar w:fldCharType="end"/>
      </w:r>
      <w:r w:rsidR="00602C04" w:rsidRPr="00F3656B">
        <w:rPr>
          <w:lang w:val="en-US"/>
        </w:rPr>
        <w:t>,</w:t>
      </w:r>
      <w:r w:rsidR="00EC0F51" w:rsidRPr="00F3656B">
        <w:t xml:space="preserve"> </w:t>
      </w:r>
      <w:r w:rsidR="0021510D" w:rsidRPr="00F3656B">
        <w:t xml:space="preserve">family separations, work-related injuries, or </w:t>
      </w:r>
      <w:r w:rsidR="00F91A0B" w:rsidRPr="00F3656B">
        <w:t>struggling to adapt to civilian life</w:t>
      </w:r>
      <w:r w:rsidR="00A20AD0" w:rsidRPr="00F3656B">
        <w:t xml:space="preserve"> </w:t>
      </w:r>
      <w:r w:rsidR="002B3433" w:rsidRPr="00F3656B">
        <w:t>may explain the difference for CMD and alcohol use</w:t>
      </w:r>
      <w:r w:rsidR="00F91A0B" w:rsidRPr="00F3656B">
        <w:t xml:space="preserve"> (the latter may </w:t>
      </w:r>
      <w:r w:rsidR="00E84CC8" w:rsidRPr="00F3656B">
        <w:t>also</w:t>
      </w:r>
      <w:r w:rsidR="005B5A55" w:rsidRPr="00F3656B">
        <w:t xml:space="preserve"> reflect a continuation of heavy drinking</w:t>
      </w:r>
      <w:r w:rsidR="004536F9" w:rsidRPr="00F3656B">
        <w:t xml:space="preserve"> </w:t>
      </w:r>
      <w:r w:rsidR="0057495B" w:rsidRPr="00F3656B">
        <w:t>from military life</w:t>
      </w:r>
      <w:r w:rsidR="00F91A0B" w:rsidRPr="00F3656B">
        <w:t>)</w:t>
      </w:r>
      <w:r w:rsidR="00EC0F51" w:rsidRPr="00F3656B">
        <w:t xml:space="preserve">. </w:t>
      </w:r>
      <w:r w:rsidR="0070339C" w:rsidRPr="00F3656B">
        <w:t>Alternatively</w:t>
      </w:r>
      <w:r w:rsidR="00C02A67" w:rsidRPr="00F3656B">
        <w:t>, our contradictory findings to Woodhead</w:t>
      </w:r>
      <w:r w:rsidR="00320A95" w:rsidRPr="00F3656B">
        <w:t xml:space="preserve"> et al.</w:t>
      </w:r>
      <w:r w:rsidR="00C02A67" w:rsidRPr="00F3656B">
        <w:t xml:space="preserve"> (2011b)</w:t>
      </w:r>
      <w:r w:rsidR="002B3433" w:rsidRPr="00F3656B">
        <w:t xml:space="preserve">, for these outcomes, </w:t>
      </w:r>
      <w:r w:rsidR="00C02A67" w:rsidRPr="00F3656B">
        <w:t xml:space="preserve">could be due to </w:t>
      </w:r>
      <w:r w:rsidR="00FA5D72" w:rsidRPr="00F3656B">
        <w:t>different</w:t>
      </w:r>
      <w:r w:rsidR="00C02A67" w:rsidRPr="00F3656B">
        <w:t xml:space="preserve"> age composition</w:t>
      </w:r>
      <w:r w:rsidR="00D34297" w:rsidRPr="00F3656B">
        <w:t xml:space="preserve"> of the sample used in this study or recent changes made to the process of </w:t>
      </w:r>
      <w:r w:rsidR="00FA5D72" w:rsidRPr="00F3656B">
        <w:t>leaving the military</w:t>
      </w:r>
      <w:r w:rsidR="00D34297" w:rsidRPr="00F3656B">
        <w:t>.</w:t>
      </w:r>
      <w:r w:rsidR="00D71AC3" w:rsidRPr="00F3656B">
        <w:t xml:space="preserve"> </w:t>
      </w:r>
    </w:p>
    <w:p w14:paraId="07EEB1E2" w14:textId="23CB3F39" w:rsidR="00A16431" w:rsidRPr="00A16431" w:rsidRDefault="008002FE" w:rsidP="003E4EA8">
      <w:pPr>
        <w:rPr>
          <w:szCs w:val="22"/>
        </w:rPr>
      </w:pPr>
      <w:r w:rsidRPr="00367979">
        <w:rPr>
          <w:rStyle w:val="CommentReference"/>
          <w:bCs/>
          <w:sz w:val="22"/>
          <w:szCs w:val="22"/>
        </w:rPr>
        <w:t>T</w:t>
      </w:r>
      <w:r w:rsidRPr="00367979">
        <w:rPr>
          <w:szCs w:val="22"/>
        </w:rPr>
        <w:t>here are notable gender differences in our findings</w:t>
      </w:r>
      <w:r w:rsidR="00633E41" w:rsidRPr="00367979">
        <w:rPr>
          <w:szCs w:val="22"/>
        </w:rPr>
        <w:t xml:space="preserve">. </w:t>
      </w:r>
      <w:r w:rsidR="00E924BE" w:rsidRPr="00367979">
        <w:rPr>
          <w:szCs w:val="22"/>
        </w:rPr>
        <w:t xml:space="preserve">Among </w:t>
      </w:r>
      <w:r w:rsidR="003C25A2">
        <w:rPr>
          <w:szCs w:val="22"/>
        </w:rPr>
        <w:t>non-veterans</w:t>
      </w:r>
      <w:r w:rsidR="00E924BE" w:rsidRPr="00367979">
        <w:rPr>
          <w:szCs w:val="22"/>
        </w:rPr>
        <w:t xml:space="preserve">, CMD and PTSD prevalence were greater in women </w:t>
      </w:r>
      <w:r w:rsidR="00E924BE">
        <w:rPr>
          <w:szCs w:val="22"/>
        </w:rPr>
        <w:t>compared to</w:t>
      </w:r>
      <w:r w:rsidR="00E924BE" w:rsidRPr="00367979">
        <w:rPr>
          <w:szCs w:val="22"/>
        </w:rPr>
        <w:t xml:space="preserve"> men</w:t>
      </w:r>
      <w:r w:rsidR="00E924BE">
        <w:rPr>
          <w:szCs w:val="22"/>
        </w:rPr>
        <w:t xml:space="preserve"> (</w:t>
      </w:r>
      <w:r w:rsidR="00E924BE" w:rsidRPr="00367979">
        <w:rPr>
          <w:szCs w:val="22"/>
        </w:rPr>
        <w:t>in line with recen</w:t>
      </w:r>
      <w:r w:rsidR="00E924BE" w:rsidRPr="00895914">
        <w:rPr>
          <w:szCs w:val="22"/>
        </w:rPr>
        <w:t xml:space="preserve">t estimates </w:t>
      </w:r>
      <w:r w:rsidR="00E924BE" w:rsidRPr="00895914">
        <w:rPr>
          <w:szCs w:val="22"/>
        </w:rPr>
        <w:fldChar w:fldCharType="begin"/>
      </w:r>
      <w:r w:rsidR="0072226B">
        <w:rPr>
          <w:szCs w:val="22"/>
        </w:rPr>
        <w:instrText xml:space="preserve"> ADDIN ZOTERO_ITEM CSL_CITATION {"citationID":"iokcxpky","properties":{"formattedCitation":"(McManus et al., 2016)","plainCitation":"(McManus et al., 2016)","noteIndex":0},"citationItems":[{"id":425,"uris":["http://zotero.org/users/3740225/items/M36M5AQN"],"uri":["http://zotero.org/users/3740225/items/M36M5AQN"],"itemData":{"id":425,"type":"book","ISBN":"1-78386-825-2","publisher":"NHS Digital","title":"Mental Health and Wellbeing in England: Adult Psychiatric Morbidity Survey 2014: a Survey Carried Out for NHS Digital by NatCen Social Research and the Department of Health Sciences, University of Leicester","author":[{"family":"McManus","given":"Sally"},{"family":"Bebbington","given":"Paul"},{"family":"Jenkins","given":"Rachel"},{"family":"Brugha","given":"Terry"}],"issued":{"date-parts":[["2016"]]}}}],"schema":"https://github.com/citation-style-language/schema/raw/master/csl-citation.json"} </w:instrText>
      </w:r>
      <w:r w:rsidR="00E924BE" w:rsidRPr="00895914">
        <w:rPr>
          <w:szCs w:val="22"/>
        </w:rPr>
        <w:fldChar w:fldCharType="separate"/>
      </w:r>
      <w:r w:rsidR="0072226B">
        <w:rPr>
          <w:rFonts w:cs="Times New Roman"/>
        </w:rPr>
        <w:t>(McManus et al., 2016)</w:t>
      </w:r>
      <w:r w:rsidR="00E924BE" w:rsidRPr="00895914">
        <w:rPr>
          <w:szCs w:val="22"/>
        </w:rPr>
        <w:fldChar w:fldCharType="end"/>
      </w:r>
      <w:r w:rsidR="00E924BE">
        <w:rPr>
          <w:szCs w:val="22"/>
        </w:rPr>
        <w:t>)</w:t>
      </w:r>
      <w:r w:rsidR="00E924BE" w:rsidRPr="00895914">
        <w:rPr>
          <w:szCs w:val="22"/>
        </w:rPr>
        <w:t>.</w:t>
      </w:r>
      <w:r w:rsidR="00E924BE">
        <w:rPr>
          <w:szCs w:val="22"/>
        </w:rPr>
        <w:t xml:space="preserve"> For veterans, p</w:t>
      </w:r>
      <w:r w:rsidR="00F54223" w:rsidRPr="00367979">
        <w:rPr>
          <w:szCs w:val="22"/>
        </w:rPr>
        <w:t xml:space="preserve">revalence </w:t>
      </w:r>
      <w:r w:rsidR="00E7519B">
        <w:rPr>
          <w:szCs w:val="22"/>
        </w:rPr>
        <w:t>of</w:t>
      </w:r>
      <w:r w:rsidR="00E7519B" w:rsidRPr="00367979">
        <w:rPr>
          <w:szCs w:val="22"/>
        </w:rPr>
        <w:t xml:space="preserve"> </w:t>
      </w:r>
      <w:r w:rsidR="003A3A8B" w:rsidRPr="00367979">
        <w:rPr>
          <w:szCs w:val="22"/>
        </w:rPr>
        <w:t xml:space="preserve">CMD and PTSD </w:t>
      </w:r>
      <w:r w:rsidR="00367979" w:rsidRPr="00367979">
        <w:rPr>
          <w:szCs w:val="22"/>
        </w:rPr>
        <w:t>was</w:t>
      </w:r>
      <w:r w:rsidR="003A3A8B" w:rsidRPr="00367979">
        <w:rPr>
          <w:szCs w:val="22"/>
        </w:rPr>
        <w:t xml:space="preserve"> </w:t>
      </w:r>
      <w:r w:rsidR="00282551" w:rsidRPr="00367979">
        <w:rPr>
          <w:szCs w:val="22"/>
        </w:rPr>
        <w:t xml:space="preserve">significantly </w:t>
      </w:r>
      <w:r w:rsidR="00F54223" w:rsidRPr="00367979">
        <w:rPr>
          <w:szCs w:val="22"/>
        </w:rPr>
        <w:t>higher</w:t>
      </w:r>
      <w:r w:rsidR="00FF17AE">
        <w:rPr>
          <w:szCs w:val="22"/>
        </w:rPr>
        <w:t xml:space="preserve"> than </w:t>
      </w:r>
      <w:r w:rsidR="003C25A2">
        <w:rPr>
          <w:szCs w:val="22"/>
        </w:rPr>
        <w:t>non-veterans</w:t>
      </w:r>
      <w:r w:rsidR="00F54223" w:rsidRPr="00367979">
        <w:rPr>
          <w:szCs w:val="22"/>
        </w:rPr>
        <w:t xml:space="preserve"> </w:t>
      </w:r>
      <w:r w:rsidR="00DE7099" w:rsidRPr="00367979">
        <w:rPr>
          <w:szCs w:val="22"/>
        </w:rPr>
        <w:t>for men</w:t>
      </w:r>
      <w:r w:rsidR="002B1848" w:rsidRPr="00367979">
        <w:rPr>
          <w:szCs w:val="22"/>
        </w:rPr>
        <w:t xml:space="preserve"> only</w:t>
      </w:r>
      <w:r w:rsidR="003A3A8B" w:rsidRPr="00367979">
        <w:rPr>
          <w:szCs w:val="22"/>
        </w:rPr>
        <w:t xml:space="preserve">. </w:t>
      </w:r>
      <w:r w:rsidR="00FF17AE">
        <w:rPr>
          <w:szCs w:val="22"/>
        </w:rPr>
        <w:t>This is partially supported by s</w:t>
      </w:r>
      <w:r w:rsidR="00367979" w:rsidRPr="00895914">
        <w:rPr>
          <w:szCs w:val="22"/>
        </w:rPr>
        <w:t xml:space="preserve">ome </w:t>
      </w:r>
      <w:r w:rsidR="006C62BE" w:rsidRPr="00895914">
        <w:rPr>
          <w:szCs w:val="22"/>
        </w:rPr>
        <w:t xml:space="preserve">PTSD studies </w:t>
      </w:r>
      <w:r w:rsidR="00FF17AE">
        <w:rPr>
          <w:szCs w:val="22"/>
        </w:rPr>
        <w:t xml:space="preserve">which </w:t>
      </w:r>
      <w:r w:rsidR="00367979" w:rsidRPr="00895914">
        <w:rPr>
          <w:szCs w:val="22"/>
        </w:rPr>
        <w:t xml:space="preserve">have found </w:t>
      </w:r>
      <w:r w:rsidR="006C62BE" w:rsidRPr="00895914">
        <w:rPr>
          <w:szCs w:val="22"/>
        </w:rPr>
        <w:t xml:space="preserve">no gender differences in military and police samples </w:t>
      </w:r>
      <w:r w:rsidR="006C62BE" w:rsidRPr="00895914">
        <w:rPr>
          <w:szCs w:val="22"/>
        </w:rPr>
        <w:fldChar w:fldCharType="begin"/>
      </w:r>
      <w:r w:rsidR="0072226B">
        <w:rPr>
          <w:szCs w:val="22"/>
        </w:rPr>
        <w:instrText xml:space="preserve"> ADDIN ZOTERO_ITEM CSL_CITATION {"citationID":"3OsYT7q3","properties":{"formattedCitation":"(Pole et al., 2001; Sutker et al., 1995)","plainCitation":"(Pole et al., 2001; Sutker et al., 1995)","noteIndex":0},"citationItems":[{"id":648,"uris":["http://zotero.org/users/3740225/items/JC5YIN66"],"uri":["http://zotero.org/users/3740225/items/JC5YIN66"],"itemData":{"id":648,"type":"article-journal","abstract":"&lt;p&gt;We studied 655 urban police officers (21% female, 48% white, 24% black, and 28% Hispanic) to assess ethnic and gender differences in duty-related symptoms of posttraumatic stress disorder (PTSD). We obtained self-report measures of: a) PTSD symptoms, b) peritraumatic dissociation, c) exposure to duty-related critical incidents, d) general psychiatric symptoms, e) response bias due to social desirability, and f) demographic variables. We found that self-identified Hispanic-American officers evidenced greater PTSD symptoms than both self-identified European-American and self-identified African-American officers. These effects were small in size but they persisted even after controlling for differences in other relevant variables. Contrary to expectation, we found no gender differences in PTSD symptoms. Our findings are of note because: a) they replicate a previous finding of greater PTSD among Hispanic-American military personnel and b) they fail to replicate the well-established finding of greater PTSD symptoms among civilian women.&lt;/p&gt;","container-title":"The Journal of Nervous and Mental Disease","ISSN":"0022-3018","issue":"7","language":"ENGLISH","note":"PMID: 00005053-200107000-00005","page":"442-448","source":"insights.ovid.com","title":"Effects of Gender and Ethnicity on Duty-related Posttraumatic Stress Symptoms among Urban Police Officers","volume":"189","author":[{"family":"Pole","given":"Nnamdi"},{"family":"Best","given":"Suzanne R."},{"family":"Weiss","given":"Daniel S."},{"family":"Metzler","given":"Thomas"},{"family":"Liberman","given":"Akiva M."},{"family":"Fagan","given":"Jeffrey"},{"family":"Marmar","given":"Charles R."}],"issued":{"date-parts":[["2001",7,1]]}}},{"id":647,"uris":["http://zotero.org/users/3740225/items/JQWA4U77"],"uri":["http://zotero.org/users/3740225/items/JQWA4U77"],"itemData":{"id":647,"type":"article-journal","abstract":"This study reports results of psychological assessment among military participants in Operation Desert Storm, a more diverse ethnic and gender mix of American troops than has been mobilized for previous military operations. Symptoms of current psychological distress, including negative mood states, somatic complaints, and posttraumatic stress disorder, in addition to personal and trauma characteristics, were measured in 653 Persian Gulf war-zone-exposed and 259 stateside-duty troops to test the hypothesis that ethnic minority status and female gender are associated with greater levels of psychological distress following war-zone duty. Findings point to potentially negative sequelae to war-zone stress in a portion of troops and suggest that ethnic minorities, but not necessarily women, may be more vulnerable to psychological risk.","container-title":"Journal of Personality Assessment","DOI":"10.1207/s15327752jpa6403_2","ISSN":"0022-3891","issue":"3","journalAbbreviation":"J Pers Assess","language":"eng","note":"PMID: 7760253","page":"415-427","source":"PubMed","title":"Assessment of psychological distress in Persian Gulf troops: ethnicity and gender comparisons","title-short":"Assessment of psychological distress in Persian Gulf troops","volume":"64","author":[{"family":"Sutker","given":"P. B."},{"family":"Davis","given":"J. M."},{"family":"Uddo","given":"M."},{"family":"Ditta","given":"S. R."}],"issued":{"date-parts":[["1995",6]]}}}],"schema":"https://github.com/citation-style-language/schema/raw/master/csl-citation.json"} </w:instrText>
      </w:r>
      <w:r w:rsidR="006C62BE" w:rsidRPr="00895914">
        <w:rPr>
          <w:szCs w:val="22"/>
        </w:rPr>
        <w:fldChar w:fldCharType="separate"/>
      </w:r>
      <w:r w:rsidR="0072226B">
        <w:rPr>
          <w:rFonts w:cs="Times New Roman"/>
        </w:rPr>
        <w:t>(Pole et al., 2001; Sutker et al., 1995)</w:t>
      </w:r>
      <w:r w:rsidR="006C62BE" w:rsidRPr="00895914">
        <w:rPr>
          <w:szCs w:val="22"/>
        </w:rPr>
        <w:fldChar w:fldCharType="end"/>
      </w:r>
      <w:r w:rsidR="00FF17AE">
        <w:rPr>
          <w:szCs w:val="22"/>
        </w:rPr>
        <w:t>.</w:t>
      </w:r>
      <w:r w:rsidR="00895914" w:rsidRPr="00895914">
        <w:rPr>
          <w:szCs w:val="22"/>
        </w:rPr>
        <w:t xml:space="preserve"> </w:t>
      </w:r>
      <w:r w:rsidR="00633E41" w:rsidRPr="00895914">
        <w:rPr>
          <w:szCs w:val="22"/>
        </w:rPr>
        <w:t>However, the</w:t>
      </w:r>
      <w:r w:rsidR="00F54223" w:rsidRPr="00895914">
        <w:rPr>
          <w:szCs w:val="22"/>
        </w:rPr>
        <w:t xml:space="preserve"> finding that female veterans </w:t>
      </w:r>
      <w:r w:rsidR="00E943DE" w:rsidRPr="00895914">
        <w:rPr>
          <w:szCs w:val="22"/>
        </w:rPr>
        <w:t xml:space="preserve">are </w:t>
      </w:r>
      <w:r w:rsidR="006715D5" w:rsidRPr="00895914">
        <w:rPr>
          <w:szCs w:val="22"/>
        </w:rPr>
        <w:t xml:space="preserve">no more likely to have </w:t>
      </w:r>
      <w:r w:rsidR="00DE7099" w:rsidRPr="00895914">
        <w:rPr>
          <w:szCs w:val="22"/>
        </w:rPr>
        <w:t>CMD</w:t>
      </w:r>
      <w:r w:rsidR="006715D5" w:rsidRPr="00895914">
        <w:rPr>
          <w:szCs w:val="22"/>
        </w:rPr>
        <w:t xml:space="preserve"> than male veterans </w:t>
      </w:r>
      <w:r w:rsidR="00412FE7" w:rsidRPr="00895914">
        <w:rPr>
          <w:szCs w:val="22"/>
        </w:rPr>
        <w:t>contradict</w:t>
      </w:r>
      <w:r w:rsidR="004D50A6" w:rsidRPr="00895914">
        <w:rPr>
          <w:szCs w:val="22"/>
        </w:rPr>
        <w:t>s</w:t>
      </w:r>
      <w:r w:rsidR="00412FE7" w:rsidRPr="00895914">
        <w:rPr>
          <w:szCs w:val="22"/>
        </w:rPr>
        <w:t xml:space="preserve"> U</w:t>
      </w:r>
      <w:r w:rsidR="00C02A67" w:rsidRPr="00895914">
        <w:rPr>
          <w:szCs w:val="22"/>
        </w:rPr>
        <w:t>S</w:t>
      </w:r>
      <w:r w:rsidR="00412FE7" w:rsidRPr="00895914">
        <w:rPr>
          <w:szCs w:val="22"/>
        </w:rPr>
        <w:t xml:space="preserve"> </w:t>
      </w:r>
      <w:r w:rsidR="00187E77" w:rsidRPr="00895914">
        <w:rPr>
          <w:szCs w:val="22"/>
        </w:rPr>
        <w:t>and</w:t>
      </w:r>
      <w:r w:rsidR="00E7519B">
        <w:rPr>
          <w:szCs w:val="22"/>
        </w:rPr>
        <w:t xml:space="preserve"> </w:t>
      </w:r>
      <w:r w:rsidR="002C7C5F">
        <w:rPr>
          <w:szCs w:val="22"/>
        </w:rPr>
        <w:t>previous</w:t>
      </w:r>
      <w:r w:rsidR="00187E77" w:rsidRPr="00895914">
        <w:rPr>
          <w:szCs w:val="22"/>
        </w:rPr>
        <w:t xml:space="preserve"> U</w:t>
      </w:r>
      <w:r w:rsidR="00C02A67" w:rsidRPr="00895914">
        <w:rPr>
          <w:szCs w:val="22"/>
        </w:rPr>
        <w:t>K</w:t>
      </w:r>
      <w:r w:rsidR="00187E77" w:rsidRPr="00895914">
        <w:rPr>
          <w:szCs w:val="22"/>
        </w:rPr>
        <w:t xml:space="preserve"> </w:t>
      </w:r>
      <w:r w:rsidR="004D50A6" w:rsidRPr="00895914">
        <w:rPr>
          <w:szCs w:val="22"/>
        </w:rPr>
        <w:t xml:space="preserve">studies </w:t>
      </w:r>
      <w:r w:rsidR="004D50A6" w:rsidRPr="00895914">
        <w:rPr>
          <w:szCs w:val="22"/>
        </w:rPr>
        <w:fldChar w:fldCharType="begin"/>
      </w:r>
      <w:r w:rsidR="0072226B">
        <w:rPr>
          <w:szCs w:val="22"/>
        </w:rPr>
        <w:instrText xml:space="preserve"> ADDIN ZOTERO_ITEM CSL_CITATION {"citationID":"liNhK5CQ","properties":{"formattedCitation":"(Haskell et al., 2010; Stansfeld et al., 2011)","plainCitation":"(Haskell et al., 2010; Stansfeld et al., 2011)","noteIndex":0},"citationItems":[{"id":652,"uris":["http://zotero.org/users/3740225/items/TAETRKB7"],"uri":["http://zotero.org/users/3740225/items/TAETRKB7"],"itemData":{"id":652,"type":"article-journal","abstract":"PURPOSE: The current wars in Iraq and Afghanistan have led to an increasing number of female veterans seeking medical and mental healthcare in the Department of Veterans Affairs (VA) healthcare system. To better understand gender differences in healthcare needs among recently returned veterans, we examined the prevalence of positive screenings for depression, posttraumatic stress disorder (PTSD), military sexual trauma (MST), obesity, and chronic pain among female and male veterans of Operation Enduring Freedom/Operation Iraqi Freedom (OEF/OIF) receiving care at the VA Connecticut Healthcare System.\nMETHODS: We performed a retrospective, cross-sectional data analysis of OEF/OIF veterans at VA Connecticut who received services in either Primary Care or the Women's Health Clinic between 2001 and 2006.\nRESULTS: In this study, 1129 electronic medical records (1032 men, 197 women) were examined. Female veterans were more likely to screen positive for MST (14% vs. 1%, p &lt; 0.001) and depression (48% vs. 39%, p = 0.01) and less likely to screen positive for PTSD (21% vs. 33%, p = 0.002). There was no significant gender difference in clinically significant pain scores. Men were more likely than women to have body mass index (BMI) &gt;30 kg/m(2) (21% vs. 13%, p = 0.008).\nCONCLUSIONS: These results suggest that important gender differences exist in the prevalence of positive screenings for MST, depression, obesity, and PTSD. As the VA continues to review and improve its services for women veterans, clinicians, researchers, and senior leaders should consider innovative ways to ensure that female veterans receive the health services they need within the VA system.","container-title":"Journal of Women's Health (2002)","DOI":"10.1089/jwh.2008.1262","ISSN":"1931-843X","issue":"2","journalAbbreviation":"J Womens Health (Larchmt)","language":"eng","note":"PMID: 20109115\nPMCID: PMC3052274","page":"267-271","source":"PubMed","title":"Gender differences in rates of depression, PTSD, pain, obesity, and military sexual trauma among Connecticut War Veterans of Iraq and Afghanistan","volume":"19","author":[{"family":"Haskell","given":"Sally G."},{"family":"Gordon","given":"Kirsha S."},{"family":"Mattocks","given":"Kristin"},{"family":"Duggal","given":"Mona"},{"family":"Erdos","given":"Joseph"},{"family":"Justice","given":"Amy"},{"family":"Brandt","given":"Cynthia A."}],"issued":{"date-parts":[["2010",2]]}}},{"id":651,"uris":["http://zotero.org/users/3740225/items/MEPLI67S"],"uri":["http://zotero.org/users/3740225/items/MEPLI67S"],"itemData":{"id":651,"type":"article-journal","abstract":"Objectives\nTo measure the prevalence of common mental disorder (CMD) by occupation in a representative sample of Great Britain and to identify occupations with increased and decreased risk of CMD.\n\nMethods\nA cross-sectional interview-based survey was carried out including 5,497 working male and female respondents, 16–64 years from a stratified random survey of private households in Britain. Occupations were classified by the Standard Occupational Classification (SOC) into four groups: major, sub-major, minor and constituent unit groups. Common Mental Disorder was measured by the Revised Clinical Interview Schedule.\n\nResults\nMajor SOC groups with higher prevalence of common mental disorder included clerical and secretarial, sales, and personal and protective services whereas craft and related, ‘other’ professional occupations and plant and machine operatives had lower prevalence compared to 13% overall prevalence in all adults. In sub-major SOC groups managers and administrators, teaching professionals, clerical and secretarial, ‘other’ sales and personal service occupations had higher prevalence whereas many professional and skilled occupations had lower prevalence. Specific SOC unit groups with higher prevalence included primary and secondary teachers, welfare community, youth workers, security staff, waiters, bar staff, nurse auxiliaries and care assistants. General managers in government and large organizations (OR = 2.79, 95% CI 1.41–5.54), managers in transport and storing (OR = 2.44, 95% CI 1.18–5.03), buyers and mobile sales persons (OR = 2.48, 95% CI 1.09–5.60), sales occupations (NES) (OR = 2.78, 95% CI 1.25–6.19) and clerks (NES) (OR = 2.71, 95% CI 1.59–4.61) had increased risk of common mental disorder relative to specialist managers adjusting for social and financial factors and physical ill-health.\n\nConclusions\nOccupations with higher risk of common mental disorder may be typified by high levels of job demands, especially emotional demands and lack of job security. The reasons why occupations have low rates of common mental disorder are varied and may include high levels of job discretion, good job training and clearly defined job tasks.","container-title":"Social Psychiatry and Psychiatric Epidemiology","DOI":"10.1007/s00127-009-0173-7","ISSN":"0933-7954","issue":"2","journalAbbreviation":"Soc Psychiatry Psychiatr Epidemiol","note":"PMID: 20033130\nPMCID: PMC3034883","page":"101-110","source":"PubMed Central","title":"Occupation and mental health in a national UK survey","volume":"46","author":[{"family":"Stansfeld","given":"Stephen Alfred"},{"family":"Rasul","given":"F. R."},{"family":"Head","given":"J."},{"family":"Singleton","given":"N."}],"issued":{"date-parts":[["2011",2]]}}}],"schema":"https://github.com/citation-style-language/schema/raw/master/csl-citation.json"} </w:instrText>
      </w:r>
      <w:r w:rsidR="004D50A6" w:rsidRPr="00895914">
        <w:rPr>
          <w:szCs w:val="22"/>
        </w:rPr>
        <w:fldChar w:fldCharType="separate"/>
      </w:r>
      <w:r w:rsidR="0072226B">
        <w:rPr>
          <w:rFonts w:cs="Times New Roman"/>
        </w:rPr>
        <w:t>(Haskell et al., 2010; Stansfeld et al., 2011)</w:t>
      </w:r>
      <w:r w:rsidR="004D50A6" w:rsidRPr="00895914">
        <w:rPr>
          <w:szCs w:val="22"/>
        </w:rPr>
        <w:fldChar w:fldCharType="end"/>
      </w:r>
      <w:r w:rsidR="00367979" w:rsidRPr="00895914">
        <w:rPr>
          <w:szCs w:val="22"/>
        </w:rPr>
        <w:t xml:space="preserve">. </w:t>
      </w:r>
      <w:r w:rsidR="003E4EA8">
        <w:rPr>
          <w:szCs w:val="22"/>
        </w:rPr>
        <w:t>Overall, f</w:t>
      </w:r>
      <w:r w:rsidR="00A16431" w:rsidRPr="00A16431">
        <w:rPr>
          <w:szCs w:val="22"/>
        </w:rPr>
        <w:t xml:space="preserve">or CMD and PTSD, caseness </w:t>
      </w:r>
      <w:r w:rsidR="003E4EA8">
        <w:rPr>
          <w:szCs w:val="22"/>
        </w:rPr>
        <w:t>was</w:t>
      </w:r>
      <w:r w:rsidR="00A16431" w:rsidRPr="00A16431">
        <w:rPr>
          <w:szCs w:val="22"/>
        </w:rPr>
        <w:t xml:space="preserve"> generally much lower in</w:t>
      </w:r>
      <w:r w:rsidR="003E4EA8">
        <w:rPr>
          <w:szCs w:val="22"/>
        </w:rPr>
        <w:t xml:space="preserve"> </w:t>
      </w:r>
      <w:r w:rsidR="00A16431" w:rsidRPr="00A16431">
        <w:rPr>
          <w:szCs w:val="22"/>
        </w:rPr>
        <w:t xml:space="preserve">working people (veterans and non-veterans) </w:t>
      </w:r>
      <w:r w:rsidR="003E4EA8">
        <w:rPr>
          <w:szCs w:val="22"/>
        </w:rPr>
        <w:t>compared to</w:t>
      </w:r>
      <w:r w:rsidR="00A16431" w:rsidRPr="00A16431">
        <w:rPr>
          <w:szCs w:val="22"/>
        </w:rPr>
        <w:t xml:space="preserve"> non-working</w:t>
      </w:r>
      <w:r w:rsidR="003E4EA8">
        <w:rPr>
          <w:szCs w:val="22"/>
        </w:rPr>
        <w:t xml:space="preserve"> people, and specifically </w:t>
      </w:r>
      <w:r w:rsidR="00A16431" w:rsidRPr="00A16431">
        <w:rPr>
          <w:szCs w:val="22"/>
        </w:rPr>
        <w:t xml:space="preserve">in working veterans </w:t>
      </w:r>
      <w:r w:rsidR="003E4EA8">
        <w:rPr>
          <w:szCs w:val="22"/>
        </w:rPr>
        <w:t>compared to</w:t>
      </w:r>
      <w:r w:rsidR="00A16431" w:rsidRPr="00A16431">
        <w:rPr>
          <w:szCs w:val="22"/>
        </w:rPr>
        <w:t xml:space="preserve"> non-working non-veterans</w:t>
      </w:r>
      <w:r w:rsidR="003E4EA8">
        <w:rPr>
          <w:szCs w:val="22"/>
        </w:rPr>
        <w:t>.</w:t>
      </w:r>
    </w:p>
    <w:p w14:paraId="5724F775" w14:textId="5BB82364" w:rsidR="003E4EA8" w:rsidRDefault="005E18A9" w:rsidP="00234F2E">
      <w:r>
        <w:t>B</w:t>
      </w:r>
      <w:r w:rsidR="00714238">
        <w:t>oth male and female</w:t>
      </w:r>
      <w:r w:rsidR="00877C66">
        <w:t xml:space="preserve"> veterans</w:t>
      </w:r>
      <w:r w:rsidR="00714238">
        <w:t xml:space="preserve"> are more likely to report symptoms of drinking at a hazardous level than their </w:t>
      </w:r>
      <w:r w:rsidR="003C25A2">
        <w:t>non-veteran</w:t>
      </w:r>
      <w:r w:rsidR="00714238">
        <w:t xml:space="preserve"> counterparts. </w:t>
      </w:r>
      <w:r w:rsidR="004B63EB">
        <w:t>Furthermore, m</w:t>
      </w:r>
      <w:r w:rsidR="00714238">
        <w:t xml:space="preserve">ale veterans are more likely to report symptoms of dependence and harmful drinking than men of the same age. </w:t>
      </w:r>
      <w:r w:rsidR="00C31A2A">
        <w:t>These findings</w:t>
      </w:r>
      <w:r w:rsidR="002C7C5F">
        <w:t>,</w:t>
      </w:r>
      <w:r w:rsidR="00C31A2A">
        <w:t xml:space="preserve"> combined with p</w:t>
      </w:r>
      <w:r w:rsidR="00AB7163">
        <w:t>revious studies</w:t>
      </w:r>
      <w:r w:rsidR="002C7C5F">
        <w:t>,</w:t>
      </w:r>
      <w:r w:rsidR="00C31A2A">
        <w:t xml:space="preserve"> indicat</w:t>
      </w:r>
      <w:r w:rsidR="002C7C5F">
        <w:t>e</w:t>
      </w:r>
      <w:r w:rsidR="00C31A2A">
        <w:t xml:space="preserve"> that </w:t>
      </w:r>
      <w:r w:rsidR="00AB7163">
        <w:t xml:space="preserve">a culture of excessive and persistent drinking exists in the military </w:t>
      </w:r>
      <w:r w:rsidR="00395506">
        <w:t xml:space="preserve">compared to the general population </w:t>
      </w:r>
      <w:r w:rsidR="00AB7163">
        <w:fldChar w:fldCharType="begin"/>
      </w:r>
      <w:r w:rsidR="0072226B">
        <w:instrText xml:space="preserve"> ADDIN ZOTERO_ITEM CSL_CITATION {"citationID":"LIfFpQim","properties":{"formattedCitation":"(Fear et al., 2007; Goodwin et al., 2017)","plainCitation":"(Fear et al., 2007; Goodwin et al., 2017)","noteIndex":0},"citationItems":[{"id":130,"uris":["http://zotero.org/users/3740225/items/AXKJRPXN"],"uri":["http://zotero.org/users/3740225/items/AXKJRPXN"],"itemData":{"id":130,"type":"article-journal","abstract":"Aims  To examine patterns of drinking in the UK Armed Forces, how they vary according to gender and other demographics, and to make comparisons with the general population. Design  Large cross-sectional postal questionnaire study (response rate 60%). Setting  United Kingdom. Participants  A random representative sample of the regular UK Armed Forces who were in service in March 2003 (n = 8686; 7937 men, 749 women). Comparisons were made with the general population of Great Britain. Measurements  Alcohol consumption was assessed using the Alcohol Use Disorders Identification Test (AUDIT). Findings  Sixty-seven per cent of men and 49% of women in the UK Armed Forces had an AUDIT score of 8+ (defined as hazardous drinking), compared to 38% of men and 16% of women in the general population. In both sexes, for all ages, the military have a higher prevalence of hazardous drinking. Binge drinking was associated with being younger, being in the Army, being single, being a smoker and being white. Among military men, heavy drinking (AUDIT score 16+) was associated with holding a lower rank, being younger, being single, being in the Naval Service or Army, being deployed to Iraq, not having children, being a smoker, having a combat role and having a parent with a drink or drug problem. Conclusions  Excessive alcohol consumption is more common in the UK Armed Forces than in the general population. There are certain socio-demographic characteristics associated with heavy drinking within the military; for example, young age, being single and being a smoker, which may allow the targeting of preventive interventions.","container-title":"Addiction","DOI":"10.1111/j.1360-0443.2007.01978.x","ISSN":"1360-0443","issue":"11","language":"en","page":"1749-1759","source":"Wiley Online Library","title":"Patterns of drinking in the UK Armed Forces","volume":"102","author":[{"family":"Fear","given":"Nicola T."},{"family":"Iversen","given":"Amy"},{"family":"Meltzer","given":"Howard"},{"family":"Workman","given":"Lorna"},{"family":"Hull","given":"Lisa"},{"family":"Greenberg","given":"Neil"},{"family":"Barker","given":"Christopher"},{"family":"Browne","given":"Tess"},{"family":"Earnshaw","given":"Mark"},{"family":"Horn","given":"Oded"},{"family":"Jones","given":"Margaret"},{"family":"Murphy","given":"Dominic"},{"family":"Rona","given":"Roberto J."},{"family":"Hotopf","given":"Matthew"},{"family":"Wessely","given":"Simon"}],"issued":{"date-parts":[["2007",11,1]]}}},{"id":33,"uris":["http://zotero.org/users/3740225/items/KGI45MVR"],"uri":["http://zotero.org/users/3740225/items/KGI45MVR"],"itemData":{"id":33,"type":"article-journal","abstract":"Introduction\nThere are higher levels of alcohol misuse in the military compared to the general population. Yet there is a dearth of research in military populations on the longitudinal patterns of alcohol use. This study aims to identify group trajectories of alcohol consumption in the UK military and to identify associations with childhood adversity, deployment history and mental disorder.\nMethods\nData on weekly alcohol consumption across an eight year period and three phases of a UK military cohort study (n=667) were examined using growth mixture modelling.\nResults\nFive alcohol trajectory classes were identified: mid-average drinkers (55%), abstainers (4%), low level drinkers (19%), decreasing drinkers (3%) and heavy drinkers (19%). Alcohol consumption remained stable over the three periods in all classes, other than in the small decreasing trajectory class. Individuals in the heavy drinking class were more likely to have deployed to Iraq. Abstainers and heavy drinkers were more likely to report post-traumatic stress disorders at baseline compared to average drinkers.\nConclusions\nHeavy drinkers in the UK military did not change their drinking pattern over a period of eight years. This highlights the need to develop effective preventive programmes to lessen the physical and psychological consequences of long-term heavy alcohol use. Individuals with a mental health problem appeared more likely to either be drinking at a high level or to be abstaining from use.","container-title":"Addictive Behaviors","DOI":"10.1016/j.addbeh.2017.07.010","ISSN":"0306-4603","journalAbbreviation":"Addictive Behaviors","page":"130-137","source":"ScienceDirect","title":"Trajectories of alcohol use in the UK military and associations with mental health","volume":"75","author":[{"family":"Goodwin","given":"L."},{"family":"Norton","given":"S."},{"family":"Fear","given":"N. T."},{"family":"Jones","given":"M."},{"family":"Hull","given":"L."},{"family":"Wessely","given":"S."},{"family":"Rona","given":"R. J."}],"issued":{"date-parts":[["2017",12,1]]}}}],"schema":"https://github.com/citation-style-language/schema/raw/master/csl-citation.json"} </w:instrText>
      </w:r>
      <w:r w:rsidR="00AB7163">
        <w:fldChar w:fldCharType="separate"/>
      </w:r>
      <w:r w:rsidR="0072226B">
        <w:rPr>
          <w:rFonts w:cs="Times New Roman"/>
        </w:rPr>
        <w:t>(Fear et al., 2007; Goodwin et al., 2017)</w:t>
      </w:r>
      <w:r w:rsidR="00AB7163">
        <w:fldChar w:fldCharType="end"/>
      </w:r>
      <w:r w:rsidR="002C7C5F">
        <w:t>. This</w:t>
      </w:r>
      <w:r w:rsidR="00C31A2A">
        <w:t xml:space="preserve"> </w:t>
      </w:r>
      <w:r w:rsidR="00AB7163" w:rsidRPr="00EA685A">
        <w:t>suggest</w:t>
      </w:r>
      <w:r w:rsidR="008D2657">
        <w:t>s</w:t>
      </w:r>
      <w:r w:rsidR="00AB7163" w:rsidRPr="00EA685A">
        <w:t xml:space="preserve"> that drinking habits</w:t>
      </w:r>
      <w:r w:rsidR="001C58C8">
        <w:t xml:space="preserve"> acquired</w:t>
      </w:r>
      <w:r w:rsidR="00431CEB">
        <w:t xml:space="preserve"> before or</w:t>
      </w:r>
      <w:r w:rsidR="001C58C8">
        <w:t xml:space="preserve"> during military service </w:t>
      </w:r>
      <w:r w:rsidR="00C31A2A">
        <w:t>endure</w:t>
      </w:r>
      <w:r w:rsidR="00C31A2A" w:rsidRPr="00EA685A">
        <w:t xml:space="preserve"> </w:t>
      </w:r>
      <w:r w:rsidR="00AB7163" w:rsidRPr="00EA685A">
        <w:t xml:space="preserve">after transitioning </w:t>
      </w:r>
      <w:r w:rsidR="001C58C8">
        <w:t xml:space="preserve">into </w:t>
      </w:r>
      <w:r w:rsidR="003C25A2">
        <w:t>non-veteran</w:t>
      </w:r>
      <w:r w:rsidR="001C58C8">
        <w:t xml:space="preserve"> life</w:t>
      </w:r>
      <w:r w:rsidR="00AB7163" w:rsidRPr="00EA685A">
        <w:t xml:space="preserve">. </w:t>
      </w:r>
      <w:r w:rsidR="00873F62">
        <w:t xml:space="preserve">A </w:t>
      </w:r>
      <w:r w:rsidR="00C458AE" w:rsidRPr="00FA5D72">
        <w:t xml:space="preserve">recent UK study has also found </w:t>
      </w:r>
      <w:r w:rsidR="0013199C" w:rsidRPr="00FA5D72">
        <w:t>hazardous</w:t>
      </w:r>
      <w:r w:rsidR="00C458AE" w:rsidRPr="00FA5D72">
        <w:t xml:space="preserve"> </w:t>
      </w:r>
      <w:r w:rsidR="00FA5D72" w:rsidRPr="00FA5D72">
        <w:t xml:space="preserve">drinking </w:t>
      </w:r>
      <w:r w:rsidR="00C458AE" w:rsidRPr="00FA5D72">
        <w:t xml:space="preserve">to be prevalent amongst </w:t>
      </w:r>
      <w:r w:rsidR="00231F04" w:rsidRPr="00FA5D72">
        <w:t xml:space="preserve">female </w:t>
      </w:r>
      <w:r w:rsidR="00582D5A" w:rsidRPr="00FA5D72">
        <w:t>spouses</w:t>
      </w:r>
      <w:r w:rsidR="00582D5A">
        <w:t xml:space="preserve"> of</w:t>
      </w:r>
      <w:r w:rsidR="00582D5A" w:rsidRPr="00FA5D72">
        <w:t xml:space="preserve"> </w:t>
      </w:r>
      <w:r w:rsidR="00C458AE" w:rsidRPr="00FA5D72">
        <w:t>military</w:t>
      </w:r>
      <w:r w:rsidR="00582D5A">
        <w:t xml:space="preserve"> personnel</w:t>
      </w:r>
      <w:r w:rsidR="00C458AE" w:rsidRPr="00FA5D72">
        <w:t xml:space="preserve"> </w:t>
      </w:r>
      <w:r w:rsidR="00C458AE" w:rsidRPr="00FA5D72">
        <w:fldChar w:fldCharType="begin"/>
      </w:r>
      <w:r w:rsidR="0072226B">
        <w:instrText xml:space="preserve"> ADDIN ZOTERO_ITEM CSL_CITATION {"citationID":"81eLqrOT","properties":{"formattedCitation":"(Gribble et al., 2019)","plainCitation":"(Gribble et al., 2019)","noteIndex":0},"citationItems":[{"id":636,"uris":["http://zotero.org/users/3740225/items/FHP7XXB8"],"uri":["http://zotero.org/users/3740225/items/FHP7XXB8"],"itemData":{"id":636,"type":"article-journal","container-title":"Submitted","title":"Mental health outcomes and alcohol use among UK military spouses/partners: a comparison with women in the general population","author":[{"family":"Gribble","given":"Rachael"},{"family":"Goodwin","given":"Laura"},{"family":"Fear","given":"Nicola T"}],"issued":{"date-parts":[["2019"]]}}}],"schema":"https://github.com/citation-style-language/schema/raw/master/csl-citation.json"} </w:instrText>
      </w:r>
      <w:r w:rsidR="00C458AE" w:rsidRPr="00FA5D72">
        <w:fldChar w:fldCharType="separate"/>
      </w:r>
      <w:r w:rsidR="0072226B">
        <w:rPr>
          <w:rFonts w:cs="Times New Roman"/>
        </w:rPr>
        <w:t>(Gribble et al., 2019)</w:t>
      </w:r>
      <w:r w:rsidR="00C458AE" w:rsidRPr="00FA5D72">
        <w:fldChar w:fldCharType="end"/>
      </w:r>
      <w:r w:rsidR="00FA5D72" w:rsidRPr="00FA5D72">
        <w:t>,</w:t>
      </w:r>
      <w:r w:rsidR="00C458AE" w:rsidRPr="00FA5D72">
        <w:t xml:space="preserve"> sugg</w:t>
      </w:r>
      <w:r w:rsidR="00E86E17">
        <w:t>esting that there are implications of the drinking culture in females both within and connected to the AF</w:t>
      </w:r>
      <w:r w:rsidR="00FA5D72" w:rsidRPr="00FA5D72">
        <w:t>.</w:t>
      </w:r>
      <w:r w:rsidR="003B0209">
        <w:t xml:space="preserve"> This is important as evidence suggests that women may be </w:t>
      </w:r>
      <w:r w:rsidR="008D2657">
        <w:t xml:space="preserve">particularly </w:t>
      </w:r>
      <w:r w:rsidR="003B0209">
        <w:t xml:space="preserve">susceptible to alcohol related physical </w:t>
      </w:r>
      <w:r w:rsidR="00B0071C">
        <w:t xml:space="preserve">and mental </w:t>
      </w:r>
      <w:r w:rsidR="003B0209">
        <w:t xml:space="preserve">harm </w:t>
      </w:r>
      <w:r w:rsidR="003B0209">
        <w:fldChar w:fldCharType="begin"/>
      </w:r>
      <w:r w:rsidR="0072226B">
        <w:instrText xml:space="preserve"> ADDIN ZOTERO_ITEM CSL_CITATION {"citationID":"ipHPzVhl","properties":{"formattedCitation":"(Erol &amp; Karpyak, 2015)","plainCitation":"(Erol &amp; Karpyak, 2015)","noteIndex":0},"citationItems":[{"id":610,"uris":["http://zotero.org/users/3740225/items/9JTXDJBD"],"uri":["http://zotero.org/users/3740225/items/9JTXDJBD"],"itemData":{"id":610,"type":"article-journal","abstract":"Aims\nTo review the contemporary evidence reflecting male/female differences in alcohol use and its consequences along with the biological (sex-related) and psycho-socio-cultural (gender-related) factors associated with those differences.\nMethods\nMEDLINE, PubMed, Web of Science, SCOPUS, PsycINFO, and CINAHL databases were searched for relevant publications, which were subsequently screened for the presence/absence of pre-specified criteria for high quality evidence.\nResults\nCompared to men, more women are lifetime abstainers, drink less, and are less likely to engage in problem drinking, develop alcohol-related disorders or alcohol withdrawal symptoms. However, women drinking excessively develop more medical problems. Biological (sex-related) factors, including differences in alcohol pharmacokinetics as well as its effect on brain function and the levels of sex hormones may contribute to some of those differences. In addition, differences in alcohol effects on behavior may also be driven by psycho-socio-cultural (gender-related) factors. This is evident by variation in the magnitude of differences in alcohol use between countries, decreasing difference in the rates of alcohol consumption in recent generations and other findings. Evidence indicates that both sex and gender-related factors are interacting with alcohol use in complex manner, which differentially impacts the risk for development of the behavioral or medical problems and alcohol use disorders in men and women.\nConclusions\nDiscovery of the mechanisms underlying biological (sex-related) as well as psycho-socio-cultural (gender-related) differences in alcohol use and related disorders is needed for development of personalized recommendations for prevention and treatment of alcohol use disorders and related problems in men and women.","container-title":"Drug and Alcohol Dependence","DOI":"10.1016/j.drugalcdep.2015.08.023","ISSN":"0376-8716","journalAbbreviation":"Drug and Alcohol Dependence","page":"1-13","source":"ScienceDirect","title":"Sex and gender-related differences in alcohol use and its consequences: Contemporary knowledge and future research considerations","title-short":"Sex and gender-related differences in alcohol use and its consequences","volume":"156","author":[{"family":"Erol","given":"Almila"},{"family":"Karpyak","given":"Victor M."}],"issued":{"date-parts":[["2015",11,1]]}}}],"schema":"https://github.com/citation-style-language/schema/raw/master/csl-citation.json"} </w:instrText>
      </w:r>
      <w:r w:rsidR="003B0209">
        <w:fldChar w:fldCharType="separate"/>
      </w:r>
      <w:r w:rsidR="0072226B">
        <w:rPr>
          <w:rFonts w:cs="Times New Roman"/>
        </w:rPr>
        <w:t>(Erol &amp; Karpyak, 2015)</w:t>
      </w:r>
      <w:r w:rsidR="003B0209">
        <w:fldChar w:fldCharType="end"/>
      </w:r>
      <w:r w:rsidR="00B0071C">
        <w:t>.</w:t>
      </w:r>
      <w:r w:rsidR="003E4EA8">
        <w:t xml:space="preserve"> </w:t>
      </w:r>
      <w:r w:rsidR="00F07DD6">
        <w:rPr>
          <w:rFonts w:eastAsia="Times New Roman"/>
        </w:rPr>
        <w:t>W</w:t>
      </w:r>
      <w:r w:rsidR="003E4EA8">
        <w:rPr>
          <w:rFonts w:eastAsia="Times New Roman"/>
        </w:rPr>
        <w:t>orking and non-working veterans</w:t>
      </w:r>
      <w:r w:rsidR="00F07DD6">
        <w:rPr>
          <w:rFonts w:eastAsia="Times New Roman"/>
        </w:rPr>
        <w:t xml:space="preserve"> report similarly high levels of alcohol misuse. Unlike in the non-veteran sample, employment is not associated with reduced alcohol misuse in veterans. Further work is needed to understand this finding, such as exploration of the type of work undertaken by veterans compared to non-veterans.</w:t>
      </w:r>
    </w:p>
    <w:p w14:paraId="4843C086" w14:textId="79A3477F" w:rsidR="00FA2E50" w:rsidRDefault="003B3FE9" w:rsidP="00D52912">
      <w:r>
        <w:t>U</w:t>
      </w:r>
      <w:r w:rsidR="00E13D0E">
        <w:t xml:space="preserve">nemployed and ill or disabled veterans </w:t>
      </w:r>
      <w:r w:rsidR="008D2657">
        <w:t>we</w:t>
      </w:r>
      <w:r w:rsidR="00E13D0E">
        <w:t>re more likely to exhibit</w:t>
      </w:r>
      <w:r w:rsidR="005C0350">
        <w:t xml:space="preserve"> probable</w:t>
      </w:r>
      <w:r w:rsidR="00E13D0E">
        <w:t xml:space="preserve"> </w:t>
      </w:r>
      <w:r w:rsidR="005C0350">
        <w:t>CMD and PTSD than veterans in employment</w:t>
      </w:r>
      <w:r w:rsidR="00E13D0E">
        <w:t>.</w:t>
      </w:r>
      <w:r w:rsidR="00892B11">
        <w:t xml:space="preserve"> </w:t>
      </w:r>
      <w:r w:rsidR="00677A4A">
        <w:t xml:space="preserve">This is supported by previous research which has found </w:t>
      </w:r>
      <w:r w:rsidR="00892B11">
        <w:t>poor mental health</w:t>
      </w:r>
      <w:r w:rsidR="00677A4A">
        <w:t xml:space="preserve"> to be high in unemployed veterans compared to </w:t>
      </w:r>
      <w:r w:rsidR="00C12BB5">
        <w:t xml:space="preserve">those in employment </w:t>
      </w:r>
      <w:r w:rsidR="00677A4A">
        <w:fldChar w:fldCharType="begin"/>
      </w:r>
      <w:r w:rsidR="0072226B">
        <w:instrText xml:space="preserve"> ADDIN ZOTERO_ITEM CSL_CITATION {"citationID":"LfLs7u98","properties":{"formattedCitation":"(Hamilton et al., 2015; Harden &amp; Murphy, 2018)","plainCitation":"(Hamilton et al., 2015; Harden &amp; Murphy, 2018)","noteIndex":0},"citationItems":[{"id":12,"uris":["http://zotero.org/users/3740225/items/CHTQ9JU6"],"uri":["http://zotero.org/users/3740225/items/CHTQ9JU6"],"itemData":{"id":12,"type":"article-journal","abstract":"Background  Little has been reported regarding the risk factors of suicidal ideation in individuals once they have left the military in the UK. The aim of this paper was to explore the risk factors associated with suicidal ideation in a sample of treatment-seeking veterans.\nMethods Using a cross-sectional design, participants included veterans (n=144) seeking treatment from a national mental health charity in the UK. Individuals completed questionnaires regarding their military experiences, pre-enlistment factors and health. Data were then linked to risk assessments extracted from clinical records.\nResults After controlling for relevant variables, suicidal ideation was significantly higher in veterans who were unemployed (OR 8.01; 95% CI 1.79 to 35.80), were early service leavers (OR 8.46; 95% CI 2.21 to 32.35) and those with a history of childhood adversity (OR 6.92; 95% CI 2.10 to 22.82). In addition, taking longer than 5 years to seek help was associated with a reduced risk of suicidal ideation (OR 0.10; 95% CI 0.06 to 0.87). There was no association between health outcomes and suicidal ideation.\nConclusions Risk factors associated with suicidal ideation in this sample of veterans included: being unemployed, an early service leaver, taking less than 5 years to seek help and experiencing preservice adversity.","container-title":"Journal of the Royal Army Medical Corps","DOI":"10.1136/jramc-2018-000921","ISSN":"0035-8665, 2052-0468","issue":"5","language":"en","page":"352-356","source":"Crossref","title":"Risk factors of suicidal ideation in a population of UK military veterans seeking support for mental health difficulties","volume":"164","author":[{"family":"Harden","given":"Larissa"},{"family":"Murphy","given":"D"}],"issued":{"date-parts":[["2018",9]]}}},{"id":11,"uris":["http://zotero.org/users/3740225/items/TXKVNV9T"],"uri":["http://zotero.org/users/3740225/items/TXKVNV9T"],"itemData":{"id":11,"type":"article-journal","abstract":"Background: The unemployment rate is currently higher among women Veterans than among male Veterans and civilian women. Employment is a key social determinant of health, with unemployment being strongly associated with adverse health.\n        Objective: To identify military-related and health-related characteristics associated with unemployment in women Veterans.\n        Research Design and Subjects: Secondary analysis of workforce participants (n=1605) in the National Survey of Women Veterans telephone survey.\n        Measures: Demographics, mental health conditions, health care utilization, and military experiences and effects. Unemployment was defined as being in the labor force but unemployed and looking for work.\n        Analysis: The χ2 analyses to identify characteristics of unemployed women Veterans; logistic regression to identify independent factors associated with unemployment.\n        Results: Ten percent of women Veterans were unemployed. Independent correlates of unemployment were screening positive for depression [odds ratio (OR)=4.7; 95% confidence interval [CI], 1.8–12.4], military service during wartime (OR=2.9; 95%, CI 1.1–7.3), and service in the regular military (vs. in the National Guards/Reserves only) (OR=6.8; 95% CI, 2.2–20.5). Two postactive duty perceptions related to not being respected and understood as a Veteran were each independently associated with unemployment.\n        Conclusions: Whether depression underlies unemployment, is exacerbated by unemployment, or both, it is critical to identify and treat depression among women Veterans, and also to investigate women Veterans’ experiences and identities in civilian life. Community-based employers may need education regarding women Veterans’ unique histories and strengths. Women who served in the regular military and during wartime may benefit from job assistance before and after they leave the military. Gender-specific adaptation of employment services may be warranted.","container-title":"Medical Care","DOI":"10.1097/MLR.0000000000000297","ISSN":"0025-7079","language":"en-US","page":"S32","source":"journals.lww.com","title":"Military and Mental Health Correlates of Unemployment in a National Sample of Women Veterans","volume":"53","author":[{"family":"Hamilton","given":"Alison B."},{"family":"Williams","given":"Lindsay"},{"family":"Washington","given":"Donna L."}],"issued":{"date-parts":[["2015",4]]}}}],"schema":"https://github.com/citation-style-language/schema/raw/master/csl-citation.json"} </w:instrText>
      </w:r>
      <w:r w:rsidR="00677A4A">
        <w:fldChar w:fldCharType="separate"/>
      </w:r>
      <w:r w:rsidR="0072226B">
        <w:rPr>
          <w:rFonts w:cs="Times New Roman"/>
        </w:rPr>
        <w:t>(Hamilton et al., 2015; Harden &amp; Murphy, 2018)</w:t>
      </w:r>
      <w:r w:rsidR="00677A4A">
        <w:fldChar w:fldCharType="end"/>
      </w:r>
      <w:r w:rsidR="003D772F">
        <w:t xml:space="preserve">. </w:t>
      </w:r>
      <w:r w:rsidR="002C7C5F">
        <w:t>A h</w:t>
      </w:r>
      <w:r w:rsidR="003D772F">
        <w:t>igh prevalence of CMD has</w:t>
      </w:r>
      <w:r w:rsidR="00FE1830">
        <w:t xml:space="preserve"> also been identified among veterans with a physical impairment</w:t>
      </w:r>
      <w:r w:rsidR="00D96FA3">
        <w:t xml:space="preserve"> </w:t>
      </w:r>
      <w:r w:rsidR="00D96FA3">
        <w:fldChar w:fldCharType="begin"/>
      </w:r>
      <w:r w:rsidR="0072226B">
        <w:instrText xml:space="preserve"> ADDIN ZOTERO_ITEM CSL_CITATION {"citationID":"dbzHMD6y","properties":{"formattedCitation":"(Stevelink et al., 2015)","plainCitation":"(Stevelink et al., 2015)","noteIndex":0},"citationItems":[{"id":653,"uris":["http://zotero.org/users/3740225/items/EV4ZZC2I"],"uri":["http://zotero.org/users/3740225/items/EV4ZZC2I"],"itemData":{"id":653,"type":"article-journal","abstract":"Background Having a visual, hearing or physical impairment (defined as problems in body function or structure) may adversely influence the mental well-being of military personnel. This paper reviews the existing literature regarding the prevalence of mental health problems among (ex-)military personnel who have a permanent, predominantly, physical impairment.\nMethod Multiple electronic literature databases were searched for relevant studies (EMBASE (1980–January 2014), MEDLINE (1946–January 2014), PsycINFO (2002–January 2014), Web of Science (1975–January 2014)).\nResults 25 papers were included in the review, representing 17 studies. Studies conducted among US military personnel (n=8) were most represented. A range of mental health disorders were investigated; predominately post-traumatic stress disorder (PTSD), but also depression, anxiety disorder (excluding PTSD), psychological distress and alcohol misuse. The findings indicate that mental health disorders including PTSD (range 2–59%), anxiety (range 16.1–35.5%), depression (range 9.7–46.4%) and psychological distress (range 13.4–36%) are frequently found whereby alcohol misuse was least common (range 2.2–26.2%).\nConclusions Common mental health disorders were frequently identified among (ex-)military personnel with a physical impairment. Adequate care and support is necessary during the impairment adaptation process to facilitate the psychosocial challenges (ex-)military personnel with an impairment face. Future research should be directed into factors impacting on the mental well-being of (ex-)military personnel with an impairment, how prevalence rates vary across impairment types and to identify and act on specific needs for care and support.","container-title":"Occup Environ Med","DOI":"10.1136/oemed-2014-102207","ISSN":"1351-0711, 1470-7926","issue":"4","journalAbbreviation":"Occup Environ Med","language":"en","note":"PMID: 25227569","page":"243-251","source":"oem.bmj.com","title":"The prevalence of mental health disorders in (ex-)military personnel with a physical impairment: a systematic review","title-short":"The prevalence of mental health disorders in (ex-)military personnel with a physical impairment","volume":"72","author":[{"family":"Stevelink","given":"S"},{"family":"Malcolm","given":"E. M."},{"family":"Mason","given":"C."},{"family":"Jenkins","given":"S."},{"family":"Sundin","given":"J."},{"family":"Fear","given":"N. T."}],"issued":{"date-parts":[["2015",4,1]]}}}],"schema":"https://github.com/citation-style-language/schema/raw/master/csl-citation.json"} </w:instrText>
      </w:r>
      <w:r w:rsidR="00D96FA3">
        <w:fldChar w:fldCharType="separate"/>
      </w:r>
      <w:r w:rsidR="0072226B">
        <w:rPr>
          <w:rFonts w:cs="Times New Roman"/>
        </w:rPr>
        <w:t>(Stevelink et al., 2015)</w:t>
      </w:r>
      <w:r w:rsidR="00D96FA3">
        <w:fldChar w:fldCharType="end"/>
      </w:r>
      <w:r w:rsidR="00C12BB5">
        <w:t>.</w:t>
      </w:r>
      <w:r w:rsidR="00DA6FF6">
        <w:t xml:space="preserve"> </w:t>
      </w:r>
      <w:r w:rsidR="00E13D0E">
        <w:t xml:space="preserve">Further longitudinal analysis is needed, not only to unpick the causal relationship between employment and mental health </w:t>
      </w:r>
      <w:r w:rsidR="00745A89">
        <w:t xml:space="preserve">status </w:t>
      </w:r>
      <w:r w:rsidR="00E13D0E">
        <w:t>for veterans</w:t>
      </w:r>
      <w:r w:rsidR="003B16A4">
        <w:t xml:space="preserve"> </w:t>
      </w:r>
      <w:r w:rsidR="00745A89">
        <w:t xml:space="preserve">but </w:t>
      </w:r>
      <w:r w:rsidR="00E13D0E">
        <w:t>to determine if physical health affects veteran’s ability to work, and whether this in turn negatively impacts their mental health.</w:t>
      </w:r>
      <w:r w:rsidR="00DA6FF6">
        <w:t xml:space="preserve"> </w:t>
      </w:r>
    </w:p>
    <w:p w14:paraId="279B32EF" w14:textId="43845F2B" w:rsidR="00416D1C" w:rsidRDefault="00DD520C" w:rsidP="00F61E19">
      <w:pPr>
        <w:pStyle w:val="Heading2"/>
      </w:pPr>
      <w:r>
        <w:lastRenderedPageBreak/>
        <w:t>Implications</w:t>
      </w:r>
    </w:p>
    <w:p w14:paraId="0C39EB35" w14:textId="1734CB72" w:rsidR="003E7CCB" w:rsidRDefault="003D772F" w:rsidP="003E7CCB">
      <w:r w:rsidRPr="008E58DE">
        <w:t>Findings from this study</w:t>
      </w:r>
      <w:r w:rsidR="00B9518D" w:rsidRPr="008E58DE">
        <w:t xml:space="preserve"> </w:t>
      </w:r>
      <w:r w:rsidR="00AE3584" w:rsidRPr="008E58DE">
        <w:t xml:space="preserve">demonstrate that veterans </w:t>
      </w:r>
      <w:r w:rsidR="00B27E51" w:rsidRPr="008E58DE">
        <w:t xml:space="preserve">(especially male veterans) </w:t>
      </w:r>
      <w:r w:rsidR="00AE3584" w:rsidRPr="008E58DE">
        <w:t xml:space="preserve">are at a disadvantage to </w:t>
      </w:r>
      <w:r w:rsidR="003C25A2">
        <w:t>non-veterans</w:t>
      </w:r>
      <w:r w:rsidR="00406165">
        <w:t xml:space="preserve"> in </w:t>
      </w:r>
      <w:r w:rsidR="002C7C5F">
        <w:t>respect</w:t>
      </w:r>
      <w:r w:rsidR="00406165">
        <w:t xml:space="preserve"> of </w:t>
      </w:r>
      <w:r w:rsidR="002C7C5F">
        <w:t xml:space="preserve">their </w:t>
      </w:r>
      <w:r w:rsidR="00406165">
        <w:t>mental health</w:t>
      </w:r>
      <w:r w:rsidR="00F172F2" w:rsidRPr="008E58DE">
        <w:t>.</w:t>
      </w:r>
      <w:r w:rsidR="00BB08A3">
        <w:t xml:space="preserve"> In particular, </w:t>
      </w:r>
      <w:r w:rsidR="002C7C5F">
        <w:t xml:space="preserve">it appears that </w:t>
      </w:r>
      <w:r w:rsidR="00041D76">
        <w:t xml:space="preserve">service leavers may benefit from </w:t>
      </w:r>
      <w:r w:rsidR="00B9518D" w:rsidRPr="008E58DE">
        <w:t xml:space="preserve">interventions </w:t>
      </w:r>
      <w:r w:rsidR="008D2657">
        <w:t>targeting</w:t>
      </w:r>
      <w:r w:rsidR="00B9518D" w:rsidRPr="008E58DE">
        <w:t xml:space="preserve"> alcohol misuse</w:t>
      </w:r>
      <w:r w:rsidR="008D2657">
        <w:t>, with recent evidence suggesting that electronic interventions could be suitable</w:t>
      </w:r>
      <w:r w:rsidR="00B47847">
        <w:t xml:space="preserve"> </w:t>
      </w:r>
      <w:r w:rsidR="00B47847">
        <w:fldChar w:fldCharType="begin"/>
      </w:r>
      <w:r w:rsidR="0072226B">
        <w:instrText xml:space="preserve"> ADDIN ZOTERO_ITEM CSL_CITATION {"citationID":"CpWnDCyd","properties":{"formattedCitation":"(Leightley et al., 2018)","plainCitation":"(Leightley et al., 2018)","noteIndex":0},"citationItems":[{"id":609,"uris":["http://zotero.org/users/3740225/items/KT6C7BTG"],"uri":["http://zotero.org/users/3740225/items/KT6C7BTG"],"itemData":{"id":609,"type":"article-journal","abstract":"InDEx is a software package for reporting and monitoring alcohol consumption via a smartphone application. Consumption of alcohol is self-reported by the user, and the app provides a visual representation of drinking behaviour and offers feedback on consumption levels compared to the general population. InDEx is intended as an exemplar app, operating as a standalone smartphone application and is highly customisable for a variety of research domains. InDEx is written in JavaScript, using IONIC framework which is cross-platform and is available under the liberal GNU General Public License (v3). The software is available from GitHub (https://github.com/DrDanL/index-app-public).","container-title":"Journal of open research software","DOI":"10.5334/jors.207","ISSN":"2049-9647","journalAbbreviation":"J Open Res Softw","note":"PMID: 29795769\nPMCID: PMC5961935","source":"PubMed Central","title":"InDEx: Open Source iOS and Android Software for Self-Reporting and Monitoring of Alcohol Consumption","title-short":"InDEx","URL":"https://www.ncbi.nlm.nih.gov/pmc/articles/PMC5961935/","volume":"6","author":[{"family":"Leightley","given":"Daniel"},{"family":"Puddephatt","given":"Jo-Anne"},{"family":"Goodwin","given":"Laura"},{"family":"Rona","given":"Roberto"},{"family":"Fear","given":"Nicola T."}],"accessed":{"date-parts":[["2019",5,1]]},"issued":{"date-parts":[["2018",3,23]]}}}],"schema":"https://github.com/citation-style-language/schema/raw/master/csl-citation.json"} </w:instrText>
      </w:r>
      <w:r w:rsidR="00B47847">
        <w:fldChar w:fldCharType="separate"/>
      </w:r>
      <w:r w:rsidR="0072226B">
        <w:rPr>
          <w:rFonts w:cs="Times New Roman"/>
        </w:rPr>
        <w:t>(Leightley et al., 2018)</w:t>
      </w:r>
      <w:r w:rsidR="00B47847">
        <w:fldChar w:fldCharType="end"/>
      </w:r>
      <w:r w:rsidR="00041D76">
        <w:t>. This is especially</w:t>
      </w:r>
      <w:r w:rsidR="00B9518D" w:rsidRPr="008E58DE">
        <w:t xml:space="preserve"> </w:t>
      </w:r>
      <w:r w:rsidR="00041D76">
        <w:t>important f</w:t>
      </w:r>
      <w:r w:rsidR="00113753">
        <w:t xml:space="preserve">or </w:t>
      </w:r>
      <w:r w:rsidR="00041D76">
        <w:t xml:space="preserve">those who had </w:t>
      </w:r>
      <w:r w:rsidR="001C01CF" w:rsidRPr="008E58DE">
        <w:t xml:space="preserve">harmful </w:t>
      </w:r>
      <w:r w:rsidR="00AE3584" w:rsidRPr="008E58DE">
        <w:t xml:space="preserve">and persistent </w:t>
      </w:r>
      <w:r w:rsidR="001C01CF" w:rsidRPr="008E58DE">
        <w:t>drinking habit</w:t>
      </w:r>
      <w:r w:rsidR="00AE3584" w:rsidRPr="008E58DE">
        <w:t>s during their military service.</w:t>
      </w:r>
      <w:r w:rsidR="00BB08A3">
        <w:t xml:space="preserve"> </w:t>
      </w:r>
      <w:r w:rsidR="008E58DE" w:rsidRPr="008E58DE">
        <w:t>V</w:t>
      </w:r>
      <w:r w:rsidR="002611C1" w:rsidRPr="008E58DE">
        <w:t>eterans</w:t>
      </w:r>
      <w:r w:rsidR="002611C1">
        <w:t xml:space="preserve"> </w:t>
      </w:r>
      <w:r w:rsidR="000421CE" w:rsidRPr="005A0075">
        <w:t xml:space="preserve">who are unable to work </w:t>
      </w:r>
      <w:r w:rsidR="005A0075" w:rsidRPr="005A0075">
        <w:t>for health reasons</w:t>
      </w:r>
      <w:r w:rsidR="002611C1">
        <w:t xml:space="preserve"> may </w:t>
      </w:r>
      <w:r w:rsidR="00BB08A3">
        <w:t xml:space="preserve">also </w:t>
      </w:r>
      <w:r w:rsidR="002611C1">
        <w:t>benefit from</w:t>
      </w:r>
      <w:r w:rsidR="005A0075" w:rsidRPr="005A0075">
        <w:t xml:space="preserve"> </w:t>
      </w:r>
      <w:r w:rsidR="00AE3584">
        <w:t>additional social support</w:t>
      </w:r>
      <w:r w:rsidR="008E58DE">
        <w:t xml:space="preserve">. Being </w:t>
      </w:r>
      <w:r w:rsidR="002611C1">
        <w:t>removed from the support and structure of military life</w:t>
      </w:r>
      <w:r w:rsidR="00A61F7B" w:rsidRPr="005A0075">
        <w:t xml:space="preserve"> </w:t>
      </w:r>
      <w:r w:rsidR="0042466C" w:rsidRPr="005A0075">
        <w:t>and unable to work</w:t>
      </w:r>
      <w:r w:rsidR="008E58DE">
        <w:t>, t</w:t>
      </w:r>
      <w:r w:rsidR="0042466C" w:rsidRPr="005A0075">
        <w:t>hey are</w:t>
      </w:r>
      <w:r w:rsidR="002611C1">
        <w:t xml:space="preserve"> </w:t>
      </w:r>
      <w:r w:rsidR="00A61F7B" w:rsidRPr="005A0075">
        <w:t xml:space="preserve">at risk of becoming </w:t>
      </w:r>
      <w:r w:rsidR="0042466C" w:rsidRPr="005A0075">
        <w:t>isolated</w:t>
      </w:r>
      <w:r w:rsidR="002611C1">
        <w:t xml:space="preserve"> which in turn can</w:t>
      </w:r>
      <w:r w:rsidR="00D62556">
        <w:t xml:space="preserve"> negatively impact their health </w:t>
      </w:r>
      <w:r w:rsidR="008E58DE">
        <w:fldChar w:fldCharType="begin"/>
      </w:r>
      <w:r w:rsidR="0072226B">
        <w:instrText xml:space="preserve"> ADDIN ZOTERO_ITEM CSL_CITATION {"citationID":"B48uIPsB","properties":{"formattedCitation":"(Elovainio et al., 2017; Hatch et al., 2013)","plainCitation":"(Elovainio et al., 2017; Hatch et al., 2013)","noteIndex":0},"citationItems":[{"id":611,"uris":["http://zotero.org/users/3740225/items/JM3JN5JW"],"uri":["http://zotero.org/users/3740225/items/JM3JN5JW"],"itemData":{"id":611,"type":"article-journal","abstract":"This study focuses on the influence of structural aspects of social integration (social networks and social participation outside work) on mental health (common mental disorders (CMD), that is, depression and anxiety symptoms, post-traumatic stress disorder (PTSD) symptoms and alcohol misuse). This study examines differences in levels of social integration and associations between social integration and mental health among service leavers and personnel still in service. Data were collected from regular serving personnel (n = 6511) and regular service leavers (n = 1753), from a representative cohort study of the Armed Forces in the UK. We found that service leavers reported less social participation outside work and a general disengagement with military social contacts in comparison to serving personnel. Service leavers were more likely to report CMD and PTSD symptoms. The increased risk of CMD but not PTSD symptoms, was partially accounted for by the reduced levels of social integration among the service leavers. Maintaining social networks in which most members are still in the military is associated with alcohol misuse for both groups, but it is related to CMD and PTSD symptoms for service leavers only.","container-title":"Sociology of Health &amp; Illness","DOI":"10.1111/1467-9566.12022","ISSN":"1467-9566","issue":"7","language":"en","page":"1045-1064","source":"Wiley Online Library","title":"Life in and after the Armed Forces: social networks and mental health in the UK military","title-short":"Life in and after the Armed Forces","volume":"35","author":[{"family":"Hatch","given":"Stephani L."},{"family":"Harvey","given":"Samuel B."},{"family":"Dandeker","given":"Christopher"},{"family":"Burdett","given":"Howard"},{"family":"Greenberg","given":"Neil"},{"family":"Fear","given":"Nicola T."},{"family":"Wessely","given":"Simon"}],"issued":{"date-parts":[["2013"]]}}},{"id":654,"uris":["http://zotero.org/users/3740225/items/CTUCLRG9"],"uri":["http://zotero.org/users/3740225/items/CTUCLRG9"],"itemData":{"id":654,"type":"article-journal","abstract":"Summary\nBackground\nThe associations of social isolation and loneliness with premature mortality are well known, but the risk factors linking them remain unclear. We sought to identify risk factors that might explain the increased mortality in socially isolated and lonely individuals.\nMethods\nWe used prospective follow-up data from the UK Biobank cohort study to assess self-reported isolation (a three-item scale) and loneliness (two questions). The main outcomes were all-cause and cause-specific mortality. We calculated the percentage of excess risk mediated by risk factors to assess the extent to which the associations of social isolation and loneliness with mortality were attributable to differences between isolated and lonely individuals and others in biological (body-mass index, systolic and diastolic blood pressure, and handgrip strength), behavioural (smoking, alcohol consumption, and physical activity), socioeconomic (education, neighbourhood deprivation, and household income), and psychological (depressive symptoms and cognitive capacity) risk factors.\nFindings\n466 901 men and women (mean age at baseline 56·5 years [SD 8·1]) were included in the analyses, with a mean follow-up of 6·5 years (SD 0·8). The hazard ratio for all-cause mortality for social isolation compared with no social isolation was 1·73 (95% CI 1·65–1·82) after adjustment for age, sex, ethnic origin, and chronic disease (ie, minimally adjusted), and was 1·26 (95% CI 1·20–1·33) after further adjustment for socioeconomic factors, health-related behaviours, depressive symptoms, biological factors, cognitive performance, and self-rated health (ie, fully adjusted). The minimally adjusted hazard ratio for mortality risk related to loneliness was 1·38 (95% CI 1·30–1·47), which reduced to 0·99 (95% CI 0·93–1·06) after full adjustment for baseline risks.\nInterpretation\nIsolated and lonely people are at increased risk of death. Health policies addressing risk factors such as adverse socioeconomic conditions, unhealthy lifestyle, and lower mental wellbeing might reduce excess mortality among the isolated and the lonely.\nFunding\nAcademy of Finland, NordForsk, and the UK Medical Research Council.","container-title":"The Lancet Public Health","DOI":"10.1016/S2468-2667(17)30075-0","ISSN":"2468-2667","issue":"6","journalAbbreviation":"The Lancet Public Health","page":"e260-e266","source":"ScienceDirect","title":"Contribution of risk factors to excess mortality in isolated and lonely individuals: an analysis of data from the UK Biobank cohort study","title-short":"Contribution of risk factors to excess mortality in isolated and lonely individuals","volume":"2","author":[{"family":"Elovainio","given":"Marko"},{"family":"Hakulinen","given":"Christian"},{"family":"Pulkki-Råback","given":"Laura"},{"family":"Virtanen","given":"Marianna"},{"family":"Josefsson","given":"Kim"},{"family":"Jokela","given":"Markus"},{"family":"Vahtera","given":"Jussi"},{"family":"Kivimäki","given":"Mika"}],"issued":{"date-parts":[["2017",6,1]]}}}],"schema":"https://github.com/citation-style-language/schema/raw/master/csl-citation.json"} </w:instrText>
      </w:r>
      <w:r w:rsidR="008E58DE">
        <w:fldChar w:fldCharType="separate"/>
      </w:r>
      <w:r w:rsidR="0072226B">
        <w:rPr>
          <w:rFonts w:cs="Times New Roman"/>
        </w:rPr>
        <w:t>(Elovainio et al., 2017; Hatch et al., 2013)</w:t>
      </w:r>
      <w:r w:rsidR="008E58DE">
        <w:fldChar w:fldCharType="end"/>
      </w:r>
      <w:r w:rsidR="008E58DE">
        <w:t xml:space="preserve">. </w:t>
      </w:r>
    </w:p>
    <w:p w14:paraId="43293A29" w14:textId="20ACFE0E" w:rsidR="0064477E" w:rsidRDefault="00774FD2" w:rsidP="00F61E19">
      <w:pPr>
        <w:pStyle w:val="Heading2"/>
      </w:pPr>
      <w:r>
        <w:t>Strengths and l</w:t>
      </w:r>
      <w:r w:rsidR="0064477E">
        <w:t>imitations</w:t>
      </w:r>
    </w:p>
    <w:p w14:paraId="41C8CFAB" w14:textId="77777777" w:rsidR="004B5732" w:rsidRDefault="00B9518D" w:rsidP="004C0B1F">
      <w:r w:rsidRPr="005E32BD">
        <w:t xml:space="preserve">This study </w:t>
      </w:r>
      <w:r w:rsidR="004922C1" w:rsidRPr="005E32BD">
        <w:t xml:space="preserve">utilises data </w:t>
      </w:r>
      <w:r w:rsidR="00354421" w:rsidRPr="005E32BD">
        <w:t>representative of</w:t>
      </w:r>
      <w:r w:rsidRPr="005E32BD">
        <w:t xml:space="preserve"> veterans who served</w:t>
      </w:r>
      <w:r w:rsidR="001C3081">
        <w:t xml:space="preserve"> in the UK military</w:t>
      </w:r>
      <w:r w:rsidRPr="005E32BD">
        <w:t xml:space="preserve"> duri</w:t>
      </w:r>
      <w:r w:rsidR="00AE3584">
        <w:t>ng recent military operations in</w:t>
      </w:r>
      <w:r w:rsidRPr="005E32BD">
        <w:t xml:space="preserve"> Afghanistan and Iraq</w:t>
      </w:r>
      <w:r w:rsidR="005E32BD">
        <w:t>,</w:t>
      </w:r>
      <w:r w:rsidR="005E32BD" w:rsidRPr="005E32BD">
        <w:t xml:space="preserve"> allowing us to gain </w:t>
      </w:r>
      <w:r w:rsidR="00354421" w:rsidRPr="005E32BD">
        <w:t>an insight into the mental health of recent service leavers</w:t>
      </w:r>
      <w:r w:rsidR="005E32BD">
        <w:t xml:space="preserve"> compared to non-veterans</w:t>
      </w:r>
      <w:r w:rsidR="005E32BD" w:rsidRPr="005E32BD">
        <w:t>.</w:t>
      </w:r>
    </w:p>
    <w:p w14:paraId="09048022" w14:textId="08C25074" w:rsidR="004C0B1F" w:rsidRDefault="00131CDD" w:rsidP="004C0B1F">
      <w:r>
        <w:t>This study does have some limitations</w:t>
      </w:r>
      <w:r w:rsidR="00D842B6">
        <w:t>.</w:t>
      </w:r>
      <w:r>
        <w:t xml:space="preserve"> </w:t>
      </w:r>
      <w:r w:rsidR="00D842B6">
        <w:t>R</w:t>
      </w:r>
      <w:r>
        <w:t xml:space="preserve">esults are derived from self-reported data and geographic distribution of participants could not be accounted for. </w:t>
      </w:r>
      <w:r w:rsidR="004B5732">
        <w:t>M</w:t>
      </w:r>
      <w:r w:rsidR="00406165">
        <w:t>any of</w:t>
      </w:r>
      <w:r w:rsidR="002D7F86">
        <w:t xml:space="preserve"> the veterans who participated in </w:t>
      </w:r>
      <w:r w:rsidR="00BE43DF">
        <w:t>phase 3 of the</w:t>
      </w:r>
      <w:r w:rsidR="002D7F86">
        <w:t xml:space="preserve"> KCMHR cohort left service</w:t>
      </w:r>
      <w:r w:rsidR="00033B20">
        <w:t xml:space="preserve"> </w:t>
      </w:r>
      <w:r w:rsidR="009D6EB2">
        <w:t>around the time of</w:t>
      </w:r>
      <w:r w:rsidR="00033B20">
        <w:t xml:space="preserve"> their participation in </w:t>
      </w:r>
      <w:r w:rsidR="00033B20" w:rsidRPr="00033B20">
        <w:t>phase</w:t>
      </w:r>
      <w:r w:rsidR="005E32BD">
        <w:t xml:space="preserve"> 1</w:t>
      </w:r>
      <w:r w:rsidR="00406165">
        <w:t xml:space="preserve"> (2004-2006)</w:t>
      </w:r>
      <w:r w:rsidR="00D2457C">
        <w:t xml:space="preserve">, the </w:t>
      </w:r>
      <w:r w:rsidR="00D2457C" w:rsidRPr="008B1A34">
        <w:t>results of our study are</w:t>
      </w:r>
      <w:r w:rsidR="004B5732">
        <w:t xml:space="preserve"> therefore</w:t>
      </w:r>
      <w:r w:rsidR="00D2457C" w:rsidRPr="008B1A34">
        <w:t xml:space="preserve"> not necessarily representative of veterans who </w:t>
      </w:r>
      <w:r w:rsidR="00033B20" w:rsidRPr="008B1A34">
        <w:t xml:space="preserve">left service </w:t>
      </w:r>
      <w:r w:rsidR="003D1B8B">
        <w:t xml:space="preserve">more than </w:t>
      </w:r>
      <w:r w:rsidR="00AF5454" w:rsidRPr="008B1A34">
        <w:t>12</w:t>
      </w:r>
      <w:r w:rsidR="00033B20" w:rsidRPr="008B1A34">
        <w:t xml:space="preserve"> years</w:t>
      </w:r>
      <w:r w:rsidR="003D1B8B">
        <w:t xml:space="preserve"> ago</w:t>
      </w:r>
      <w:r w:rsidR="00D2457C" w:rsidRPr="008B1A34">
        <w:t xml:space="preserve">. </w:t>
      </w:r>
      <w:r w:rsidR="005C7B0A">
        <w:t xml:space="preserve">These veterans also are more likely to be aware of </w:t>
      </w:r>
      <w:r w:rsidR="00841FF3">
        <w:t xml:space="preserve">the most common symptoms of </w:t>
      </w:r>
      <w:r w:rsidR="005C7B0A">
        <w:t>PTSD than civilians due to ongoing efforts in the military to</w:t>
      </w:r>
      <w:r w:rsidR="00366035">
        <w:t xml:space="preserve"> increase awareness</w:t>
      </w:r>
      <w:r w:rsidR="00841FF3">
        <w:t xml:space="preserve"> and reduce stigma</w:t>
      </w:r>
      <w:r w:rsidR="00366035">
        <w:t xml:space="preserve">, </w:t>
      </w:r>
      <w:r w:rsidR="0052589A">
        <w:t>which in some cases could have resulted in veterans being</w:t>
      </w:r>
      <w:r w:rsidR="00366035">
        <w:t xml:space="preserve"> more likely to </w:t>
      </w:r>
      <w:r w:rsidR="0052589A">
        <w:t xml:space="preserve">have </w:t>
      </w:r>
      <w:r w:rsidR="00366035">
        <w:t>report</w:t>
      </w:r>
      <w:r w:rsidR="0052589A">
        <w:t>ed</w:t>
      </w:r>
      <w:r w:rsidR="00366035">
        <w:t xml:space="preserve"> symptoms. </w:t>
      </w:r>
      <w:r w:rsidR="002948F4" w:rsidRPr="008B1A34">
        <w:t xml:space="preserve">We </w:t>
      </w:r>
      <w:r w:rsidR="008B1A34">
        <w:t>acknowledge</w:t>
      </w:r>
      <w:r w:rsidR="00357D4F">
        <w:t xml:space="preserve"> this study is</w:t>
      </w:r>
      <w:r w:rsidR="008B1A34" w:rsidRPr="008B1A34">
        <w:t xml:space="preserve"> </w:t>
      </w:r>
      <w:r w:rsidR="002948F4" w:rsidRPr="008B1A34">
        <w:t xml:space="preserve">restricted to using </w:t>
      </w:r>
      <w:r w:rsidR="008B1A34" w:rsidRPr="008B1A34">
        <w:t>DSM-IV</w:t>
      </w:r>
      <w:r w:rsidR="002948F4" w:rsidRPr="008B1A34">
        <w:t xml:space="preserve"> criteria </w:t>
      </w:r>
      <w:r w:rsidR="008B1A34" w:rsidRPr="008B1A34">
        <w:t xml:space="preserve">to assess probable PTSD </w:t>
      </w:r>
      <w:r w:rsidR="009D6ACC">
        <w:t>domain</w:t>
      </w:r>
      <w:r w:rsidR="00E4775D">
        <w:t xml:space="preserve"> </w:t>
      </w:r>
      <w:r w:rsidR="008B1A34" w:rsidRPr="008B1A34">
        <w:t>caseness</w:t>
      </w:r>
      <w:r w:rsidR="008D2657">
        <w:t>, in order to use comparable measures across populations</w:t>
      </w:r>
      <w:r w:rsidR="002948F4" w:rsidRPr="008B1A34">
        <w:t>.</w:t>
      </w:r>
      <w:r w:rsidR="00F172F2">
        <w:t xml:space="preserve"> </w:t>
      </w:r>
      <w:r w:rsidR="00044798">
        <w:t xml:space="preserve">The general population surveys </w:t>
      </w:r>
      <w:r w:rsidR="00044798" w:rsidRPr="00F3656B">
        <w:t>utilised in this survey used different methods of data collection than the KCMHR study. APMS was conducted in England only</w:t>
      </w:r>
      <w:r w:rsidR="007031B9" w:rsidRPr="00F3656B">
        <w:t xml:space="preserve"> while UKHLS and KCMHR were conducted UK</w:t>
      </w:r>
      <w:r w:rsidR="00F906D8" w:rsidRPr="00F3656B">
        <w:t>-wide</w:t>
      </w:r>
      <w:r w:rsidR="007031B9" w:rsidRPr="00F3656B">
        <w:t xml:space="preserve">. </w:t>
      </w:r>
      <w:r w:rsidR="00F172F2" w:rsidRPr="00F3656B">
        <w:t>Due to lack of available data</w:t>
      </w:r>
      <w:r w:rsidR="00406165" w:rsidRPr="00F3656B">
        <w:t xml:space="preserve"> in the non-veteran population</w:t>
      </w:r>
      <w:r w:rsidR="00F172F2" w:rsidRPr="00F3656B">
        <w:t xml:space="preserve"> we were also unable to examine the potentially moderating </w:t>
      </w:r>
      <w:r w:rsidR="009E2BFC" w:rsidRPr="00F3656B">
        <w:t xml:space="preserve">effect </w:t>
      </w:r>
      <w:r w:rsidR="00F172F2" w:rsidRPr="00F3656B">
        <w:t>of childhood adversity on the association between military service and mental health.</w:t>
      </w:r>
      <w:r w:rsidR="002948F4" w:rsidRPr="00F3656B">
        <w:t xml:space="preserve"> </w:t>
      </w:r>
      <w:r w:rsidR="00C835C4" w:rsidRPr="00F3656B">
        <w:t xml:space="preserve">Furthermore, due </w:t>
      </w:r>
      <w:r w:rsidR="00E80AFF" w:rsidRPr="00F3656B">
        <w:t xml:space="preserve">the </w:t>
      </w:r>
      <w:r w:rsidR="00C835C4" w:rsidRPr="00F3656B">
        <w:t xml:space="preserve">to the small number of older veterans the entropy balancing </w:t>
      </w:r>
      <w:r w:rsidR="001037D1" w:rsidRPr="00F3656B">
        <w:t>may have been unable</w:t>
      </w:r>
      <w:r w:rsidR="00C835C4" w:rsidRPr="00F3656B">
        <w:t xml:space="preserve"> to fully resolve the differences between the samples</w:t>
      </w:r>
      <w:r w:rsidR="001037D1" w:rsidRPr="00F3656B">
        <w:t>.</w:t>
      </w:r>
      <w:r w:rsidR="00C835C4" w:rsidRPr="00F3656B">
        <w:t xml:space="preserve"> </w:t>
      </w:r>
      <w:r w:rsidR="00A46D00" w:rsidRPr="00F3656B">
        <w:t>Finally, our</w:t>
      </w:r>
      <w:r w:rsidR="00D2457C" w:rsidRPr="00F3656B">
        <w:t xml:space="preserve"> veteran</w:t>
      </w:r>
      <w:r w:rsidR="00A46D00" w:rsidRPr="00F3656B">
        <w:t xml:space="preserve"> sample</w:t>
      </w:r>
      <w:r w:rsidR="00D2457C" w:rsidRPr="00F3656B">
        <w:t xml:space="preserve"> </w:t>
      </w:r>
      <w:r w:rsidR="008B1A34" w:rsidRPr="00F3656B">
        <w:t>is only</w:t>
      </w:r>
      <w:r w:rsidR="00D2457C" w:rsidRPr="00F3656B">
        <w:t xml:space="preserve"> 10% female (n=</w:t>
      </w:r>
      <w:r w:rsidR="00BA133F" w:rsidRPr="00F3656B">
        <w:t>305</w:t>
      </w:r>
      <w:r w:rsidR="00D2457C" w:rsidRPr="00F3656B">
        <w:t>)</w:t>
      </w:r>
      <w:r w:rsidR="008B1A34" w:rsidRPr="00F3656B">
        <w:t xml:space="preserve">, </w:t>
      </w:r>
      <w:r w:rsidR="00CC5CF1" w:rsidRPr="00F3656B">
        <w:t xml:space="preserve">and whilst </w:t>
      </w:r>
      <w:r w:rsidR="008B1A34" w:rsidRPr="00F3656B">
        <w:t xml:space="preserve">this is representative of the UK veteran population, some of our analysis </w:t>
      </w:r>
      <w:r w:rsidR="00CC5CF1" w:rsidRPr="00F3656B">
        <w:t>restricted to females may be underpowered</w:t>
      </w:r>
      <w:r w:rsidR="00BE43DF" w:rsidRPr="00F3656B">
        <w:t>.</w:t>
      </w:r>
    </w:p>
    <w:p w14:paraId="2769A948" w14:textId="5AC8D11A" w:rsidR="00B74C08" w:rsidRDefault="00B74C08" w:rsidP="009347B5">
      <w:pPr>
        <w:pStyle w:val="Heading1"/>
      </w:pPr>
      <w:r>
        <w:t>Conclusion</w:t>
      </w:r>
    </w:p>
    <w:p w14:paraId="03D49F37" w14:textId="5F6D8C89" w:rsidR="00FF17AE" w:rsidRDefault="005A2A3C" w:rsidP="00FF17AE">
      <w:bookmarkStart w:id="16" w:name="_Hlk9615705"/>
      <w:r>
        <w:t xml:space="preserve">It is only by understanding the relative mental health burden experienced by veterans that the </w:t>
      </w:r>
      <w:r w:rsidR="004736EB">
        <w:t xml:space="preserve">Government </w:t>
      </w:r>
      <w:r>
        <w:t xml:space="preserve">can ensure that they are at ‘no disadvantage’ </w:t>
      </w:r>
      <w:r w:rsidR="00041D76">
        <w:t xml:space="preserve">which is </w:t>
      </w:r>
      <w:r>
        <w:t>a key principle of the AF covenant</w:t>
      </w:r>
      <w:bookmarkStart w:id="17" w:name="_Hlk9615753"/>
      <w:r w:rsidR="00C75F9E">
        <w:t xml:space="preserve"> </w:t>
      </w:r>
      <w:r w:rsidR="001C3081">
        <w:fldChar w:fldCharType="begin"/>
      </w:r>
      <w:r w:rsidR="0072226B">
        <w:instrText xml:space="preserve"> ADDIN ZOTERO_ITEM CSL_CITATION {"citationID":"7owepQMz","properties":{"formattedCitation":"(C. Taylor, 2011)","plainCitation":"(C. Taylor, 2011)","noteIndex":0},"citationItems":[{"id":424,"uris":["http://zotero.org/users/3740225/items/4S2Z5EHS"],"uri":["http://zotero.org/users/3740225/items/4S2Z5EHS"],"itemData":{"id":424,"type":"report","publisher":"Standard note SN/IA/5979. London: Government Publication","title":"Armed Forces Covenant","author":[{"family":"Taylor","given":"Claire"}],"issued":{"date-parts":[["2011"]]}}}],"schema":"https://github.com/citation-style-language/schema/raw/master/csl-citation.json"} </w:instrText>
      </w:r>
      <w:r w:rsidR="001C3081">
        <w:fldChar w:fldCharType="separate"/>
      </w:r>
      <w:r w:rsidR="0072226B">
        <w:rPr>
          <w:rFonts w:cs="Times New Roman"/>
        </w:rPr>
        <w:t>(C. Taylor, 2011)</w:t>
      </w:r>
      <w:r w:rsidR="001C3081">
        <w:fldChar w:fldCharType="end"/>
      </w:r>
      <w:bookmarkEnd w:id="17"/>
      <w:r>
        <w:t>.</w:t>
      </w:r>
      <w:r w:rsidR="00041D76">
        <w:t xml:space="preserve"> </w:t>
      </w:r>
      <w:r w:rsidR="00F172F2">
        <w:t>Our</w:t>
      </w:r>
      <w:r w:rsidR="00067137">
        <w:t xml:space="preserve"> findings</w:t>
      </w:r>
      <w:r w:rsidR="00A75261">
        <w:t xml:space="preserve"> </w:t>
      </w:r>
      <w:r w:rsidR="000170A3">
        <w:t>demonstrate</w:t>
      </w:r>
      <w:r w:rsidR="00A75261">
        <w:t xml:space="preserve"> </w:t>
      </w:r>
      <w:r w:rsidR="005B58AF">
        <w:t>th</w:t>
      </w:r>
      <w:r w:rsidR="003D1B8B">
        <w:t xml:space="preserve">at, </w:t>
      </w:r>
      <w:r w:rsidR="00FF17AE">
        <w:t>whilst the same sociodemographic groups within the veteran and non-veteran populations seemed to have an increased risk of mental health problems (e.g. those who were unemployed), male veterans in particular appear to be at a distinct disadvantage compared to those who have never served.</w:t>
      </w:r>
    </w:p>
    <w:bookmarkEnd w:id="16"/>
    <w:p w14:paraId="5FFFBB0C" w14:textId="77777777" w:rsidR="00B22162" w:rsidRDefault="00B22162">
      <w:pPr>
        <w:spacing w:before="0" w:after="0"/>
        <w:rPr>
          <w:rFonts w:cs="Times New Roman"/>
          <w:b/>
          <w:bCs/>
          <w:color w:val="002060"/>
          <w:sz w:val="28"/>
        </w:rPr>
      </w:pPr>
      <w:r>
        <w:br w:type="page"/>
      </w:r>
    </w:p>
    <w:p w14:paraId="60EBE25C" w14:textId="5F371A7B" w:rsidR="003B5AF1" w:rsidRDefault="003B5AF1" w:rsidP="003B5AF1">
      <w:pPr>
        <w:pStyle w:val="Heading1"/>
      </w:pPr>
      <w:r>
        <w:lastRenderedPageBreak/>
        <w:t>Acknowledgements</w:t>
      </w:r>
    </w:p>
    <w:p w14:paraId="0BD75587" w14:textId="77777777" w:rsidR="005F10C9" w:rsidRPr="005F10C9" w:rsidRDefault="005F10C9" w:rsidP="005F10C9">
      <w:pPr>
        <w:outlineLvl w:val="1"/>
        <w:rPr>
          <w:b/>
          <w:color w:val="4472C4" w:themeColor="accent1"/>
        </w:rPr>
      </w:pPr>
      <w:r w:rsidRPr="005F10C9">
        <w:rPr>
          <w:b/>
          <w:color w:val="4472C4" w:themeColor="accent1"/>
        </w:rPr>
        <w:t>Funding Source</w:t>
      </w:r>
    </w:p>
    <w:p w14:paraId="5EF8CD58" w14:textId="03E124B8" w:rsidR="005F10C9" w:rsidRPr="00DD27ED" w:rsidRDefault="005F10C9">
      <w:r w:rsidRPr="00DD27ED">
        <w:t xml:space="preserve">We would like to thank the Forces in Mind Trust for funding </w:t>
      </w:r>
      <w:r w:rsidR="004736EB" w:rsidRPr="00DD27ED">
        <w:t>these analyses</w:t>
      </w:r>
      <w:r w:rsidRPr="00DD27ED">
        <w:t xml:space="preserve"> (FiMT16/0304K).</w:t>
      </w:r>
    </w:p>
    <w:p w14:paraId="2EC5AB45" w14:textId="6B98525D" w:rsidR="00F67EBE" w:rsidRPr="00DD27ED" w:rsidRDefault="00F67EBE">
      <w:r w:rsidRPr="00DD27ED">
        <w:t xml:space="preserve">The KCMHR study was funded by the </w:t>
      </w:r>
      <w:r w:rsidRPr="00F3656B">
        <w:t>UK Ministry of Defence.</w:t>
      </w:r>
    </w:p>
    <w:p w14:paraId="49DA9CB7" w14:textId="0AE282EE" w:rsidR="003702F5" w:rsidRPr="00DD27ED" w:rsidRDefault="003702F5">
      <w:r w:rsidRPr="00DD27ED">
        <w:t xml:space="preserve">APMS 2014 </w:t>
      </w:r>
      <w:r w:rsidRPr="00F3656B">
        <w:t xml:space="preserve">was commissioned by NHS Digital, funded by the Department of Health, and carried out by </w:t>
      </w:r>
      <w:proofErr w:type="spellStart"/>
      <w:r w:rsidRPr="00F3656B">
        <w:t>NatCen</w:t>
      </w:r>
      <w:proofErr w:type="spellEnd"/>
      <w:r w:rsidRPr="00F3656B">
        <w:t xml:space="preserve"> Social Research and the University of Leicester. </w:t>
      </w:r>
    </w:p>
    <w:p w14:paraId="3490DF9F" w14:textId="4BB0372E" w:rsidR="00637222" w:rsidRDefault="005D0268" w:rsidP="00F3656B">
      <w:r w:rsidRPr="00DD27ED">
        <w:t xml:space="preserve">UKHLS is primarily funded by the </w:t>
      </w:r>
      <w:r w:rsidR="00EA2124" w:rsidRPr="00DD27ED">
        <w:t xml:space="preserve">Economic Social Research Council </w:t>
      </w:r>
      <w:r w:rsidR="00637222" w:rsidRPr="00DD27ED">
        <w:t xml:space="preserve">but </w:t>
      </w:r>
      <w:r w:rsidR="00637222" w:rsidRPr="00F3656B">
        <w:t>is</w:t>
      </w:r>
      <w:r w:rsidR="00637222" w:rsidRPr="00DD27ED">
        <w:t xml:space="preserve"> also</w:t>
      </w:r>
      <w:r w:rsidR="00637222" w:rsidRPr="00F3656B">
        <w:t xml:space="preserve"> supported both financially and in kind by a wide range of other co-funding organisations</w:t>
      </w:r>
      <w:r w:rsidR="00637222" w:rsidRPr="00DD27ED">
        <w:t xml:space="preserve"> detailed here: </w:t>
      </w:r>
      <w:hyperlink r:id="rId8" w:history="1">
        <w:r w:rsidR="00637222" w:rsidRPr="00093FD5">
          <w:rPr>
            <w:rStyle w:val="Hyperlink"/>
          </w:rPr>
          <w:t>https://www.understandingsociety.ac.uk/about/funders</w:t>
        </w:r>
      </w:hyperlink>
    </w:p>
    <w:p w14:paraId="09EA96BE" w14:textId="565B6472" w:rsidR="005F10C9" w:rsidRPr="005F10C9" w:rsidRDefault="005F10C9" w:rsidP="005F10C9">
      <w:r w:rsidRPr="005F10C9">
        <w:t>The funders of the study had no role in study design, data analysis, or data interpretation. The MoD provided us with the names and contact details of the study participants who were newly selected in phase 3, and updated contact details for those enrolled in previous phases. We disclosed the paper to the MoD when it was submitted for publication, and any errors of fact identified by the MoD were corrected at the same time as addressing the comments of the reviewers. The corresponding author had full access to all the data in the study and had final responsibility for the decision to submit for publication.</w:t>
      </w:r>
    </w:p>
    <w:p w14:paraId="07A5AE79" w14:textId="77777777" w:rsidR="005F10C9" w:rsidRPr="005F10C9" w:rsidRDefault="005F10C9" w:rsidP="005F10C9">
      <w:pPr>
        <w:outlineLvl w:val="1"/>
        <w:rPr>
          <w:b/>
          <w:color w:val="4472C4" w:themeColor="accent1"/>
        </w:rPr>
      </w:pPr>
      <w:r w:rsidRPr="005F10C9">
        <w:rPr>
          <w:b/>
          <w:color w:val="4472C4" w:themeColor="accent1"/>
        </w:rPr>
        <w:t>Ethical approval</w:t>
      </w:r>
    </w:p>
    <w:p w14:paraId="0520E318" w14:textId="77777777" w:rsidR="00B01266" w:rsidRDefault="005F10C9" w:rsidP="005F10C9">
      <w:r w:rsidRPr="005F10C9">
        <w:t>This study received ethical approval from the Proportionate Review Sub-committee of the West Midlands - South Birmingham Research Ethics Committee (REC reference:17/WM/0147, IRAS project ID: 224664).</w:t>
      </w:r>
    </w:p>
    <w:p w14:paraId="21A7A0A8" w14:textId="0C55B819" w:rsidR="00B01266" w:rsidRPr="00FC55F2" w:rsidRDefault="00B01266" w:rsidP="00B01266">
      <w:r w:rsidRPr="00FC55F2">
        <w:t>Ethical approval for the</w:t>
      </w:r>
      <w:r>
        <w:t xml:space="preserve"> KCMHR</w:t>
      </w:r>
      <w:r w:rsidRPr="00FC55F2">
        <w:t xml:space="preserve"> study was granted by the UK Ministry of Defence Research Ethics Committee (reference: 448/MODREC/13) and the King’s College London Psychiatry Nursing and Midwifery Research Ethics Subcommittee (</w:t>
      </w:r>
      <w:r w:rsidR="00880686">
        <w:t>r</w:t>
      </w:r>
      <w:r w:rsidRPr="00FC55F2">
        <w:t>eference: PNM/12/13–169).</w:t>
      </w:r>
    </w:p>
    <w:p w14:paraId="36CB0DD8" w14:textId="77777777" w:rsidR="00B01266" w:rsidRDefault="00B01266" w:rsidP="00B01266">
      <w:r w:rsidRPr="00D046EF">
        <w:t xml:space="preserve">Ethical approval for the ongoing UKHLS survey was obtained from University of Essex Ethics Committee </w:t>
      </w:r>
      <w:r>
        <w:t xml:space="preserve">and </w:t>
      </w:r>
      <w:r w:rsidRPr="00D046EF">
        <w:t>is detailed in the UKHLS user guide, available</w:t>
      </w:r>
      <w:r>
        <w:t xml:space="preserve"> </w:t>
      </w:r>
      <w:r w:rsidRPr="00D046EF">
        <w:t>at</w:t>
      </w:r>
      <w:r>
        <w:t>:</w:t>
      </w:r>
      <w:r w:rsidRPr="00D046EF">
        <w:t xml:space="preserve"> </w:t>
      </w:r>
      <w:hyperlink r:id="rId9" w:history="1">
        <w:r w:rsidRPr="00093FD5">
          <w:rPr>
            <w:rStyle w:val="Hyperlink"/>
          </w:rPr>
          <w:t>https://www.understandingsociety.ac.uk/sites/default/files/downloads/documentation/mainstage/user-guides/mainstage-user-guide.pdf</w:t>
        </w:r>
      </w:hyperlink>
    </w:p>
    <w:p w14:paraId="26DEF5E1" w14:textId="6A8DB464" w:rsidR="00B01266" w:rsidRPr="005F15B4" w:rsidRDefault="00B01266" w:rsidP="00B01266">
      <w:r w:rsidRPr="005F15B4">
        <w:t>Ethical approval for APMS 2014 was obtained from the West London National Research Ethics Committee (</w:t>
      </w:r>
      <w:r w:rsidR="00880686">
        <w:t xml:space="preserve">reference: </w:t>
      </w:r>
      <w:r w:rsidRPr="005F15B4">
        <w:t>14/LO/0411)</w:t>
      </w:r>
    </w:p>
    <w:p w14:paraId="2FDBD795" w14:textId="77777777" w:rsidR="005F10C9" w:rsidRPr="005F10C9" w:rsidRDefault="005F10C9" w:rsidP="005F10C9">
      <w:pPr>
        <w:outlineLvl w:val="1"/>
        <w:rPr>
          <w:b/>
          <w:color w:val="4472C4" w:themeColor="accent1"/>
        </w:rPr>
      </w:pPr>
      <w:r w:rsidRPr="005F10C9">
        <w:rPr>
          <w:b/>
          <w:color w:val="4472C4" w:themeColor="accent1"/>
        </w:rPr>
        <w:t xml:space="preserve">Authors’ contribution </w:t>
      </w:r>
    </w:p>
    <w:p w14:paraId="1FEA2B00" w14:textId="2C592624" w:rsidR="005F10C9" w:rsidRPr="00A423A0" w:rsidRDefault="005F10C9" w:rsidP="005F10C9">
      <w:pPr>
        <w:rPr>
          <w:szCs w:val="20"/>
        </w:rPr>
      </w:pPr>
      <w:r w:rsidRPr="00A423A0">
        <w:rPr>
          <w:szCs w:val="20"/>
        </w:rPr>
        <w:t>DM</w:t>
      </w:r>
      <w:r w:rsidR="00437111" w:rsidRPr="00A423A0">
        <w:rPr>
          <w:szCs w:val="20"/>
        </w:rPr>
        <w:t xml:space="preserve"> and </w:t>
      </w:r>
      <w:r w:rsidRPr="00A423A0">
        <w:rPr>
          <w:szCs w:val="20"/>
        </w:rPr>
        <w:t>LG</w:t>
      </w:r>
      <w:r w:rsidR="00437111" w:rsidRPr="00A423A0">
        <w:rPr>
          <w:szCs w:val="20"/>
        </w:rPr>
        <w:t xml:space="preserve"> conceived the</w:t>
      </w:r>
      <w:r w:rsidRPr="00A423A0">
        <w:rPr>
          <w:szCs w:val="20"/>
        </w:rPr>
        <w:t xml:space="preserve"> study concept and design</w:t>
      </w:r>
      <w:r w:rsidR="00437111" w:rsidRPr="00A423A0">
        <w:rPr>
          <w:szCs w:val="20"/>
        </w:rPr>
        <w:t xml:space="preserve"> with input from N</w:t>
      </w:r>
      <w:r w:rsidR="004736EB">
        <w:rPr>
          <w:szCs w:val="20"/>
        </w:rPr>
        <w:t>T</w:t>
      </w:r>
      <w:r w:rsidR="00437111" w:rsidRPr="00A423A0">
        <w:rPr>
          <w:szCs w:val="20"/>
        </w:rPr>
        <w:t>F and NG</w:t>
      </w:r>
      <w:r w:rsidRPr="00A423A0">
        <w:rPr>
          <w:szCs w:val="20"/>
        </w:rPr>
        <w:t>. RR, DM and LG contributed to the design of the analysis. MJ curated the military data</w:t>
      </w:r>
      <w:r w:rsidR="00EC1CA6" w:rsidRPr="00A423A0">
        <w:rPr>
          <w:szCs w:val="20"/>
        </w:rPr>
        <w:t>set utilised in this study</w:t>
      </w:r>
      <w:r w:rsidRPr="00A423A0">
        <w:rPr>
          <w:szCs w:val="20"/>
        </w:rPr>
        <w:t xml:space="preserve">. RR conducted the statistical analysis and wrote the article supervised by DM and LG. All authors provided feedback on the </w:t>
      </w:r>
      <w:r w:rsidR="00EC1CA6" w:rsidRPr="00A423A0">
        <w:rPr>
          <w:szCs w:val="20"/>
        </w:rPr>
        <w:t>manuscript</w:t>
      </w:r>
      <w:r w:rsidRPr="00A423A0">
        <w:rPr>
          <w:szCs w:val="20"/>
        </w:rPr>
        <w:t>.</w:t>
      </w:r>
    </w:p>
    <w:p w14:paraId="7580577E" w14:textId="77777777" w:rsidR="005F10C9" w:rsidRPr="005F10C9" w:rsidRDefault="005F10C9" w:rsidP="005F10C9">
      <w:pPr>
        <w:outlineLvl w:val="1"/>
        <w:rPr>
          <w:b/>
          <w:color w:val="4472C4" w:themeColor="accent1"/>
        </w:rPr>
      </w:pPr>
      <w:r w:rsidRPr="005F10C9">
        <w:rPr>
          <w:b/>
          <w:color w:val="4472C4" w:themeColor="accent1"/>
        </w:rPr>
        <w:t>Competing Interests</w:t>
      </w:r>
    </w:p>
    <w:p w14:paraId="57A97B54" w14:textId="39E702BD" w:rsidR="005F10C9" w:rsidRDefault="00C203A3" w:rsidP="005F10C9">
      <w:r>
        <w:t>NTF is a trustee of a charity providing support to veterans and their families and is a member of IGARD.  DM is a</w:t>
      </w:r>
      <w:r w:rsidRPr="00BA700E">
        <w:rPr>
          <w:lang w:eastAsia="en-GB"/>
        </w:rPr>
        <w:t xml:space="preserve"> Lead Consultant Psychiatrist for an NHS veteran mental health service for London and the South East of England</w:t>
      </w:r>
      <w:r>
        <w:rPr>
          <w:lang w:eastAsia="en-GB"/>
        </w:rPr>
        <w:t xml:space="preserve">. </w:t>
      </w:r>
      <w:r w:rsidRPr="005A7E26">
        <w:rPr>
          <w:lang w:eastAsia="en-GB"/>
        </w:rPr>
        <w:t>NG is the Royal College of Psychiatrists lead for military health.</w:t>
      </w:r>
    </w:p>
    <w:p w14:paraId="60B95A08" w14:textId="77777777" w:rsidR="005D4386" w:rsidRDefault="005D4386" w:rsidP="005D4386">
      <w:pPr>
        <w:spacing w:before="0" w:after="0"/>
      </w:pPr>
      <w:r>
        <w:br w:type="page"/>
      </w:r>
    </w:p>
    <w:p w14:paraId="7211F987" w14:textId="77777777" w:rsidR="00E83820" w:rsidRDefault="00E83820">
      <w:pPr>
        <w:spacing w:before="0" w:after="0"/>
        <w:sectPr w:rsidR="00E83820" w:rsidSect="007A663D">
          <w:headerReference w:type="default" r:id="rId10"/>
          <w:footerReference w:type="default" r:id="rId11"/>
          <w:pgSz w:w="11900" w:h="16840"/>
          <w:pgMar w:top="1440" w:right="1440" w:bottom="1440" w:left="1440" w:header="720" w:footer="720" w:gutter="0"/>
          <w:cols w:space="720"/>
          <w:docGrid w:linePitch="360"/>
        </w:sectPr>
      </w:pPr>
    </w:p>
    <w:p w14:paraId="0C96E9BB" w14:textId="1E9190CD" w:rsidR="003B5AF1" w:rsidRDefault="0014136F" w:rsidP="0014136F">
      <w:pPr>
        <w:pStyle w:val="Heading1"/>
      </w:pPr>
      <w:r>
        <w:lastRenderedPageBreak/>
        <w:t>Tables</w:t>
      </w:r>
    </w:p>
    <w:p w14:paraId="3263E557" w14:textId="3C69BF76" w:rsidR="00922517" w:rsidRDefault="0014136F" w:rsidP="00A50066">
      <w:pPr>
        <w:pStyle w:val="Caption"/>
      </w:pPr>
      <w:r>
        <w:t xml:space="preserve">Table </w:t>
      </w:r>
      <w:r w:rsidR="00911EA6">
        <w:rPr>
          <w:noProof/>
        </w:rPr>
        <w:fldChar w:fldCharType="begin"/>
      </w:r>
      <w:r w:rsidR="00911EA6">
        <w:rPr>
          <w:noProof/>
        </w:rPr>
        <w:instrText xml:space="preserve"> SEQ Table \* ARABIC </w:instrText>
      </w:r>
      <w:r w:rsidR="00911EA6">
        <w:rPr>
          <w:noProof/>
        </w:rPr>
        <w:fldChar w:fldCharType="separate"/>
      </w:r>
      <w:r w:rsidR="00395506">
        <w:rPr>
          <w:noProof/>
        </w:rPr>
        <w:t>1</w:t>
      </w:r>
      <w:r w:rsidR="00911EA6">
        <w:rPr>
          <w:noProof/>
        </w:rPr>
        <w:fldChar w:fldCharType="end"/>
      </w:r>
      <w:r w:rsidRPr="0047595D">
        <w:t xml:space="preserve">: Sociodemographic characteristics </w:t>
      </w:r>
      <w:r>
        <w:t>for veteran</w:t>
      </w:r>
      <w:r w:rsidRPr="0047595D">
        <w:t xml:space="preserve"> and </w:t>
      </w:r>
      <w:r>
        <w:t>general population</w:t>
      </w:r>
      <w:r w:rsidRPr="0047595D">
        <w:t xml:space="preserve"> samples</w:t>
      </w:r>
      <w:r w:rsidR="00B057C6">
        <w:t xml:space="preserve"> (% are </w:t>
      </w:r>
      <w:r w:rsidR="00435A9D">
        <w:t>post</w:t>
      </w:r>
      <w:r w:rsidR="00B057C6">
        <w:t xml:space="preserve"> entropy balancing)</w:t>
      </w:r>
    </w:p>
    <w:tbl>
      <w:tblPr>
        <w:tblW w:w="13238" w:type="dxa"/>
        <w:tblInd w:w="-5" w:type="dxa"/>
        <w:tblLayout w:type="fixed"/>
        <w:tblLook w:val="04A0" w:firstRow="1" w:lastRow="0" w:firstColumn="1" w:lastColumn="0" w:noHBand="0" w:noVBand="1"/>
      </w:tblPr>
      <w:tblGrid>
        <w:gridCol w:w="557"/>
        <w:gridCol w:w="3997"/>
        <w:gridCol w:w="1447"/>
        <w:gridCol w:w="1447"/>
        <w:gridCol w:w="1448"/>
        <w:gridCol w:w="1447"/>
        <w:gridCol w:w="1447"/>
        <w:gridCol w:w="1448"/>
      </w:tblGrid>
      <w:tr w:rsidR="00A50066" w:rsidRPr="00467895" w14:paraId="67E579BB" w14:textId="77777777" w:rsidTr="00467895">
        <w:trPr>
          <w:trHeight w:val="562"/>
        </w:trPr>
        <w:tc>
          <w:tcPr>
            <w:tcW w:w="4554"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14:paraId="3A5B740D"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28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7FE8EB" w14:textId="77777777" w:rsidR="00214A98" w:rsidRPr="00467895" w:rsidRDefault="00214A98" w:rsidP="001B06DF">
            <w:pPr>
              <w:spacing w:before="0" w:after="0"/>
              <w:jc w:val="center"/>
              <w:rPr>
                <w:rFonts w:eastAsia="Times New Roman" w:cs="Times New Roman"/>
                <w:b/>
                <w:bCs/>
                <w:color w:val="000000"/>
                <w:sz w:val="18"/>
                <w:szCs w:val="18"/>
                <w:lang w:eastAsia="en-GB"/>
              </w:rPr>
            </w:pPr>
            <w:r w:rsidRPr="00467895">
              <w:rPr>
                <w:rFonts w:eastAsia="Times New Roman" w:cs="Times New Roman"/>
                <w:b/>
                <w:bCs/>
                <w:color w:val="000000"/>
                <w:sz w:val="18"/>
                <w:szCs w:val="18"/>
                <w:lang w:eastAsia="en-GB"/>
              </w:rPr>
              <w:t xml:space="preserve">KCMHR </w:t>
            </w:r>
            <w:r w:rsidRPr="00467895">
              <w:rPr>
                <w:rFonts w:eastAsia="Times New Roman" w:cs="Times New Roman"/>
                <w:color w:val="000000"/>
                <w:sz w:val="18"/>
                <w:szCs w:val="18"/>
                <w:lang w:eastAsia="en-GB"/>
              </w:rPr>
              <w:t>(N=2917)</w:t>
            </w:r>
          </w:p>
        </w:tc>
        <w:tc>
          <w:tcPr>
            <w:tcW w:w="2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17632E" w14:textId="77777777" w:rsidR="00214A98" w:rsidRPr="00467895" w:rsidRDefault="00214A98" w:rsidP="001B06DF">
            <w:pPr>
              <w:spacing w:before="0" w:after="0"/>
              <w:jc w:val="center"/>
              <w:rPr>
                <w:rFonts w:eastAsia="Times New Roman" w:cs="Times New Roman"/>
                <w:b/>
                <w:bCs/>
                <w:color w:val="000000"/>
                <w:sz w:val="18"/>
                <w:szCs w:val="18"/>
                <w:lang w:eastAsia="en-GB"/>
              </w:rPr>
            </w:pPr>
            <w:r w:rsidRPr="00467895">
              <w:rPr>
                <w:rFonts w:eastAsia="Times New Roman" w:cs="Times New Roman"/>
                <w:b/>
                <w:bCs/>
                <w:color w:val="000000"/>
                <w:sz w:val="18"/>
                <w:szCs w:val="18"/>
                <w:lang w:eastAsia="en-GB"/>
              </w:rPr>
              <w:t xml:space="preserve">APMS </w:t>
            </w:r>
            <w:r w:rsidRPr="00467895">
              <w:rPr>
                <w:rFonts w:eastAsia="Times New Roman" w:cs="Times New Roman"/>
                <w:color w:val="000000"/>
                <w:sz w:val="18"/>
                <w:szCs w:val="18"/>
                <w:lang w:eastAsia="en-GB"/>
              </w:rPr>
              <w:t>(N=5871)</w:t>
            </w:r>
          </w:p>
        </w:tc>
        <w:tc>
          <w:tcPr>
            <w:tcW w:w="2895" w:type="dxa"/>
            <w:gridSpan w:val="2"/>
            <w:tcBorders>
              <w:top w:val="single" w:sz="4" w:space="0" w:color="auto"/>
              <w:left w:val="nil"/>
              <w:bottom w:val="single" w:sz="4" w:space="0" w:color="auto"/>
              <w:right w:val="single" w:sz="4" w:space="0" w:color="auto"/>
            </w:tcBorders>
            <w:shd w:val="clear" w:color="auto" w:fill="auto"/>
            <w:vAlign w:val="center"/>
            <w:hideMark/>
          </w:tcPr>
          <w:p w14:paraId="33448D17" w14:textId="77777777" w:rsidR="00214A98" w:rsidRPr="00467895" w:rsidRDefault="00214A98" w:rsidP="001B06DF">
            <w:pPr>
              <w:spacing w:before="0" w:after="0"/>
              <w:jc w:val="center"/>
              <w:rPr>
                <w:rFonts w:eastAsia="Times New Roman" w:cs="Times New Roman"/>
                <w:b/>
                <w:bCs/>
                <w:color w:val="000000"/>
                <w:sz w:val="18"/>
                <w:szCs w:val="18"/>
                <w:lang w:eastAsia="en-GB"/>
              </w:rPr>
            </w:pPr>
            <w:r w:rsidRPr="00467895">
              <w:rPr>
                <w:rFonts w:eastAsia="Times New Roman" w:cs="Times New Roman"/>
                <w:b/>
                <w:bCs/>
                <w:color w:val="000000"/>
                <w:sz w:val="18"/>
                <w:szCs w:val="18"/>
                <w:lang w:eastAsia="en-GB"/>
              </w:rPr>
              <w:t xml:space="preserve">UKHLS </w:t>
            </w:r>
            <w:r w:rsidRPr="00467895">
              <w:rPr>
                <w:rFonts w:eastAsia="Times New Roman" w:cs="Times New Roman"/>
                <w:color w:val="000000"/>
                <w:sz w:val="18"/>
                <w:szCs w:val="18"/>
                <w:lang w:eastAsia="en-GB"/>
              </w:rPr>
              <w:t>(N=22760)</w:t>
            </w:r>
          </w:p>
        </w:tc>
      </w:tr>
      <w:tr w:rsidR="00A50066" w:rsidRPr="00467895" w14:paraId="3E6ED833" w14:textId="77777777" w:rsidTr="00467895">
        <w:trPr>
          <w:trHeight w:val="221"/>
        </w:trPr>
        <w:tc>
          <w:tcPr>
            <w:tcW w:w="4554" w:type="dxa"/>
            <w:gridSpan w:val="2"/>
            <w:vMerge/>
            <w:tcBorders>
              <w:top w:val="single" w:sz="4" w:space="0" w:color="auto"/>
              <w:left w:val="single" w:sz="4" w:space="0" w:color="auto"/>
              <w:bottom w:val="single" w:sz="4" w:space="0" w:color="000000"/>
              <w:right w:val="nil"/>
            </w:tcBorders>
            <w:vAlign w:val="center"/>
            <w:hideMark/>
          </w:tcPr>
          <w:p w14:paraId="697BEBA0" w14:textId="77777777" w:rsidR="00214A98" w:rsidRPr="00467895" w:rsidRDefault="00214A98" w:rsidP="001B06DF">
            <w:pPr>
              <w:spacing w:before="0" w:after="0"/>
              <w:rPr>
                <w:rFonts w:eastAsia="Times New Roman" w:cs="Times New Roman"/>
                <w:color w:val="000000"/>
                <w:sz w:val="18"/>
                <w:szCs w:val="18"/>
                <w:lang w:eastAsia="en-GB"/>
              </w:rPr>
            </w:pPr>
          </w:p>
        </w:tc>
        <w:tc>
          <w:tcPr>
            <w:tcW w:w="1447" w:type="dxa"/>
            <w:tcBorders>
              <w:top w:val="nil"/>
              <w:left w:val="single" w:sz="4" w:space="0" w:color="auto"/>
              <w:bottom w:val="single" w:sz="4" w:space="0" w:color="auto"/>
              <w:right w:val="single" w:sz="4" w:space="0" w:color="auto"/>
            </w:tcBorders>
            <w:shd w:val="clear" w:color="auto" w:fill="auto"/>
            <w:vAlign w:val="center"/>
            <w:hideMark/>
          </w:tcPr>
          <w:p w14:paraId="520B3A28"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N</w:t>
            </w:r>
          </w:p>
        </w:tc>
        <w:tc>
          <w:tcPr>
            <w:tcW w:w="1447" w:type="dxa"/>
            <w:tcBorders>
              <w:top w:val="nil"/>
              <w:left w:val="nil"/>
              <w:bottom w:val="single" w:sz="4" w:space="0" w:color="auto"/>
              <w:right w:val="nil"/>
            </w:tcBorders>
            <w:shd w:val="clear" w:color="auto" w:fill="auto"/>
            <w:vAlign w:val="center"/>
            <w:hideMark/>
          </w:tcPr>
          <w:p w14:paraId="13C2F2FD" w14:textId="77777777" w:rsidR="00214A98" w:rsidRPr="00467895" w:rsidRDefault="00214A98" w:rsidP="001B06DF">
            <w:pPr>
              <w:spacing w:before="0" w:after="0"/>
              <w:jc w:val="center"/>
              <w:rPr>
                <w:rFonts w:eastAsia="Times New Roman" w:cs="Times New Roman"/>
                <w:b/>
                <w:bCs/>
                <w:color w:val="000000"/>
                <w:sz w:val="18"/>
                <w:szCs w:val="18"/>
                <w:lang w:eastAsia="en-GB"/>
              </w:rPr>
            </w:pPr>
            <w:r w:rsidRPr="00467895">
              <w:rPr>
                <w:rFonts w:eastAsia="Times New Roman" w:cs="Times New Roman"/>
                <w:b/>
                <w:bCs/>
                <w:color w:val="000000"/>
                <w:sz w:val="18"/>
                <w:szCs w:val="18"/>
                <w:lang w:eastAsia="en-GB"/>
              </w:rPr>
              <w:t>%</w:t>
            </w:r>
          </w:p>
        </w:tc>
        <w:tc>
          <w:tcPr>
            <w:tcW w:w="1448" w:type="dxa"/>
            <w:tcBorders>
              <w:top w:val="nil"/>
              <w:left w:val="single" w:sz="4" w:space="0" w:color="auto"/>
              <w:bottom w:val="single" w:sz="4" w:space="0" w:color="auto"/>
              <w:right w:val="single" w:sz="4" w:space="0" w:color="auto"/>
            </w:tcBorders>
            <w:shd w:val="clear" w:color="auto" w:fill="auto"/>
            <w:vAlign w:val="center"/>
            <w:hideMark/>
          </w:tcPr>
          <w:p w14:paraId="38F0A150"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N</w:t>
            </w:r>
          </w:p>
        </w:tc>
        <w:tc>
          <w:tcPr>
            <w:tcW w:w="1447" w:type="dxa"/>
            <w:tcBorders>
              <w:top w:val="nil"/>
              <w:left w:val="nil"/>
              <w:bottom w:val="single" w:sz="4" w:space="0" w:color="auto"/>
              <w:right w:val="single" w:sz="4" w:space="0" w:color="auto"/>
            </w:tcBorders>
            <w:shd w:val="clear" w:color="auto" w:fill="auto"/>
            <w:vAlign w:val="center"/>
            <w:hideMark/>
          </w:tcPr>
          <w:p w14:paraId="026945E5" w14:textId="77777777" w:rsidR="00214A98" w:rsidRPr="00467895" w:rsidRDefault="00214A98" w:rsidP="001B06DF">
            <w:pPr>
              <w:spacing w:before="0" w:after="0"/>
              <w:jc w:val="center"/>
              <w:rPr>
                <w:rFonts w:eastAsia="Times New Roman" w:cs="Times New Roman"/>
                <w:b/>
                <w:bCs/>
                <w:color w:val="000000"/>
                <w:sz w:val="18"/>
                <w:szCs w:val="18"/>
                <w:lang w:eastAsia="en-GB"/>
              </w:rPr>
            </w:pPr>
            <w:r w:rsidRPr="00467895">
              <w:rPr>
                <w:rFonts w:eastAsia="Times New Roman" w:cs="Times New Roman"/>
                <w:b/>
                <w:bCs/>
                <w:color w:val="000000"/>
                <w:sz w:val="18"/>
                <w:szCs w:val="18"/>
                <w:lang w:eastAsia="en-GB"/>
              </w:rPr>
              <w:t>%</w:t>
            </w:r>
          </w:p>
        </w:tc>
        <w:tc>
          <w:tcPr>
            <w:tcW w:w="1447" w:type="dxa"/>
            <w:tcBorders>
              <w:top w:val="nil"/>
              <w:left w:val="nil"/>
              <w:bottom w:val="single" w:sz="4" w:space="0" w:color="auto"/>
              <w:right w:val="single" w:sz="4" w:space="0" w:color="auto"/>
            </w:tcBorders>
            <w:shd w:val="clear" w:color="auto" w:fill="auto"/>
            <w:vAlign w:val="center"/>
            <w:hideMark/>
          </w:tcPr>
          <w:p w14:paraId="1BAB0EC7"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N</w:t>
            </w:r>
          </w:p>
        </w:tc>
        <w:tc>
          <w:tcPr>
            <w:tcW w:w="1448" w:type="dxa"/>
            <w:tcBorders>
              <w:top w:val="nil"/>
              <w:left w:val="nil"/>
              <w:bottom w:val="single" w:sz="4" w:space="0" w:color="auto"/>
              <w:right w:val="single" w:sz="4" w:space="0" w:color="auto"/>
            </w:tcBorders>
            <w:shd w:val="clear" w:color="auto" w:fill="auto"/>
            <w:vAlign w:val="center"/>
            <w:hideMark/>
          </w:tcPr>
          <w:p w14:paraId="0C629EB2" w14:textId="77777777" w:rsidR="00214A98" w:rsidRPr="00467895" w:rsidRDefault="00214A98" w:rsidP="001B06DF">
            <w:pPr>
              <w:spacing w:before="0" w:after="0"/>
              <w:jc w:val="center"/>
              <w:rPr>
                <w:rFonts w:eastAsia="Times New Roman" w:cs="Times New Roman"/>
                <w:b/>
                <w:bCs/>
                <w:color w:val="000000"/>
                <w:sz w:val="18"/>
                <w:szCs w:val="18"/>
                <w:lang w:eastAsia="en-GB"/>
              </w:rPr>
            </w:pPr>
            <w:r w:rsidRPr="00467895">
              <w:rPr>
                <w:rFonts w:eastAsia="Times New Roman" w:cs="Times New Roman"/>
                <w:b/>
                <w:bCs/>
                <w:color w:val="000000"/>
                <w:sz w:val="18"/>
                <w:szCs w:val="18"/>
                <w:lang w:eastAsia="en-GB"/>
              </w:rPr>
              <w:t>%</w:t>
            </w:r>
          </w:p>
        </w:tc>
      </w:tr>
      <w:tr w:rsidR="00214A98" w:rsidRPr="00467895" w14:paraId="7C3C62C9" w14:textId="77777777" w:rsidTr="00467895">
        <w:trPr>
          <w:trHeight w:val="221"/>
        </w:trPr>
        <w:tc>
          <w:tcPr>
            <w:tcW w:w="13238" w:type="dxa"/>
            <w:gridSpan w:val="8"/>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D68E595" w14:textId="77777777" w:rsidR="00214A98" w:rsidRPr="00467895" w:rsidRDefault="00214A98" w:rsidP="001B06DF">
            <w:pPr>
              <w:spacing w:before="0" w:after="0"/>
              <w:jc w:val="center"/>
              <w:rPr>
                <w:rFonts w:eastAsia="Times New Roman" w:cs="Times New Roman"/>
                <w:b/>
                <w:bCs/>
                <w:color w:val="000000"/>
                <w:szCs w:val="18"/>
                <w:lang w:eastAsia="en-GB"/>
              </w:rPr>
            </w:pPr>
            <w:r w:rsidRPr="00467895">
              <w:rPr>
                <w:rFonts w:eastAsia="Times New Roman" w:cs="Times New Roman"/>
                <w:b/>
                <w:bCs/>
                <w:color w:val="000000"/>
                <w:szCs w:val="18"/>
                <w:lang w:eastAsia="en-GB"/>
              </w:rPr>
              <w:t>Sociodemographic Characteristics</w:t>
            </w:r>
          </w:p>
        </w:tc>
      </w:tr>
      <w:tr w:rsidR="00A50066" w:rsidRPr="00467895" w14:paraId="2D1E344F" w14:textId="77777777" w:rsidTr="00467895">
        <w:trPr>
          <w:trHeight w:val="203"/>
        </w:trPr>
        <w:tc>
          <w:tcPr>
            <w:tcW w:w="4554" w:type="dxa"/>
            <w:gridSpan w:val="2"/>
            <w:tcBorders>
              <w:top w:val="nil"/>
              <w:left w:val="single" w:sz="4" w:space="0" w:color="auto"/>
              <w:bottom w:val="nil"/>
              <w:right w:val="nil"/>
            </w:tcBorders>
            <w:shd w:val="clear" w:color="auto" w:fill="auto"/>
            <w:noWrap/>
            <w:vAlign w:val="center"/>
            <w:hideMark/>
          </w:tcPr>
          <w:p w14:paraId="1E674E18" w14:textId="27B3CB82" w:rsidR="00A50066" w:rsidRPr="00467895" w:rsidRDefault="00A50066" w:rsidP="001B06DF">
            <w:pPr>
              <w:spacing w:before="0" w:after="0"/>
              <w:rPr>
                <w:rFonts w:eastAsia="Times New Roman" w:cs="Times New Roman"/>
                <w:b/>
                <w:bCs/>
                <w:color w:val="000000"/>
                <w:sz w:val="18"/>
                <w:szCs w:val="18"/>
                <w:lang w:eastAsia="en-GB"/>
              </w:rPr>
            </w:pPr>
            <w:r w:rsidRPr="00467895">
              <w:rPr>
                <w:rFonts w:eastAsia="Times New Roman" w:cs="Times New Roman"/>
                <w:b/>
                <w:bCs/>
                <w:color w:val="000000"/>
                <w:sz w:val="18"/>
                <w:szCs w:val="18"/>
                <w:lang w:eastAsia="en-GB"/>
              </w:rPr>
              <w:t>Gender</w:t>
            </w:r>
          </w:p>
        </w:tc>
        <w:tc>
          <w:tcPr>
            <w:tcW w:w="1447" w:type="dxa"/>
            <w:tcBorders>
              <w:top w:val="nil"/>
              <w:left w:val="single" w:sz="4" w:space="0" w:color="auto"/>
              <w:bottom w:val="nil"/>
              <w:right w:val="nil"/>
            </w:tcBorders>
            <w:shd w:val="clear" w:color="auto" w:fill="auto"/>
            <w:noWrap/>
            <w:vAlign w:val="bottom"/>
            <w:hideMark/>
          </w:tcPr>
          <w:p w14:paraId="7C2BB0A7" w14:textId="77777777" w:rsidR="00A50066" w:rsidRPr="00467895" w:rsidRDefault="00A50066"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nil"/>
              <w:left w:val="nil"/>
              <w:bottom w:val="nil"/>
              <w:right w:val="nil"/>
            </w:tcBorders>
            <w:shd w:val="clear" w:color="auto" w:fill="auto"/>
            <w:noWrap/>
            <w:vAlign w:val="bottom"/>
            <w:hideMark/>
          </w:tcPr>
          <w:p w14:paraId="3324F0E1" w14:textId="77777777" w:rsidR="00A50066" w:rsidRPr="00467895" w:rsidRDefault="00A50066"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8" w:type="dxa"/>
            <w:tcBorders>
              <w:top w:val="nil"/>
              <w:left w:val="single" w:sz="4" w:space="0" w:color="auto"/>
              <w:bottom w:val="nil"/>
              <w:right w:val="nil"/>
            </w:tcBorders>
            <w:shd w:val="clear" w:color="auto" w:fill="auto"/>
            <w:noWrap/>
            <w:vAlign w:val="bottom"/>
            <w:hideMark/>
          </w:tcPr>
          <w:p w14:paraId="2B39A51B" w14:textId="77777777" w:rsidR="00A50066" w:rsidRPr="00467895" w:rsidRDefault="00A50066"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nil"/>
              <w:left w:val="nil"/>
              <w:bottom w:val="nil"/>
              <w:right w:val="single" w:sz="4" w:space="0" w:color="auto"/>
            </w:tcBorders>
            <w:shd w:val="clear" w:color="auto" w:fill="auto"/>
            <w:noWrap/>
            <w:vAlign w:val="bottom"/>
            <w:hideMark/>
          </w:tcPr>
          <w:p w14:paraId="5D7FCD94" w14:textId="77777777" w:rsidR="00A50066" w:rsidRPr="00467895" w:rsidRDefault="00A50066"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nil"/>
              <w:left w:val="nil"/>
              <w:bottom w:val="nil"/>
              <w:right w:val="nil"/>
            </w:tcBorders>
            <w:shd w:val="clear" w:color="auto" w:fill="auto"/>
            <w:noWrap/>
            <w:vAlign w:val="bottom"/>
            <w:hideMark/>
          </w:tcPr>
          <w:p w14:paraId="0AFE9FA1" w14:textId="77777777" w:rsidR="00A50066" w:rsidRPr="00467895" w:rsidRDefault="00A50066"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8" w:type="dxa"/>
            <w:tcBorders>
              <w:top w:val="nil"/>
              <w:left w:val="nil"/>
              <w:bottom w:val="nil"/>
              <w:right w:val="single" w:sz="4" w:space="0" w:color="auto"/>
            </w:tcBorders>
            <w:shd w:val="clear" w:color="auto" w:fill="auto"/>
            <w:noWrap/>
            <w:vAlign w:val="bottom"/>
            <w:hideMark/>
          </w:tcPr>
          <w:p w14:paraId="653E9670" w14:textId="77777777" w:rsidR="00A50066" w:rsidRPr="00467895" w:rsidRDefault="00A50066"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r>
      <w:tr w:rsidR="00FD76BD" w:rsidRPr="00467895" w14:paraId="68F3DC20"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7AC98A92" w14:textId="77777777" w:rsidR="00214A98" w:rsidRPr="00467895" w:rsidRDefault="00214A98" w:rsidP="001B06DF">
            <w:pPr>
              <w:spacing w:before="0" w:after="0"/>
              <w:jc w:val="center"/>
              <w:rPr>
                <w:rFonts w:eastAsia="Times New Roman" w:cs="Times New Roman"/>
                <w:b/>
                <w:bCs/>
                <w:color w:val="000000"/>
                <w:sz w:val="18"/>
                <w:szCs w:val="18"/>
                <w:lang w:eastAsia="en-GB"/>
              </w:rPr>
            </w:pPr>
            <w:r w:rsidRPr="00467895">
              <w:rPr>
                <w:rFonts w:eastAsia="Times New Roman" w:cs="Times New Roman"/>
                <w:b/>
                <w:bCs/>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20D5F502"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Male</w:t>
            </w:r>
          </w:p>
        </w:tc>
        <w:tc>
          <w:tcPr>
            <w:tcW w:w="1447" w:type="dxa"/>
            <w:tcBorders>
              <w:top w:val="nil"/>
              <w:left w:val="single" w:sz="4" w:space="0" w:color="auto"/>
              <w:bottom w:val="nil"/>
              <w:right w:val="nil"/>
            </w:tcBorders>
            <w:shd w:val="clear" w:color="auto" w:fill="auto"/>
            <w:noWrap/>
            <w:vAlign w:val="bottom"/>
            <w:hideMark/>
          </w:tcPr>
          <w:p w14:paraId="4B250BD7"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2612</w:t>
            </w:r>
          </w:p>
        </w:tc>
        <w:tc>
          <w:tcPr>
            <w:tcW w:w="1447" w:type="dxa"/>
            <w:tcBorders>
              <w:top w:val="nil"/>
              <w:left w:val="nil"/>
              <w:bottom w:val="nil"/>
              <w:right w:val="nil"/>
            </w:tcBorders>
            <w:shd w:val="clear" w:color="auto" w:fill="auto"/>
            <w:noWrap/>
            <w:vAlign w:val="bottom"/>
            <w:hideMark/>
          </w:tcPr>
          <w:p w14:paraId="67442732"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91.4%</w:t>
            </w:r>
          </w:p>
        </w:tc>
        <w:tc>
          <w:tcPr>
            <w:tcW w:w="1448" w:type="dxa"/>
            <w:tcBorders>
              <w:top w:val="nil"/>
              <w:left w:val="single" w:sz="4" w:space="0" w:color="auto"/>
              <w:bottom w:val="nil"/>
              <w:right w:val="nil"/>
            </w:tcBorders>
            <w:shd w:val="clear" w:color="auto" w:fill="auto"/>
            <w:noWrap/>
            <w:vAlign w:val="bottom"/>
            <w:hideMark/>
          </w:tcPr>
          <w:p w14:paraId="3CA09F2D"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2259</w:t>
            </w:r>
          </w:p>
        </w:tc>
        <w:tc>
          <w:tcPr>
            <w:tcW w:w="1447" w:type="dxa"/>
            <w:tcBorders>
              <w:top w:val="nil"/>
              <w:left w:val="nil"/>
              <w:bottom w:val="nil"/>
              <w:right w:val="single" w:sz="4" w:space="0" w:color="auto"/>
            </w:tcBorders>
            <w:shd w:val="clear" w:color="auto" w:fill="auto"/>
            <w:noWrap/>
            <w:vAlign w:val="bottom"/>
            <w:hideMark/>
          </w:tcPr>
          <w:p w14:paraId="79075E68"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90.9%</w:t>
            </w:r>
          </w:p>
        </w:tc>
        <w:tc>
          <w:tcPr>
            <w:tcW w:w="1447" w:type="dxa"/>
            <w:tcBorders>
              <w:top w:val="nil"/>
              <w:left w:val="nil"/>
              <w:bottom w:val="nil"/>
              <w:right w:val="nil"/>
            </w:tcBorders>
            <w:shd w:val="clear" w:color="auto" w:fill="auto"/>
            <w:noWrap/>
            <w:vAlign w:val="bottom"/>
            <w:hideMark/>
          </w:tcPr>
          <w:p w14:paraId="2ABDAC8D"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9950</w:t>
            </w:r>
          </w:p>
        </w:tc>
        <w:tc>
          <w:tcPr>
            <w:tcW w:w="1448" w:type="dxa"/>
            <w:tcBorders>
              <w:top w:val="nil"/>
              <w:left w:val="nil"/>
              <w:bottom w:val="nil"/>
              <w:right w:val="single" w:sz="4" w:space="0" w:color="auto"/>
            </w:tcBorders>
            <w:shd w:val="clear" w:color="auto" w:fill="auto"/>
            <w:noWrap/>
            <w:vAlign w:val="bottom"/>
            <w:hideMark/>
          </w:tcPr>
          <w:p w14:paraId="49915EEF"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91.4%</w:t>
            </w:r>
          </w:p>
        </w:tc>
      </w:tr>
      <w:tr w:rsidR="00FD76BD" w:rsidRPr="00467895" w14:paraId="6667BC99"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6E50A7A4" w14:textId="77777777" w:rsidR="00214A98" w:rsidRPr="00467895" w:rsidRDefault="00214A98" w:rsidP="001B06DF">
            <w:pPr>
              <w:spacing w:before="0" w:after="0"/>
              <w:jc w:val="center"/>
              <w:rPr>
                <w:rFonts w:eastAsia="Times New Roman" w:cs="Times New Roman"/>
                <w:b/>
                <w:bCs/>
                <w:color w:val="000000"/>
                <w:sz w:val="18"/>
                <w:szCs w:val="18"/>
                <w:lang w:eastAsia="en-GB"/>
              </w:rPr>
            </w:pPr>
            <w:r w:rsidRPr="00467895">
              <w:rPr>
                <w:rFonts w:eastAsia="Times New Roman" w:cs="Times New Roman"/>
                <w:b/>
                <w:bCs/>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273C2DA0"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Female</w:t>
            </w:r>
          </w:p>
        </w:tc>
        <w:tc>
          <w:tcPr>
            <w:tcW w:w="1447" w:type="dxa"/>
            <w:tcBorders>
              <w:top w:val="nil"/>
              <w:left w:val="single" w:sz="4" w:space="0" w:color="auto"/>
              <w:bottom w:val="nil"/>
              <w:right w:val="nil"/>
            </w:tcBorders>
            <w:shd w:val="clear" w:color="auto" w:fill="auto"/>
            <w:noWrap/>
            <w:vAlign w:val="bottom"/>
            <w:hideMark/>
          </w:tcPr>
          <w:p w14:paraId="4AAF0E18"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305</w:t>
            </w:r>
          </w:p>
        </w:tc>
        <w:tc>
          <w:tcPr>
            <w:tcW w:w="1447" w:type="dxa"/>
            <w:tcBorders>
              <w:top w:val="nil"/>
              <w:left w:val="nil"/>
              <w:bottom w:val="nil"/>
              <w:right w:val="nil"/>
            </w:tcBorders>
            <w:shd w:val="clear" w:color="auto" w:fill="auto"/>
            <w:noWrap/>
            <w:vAlign w:val="bottom"/>
            <w:hideMark/>
          </w:tcPr>
          <w:p w14:paraId="38BC86AF"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8.6%</w:t>
            </w:r>
          </w:p>
        </w:tc>
        <w:tc>
          <w:tcPr>
            <w:tcW w:w="1448" w:type="dxa"/>
            <w:tcBorders>
              <w:top w:val="nil"/>
              <w:left w:val="single" w:sz="4" w:space="0" w:color="auto"/>
              <w:bottom w:val="nil"/>
              <w:right w:val="nil"/>
            </w:tcBorders>
            <w:shd w:val="clear" w:color="auto" w:fill="auto"/>
            <w:noWrap/>
            <w:vAlign w:val="bottom"/>
            <w:hideMark/>
          </w:tcPr>
          <w:p w14:paraId="3387CADB"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3612</w:t>
            </w:r>
          </w:p>
        </w:tc>
        <w:tc>
          <w:tcPr>
            <w:tcW w:w="1447" w:type="dxa"/>
            <w:tcBorders>
              <w:top w:val="nil"/>
              <w:left w:val="nil"/>
              <w:bottom w:val="nil"/>
              <w:right w:val="single" w:sz="4" w:space="0" w:color="auto"/>
            </w:tcBorders>
            <w:shd w:val="clear" w:color="auto" w:fill="auto"/>
            <w:noWrap/>
            <w:vAlign w:val="bottom"/>
            <w:hideMark/>
          </w:tcPr>
          <w:p w14:paraId="7B7E00E2"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9.1%</w:t>
            </w:r>
          </w:p>
        </w:tc>
        <w:tc>
          <w:tcPr>
            <w:tcW w:w="1447" w:type="dxa"/>
            <w:tcBorders>
              <w:top w:val="nil"/>
              <w:left w:val="nil"/>
              <w:bottom w:val="nil"/>
              <w:right w:val="nil"/>
            </w:tcBorders>
            <w:shd w:val="clear" w:color="auto" w:fill="auto"/>
            <w:noWrap/>
            <w:vAlign w:val="bottom"/>
            <w:hideMark/>
          </w:tcPr>
          <w:p w14:paraId="2BF4C953"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12810</w:t>
            </w:r>
          </w:p>
        </w:tc>
        <w:tc>
          <w:tcPr>
            <w:tcW w:w="1448" w:type="dxa"/>
            <w:tcBorders>
              <w:top w:val="nil"/>
              <w:left w:val="nil"/>
              <w:bottom w:val="nil"/>
              <w:right w:val="single" w:sz="4" w:space="0" w:color="auto"/>
            </w:tcBorders>
            <w:shd w:val="clear" w:color="auto" w:fill="auto"/>
            <w:noWrap/>
            <w:vAlign w:val="bottom"/>
            <w:hideMark/>
          </w:tcPr>
          <w:p w14:paraId="68DC4C4B"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8.6%</w:t>
            </w:r>
          </w:p>
        </w:tc>
      </w:tr>
      <w:tr w:rsidR="00A50066" w:rsidRPr="00467895" w14:paraId="5718F595" w14:textId="77777777" w:rsidTr="00467895">
        <w:trPr>
          <w:trHeight w:val="221"/>
        </w:trPr>
        <w:tc>
          <w:tcPr>
            <w:tcW w:w="4554" w:type="dxa"/>
            <w:gridSpan w:val="2"/>
            <w:tcBorders>
              <w:top w:val="single" w:sz="4" w:space="0" w:color="auto"/>
              <w:left w:val="single" w:sz="4" w:space="0" w:color="auto"/>
              <w:bottom w:val="nil"/>
              <w:right w:val="nil"/>
            </w:tcBorders>
            <w:shd w:val="clear" w:color="auto" w:fill="auto"/>
            <w:noWrap/>
            <w:vAlign w:val="bottom"/>
            <w:hideMark/>
          </w:tcPr>
          <w:p w14:paraId="34BB343E" w14:textId="77777777" w:rsidR="00214A98" w:rsidRPr="00467895" w:rsidRDefault="00214A98" w:rsidP="001B06DF">
            <w:pPr>
              <w:spacing w:before="0" w:after="0"/>
              <w:rPr>
                <w:rFonts w:eastAsia="Times New Roman" w:cs="Times New Roman"/>
                <w:b/>
                <w:bCs/>
                <w:color w:val="000000"/>
                <w:sz w:val="18"/>
                <w:szCs w:val="18"/>
                <w:lang w:eastAsia="en-GB"/>
              </w:rPr>
            </w:pPr>
            <w:r w:rsidRPr="00467895">
              <w:rPr>
                <w:rFonts w:eastAsia="Times New Roman" w:cs="Times New Roman"/>
                <w:b/>
                <w:bCs/>
                <w:color w:val="000000"/>
                <w:sz w:val="18"/>
                <w:szCs w:val="18"/>
                <w:lang w:eastAsia="en-GB"/>
              </w:rPr>
              <w:t xml:space="preserve">Age (yrs) </w:t>
            </w:r>
          </w:p>
        </w:tc>
        <w:tc>
          <w:tcPr>
            <w:tcW w:w="1447" w:type="dxa"/>
            <w:tcBorders>
              <w:top w:val="single" w:sz="4" w:space="0" w:color="auto"/>
              <w:left w:val="single" w:sz="4" w:space="0" w:color="auto"/>
              <w:bottom w:val="nil"/>
              <w:right w:val="nil"/>
            </w:tcBorders>
            <w:shd w:val="clear" w:color="auto" w:fill="auto"/>
            <w:noWrap/>
            <w:vAlign w:val="bottom"/>
            <w:hideMark/>
          </w:tcPr>
          <w:p w14:paraId="0CCFEF44"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single" w:sz="4" w:space="0" w:color="auto"/>
              <w:left w:val="nil"/>
              <w:bottom w:val="nil"/>
              <w:right w:val="nil"/>
            </w:tcBorders>
            <w:shd w:val="clear" w:color="auto" w:fill="auto"/>
            <w:noWrap/>
            <w:vAlign w:val="bottom"/>
            <w:hideMark/>
          </w:tcPr>
          <w:p w14:paraId="201AB4C9"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8" w:type="dxa"/>
            <w:tcBorders>
              <w:top w:val="single" w:sz="4" w:space="0" w:color="auto"/>
              <w:left w:val="single" w:sz="4" w:space="0" w:color="auto"/>
              <w:bottom w:val="nil"/>
              <w:right w:val="nil"/>
            </w:tcBorders>
            <w:shd w:val="clear" w:color="auto" w:fill="auto"/>
            <w:noWrap/>
            <w:vAlign w:val="bottom"/>
            <w:hideMark/>
          </w:tcPr>
          <w:p w14:paraId="3B963586"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single" w:sz="4" w:space="0" w:color="auto"/>
              <w:left w:val="nil"/>
              <w:bottom w:val="nil"/>
              <w:right w:val="single" w:sz="4" w:space="0" w:color="auto"/>
            </w:tcBorders>
            <w:shd w:val="clear" w:color="auto" w:fill="auto"/>
            <w:noWrap/>
            <w:vAlign w:val="bottom"/>
            <w:hideMark/>
          </w:tcPr>
          <w:p w14:paraId="0C90197E"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single" w:sz="4" w:space="0" w:color="auto"/>
              <w:left w:val="nil"/>
              <w:bottom w:val="nil"/>
              <w:right w:val="nil"/>
            </w:tcBorders>
            <w:shd w:val="clear" w:color="auto" w:fill="auto"/>
            <w:noWrap/>
            <w:vAlign w:val="bottom"/>
            <w:hideMark/>
          </w:tcPr>
          <w:p w14:paraId="0F2EB903"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8" w:type="dxa"/>
            <w:tcBorders>
              <w:top w:val="single" w:sz="4" w:space="0" w:color="auto"/>
              <w:left w:val="nil"/>
              <w:bottom w:val="nil"/>
              <w:right w:val="single" w:sz="4" w:space="0" w:color="auto"/>
            </w:tcBorders>
            <w:shd w:val="clear" w:color="auto" w:fill="auto"/>
            <w:noWrap/>
            <w:vAlign w:val="bottom"/>
            <w:hideMark/>
          </w:tcPr>
          <w:p w14:paraId="0E7C7173"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r>
      <w:tr w:rsidR="00FD76BD" w:rsidRPr="00467895" w14:paraId="1439021B"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739246CB"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4DB2C8A4"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22-34</w:t>
            </w:r>
          </w:p>
        </w:tc>
        <w:tc>
          <w:tcPr>
            <w:tcW w:w="1447" w:type="dxa"/>
            <w:tcBorders>
              <w:top w:val="nil"/>
              <w:left w:val="single" w:sz="4" w:space="0" w:color="auto"/>
              <w:bottom w:val="nil"/>
              <w:right w:val="nil"/>
            </w:tcBorders>
            <w:shd w:val="clear" w:color="auto" w:fill="auto"/>
            <w:noWrap/>
            <w:vAlign w:val="bottom"/>
            <w:hideMark/>
          </w:tcPr>
          <w:p w14:paraId="5EC80ED2"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453</w:t>
            </w:r>
          </w:p>
        </w:tc>
        <w:tc>
          <w:tcPr>
            <w:tcW w:w="1447" w:type="dxa"/>
            <w:tcBorders>
              <w:top w:val="nil"/>
              <w:left w:val="nil"/>
              <w:bottom w:val="nil"/>
              <w:right w:val="nil"/>
            </w:tcBorders>
            <w:shd w:val="clear" w:color="auto" w:fill="auto"/>
            <w:noWrap/>
            <w:vAlign w:val="bottom"/>
            <w:hideMark/>
          </w:tcPr>
          <w:p w14:paraId="3BED86ED"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35.9%</w:t>
            </w:r>
          </w:p>
        </w:tc>
        <w:tc>
          <w:tcPr>
            <w:tcW w:w="1448" w:type="dxa"/>
            <w:tcBorders>
              <w:top w:val="nil"/>
              <w:left w:val="single" w:sz="4" w:space="0" w:color="auto"/>
              <w:bottom w:val="nil"/>
              <w:right w:val="nil"/>
            </w:tcBorders>
            <w:shd w:val="clear" w:color="auto" w:fill="auto"/>
            <w:noWrap/>
            <w:vAlign w:val="bottom"/>
            <w:hideMark/>
          </w:tcPr>
          <w:p w14:paraId="225DF682"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1215</w:t>
            </w:r>
          </w:p>
        </w:tc>
        <w:tc>
          <w:tcPr>
            <w:tcW w:w="1447" w:type="dxa"/>
            <w:tcBorders>
              <w:top w:val="nil"/>
              <w:left w:val="nil"/>
              <w:bottom w:val="nil"/>
              <w:right w:val="single" w:sz="4" w:space="0" w:color="auto"/>
            </w:tcBorders>
            <w:shd w:val="clear" w:color="auto" w:fill="auto"/>
            <w:noWrap/>
            <w:vAlign w:val="bottom"/>
            <w:hideMark/>
          </w:tcPr>
          <w:p w14:paraId="09C6ACDA"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41.7%</w:t>
            </w:r>
          </w:p>
        </w:tc>
        <w:tc>
          <w:tcPr>
            <w:tcW w:w="1447" w:type="dxa"/>
            <w:tcBorders>
              <w:top w:val="nil"/>
              <w:left w:val="nil"/>
              <w:bottom w:val="nil"/>
              <w:right w:val="nil"/>
            </w:tcBorders>
            <w:shd w:val="clear" w:color="auto" w:fill="auto"/>
            <w:noWrap/>
            <w:vAlign w:val="bottom"/>
            <w:hideMark/>
          </w:tcPr>
          <w:p w14:paraId="25E1CF9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5238</w:t>
            </w:r>
          </w:p>
        </w:tc>
        <w:tc>
          <w:tcPr>
            <w:tcW w:w="1448" w:type="dxa"/>
            <w:tcBorders>
              <w:top w:val="nil"/>
              <w:left w:val="nil"/>
              <w:bottom w:val="nil"/>
              <w:right w:val="single" w:sz="4" w:space="0" w:color="auto"/>
            </w:tcBorders>
            <w:shd w:val="clear" w:color="auto" w:fill="auto"/>
            <w:noWrap/>
            <w:vAlign w:val="bottom"/>
            <w:hideMark/>
          </w:tcPr>
          <w:p w14:paraId="62E55D4B"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39.7%</w:t>
            </w:r>
          </w:p>
        </w:tc>
      </w:tr>
      <w:tr w:rsidR="00FD76BD" w:rsidRPr="00467895" w14:paraId="022F6F42"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6A1282F3"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63368682"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35-44</w:t>
            </w:r>
          </w:p>
        </w:tc>
        <w:tc>
          <w:tcPr>
            <w:tcW w:w="1447" w:type="dxa"/>
            <w:tcBorders>
              <w:top w:val="nil"/>
              <w:left w:val="single" w:sz="4" w:space="0" w:color="auto"/>
              <w:bottom w:val="nil"/>
              <w:right w:val="nil"/>
            </w:tcBorders>
            <w:shd w:val="clear" w:color="auto" w:fill="auto"/>
            <w:noWrap/>
            <w:vAlign w:val="bottom"/>
            <w:hideMark/>
          </w:tcPr>
          <w:p w14:paraId="3DD30816"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820</w:t>
            </w:r>
          </w:p>
        </w:tc>
        <w:tc>
          <w:tcPr>
            <w:tcW w:w="1447" w:type="dxa"/>
            <w:tcBorders>
              <w:top w:val="nil"/>
              <w:left w:val="nil"/>
              <w:bottom w:val="nil"/>
              <w:right w:val="nil"/>
            </w:tcBorders>
            <w:shd w:val="clear" w:color="auto" w:fill="auto"/>
            <w:noWrap/>
            <w:vAlign w:val="bottom"/>
            <w:hideMark/>
          </w:tcPr>
          <w:p w14:paraId="63EA0C2E"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27.3%</w:t>
            </w:r>
          </w:p>
        </w:tc>
        <w:tc>
          <w:tcPr>
            <w:tcW w:w="1448" w:type="dxa"/>
            <w:tcBorders>
              <w:top w:val="nil"/>
              <w:left w:val="single" w:sz="4" w:space="0" w:color="auto"/>
              <w:bottom w:val="nil"/>
              <w:right w:val="nil"/>
            </w:tcBorders>
            <w:shd w:val="clear" w:color="auto" w:fill="auto"/>
            <w:noWrap/>
            <w:vAlign w:val="bottom"/>
            <w:hideMark/>
          </w:tcPr>
          <w:p w14:paraId="24E238E6"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1147</w:t>
            </w:r>
          </w:p>
        </w:tc>
        <w:tc>
          <w:tcPr>
            <w:tcW w:w="1447" w:type="dxa"/>
            <w:tcBorders>
              <w:top w:val="nil"/>
              <w:left w:val="nil"/>
              <w:bottom w:val="nil"/>
              <w:right w:val="single" w:sz="4" w:space="0" w:color="auto"/>
            </w:tcBorders>
            <w:shd w:val="clear" w:color="auto" w:fill="auto"/>
            <w:noWrap/>
            <w:vAlign w:val="bottom"/>
            <w:hideMark/>
          </w:tcPr>
          <w:p w14:paraId="15AD908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26.3%</w:t>
            </w:r>
          </w:p>
        </w:tc>
        <w:tc>
          <w:tcPr>
            <w:tcW w:w="1447" w:type="dxa"/>
            <w:tcBorders>
              <w:top w:val="nil"/>
              <w:left w:val="nil"/>
              <w:bottom w:val="nil"/>
              <w:right w:val="nil"/>
            </w:tcBorders>
            <w:shd w:val="clear" w:color="auto" w:fill="auto"/>
            <w:noWrap/>
            <w:vAlign w:val="bottom"/>
            <w:hideMark/>
          </w:tcPr>
          <w:p w14:paraId="3E8E044D"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4742</w:t>
            </w:r>
          </w:p>
        </w:tc>
        <w:tc>
          <w:tcPr>
            <w:tcW w:w="1448" w:type="dxa"/>
            <w:tcBorders>
              <w:top w:val="nil"/>
              <w:left w:val="nil"/>
              <w:bottom w:val="nil"/>
              <w:right w:val="single" w:sz="4" w:space="0" w:color="auto"/>
            </w:tcBorders>
            <w:shd w:val="clear" w:color="auto" w:fill="auto"/>
            <w:noWrap/>
            <w:vAlign w:val="bottom"/>
            <w:hideMark/>
          </w:tcPr>
          <w:p w14:paraId="6947CA79"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23.2%</w:t>
            </w:r>
          </w:p>
        </w:tc>
      </w:tr>
      <w:tr w:rsidR="00FD76BD" w:rsidRPr="00467895" w14:paraId="63B88BA1"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70CBEEA5"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5A8F2E92"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45-54</w:t>
            </w:r>
          </w:p>
        </w:tc>
        <w:tc>
          <w:tcPr>
            <w:tcW w:w="1447" w:type="dxa"/>
            <w:tcBorders>
              <w:top w:val="nil"/>
              <w:left w:val="single" w:sz="4" w:space="0" w:color="auto"/>
              <w:bottom w:val="nil"/>
              <w:right w:val="nil"/>
            </w:tcBorders>
            <w:shd w:val="clear" w:color="auto" w:fill="auto"/>
            <w:noWrap/>
            <w:vAlign w:val="bottom"/>
            <w:hideMark/>
          </w:tcPr>
          <w:p w14:paraId="41FA86E8"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1091</w:t>
            </w:r>
          </w:p>
        </w:tc>
        <w:tc>
          <w:tcPr>
            <w:tcW w:w="1447" w:type="dxa"/>
            <w:tcBorders>
              <w:top w:val="nil"/>
              <w:left w:val="nil"/>
              <w:bottom w:val="nil"/>
              <w:right w:val="nil"/>
            </w:tcBorders>
            <w:shd w:val="clear" w:color="auto" w:fill="auto"/>
            <w:noWrap/>
            <w:vAlign w:val="bottom"/>
            <w:hideMark/>
          </w:tcPr>
          <w:p w14:paraId="43165363"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26.7%</w:t>
            </w:r>
          </w:p>
        </w:tc>
        <w:tc>
          <w:tcPr>
            <w:tcW w:w="1448" w:type="dxa"/>
            <w:tcBorders>
              <w:top w:val="nil"/>
              <w:left w:val="single" w:sz="4" w:space="0" w:color="auto"/>
              <w:bottom w:val="nil"/>
              <w:right w:val="nil"/>
            </w:tcBorders>
            <w:shd w:val="clear" w:color="auto" w:fill="auto"/>
            <w:noWrap/>
            <w:vAlign w:val="bottom"/>
            <w:hideMark/>
          </w:tcPr>
          <w:p w14:paraId="4A89E663"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1232</w:t>
            </w:r>
          </w:p>
        </w:tc>
        <w:tc>
          <w:tcPr>
            <w:tcW w:w="1447" w:type="dxa"/>
            <w:tcBorders>
              <w:top w:val="nil"/>
              <w:left w:val="nil"/>
              <w:bottom w:val="nil"/>
              <w:right w:val="single" w:sz="4" w:space="0" w:color="auto"/>
            </w:tcBorders>
            <w:shd w:val="clear" w:color="auto" w:fill="auto"/>
            <w:noWrap/>
            <w:vAlign w:val="bottom"/>
            <w:hideMark/>
          </w:tcPr>
          <w:p w14:paraId="2758539C"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15.7%</w:t>
            </w:r>
          </w:p>
        </w:tc>
        <w:tc>
          <w:tcPr>
            <w:tcW w:w="1447" w:type="dxa"/>
            <w:tcBorders>
              <w:top w:val="nil"/>
              <w:left w:val="nil"/>
              <w:bottom w:val="nil"/>
              <w:right w:val="nil"/>
            </w:tcBorders>
            <w:shd w:val="clear" w:color="auto" w:fill="auto"/>
            <w:noWrap/>
            <w:vAlign w:val="bottom"/>
            <w:hideMark/>
          </w:tcPr>
          <w:p w14:paraId="028C53E1"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5243</w:t>
            </w:r>
          </w:p>
        </w:tc>
        <w:tc>
          <w:tcPr>
            <w:tcW w:w="1448" w:type="dxa"/>
            <w:tcBorders>
              <w:top w:val="nil"/>
              <w:left w:val="nil"/>
              <w:bottom w:val="nil"/>
              <w:right w:val="single" w:sz="4" w:space="0" w:color="auto"/>
            </w:tcBorders>
            <w:shd w:val="clear" w:color="auto" w:fill="auto"/>
            <w:noWrap/>
            <w:vAlign w:val="bottom"/>
            <w:hideMark/>
          </w:tcPr>
          <w:p w14:paraId="5C7A87CC"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19.2%</w:t>
            </w:r>
          </w:p>
        </w:tc>
      </w:tr>
      <w:tr w:rsidR="00FD76BD" w:rsidRPr="00467895" w14:paraId="372E08AE"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39D18D42"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3724FACA"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55-64</w:t>
            </w:r>
          </w:p>
        </w:tc>
        <w:tc>
          <w:tcPr>
            <w:tcW w:w="1447" w:type="dxa"/>
            <w:tcBorders>
              <w:top w:val="nil"/>
              <w:left w:val="single" w:sz="4" w:space="0" w:color="auto"/>
              <w:bottom w:val="nil"/>
              <w:right w:val="nil"/>
            </w:tcBorders>
            <w:shd w:val="clear" w:color="auto" w:fill="auto"/>
            <w:noWrap/>
            <w:vAlign w:val="bottom"/>
            <w:hideMark/>
          </w:tcPr>
          <w:p w14:paraId="20B5DABF"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472</w:t>
            </w:r>
          </w:p>
        </w:tc>
        <w:tc>
          <w:tcPr>
            <w:tcW w:w="1447" w:type="dxa"/>
            <w:tcBorders>
              <w:top w:val="nil"/>
              <w:left w:val="nil"/>
              <w:bottom w:val="nil"/>
              <w:right w:val="nil"/>
            </w:tcBorders>
            <w:shd w:val="clear" w:color="auto" w:fill="auto"/>
            <w:noWrap/>
            <w:vAlign w:val="bottom"/>
            <w:hideMark/>
          </w:tcPr>
          <w:p w14:paraId="7B95902C"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8.8%</w:t>
            </w:r>
          </w:p>
        </w:tc>
        <w:tc>
          <w:tcPr>
            <w:tcW w:w="1448" w:type="dxa"/>
            <w:tcBorders>
              <w:top w:val="nil"/>
              <w:left w:val="single" w:sz="4" w:space="0" w:color="auto"/>
              <w:bottom w:val="nil"/>
              <w:right w:val="nil"/>
            </w:tcBorders>
            <w:shd w:val="clear" w:color="auto" w:fill="auto"/>
            <w:noWrap/>
            <w:vAlign w:val="bottom"/>
            <w:hideMark/>
          </w:tcPr>
          <w:p w14:paraId="33C8F06E"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1155</w:t>
            </w:r>
          </w:p>
        </w:tc>
        <w:tc>
          <w:tcPr>
            <w:tcW w:w="1447" w:type="dxa"/>
            <w:tcBorders>
              <w:top w:val="nil"/>
              <w:left w:val="nil"/>
              <w:bottom w:val="nil"/>
              <w:right w:val="single" w:sz="4" w:space="0" w:color="auto"/>
            </w:tcBorders>
            <w:shd w:val="clear" w:color="auto" w:fill="auto"/>
            <w:noWrap/>
            <w:vAlign w:val="bottom"/>
            <w:hideMark/>
          </w:tcPr>
          <w:p w14:paraId="3EBC7CF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10.2%</w:t>
            </w:r>
          </w:p>
        </w:tc>
        <w:tc>
          <w:tcPr>
            <w:tcW w:w="1447" w:type="dxa"/>
            <w:tcBorders>
              <w:top w:val="nil"/>
              <w:left w:val="nil"/>
              <w:bottom w:val="nil"/>
              <w:right w:val="nil"/>
            </w:tcBorders>
            <w:shd w:val="clear" w:color="auto" w:fill="auto"/>
            <w:noWrap/>
            <w:vAlign w:val="bottom"/>
            <w:hideMark/>
          </w:tcPr>
          <w:p w14:paraId="6012AA67"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4289</w:t>
            </w:r>
          </w:p>
        </w:tc>
        <w:tc>
          <w:tcPr>
            <w:tcW w:w="1448" w:type="dxa"/>
            <w:tcBorders>
              <w:top w:val="nil"/>
              <w:left w:val="nil"/>
              <w:bottom w:val="nil"/>
              <w:right w:val="single" w:sz="4" w:space="0" w:color="auto"/>
            </w:tcBorders>
            <w:shd w:val="clear" w:color="auto" w:fill="auto"/>
            <w:noWrap/>
            <w:vAlign w:val="bottom"/>
            <w:hideMark/>
          </w:tcPr>
          <w:p w14:paraId="472024BC"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11.3%</w:t>
            </w:r>
          </w:p>
        </w:tc>
      </w:tr>
      <w:tr w:rsidR="00FD76BD" w:rsidRPr="00467895" w14:paraId="60DCA4F0" w14:textId="77777777" w:rsidTr="00467895">
        <w:trPr>
          <w:trHeight w:val="221"/>
        </w:trPr>
        <w:tc>
          <w:tcPr>
            <w:tcW w:w="557" w:type="dxa"/>
            <w:tcBorders>
              <w:top w:val="nil"/>
              <w:left w:val="single" w:sz="4" w:space="0" w:color="auto"/>
              <w:bottom w:val="single" w:sz="4" w:space="0" w:color="auto"/>
              <w:right w:val="nil"/>
            </w:tcBorders>
            <w:shd w:val="clear" w:color="auto" w:fill="auto"/>
            <w:noWrap/>
            <w:vAlign w:val="bottom"/>
            <w:hideMark/>
          </w:tcPr>
          <w:p w14:paraId="7C0FC084"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single" w:sz="4" w:space="0" w:color="auto"/>
              <w:right w:val="nil"/>
            </w:tcBorders>
            <w:shd w:val="clear" w:color="auto" w:fill="auto"/>
            <w:noWrap/>
            <w:vAlign w:val="bottom"/>
            <w:hideMark/>
          </w:tcPr>
          <w:p w14:paraId="035988D5"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65-74</w:t>
            </w:r>
          </w:p>
        </w:tc>
        <w:tc>
          <w:tcPr>
            <w:tcW w:w="1447" w:type="dxa"/>
            <w:tcBorders>
              <w:top w:val="nil"/>
              <w:left w:val="single" w:sz="4" w:space="0" w:color="auto"/>
              <w:bottom w:val="single" w:sz="4" w:space="0" w:color="auto"/>
              <w:right w:val="nil"/>
            </w:tcBorders>
            <w:shd w:val="clear" w:color="auto" w:fill="auto"/>
            <w:noWrap/>
            <w:vAlign w:val="bottom"/>
            <w:hideMark/>
          </w:tcPr>
          <w:p w14:paraId="1CE3170B"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81</w:t>
            </w:r>
          </w:p>
        </w:tc>
        <w:tc>
          <w:tcPr>
            <w:tcW w:w="1447" w:type="dxa"/>
            <w:tcBorders>
              <w:top w:val="nil"/>
              <w:left w:val="nil"/>
              <w:bottom w:val="single" w:sz="4" w:space="0" w:color="auto"/>
              <w:right w:val="nil"/>
            </w:tcBorders>
            <w:shd w:val="clear" w:color="auto" w:fill="auto"/>
            <w:noWrap/>
            <w:vAlign w:val="bottom"/>
            <w:hideMark/>
          </w:tcPr>
          <w:p w14:paraId="4EF7B54C"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1.4%</w:t>
            </w:r>
          </w:p>
        </w:tc>
        <w:tc>
          <w:tcPr>
            <w:tcW w:w="1448" w:type="dxa"/>
            <w:tcBorders>
              <w:top w:val="nil"/>
              <w:left w:val="single" w:sz="4" w:space="0" w:color="auto"/>
              <w:bottom w:val="single" w:sz="4" w:space="0" w:color="auto"/>
              <w:right w:val="nil"/>
            </w:tcBorders>
            <w:shd w:val="clear" w:color="auto" w:fill="auto"/>
            <w:noWrap/>
            <w:vAlign w:val="bottom"/>
            <w:hideMark/>
          </w:tcPr>
          <w:p w14:paraId="0FF2F636"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1122</w:t>
            </w:r>
          </w:p>
        </w:tc>
        <w:tc>
          <w:tcPr>
            <w:tcW w:w="1447" w:type="dxa"/>
            <w:tcBorders>
              <w:top w:val="nil"/>
              <w:left w:val="nil"/>
              <w:bottom w:val="single" w:sz="4" w:space="0" w:color="auto"/>
              <w:right w:val="single" w:sz="4" w:space="0" w:color="auto"/>
            </w:tcBorders>
            <w:shd w:val="clear" w:color="auto" w:fill="auto"/>
            <w:noWrap/>
            <w:vAlign w:val="bottom"/>
            <w:hideMark/>
          </w:tcPr>
          <w:p w14:paraId="76DC21AC"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6.1%</w:t>
            </w:r>
          </w:p>
        </w:tc>
        <w:tc>
          <w:tcPr>
            <w:tcW w:w="1447" w:type="dxa"/>
            <w:tcBorders>
              <w:top w:val="nil"/>
              <w:left w:val="nil"/>
              <w:bottom w:val="single" w:sz="4" w:space="0" w:color="auto"/>
              <w:right w:val="nil"/>
            </w:tcBorders>
            <w:shd w:val="clear" w:color="auto" w:fill="auto"/>
            <w:noWrap/>
            <w:vAlign w:val="bottom"/>
            <w:hideMark/>
          </w:tcPr>
          <w:p w14:paraId="7604BC31"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3248</w:t>
            </w:r>
          </w:p>
        </w:tc>
        <w:tc>
          <w:tcPr>
            <w:tcW w:w="1448" w:type="dxa"/>
            <w:tcBorders>
              <w:top w:val="nil"/>
              <w:left w:val="nil"/>
              <w:bottom w:val="single" w:sz="4" w:space="0" w:color="auto"/>
              <w:right w:val="single" w:sz="4" w:space="0" w:color="auto"/>
            </w:tcBorders>
            <w:shd w:val="clear" w:color="auto" w:fill="auto"/>
            <w:noWrap/>
            <w:vAlign w:val="bottom"/>
            <w:hideMark/>
          </w:tcPr>
          <w:p w14:paraId="2EB4959E"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6.5%</w:t>
            </w:r>
          </w:p>
        </w:tc>
      </w:tr>
      <w:tr w:rsidR="00A50066" w:rsidRPr="00467895" w14:paraId="37046B8E" w14:textId="77777777" w:rsidTr="00467895">
        <w:trPr>
          <w:trHeight w:val="221"/>
        </w:trPr>
        <w:tc>
          <w:tcPr>
            <w:tcW w:w="4554" w:type="dxa"/>
            <w:gridSpan w:val="2"/>
            <w:tcBorders>
              <w:top w:val="nil"/>
              <w:left w:val="single" w:sz="4" w:space="0" w:color="auto"/>
              <w:bottom w:val="nil"/>
              <w:right w:val="nil"/>
            </w:tcBorders>
            <w:shd w:val="clear" w:color="auto" w:fill="auto"/>
            <w:noWrap/>
            <w:vAlign w:val="bottom"/>
            <w:hideMark/>
          </w:tcPr>
          <w:p w14:paraId="0BB08387" w14:textId="77777777" w:rsidR="00214A98" w:rsidRPr="00467895" w:rsidRDefault="00214A98" w:rsidP="001B06DF">
            <w:pPr>
              <w:spacing w:before="0" w:after="0"/>
              <w:rPr>
                <w:rFonts w:eastAsia="Times New Roman" w:cs="Times New Roman"/>
                <w:b/>
                <w:bCs/>
                <w:color w:val="000000"/>
                <w:sz w:val="18"/>
                <w:szCs w:val="18"/>
                <w:lang w:eastAsia="en-GB"/>
              </w:rPr>
            </w:pPr>
            <w:r w:rsidRPr="00467895">
              <w:rPr>
                <w:rFonts w:eastAsia="Times New Roman" w:cs="Times New Roman"/>
                <w:b/>
                <w:bCs/>
                <w:color w:val="000000"/>
                <w:sz w:val="18"/>
                <w:szCs w:val="18"/>
                <w:lang w:eastAsia="en-GB"/>
              </w:rPr>
              <w:t>Marital Status</w:t>
            </w:r>
          </w:p>
        </w:tc>
        <w:tc>
          <w:tcPr>
            <w:tcW w:w="1447" w:type="dxa"/>
            <w:tcBorders>
              <w:top w:val="nil"/>
              <w:left w:val="single" w:sz="4" w:space="0" w:color="auto"/>
              <w:bottom w:val="nil"/>
              <w:right w:val="nil"/>
            </w:tcBorders>
            <w:shd w:val="clear" w:color="auto" w:fill="auto"/>
            <w:noWrap/>
            <w:vAlign w:val="bottom"/>
            <w:hideMark/>
          </w:tcPr>
          <w:p w14:paraId="0DB27A9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nil"/>
              <w:left w:val="nil"/>
              <w:bottom w:val="nil"/>
              <w:right w:val="nil"/>
            </w:tcBorders>
            <w:shd w:val="clear" w:color="auto" w:fill="auto"/>
            <w:noWrap/>
            <w:vAlign w:val="bottom"/>
            <w:hideMark/>
          </w:tcPr>
          <w:p w14:paraId="131563DF" w14:textId="77777777" w:rsidR="00214A98" w:rsidRPr="00467895" w:rsidRDefault="00214A98" w:rsidP="001B06DF">
            <w:pPr>
              <w:spacing w:before="0" w:after="0"/>
              <w:jc w:val="center"/>
              <w:rPr>
                <w:rFonts w:eastAsia="Times New Roman" w:cs="Times New Roman"/>
                <w:color w:val="000000"/>
                <w:sz w:val="18"/>
                <w:szCs w:val="18"/>
                <w:lang w:eastAsia="en-GB"/>
              </w:rPr>
            </w:pPr>
          </w:p>
        </w:tc>
        <w:tc>
          <w:tcPr>
            <w:tcW w:w="1448" w:type="dxa"/>
            <w:tcBorders>
              <w:top w:val="nil"/>
              <w:left w:val="single" w:sz="4" w:space="0" w:color="auto"/>
              <w:bottom w:val="nil"/>
              <w:right w:val="nil"/>
            </w:tcBorders>
            <w:shd w:val="clear" w:color="auto" w:fill="auto"/>
            <w:noWrap/>
            <w:vAlign w:val="bottom"/>
            <w:hideMark/>
          </w:tcPr>
          <w:p w14:paraId="36A52F44"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nil"/>
              <w:left w:val="nil"/>
              <w:bottom w:val="nil"/>
              <w:right w:val="single" w:sz="4" w:space="0" w:color="auto"/>
            </w:tcBorders>
            <w:shd w:val="clear" w:color="auto" w:fill="auto"/>
            <w:noWrap/>
            <w:vAlign w:val="bottom"/>
            <w:hideMark/>
          </w:tcPr>
          <w:p w14:paraId="7A130197"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nil"/>
              <w:left w:val="nil"/>
              <w:bottom w:val="nil"/>
              <w:right w:val="nil"/>
            </w:tcBorders>
            <w:shd w:val="clear" w:color="auto" w:fill="auto"/>
            <w:noWrap/>
            <w:vAlign w:val="bottom"/>
            <w:hideMark/>
          </w:tcPr>
          <w:p w14:paraId="4630FF68"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8" w:type="dxa"/>
            <w:tcBorders>
              <w:top w:val="nil"/>
              <w:left w:val="nil"/>
              <w:bottom w:val="nil"/>
              <w:right w:val="single" w:sz="4" w:space="0" w:color="auto"/>
            </w:tcBorders>
            <w:shd w:val="clear" w:color="auto" w:fill="auto"/>
            <w:noWrap/>
            <w:vAlign w:val="bottom"/>
            <w:hideMark/>
          </w:tcPr>
          <w:p w14:paraId="60C314DE"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r>
      <w:tr w:rsidR="00FD76BD" w:rsidRPr="00467895" w14:paraId="634C1D2A"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3F9EF76F"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508736CA"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Married / long term relationship</w:t>
            </w:r>
          </w:p>
        </w:tc>
        <w:tc>
          <w:tcPr>
            <w:tcW w:w="1447" w:type="dxa"/>
            <w:tcBorders>
              <w:top w:val="nil"/>
              <w:left w:val="single" w:sz="4" w:space="0" w:color="auto"/>
              <w:bottom w:val="nil"/>
              <w:right w:val="nil"/>
            </w:tcBorders>
            <w:shd w:val="clear" w:color="auto" w:fill="auto"/>
            <w:noWrap/>
            <w:vAlign w:val="bottom"/>
            <w:hideMark/>
          </w:tcPr>
          <w:p w14:paraId="6E4DB893"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2512</w:t>
            </w:r>
          </w:p>
        </w:tc>
        <w:tc>
          <w:tcPr>
            <w:tcW w:w="1447" w:type="dxa"/>
            <w:tcBorders>
              <w:top w:val="nil"/>
              <w:left w:val="nil"/>
              <w:bottom w:val="nil"/>
              <w:right w:val="nil"/>
            </w:tcBorders>
            <w:shd w:val="clear" w:color="auto" w:fill="auto"/>
            <w:noWrap/>
            <w:vAlign w:val="bottom"/>
            <w:hideMark/>
          </w:tcPr>
          <w:p w14:paraId="36AECD66"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84.8%</w:t>
            </w:r>
          </w:p>
        </w:tc>
        <w:tc>
          <w:tcPr>
            <w:tcW w:w="1448" w:type="dxa"/>
            <w:tcBorders>
              <w:top w:val="nil"/>
              <w:left w:val="single" w:sz="4" w:space="0" w:color="auto"/>
              <w:bottom w:val="nil"/>
              <w:right w:val="nil"/>
            </w:tcBorders>
            <w:shd w:val="clear" w:color="auto" w:fill="auto"/>
            <w:noWrap/>
            <w:vAlign w:val="bottom"/>
            <w:hideMark/>
          </w:tcPr>
          <w:p w14:paraId="6B0A8E68"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3554</w:t>
            </w:r>
          </w:p>
        </w:tc>
        <w:tc>
          <w:tcPr>
            <w:tcW w:w="1447" w:type="dxa"/>
            <w:tcBorders>
              <w:top w:val="nil"/>
              <w:left w:val="nil"/>
              <w:bottom w:val="nil"/>
              <w:right w:val="single" w:sz="4" w:space="0" w:color="auto"/>
            </w:tcBorders>
            <w:shd w:val="clear" w:color="auto" w:fill="auto"/>
            <w:noWrap/>
            <w:vAlign w:val="bottom"/>
            <w:hideMark/>
          </w:tcPr>
          <w:p w14:paraId="0F06092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60.7%</w:t>
            </w:r>
          </w:p>
        </w:tc>
        <w:tc>
          <w:tcPr>
            <w:tcW w:w="1447" w:type="dxa"/>
            <w:tcBorders>
              <w:top w:val="nil"/>
              <w:left w:val="nil"/>
              <w:bottom w:val="nil"/>
              <w:right w:val="nil"/>
            </w:tcBorders>
            <w:shd w:val="clear" w:color="auto" w:fill="auto"/>
            <w:noWrap/>
            <w:vAlign w:val="bottom"/>
            <w:hideMark/>
          </w:tcPr>
          <w:p w14:paraId="75999081"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16055</w:t>
            </w:r>
          </w:p>
        </w:tc>
        <w:tc>
          <w:tcPr>
            <w:tcW w:w="1448" w:type="dxa"/>
            <w:tcBorders>
              <w:top w:val="nil"/>
              <w:left w:val="nil"/>
              <w:bottom w:val="nil"/>
              <w:right w:val="single" w:sz="4" w:space="0" w:color="auto"/>
            </w:tcBorders>
            <w:shd w:val="clear" w:color="auto" w:fill="auto"/>
            <w:noWrap/>
            <w:vAlign w:val="bottom"/>
            <w:hideMark/>
          </w:tcPr>
          <w:p w14:paraId="1F498A52"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68.1%</w:t>
            </w:r>
          </w:p>
        </w:tc>
      </w:tr>
      <w:tr w:rsidR="00FD76BD" w:rsidRPr="00467895" w14:paraId="19415828"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7A07C8FE"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17B6B854"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Single</w:t>
            </w:r>
          </w:p>
        </w:tc>
        <w:tc>
          <w:tcPr>
            <w:tcW w:w="1447" w:type="dxa"/>
            <w:tcBorders>
              <w:top w:val="nil"/>
              <w:left w:val="single" w:sz="4" w:space="0" w:color="auto"/>
              <w:bottom w:val="nil"/>
              <w:right w:val="nil"/>
            </w:tcBorders>
            <w:shd w:val="clear" w:color="auto" w:fill="auto"/>
            <w:noWrap/>
            <w:vAlign w:val="bottom"/>
            <w:hideMark/>
          </w:tcPr>
          <w:p w14:paraId="57CA3253"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190</w:t>
            </w:r>
          </w:p>
        </w:tc>
        <w:tc>
          <w:tcPr>
            <w:tcW w:w="1447" w:type="dxa"/>
            <w:tcBorders>
              <w:top w:val="nil"/>
              <w:left w:val="nil"/>
              <w:bottom w:val="nil"/>
              <w:right w:val="nil"/>
            </w:tcBorders>
            <w:shd w:val="clear" w:color="auto" w:fill="auto"/>
            <w:noWrap/>
            <w:vAlign w:val="bottom"/>
            <w:hideMark/>
          </w:tcPr>
          <w:p w14:paraId="02F982C2"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9.3%</w:t>
            </w:r>
          </w:p>
        </w:tc>
        <w:tc>
          <w:tcPr>
            <w:tcW w:w="1448" w:type="dxa"/>
            <w:tcBorders>
              <w:top w:val="nil"/>
              <w:left w:val="single" w:sz="4" w:space="0" w:color="auto"/>
              <w:bottom w:val="nil"/>
              <w:right w:val="nil"/>
            </w:tcBorders>
            <w:shd w:val="clear" w:color="auto" w:fill="auto"/>
            <w:noWrap/>
            <w:vAlign w:val="bottom"/>
            <w:hideMark/>
          </w:tcPr>
          <w:p w14:paraId="3919EF78"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1181</w:t>
            </w:r>
          </w:p>
        </w:tc>
        <w:tc>
          <w:tcPr>
            <w:tcW w:w="1447" w:type="dxa"/>
            <w:tcBorders>
              <w:top w:val="nil"/>
              <w:left w:val="nil"/>
              <w:bottom w:val="nil"/>
              <w:right w:val="single" w:sz="4" w:space="0" w:color="auto"/>
            </w:tcBorders>
            <w:shd w:val="clear" w:color="auto" w:fill="auto"/>
            <w:noWrap/>
            <w:vAlign w:val="bottom"/>
            <w:hideMark/>
          </w:tcPr>
          <w:p w14:paraId="3304A1C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30.2%</w:t>
            </w:r>
          </w:p>
        </w:tc>
        <w:tc>
          <w:tcPr>
            <w:tcW w:w="1447" w:type="dxa"/>
            <w:tcBorders>
              <w:top w:val="nil"/>
              <w:left w:val="nil"/>
              <w:bottom w:val="nil"/>
              <w:right w:val="nil"/>
            </w:tcBorders>
            <w:shd w:val="clear" w:color="auto" w:fill="auto"/>
            <w:noWrap/>
            <w:vAlign w:val="bottom"/>
            <w:hideMark/>
          </w:tcPr>
          <w:p w14:paraId="53BEBE82"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3994</w:t>
            </w:r>
          </w:p>
        </w:tc>
        <w:tc>
          <w:tcPr>
            <w:tcW w:w="1448" w:type="dxa"/>
            <w:tcBorders>
              <w:top w:val="nil"/>
              <w:left w:val="nil"/>
              <w:bottom w:val="nil"/>
              <w:right w:val="single" w:sz="4" w:space="0" w:color="auto"/>
            </w:tcBorders>
            <w:shd w:val="clear" w:color="auto" w:fill="auto"/>
            <w:noWrap/>
            <w:vAlign w:val="bottom"/>
            <w:hideMark/>
          </w:tcPr>
          <w:p w14:paraId="579F670E"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26.2%</w:t>
            </w:r>
          </w:p>
        </w:tc>
      </w:tr>
      <w:tr w:rsidR="00FD76BD" w:rsidRPr="00467895" w14:paraId="0A3A3D2A" w14:textId="77777777" w:rsidTr="00467895">
        <w:trPr>
          <w:trHeight w:val="221"/>
        </w:trPr>
        <w:tc>
          <w:tcPr>
            <w:tcW w:w="557" w:type="dxa"/>
            <w:tcBorders>
              <w:top w:val="nil"/>
              <w:left w:val="single" w:sz="4" w:space="0" w:color="auto"/>
              <w:bottom w:val="single" w:sz="4" w:space="0" w:color="auto"/>
              <w:right w:val="nil"/>
            </w:tcBorders>
            <w:shd w:val="clear" w:color="auto" w:fill="auto"/>
            <w:noWrap/>
            <w:vAlign w:val="bottom"/>
            <w:hideMark/>
          </w:tcPr>
          <w:p w14:paraId="7ADFC8B9"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single" w:sz="4" w:space="0" w:color="auto"/>
              <w:right w:val="nil"/>
            </w:tcBorders>
            <w:shd w:val="clear" w:color="auto" w:fill="auto"/>
            <w:noWrap/>
            <w:vAlign w:val="bottom"/>
            <w:hideMark/>
          </w:tcPr>
          <w:p w14:paraId="76246B5F"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Separated, divorced or widowed</w:t>
            </w:r>
          </w:p>
        </w:tc>
        <w:tc>
          <w:tcPr>
            <w:tcW w:w="1447" w:type="dxa"/>
            <w:tcBorders>
              <w:top w:val="nil"/>
              <w:left w:val="single" w:sz="4" w:space="0" w:color="auto"/>
              <w:bottom w:val="single" w:sz="4" w:space="0" w:color="auto"/>
              <w:right w:val="nil"/>
            </w:tcBorders>
            <w:shd w:val="clear" w:color="auto" w:fill="auto"/>
            <w:noWrap/>
            <w:vAlign w:val="bottom"/>
            <w:hideMark/>
          </w:tcPr>
          <w:p w14:paraId="6E38199D"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198</w:t>
            </w:r>
          </w:p>
        </w:tc>
        <w:tc>
          <w:tcPr>
            <w:tcW w:w="1447" w:type="dxa"/>
            <w:tcBorders>
              <w:top w:val="nil"/>
              <w:left w:val="nil"/>
              <w:bottom w:val="single" w:sz="4" w:space="0" w:color="auto"/>
              <w:right w:val="nil"/>
            </w:tcBorders>
            <w:shd w:val="clear" w:color="auto" w:fill="auto"/>
            <w:noWrap/>
            <w:vAlign w:val="bottom"/>
            <w:hideMark/>
          </w:tcPr>
          <w:p w14:paraId="793B90D8"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5.9%</w:t>
            </w:r>
          </w:p>
        </w:tc>
        <w:tc>
          <w:tcPr>
            <w:tcW w:w="1448" w:type="dxa"/>
            <w:tcBorders>
              <w:top w:val="nil"/>
              <w:left w:val="single" w:sz="4" w:space="0" w:color="auto"/>
              <w:bottom w:val="single" w:sz="4" w:space="0" w:color="auto"/>
              <w:right w:val="nil"/>
            </w:tcBorders>
            <w:shd w:val="clear" w:color="auto" w:fill="auto"/>
            <w:noWrap/>
            <w:vAlign w:val="bottom"/>
            <w:hideMark/>
          </w:tcPr>
          <w:p w14:paraId="7D30B590"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1136</w:t>
            </w:r>
          </w:p>
        </w:tc>
        <w:tc>
          <w:tcPr>
            <w:tcW w:w="1447" w:type="dxa"/>
            <w:tcBorders>
              <w:top w:val="nil"/>
              <w:left w:val="nil"/>
              <w:bottom w:val="nil"/>
              <w:right w:val="single" w:sz="4" w:space="0" w:color="auto"/>
            </w:tcBorders>
            <w:shd w:val="clear" w:color="auto" w:fill="auto"/>
            <w:noWrap/>
            <w:vAlign w:val="bottom"/>
            <w:hideMark/>
          </w:tcPr>
          <w:p w14:paraId="50B2425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9.2%</w:t>
            </w:r>
          </w:p>
        </w:tc>
        <w:tc>
          <w:tcPr>
            <w:tcW w:w="1447" w:type="dxa"/>
            <w:tcBorders>
              <w:top w:val="nil"/>
              <w:left w:val="nil"/>
              <w:bottom w:val="single" w:sz="4" w:space="0" w:color="auto"/>
              <w:right w:val="nil"/>
            </w:tcBorders>
            <w:shd w:val="clear" w:color="auto" w:fill="auto"/>
            <w:noWrap/>
            <w:vAlign w:val="bottom"/>
            <w:hideMark/>
          </w:tcPr>
          <w:p w14:paraId="61A79BCE"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2641</w:t>
            </w:r>
          </w:p>
        </w:tc>
        <w:tc>
          <w:tcPr>
            <w:tcW w:w="1448" w:type="dxa"/>
            <w:tcBorders>
              <w:top w:val="nil"/>
              <w:left w:val="nil"/>
              <w:bottom w:val="single" w:sz="4" w:space="0" w:color="auto"/>
              <w:right w:val="single" w:sz="4" w:space="0" w:color="auto"/>
            </w:tcBorders>
            <w:shd w:val="clear" w:color="auto" w:fill="auto"/>
            <w:noWrap/>
            <w:vAlign w:val="bottom"/>
            <w:hideMark/>
          </w:tcPr>
          <w:p w14:paraId="7611215F"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5.7%</w:t>
            </w:r>
          </w:p>
        </w:tc>
      </w:tr>
      <w:tr w:rsidR="00A50066" w:rsidRPr="00467895" w14:paraId="62BB7023" w14:textId="77777777" w:rsidTr="00467895">
        <w:trPr>
          <w:trHeight w:val="221"/>
        </w:trPr>
        <w:tc>
          <w:tcPr>
            <w:tcW w:w="4554" w:type="dxa"/>
            <w:gridSpan w:val="2"/>
            <w:tcBorders>
              <w:top w:val="single" w:sz="4" w:space="0" w:color="auto"/>
              <w:left w:val="single" w:sz="4" w:space="0" w:color="auto"/>
              <w:bottom w:val="nil"/>
              <w:right w:val="nil"/>
            </w:tcBorders>
            <w:shd w:val="clear" w:color="auto" w:fill="auto"/>
            <w:noWrap/>
            <w:vAlign w:val="bottom"/>
            <w:hideMark/>
          </w:tcPr>
          <w:p w14:paraId="77492D46" w14:textId="77777777" w:rsidR="00214A98" w:rsidRPr="00467895" w:rsidRDefault="00214A98" w:rsidP="001B06DF">
            <w:pPr>
              <w:spacing w:before="0" w:after="0"/>
              <w:rPr>
                <w:rFonts w:eastAsia="Times New Roman" w:cs="Times New Roman"/>
                <w:b/>
                <w:bCs/>
                <w:color w:val="000000"/>
                <w:sz w:val="18"/>
                <w:szCs w:val="18"/>
                <w:lang w:eastAsia="en-GB"/>
              </w:rPr>
            </w:pPr>
            <w:r w:rsidRPr="00467895">
              <w:rPr>
                <w:rFonts w:eastAsia="Times New Roman" w:cs="Times New Roman"/>
                <w:b/>
                <w:bCs/>
                <w:color w:val="000000"/>
                <w:sz w:val="18"/>
                <w:szCs w:val="18"/>
                <w:lang w:eastAsia="en-GB"/>
              </w:rPr>
              <w:t>Highest qualification</w:t>
            </w:r>
          </w:p>
        </w:tc>
        <w:tc>
          <w:tcPr>
            <w:tcW w:w="1447" w:type="dxa"/>
            <w:tcBorders>
              <w:top w:val="nil"/>
              <w:left w:val="single" w:sz="4" w:space="0" w:color="auto"/>
              <w:bottom w:val="nil"/>
              <w:right w:val="nil"/>
            </w:tcBorders>
            <w:shd w:val="clear" w:color="auto" w:fill="auto"/>
            <w:noWrap/>
            <w:vAlign w:val="bottom"/>
            <w:hideMark/>
          </w:tcPr>
          <w:p w14:paraId="4D5ADF66"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nil"/>
              <w:left w:val="nil"/>
              <w:bottom w:val="nil"/>
              <w:right w:val="nil"/>
            </w:tcBorders>
            <w:shd w:val="clear" w:color="auto" w:fill="auto"/>
            <w:noWrap/>
            <w:vAlign w:val="bottom"/>
            <w:hideMark/>
          </w:tcPr>
          <w:p w14:paraId="3239276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8" w:type="dxa"/>
            <w:tcBorders>
              <w:top w:val="nil"/>
              <w:left w:val="single" w:sz="4" w:space="0" w:color="auto"/>
              <w:bottom w:val="nil"/>
              <w:right w:val="nil"/>
            </w:tcBorders>
            <w:shd w:val="clear" w:color="auto" w:fill="auto"/>
            <w:noWrap/>
            <w:vAlign w:val="bottom"/>
            <w:hideMark/>
          </w:tcPr>
          <w:p w14:paraId="55A91147"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single" w:sz="4" w:space="0" w:color="auto"/>
              <w:left w:val="nil"/>
              <w:bottom w:val="nil"/>
              <w:right w:val="single" w:sz="4" w:space="0" w:color="auto"/>
            </w:tcBorders>
            <w:shd w:val="clear" w:color="auto" w:fill="auto"/>
            <w:noWrap/>
            <w:vAlign w:val="bottom"/>
            <w:hideMark/>
          </w:tcPr>
          <w:p w14:paraId="5208A47D"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nil"/>
              <w:left w:val="nil"/>
              <w:bottom w:val="nil"/>
              <w:right w:val="nil"/>
            </w:tcBorders>
            <w:shd w:val="clear" w:color="auto" w:fill="auto"/>
            <w:noWrap/>
            <w:vAlign w:val="bottom"/>
            <w:hideMark/>
          </w:tcPr>
          <w:p w14:paraId="309B2521"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8" w:type="dxa"/>
            <w:tcBorders>
              <w:top w:val="nil"/>
              <w:left w:val="nil"/>
              <w:bottom w:val="nil"/>
              <w:right w:val="single" w:sz="4" w:space="0" w:color="auto"/>
            </w:tcBorders>
            <w:shd w:val="clear" w:color="auto" w:fill="auto"/>
            <w:noWrap/>
            <w:vAlign w:val="bottom"/>
            <w:hideMark/>
          </w:tcPr>
          <w:p w14:paraId="4AEC3509"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r>
      <w:tr w:rsidR="00FD76BD" w:rsidRPr="00467895" w14:paraId="03DC0B40"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4BC9CEB3"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180B76A8"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No qualifications</w:t>
            </w:r>
          </w:p>
        </w:tc>
        <w:tc>
          <w:tcPr>
            <w:tcW w:w="1447" w:type="dxa"/>
            <w:tcBorders>
              <w:top w:val="nil"/>
              <w:left w:val="single" w:sz="4" w:space="0" w:color="auto"/>
              <w:bottom w:val="nil"/>
              <w:right w:val="nil"/>
            </w:tcBorders>
            <w:shd w:val="clear" w:color="auto" w:fill="auto"/>
            <w:noWrap/>
            <w:vAlign w:val="bottom"/>
            <w:hideMark/>
          </w:tcPr>
          <w:p w14:paraId="0AD3C567"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130</w:t>
            </w:r>
          </w:p>
        </w:tc>
        <w:tc>
          <w:tcPr>
            <w:tcW w:w="1447" w:type="dxa"/>
            <w:tcBorders>
              <w:top w:val="nil"/>
              <w:left w:val="nil"/>
              <w:bottom w:val="nil"/>
              <w:right w:val="nil"/>
            </w:tcBorders>
            <w:shd w:val="clear" w:color="auto" w:fill="auto"/>
            <w:noWrap/>
            <w:vAlign w:val="bottom"/>
            <w:hideMark/>
          </w:tcPr>
          <w:p w14:paraId="7948C6FF"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4.5%</w:t>
            </w:r>
          </w:p>
        </w:tc>
        <w:tc>
          <w:tcPr>
            <w:tcW w:w="1448" w:type="dxa"/>
            <w:tcBorders>
              <w:top w:val="nil"/>
              <w:left w:val="single" w:sz="4" w:space="0" w:color="auto"/>
              <w:bottom w:val="nil"/>
              <w:right w:val="nil"/>
            </w:tcBorders>
            <w:shd w:val="clear" w:color="auto" w:fill="auto"/>
            <w:noWrap/>
            <w:vAlign w:val="bottom"/>
            <w:hideMark/>
          </w:tcPr>
          <w:p w14:paraId="780728E2"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1147</w:t>
            </w:r>
          </w:p>
        </w:tc>
        <w:tc>
          <w:tcPr>
            <w:tcW w:w="1447" w:type="dxa"/>
            <w:tcBorders>
              <w:top w:val="nil"/>
              <w:left w:val="nil"/>
              <w:bottom w:val="nil"/>
              <w:right w:val="single" w:sz="4" w:space="0" w:color="auto"/>
            </w:tcBorders>
            <w:shd w:val="clear" w:color="auto" w:fill="auto"/>
            <w:noWrap/>
            <w:vAlign w:val="bottom"/>
            <w:hideMark/>
          </w:tcPr>
          <w:p w14:paraId="45B856DE"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15.0%</w:t>
            </w:r>
          </w:p>
        </w:tc>
        <w:tc>
          <w:tcPr>
            <w:tcW w:w="1447" w:type="dxa"/>
            <w:tcBorders>
              <w:top w:val="nil"/>
              <w:left w:val="nil"/>
              <w:bottom w:val="nil"/>
              <w:right w:val="nil"/>
            </w:tcBorders>
            <w:shd w:val="clear" w:color="auto" w:fill="auto"/>
            <w:noWrap/>
            <w:vAlign w:val="bottom"/>
            <w:hideMark/>
          </w:tcPr>
          <w:p w14:paraId="4BE96AB9"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1976</w:t>
            </w:r>
          </w:p>
        </w:tc>
        <w:tc>
          <w:tcPr>
            <w:tcW w:w="1448" w:type="dxa"/>
            <w:tcBorders>
              <w:top w:val="nil"/>
              <w:left w:val="nil"/>
              <w:bottom w:val="nil"/>
              <w:right w:val="single" w:sz="4" w:space="0" w:color="auto"/>
            </w:tcBorders>
            <w:shd w:val="clear" w:color="auto" w:fill="auto"/>
            <w:noWrap/>
            <w:vAlign w:val="bottom"/>
            <w:hideMark/>
          </w:tcPr>
          <w:p w14:paraId="54B02082"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5.3%</w:t>
            </w:r>
          </w:p>
        </w:tc>
      </w:tr>
      <w:tr w:rsidR="00FD76BD" w:rsidRPr="00467895" w14:paraId="3DA682B3"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2BA83892"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6F8EF3DB"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GCSE of equivalent</w:t>
            </w:r>
          </w:p>
        </w:tc>
        <w:tc>
          <w:tcPr>
            <w:tcW w:w="1447" w:type="dxa"/>
            <w:tcBorders>
              <w:top w:val="nil"/>
              <w:left w:val="single" w:sz="4" w:space="0" w:color="auto"/>
              <w:bottom w:val="nil"/>
              <w:right w:val="nil"/>
            </w:tcBorders>
            <w:shd w:val="clear" w:color="auto" w:fill="auto"/>
            <w:noWrap/>
            <w:vAlign w:val="bottom"/>
            <w:hideMark/>
          </w:tcPr>
          <w:p w14:paraId="5A2E08F3"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659</w:t>
            </w:r>
          </w:p>
        </w:tc>
        <w:tc>
          <w:tcPr>
            <w:tcW w:w="1447" w:type="dxa"/>
            <w:tcBorders>
              <w:top w:val="nil"/>
              <w:left w:val="nil"/>
              <w:bottom w:val="nil"/>
              <w:right w:val="nil"/>
            </w:tcBorders>
            <w:shd w:val="clear" w:color="auto" w:fill="auto"/>
            <w:noWrap/>
            <w:vAlign w:val="bottom"/>
            <w:hideMark/>
          </w:tcPr>
          <w:p w14:paraId="331A3DCD"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24.3%</w:t>
            </w:r>
          </w:p>
        </w:tc>
        <w:tc>
          <w:tcPr>
            <w:tcW w:w="1448" w:type="dxa"/>
            <w:tcBorders>
              <w:top w:val="nil"/>
              <w:left w:val="single" w:sz="4" w:space="0" w:color="auto"/>
              <w:bottom w:val="nil"/>
              <w:right w:val="nil"/>
            </w:tcBorders>
            <w:shd w:val="clear" w:color="auto" w:fill="auto"/>
            <w:noWrap/>
            <w:vAlign w:val="bottom"/>
            <w:hideMark/>
          </w:tcPr>
          <w:p w14:paraId="10C1AE0D"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1597</w:t>
            </w:r>
          </w:p>
        </w:tc>
        <w:tc>
          <w:tcPr>
            <w:tcW w:w="1447" w:type="dxa"/>
            <w:tcBorders>
              <w:top w:val="nil"/>
              <w:left w:val="nil"/>
              <w:bottom w:val="nil"/>
              <w:right w:val="single" w:sz="4" w:space="0" w:color="auto"/>
            </w:tcBorders>
            <w:shd w:val="clear" w:color="auto" w:fill="auto"/>
            <w:noWrap/>
            <w:vAlign w:val="bottom"/>
            <w:hideMark/>
          </w:tcPr>
          <w:p w14:paraId="713EF49F"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26.0%</w:t>
            </w:r>
          </w:p>
        </w:tc>
        <w:tc>
          <w:tcPr>
            <w:tcW w:w="1447" w:type="dxa"/>
            <w:tcBorders>
              <w:top w:val="nil"/>
              <w:left w:val="nil"/>
              <w:bottom w:val="nil"/>
              <w:right w:val="nil"/>
            </w:tcBorders>
            <w:shd w:val="clear" w:color="auto" w:fill="auto"/>
            <w:noWrap/>
            <w:vAlign w:val="bottom"/>
            <w:hideMark/>
          </w:tcPr>
          <w:p w14:paraId="173B780B"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5581</w:t>
            </w:r>
          </w:p>
        </w:tc>
        <w:tc>
          <w:tcPr>
            <w:tcW w:w="1448" w:type="dxa"/>
            <w:tcBorders>
              <w:top w:val="nil"/>
              <w:left w:val="nil"/>
              <w:bottom w:val="nil"/>
              <w:right w:val="single" w:sz="4" w:space="0" w:color="auto"/>
            </w:tcBorders>
            <w:shd w:val="clear" w:color="auto" w:fill="auto"/>
            <w:noWrap/>
            <w:vAlign w:val="bottom"/>
            <w:hideMark/>
          </w:tcPr>
          <w:p w14:paraId="5F78F04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23.1%</w:t>
            </w:r>
          </w:p>
        </w:tc>
      </w:tr>
      <w:tr w:rsidR="00FD76BD" w:rsidRPr="00467895" w14:paraId="3E19803D"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37F0DBA1"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2E2677B8"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A level</w:t>
            </w:r>
          </w:p>
        </w:tc>
        <w:tc>
          <w:tcPr>
            <w:tcW w:w="1447" w:type="dxa"/>
            <w:tcBorders>
              <w:top w:val="nil"/>
              <w:left w:val="single" w:sz="4" w:space="0" w:color="auto"/>
              <w:bottom w:val="nil"/>
              <w:right w:val="nil"/>
            </w:tcBorders>
            <w:shd w:val="clear" w:color="auto" w:fill="auto"/>
            <w:noWrap/>
            <w:vAlign w:val="bottom"/>
            <w:hideMark/>
          </w:tcPr>
          <w:p w14:paraId="14CBAB9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991</w:t>
            </w:r>
          </w:p>
        </w:tc>
        <w:tc>
          <w:tcPr>
            <w:tcW w:w="1447" w:type="dxa"/>
            <w:tcBorders>
              <w:top w:val="nil"/>
              <w:left w:val="nil"/>
              <w:bottom w:val="nil"/>
              <w:right w:val="nil"/>
            </w:tcBorders>
            <w:shd w:val="clear" w:color="auto" w:fill="auto"/>
            <w:noWrap/>
            <w:vAlign w:val="bottom"/>
            <w:hideMark/>
          </w:tcPr>
          <w:p w14:paraId="64822F8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39.3%</w:t>
            </w:r>
          </w:p>
        </w:tc>
        <w:tc>
          <w:tcPr>
            <w:tcW w:w="1448" w:type="dxa"/>
            <w:tcBorders>
              <w:top w:val="nil"/>
              <w:left w:val="single" w:sz="4" w:space="0" w:color="auto"/>
              <w:bottom w:val="nil"/>
              <w:right w:val="nil"/>
            </w:tcBorders>
            <w:shd w:val="clear" w:color="auto" w:fill="auto"/>
            <w:noWrap/>
            <w:vAlign w:val="bottom"/>
            <w:hideMark/>
          </w:tcPr>
          <w:p w14:paraId="7165EA97"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972</w:t>
            </w:r>
          </w:p>
        </w:tc>
        <w:tc>
          <w:tcPr>
            <w:tcW w:w="1447" w:type="dxa"/>
            <w:tcBorders>
              <w:top w:val="nil"/>
              <w:left w:val="nil"/>
              <w:bottom w:val="nil"/>
              <w:right w:val="single" w:sz="4" w:space="0" w:color="auto"/>
            </w:tcBorders>
            <w:shd w:val="clear" w:color="auto" w:fill="auto"/>
            <w:noWrap/>
            <w:vAlign w:val="bottom"/>
            <w:hideMark/>
          </w:tcPr>
          <w:p w14:paraId="6DE5848F"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20.6%</w:t>
            </w:r>
          </w:p>
        </w:tc>
        <w:tc>
          <w:tcPr>
            <w:tcW w:w="1447" w:type="dxa"/>
            <w:tcBorders>
              <w:top w:val="nil"/>
              <w:left w:val="nil"/>
              <w:bottom w:val="nil"/>
              <w:right w:val="nil"/>
            </w:tcBorders>
            <w:shd w:val="clear" w:color="auto" w:fill="auto"/>
            <w:noWrap/>
            <w:vAlign w:val="bottom"/>
            <w:hideMark/>
          </w:tcPr>
          <w:p w14:paraId="191B5CC2"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4653</w:t>
            </w:r>
          </w:p>
        </w:tc>
        <w:tc>
          <w:tcPr>
            <w:tcW w:w="1448" w:type="dxa"/>
            <w:tcBorders>
              <w:top w:val="nil"/>
              <w:left w:val="nil"/>
              <w:bottom w:val="nil"/>
              <w:right w:val="single" w:sz="4" w:space="0" w:color="auto"/>
            </w:tcBorders>
            <w:shd w:val="clear" w:color="auto" w:fill="auto"/>
            <w:noWrap/>
            <w:vAlign w:val="bottom"/>
            <w:hideMark/>
          </w:tcPr>
          <w:p w14:paraId="49C24D3A"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24.9%</w:t>
            </w:r>
          </w:p>
        </w:tc>
      </w:tr>
      <w:tr w:rsidR="00FD76BD" w:rsidRPr="00467895" w14:paraId="51D8A0E3" w14:textId="77777777" w:rsidTr="00467895">
        <w:trPr>
          <w:trHeight w:val="221"/>
        </w:trPr>
        <w:tc>
          <w:tcPr>
            <w:tcW w:w="557" w:type="dxa"/>
            <w:tcBorders>
              <w:top w:val="nil"/>
              <w:left w:val="single" w:sz="4" w:space="0" w:color="auto"/>
              <w:bottom w:val="single" w:sz="4" w:space="0" w:color="auto"/>
              <w:right w:val="nil"/>
            </w:tcBorders>
            <w:shd w:val="clear" w:color="auto" w:fill="auto"/>
            <w:noWrap/>
            <w:vAlign w:val="bottom"/>
            <w:hideMark/>
          </w:tcPr>
          <w:p w14:paraId="735979A7"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single" w:sz="4" w:space="0" w:color="auto"/>
              <w:right w:val="nil"/>
            </w:tcBorders>
            <w:shd w:val="clear" w:color="auto" w:fill="auto"/>
            <w:noWrap/>
            <w:vAlign w:val="bottom"/>
            <w:hideMark/>
          </w:tcPr>
          <w:p w14:paraId="4A9CDF2C"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Degree or higher</w:t>
            </w:r>
          </w:p>
        </w:tc>
        <w:tc>
          <w:tcPr>
            <w:tcW w:w="1447" w:type="dxa"/>
            <w:tcBorders>
              <w:top w:val="nil"/>
              <w:left w:val="single" w:sz="4" w:space="0" w:color="auto"/>
              <w:bottom w:val="single" w:sz="4" w:space="0" w:color="auto"/>
              <w:right w:val="nil"/>
            </w:tcBorders>
            <w:shd w:val="clear" w:color="auto" w:fill="auto"/>
            <w:noWrap/>
            <w:vAlign w:val="bottom"/>
            <w:hideMark/>
          </w:tcPr>
          <w:p w14:paraId="7F2A7D36"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1133</w:t>
            </w:r>
          </w:p>
        </w:tc>
        <w:tc>
          <w:tcPr>
            <w:tcW w:w="1447" w:type="dxa"/>
            <w:tcBorders>
              <w:top w:val="nil"/>
              <w:left w:val="nil"/>
              <w:bottom w:val="single" w:sz="4" w:space="0" w:color="auto"/>
              <w:right w:val="nil"/>
            </w:tcBorders>
            <w:shd w:val="clear" w:color="auto" w:fill="auto"/>
            <w:noWrap/>
            <w:vAlign w:val="bottom"/>
            <w:hideMark/>
          </w:tcPr>
          <w:p w14:paraId="1C1285D8"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32.0%</w:t>
            </w:r>
          </w:p>
        </w:tc>
        <w:tc>
          <w:tcPr>
            <w:tcW w:w="1448" w:type="dxa"/>
            <w:tcBorders>
              <w:top w:val="nil"/>
              <w:left w:val="single" w:sz="4" w:space="0" w:color="auto"/>
              <w:bottom w:val="single" w:sz="4" w:space="0" w:color="auto"/>
              <w:right w:val="nil"/>
            </w:tcBorders>
            <w:shd w:val="clear" w:color="auto" w:fill="auto"/>
            <w:noWrap/>
            <w:vAlign w:val="bottom"/>
            <w:hideMark/>
          </w:tcPr>
          <w:p w14:paraId="0DA56173"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2097</w:t>
            </w:r>
          </w:p>
        </w:tc>
        <w:tc>
          <w:tcPr>
            <w:tcW w:w="1447" w:type="dxa"/>
            <w:tcBorders>
              <w:top w:val="nil"/>
              <w:left w:val="nil"/>
              <w:bottom w:val="single" w:sz="4" w:space="0" w:color="auto"/>
              <w:right w:val="single" w:sz="4" w:space="0" w:color="auto"/>
            </w:tcBorders>
            <w:shd w:val="clear" w:color="auto" w:fill="auto"/>
            <w:noWrap/>
            <w:vAlign w:val="bottom"/>
            <w:hideMark/>
          </w:tcPr>
          <w:p w14:paraId="1C98322D"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38.5%</w:t>
            </w:r>
          </w:p>
        </w:tc>
        <w:tc>
          <w:tcPr>
            <w:tcW w:w="1447" w:type="dxa"/>
            <w:tcBorders>
              <w:top w:val="nil"/>
              <w:left w:val="nil"/>
              <w:bottom w:val="nil"/>
              <w:right w:val="nil"/>
            </w:tcBorders>
            <w:shd w:val="clear" w:color="auto" w:fill="auto"/>
            <w:noWrap/>
            <w:vAlign w:val="bottom"/>
            <w:hideMark/>
          </w:tcPr>
          <w:p w14:paraId="15C9A112"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10550</w:t>
            </w:r>
          </w:p>
        </w:tc>
        <w:tc>
          <w:tcPr>
            <w:tcW w:w="1448" w:type="dxa"/>
            <w:tcBorders>
              <w:top w:val="nil"/>
              <w:left w:val="nil"/>
              <w:bottom w:val="nil"/>
              <w:right w:val="single" w:sz="4" w:space="0" w:color="auto"/>
            </w:tcBorders>
            <w:shd w:val="clear" w:color="auto" w:fill="auto"/>
            <w:noWrap/>
            <w:vAlign w:val="bottom"/>
            <w:hideMark/>
          </w:tcPr>
          <w:p w14:paraId="7334F64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46.7%</w:t>
            </w:r>
          </w:p>
        </w:tc>
      </w:tr>
      <w:tr w:rsidR="00A50066" w:rsidRPr="00467895" w14:paraId="196C069F" w14:textId="77777777" w:rsidTr="00467895">
        <w:trPr>
          <w:trHeight w:val="221"/>
        </w:trPr>
        <w:tc>
          <w:tcPr>
            <w:tcW w:w="4554" w:type="dxa"/>
            <w:gridSpan w:val="2"/>
            <w:tcBorders>
              <w:top w:val="single" w:sz="4" w:space="0" w:color="auto"/>
              <w:left w:val="single" w:sz="4" w:space="0" w:color="auto"/>
              <w:bottom w:val="nil"/>
              <w:right w:val="nil"/>
            </w:tcBorders>
            <w:shd w:val="clear" w:color="auto" w:fill="auto"/>
            <w:noWrap/>
            <w:vAlign w:val="bottom"/>
            <w:hideMark/>
          </w:tcPr>
          <w:p w14:paraId="7EA10CFC" w14:textId="77777777" w:rsidR="00214A98" w:rsidRPr="00467895" w:rsidRDefault="00214A98" w:rsidP="001B06DF">
            <w:pPr>
              <w:spacing w:before="0" w:after="0"/>
              <w:rPr>
                <w:rFonts w:eastAsia="Times New Roman" w:cs="Times New Roman"/>
                <w:b/>
                <w:bCs/>
                <w:color w:val="000000"/>
                <w:sz w:val="18"/>
                <w:szCs w:val="18"/>
                <w:lang w:eastAsia="en-GB"/>
              </w:rPr>
            </w:pPr>
            <w:r w:rsidRPr="00467895">
              <w:rPr>
                <w:rFonts w:eastAsia="Times New Roman" w:cs="Times New Roman"/>
                <w:b/>
                <w:bCs/>
                <w:color w:val="000000"/>
                <w:sz w:val="18"/>
                <w:szCs w:val="18"/>
                <w:lang w:eastAsia="en-GB"/>
              </w:rPr>
              <w:t>Employment status</w:t>
            </w:r>
          </w:p>
        </w:tc>
        <w:tc>
          <w:tcPr>
            <w:tcW w:w="1447" w:type="dxa"/>
            <w:tcBorders>
              <w:top w:val="nil"/>
              <w:left w:val="single" w:sz="4" w:space="0" w:color="auto"/>
              <w:bottom w:val="nil"/>
              <w:right w:val="nil"/>
            </w:tcBorders>
            <w:shd w:val="clear" w:color="auto" w:fill="auto"/>
            <w:noWrap/>
            <w:vAlign w:val="bottom"/>
            <w:hideMark/>
          </w:tcPr>
          <w:p w14:paraId="037C2EAA"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nil"/>
              <w:left w:val="nil"/>
              <w:bottom w:val="nil"/>
              <w:right w:val="nil"/>
            </w:tcBorders>
            <w:shd w:val="clear" w:color="auto" w:fill="auto"/>
            <w:noWrap/>
            <w:vAlign w:val="bottom"/>
            <w:hideMark/>
          </w:tcPr>
          <w:p w14:paraId="4E16E0D6"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8" w:type="dxa"/>
            <w:tcBorders>
              <w:top w:val="nil"/>
              <w:left w:val="single" w:sz="4" w:space="0" w:color="auto"/>
              <w:bottom w:val="nil"/>
              <w:right w:val="nil"/>
            </w:tcBorders>
            <w:shd w:val="clear" w:color="auto" w:fill="auto"/>
            <w:noWrap/>
            <w:vAlign w:val="bottom"/>
            <w:hideMark/>
          </w:tcPr>
          <w:p w14:paraId="5EBC4A9B"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nil"/>
              <w:left w:val="nil"/>
              <w:bottom w:val="nil"/>
              <w:right w:val="single" w:sz="4" w:space="0" w:color="auto"/>
            </w:tcBorders>
            <w:shd w:val="clear" w:color="auto" w:fill="auto"/>
            <w:noWrap/>
            <w:vAlign w:val="bottom"/>
            <w:hideMark/>
          </w:tcPr>
          <w:p w14:paraId="7887067B"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single" w:sz="4" w:space="0" w:color="auto"/>
              <w:left w:val="nil"/>
              <w:bottom w:val="nil"/>
              <w:right w:val="nil"/>
            </w:tcBorders>
            <w:shd w:val="clear" w:color="auto" w:fill="auto"/>
            <w:noWrap/>
            <w:vAlign w:val="bottom"/>
            <w:hideMark/>
          </w:tcPr>
          <w:p w14:paraId="6F108548"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8" w:type="dxa"/>
            <w:tcBorders>
              <w:top w:val="single" w:sz="4" w:space="0" w:color="auto"/>
              <w:left w:val="nil"/>
              <w:bottom w:val="nil"/>
              <w:right w:val="single" w:sz="4" w:space="0" w:color="auto"/>
            </w:tcBorders>
            <w:shd w:val="clear" w:color="auto" w:fill="auto"/>
            <w:noWrap/>
            <w:vAlign w:val="bottom"/>
            <w:hideMark/>
          </w:tcPr>
          <w:p w14:paraId="67D60ADF"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r>
      <w:tr w:rsidR="00FD76BD" w:rsidRPr="00467895" w14:paraId="2C60C71A"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6046D408"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184121AF"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In employment (ft/pt)</w:t>
            </w:r>
          </w:p>
        </w:tc>
        <w:tc>
          <w:tcPr>
            <w:tcW w:w="1447" w:type="dxa"/>
            <w:tcBorders>
              <w:top w:val="nil"/>
              <w:left w:val="single" w:sz="4" w:space="0" w:color="auto"/>
              <w:bottom w:val="nil"/>
              <w:right w:val="nil"/>
            </w:tcBorders>
            <w:shd w:val="clear" w:color="auto" w:fill="auto"/>
            <w:noWrap/>
            <w:vAlign w:val="bottom"/>
            <w:hideMark/>
          </w:tcPr>
          <w:p w14:paraId="15B5E3D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2567</w:t>
            </w:r>
          </w:p>
        </w:tc>
        <w:tc>
          <w:tcPr>
            <w:tcW w:w="1447" w:type="dxa"/>
            <w:tcBorders>
              <w:top w:val="nil"/>
              <w:left w:val="nil"/>
              <w:bottom w:val="nil"/>
              <w:right w:val="nil"/>
            </w:tcBorders>
            <w:shd w:val="clear" w:color="auto" w:fill="auto"/>
            <w:noWrap/>
            <w:vAlign w:val="bottom"/>
            <w:hideMark/>
          </w:tcPr>
          <w:p w14:paraId="7DF23120"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90.7%</w:t>
            </w:r>
          </w:p>
        </w:tc>
        <w:tc>
          <w:tcPr>
            <w:tcW w:w="1448" w:type="dxa"/>
            <w:tcBorders>
              <w:top w:val="nil"/>
              <w:left w:val="single" w:sz="4" w:space="0" w:color="auto"/>
              <w:bottom w:val="nil"/>
              <w:right w:val="nil"/>
            </w:tcBorders>
            <w:shd w:val="clear" w:color="auto" w:fill="auto"/>
            <w:noWrap/>
            <w:vAlign w:val="bottom"/>
            <w:hideMark/>
          </w:tcPr>
          <w:p w14:paraId="4F539528"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3588</w:t>
            </w:r>
          </w:p>
        </w:tc>
        <w:tc>
          <w:tcPr>
            <w:tcW w:w="1447" w:type="dxa"/>
            <w:tcBorders>
              <w:top w:val="nil"/>
              <w:left w:val="nil"/>
              <w:bottom w:val="nil"/>
              <w:right w:val="single" w:sz="4" w:space="0" w:color="auto"/>
            </w:tcBorders>
            <w:shd w:val="clear" w:color="auto" w:fill="auto"/>
            <w:noWrap/>
            <w:vAlign w:val="bottom"/>
            <w:hideMark/>
          </w:tcPr>
          <w:p w14:paraId="548DF52C"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76.2%</w:t>
            </w:r>
          </w:p>
        </w:tc>
        <w:tc>
          <w:tcPr>
            <w:tcW w:w="1447" w:type="dxa"/>
            <w:tcBorders>
              <w:top w:val="nil"/>
              <w:left w:val="nil"/>
              <w:bottom w:val="nil"/>
              <w:right w:val="nil"/>
            </w:tcBorders>
            <w:shd w:val="clear" w:color="auto" w:fill="auto"/>
            <w:noWrap/>
            <w:vAlign w:val="bottom"/>
            <w:hideMark/>
          </w:tcPr>
          <w:p w14:paraId="65038A6D"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15367</w:t>
            </w:r>
          </w:p>
        </w:tc>
        <w:tc>
          <w:tcPr>
            <w:tcW w:w="1448" w:type="dxa"/>
            <w:tcBorders>
              <w:top w:val="nil"/>
              <w:left w:val="nil"/>
              <w:bottom w:val="nil"/>
              <w:right w:val="single" w:sz="4" w:space="0" w:color="auto"/>
            </w:tcBorders>
            <w:shd w:val="clear" w:color="auto" w:fill="auto"/>
            <w:noWrap/>
            <w:vAlign w:val="bottom"/>
            <w:hideMark/>
          </w:tcPr>
          <w:p w14:paraId="53E25196"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78.5%</w:t>
            </w:r>
          </w:p>
        </w:tc>
      </w:tr>
      <w:tr w:rsidR="00FD76BD" w:rsidRPr="00467895" w14:paraId="50AAB3C9"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17C30198"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2F20F332"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Unemployed (looking for work)</w:t>
            </w:r>
          </w:p>
        </w:tc>
        <w:tc>
          <w:tcPr>
            <w:tcW w:w="1447" w:type="dxa"/>
            <w:tcBorders>
              <w:top w:val="nil"/>
              <w:left w:val="single" w:sz="4" w:space="0" w:color="auto"/>
              <w:bottom w:val="nil"/>
              <w:right w:val="nil"/>
            </w:tcBorders>
            <w:shd w:val="clear" w:color="auto" w:fill="auto"/>
            <w:noWrap/>
            <w:vAlign w:val="bottom"/>
            <w:hideMark/>
          </w:tcPr>
          <w:p w14:paraId="1E1E89E0"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85</w:t>
            </w:r>
          </w:p>
        </w:tc>
        <w:tc>
          <w:tcPr>
            <w:tcW w:w="1447" w:type="dxa"/>
            <w:tcBorders>
              <w:top w:val="nil"/>
              <w:left w:val="nil"/>
              <w:bottom w:val="nil"/>
              <w:right w:val="nil"/>
            </w:tcBorders>
            <w:shd w:val="clear" w:color="auto" w:fill="auto"/>
            <w:noWrap/>
            <w:vAlign w:val="bottom"/>
            <w:hideMark/>
          </w:tcPr>
          <w:p w14:paraId="149C1F82"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3.0%</w:t>
            </w:r>
          </w:p>
        </w:tc>
        <w:tc>
          <w:tcPr>
            <w:tcW w:w="1448" w:type="dxa"/>
            <w:tcBorders>
              <w:top w:val="nil"/>
              <w:left w:val="single" w:sz="4" w:space="0" w:color="auto"/>
              <w:bottom w:val="nil"/>
              <w:right w:val="nil"/>
            </w:tcBorders>
            <w:shd w:val="clear" w:color="auto" w:fill="auto"/>
            <w:noWrap/>
            <w:vAlign w:val="bottom"/>
            <w:hideMark/>
          </w:tcPr>
          <w:p w14:paraId="44717C7E"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177</w:t>
            </w:r>
          </w:p>
        </w:tc>
        <w:tc>
          <w:tcPr>
            <w:tcW w:w="1447" w:type="dxa"/>
            <w:tcBorders>
              <w:top w:val="nil"/>
              <w:left w:val="nil"/>
              <w:bottom w:val="nil"/>
              <w:right w:val="single" w:sz="4" w:space="0" w:color="auto"/>
            </w:tcBorders>
            <w:shd w:val="clear" w:color="auto" w:fill="auto"/>
            <w:noWrap/>
            <w:vAlign w:val="bottom"/>
            <w:hideMark/>
          </w:tcPr>
          <w:p w14:paraId="50C1C570"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4.1%</w:t>
            </w:r>
          </w:p>
        </w:tc>
        <w:tc>
          <w:tcPr>
            <w:tcW w:w="1447" w:type="dxa"/>
            <w:tcBorders>
              <w:top w:val="nil"/>
              <w:left w:val="nil"/>
              <w:bottom w:val="nil"/>
              <w:right w:val="nil"/>
            </w:tcBorders>
            <w:shd w:val="clear" w:color="auto" w:fill="auto"/>
            <w:noWrap/>
            <w:vAlign w:val="bottom"/>
            <w:hideMark/>
          </w:tcPr>
          <w:p w14:paraId="34C0477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1036</w:t>
            </w:r>
          </w:p>
        </w:tc>
        <w:tc>
          <w:tcPr>
            <w:tcW w:w="1448" w:type="dxa"/>
            <w:tcBorders>
              <w:top w:val="nil"/>
              <w:left w:val="nil"/>
              <w:bottom w:val="nil"/>
              <w:right w:val="single" w:sz="4" w:space="0" w:color="auto"/>
            </w:tcBorders>
            <w:shd w:val="clear" w:color="auto" w:fill="auto"/>
            <w:noWrap/>
            <w:vAlign w:val="bottom"/>
            <w:hideMark/>
          </w:tcPr>
          <w:p w14:paraId="4F823150"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6.4%</w:t>
            </w:r>
          </w:p>
        </w:tc>
      </w:tr>
      <w:tr w:rsidR="00FD76BD" w:rsidRPr="00467895" w14:paraId="7BF3D941"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3FC00B2C"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45797911"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Long term ill or disabled</w:t>
            </w:r>
          </w:p>
        </w:tc>
        <w:tc>
          <w:tcPr>
            <w:tcW w:w="1447" w:type="dxa"/>
            <w:tcBorders>
              <w:top w:val="nil"/>
              <w:left w:val="single" w:sz="4" w:space="0" w:color="auto"/>
              <w:bottom w:val="nil"/>
              <w:right w:val="nil"/>
            </w:tcBorders>
            <w:shd w:val="clear" w:color="auto" w:fill="auto"/>
            <w:noWrap/>
            <w:vAlign w:val="bottom"/>
            <w:hideMark/>
          </w:tcPr>
          <w:p w14:paraId="60265219"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67</w:t>
            </w:r>
          </w:p>
        </w:tc>
        <w:tc>
          <w:tcPr>
            <w:tcW w:w="1447" w:type="dxa"/>
            <w:tcBorders>
              <w:top w:val="nil"/>
              <w:left w:val="nil"/>
              <w:bottom w:val="nil"/>
              <w:right w:val="nil"/>
            </w:tcBorders>
            <w:shd w:val="clear" w:color="auto" w:fill="auto"/>
            <w:noWrap/>
            <w:vAlign w:val="bottom"/>
            <w:hideMark/>
          </w:tcPr>
          <w:p w14:paraId="39286984"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2.2%</w:t>
            </w:r>
          </w:p>
        </w:tc>
        <w:tc>
          <w:tcPr>
            <w:tcW w:w="1448" w:type="dxa"/>
            <w:tcBorders>
              <w:top w:val="nil"/>
              <w:left w:val="single" w:sz="4" w:space="0" w:color="auto"/>
              <w:bottom w:val="nil"/>
              <w:right w:val="nil"/>
            </w:tcBorders>
            <w:shd w:val="clear" w:color="auto" w:fill="auto"/>
            <w:noWrap/>
            <w:vAlign w:val="bottom"/>
            <w:hideMark/>
          </w:tcPr>
          <w:p w14:paraId="5E64BE06"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341</w:t>
            </w:r>
          </w:p>
        </w:tc>
        <w:tc>
          <w:tcPr>
            <w:tcW w:w="1447" w:type="dxa"/>
            <w:tcBorders>
              <w:top w:val="nil"/>
              <w:left w:val="nil"/>
              <w:bottom w:val="nil"/>
              <w:right w:val="single" w:sz="4" w:space="0" w:color="auto"/>
            </w:tcBorders>
            <w:shd w:val="clear" w:color="auto" w:fill="auto"/>
            <w:noWrap/>
            <w:vAlign w:val="bottom"/>
            <w:hideMark/>
          </w:tcPr>
          <w:p w14:paraId="59DADA8C"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6.4%</w:t>
            </w:r>
          </w:p>
        </w:tc>
        <w:tc>
          <w:tcPr>
            <w:tcW w:w="1447" w:type="dxa"/>
            <w:tcBorders>
              <w:top w:val="nil"/>
              <w:left w:val="nil"/>
              <w:bottom w:val="nil"/>
              <w:right w:val="nil"/>
            </w:tcBorders>
            <w:shd w:val="clear" w:color="auto" w:fill="auto"/>
            <w:noWrap/>
            <w:vAlign w:val="bottom"/>
            <w:hideMark/>
          </w:tcPr>
          <w:p w14:paraId="3BFF1C0E"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760</w:t>
            </w:r>
          </w:p>
        </w:tc>
        <w:tc>
          <w:tcPr>
            <w:tcW w:w="1448" w:type="dxa"/>
            <w:tcBorders>
              <w:top w:val="nil"/>
              <w:left w:val="nil"/>
              <w:bottom w:val="nil"/>
              <w:right w:val="single" w:sz="4" w:space="0" w:color="auto"/>
            </w:tcBorders>
            <w:shd w:val="clear" w:color="auto" w:fill="auto"/>
            <w:noWrap/>
            <w:vAlign w:val="bottom"/>
            <w:hideMark/>
          </w:tcPr>
          <w:p w14:paraId="44E40DD7"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2.8%</w:t>
            </w:r>
          </w:p>
        </w:tc>
      </w:tr>
      <w:tr w:rsidR="00FD76BD" w:rsidRPr="00467895" w14:paraId="509B5891"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54E27EE2"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102A9014"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Retired</w:t>
            </w:r>
          </w:p>
        </w:tc>
        <w:tc>
          <w:tcPr>
            <w:tcW w:w="1447" w:type="dxa"/>
            <w:tcBorders>
              <w:top w:val="nil"/>
              <w:left w:val="single" w:sz="4" w:space="0" w:color="auto"/>
              <w:bottom w:val="nil"/>
              <w:right w:val="nil"/>
            </w:tcBorders>
            <w:shd w:val="clear" w:color="auto" w:fill="auto"/>
            <w:noWrap/>
            <w:vAlign w:val="bottom"/>
            <w:hideMark/>
          </w:tcPr>
          <w:p w14:paraId="4BE5F8ED"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172</w:t>
            </w:r>
          </w:p>
        </w:tc>
        <w:tc>
          <w:tcPr>
            <w:tcW w:w="1447" w:type="dxa"/>
            <w:tcBorders>
              <w:top w:val="nil"/>
              <w:left w:val="nil"/>
              <w:bottom w:val="nil"/>
              <w:right w:val="nil"/>
            </w:tcBorders>
            <w:shd w:val="clear" w:color="auto" w:fill="auto"/>
            <w:noWrap/>
            <w:vAlign w:val="bottom"/>
            <w:hideMark/>
          </w:tcPr>
          <w:p w14:paraId="508B75A3"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3.1%</w:t>
            </w:r>
          </w:p>
        </w:tc>
        <w:tc>
          <w:tcPr>
            <w:tcW w:w="1448" w:type="dxa"/>
            <w:tcBorders>
              <w:top w:val="nil"/>
              <w:left w:val="single" w:sz="4" w:space="0" w:color="auto"/>
              <w:bottom w:val="nil"/>
              <w:right w:val="nil"/>
            </w:tcBorders>
            <w:shd w:val="clear" w:color="auto" w:fill="auto"/>
            <w:noWrap/>
            <w:vAlign w:val="bottom"/>
            <w:hideMark/>
          </w:tcPr>
          <w:p w14:paraId="112CCA61"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1192</w:t>
            </w:r>
          </w:p>
        </w:tc>
        <w:tc>
          <w:tcPr>
            <w:tcW w:w="1447" w:type="dxa"/>
            <w:tcBorders>
              <w:top w:val="nil"/>
              <w:left w:val="nil"/>
              <w:bottom w:val="nil"/>
              <w:right w:val="single" w:sz="4" w:space="0" w:color="auto"/>
            </w:tcBorders>
            <w:shd w:val="clear" w:color="auto" w:fill="auto"/>
            <w:noWrap/>
            <w:vAlign w:val="bottom"/>
            <w:hideMark/>
          </w:tcPr>
          <w:p w14:paraId="7E5CAEBF"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6.8%</w:t>
            </w:r>
          </w:p>
        </w:tc>
        <w:tc>
          <w:tcPr>
            <w:tcW w:w="1447" w:type="dxa"/>
            <w:tcBorders>
              <w:top w:val="nil"/>
              <w:left w:val="nil"/>
              <w:bottom w:val="nil"/>
              <w:right w:val="nil"/>
            </w:tcBorders>
            <w:shd w:val="clear" w:color="auto" w:fill="auto"/>
            <w:noWrap/>
            <w:vAlign w:val="bottom"/>
            <w:hideMark/>
          </w:tcPr>
          <w:p w14:paraId="44A8C87A"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3707</w:t>
            </w:r>
          </w:p>
        </w:tc>
        <w:tc>
          <w:tcPr>
            <w:tcW w:w="1448" w:type="dxa"/>
            <w:tcBorders>
              <w:top w:val="nil"/>
              <w:left w:val="nil"/>
              <w:bottom w:val="nil"/>
              <w:right w:val="single" w:sz="4" w:space="0" w:color="auto"/>
            </w:tcBorders>
            <w:shd w:val="clear" w:color="auto" w:fill="auto"/>
            <w:noWrap/>
            <w:vAlign w:val="bottom"/>
            <w:hideMark/>
          </w:tcPr>
          <w:p w14:paraId="1A1FCA29"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7.5%</w:t>
            </w:r>
          </w:p>
        </w:tc>
      </w:tr>
      <w:tr w:rsidR="00FD76BD" w:rsidRPr="00467895" w14:paraId="252EAF43" w14:textId="77777777" w:rsidTr="001B06DF">
        <w:trPr>
          <w:trHeight w:val="221"/>
        </w:trPr>
        <w:tc>
          <w:tcPr>
            <w:tcW w:w="557" w:type="dxa"/>
            <w:tcBorders>
              <w:top w:val="nil"/>
              <w:left w:val="single" w:sz="4" w:space="0" w:color="auto"/>
              <w:bottom w:val="single" w:sz="4" w:space="0" w:color="auto"/>
              <w:right w:val="nil"/>
            </w:tcBorders>
            <w:shd w:val="clear" w:color="auto" w:fill="auto"/>
            <w:noWrap/>
            <w:vAlign w:val="bottom"/>
            <w:hideMark/>
          </w:tcPr>
          <w:p w14:paraId="72A18C10"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single" w:sz="4" w:space="0" w:color="auto"/>
              <w:right w:val="nil"/>
            </w:tcBorders>
            <w:shd w:val="clear" w:color="auto" w:fill="auto"/>
            <w:noWrap/>
            <w:vAlign w:val="bottom"/>
            <w:hideMark/>
          </w:tcPr>
          <w:p w14:paraId="3A873667"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Economically inactive</w:t>
            </w:r>
          </w:p>
        </w:tc>
        <w:tc>
          <w:tcPr>
            <w:tcW w:w="1447" w:type="dxa"/>
            <w:tcBorders>
              <w:top w:val="nil"/>
              <w:left w:val="single" w:sz="4" w:space="0" w:color="auto"/>
              <w:bottom w:val="single" w:sz="4" w:space="0" w:color="auto"/>
              <w:right w:val="nil"/>
            </w:tcBorders>
            <w:shd w:val="clear" w:color="auto" w:fill="auto"/>
            <w:noWrap/>
            <w:vAlign w:val="bottom"/>
            <w:hideMark/>
          </w:tcPr>
          <w:p w14:paraId="703ED92B"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26</w:t>
            </w:r>
          </w:p>
        </w:tc>
        <w:tc>
          <w:tcPr>
            <w:tcW w:w="1447" w:type="dxa"/>
            <w:tcBorders>
              <w:top w:val="nil"/>
              <w:left w:val="nil"/>
              <w:bottom w:val="single" w:sz="4" w:space="0" w:color="auto"/>
              <w:right w:val="nil"/>
            </w:tcBorders>
            <w:shd w:val="clear" w:color="auto" w:fill="auto"/>
            <w:noWrap/>
            <w:vAlign w:val="bottom"/>
            <w:hideMark/>
          </w:tcPr>
          <w:p w14:paraId="361E38F6"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1.0%</w:t>
            </w:r>
          </w:p>
        </w:tc>
        <w:tc>
          <w:tcPr>
            <w:tcW w:w="1448" w:type="dxa"/>
            <w:tcBorders>
              <w:top w:val="nil"/>
              <w:left w:val="single" w:sz="4" w:space="0" w:color="auto"/>
              <w:bottom w:val="single" w:sz="4" w:space="0" w:color="auto"/>
              <w:right w:val="nil"/>
            </w:tcBorders>
            <w:shd w:val="clear" w:color="auto" w:fill="auto"/>
            <w:noWrap/>
            <w:vAlign w:val="bottom"/>
            <w:hideMark/>
          </w:tcPr>
          <w:p w14:paraId="407C1666"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573</w:t>
            </w:r>
          </w:p>
        </w:tc>
        <w:tc>
          <w:tcPr>
            <w:tcW w:w="1447" w:type="dxa"/>
            <w:tcBorders>
              <w:top w:val="nil"/>
              <w:left w:val="nil"/>
              <w:bottom w:val="single" w:sz="4" w:space="0" w:color="auto"/>
              <w:right w:val="single" w:sz="4" w:space="0" w:color="auto"/>
            </w:tcBorders>
            <w:shd w:val="clear" w:color="auto" w:fill="auto"/>
            <w:noWrap/>
            <w:vAlign w:val="bottom"/>
            <w:hideMark/>
          </w:tcPr>
          <w:p w14:paraId="73742982"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6.5%</w:t>
            </w:r>
          </w:p>
        </w:tc>
        <w:tc>
          <w:tcPr>
            <w:tcW w:w="1447" w:type="dxa"/>
            <w:tcBorders>
              <w:top w:val="nil"/>
              <w:left w:val="nil"/>
              <w:bottom w:val="single" w:sz="4" w:space="0" w:color="auto"/>
              <w:right w:val="nil"/>
            </w:tcBorders>
            <w:shd w:val="clear" w:color="auto" w:fill="auto"/>
            <w:noWrap/>
            <w:vAlign w:val="bottom"/>
            <w:hideMark/>
          </w:tcPr>
          <w:p w14:paraId="4A6953FE"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1890</w:t>
            </w:r>
          </w:p>
        </w:tc>
        <w:tc>
          <w:tcPr>
            <w:tcW w:w="1448" w:type="dxa"/>
            <w:tcBorders>
              <w:top w:val="nil"/>
              <w:left w:val="nil"/>
              <w:bottom w:val="single" w:sz="4" w:space="0" w:color="auto"/>
              <w:right w:val="single" w:sz="4" w:space="0" w:color="auto"/>
            </w:tcBorders>
            <w:shd w:val="clear" w:color="auto" w:fill="auto"/>
            <w:noWrap/>
            <w:vAlign w:val="bottom"/>
            <w:hideMark/>
          </w:tcPr>
          <w:p w14:paraId="45C8032D"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4.8%</w:t>
            </w:r>
          </w:p>
        </w:tc>
      </w:tr>
      <w:tr w:rsidR="00A50066" w:rsidRPr="00467895" w14:paraId="0444577D" w14:textId="77777777" w:rsidTr="001B06DF">
        <w:trPr>
          <w:trHeight w:val="221"/>
        </w:trPr>
        <w:tc>
          <w:tcPr>
            <w:tcW w:w="4554" w:type="dxa"/>
            <w:gridSpan w:val="2"/>
            <w:tcBorders>
              <w:top w:val="single" w:sz="4" w:space="0" w:color="auto"/>
              <w:left w:val="single" w:sz="4" w:space="0" w:color="auto"/>
              <w:bottom w:val="nil"/>
              <w:right w:val="nil"/>
            </w:tcBorders>
            <w:shd w:val="clear" w:color="auto" w:fill="auto"/>
            <w:noWrap/>
            <w:vAlign w:val="bottom"/>
            <w:hideMark/>
          </w:tcPr>
          <w:p w14:paraId="0B0675FC" w14:textId="77777777" w:rsidR="00214A98" w:rsidRPr="00467895" w:rsidRDefault="00214A98" w:rsidP="001B06DF">
            <w:pPr>
              <w:spacing w:before="0" w:after="0"/>
              <w:rPr>
                <w:rFonts w:eastAsia="Times New Roman" w:cs="Times New Roman"/>
                <w:b/>
                <w:bCs/>
                <w:color w:val="000000"/>
                <w:sz w:val="18"/>
                <w:szCs w:val="18"/>
                <w:lang w:eastAsia="en-GB"/>
              </w:rPr>
            </w:pPr>
            <w:r w:rsidRPr="00467895">
              <w:rPr>
                <w:rFonts w:eastAsia="Times New Roman" w:cs="Times New Roman"/>
                <w:b/>
                <w:bCs/>
                <w:color w:val="000000"/>
                <w:sz w:val="18"/>
                <w:szCs w:val="18"/>
                <w:lang w:eastAsia="en-GB"/>
              </w:rPr>
              <w:t>NSSEC grade (employed only)</w:t>
            </w:r>
          </w:p>
        </w:tc>
        <w:tc>
          <w:tcPr>
            <w:tcW w:w="1447" w:type="dxa"/>
            <w:tcBorders>
              <w:top w:val="single" w:sz="4" w:space="0" w:color="auto"/>
              <w:left w:val="single" w:sz="4" w:space="0" w:color="auto"/>
              <w:bottom w:val="nil"/>
              <w:right w:val="nil"/>
            </w:tcBorders>
            <w:shd w:val="clear" w:color="auto" w:fill="auto"/>
            <w:noWrap/>
            <w:vAlign w:val="bottom"/>
            <w:hideMark/>
          </w:tcPr>
          <w:p w14:paraId="11E8F37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single" w:sz="4" w:space="0" w:color="auto"/>
              <w:left w:val="nil"/>
              <w:bottom w:val="nil"/>
              <w:right w:val="nil"/>
            </w:tcBorders>
            <w:shd w:val="clear" w:color="auto" w:fill="auto"/>
            <w:noWrap/>
            <w:vAlign w:val="bottom"/>
            <w:hideMark/>
          </w:tcPr>
          <w:p w14:paraId="30D077BE"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8" w:type="dxa"/>
            <w:tcBorders>
              <w:top w:val="single" w:sz="4" w:space="0" w:color="auto"/>
              <w:left w:val="single" w:sz="4" w:space="0" w:color="auto"/>
              <w:bottom w:val="nil"/>
              <w:right w:val="nil"/>
            </w:tcBorders>
            <w:shd w:val="clear" w:color="auto" w:fill="auto"/>
            <w:noWrap/>
            <w:vAlign w:val="bottom"/>
            <w:hideMark/>
          </w:tcPr>
          <w:p w14:paraId="488E7C41"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single" w:sz="4" w:space="0" w:color="auto"/>
              <w:left w:val="nil"/>
              <w:bottom w:val="nil"/>
              <w:right w:val="single" w:sz="4" w:space="0" w:color="auto"/>
            </w:tcBorders>
            <w:shd w:val="clear" w:color="auto" w:fill="auto"/>
            <w:noWrap/>
            <w:vAlign w:val="bottom"/>
            <w:hideMark/>
          </w:tcPr>
          <w:p w14:paraId="1D41A75A"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7" w:type="dxa"/>
            <w:tcBorders>
              <w:top w:val="single" w:sz="4" w:space="0" w:color="auto"/>
              <w:left w:val="nil"/>
              <w:bottom w:val="nil"/>
              <w:right w:val="nil"/>
            </w:tcBorders>
            <w:shd w:val="clear" w:color="auto" w:fill="auto"/>
            <w:noWrap/>
            <w:vAlign w:val="bottom"/>
            <w:hideMark/>
          </w:tcPr>
          <w:p w14:paraId="7ABDE416"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1448" w:type="dxa"/>
            <w:tcBorders>
              <w:top w:val="single" w:sz="4" w:space="0" w:color="auto"/>
              <w:left w:val="nil"/>
              <w:bottom w:val="nil"/>
              <w:right w:val="single" w:sz="4" w:space="0" w:color="auto"/>
            </w:tcBorders>
            <w:shd w:val="clear" w:color="auto" w:fill="auto"/>
            <w:noWrap/>
            <w:vAlign w:val="bottom"/>
            <w:hideMark/>
          </w:tcPr>
          <w:p w14:paraId="61E40944"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r>
      <w:tr w:rsidR="00FD76BD" w:rsidRPr="00467895" w14:paraId="31EF5DF1"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4CDD0B7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570D786B"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1: Managerial and Professional</w:t>
            </w:r>
          </w:p>
        </w:tc>
        <w:tc>
          <w:tcPr>
            <w:tcW w:w="1447" w:type="dxa"/>
            <w:tcBorders>
              <w:top w:val="nil"/>
              <w:left w:val="single" w:sz="4" w:space="0" w:color="auto"/>
              <w:bottom w:val="nil"/>
              <w:right w:val="nil"/>
            </w:tcBorders>
            <w:shd w:val="clear" w:color="auto" w:fill="auto"/>
            <w:noWrap/>
            <w:vAlign w:val="bottom"/>
            <w:hideMark/>
          </w:tcPr>
          <w:p w14:paraId="3AD196CF"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843</w:t>
            </w:r>
          </w:p>
        </w:tc>
        <w:tc>
          <w:tcPr>
            <w:tcW w:w="1447" w:type="dxa"/>
            <w:tcBorders>
              <w:top w:val="nil"/>
              <w:left w:val="nil"/>
              <w:bottom w:val="nil"/>
              <w:right w:val="nil"/>
            </w:tcBorders>
            <w:shd w:val="clear" w:color="auto" w:fill="auto"/>
            <w:noWrap/>
            <w:vAlign w:val="bottom"/>
            <w:hideMark/>
          </w:tcPr>
          <w:p w14:paraId="1593594B"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32.9%</w:t>
            </w:r>
          </w:p>
        </w:tc>
        <w:tc>
          <w:tcPr>
            <w:tcW w:w="1448" w:type="dxa"/>
            <w:tcBorders>
              <w:top w:val="nil"/>
              <w:left w:val="single" w:sz="4" w:space="0" w:color="auto"/>
              <w:bottom w:val="nil"/>
              <w:right w:val="nil"/>
            </w:tcBorders>
            <w:shd w:val="clear" w:color="auto" w:fill="auto"/>
            <w:noWrap/>
            <w:vAlign w:val="bottom"/>
            <w:hideMark/>
          </w:tcPr>
          <w:p w14:paraId="50D560C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1614</w:t>
            </w:r>
          </w:p>
        </w:tc>
        <w:tc>
          <w:tcPr>
            <w:tcW w:w="1447" w:type="dxa"/>
            <w:tcBorders>
              <w:top w:val="nil"/>
              <w:left w:val="nil"/>
              <w:bottom w:val="nil"/>
              <w:right w:val="single" w:sz="4" w:space="0" w:color="auto"/>
            </w:tcBorders>
            <w:shd w:val="clear" w:color="auto" w:fill="auto"/>
            <w:noWrap/>
            <w:vAlign w:val="bottom"/>
            <w:hideMark/>
          </w:tcPr>
          <w:p w14:paraId="24EE4D32"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47.3%</w:t>
            </w:r>
          </w:p>
        </w:tc>
        <w:tc>
          <w:tcPr>
            <w:tcW w:w="1447" w:type="dxa"/>
            <w:tcBorders>
              <w:top w:val="nil"/>
              <w:left w:val="nil"/>
              <w:bottom w:val="nil"/>
              <w:right w:val="nil"/>
            </w:tcBorders>
            <w:shd w:val="clear" w:color="auto" w:fill="auto"/>
            <w:noWrap/>
            <w:vAlign w:val="bottom"/>
            <w:hideMark/>
          </w:tcPr>
          <w:p w14:paraId="651432A8"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6891</w:t>
            </w:r>
          </w:p>
        </w:tc>
        <w:tc>
          <w:tcPr>
            <w:tcW w:w="1448" w:type="dxa"/>
            <w:tcBorders>
              <w:top w:val="nil"/>
              <w:left w:val="nil"/>
              <w:bottom w:val="nil"/>
              <w:right w:val="single" w:sz="4" w:space="0" w:color="auto"/>
            </w:tcBorders>
            <w:shd w:val="clear" w:color="auto" w:fill="auto"/>
            <w:noWrap/>
            <w:vAlign w:val="bottom"/>
            <w:hideMark/>
          </w:tcPr>
          <w:p w14:paraId="52E83969"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46.2%</w:t>
            </w:r>
          </w:p>
        </w:tc>
      </w:tr>
      <w:tr w:rsidR="00FD76BD" w:rsidRPr="00467895" w14:paraId="2688A601"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46F3B680"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0EAD1F13"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2: Intermediate</w:t>
            </w:r>
          </w:p>
        </w:tc>
        <w:tc>
          <w:tcPr>
            <w:tcW w:w="1447" w:type="dxa"/>
            <w:tcBorders>
              <w:top w:val="nil"/>
              <w:left w:val="single" w:sz="4" w:space="0" w:color="auto"/>
              <w:bottom w:val="nil"/>
              <w:right w:val="nil"/>
            </w:tcBorders>
            <w:shd w:val="clear" w:color="auto" w:fill="auto"/>
            <w:noWrap/>
            <w:vAlign w:val="bottom"/>
            <w:hideMark/>
          </w:tcPr>
          <w:p w14:paraId="228DD5D3"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522</w:t>
            </w:r>
          </w:p>
        </w:tc>
        <w:tc>
          <w:tcPr>
            <w:tcW w:w="1447" w:type="dxa"/>
            <w:tcBorders>
              <w:top w:val="nil"/>
              <w:left w:val="nil"/>
              <w:bottom w:val="nil"/>
              <w:right w:val="nil"/>
            </w:tcBorders>
            <w:shd w:val="clear" w:color="auto" w:fill="auto"/>
            <w:noWrap/>
            <w:vAlign w:val="bottom"/>
            <w:hideMark/>
          </w:tcPr>
          <w:p w14:paraId="3650C2CA"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25.1%</w:t>
            </w:r>
          </w:p>
        </w:tc>
        <w:tc>
          <w:tcPr>
            <w:tcW w:w="1448" w:type="dxa"/>
            <w:tcBorders>
              <w:top w:val="nil"/>
              <w:left w:val="single" w:sz="4" w:space="0" w:color="auto"/>
              <w:bottom w:val="nil"/>
              <w:right w:val="nil"/>
            </w:tcBorders>
            <w:shd w:val="clear" w:color="auto" w:fill="auto"/>
            <w:noWrap/>
            <w:vAlign w:val="bottom"/>
            <w:hideMark/>
          </w:tcPr>
          <w:p w14:paraId="534D8FA1"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578</w:t>
            </w:r>
          </w:p>
        </w:tc>
        <w:tc>
          <w:tcPr>
            <w:tcW w:w="1447" w:type="dxa"/>
            <w:tcBorders>
              <w:top w:val="nil"/>
              <w:left w:val="nil"/>
              <w:bottom w:val="nil"/>
              <w:right w:val="single" w:sz="4" w:space="0" w:color="auto"/>
            </w:tcBorders>
            <w:shd w:val="clear" w:color="auto" w:fill="auto"/>
            <w:noWrap/>
            <w:vAlign w:val="bottom"/>
            <w:hideMark/>
          </w:tcPr>
          <w:p w14:paraId="618C01EE"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9.8%</w:t>
            </w:r>
          </w:p>
        </w:tc>
        <w:tc>
          <w:tcPr>
            <w:tcW w:w="1447" w:type="dxa"/>
            <w:tcBorders>
              <w:top w:val="nil"/>
              <w:left w:val="nil"/>
              <w:bottom w:val="nil"/>
              <w:right w:val="nil"/>
            </w:tcBorders>
            <w:shd w:val="clear" w:color="auto" w:fill="auto"/>
            <w:noWrap/>
            <w:vAlign w:val="bottom"/>
            <w:hideMark/>
          </w:tcPr>
          <w:p w14:paraId="5332FD9F"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2014</w:t>
            </w:r>
          </w:p>
        </w:tc>
        <w:tc>
          <w:tcPr>
            <w:tcW w:w="1448" w:type="dxa"/>
            <w:tcBorders>
              <w:top w:val="nil"/>
              <w:left w:val="nil"/>
              <w:bottom w:val="nil"/>
              <w:right w:val="single" w:sz="4" w:space="0" w:color="auto"/>
            </w:tcBorders>
            <w:shd w:val="clear" w:color="auto" w:fill="auto"/>
            <w:noWrap/>
            <w:vAlign w:val="bottom"/>
            <w:hideMark/>
          </w:tcPr>
          <w:p w14:paraId="6638A7C2"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10.1%</w:t>
            </w:r>
          </w:p>
        </w:tc>
      </w:tr>
      <w:tr w:rsidR="00FD76BD" w:rsidRPr="00467895" w14:paraId="132BDC69"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635536BF"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57223B0A"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3: Small and own employers</w:t>
            </w:r>
          </w:p>
        </w:tc>
        <w:tc>
          <w:tcPr>
            <w:tcW w:w="1447" w:type="dxa"/>
            <w:tcBorders>
              <w:top w:val="nil"/>
              <w:left w:val="single" w:sz="4" w:space="0" w:color="auto"/>
              <w:bottom w:val="nil"/>
              <w:right w:val="nil"/>
            </w:tcBorders>
            <w:shd w:val="clear" w:color="auto" w:fill="auto"/>
            <w:noWrap/>
            <w:vAlign w:val="bottom"/>
            <w:hideMark/>
          </w:tcPr>
          <w:p w14:paraId="573FDFEC"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105</w:t>
            </w:r>
          </w:p>
        </w:tc>
        <w:tc>
          <w:tcPr>
            <w:tcW w:w="1447" w:type="dxa"/>
            <w:tcBorders>
              <w:top w:val="nil"/>
              <w:left w:val="nil"/>
              <w:bottom w:val="nil"/>
              <w:right w:val="nil"/>
            </w:tcBorders>
            <w:shd w:val="clear" w:color="auto" w:fill="auto"/>
            <w:noWrap/>
            <w:vAlign w:val="bottom"/>
            <w:hideMark/>
          </w:tcPr>
          <w:p w14:paraId="487E5326"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5.4%</w:t>
            </w:r>
          </w:p>
        </w:tc>
        <w:tc>
          <w:tcPr>
            <w:tcW w:w="1448" w:type="dxa"/>
            <w:tcBorders>
              <w:top w:val="nil"/>
              <w:left w:val="single" w:sz="4" w:space="0" w:color="auto"/>
              <w:bottom w:val="nil"/>
              <w:right w:val="nil"/>
            </w:tcBorders>
            <w:shd w:val="clear" w:color="auto" w:fill="auto"/>
            <w:noWrap/>
            <w:vAlign w:val="bottom"/>
            <w:hideMark/>
          </w:tcPr>
          <w:p w14:paraId="3148C0A8"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376</w:t>
            </w:r>
          </w:p>
        </w:tc>
        <w:tc>
          <w:tcPr>
            <w:tcW w:w="1447" w:type="dxa"/>
            <w:tcBorders>
              <w:top w:val="nil"/>
              <w:left w:val="nil"/>
              <w:bottom w:val="nil"/>
              <w:right w:val="single" w:sz="4" w:space="0" w:color="auto"/>
            </w:tcBorders>
            <w:shd w:val="clear" w:color="auto" w:fill="auto"/>
            <w:noWrap/>
            <w:vAlign w:val="bottom"/>
            <w:hideMark/>
          </w:tcPr>
          <w:p w14:paraId="4F13BD6E"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11.2%</w:t>
            </w:r>
          </w:p>
        </w:tc>
        <w:tc>
          <w:tcPr>
            <w:tcW w:w="1447" w:type="dxa"/>
            <w:tcBorders>
              <w:top w:val="nil"/>
              <w:left w:val="nil"/>
              <w:bottom w:val="nil"/>
              <w:right w:val="nil"/>
            </w:tcBorders>
            <w:shd w:val="clear" w:color="auto" w:fill="auto"/>
            <w:noWrap/>
            <w:vAlign w:val="bottom"/>
            <w:hideMark/>
          </w:tcPr>
          <w:p w14:paraId="4356FAFB"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1488</w:t>
            </w:r>
          </w:p>
        </w:tc>
        <w:tc>
          <w:tcPr>
            <w:tcW w:w="1448" w:type="dxa"/>
            <w:tcBorders>
              <w:top w:val="nil"/>
              <w:left w:val="nil"/>
              <w:bottom w:val="nil"/>
              <w:right w:val="single" w:sz="4" w:space="0" w:color="auto"/>
            </w:tcBorders>
            <w:shd w:val="clear" w:color="auto" w:fill="auto"/>
            <w:noWrap/>
            <w:vAlign w:val="bottom"/>
            <w:hideMark/>
          </w:tcPr>
          <w:p w14:paraId="7AE736BD"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11.0%</w:t>
            </w:r>
          </w:p>
        </w:tc>
      </w:tr>
      <w:tr w:rsidR="00FD76BD" w:rsidRPr="00467895" w14:paraId="4929E665" w14:textId="77777777" w:rsidTr="00467895">
        <w:trPr>
          <w:trHeight w:val="221"/>
        </w:trPr>
        <w:tc>
          <w:tcPr>
            <w:tcW w:w="557" w:type="dxa"/>
            <w:tcBorders>
              <w:top w:val="nil"/>
              <w:left w:val="single" w:sz="4" w:space="0" w:color="auto"/>
              <w:bottom w:val="nil"/>
              <w:right w:val="nil"/>
            </w:tcBorders>
            <w:shd w:val="clear" w:color="auto" w:fill="auto"/>
            <w:noWrap/>
            <w:vAlign w:val="bottom"/>
            <w:hideMark/>
          </w:tcPr>
          <w:p w14:paraId="14B3636A"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nil"/>
              <w:right w:val="nil"/>
            </w:tcBorders>
            <w:shd w:val="clear" w:color="auto" w:fill="auto"/>
            <w:noWrap/>
            <w:vAlign w:val="bottom"/>
            <w:hideMark/>
          </w:tcPr>
          <w:p w14:paraId="40F9A6FC"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4: Lower supervisory &amp; technical</w:t>
            </w:r>
          </w:p>
        </w:tc>
        <w:tc>
          <w:tcPr>
            <w:tcW w:w="1447" w:type="dxa"/>
            <w:tcBorders>
              <w:top w:val="nil"/>
              <w:left w:val="single" w:sz="4" w:space="0" w:color="auto"/>
              <w:bottom w:val="nil"/>
              <w:right w:val="nil"/>
            </w:tcBorders>
            <w:shd w:val="clear" w:color="auto" w:fill="auto"/>
            <w:noWrap/>
            <w:vAlign w:val="bottom"/>
            <w:hideMark/>
          </w:tcPr>
          <w:p w14:paraId="4487E458"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165</w:t>
            </w:r>
          </w:p>
        </w:tc>
        <w:tc>
          <w:tcPr>
            <w:tcW w:w="1447" w:type="dxa"/>
            <w:tcBorders>
              <w:top w:val="nil"/>
              <w:left w:val="nil"/>
              <w:bottom w:val="nil"/>
              <w:right w:val="nil"/>
            </w:tcBorders>
            <w:shd w:val="clear" w:color="auto" w:fill="auto"/>
            <w:noWrap/>
            <w:vAlign w:val="bottom"/>
            <w:hideMark/>
          </w:tcPr>
          <w:p w14:paraId="2C4FD2CB"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9.4%</w:t>
            </w:r>
          </w:p>
        </w:tc>
        <w:tc>
          <w:tcPr>
            <w:tcW w:w="1448" w:type="dxa"/>
            <w:tcBorders>
              <w:top w:val="nil"/>
              <w:left w:val="single" w:sz="4" w:space="0" w:color="auto"/>
              <w:bottom w:val="nil"/>
              <w:right w:val="nil"/>
            </w:tcBorders>
            <w:shd w:val="clear" w:color="auto" w:fill="auto"/>
            <w:noWrap/>
            <w:vAlign w:val="bottom"/>
            <w:hideMark/>
          </w:tcPr>
          <w:p w14:paraId="0D5692E3"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164</w:t>
            </w:r>
          </w:p>
        </w:tc>
        <w:tc>
          <w:tcPr>
            <w:tcW w:w="1447" w:type="dxa"/>
            <w:tcBorders>
              <w:top w:val="nil"/>
              <w:left w:val="nil"/>
              <w:bottom w:val="nil"/>
              <w:right w:val="single" w:sz="4" w:space="0" w:color="auto"/>
            </w:tcBorders>
            <w:shd w:val="clear" w:color="auto" w:fill="auto"/>
            <w:noWrap/>
            <w:vAlign w:val="bottom"/>
            <w:hideMark/>
          </w:tcPr>
          <w:p w14:paraId="4D4DB979"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7.6%</w:t>
            </w:r>
          </w:p>
        </w:tc>
        <w:tc>
          <w:tcPr>
            <w:tcW w:w="1447" w:type="dxa"/>
            <w:tcBorders>
              <w:top w:val="nil"/>
              <w:left w:val="nil"/>
              <w:bottom w:val="nil"/>
              <w:right w:val="nil"/>
            </w:tcBorders>
            <w:shd w:val="clear" w:color="auto" w:fill="auto"/>
            <w:noWrap/>
            <w:vAlign w:val="bottom"/>
            <w:hideMark/>
          </w:tcPr>
          <w:p w14:paraId="39D13AD6"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1031</w:t>
            </w:r>
          </w:p>
        </w:tc>
        <w:tc>
          <w:tcPr>
            <w:tcW w:w="1448" w:type="dxa"/>
            <w:tcBorders>
              <w:top w:val="nil"/>
              <w:left w:val="nil"/>
              <w:bottom w:val="nil"/>
              <w:right w:val="single" w:sz="4" w:space="0" w:color="auto"/>
            </w:tcBorders>
            <w:shd w:val="clear" w:color="auto" w:fill="auto"/>
            <w:noWrap/>
            <w:vAlign w:val="bottom"/>
            <w:hideMark/>
          </w:tcPr>
          <w:p w14:paraId="2ACB0274"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9.4%</w:t>
            </w:r>
          </w:p>
        </w:tc>
      </w:tr>
      <w:tr w:rsidR="001B06DF" w:rsidRPr="00467895" w14:paraId="238DCDA6" w14:textId="77777777" w:rsidTr="001B06DF">
        <w:trPr>
          <w:trHeight w:val="221"/>
        </w:trPr>
        <w:tc>
          <w:tcPr>
            <w:tcW w:w="557" w:type="dxa"/>
            <w:tcBorders>
              <w:top w:val="nil"/>
              <w:left w:val="single" w:sz="4" w:space="0" w:color="auto"/>
              <w:bottom w:val="single" w:sz="4" w:space="0" w:color="auto"/>
              <w:right w:val="nil"/>
            </w:tcBorders>
            <w:shd w:val="clear" w:color="auto" w:fill="auto"/>
            <w:noWrap/>
            <w:vAlign w:val="bottom"/>
            <w:hideMark/>
          </w:tcPr>
          <w:p w14:paraId="67788AC1"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 </w:t>
            </w:r>
          </w:p>
        </w:tc>
        <w:tc>
          <w:tcPr>
            <w:tcW w:w="3997" w:type="dxa"/>
            <w:tcBorders>
              <w:top w:val="nil"/>
              <w:left w:val="nil"/>
              <w:bottom w:val="single" w:sz="4" w:space="0" w:color="auto"/>
              <w:right w:val="nil"/>
            </w:tcBorders>
            <w:shd w:val="clear" w:color="auto" w:fill="auto"/>
            <w:noWrap/>
            <w:vAlign w:val="bottom"/>
            <w:hideMark/>
          </w:tcPr>
          <w:p w14:paraId="166FF4B1" w14:textId="77777777" w:rsidR="00214A98" w:rsidRPr="00467895" w:rsidRDefault="00214A98" w:rsidP="001B06DF">
            <w:pPr>
              <w:spacing w:before="0" w:after="0"/>
              <w:rPr>
                <w:rFonts w:eastAsia="Times New Roman" w:cs="Times New Roman"/>
                <w:color w:val="000000"/>
                <w:sz w:val="18"/>
                <w:szCs w:val="18"/>
                <w:lang w:eastAsia="en-GB"/>
              </w:rPr>
            </w:pPr>
            <w:r w:rsidRPr="00467895">
              <w:rPr>
                <w:rFonts w:eastAsia="Times New Roman" w:cs="Times New Roman"/>
                <w:color w:val="000000"/>
                <w:sz w:val="18"/>
                <w:szCs w:val="18"/>
                <w:lang w:eastAsia="en-GB"/>
              </w:rPr>
              <w:t>5: Semi-routine/routine</w:t>
            </w:r>
          </w:p>
        </w:tc>
        <w:tc>
          <w:tcPr>
            <w:tcW w:w="1447" w:type="dxa"/>
            <w:tcBorders>
              <w:top w:val="nil"/>
              <w:left w:val="single" w:sz="4" w:space="0" w:color="auto"/>
              <w:bottom w:val="single" w:sz="4" w:space="0" w:color="auto"/>
              <w:right w:val="nil"/>
            </w:tcBorders>
            <w:shd w:val="clear" w:color="auto" w:fill="auto"/>
            <w:noWrap/>
            <w:vAlign w:val="bottom"/>
            <w:hideMark/>
          </w:tcPr>
          <w:p w14:paraId="600AF753"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516</w:t>
            </w:r>
          </w:p>
        </w:tc>
        <w:tc>
          <w:tcPr>
            <w:tcW w:w="1447" w:type="dxa"/>
            <w:tcBorders>
              <w:top w:val="nil"/>
              <w:left w:val="nil"/>
              <w:bottom w:val="single" w:sz="4" w:space="0" w:color="auto"/>
              <w:right w:val="nil"/>
            </w:tcBorders>
            <w:shd w:val="clear" w:color="auto" w:fill="auto"/>
            <w:noWrap/>
            <w:vAlign w:val="bottom"/>
            <w:hideMark/>
          </w:tcPr>
          <w:p w14:paraId="1FBF20DE"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27.1%</w:t>
            </w:r>
          </w:p>
        </w:tc>
        <w:tc>
          <w:tcPr>
            <w:tcW w:w="1448" w:type="dxa"/>
            <w:tcBorders>
              <w:top w:val="nil"/>
              <w:left w:val="single" w:sz="4" w:space="0" w:color="auto"/>
              <w:bottom w:val="single" w:sz="4" w:space="0" w:color="auto"/>
              <w:right w:val="nil"/>
            </w:tcBorders>
            <w:shd w:val="clear" w:color="auto" w:fill="auto"/>
            <w:noWrap/>
            <w:vAlign w:val="bottom"/>
            <w:hideMark/>
          </w:tcPr>
          <w:p w14:paraId="025CA5D7"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842</w:t>
            </w:r>
          </w:p>
        </w:tc>
        <w:tc>
          <w:tcPr>
            <w:tcW w:w="1447" w:type="dxa"/>
            <w:tcBorders>
              <w:top w:val="nil"/>
              <w:left w:val="nil"/>
              <w:bottom w:val="single" w:sz="4" w:space="0" w:color="auto"/>
              <w:right w:val="single" w:sz="4" w:space="0" w:color="auto"/>
            </w:tcBorders>
            <w:shd w:val="clear" w:color="auto" w:fill="auto"/>
            <w:noWrap/>
            <w:vAlign w:val="bottom"/>
            <w:hideMark/>
          </w:tcPr>
          <w:p w14:paraId="3752DDA2"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24.1%</w:t>
            </w:r>
          </w:p>
        </w:tc>
        <w:tc>
          <w:tcPr>
            <w:tcW w:w="1447" w:type="dxa"/>
            <w:tcBorders>
              <w:top w:val="nil"/>
              <w:left w:val="nil"/>
              <w:bottom w:val="single" w:sz="4" w:space="0" w:color="auto"/>
              <w:right w:val="nil"/>
            </w:tcBorders>
            <w:shd w:val="clear" w:color="auto" w:fill="auto"/>
            <w:noWrap/>
            <w:vAlign w:val="bottom"/>
            <w:hideMark/>
          </w:tcPr>
          <w:p w14:paraId="010D4FFF"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3598</w:t>
            </w:r>
          </w:p>
        </w:tc>
        <w:tc>
          <w:tcPr>
            <w:tcW w:w="1448" w:type="dxa"/>
            <w:tcBorders>
              <w:top w:val="nil"/>
              <w:left w:val="nil"/>
              <w:bottom w:val="single" w:sz="4" w:space="0" w:color="auto"/>
              <w:right w:val="single" w:sz="4" w:space="0" w:color="auto"/>
            </w:tcBorders>
            <w:shd w:val="clear" w:color="auto" w:fill="auto"/>
            <w:noWrap/>
            <w:vAlign w:val="bottom"/>
            <w:hideMark/>
          </w:tcPr>
          <w:p w14:paraId="76C2A055" w14:textId="77777777" w:rsidR="00214A98" w:rsidRPr="00467895" w:rsidRDefault="00214A98" w:rsidP="001B06DF">
            <w:pPr>
              <w:spacing w:before="0" w:after="0"/>
              <w:jc w:val="center"/>
              <w:rPr>
                <w:rFonts w:eastAsia="Times New Roman" w:cs="Times New Roman"/>
                <w:color w:val="000000"/>
                <w:sz w:val="18"/>
                <w:szCs w:val="18"/>
                <w:lang w:eastAsia="en-GB"/>
              </w:rPr>
            </w:pPr>
            <w:r w:rsidRPr="00467895">
              <w:rPr>
                <w:rFonts w:eastAsia="Times New Roman" w:cs="Times New Roman"/>
                <w:color w:val="000000"/>
                <w:sz w:val="18"/>
                <w:szCs w:val="18"/>
                <w:lang w:eastAsia="en-GB"/>
              </w:rPr>
              <w:t>23.3%</w:t>
            </w:r>
          </w:p>
        </w:tc>
      </w:tr>
      <w:tr w:rsidR="001B06DF" w:rsidRPr="00467895" w14:paraId="3F36E05D" w14:textId="77777777" w:rsidTr="00365E91">
        <w:trPr>
          <w:trHeight w:val="221"/>
        </w:trPr>
        <w:tc>
          <w:tcPr>
            <w:tcW w:w="13238" w:type="dxa"/>
            <w:gridSpan w:val="8"/>
            <w:tcBorders>
              <w:top w:val="single" w:sz="4" w:space="0" w:color="auto"/>
            </w:tcBorders>
            <w:shd w:val="clear" w:color="auto" w:fill="auto"/>
            <w:noWrap/>
            <w:vAlign w:val="bottom"/>
          </w:tcPr>
          <w:p w14:paraId="2AC0BD9C" w14:textId="12B1B9A1" w:rsidR="001B06DF" w:rsidRPr="001B06DF" w:rsidRDefault="001B06DF" w:rsidP="001B06DF">
            <w:pPr>
              <w:spacing w:before="0" w:after="0"/>
              <w:rPr>
                <w:rFonts w:eastAsia="Times New Roman" w:cs="Times New Roman"/>
                <w:i/>
                <w:color w:val="000000"/>
                <w:sz w:val="18"/>
                <w:szCs w:val="18"/>
                <w:lang w:eastAsia="en-GB"/>
              </w:rPr>
            </w:pPr>
            <w:r>
              <w:rPr>
                <w:rFonts w:eastAsia="Times New Roman" w:cs="Times New Roman"/>
                <w:i/>
                <w:color w:val="000000"/>
                <w:sz w:val="18"/>
                <w:szCs w:val="18"/>
                <w:lang w:eastAsia="en-GB"/>
              </w:rPr>
              <w:t xml:space="preserve">Sample size may vary slightly due to missing data </w:t>
            </w:r>
          </w:p>
        </w:tc>
      </w:tr>
    </w:tbl>
    <w:p w14:paraId="6AD0AD94" w14:textId="69526CFB" w:rsidR="00E83820" w:rsidRDefault="00E83820" w:rsidP="001D177F">
      <w:pPr>
        <w:sectPr w:rsidR="00E83820" w:rsidSect="00E83820">
          <w:pgSz w:w="16840" w:h="11900" w:orient="landscape"/>
          <w:pgMar w:top="1440" w:right="1440" w:bottom="1440" w:left="1440" w:header="720" w:footer="720" w:gutter="0"/>
          <w:cols w:space="720"/>
          <w:docGrid w:linePitch="360"/>
        </w:sectPr>
      </w:pPr>
    </w:p>
    <w:p w14:paraId="0BFA526C" w14:textId="254539C6" w:rsidR="00FD76BD" w:rsidRPr="00FD76BD" w:rsidRDefault="0014136F" w:rsidP="00FD76BD">
      <w:pPr>
        <w:pStyle w:val="Caption"/>
        <w:keepNext/>
      </w:pPr>
      <w:r>
        <w:lastRenderedPageBreak/>
        <w:t xml:space="preserve">Table </w:t>
      </w:r>
      <w:r w:rsidR="00911EA6">
        <w:rPr>
          <w:noProof/>
        </w:rPr>
        <w:fldChar w:fldCharType="begin"/>
      </w:r>
      <w:r w:rsidR="00911EA6">
        <w:rPr>
          <w:noProof/>
        </w:rPr>
        <w:instrText xml:space="preserve"> SEQ Table \* ARABIC </w:instrText>
      </w:r>
      <w:r w:rsidR="00911EA6">
        <w:rPr>
          <w:noProof/>
        </w:rPr>
        <w:fldChar w:fldCharType="separate"/>
      </w:r>
      <w:r w:rsidR="00395506">
        <w:rPr>
          <w:noProof/>
        </w:rPr>
        <w:t>2</w:t>
      </w:r>
      <w:r w:rsidR="00911EA6">
        <w:rPr>
          <w:noProof/>
        </w:rPr>
        <w:fldChar w:fldCharType="end"/>
      </w:r>
      <w:r w:rsidRPr="00FA6CDE">
        <w:t xml:space="preserve">: </w:t>
      </w:r>
      <w:r>
        <w:t>Sample</w:t>
      </w:r>
      <w:r w:rsidRPr="00FA6CDE">
        <w:t xml:space="preserve"> on mental health </w:t>
      </w:r>
      <w:r w:rsidRPr="003403B2">
        <w:t>caseness</w:t>
      </w:r>
      <w:r w:rsidRPr="00FA6CDE">
        <w:t xml:space="preserve"> by employment status.</w:t>
      </w:r>
    </w:p>
    <w:tbl>
      <w:tblPr>
        <w:tblW w:w="16025" w:type="dxa"/>
        <w:tblLook w:val="04A0" w:firstRow="1" w:lastRow="0" w:firstColumn="1" w:lastColumn="0" w:noHBand="0" w:noVBand="1"/>
      </w:tblPr>
      <w:tblGrid>
        <w:gridCol w:w="2689"/>
        <w:gridCol w:w="1576"/>
        <w:gridCol w:w="761"/>
        <w:gridCol w:w="1268"/>
        <w:gridCol w:w="947"/>
        <w:gridCol w:w="1082"/>
        <w:gridCol w:w="1195"/>
        <w:gridCol w:w="1372"/>
        <w:gridCol w:w="1195"/>
        <w:gridCol w:w="1372"/>
        <w:gridCol w:w="1118"/>
        <w:gridCol w:w="1450"/>
      </w:tblGrid>
      <w:tr w:rsidR="00FD76BD" w:rsidRPr="00FD76BD" w14:paraId="0A5F08FF" w14:textId="77777777" w:rsidTr="00063136">
        <w:trPr>
          <w:trHeight w:val="1002"/>
        </w:trPr>
        <w:tc>
          <w:tcPr>
            <w:tcW w:w="426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1410F4C"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 </w:t>
            </w:r>
          </w:p>
        </w:tc>
        <w:tc>
          <w:tcPr>
            <w:tcW w:w="2029" w:type="dxa"/>
            <w:gridSpan w:val="2"/>
            <w:tcBorders>
              <w:top w:val="single" w:sz="4" w:space="0" w:color="auto"/>
              <w:left w:val="nil"/>
              <w:bottom w:val="nil"/>
              <w:right w:val="single" w:sz="4" w:space="0" w:color="000000"/>
            </w:tcBorders>
            <w:shd w:val="clear" w:color="auto" w:fill="auto"/>
            <w:noWrap/>
            <w:vAlign w:val="center"/>
            <w:hideMark/>
          </w:tcPr>
          <w:p w14:paraId="17F4B8D8"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Veteran</w:t>
            </w:r>
          </w:p>
        </w:tc>
        <w:tc>
          <w:tcPr>
            <w:tcW w:w="202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63EEF8"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Non-veteran</w:t>
            </w:r>
          </w:p>
        </w:tc>
        <w:tc>
          <w:tcPr>
            <w:tcW w:w="2567" w:type="dxa"/>
            <w:gridSpan w:val="2"/>
            <w:tcBorders>
              <w:top w:val="single" w:sz="4" w:space="0" w:color="auto"/>
              <w:left w:val="nil"/>
              <w:bottom w:val="single" w:sz="4" w:space="0" w:color="auto"/>
              <w:right w:val="single" w:sz="4" w:space="0" w:color="000000"/>
            </w:tcBorders>
            <w:shd w:val="clear" w:color="auto" w:fill="auto"/>
            <w:vAlign w:val="center"/>
            <w:hideMark/>
          </w:tcPr>
          <w:p w14:paraId="6ED351EB" w14:textId="1395A0CD" w:rsidR="00FD76BD" w:rsidRPr="00FD76BD" w:rsidRDefault="00063136" w:rsidP="00FD76BD">
            <w:pPr>
              <w:spacing w:before="0" w:after="0"/>
              <w:jc w:val="center"/>
              <w:rPr>
                <w:rFonts w:eastAsia="Times New Roman" w:cs="Times New Roman"/>
                <w:b/>
                <w:bCs/>
                <w:color w:val="000000"/>
                <w:sz w:val="20"/>
                <w:szCs w:val="20"/>
                <w:lang w:eastAsia="en-GB"/>
              </w:rPr>
            </w:pPr>
            <w:r>
              <w:rPr>
                <w:rFonts w:eastAsia="Times New Roman" w:cs="Times New Roman"/>
                <w:b/>
                <w:bCs/>
                <w:color w:val="000000"/>
                <w:sz w:val="20"/>
                <w:szCs w:val="20"/>
                <w:lang w:eastAsia="en-GB"/>
              </w:rPr>
              <w:t>Crude</w:t>
            </w:r>
          </w:p>
        </w:tc>
        <w:tc>
          <w:tcPr>
            <w:tcW w:w="2567" w:type="dxa"/>
            <w:gridSpan w:val="2"/>
            <w:tcBorders>
              <w:top w:val="single" w:sz="4" w:space="0" w:color="auto"/>
              <w:left w:val="nil"/>
              <w:bottom w:val="single" w:sz="4" w:space="0" w:color="auto"/>
              <w:right w:val="nil"/>
            </w:tcBorders>
            <w:shd w:val="clear" w:color="auto" w:fill="auto"/>
            <w:vAlign w:val="center"/>
            <w:hideMark/>
          </w:tcPr>
          <w:p w14:paraId="3BFA9C8F"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Adjusted for marital status and education</w:t>
            </w:r>
          </w:p>
        </w:tc>
        <w:tc>
          <w:tcPr>
            <w:tcW w:w="25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854DAEA"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Adjusted for marital status, education, employment status and NS-SEC grade †</w:t>
            </w:r>
          </w:p>
        </w:tc>
      </w:tr>
      <w:tr w:rsidR="00FD76BD" w:rsidRPr="00FD76BD" w14:paraId="18535571" w14:textId="77777777" w:rsidTr="00063136">
        <w:trPr>
          <w:trHeight w:val="205"/>
        </w:trPr>
        <w:tc>
          <w:tcPr>
            <w:tcW w:w="4265" w:type="dxa"/>
            <w:gridSpan w:val="2"/>
            <w:vMerge/>
            <w:tcBorders>
              <w:top w:val="single" w:sz="4" w:space="0" w:color="auto"/>
              <w:left w:val="single" w:sz="4" w:space="0" w:color="auto"/>
              <w:bottom w:val="single" w:sz="4" w:space="0" w:color="000000"/>
              <w:right w:val="single" w:sz="4" w:space="0" w:color="000000"/>
            </w:tcBorders>
            <w:vAlign w:val="center"/>
            <w:hideMark/>
          </w:tcPr>
          <w:p w14:paraId="7AE8C4C6"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761" w:type="dxa"/>
            <w:tcBorders>
              <w:top w:val="single" w:sz="4" w:space="0" w:color="auto"/>
              <w:left w:val="nil"/>
              <w:bottom w:val="nil"/>
              <w:right w:val="nil"/>
            </w:tcBorders>
            <w:shd w:val="clear" w:color="auto" w:fill="auto"/>
            <w:noWrap/>
            <w:vAlign w:val="center"/>
            <w:hideMark/>
          </w:tcPr>
          <w:p w14:paraId="4ED1CB3A"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n</w:t>
            </w:r>
          </w:p>
        </w:tc>
        <w:tc>
          <w:tcPr>
            <w:tcW w:w="1268" w:type="dxa"/>
            <w:tcBorders>
              <w:top w:val="single" w:sz="4" w:space="0" w:color="auto"/>
              <w:left w:val="nil"/>
              <w:bottom w:val="nil"/>
              <w:right w:val="single" w:sz="4" w:space="0" w:color="auto"/>
            </w:tcBorders>
            <w:shd w:val="clear" w:color="auto" w:fill="auto"/>
            <w:noWrap/>
            <w:vAlign w:val="center"/>
            <w:hideMark/>
          </w:tcPr>
          <w:p w14:paraId="616E4E1B"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w:t>
            </w:r>
          </w:p>
        </w:tc>
        <w:tc>
          <w:tcPr>
            <w:tcW w:w="947" w:type="dxa"/>
            <w:tcBorders>
              <w:top w:val="nil"/>
              <w:left w:val="nil"/>
              <w:bottom w:val="nil"/>
              <w:right w:val="nil"/>
            </w:tcBorders>
            <w:shd w:val="clear" w:color="auto" w:fill="auto"/>
            <w:noWrap/>
            <w:vAlign w:val="center"/>
            <w:hideMark/>
          </w:tcPr>
          <w:p w14:paraId="5FB73A13"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n</w:t>
            </w:r>
          </w:p>
        </w:tc>
        <w:tc>
          <w:tcPr>
            <w:tcW w:w="1082" w:type="dxa"/>
            <w:tcBorders>
              <w:top w:val="nil"/>
              <w:left w:val="nil"/>
              <w:bottom w:val="nil"/>
              <w:right w:val="nil"/>
            </w:tcBorders>
            <w:shd w:val="clear" w:color="auto" w:fill="auto"/>
            <w:noWrap/>
            <w:vAlign w:val="center"/>
            <w:hideMark/>
          </w:tcPr>
          <w:p w14:paraId="133BC3B2"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w:t>
            </w:r>
          </w:p>
        </w:tc>
        <w:tc>
          <w:tcPr>
            <w:tcW w:w="1195" w:type="dxa"/>
            <w:tcBorders>
              <w:top w:val="nil"/>
              <w:left w:val="single" w:sz="4" w:space="0" w:color="auto"/>
              <w:bottom w:val="single" w:sz="4" w:space="0" w:color="auto"/>
              <w:right w:val="nil"/>
            </w:tcBorders>
            <w:shd w:val="clear" w:color="auto" w:fill="auto"/>
            <w:noWrap/>
            <w:vAlign w:val="bottom"/>
            <w:hideMark/>
          </w:tcPr>
          <w:p w14:paraId="76CF4081"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OR</w:t>
            </w:r>
          </w:p>
        </w:tc>
        <w:tc>
          <w:tcPr>
            <w:tcW w:w="1372" w:type="dxa"/>
            <w:tcBorders>
              <w:top w:val="nil"/>
              <w:left w:val="nil"/>
              <w:bottom w:val="single" w:sz="4" w:space="0" w:color="auto"/>
              <w:right w:val="single" w:sz="4" w:space="0" w:color="auto"/>
            </w:tcBorders>
            <w:shd w:val="clear" w:color="auto" w:fill="auto"/>
            <w:noWrap/>
            <w:vAlign w:val="bottom"/>
            <w:hideMark/>
          </w:tcPr>
          <w:p w14:paraId="07EA8197"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CI</w:t>
            </w:r>
          </w:p>
        </w:tc>
        <w:tc>
          <w:tcPr>
            <w:tcW w:w="1195" w:type="dxa"/>
            <w:tcBorders>
              <w:top w:val="nil"/>
              <w:left w:val="nil"/>
              <w:bottom w:val="single" w:sz="4" w:space="0" w:color="auto"/>
              <w:right w:val="nil"/>
            </w:tcBorders>
            <w:shd w:val="clear" w:color="auto" w:fill="auto"/>
            <w:noWrap/>
            <w:vAlign w:val="bottom"/>
            <w:hideMark/>
          </w:tcPr>
          <w:p w14:paraId="4A7A208C"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OR</w:t>
            </w:r>
          </w:p>
        </w:tc>
        <w:tc>
          <w:tcPr>
            <w:tcW w:w="1372" w:type="dxa"/>
            <w:tcBorders>
              <w:top w:val="nil"/>
              <w:left w:val="nil"/>
              <w:bottom w:val="single" w:sz="4" w:space="0" w:color="auto"/>
              <w:right w:val="nil"/>
            </w:tcBorders>
            <w:shd w:val="clear" w:color="auto" w:fill="auto"/>
            <w:noWrap/>
            <w:vAlign w:val="bottom"/>
            <w:hideMark/>
          </w:tcPr>
          <w:p w14:paraId="4A3F7885"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CI</w:t>
            </w:r>
          </w:p>
        </w:tc>
        <w:tc>
          <w:tcPr>
            <w:tcW w:w="1118" w:type="dxa"/>
            <w:tcBorders>
              <w:top w:val="nil"/>
              <w:left w:val="single" w:sz="4" w:space="0" w:color="auto"/>
              <w:bottom w:val="single" w:sz="4" w:space="0" w:color="auto"/>
              <w:right w:val="nil"/>
            </w:tcBorders>
            <w:shd w:val="clear" w:color="auto" w:fill="auto"/>
            <w:noWrap/>
            <w:vAlign w:val="bottom"/>
            <w:hideMark/>
          </w:tcPr>
          <w:p w14:paraId="7FFF621A"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OR</w:t>
            </w:r>
          </w:p>
        </w:tc>
        <w:tc>
          <w:tcPr>
            <w:tcW w:w="1450" w:type="dxa"/>
            <w:tcBorders>
              <w:top w:val="nil"/>
              <w:left w:val="nil"/>
              <w:bottom w:val="single" w:sz="4" w:space="0" w:color="auto"/>
              <w:right w:val="single" w:sz="4" w:space="0" w:color="auto"/>
            </w:tcBorders>
            <w:shd w:val="clear" w:color="auto" w:fill="auto"/>
            <w:noWrap/>
            <w:vAlign w:val="bottom"/>
            <w:hideMark/>
          </w:tcPr>
          <w:p w14:paraId="03636CD8"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CI</w:t>
            </w:r>
          </w:p>
        </w:tc>
      </w:tr>
      <w:tr w:rsidR="00FD76BD" w:rsidRPr="00FD76BD" w14:paraId="75729D09" w14:textId="77777777" w:rsidTr="00063136">
        <w:trPr>
          <w:trHeight w:val="205"/>
        </w:trPr>
        <w:tc>
          <w:tcPr>
            <w:tcW w:w="2689" w:type="dxa"/>
            <w:tcBorders>
              <w:top w:val="nil"/>
              <w:left w:val="single" w:sz="4" w:space="0" w:color="auto"/>
              <w:bottom w:val="single" w:sz="4" w:space="0" w:color="auto"/>
              <w:right w:val="nil"/>
            </w:tcBorders>
            <w:shd w:val="clear" w:color="auto" w:fill="auto"/>
            <w:noWrap/>
            <w:vAlign w:val="center"/>
            <w:hideMark/>
          </w:tcPr>
          <w:p w14:paraId="500181A7"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OVERALL</w:t>
            </w:r>
          </w:p>
        </w:tc>
        <w:tc>
          <w:tcPr>
            <w:tcW w:w="1576" w:type="dxa"/>
            <w:tcBorders>
              <w:top w:val="nil"/>
              <w:left w:val="nil"/>
              <w:bottom w:val="single" w:sz="4" w:space="0" w:color="auto"/>
              <w:right w:val="nil"/>
            </w:tcBorders>
            <w:shd w:val="clear" w:color="auto" w:fill="auto"/>
            <w:noWrap/>
            <w:vAlign w:val="bottom"/>
            <w:hideMark/>
          </w:tcPr>
          <w:p w14:paraId="64D7C6F2"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761" w:type="dxa"/>
            <w:tcBorders>
              <w:top w:val="single" w:sz="4" w:space="0" w:color="auto"/>
              <w:left w:val="nil"/>
              <w:bottom w:val="single" w:sz="4" w:space="0" w:color="auto"/>
              <w:right w:val="nil"/>
            </w:tcBorders>
            <w:shd w:val="clear" w:color="auto" w:fill="auto"/>
            <w:noWrap/>
            <w:vAlign w:val="bottom"/>
            <w:hideMark/>
          </w:tcPr>
          <w:p w14:paraId="44F8259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268" w:type="dxa"/>
            <w:tcBorders>
              <w:top w:val="single" w:sz="4" w:space="0" w:color="auto"/>
              <w:left w:val="nil"/>
              <w:bottom w:val="single" w:sz="4" w:space="0" w:color="auto"/>
              <w:right w:val="nil"/>
            </w:tcBorders>
            <w:shd w:val="clear" w:color="auto" w:fill="auto"/>
            <w:noWrap/>
            <w:vAlign w:val="bottom"/>
            <w:hideMark/>
          </w:tcPr>
          <w:p w14:paraId="7EC7702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947" w:type="dxa"/>
            <w:tcBorders>
              <w:top w:val="single" w:sz="4" w:space="0" w:color="auto"/>
              <w:left w:val="nil"/>
              <w:bottom w:val="single" w:sz="4" w:space="0" w:color="auto"/>
              <w:right w:val="nil"/>
            </w:tcBorders>
            <w:shd w:val="clear" w:color="auto" w:fill="auto"/>
            <w:noWrap/>
            <w:vAlign w:val="bottom"/>
            <w:hideMark/>
          </w:tcPr>
          <w:p w14:paraId="4426F8B0"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082" w:type="dxa"/>
            <w:tcBorders>
              <w:top w:val="single" w:sz="4" w:space="0" w:color="auto"/>
              <w:left w:val="nil"/>
              <w:bottom w:val="single" w:sz="4" w:space="0" w:color="auto"/>
              <w:right w:val="nil"/>
            </w:tcBorders>
            <w:shd w:val="clear" w:color="auto" w:fill="auto"/>
            <w:noWrap/>
            <w:vAlign w:val="bottom"/>
            <w:hideMark/>
          </w:tcPr>
          <w:p w14:paraId="261F547A"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195" w:type="dxa"/>
            <w:tcBorders>
              <w:top w:val="nil"/>
              <w:left w:val="nil"/>
              <w:bottom w:val="single" w:sz="4" w:space="0" w:color="auto"/>
              <w:right w:val="nil"/>
            </w:tcBorders>
            <w:shd w:val="clear" w:color="auto" w:fill="auto"/>
            <w:noWrap/>
            <w:vAlign w:val="bottom"/>
            <w:hideMark/>
          </w:tcPr>
          <w:p w14:paraId="1AF88C50"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372" w:type="dxa"/>
            <w:tcBorders>
              <w:top w:val="nil"/>
              <w:left w:val="nil"/>
              <w:bottom w:val="single" w:sz="4" w:space="0" w:color="auto"/>
              <w:right w:val="nil"/>
            </w:tcBorders>
            <w:shd w:val="clear" w:color="auto" w:fill="auto"/>
            <w:noWrap/>
            <w:vAlign w:val="bottom"/>
            <w:hideMark/>
          </w:tcPr>
          <w:p w14:paraId="4C2B912F"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195" w:type="dxa"/>
            <w:tcBorders>
              <w:top w:val="nil"/>
              <w:left w:val="nil"/>
              <w:bottom w:val="single" w:sz="4" w:space="0" w:color="auto"/>
              <w:right w:val="nil"/>
            </w:tcBorders>
            <w:shd w:val="clear" w:color="auto" w:fill="auto"/>
            <w:noWrap/>
            <w:vAlign w:val="bottom"/>
            <w:hideMark/>
          </w:tcPr>
          <w:p w14:paraId="3E6D93C9"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372" w:type="dxa"/>
            <w:tcBorders>
              <w:top w:val="nil"/>
              <w:left w:val="nil"/>
              <w:bottom w:val="single" w:sz="4" w:space="0" w:color="auto"/>
              <w:right w:val="nil"/>
            </w:tcBorders>
            <w:shd w:val="clear" w:color="auto" w:fill="auto"/>
            <w:noWrap/>
            <w:vAlign w:val="bottom"/>
            <w:hideMark/>
          </w:tcPr>
          <w:p w14:paraId="0CCB6C73"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118" w:type="dxa"/>
            <w:tcBorders>
              <w:top w:val="nil"/>
              <w:left w:val="single" w:sz="4" w:space="0" w:color="auto"/>
              <w:bottom w:val="single" w:sz="4" w:space="0" w:color="auto"/>
              <w:right w:val="nil"/>
            </w:tcBorders>
            <w:shd w:val="clear" w:color="auto" w:fill="auto"/>
            <w:noWrap/>
            <w:vAlign w:val="bottom"/>
            <w:hideMark/>
          </w:tcPr>
          <w:p w14:paraId="730C36DD"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450" w:type="dxa"/>
            <w:tcBorders>
              <w:top w:val="nil"/>
              <w:left w:val="nil"/>
              <w:bottom w:val="single" w:sz="4" w:space="0" w:color="auto"/>
              <w:right w:val="single" w:sz="4" w:space="0" w:color="auto"/>
            </w:tcBorders>
            <w:shd w:val="clear" w:color="auto" w:fill="auto"/>
            <w:noWrap/>
            <w:vAlign w:val="bottom"/>
            <w:hideMark/>
          </w:tcPr>
          <w:p w14:paraId="36A1BA3E"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r>
      <w:tr w:rsidR="00FD76BD" w:rsidRPr="00FD76BD" w14:paraId="7EED405E" w14:textId="77777777" w:rsidTr="00063136">
        <w:trPr>
          <w:trHeight w:val="205"/>
        </w:trPr>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FF4B2B"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CMD caseness</w:t>
            </w:r>
          </w:p>
        </w:tc>
        <w:tc>
          <w:tcPr>
            <w:tcW w:w="1576" w:type="dxa"/>
            <w:tcBorders>
              <w:top w:val="nil"/>
              <w:left w:val="nil"/>
              <w:bottom w:val="nil"/>
              <w:right w:val="nil"/>
            </w:tcBorders>
            <w:shd w:val="clear" w:color="auto" w:fill="auto"/>
            <w:noWrap/>
            <w:vAlign w:val="bottom"/>
            <w:hideMark/>
          </w:tcPr>
          <w:p w14:paraId="04F395DA"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Full sample</w:t>
            </w:r>
          </w:p>
        </w:tc>
        <w:tc>
          <w:tcPr>
            <w:tcW w:w="761" w:type="dxa"/>
            <w:tcBorders>
              <w:top w:val="nil"/>
              <w:left w:val="single" w:sz="4" w:space="0" w:color="auto"/>
              <w:bottom w:val="nil"/>
              <w:right w:val="nil"/>
            </w:tcBorders>
            <w:shd w:val="clear" w:color="auto" w:fill="auto"/>
            <w:noWrap/>
            <w:vAlign w:val="bottom"/>
            <w:hideMark/>
          </w:tcPr>
          <w:p w14:paraId="0FC88EE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618</w:t>
            </w:r>
          </w:p>
        </w:tc>
        <w:tc>
          <w:tcPr>
            <w:tcW w:w="1268" w:type="dxa"/>
            <w:tcBorders>
              <w:top w:val="nil"/>
              <w:left w:val="nil"/>
              <w:bottom w:val="nil"/>
              <w:right w:val="single" w:sz="4" w:space="0" w:color="auto"/>
            </w:tcBorders>
            <w:shd w:val="clear" w:color="auto" w:fill="auto"/>
            <w:noWrap/>
            <w:vAlign w:val="bottom"/>
            <w:hideMark/>
          </w:tcPr>
          <w:p w14:paraId="1C1E40E8"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23.3%</w:t>
            </w:r>
          </w:p>
        </w:tc>
        <w:tc>
          <w:tcPr>
            <w:tcW w:w="947" w:type="dxa"/>
            <w:tcBorders>
              <w:top w:val="nil"/>
              <w:left w:val="nil"/>
              <w:bottom w:val="nil"/>
              <w:right w:val="nil"/>
            </w:tcBorders>
            <w:shd w:val="clear" w:color="auto" w:fill="auto"/>
            <w:noWrap/>
            <w:vAlign w:val="bottom"/>
            <w:hideMark/>
          </w:tcPr>
          <w:p w14:paraId="4FACBEB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4,063</w:t>
            </w:r>
          </w:p>
        </w:tc>
        <w:tc>
          <w:tcPr>
            <w:tcW w:w="1082" w:type="dxa"/>
            <w:tcBorders>
              <w:top w:val="nil"/>
              <w:left w:val="nil"/>
              <w:bottom w:val="nil"/>
              <w:right w:val="single" w:sz="4" w:space="0" w:color="auto"/>
            </w:tcBorders>
            <w:shd w:val="clear" w:color="auto" w:fill="auto"/>
            <w:noWrap/>
            <w:vAlign w:val="bottom"/>
            <w:hideMark/>
          </w:tcPr>
          <w:p w14:paraId="311DB31F"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16.0%</w:t>
            </w:r>
          </w:p>
        </w:tc>
        <w:tc>
          <w:tcPr>
            <w:tcW w:w="1195" w:type="dxa"/>
            <w:tcBorders>
              <w:top w:val="nil"/>
              <w:left w:val="nil"/>
              <w:bottom w:val="nil"/>
              <w:right w:val="nil"/>
            </w:tcBorders>
            <w:shd w:val="clear" w:color="auto" w:fill="auto"/>
            <w:noWrap/>
            <w:vAlign w:val="bottom"/>
            <w:hideMark/>
          </w:tcPr>
          <w:p w14:paraId="5B6D8606" w14:textId="576A481E"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1.59</w:t>
            </w:r>
          </w:p>
        </w:tc>
        <w:tc>
          <w:tcPr>
            <w:tcW w:w="1372" w:type="dxa"/>
            <w:tcBorders>
              <w:top w:val="nil"/>
              <w:left w:val="nil"/>
              <w:bottom w:val="nil"/>
              <w:right w:val="single" w:sz="4" w:space="0" w:color="auto"/>
            </w:tcBorders>
            <w:shd w:val="clear" w:color="auto" w:fill="auto"/>
            <w:noWrap/>
            <w:vAlign w:val="bottom"/>
            <w:hideMark/>
          </w:tcPr>
          <w:p w14:paraId="13BB8540"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1.40,1.81</w:t>
            </w:r>
          </w:p>
        </w:tc>
        <w:tc>
          <w:tcPr>
            <w:tcW w:w="1195" w:type="dxa"/>
            <w:tcBorders>
              <w:top w:val="nil"/>
              <w:left w:val="nil"/>
              <w:bottom w:val="nil"/>
              <w:right w:val="nil"/>
            </w:tcBorders>
            <w:shd w:val="clear" w:color="auto" w:fill="auto"/>
            <w:noWrap/>
            <w:vAlign w:val="bottom"/>
            <w:hideMark/>
          </w:tcPr>
          <w:p w14:paraId="1BF39F66" w14:textId="235D7BB8"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1.67</w:t>
            </w:r>
          </w:p>
        </w:tc>
        <w:tc>
          <w:tcPr>
            <w:tcW w:w="1372" w:type="dxa"/>
            <w:tcBorders>
              <w:top w:val="nil"/>
              <w:left w:val="nil"/>
              <w:bottom w:val="nil"/>
              <w:right w:val="nil"/>
            </w:tcBorders>
            <w:shd w:val="clear" w:color="auto" w:fill="auto"/>
            <w:noWrap/>
            <w:vAlign w:val="bottom"/>
            <w:hideMark/>
          </w:tcPr>
          <w:p w14:paraId="6C36D9E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1.46,1.91</w:t>
            </w:r>
          </w:p>
        </w:tc>
        <w:tc>
          <w:tcPr>
            <w:tcW w:w="1118" w:type="dxa"/>
            <w:tcBorders>
              <w:top w:val="nil"/>
              <w:left w:val="single" w:sz="4" w:space="0" w:color="auto"/>
              <w:bottom w:val="nil"/>
              <w:right w:val="nil"/>
            </w:tcBorders>
            <w:shd w:val="clear" w:color="auto" w:fill="auto"/>
            <w:noWrap/>
            <w:vAlign w:val="bottom"/>
            <w:hideMark/>
          </w:tcPr>
          <w:p w14:paraId="0F52688F" w14:textId="54600CFF"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1.84</w:t>
            </w:r>
          </w:p>
        </w:tc>
        <w:tc>
          <w:tcPr>
            <w:tcW w:w="1450" w:type="dxa"/>
            <w:tcBorders>
              <w:top w:val="nil"/>
              <w:left w:val="nil"/>
              <w:bottom w:val="nil"/>
              <w:right w:val="single" w:sz="4" w:space="0" w:color="auto"/>
            </w:tcBorders>
            <w:shd w:val="clear" w:color="auto" w:fill="auto"/>
            <w:noWrap/>
            <w:vAlign w:val="bottom"/>
            <w:hideMark/>
          </w:tcPr>
          <w:p w14:paraId="6781F051"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1.60,2.12</w:t>
            </w:r>
          </w:p>
        </w:tc>
      </w:tr>
      <w:tr w:rsidR="00FD76BD" w:rsidRPr="00FD76BD" w14:paraId="3B402978" w14:textId="77777777" w:rsidTr="00063136">
        <w:trPr>
          <w:trHeight w:val="205"/>
        </w:trPr>
        <w:tc>
          <w:tcPr>
            <w:tcW w:w="2689" w:type="dxa"/>
            <w:vMerge/>
            <w:tcBorders>
              <w:top w:val="nil"/>
              <w:left w:val="single" w:sz="4" w:space="0" w:color="auto"/>
              <w:bottom w:val="single" w:sz="4" w:space="0" w:color="000000"/>
              <w:right w:val="single" w:sz="4" w:space="0" w:color="auto"/>
            </w:tcBorders>
            <w:vAlign w:val="center"/>
            <w:hideMark/>
          </w:tcPr>
          <w:p w14:paraId="6ECB5A65"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nil"/>
              <w:right w:val="nil"/>
            </w:tcBorders>
            <w:shd w:val="clear" w:color="auto" w:fill="auto"/>
            <w:noWrap/>
            <w:vAlign w:val="bottom"/>
            <w:hideMark/>
          </w:tcPr>
          <w:p w14:paraId="0A57C576"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Working</w:t>
            </w:r>
          </w:p>
        </w:tc>
        <w:tc>
          <w:tcPr>
            <w:tcW w:w="761" w:type="dxa"/>
            <w:tcBorders>
              <w:top w:val="nil"/>
              <w:left w:val="single" w:sz="4" w:space="0" w:color="auto"/>
              <w:bottom w:val="nil"/>
              <w:right w:val="nil"/>
            </w:tcBorders>
            <w:shd w:val="clear" w:color="auto" w:fill="auto"/>
            <w:noWrap/>
            <w:vAlign w:val="bottom"/>
            <w:hideMark/>
          </w:tcPr>
          <w:p w14:paraId="643F0194"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507</w:t>
            </w:r>
          </w:p>
        </w:tc>
        <w:tc>
          <w:tcPr>
            <w:tcW w:w="1268" w:type="dxa"/>
            <w:tcBorders>
              <w:top w:val="nil"/>
              <w:left w:val="nil"/>
              <w:bottom w:val="nil"/>
              <w:right w:val="nil"/>
            </w:tcBorders>
            <w:shd w:val="clear" w:color="auto" w:fill="auto"/>
            <w:noWrap/>
            <w:vAlign w:val="bottom"/>
            <w:hideMark/>
          </w:tcPr>
          <w:p w14:paraId="602C7011"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21.5%</w:t>
            </w:r>
          </w:p>
        </w:tc>
        <w:tc>
          <w:tcPr>
            <w:tcW w:w="947" w:type="dxa"/>
            <w:tcBorders>
              <w:top w:val="nil"/>
              <w:left w:val="single" w:sz="4" w:space="0" w:color="auto"/>
              <w:bottom w:val="nil"/>
              <w:right w:val="nil"/>
            </w:tcBorders>
            <w:shd w:val="clear" w:color="auto" w:fill="auto"/>
            <w:noWrap/>
            <w:vAlign w:val="bottom"/>
            <w:hideMark/>
          </w:tcPr>
          <w:p w14:paraId="23D42C3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2,329</w:t>
            </w:r>
          </w:p>
        </w:tc>
        <w:tc>
          <w:tcPr>
            <w:tcW w:w="1082" w:type="dxa"/>
            <w:tcBorders>
              <w:top w:val="nil"/>
              <w:left w:val="nil"/>
              <w:bottom w:val="nil"/>
              <w:right w:val="single" w:sz="4" w:space="0" w:color="auto"/>
            </w:tcBorders>
            <w:shd w:val="clear" w:color="auto" w:fill="auto"/>
            <w:noWrap/>
            <w:vAlign w:val="bottom"/>
            <w:hideMark/>
          </w:tcPr>
          <w:p w14:paraId="1DB042D9"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13.3%</w:t>
            </w:r>
          </w:p>
        </w:tc>
        <w:tc>
          <w:tcPr>
            <w:tcW w:w="1195" w:type="dxa"/>
            <w:tcBorders>
              <w:top w:val="nil"/>
              <w:left w:val="nil"/>
              <w:bottom w:val="nil"/>
              <w:right w:val="nil"/>
            </w:tcBorders>
            <w:shd w:val="clear" w:color="auto" w:fill="auto"/>
            <w:noWrap/>
            <w:vAlign w:val="bottom"/>
            <w:hideMark/>
          </w:tcPr>
          <w:p w14:paraId="0E0139A7" w14:textId="03DF7399"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1.79</w:t>
            </w:r>
          </w:p>
        </w:tc>
        <w:tc>
          <w:tcPr>
            <w:tcW w:w="1372" w:type="dxa"/>
            <w:tcBorders>
              <w:top w:val="nil"/>
              <w:left w:val="nil"/>
              <w:bottom w:val="nil"/>
              <w:right w:val="single" w:sz="4" w:space="0" w:color="auto"/>
            </w:tcBorders>
            <w:shd w:val="clear" w:color="auto" w:fill="auto"/>
            <w:noWrap/>
            <w:vAlign w:val="bottom"/>
            <w:hideMark/>
          </w:tcPr>
          <w:p w14:paraId="600D85B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1.55,2.06</w:t>
            </w:r>
          </w:p>
        </w:tc>
        <w:tc>
          <w:tcPr>
            <w:tcW w:w="1195" w:type="dxa"/>
            <w:tcBorders>
              <w:top w:val="nil"/>
              <w:left w:val="nil"/>
              <w:bottom w:val="nil"/>
              <w:right w:val="nil"/>
            </w:tcBorders>
            <w:shd w:val="clear" w:color="auto" w:fill="auto"/>
            <w:noWrap/>
            <w:vAlign w:val="bottom"/>
            <w:hideMark/>
          </w:tcPr>
          <w:p w14:paraId="01CEE931" w14:textId="2E6269B5"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1.89</w:t>
            </w:r>
          </w:p>
        </w:tc>
        <w:tc>
          <w:tcPr>
            <w:tcW w:w="1372" w:type="dxa"/>
            <w:tcBorders>
              <w:top w:val="nil"/>
              <w:left w:val="nil"/>
              <w:bottom w:val="nil"/>
              <w:right w:val="nil"/>
            </w:tcBorders>
            <w:shd w:val="clear" w:color="auto" w:fill="auto"/>
            <w:noWrap/>
            <w:vAlign w:val="bottom"/>
            <w:hideMark/>
          </w:tcPr>
          <w:p w14:paraId="79D4A303"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1.63,2.20</w:t>
            </w:r>
          </w:p>
        </w:tc>
        <w:tc>
          <w:tcPr>
            <w:tcW w:w="1118" w:type="dxa"/>
            <w:tcBorders>
              <w:top w:val="nil"/>
              <w:left w:val="single" w:sz="4" w:space="0" w:color="auto"/>
              <w:bottom w:val="nil"/>
              <w:right w:val="nil"/>
            </w:tcBorders>
            <w:shd w:val="clear" w:color="auto" w:fill="auto"/>
            <w:noWrap/>
            <w:vAlign w:val="bottom"/>
            <w:hideMark/>
          </w:tcPr>
          <w:p w14:paraId="6D7E9C5B" w14:textId="107E164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1.86</w:t>
            </w:r>
          </w:p>
        </w:tc>
        <w:tc>
          <w:tcPr>
            <w:tcW w:w="1450" w:type="dxa"/>
            <w:tcBorders>
              <w:top w:val="nil"/>
              <w:left w:val="nil"/>
              <w:bottom w:val="nil"/>
              <w:right w:val="single" w:sz="4" w:space="0" w:color="auto"/>
            </w:tcBorders>
            <w:shd w:val="clear" w:color="auto" w:fill="auto"/>
            <w:noWrap/>
            <w:vAlign w:val="bottom"/>
            <w:hideMark/>
          </w:tcPr>
          <w:p w14:paraId="2D413FF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1.58,2.18</w:t>
            </w:r>
          </w:p>
        </w:tc>
      </w:tr>
      <w:tr w:rsidR="00FD76BD" w:rsidRPr="00FD76BD" w14:paraId="3EC6063A" w14:textId="77777777" w:rsidTr="00063136">
        <w:trPr>
          <w:trHeight w:val="205"/>
        </w:trPr>
        <w:tc>
          <w:tcPr>
            <w:tcW w:w="2689" w:type="dxa"/>
            <w:vMerge/>
            <w:tcBorders>
              <w:top w:val="nil"/>
              <w:left w:val="single" w:sz="4" w:space="0" w:color="auto"/>
              <w:bottom w:val="single" w:sz="4" w:space="0" w:color="000000"/>
              <w:right w:val="single" w:sz="4" w:space="0" w:color="auto"/>
            </w:tcBorders>
            <w:vAlign w:val="center"/>
            <w:hideMark/>
          </w:tcPr>
          <w:p w14:paraId="2783BDA8"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nil"/>
              <w:right w:val="nil"/>
            </w:tcBorders>
            <w:shd w:val="clear" w:color="auto" w:fill="auto"/>
            <w:noWrap/>
            <w:vAlign w:val="bottom"/>
            <w:hideMark/>
          </w:tcPr>
          <w:p w14:paraId="040FA070"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 xml:space="preserve">Non-working </w:t>
            </w:r>
          </w:p>
        </w:tc>
        <w:tc>
          <w:tcPr>
            <w:tcW w:w="761" w:type="dxa"/>
            <w:tcBorders>
              <w:top w:val="nil"/>
              <w:left w:val="single" w:sz="4" w:space="0" w:color="auto"/>
              <w:bottom w:val="nil"/>
              <w:right w:val="nil"/>
            </w:tcBorders>
            <w:shd w:val="clear" w:color="auto" w:fill="auto"/>
            <w:noWrap/>
            <w:vAlign w:val="bottom"/>
            <w:hideMark/>
          </w:tcPr>
          <w:p w14:paraId="668AAA53"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111</w:t>
            </w:r>
          </w:p>
        </w:tc>
        <w:tc>
          <w:tcPr>
            <w:tcW w:w="1268" w:type="dxa"/>
            <w:tcBorders>
              <w:top w:val="nil"/>
              <w:left w:val="nil"/>
              <w:bottom w:val="nil"/>
              <w:right w:val="nil"/>
            </w:tcBorders>
            <w:shd w:val="clear" w:color="auto" w:fill="auto"/>
            <w:noWrap/>
            <w:vAlign w:val="bottom"/>
            <w:hideMark/>
          </w:tcPr>
          <w:p w14:paraId="70B5107C"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40.4%</w:t>
            </w:r>
          </w:p>
        </w:tc>
        <w:tc>
          <w:tcPr>
            <w:tcW w:w="947" w:type="dxa"/>
            <w:tcBorders>
              <w:top w:val="nil"/>
              <w:left w:val="single" w:sz="4" w:space="0" w:color="auto"/>
              <w:bottom w:val="nil"/>
              <w:right w:val="nil"/>
            </w:tcBorders>
            <w:shd w:val="clear" w:color="auto" w:fill="auto"/>
            <w:noWrap/>
            <w:vAlign w:val="bottom"/>
            <w:hideMark/>
          </w:tcPr>
          <w:p w14:paraId="6D46592F"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1,734</w:t>
            </w:r>
          </w:p>
        </w:tc>
        <w:tc>
          <w:tcPr>
            <w:tcW w:w="1082" w:type="dxa"/>
            <w:tcBorders>
              <w:top w:val="nil"/>
              <w:left w:val="nil"/>
              <w:bottom w:val="single" w:sz="4" w:space="0" w:color="auto"/>
              <w:right w:val="single" w:sz="4" w:space="0" w:color="auto"/>
            </w:tcBorders>
            <w:shd w:val="clear" w:color="auto" w:fill="auto"/>
            <w:noWrap/>
            <w:vAlign w:val="bottom"/>
            <w:hideMark/>
          </w:tcPr>
          <w:p w14:paraId="3ED84EE5"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25.9%</w:t>
            </w:r>
          </w:p>
        </w:tc>
        <w:tc>
          <w:tcPr>
            <w:tcW w:w="1195" w:type="dxa"/>
            <w:tcBorders>
              <w:top w:val="nil"/>
              <w:left w:val="nil"/>
              <w:bottom w:val="nil"/>
              <w:right w:val="nil"/>
            </w:tcBorders>
            <w:shd w:val="clear" w:color="auto" w:fill="auto"/>
            <w:noWrap/>
            <w:vAlign w:val="bottom"/>
            <w:hideMark/>
          </w:tcPr>
          <w:p w14:paraId="0B57738C" w14:textId="50296D3F"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1.94</w:t>
            </w:r>
          </w:p>
        </w:tc>
        <w:tc>
          <w:tcPr>
            <w:tcW w:w="1372" w:type="dxa"/>
            <w:tcBorders>
              <w:top w:val="nil"/>
              <w:left w:val="nil"/>
              <w:bottom w:val="nil"/>
              <w:right w:val="single" w:sz="4" w:space="0" w:color="auto"/>
            </w:tcBorders>
            <w:shd w:val="clear" w:color="auto" w:fill="auto"/>
            <w:noWrap/>
            <w:vAlign w:val="bottom"/>
            <w:hideMark/>
          </w:tcPr>
          <w:p w14:paraId="34F878DC"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1.44,2.62</w:t>
            </w:r>
          </w:p>
        </w:tc>
        <w:tc>
          <w:tcPr>
            <w:tcW w:w="1195" w:type="dxa"/>
            <w:tcBorders>
              <w:top w:val="nil"/>
              <w:left w:val="nil"/>
              <w:bottom w:val="nil"/>
              <w:right w:val="nil"/>
            </w:tcBorders>
            <w:shd w:val="clear" w:color="auto" w:fill="auto"/>
            <w:noWrap/>
            <w:vAlign w:val="bottom"/>
            <w:hideMark/>
          </w:tcPr>
          <w:p w14:paraId="3B414FD6" w14:textId="1393741A"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1.65</w:t>
            </w:r>
          </w:p>
        </w:tc>
        <w:tc>
          <w:tcPr>
            <w:tcW w:w="1372" w:type="dxa"/>
            <w:tcBorders>
              <w:top w:val="nil"/>
              <w:left w:val="nil"/>
              <w:bottom w:val="nil"/>
              <w:right w:val="nil"/>
            </w:tcBorders>
            <w:shd w:val="clear" w:color="auto" w:fill="auto"/>
            <w:noWrap/>
            <w:vAlign w:val="bottom"/>
            <w:hideMark/>
          </w:tcPr>
          <w:p w14:paraId="53A09C4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1.18,2.31</w:t>
            </w:r>
          </w:p>
        </w:tc>
        <w:tc>
          <w:tcPr>
            <w:tcW w:w="1118" w:type="dxa"/>
            <w:tcBorders>
              <w:top w:val="nil"/>
              <w:left w:val="single" w:sz="4" w:space="0" w:color="auto"/>
              <w:bottom w:val="nil"/>
              <w:right w:val="nil"/>
            </w:tcBorders>
            <w:shd w:val="clear" w:color="auto" w:fill="auto"/>
            <w:noWrap/>
            <w:vAlign w:val="bottom"/>
            <w:hideMark/>
          </w:tcPr>
          <w:p w14:paraId="53976FCF" w14:textId="3F7690D6"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1.59</w:t>
            </w:r>
          </w:p>
        </w:tc>
        <w:tc>
          <w:tcPr>
            <w:tcW w:w="1450" w:type="dxa"/>
            <w:tcBorders>
              <w:top w:val="nil"/>
              <w:left w:val="nil"/>
              <w:bottom w:val="nil"/>
              <w:right w:val="single" w:sz="4" w:space="0" w:color="auto"/>
            </w:tcBorders>
            <w:shd w:val="clear" w:color="auto" w:fill="auto"/>
            <w:noWrap/>
            <w:vAlign w:val="bottom"/>
            <w:hideMark/>
          </w:tcPr>
          <w:p w14:paraId="73A93E40"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1.09,2.30</w:t>
            </w:r>
          </w:p>
        </w:tc>
      </w:tr>
      <w:tr w:rsidR="00FD76BD" w:rsidRPr="00FD76BD" w14:paraId="136D73D6" w14:textId="77777777" w:rsidTr="00063136">
        <w:trPr>
          <w:trHeight w:val="205"/>
        </w:trPr>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E9A4FA"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PTSD caseness</w:t>
            </w:r>
          </w:p>
        </w:tc>
        <w:tc>
          <w:tcPr>
            <w:tcW w:w="1576" w:type="dxa"/>
            <w:tcBorders>
              <w:top w:val="single" w:sz="4" w:space="0" w:color="auto"/>
              <w:left w:val="nil"/>
              <w:bottom w:val="nil"/>
              <w:right w:val="nil"/>
            </w:tcBorders>
            <w:shd w:val="clear" w:color="auto" w:fill="auto"/>
            <w:noWrap/>
            <w:vAlign w:val="bottom"/>
            <w:hideMark/>
          </w:tcPr>
          <w:p w14:paraId="176AF6B8"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Full sample</w:t>
            </w:r>
          </w:p>
        </w:tc>
        <w:tc>
          <w:tcPr>
            <w:tcW w:w="761" w:type="dxa"/>
            <w:tcBorders>
              <w:top w:val="single" w:sz="4" w:space="0" w:color="auto"/>
              <w:left w:val="single" w:sz="4" w:space="0" w:color="auto"/>
              <w:bottom w:val="nil"/>
              <w:right w:val="nil"/>
            </w:tcBorders>
            <w:shd w:val="clear" w:color="auto" w:fill="auto"/>
            <w:noWrap/>
            <w:vAlign w:val="bottom"/>
            <w:hideMark/>
          </w:tcPr>
          <w:p w14:paraId="7D87B9E5"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187</w:t>
            </w:r>
          </w:p>
        </w:tc>
        <w:tc>
          <w:tcPr>
            <w:tcW w:w="1268" w:type="dxa"/>
            <w:tcBorders>
              <w:top w:val="single" w:sz="4" w:space="0" w:color="auto"/>
              <w:left w:val="nil"/>
              <w:bottom w:val="nil"/>
              <w:right w:val="single" w:sz="4" w:space="0" w:color="auto"/>
            </w:tcBorders>
            <w:shd w:val="clear" w:color="auto" w:fill="auto"/>
            <w:noWrap/>
            <w:vAlign w:val="bottom"/>
            <w:hideMark/>
          </w:tcPr>
          <w:p w14:paraId="5AF38A3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7.9%</w:t>
            </w:r>
          </w:p>
        </w:tc>
        <w:tc>
          <w:tcPr>
            <w:tcW w:w="947" w:type="dxa"/>
            <w:tcBorders>
              <w:top w:val="single" w:sz="4" w:space="0" w:color="auto"/>
              <w:left w:val="nil"/>
              <w:bottom w:val="nil"/>
              <w:right w:val="nil"/>
            </w:tcBorders>
            <w:shd w:val="clear" w:color="auto" w:fill="auto"/>
            <w:noWrap/>
            <w:vAlign w:val="bottom"/>
            <w:hideMark/>
          </w:tcPr>
          <w:p w14:paraId="4C0A3BEB"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293</w:t>
            </w:r>
          </w:p>
        </w:tc>
        <w:tc>
          <w:tcPr>
            <w:tcW w:w="1082" w:type="dxa"/>
            <w:tcBorders>
              <w:top w:val="nil"/>
              <w:left w:val="nil"/>
              <w:bottom w:val="nil"/>
              <w:right w:val="single" w:sz="4" w:space="0" w:color="auto"/>
            </w:tcBorders>
            <w:shd w:val="clear" w:color="auto" w:fill="auto"/>
            <w:noWrap/>
            <w:vAlign w:val="bottom"/>
            <w:hideMark/>
          </w:tcPr>
          <w:p w14:paraId="3FA97B5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5.2%</w:t>
            </w:r>
          </w:p>
        </w:tc>
        <w:tc>
          <w:tcPr>
            <w:tcW w:w="1195" w:type="dxa"/>
            <w:tcBorders>
              <w:top w:val="single" w:sz="4" w:space="0" w:color="auto"/>
              <w:left w:val="nil"/>
              <w:bottom w:val="nil"/>
              <w:right w:val="nil"/>
            </w:tcBorders>
            <w:shd w:val="clear" w:color="auto" w:fill="auto"/>
            <w:noWrap/>
            <w:vAlign w:val="bottom"/>
            <w:hideMark/>
          </w:tcPr>
          <w:p w14:paraId="63ED91B1" w14:textId="1AD9C75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1.57</w:t>
            </w:r>
          </w:p>
        </w:tc>
        <w:tc>
          <w:tcPr>
            <w:tcW w:w="1372" w:type="dxa"/>
            <w:tcBorders>
              <w:top w:val="single" w:sz="4" w:space="0" w:color="auto"/>
              <w:left w:val="nil"/>
              <w:bottom w:val="nil"/>
              <w:right w:val="nil"/>
            </w:tcBorders>
            <w:shd w:val="clear" w:color="auto" w:fill="auto"/>
            <w:noWrap/>
            <w:vAlign w:val="bottom"/>
            <w:hideMark/>
          </w:tcPr>
          <w:p w14:paraId="2BFB3261"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1.19,2.07</w:t>
            </w:r>
          </w:p>
        </w:tc>
        <w:tc>
          <w:tcPr>
            <w:tcW w:w="1195" w:type="dxa"/>
            <w:tcBorders>
              <w:top w:val="single" w:sz="4" w:space="0" w:color="auto"/>
              <w:left w:val="single" w:sz="4" w:space="0" w:color="auto"/>
              <w:bottom w:val="nil"/>
              <w:right w:val="nil"/>
            </w:tcBorders>
            <w:shd w:val="clear" w:color="auto" w:fill="auto"/>
            <w:noWrap/>
            <w:vAlign w:val="bottom"/>
            <w:hideMark/>
          </w:tcPr>
          <w:p w14:paraId="5EC88F79" w14:textId="6050E05A"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2.29</w:t>
            </w:r>
          </w:p>
        </w:tc>
        <w:tc>
          <w:tcPr>
            <w:tcW w:w="1372" w:type="dxa"/>
            <w:tcBorders>
              <w:top w:val="single" w:sz="4" w:space="0" w:color="auto"/>
              <w:left w:val="nil"/>
              <w:bottom w:val="nil"/>
              <w:right w:val="nil"/>
            </w:tcBorders>
            <w:shd w:val="clear" w:color="auto" w:fill="auto"/>
            <w:noWrap/>
            <w:vAlign w:val="bottom"/>
            <w:hideMark/>
          </w:tcPr>
          <w:p w14:paraId="4F3505CC"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1.67,3.14</w:t>
            </w:r>
          </w:p>
        </w:tc>
        <w:tc>
          <w:tcPr>
            <w:tcW w:w="1118" w:type="dxa"/>
            <w:tcBorders>
              <w:top w:val="single" w:sz="4" w:space="0" w:color="auto"/>
              <w:left w:val="single" w:sz="4" w:space="0" w:color="auto"/>
              <w:bottom w:val="nil"/>
              <w:right w:val="nil"/>
            </w:tcBorders>
            <w:shd w:val="clear" w:color="auto" w:fill="auto"/>
            <w:noWrap/>
            <w:vAlign w:val="bottom"/>
            <w:hideMark/>
          </w:tcPr>
          <w:p w14:paraId="402C5214" w14:textId="19BBCE11"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2.77</w:t>
            </w:r>
          </w:p>
        </w:tc>
        <w:tc>
          <w:tcPr>
            <w:tcW w:w="1450" w:type="dxa"/>
            <w:tcBorders>
              <w:top w:val="single" w:sz="4" w:space="0" w:color="auto"/>
              <w:left w:val="nil"/>
              <w:bottom w:val="nil"/>
              <w:right w:val="single" w:sz="4" w:space="0" w:color="auto"/>
            </w:tcBorders>
            <w:shd w:val="clear" w:color="auto" w:fill="auto"/>
            <w:noWrap/>
            <w:vAlign w:val="bottom"/>
            <w:hideMark/>
          </w:tcPr>
          <w:p w14:paraId="7F55A37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1.95,3.94</w:t>
            </w:r>
          </w:p>
        </w:tc>
      </w:tr>
      <w:tr w:rsidR="00FD76BD" w:rsidRPr="00FD76BD" w14:paraId="341DBC23" w14:textId="77777777" w:rsidTr="00063136">
        <w:trPr>
          <w:trHeight w:val="205"/>
        </w:trPr>
        <w:tc>
          <w:tcPr>
            <w:tcW w:w="2689" w:type="dxa"/>
            <w:vMerge/>
            <w:tcBorders>
              <w:top w:val="nil"/>
              <w:left w:val="single" w:sz="4" w:space="0" w:color="auto"/>
              <w:bottom w:val="single" w:sz="4" w:space="0" w:color="000000"/>
              <w:right w:val="single" w:sz="4" w:space="0" w:color="auto"/>
            </w:tcBorders>
            <w:vAlign w:val="center"/>
            <w:hideMark/>
          </w:tcPr>
          <w:p w14:paraId="69019D99"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nil"/>
              <w:right w:val="nil"/>
            </w:tcBorders>
            <w:shd w:val="clear" w:color="auto" w:fill="auto"/>
            <w:noWrap/>
            <w:vAlign w:val="bottom"/>
            <w:hideMark/>
          </w:tcPr>
          <w:p w14:paraId="7E07F402"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Working</w:t>
            </w:r>
          </w:p>
        </w:tc>
        <w:tc>
          <w:tcPr>
            <w:tcW w:w="761" w:type="dxa"/>
            <w:tcBorders>
              <w:top w:val="nil"/>
              <w:left w:val="single" w:sz="4" w:space="0" w:color="auto"/>
              <w:bottom w:val="nil"/>
              <w:right w:val="nil"/>
            </w:tcBorders>
            <w:shd w:val="clear" w:color="auto" w:fill="auto"/>
            <w:noWrap/>
            <w:vAlign w:val="bottom"/>
            <w:hideMark/>
          </w:tcPr>
          <w:p w14:paraId="1228F37B"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143</w:t>
            </w:r>
          </w:p>
        </w:tc>
        <w:tc>
          <w:tcPr>
            <w:tcW w:w="1268" w:type="dxa"/>
            <w:tcBorders>
              <w:top w:val="nil"/>
              <w:left w:val="nil"/>
              <w:bottom w:val="nil"/>
              <w:right w:val="single" w:sz="4" w:space="0" w:color="auto"/>
            </w:tcBorders>
            <w:shd w:val="clear" w:color="auto" w:fill="auto"/>
            <w:noWrap/>
            <w:vAlign w:val="bottom"/>
            <w:hideMark/>
          </w:tcPr>
          <w:p w14:paraId="481167CF"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6.7%</w:t>
            </w:r>
          </w:p>
        </w:tc>
        <w:tc>
          <w:tcPr>
            <w:tcW w:w="947" w:type="dxa"/>
            <w:tcBorders>
              <w:top w:val="nil"/>
              <w:left w:val="nil"/>
              <w:bottom w:val="nil"/>
              <w:right w:val="nil"/>
            </w:tcBorders>
            <w:shd w:val="clear" w:color="auto" w:fill="auto"/>
            <w:noWrap/>
            <w:vAlign w:val="bottom"/>
            <w:hideMark/>
          </w:tcPr>
          <w:p w14:paraId="5EC85DE5"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100</w:t>
            </w:r>
          </w:p>
        </w:tc>
        <w:tc>
          <w:tcPr>
            <w:tcW w:w="1082" w:type="dxa"/>
            <w:tcBorders>
              <w:top w:val="nil"/>
              <w:left w:val="nil"/>
              <w:bottom w:val="nil"/>
              <w:right w:val="single" w:sz="4" w:space="0" w:color="auto"/>
            </w:tcBorders>
            <w:shd w:val="clear" w:color="auto" w:fill="auto"/>
            <w:noWrap/>
            <w:vAlign w:val="bottom"/>
            <w:hideMark/>
          </w:tcPr>
          <w:p w14:paraId="47C6F108"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3.2%</w:t>
            </w:r>
          </w:p>
        </w:tc>
        <w:tc>
          <w:tcPr>
            <w:tcW w:w="1195" w:type="dxa"/>
            <w:tcBorders>
              <w:top w:val="nil"/>
              <w:left w:val="nil"/>
              <w:bottom w:val="nil"/>
              <w:right w:val="nil"/>
            </w:tcBorders>
            <w:shd w:val="clear" w:color="auto" w:fill="auto"/>
            <w:noWrap/>
            <w:vAlign w:val="bottom"/>
            <w:hideMark/>
          </w:tcPr>
          <w:p w14:paraId="3619ADC1" w14:textId="54DD0ED5"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2.16</w:t>
            </w:r>
          </w:p>
        </w:tc>
        <w:tc>
          <w:tcPr>
            <w:tcW w:w="1372" w:type="dxa"/>
            <w:tcBorders>
              <w:top w:val="nil"/>
              <w:left w:val="nil"/>
              <w:bottom w:val="nil"/>
              <w:right w:val="nil"/>
            </w:tcBorders>
            <w:shd w:val="clear" w:color="auto" w:fill="auto"/>
            <w:noWrap/>
            <w:vAlign w:val="bottom"/>
            <w:hideMark/>
          </w:tcPr>
          <w:p w14:paraId="122B8388"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1.47,3.19</w:t>
            </w:r>
          </w:p>
        </w:tc>
        <w:tc>
          <w:tcPr>
            <w:tcW w:w="1195" w:type="dxa"/>
            <w:tcBorders>
              <w:top w:val="nil"/>
              <w:left w:val="single" w:sz="4" w:space="0" w:color="auto"/>
              <w:bottom w:val="nil"/>
              <w:right w:val="nil"/>
            </w:tcBorders>
            <w:shd w:val="clear" w:color="auto" w:fill="auto"/>
            <w:noWrap/>
            <w:vAlign w:val="bottom"/>
            <w:hideMark/>
          </w:tcPr>
          <w:p w14:paraId="2A61B7A6" w14:textId="3F8EE51C"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2.74</w:t>
            </w:r>
          </w:p>
        </w:tc>
        <w:tc>
          <w:tcPr>
            <w:tcW w:w="1372" w:type="dxa"/>
            <w:tcBorders>
              <w:top w:val="nil"/>
              <w:left w:val="nil"/>
              <w:bottom w:val="nil"/>
              <w:right w:val="nil"/>
            </w:tcBorders>
            <w:shd w:val="clear" w:color="auto" w:fill="auto"/>
            <w:noWrap/>
            <w:vAlign w:val="bottom"/>
            <w:hideMark/>
          </w:tcPr>
          <w:p w14:paraId="01CF1A79"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1.81,4.13</w:t>
            </w:r>
          </w:p>
        </w:tc>
        <w:tc>
          <w:tcPr>
            <w:tcW w:w="1118" w:type="dxa"/>
            <w:tcBorders>
              <w:top w:val="nil"/>
              <w:left w:val="single" w:sz="4" w:space="0" w:color="auto"/>
              <w:bottom w:val="nil"/>
              <w:right w:val="nil"/>
            </w:tcBorders>
            <w:shd w:val="clear" w:color="auto" w:fill="auto"/>
            <w:noWrap/>
            <w:vAlign w:val="bottom"/>
            <w:hideMark/>
          </w:tcPr>
          <w:p w14:paraId="01374C28" w14:textId="67F833F1"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2.76</w:t>
            </w:r>
          </w:p>
        </w:tc>
        <w:tc>
          <w:tcPr>
            <w:tcW w:w="1450" w:type="dxa"/>
            <w:tcBorders>
              <w:top w:val="nil"/>
              <w:left w:val="nil"/>
              <w:bottom w:val="nil"/>
              <w:right w:val="single" w:sz="4" w:space="0" w:color="auto"/>
            </w:tcBorders>
            <w:shd w:val="clear" w:color="auto" w:fill="auto"/>
            <w:noWrap/>
            <w:vAlign w:val="bottom"/>
            <w:hideMark/>
          </w:tcPr>
          <w:p w14:paraId="417156D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1.82,4.20</w:t>
            </w:r>
          </w:p>
        </w:tc>
      </w:tr>
      <w:tr w:rsidR="00FD76BD" w:rsidRPr="00FD76BD" w14:paraId="4493E4DE" w14:textId="77777777" w:rsidTr="00063136">
        <w:trPr>
          <w:trHeight w:val="205"/>
        </w:trPr>
        <w:tc>
          <w:tcPr>
            <w:tcW w:w="2689" w:type="dxa"/>
            <w:vMerge/>
            <w:tcBorders>
              <w:top w:val="nil"/>
              <w:left w:val="single" w:sz="4" w:space="0" w:color="auto"/>
              <w:bottom w:val="single" w:sz="4" w:space="0" w:color="000000"/>
              <w:right w:val="single" w:sz="4" w:space="0" w:color="auto"/>
            </w:tcBorders>
            <w:vAlign w:val="center"/>
            <w:hideMark/>
          </w:tcPr>
          <w:p w14:paraId="73C7545E"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nil"/>
              <w:right w:val="nil"/>
            </w:tcBorders>
            <w:shd w:val="clear" w:color="auto" w:fill="auto"/>
            <w:noWrap/>
            <w:vAlign w:val="bottom"/>
            <w:hideMark/>
          </w:tcPr>
          <w:p w14:paraId="40FC8931"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Non-working</w:t>
            </w:r>
          </w:p>
        </w:tc>
        <w:tc>
          <w:tcPr>
            <w:tcW w:w="761" w:type="dxa"/>
            <w:tcBorders>
              <w:top w:val="nil"/>
              <w:left w:val="single" w:sz="4" w:space="0" w:color="auto"/>
              <w:bottom w:val="single" w:sz="4" w:space="0" w:color="auto"/>
              <w:right w:val="nil"/>
            </w:tcBorders>
            <w:shd w:val="clear" w:color="auto" w:fill="auto"/>
            <w:noWrap/>
            <w:vAlign w:val="bottom"/>
            <w:hideMark/>
          </w:tcPr>
          <w:p w14:paraId="3327FE2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44</w:t>
            </w:r>
          </w:p>
        </w:tc>
        <w:tc>
          <w:tcPr>
            <w:tcW w:w="1268" w:type="dxa"/>
            <w:tcBorders>
              <w:top w:val="nil"/>
              <w:left w:val="nil"/>
              <w:bottom w:val="single" w:sz="4" w:space="0" w:color="auto"/>
              <w:right w:val="single" w:sz="4" w:space="0" w:color="auto"/>
            </w:tcBorders>
            <w:shd w:val="clear" w:color="auto" w:fill="auto"/>
            <w:noWrap/>
            <w:vAlign w:val="bottom"/>
            <w:hideMark/>
          </w:tcPr>
          <w:p w14:paraId="204D365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19.2%</w:t>
            </w:r>
          </w:p>
        </w:tc>
        <w:tc>
          <w:tcPr>
            <w:tcW w:w="947" w:type="dxa"/>
            <w:tcBorders>
              <w:top w:val="nil"/>
              <w:left w:val="nil"/>
              <w:bottom w:val="single" w:sz="4" w:space="0" w:color="auto"/>
              <w:right w:val="nil"/>
            </w:tcBorders>
            <w:shd w:val="clear" w:color="auto" w:fill="auto"/>
            <w:noWrap/>
            <w:vAlign w:val="bottom"/>
            <w:hideMark/>
          </w:tcPr>
          <w:p w14:paraId="4D29A4B5"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193</w:t>
            </w:r>
          </w:p>
        </w:tc>
        <w:tc>
          <w:tcPr>
            <w:tcW w:w="1082" w:type="dxa"/>
            <w:tcBorders>
              <w:top w:val="nil"/>
              <w:left w:val="nil"/>
              <w:bottom w:val="single" w:sz="4" w:space="0" w:color="auto"/>
              <w:right w:val="single" w:sz="4" w:space="0" w:color="auto"/>
            </w:tcBorders>
            <w:shd w:val="clear" w:color="auto" w:fill="auto"/>
            <w:noWrap/>
            <w:vAlign w:val="bottom"/>
            <w:hideMark/>
          </w:tcPr>
          <w:p w14:paraId="51A08114"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11.8%</w:t>
            </w:r>
          </w:p>
        </w:tc>
        <w:tc>
          <w:tcPr>
            <w:tcW w:w="1195" w:type="dxa"/>
            <w:tcBorders>
              <w:top w:val="nil"/>
              <w:left w:val="nil"/>
              <w:bottom w:val="single" w:sz="4" w:space="0" w:color="auto"/>
              <w:right w:val="nil"/>
            </w:tcBorders>
            <w:shd w:val="clear" w:color="auto" w:fill="auto"/>
            <w:noWrap/>
            <w:vAlign w:val="bottom"/>
            <w:hideMark/>
          </w:tcPr>
          <w:p w14:paraId="1584C77E" w14:textId="439B7F7C"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1.78</w:t>
            </w:r>
          </w:p>
        </w:tc>
        <w:tc>
          <w:tcPr>
            <w:tcW w:w="1372" w:type="dxa"/>
            <w:tcBorders>
              <w:top w:val="nil"/>
              <w:left w:val="nil"/>
              <w:bottom w:val="single" w:sz="4" w:space="0" w:color="auto"/>
              <w:right w:val="nil"/>
            </w:tcBorders>
            <w:shd w:val="clear" w:color="auto" w:fill="auto"/>
            <w:noWrap/>
            <w:vAlign w:val="bottom"/>
            <w:hideMark/>
          </w:tcPr>
          <w:p w14:paraId="21E5DD7B"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1.11,2.84</w:t>
            </w:r>
          </w:p>
        </w:tc>
        <w:tc>
          <w:tcPr>
            <w:tcW w:w="1195" w:type="dxa"/>
            <w:tcBorders>
              <w:top w:val="nil"/>
              <w:left w:val="single" w:sz="4" w:space="0" w:color="auto"/>
              <w:bottom w:val="single" w:sz="4" w:space="0" w:color="auto"/>
              <w:right w:val="nil"/>
            </w:tcBorders>
            <w:shd w:val="clear" w:color="auto" w:fill="auto"/>
            <w:noWrap/>
            <w:vAlign w:val="bottom"/>
            <w:hideMark/>
          </w:tcPr>
          <w:p w14:paraId="0A6E6DB6" w14:textId="2FC1096E"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2.45</w:t>
            </w:r>
          </w:p>
        </w:tc>
        <w:tc>
          <w:tcPr>
            <w:tcW w:w="1372" w:type="dxa"/>
            <w:tcBorders>
              <w:top w:val="nil"/>
              <w:left w:val="nil"/>
              <w:bottom w:val="single" w:sz="4" w:space="0" w:color="auto"/>
              <w:right w:val="nil"/>
            </w:tcBorders>
            <w:shd w:val="clear" w:color="auto" w:fill="auto"/>
            <w:noWrap/>
            <w:vAlign w:val="bottom"/>
            <w:hideMark/>
          </w:tcPr>
          <w:p w14:paraId="4973912B"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1.34,4.47</w:t>
            </w:r>
          </w:p>
        </w:tc>
        <w:tc>
          <w:tcPr>
            <w:tcW w:w="1118" w:type="dxa"/>
            <w:tcBorders>
              <w:top w:val="nil"/>
              <w:left w:val="single" w:sz="4" w:space="0" w:color="auto"/>
              <w:bottom w:val="single" w:sz="4" w:space="0" w:color="auto"/>
              <w:right w:val="nil"/>
            </w:tcBorders>
            <w:shd w:val="clear" w:color="auto" w:fill="auto"/>
            <w:noWrap/>
            <w:vAlign w:val="bottom"/>
            <w:hideMark/>
          </w:tcPr>
          <w:p w14:paraId="71950558" w14:textId="1B939CFA"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2.86</w:t>
            </w:r>
          </w:p>
        </w:tc>
        <w:tc>
          <w:tcPr>
            <w:tcW w:w="1450" w:type="dxa"/>
            <w:tcBorders>
              <w:top w:val="nil"/>
              <w:left w:val="nil"/>
              <w:bottom w:val="single" w:sz="4" w:space="0" w:color="auto"/>
              <w:right w:val="single" w:sz="4" w:space="0" w:color="auto"/>
            </w:tcBorders>
            <w:shd w:val="clear" w:color="auto" w:fill="auto"/>
            <w:noWrap/>
            <w:vAlign w:val="bottom"/>
            <w:hideMark/>
          </w:tcPr>
          <w:p w14:paraId="7CFB024B"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1.49,5.50</w:t>
            </w:r>
          </w:p>
        </w:tc>
      </w:tr>
      <w:tr w:rsidR="00FD76BD" w:rsidRPr="00FD76BD" w14:paraId="462F2A90" w14:textId="77777777" w:rsidTr="00063136">
        <w:trPr>
          <w:trHeight w:val="205"/>
        </w:trPr>
        <w:tc>
          <w:tcPr>
            <w:tcW w:w="2689" w:type="dxa"/>
            <w:vMerge w:val="restart"/>
            <w:tcBorders>
              <w:top w:val="nil"/>
              <w:left w:val="single" w:sz="4" w:space="0" w:color="auto"/>
              <w:bottom w:val="nil"/>
              <w:right w:val="single" w:sz="4" w:space="0" w:color="auto"/>
            </w:tcBorders>
            <w:shd w:val="clear" w:color="auto" w:fill="auto"/>
            <w:noWrap/>
            <w:vAlign w:val="center"/>
            <w:hideMark/>
          </w:tcPr>
          <w:p w14:paraId="78BFE898"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Alcohol misuses (16+)</w:t>
            </w:r>
          </w:p>
        </w:tc>
        <w:tc>
          <w:tcPr>
            <w:tcW w:w="1576" w:type="dxa"/>
            <w:tcBorders>
              <w:top w:val="single" w:sz="4" w:space="0" w:color="auto"/>
              <w:left w:val="nil"/>
              <w:bottom w:val="nil"/>
              <w:right w:val="nil"/>
            </w:tcBorders>
            <w:shd w:val="clear" w:color="auto" w:fill="auto"/>
            <w:noWrap/>
            <w:vAlign w:val="bottom"/>
            <w:hideMark/>
          </w:tcPr>
          <w:p w14:paraId="754B0826"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Full sample</w:t>
            </w:r>
          </w:p>
        </w:tc>
        <w:tc>
          <w:tcPr>
            <w:tcW w:w="761" w:type="dxa"/>
            <w:tcBorders>
              <w:top w:val="nil"/>
              <w:left w:val="single" w:sz="4" w:space="0" w:color="auto"/>
              <w:bottom w:val="nil"/>
              <w:right w:val="nil"/>
            </w:tcBorders>
            <w:shd w:val="clear" w:color="auto" w:fill="auto"/>
            <w:noWrap/>
            <w:vAlign w:val="bottom"/>
            <w:hideMark/>
          </w:tcPr>
          <w:p w14:paraId="5A84A099"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264</w:t>
            </w:r>
          </w:p>
        </w:tc>
        <w:tc>
          <w:tcPr>
            <w:tcW w:w="1268" w:type="dxa"/>
            <w:tcBorders>
              <w:top w:val="nil"/>
              <w:left w:val="nil"/>
              <w:bottom w:val="nil"/>
              <w:right w:val="single" w:sz="4" w:space="0" w:color="auto"/>
            </w:tcBorders>
            <w:shd w:val="clear" w:color="auto" w:fill="auto"/>
            <w:noWrap/>
            <w:vAlign w:val="bottom"/>
            <w:hideMark/>
          </w:tcPr>
          <w:p w14:paraId="2D120518"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10.7%</w:t>
            </w:r>
          </w:p>
        </w:tc>
        <w:tc>
          <w:tcPr>
            <w:tcW w:w="947" w:type="dxa"/>
            <w:tcBorders>
              <w:top w:val="nil"/>
              <w:left w:val="nil"/>
              <w:bottom w:val="nil"/>
              <w:right w:val="nil"/>
            </w:tcBorders>
            <w:shd w:val="clear" w:color="auto" w:fill="auto"/>
            <w:noWrap/>
            <w:vAlign w:val="bottom"/>
            <w:hideMark/>
          </w:tcPr>
          <w:p w14:paraId="275A38B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175</w:t>
            </w:r>
          </w:p>
        </w:tc>
        <w:tc>
          <w:tcPr>
            <w:tcW w:w="1082" w:type="dxa"/>
            <w:tcBorders>
              <w:top w:val="nil"/>
              <w:left w:val="nil"/>
              <w:bottom w:val="nil"/>
              <w:right w:val="single" w:sz="4" w:space="0" w:color="auto"/>
            </w:tcBorders>
            <w:shd w:val="clear" w:color="auto" w:fill="auto"/>
            <w:noWrap/>
            <w:vAlign w:val="bottom"/>
            <w:hideMark/>
          </w:tcPr>
          <w:p w14:paraId="4B3DC95F"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5.7%</w:t>
            </w:r>
          </w:p>
        </w:tc>
        <w:tc>
          <w:tcPr>
            <w:tcW w:w="1195" w:type="dxa"/>
            <w:tcBorders>
              <w:top w:val="nil"/>
              <w:left w:val="nil"/>
              <w:bottom w:val="nil"/>
              <w:right w:val="nil"/>
            </w:tcBorders>
            <w:shd w:val="clear" w:color="auto" w:fill="auto"/>
            <w:noWrap/>
            <w:vAlign w:val="bottom"/>
            <w:hideMark/>
          </w:tcPr>
          <w:p w14:paraId="1C633102" w14:textId="37ED9D69"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1.98</w:t>
            </w:r>
          </w:p>
        </w:tc>
        <w:tc>
          <w:tcPr>
            <w:tcW w:w="1372" w:type="dxa"/>
            <w:tcBorders>
              <w:top w:val="nil"/>
              <w:left w:val="nil"/>
              <w:bottom w:val="nil"/>
              <w:right w:val="single" w:sz="4" w:space="0" w:color="auto"/>
            </w:tcBorders>
            <w:shd w:val="clear" w:color="auto" w:fill="auto"/>
            <w:noWrap/>
            <w:vAlign w:val="bottom"/>
            <w:hideMark/>
          </w:tcPr>
          <w:p w14:paraId="245BD7FE"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1.51,2.59</w:t>
            </w:r>
          </w:p>
        </w:tc>
        <w:tc>
          <w:tcPr>
            <w:tcW w:w="1195" w:type="dxa"/>
            <w:tcBorders>
              <w:top w:val="nil"/>
              <w:left w:val="nil"/>
              <w:bottom w:val="nil"/>
              <w:right w:val="nil"/>
            </w:tcBorders>
            <w:shd w:val="clear" w:color="auto" w:fill="auto"/>
            <w:noWrap/>
            <w:vAlign w:val="bottom"/>
            <w:hideMark/>
          </w:tcPr>
          <w:p w14:paraId="727A02F0" w14:textId="31BC9E76"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2.30</w:t>
            </w:r>
          </w:p>
        </w:tc>
        <w:tc>
          <w:tcPr>
            <w:tcW w:w="1372" w:type="dxa"/>
            <w:tcBorders>
              <w:top w:val="nil"/>
              <w:left w:val="nil"/>
              <w:bottom w:val="nil"/>
              <w:right w:val="nil"/>
            </w:tcBorders>
            <w:shd w:val="clear" w:color="auto" w:fill="auto"/>
            <w:noWrap/>
            <w:vAlign w:val="bottom"/>
            <w:hideMark/>
          </w:tcPr>
          <w:p w14:paraId="4DCF9EF5"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1.73,3.07</w:t>
            </w:r>
          </w:p>
        </w:tc>
        <w:tc>
          <w:tcPr>
            <w:tcW w:w="1118" w:type="dxa"/>
            <w:tcBorders>
              <w:top w:val="nil"/>
              <w:left w:val="single" w:sz="4" w:space="0" w:color="auto"/>
              <w:bottom w:val="nil"/>
              <w:right w:val="nil"/>
            </w:tcBorders>
            <w:shd w:val="clear" w:color="auto" w:fill="auto"/>
            <w:noWrap/>
            <w:vAlign w:val="bottom"/>
            <w:hideMark/>
          </w:tcPr>
          <w:p w14:paraId="3111FAE4" w14:textId="2C17DC20"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2.32</w:t>
            </w:r>
          </w:p>
        </w:tc>
        <w:tc>
          <w:tcPr>
            <w:tcW w:w="1450" w:type="dxa"/>
            <w:tcBorders>
              <w:top w:val="nil"/>
              <w:left w:val="nil"/>
              <w:bottom w:val="nil"/>
              <w:right w:val="single" w:sz="4" w:space="0" w:color="auto"/>
            </w:tcBorders>
            <w:shd w:val="clear" w:color="auto" w:fill="auto"/>
            <w:noWrap/>
            <w:vAlign w:val="bottom"/>
            <w:hideMark/>
          </w:tcPr>
          <w:p w14:paraId="19D2C729"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1.74,3.10</w:t>
            </w:r>
          </w:p>
        </w:tc>
      </w:tr>
      <w:tr w:rsidR="00FD76BD" w:rsidRPr="00FD76BD" w14:paraId="119DDE55" w14:textId="77777777" w:rsidTr="00063136">
        <w:trPr>
          <w:trHeight w:val="205"/>
        </w:trPr>
        <w:tc>
          <w:tcPr>
            <w:tcW w:w="2689" w:type="dxa"/>
            <w:vMerge/>
            <w:tcBorders>
              <w:top w:val="nil"/>
              <w:left w:val="single" w:sz="4" w:space="0" w:color="auto"/>
              <w:bottom w:val="nil"/>
              <w:right w:val="single" w:sz="4" w:space="0" w:color="auto"/>
            </w:tcBorders>
            <w:vAlign w:val="center"/>
            <w:hideMark/>
          </w:tcPr>
          <w:p w14:paraId="1A80B8C5"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nil"/>
              <w:right w:val="nil"/>
            </w:tcBorders>
            <w:shd w:val="clear" w:color="auto" w:fill="auto"/>
            <w:noWrap/>
            <w:vAlign w:val="bottom"/>
            <w:hideMark/>
          </w:tcPr>
          <w:p w14:paraId="573D2AF7"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Working</w:t>
            </w:r>
          </w:p>
        </w:tc>
        <w:tc>
          <w:tcPr>
            <w:tcW w:w="761" w:type="dxa"/>
            <w:tcBorders>
              <w:top w:val="nil"/>
              <w:left w:val="single" w:sz="4" w:space="0" w:color="auto"/>
              <w:bottom w:val="nil"/>
              <w:right w:val="nil"/>
            </w:tcBorders>
            <w:shd w:val="clear" w:color="auto" w:fill="auto"/>
            <w:noWrap/>
            <w:vAlign w:val="bottom"/>
            <w:hideMark/>
          </w:tcPr>
          <w:p w14:paraId="60A637EB"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228</w:t>
            </w:r>
          </w:p>
        </w:tc>
        <w:tc>
          <w:tcPr>
            <w:tcW w:w="1268" w:type="dxa"/>
            <w:tcBorders>
              <w:top w:val="nil"/>
              <w:left w:val="nil"/>
              <w:bottom w:val="nil"/>
              <w:right w:val="single" w:sz="4" w:space="0" w:color="auto"/>
            </w:tcBorders>
            <w:shd w:val="clear" w:color="auto" w:fill="auto"/>
            <w:noWrap/>
            <w:vAlign w:val="bottom"/>
            <w:hideMark/>
          </w:tcPr>
          <w:p w14:paraId="63BC2BAE"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10.6%</w:t>
            </w:r>
          </w:p>
        </w:tc>
        <w:tc>
          <w:tcPr>
            <w:tcW w:w="947" w:type="dxa"/>
            <w:tcBorders>
              <w:top w:val="nil"/>
              <w:left w:val="nil"/>
              <w:bottom w:val="nil"/>
              <w:right w:val="nil"/>
            </w:tcBorders>
            <w:shd w:val="clear" w:color="auto" w:fill="auto"/>
            <w:noWrap/>
            <w:vAlign w:val="bottom"/>
            <w:hideMark/>
          </w:tcPr>
          <w:p w14:paraId="44E48EF9"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103</w:t>
            </w:r>
          </w:p>
        </w:tc>
        <w:tc>
          <w:tcPr>
            <w:tcW w:w="1082" w:type="dxa"/>
            <w:tcBorders>
              <w:top w:val="nil"/>
              <w:left w:val="nil"/>
              <w:bottom w:val="nil"/>
              <w:right w:val="single" w:sz="4" w:space="0" w:color="auto"/>
            </w:tcBorders>
            <w:shd w:val="clear" w:color="auto" w:fill="auto"/>
            <w:noWrap/>
            <w:vAlign w:val="bottom"/>
            <w:hideMark/>
          </w:tcPr>
          <w:p w14:paraId="0F4DBB5B"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5.1%</w:t>
            </w:r>
          </w:p>
        </w:tc>
        <w:tc>
          <w:tcPr>
            <w:tcW w:w="1195" w:type="dxa"/>
            <w:tcBorders>
              <w:top w:val="nil"/>
              <w:left w:val="nil"/>
              <w:bottom w:val="nil"/>
              <w:right w:val="nil"/>
            </w:tcBorders>
            <w:shd w:val="clear" w:color="auto" w:fill="auto"/>
            <w:noWrap/>
            <w:vAlign w:val="bottom"/>
            <w:hideMark/>
          </w:tcPr>
          <w:p w14:paraId="34193DD1" w14:textId="2A648780"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2.20</w:t>
            </w:r>
          </w:p>
        </w:tc>
        <w:tc>
          <w:tcPr>
            <w:tcW w:w="1372" w:type="dxa"/>
            <w:tcBorders>
              <w:top w:val="nil"/>
              <w:left w:val="nil"/>
              <w:bottom w:val="nil"/>
              <w:right w:val="single" w:sz="4" w:space="0" w:color="auto"/>
            </w:tcBorders>
            <w:shd w:val="clear" w:color="auto" w:fill="auto"/>
            <w:noWrap/>
            <w:vAlign w:val="bottom"/>
            <w:hideMark/>
          </w:tcPr>
          <w:p w14:paraId="476557C3"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1.60,3.03</w:t>
            </w:r>
          </w:p>
        </w:tc>
        <w:tc>
          <w:tcPr>
            <w:tcW w:w="1195" w:type="dxa"/>
            <w:tcBorders>
              <w:top w:val="nil"/>
              <w:left w:val="nil"/>
              <w:bottom w:val="nil"/>
              <w:right w:val="nil"/>
            </w:tcBorders>
            <w:shd w:val="clear" w:color="auto" w:fill="auto"/>
            <w:noWrap/>
            <w:vAlign w:val="bottom"/>
            <w:hideMark/>
          </w:tcPr>
          <w:p w14:paraId="15E4AFB4" w14:textId="6DAF051A"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2.48</w:t>
            </w:r>
          </w:p>
        </w:tc>
        <w:tc>
          <w:tcPr>
            <w:tcW w:w="1372" w:type="dxa"/>
            <w:tcBorders>
              <w:top w:val="nil"/>
              <w:left w:val="nil"/>
              <w:bottom w:val="nil"/>
              <w:right w:val="nil"/>
            </w:tcBorders>
            <w:shd w:val="clear" w:color="auto" w:fill="auto"/>
            <w:noWrap/>
            <w:vAlign w:val="bottom"/>
            <w:hideMark/>
          </w:tcPr>
          <w:p w14:paraId="01355A65"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1.79,3.44</w:t>
            </w:r>
          </w:p>
        </w:tc>
        <w:tc>
          <w:tcPr>
            <w:tcW w:w="1118" w:type="dxa"/>
            <w:tcBorders>
              <w:top w:val="nil"/>
              <w:left w:val="single" w:sz="4" w:space="0" w:color="auto"/>
              <w:bottom w:val="nil"/>
              <w:right w:val="nil"/>
            </w:tcBorders>
            <w:shd w:val="clear" w:color="auto" w:fill="auto"/>
            <w:noWrap/>
            <w:vAlign w:val="bottom"/>
            <w:hideMark/>
          </w:tcPr>
          <w:p w14:paraId="76D98B89" w14:textId="6E639AD9"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2.59</w:t>
            </w:r>
          </w:p>
        </w:tc>
        <w:tc>
          <w:tcPr>
            <w:tcW w:w="1450" w:type="dxa"/>
            <w:tcBorders>
              <w:top w:val="nil"/>
              <w:left w:val="nil"/>
              <w:bottom w:val="nil"/>
              <w:right w:val="single" w:sz="4" w:space="0" w:color="auto"/>
            </w:tcBorders>
            <w:shd w:val="clear" w:color="auto" w:fill="auto"/>
            <w:noWrap/>
            <w:vAlign w:val="bottom"/>
            <w:hideMark/>
          </w:tcPr>
          <w:p w14:paraId="12CB057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1.84,3.65</w:t>
            </w:r>
          </w:p>
        </w:tc>
      </w:tr>
      <w:tr w:rsidR="00FD76BD" w:rsidRPr="00FD76BD" w14:paraId="4136DEE6" w14:textId="77777777" w:rsidTr="00063136">
        <w:trPr>
          <w:trHeight w:val="205"/>
        </w:trPr>
        <w:tc>
          <w:tcPr>
            <w:tcW w:w="2689" w:type="dxa"/>
            <w:vMerge/>
            <w:tcBorders>
              <w:top w:val="nil"/>
              <w:left w:val="single" w:sz="4" w:space="0" w:color="auto"/>
              <w:bottom w:val="nil"/>
              <w:right w:val="single" w:sz="4" w:space="0" w:color="auto"/>
            </w:tcBorders>
            <w:vAlign w:val="center"/>
            <w:hideMark/>
          </w:tcPr>
          <w:p w14:paraId="70672184"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nil"/>
              <w:right w:val="nil"/>
            </w:tcBorders>
            <w:shd w:val="clear" w:color="auto" w:fill="auto"/>
            <w:noWrap/>
            <w:vAlign w:val="bottom"/>
            <w:hideMark/>
          </w:tcPr>
          <w:p w14:paraId="3F7DBF76"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Non-working</w:t>
            </w:r>
          </w:p>
        </w:tc>
        <w:tc>
          <w:tcPr>
            <w:tcW w:w="761" w:type="dxa"/>
            <w:tcBorders>
              <w:top w:val="nil"/>
              <w:left w:val="single" w:sz="4" w:space="0" w:color="auto"/>
              <w:bottom w:val="nil"/>
              <w:right w:val="nil"/>
            </w:tcBorders>
            <w:shd w:val="clear" w:color="auto" w:fill="auto"/>
            <w:noWrap/>
            <w:vAlign w:val="bottom"/>
            <w:hideMark/>
          </w:tcPr>
          <w:p w14:paraId="5626EB1B"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36</w:t>
            </w:r>
          </w:p>
        </w:tc>
        <w:tc>
          <w:tcPr>
            <w:tcW w:w="1268" w:type="dxa"/>
            <w:tcBorders>
              <w:top w:val="nil"/>
              <w:left w:val="nil"/>
              <w:bottom w:val="nil"/>
              <w:right w:val="single" w:sz="4" w:space="0" w:color="auto"/>
            </w:tcBorders>
            <w:shd w:val="clear" w:color="auto" w:fill="auto"/>
            <w:noWrap/>
            <w:vAlign w:val="bottom"/>
            <w:hideMark/>
          </w:tcPr>
          <w:p w14:paraId="2E165176"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11.6%</w:t>
            </w:r>
          </w:p>
        </w:tc>
        <w:tc>
          <w:tcPr>
            <w:tcW w:w="947" w:type="dxa"/>
            <w:tcBorders>
              <w:top w:val="nil"/>
              <w:left w:val="nil"/>
              <w:bottom w:val="nil"/>
              <w:right w:val="nil"/>
            </w:tcBorders>
            <w:shd w:val="clear" w:color="auto" w:fill="auto"/>
            <w:noWrap/>
            <w:vAlign w:val="bottom"/>
            <w:hideMark/>
          </w:tcPr>
          <w:p w14:paraId="293FEFDD"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72</w:t>
            </w:r>
          </w:p>
        </w:tc>
        <w:tc>
          <w:tcPr>
            <w:tcW w:w="1082" w:type="dxa"/>
            <w:tcBorders>
              <w:top w:val="nil"/>
              <w:left w:val="nil"/>
              <w:bottom w:val="nil"/>
              <w:right w:val="single" w:sz="4" w:space="0" w:color="auto"/>
            </w:tcBorders>
            <w:shd w:val="clear" w:color="auto" w:fill="auto"/>
            <w:noWrap/>
            <w:vAlign w:val="bottom"/>
            <w:hideMark/>
          </w:tcPr>
          <w:p w14:paraId="14E1BC84"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7.8%</w:t>
            </w:r>
          </w:p>
        </w:tc>
        <w:tc>
          <w:tcPr>
            <w:tcW w:w="1195" w:type="dxa"/>
            <w:tcBorders>
              <w:top w:val="nil"/>
              <w:left w:val="nil"/>
              <w:bottom w:val="nil"/>
              <w:right w:val="nil"/>
            </w:tcBorders>
            <w:shd w:val="clear" w:color="auto" w:fill="auto"/>
            <w:noWrap/>
            <w:vAlign w:val="bottom"/>
            <w:hideMark/>
          </w:tcPr>
          <w:p w14:paraId="3309D584"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1.56</w:t>
            </w:r>
          </w:p>
        </w:tc>
        <w:tc>
          <w:tcPr>
            <w:tcW w:w="1372" w:type="dxa"/>
            <w:tcBorders>
              <w:top w:val="nil"/>
              <w:left w:val="nil"/>
              <w:bottom w:val="nil"/>
              <w:right w:val="single" w:sz="4" w:space="0" w:color="auto"/>
            </w:tcBorders>
            <w:shd w:val="clear" w:color="auto" w:fill="auto"/>
            <w:noWrap/>
            <w:vAlign w:val="bottom"/>
            <w:hideMark/>
          </w:tcPr>
          <w:p w14:paraId="1B51005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0.90,2.70</w:t>
            </w:r>
          </w:p>
        </w:tc>
        <w:tc>
          <w:tcPr>
            <w:tcW w:w="1195" w:type="dxa"/>
            <w:tcBorders>
              <w:top w:val="nil"/>
              <w:left w:val="nil"/>
              <w:bottom w:val="nil"/>
              <w:right w:val="nil"/>
            </w:tcBorders>
            <w:shd w:val="clear" w:color="auto" w:fill="auto"/>
            <w:noWrap/>
            <w:vAlign w:val="bottom"/>
            <w:hideMark/>
          </w:tcPr>
          <w:p w14:paraId="0D861BB0" w14:textId="5C77572C"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1.66</w:t>
            </w:r>
          </w:p>
        </w:tc>
        <w:tc>
          <w:tcPr>
            <w:tcW w:w="1372" w:type="dxa"/>
            <w:tcBorders>
              <w:top w:val="nil"/>
              <w:left w:val="nil"/>
              <w:bottom w:val="nil"/>
              <w:right w:val="nil"/>
            </w:tcBorders>
            <w:shd w:val="clear" w:color="auto" w:fill="auto"/>
            <w:noWrap/>
            <w:vAlign w:val="bottom"/>
            <w:hideMark/>
          </w:tcPr>
          <w:p w14:paraId="6CE0F6DE"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0.91,3.01</w:t>
            </w:r>
          </w:p>
        </w:tc>
        <w:tc>
          <w:tcPr>
            <w:tcW w:w="1118" w:type="dxa"/>
            <w:tcBorders>
              <w:top w:val="nil"/>
              <w:left w:val="single" w:sz="4" w:space="0" w:color="auto"/>
              <w:bottom w:val="nil"/>
              <w:right w:val="nil"/>
            </w:tcBorders>
            <w:shd w:val="clear" w:color="auto" w:fill="auto"/>
            <w:noWrap/>
            <w:vAlign w:val="bottom"/>
            <w:hideMark/>
          </w:tcPr>
          <w:p w14:paraId="0D6B8AE1"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1.40</w:t>
            </w:r>
          </w:p>
        </w:tc>
        <w:tc>
          <w:tcPr>
            <w:tcW w:w="1450" w:type="dxa"/>
            <w:tcBorders>
              <w:top w:val="nil"/>
              <w:left w:val="nil"/>
              <w:bottom w:val="nil"/>
              <w:right w:val="single" w:sz="4" w:space="0" w:color="auto"/>
            </w:tcBorders>
            <w:shd w:val="clear" w:color="auto" w:fill="auto"/>
            <w:noWrap/>
            <w:vAlign w:val="bottom"/>
            <w:hideMark/>
          </w:tcPr>
          <w:p w14:paraId="71BB8053"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0.75,2.61</w:t>
            </w:r>
          </w:p>
        </w:tc>
      </w:tr>
      <w:tr w:rsidR="00FD76BD" w:rsidRPr="00FD76BD" w14:paraId="4D8151C7" w14:textId="77777777" w:rsidTr="00063136">
        <w:trPr>
          <w:trHeight w:val="205"/>
        </w:trPr>
        <w:tc>
          <w:tcPr>
            <w:tcW w:w="2689" w:type="dxa"/>
            <w:tcBorders>
              <w:top w:val="single" w:sz="4" w:space="0" w:color="auto"/>
              <w:left w:val="single" w:sz="4" w:space="0" w:color="auto"/>
              <w:bottom w:val="single" w:sz="4" w:space="0" w:color="auto"/>
              <w:right w:val="nil"/>
            </w:tcBorders>
            <w:shd w:val="clear" w:color="auto" w:fill="auto"/>
            <w:noWrap/>
            <w:vAlign w:val="center"/>
            <w:hideMark/>
          </w:tcPr>
          <w:p w14:paraId="7111E303"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MEN</w:t>
            </w:r>
          </w:p>
        </w:tc>
        <w:tc>
          <w:tcPr>
            <w:tcW w:w="1576" w:type="dxa"/>
            <w:tcBorders>
              <w:top w:val="single" w:sz="4" w:space="0" w:color="auto"/>
              <w:left w:val="nil"/>
              <w:bottom w:val="single" w:sz="4" w:space="0" w:color="auto"/>
              <w:right w:val="nil"/>
            </w:tcBorders>
            <w:shd w:val="clear" w:color="auto" w:fill="auto"/>
            <w:noWrap/>
            <w:vAlign w:val="bottom"/>
            <w:hideMark/>
          </w:tcPr>
          <w:p w14:paraId="563ED28A"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761" w:type="dxa"/>
            <w:tcBorders>
              <w:top w:val="single" w:sz="4" w:space="0" w:color="auto"/>
              <w:left w:val="nil"/>
              <w:bottom w:val="single" w:sz="4" w:space="0" w:color="auto"/>
              <w:right w:val="nil"/>
            </w:tcBorders>
            <w:shd w:val="clear" w:color="auto" w:fill="auto"/>
            <w:noWrap/>
            <w:vAlign w:val="bottom"/>
            <w:hideMark/>
          </w:tcPr>
          <w:p w14:paraId="431FDA10"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268" w:type="dxa"/>
            <w:tcBorders>
              <w:top w:val="single" w:sz="4" w:space="0" w:color="auto"/>
              <w:left w:val="nil"/>
              <w:bottom w:val="single" w:sz="4" w:space="0" w:color="auto"/>
              <w:right w:val="nil"/>
            </w:tcBorders>
            <w:shd w:val="clear" w:color="auto" w:fill="auto"/>
            <w:noWrap/>
            <w:vAlign w:val="bottom"/>
            <w:hideMark/>
          </w:tcPr>
          <w:p w14:paraId="37FD812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947" w:type="dxa"/>
            <w:tcBorders>
              <w:top w:val="single" w:sz="4" w:space="0" w:color="auto"/>
              <w:left w:val="nil"/>
              <w:bottom w:val="single" w:sz="4" w:space="0" w:color="auto"/>
              <w:right w:val="nil"/>
            </w:tcBorders>
            <w:shd w:val="clear" w:color="auto" w:fill="auto"/>
            <w:noWrap/>
            <w:vAlign w:val="bottom"/>
            <w:hideMark/>
          </w:tcPr>
          <w:p w14:paraId="1350EA93"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082" w:type="dxa"/>
            <w:tcBorders>
              <w:top w:val="single" w:sz="4" w:space="0" w:color="auto"/>
              <w:left w:val="nil"/>
              <w:bottom w:val="single" w:sz="4" w:space="0" w:color="auto"/>
              <w:right w:val="nil"/>
            </w:tcBorders>
            <w:shd w:val="clear" w:color="auto" w:fill="auto"/>
            <w:noWrap/>
            <w:vAlign w:val="bottom"/>
            <w:hideMark/>
          </w:tcPr>
          <w:p w14:paraId="2243B35D"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195" w:type="dxa"/>
            <w:tcBorders>
              <w:top w:val="single" w:sz="4" w:space="0" w:color="auto"/>
              <w:left w:val="nil"/>
              <w:bottom w:val="single" w:sz="4" w:space="0" w:color="auto"/>
              <w:right w:val="nil"/>
            </w:tcBorders>
            <w:shd w:val="clear" w:color="auto" w:fill="auto"/>
            <w:noWrap/>
            <w:vAlign w:val="bottom"/>
            <w:hideMark/>
          </w:tcPr>
          <w:p w14:paraId="1A44C5D6"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372" w:type="dxa"/>
            <w:tcBorders>
              <w:top w:val="single" w:sz="4" w:space="0" w:color="auto"/>
              <w:left w:val="nil"/>
              <w:bottom w:val="single" w:sz="4" w:space="0" w:color="auto"/>
              <w:right w:val="nil"/>
            </w:tcBorders>
            <w:shd w:val="clear" w:color="auto" w:fill="auto"/>
            <w:noWrap/>
            <w:vAlign w:val="bottom"/>
            <w:hideMark/>
          </w:tcPr>
          <w:p w14:paraId="5B666E6B"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195" w:type="dxa"/>
            <w:tcBorders>
              <w:top w:val="single" w:sz="4" w:space="0" w:color="auto"/>
              <w:left w:val="nil"/>
              <w:bottom w:val="single" w:sz="4" w:space="0" w:color="auto"/>
              <w:right w:val="nil"/>
            </w:tcBorders>
            <w:shd w:val="clear" w:color="auto" w:fill="auto"/>
            <w:noWrap/>
            <w:vAlign w:val="bottom"/>
            <w:hideMark/>
          </w:tcPr>
          <w:p w14:paraId="03A6EA3F"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372" w:type="dxa"/>
            <w:tcBorders>
              <w:top w:val="single" w:sz="4" w:space="0" w:color="auto"/>
              <w:left w:val="nil"/>
              <w:bottom w:val="single" w:sz="4" w:space="0" w:color="auto"/>
              <w:right w:val="nil"/>
            </w:tcBorders>
            <w:shd w:val="clear" w:color="auto" w:fill="auto"/>
            <w:noWrap/>
            <w:vAlign w:val="bottom"/>
            <w:hideMark/>
          </w:tcPr>
          <w:p w14:paraId="3575318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118" w:type="dxa"/>
            <w:tcBorders>
              <w:top w:val="single" w:sz="4" w:space="0" w:color="auto"/>
              <w:left w:val="single" w:sz="4" w:space="0" w:color="auto"/>
              <w:bottom w:val="single" w:sz="4" w:space="0" w:color="auto"/>
              <w:right w:val="nil"/>
            </w:tcBorders>
            <w:shd w:val="clear" w:color="auto" w:fill="auto"/>
            <w:noWrap/>
            <w:vAlign w:val="bottom"/>
            <w:hideMark/>
          </w:tcPr>
          <w:p w14:paraId="6BF9DC2F"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14:paraId="6B80F69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r>
      <w:tr w:rsidR="00FD76BD" w:rsidRPr="00FD76BD" w14:paraId="2C568577" w14:textId="77777777" w:rsidTr="00063136">
        <w:trPr>
          <w:trHeight w:val="205"/>
        </w:trPr>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2B256B"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CMD caseness</w:t>
            </w:r>
          </w:p>
        </w:tc>
        <w:tc>
          <w:tcPr>
            <w:tcW w:w="1576" w:type="dxa"/>
            <w:tcBorders>
              <w:top w:val="nil"/>
              <w:left w:val="nil"/>
              <w:bottom w:val="nil"/>
              <w:right w:val="nil"/>
            </w:tcBorders>
            <w:shd w:val="clear" w:color="auto" w:fill="auto"/>
            <w:noWrap/>
            <w:vAlign w:val="bottom"/>
            <w:hideMark/>
          </w:tcPr>
          <w:p w14:paraId="134769D1"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Full sample</w:t>
            </w:r>
          </w:p>
        </w:tc>
        <w:tc>
          <w:tcPr>
            <w:tcW w:w="761" w:type="dxa"/>
            <w:tcBorders>
              <w:top w:val="nil"/>
              <w:left w:val="single" w:sz="4" w:space="0" w:color="auto"/>
              <w:bottom w:val="nil"/>
              <w:right w:val="nil"/>
            </w:tcBorders>
            <w:shd w:val="clear" w:color="auto" w:fill="auto"/>
            <w:noWrap/>
            <w:vAlign w:val="bottom"/>
            <w:hideMark/>
          </w:tcPr>
          <w:p w14:paraId="35B338C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557</w:t>
            </w:r>
          </w:p>
        </w:tc>
        <w:tc>
          <w:tcPr>
            <w:tcW w:w="1268" w:type="dxa"/>
            <w:tcBorders>
              <w:top w:val="nil"/>
              <w:left w:val="nil"/>
              <w:bottom w:val="nil"/>
              <w:right w:val="single" w:sz="4" w:space="0" w:color="auto"/>
            </w:tcBorders>
            <w:shd w:val="clear" w:color="auto" w:fill="auto"/>
            <w:noWrap/>
            <w:vAlign w:val="bottom"/>
            <w:hideMark/>
          </w:tcPr>
          <w:p w14:paraId="37966A43"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23.3%</w:t>
            </w:r>
          </w:p>
        </w:tc>
        <w:tc>
          <w:tcPr>
            <w:tcW w:w="947" w:type="dxa"/>
            <w:tcBorders>
              <w:top w:val="nil"/>
              <w:left w:val="nil"/>
              <w:bottom w:val="nil"/>
              <w:right w:val="nil"/>
            </w:tcBorders>
            <w:shd w:val="clear" w:color="auto" w:fill="auto"/>
            <w:noWrap/>
            <w:vAlign w:val="bottom"/>
            <w:hideMark/>
          </w:tcPr>
          <w:p w14:paraId="20774DC1"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1,466</w:t>
            </w:r>
          </w:p>
        </w:tc>
        <w:tc>
          <w:tcPr>
            <w:tcW w:w="1082" w:type="dxa"/>
            <w:tcBorders>
              <w:top w:val="nil"/>
              <w:left w:val="nil"/>
              <w:bottom w:val="nil"/>
              <w:right w:val="single" w:sz="4" w:space="0" w:color="auto"/>
            </w:tcBorders>
            <w:shd w:val="clear" w:color="auto" w:fill="auto"/>
            <w:noWrap/>
            <w:vAlign w:val="bottom"/>
            <w:hideMark/>
          </w:tcPr>
          <w:p w14:paraId="1BEEAE8C"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15.5%</w:t>
            </w:r>
          </w:p>
        </w:tc>
        <w:tc>
          <w:tcPr>
            <w:tcW w:w="1195" w:type="dxa"/>
            <w:tcBorders>
              <w:top w:val="nil"/>
              <w:left w:val="nil"/>
              <w:bottom w:val="nil"/>
              <w:right w:val="nil"/>
            </w:tcBorders>
            <w:shd w:val="clear" w:color="auto" w:fill="auto"/>
            <w:noWrap/>
            <w:vAlign w:val="bottom"/>
            <w:hideMark/>
          </w:tcPr>
          <w:p w14:paraId="2EAAE4A3" w14:textId="7E385FF4"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1.65</w:t>
            </w:r>
          </w:p>
        </w:tc>
        <w:tc>
          <w:tcPr>
            <w:tcW w:w="1372" w:type="dxa"/>
            <w:tcBorders>
              <w:top w:val="nil"/>
              <w:left w:val="nil"/>
              <w:bottom w:val="nil"/>
              <w:right w:val="single" w:sz="4" w:space="0" w:color="auto"/>
            </w:tcBorders>
            <w:shd w:val="clear" w:color="auto" w:fill="auto"/>
            <w:noWrap/>
            <w:vAlign w:val="bottom"/>
            <w:hideMark/>
          </w:tcPr>
          <w:p w14:paraId="6D120865"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1.45,1.89</w:t>
            </w:r>
          </w:p>
        </w:tc>
        <w:tc>
          <w:tcPr>
            <w:tcW w:w="1195" w:type="dxa"/>
            <w:tcBorders>
              <w:top w:val="nil"/>
              <w:left w:val="nil"/>
              <w:bottom w:val="nil"/>
              <w:right w:val="nil"/>
            </w:tcBorders>
            <w:shd w:val="clear" w:color="auto" w:fill="auto"/>
            <w:noWrap/>
            <w:vAlign w:val="bottom"/>
            <w:hideMark/>
          </w:tcPr>
          <w:p w14:paraId="67D8F9F5" w14:textId="53C60DD9"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1.73</w:t>
            </w:r>
          </w:p>
        </w:tc>
        <w:tc>
          <w:tcPr>
            <w:tcW w:w="1372" w:type="dxa"/>
            <w:tcBorders>
              <w:top w:val="nil"/>
              <w:left w:val="nil"/>
              <w:bottom w:val="nil"/>
              <w:right w:val="nil"/>
            </w:tcBorders>
            <w:shd w:val="clear" w:color="auto" w:fill="auto"/>
            <w:noWrap/>
            <w:vAlign w:val="bottom"/>
            <w:hideMark/>
          </w:tcPr>
          <w:p w14:paraId="09FA222B"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1.50,2.00</w:t>
            </w:r>
          </w:p>
        </w:tc>
        <w:tc>
          <w:tcPr>
            <w:tcW w:w="1118" w:type="dxa"/>
            <w:tcBorders>
              <w:top w:val="nil"/>
              <w:left w:val="single" w:sz="4" w:space="0" w:color="auto"/>
              <w:bottom w:val="nil"/>
              <w:right w:val="nil"/>
            </w:tcBorders>
            <w:shd w:val="clear" w:color="auto" w:fill="auto"/>
            <w:noWrap/>
            <w:vAlign w:val="bottom"/>
            <w:hideMark/>
          </w:tcPr>
          <w:p w14:paraId="5BFD9041" w14:textId="700E218F"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1.93</w:t>
            </w:r>
          </w:p>
        </w:tc>
        <w:tc>
          <w:tcPr>
            <w:tcW w:w="1450" w:type="dxa"/>
            <w:tcBorders>
              <w:top w:val="nil"/>
              <w:left w:val="nil"/>
              <w:bottom w:val="nil"/>
              <w:right w:val="single" w:sz="4" w:space="0" w:color="auto"/>
            </w:tcBorders>
            <w:shd w:val="clear" w:color="auto" w:fill="auto"/>
            <w:noWrap/>
            <w:vAlign w:val="bottom"/>
            <w:hideMark/>
          </w:tcPr>
          <w:p w14:paraId="2993F624"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1.66,2.25</w:t>
            </w:r>
          </w:p>
        </w:tc>
      </w:tr>
      <w:tr w:rsidR="00FD76BD" w:rsidRPr="00FD76BD" w14:paraId="639FA8AC" w14:textId="77777777" w:rsidTr="004A2F71">
        <w:trPr>
          <w:trHeight w:val="205"/>
        </w:trPr>
        <w:tc>
          <w:tcPr>
            <w:tcW w:w="2689" w:type="dxa"/>
            <w:vMerge/>
            <w:tcBorders>
              <w:top w:val="nil"/>
              <w:left w:val="single" w:sz="4" w:space="0" w:color="auto"/>
              <w:bottom w:val="single" w:sz="4" w:space="0" w:color="000000"/>
              <w:right w:val="single" w:sz="4" w:space="0" w:color="auto"/>
            </w:tcBorders>
            <w:vAlign w:val="center"/>
            <w:hideMark/>
          </w:tcPr>
          <w:p w14:paraId="0E4AFD86"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nil"/>
              <w:right w:val="nil"/>
            </w:tcBorders>
            <w:shd w:val="clear" w:color="auto" w:fill="auto"/>
            <w:noWrap/>
            <w:vAlign w:val="bottom"/>
            <w:hideMark/>
          </w:tcPr>
          <w:p w14:paraId="6DECC89B"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Working</w:t>
            </w:r>
          </w:p>
        </w:tc>
        <w:tc>
          <w:tcPr>
            <w:tcW w:w="761" w:type="dxa"/>
            <w:tcBorders>
              <w:top w:val="nil"/>
              <w:left w:val="single" w:sz="4" w:space="0" w:color="auto"/>
              <w:bottom w:val="nil"/>
              <w:right w:val="nil"/>
            </w:tcBorders>
            <w:shd w:val="clear" w:color="auto" w:fill="auto"/>
            <w:noWrap/>
            <w:vAlign w:val="bottom"/>
            <w:hideMark/>
          </w:tcPr>
          <w:p w14:paraId="2FD8D4B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459</w:t>
            </w:r>
          </w:p>
        </w:tc>
        <w:tc>
          <w:tcPr>
            <w:tcW w:w="1268" w:type="dxa"/>
            <w:tcBorders>
              <w:top w:val="nil"/>
              <w:left w:val="nil"/>
              <w:bottom w:val="nil"/>
              <w:right w:val="nil"/>
            </w:tcBorders>
            <w:shd w:val="clear" w:color="auto" w:fill="auto"/>
            <w:noWrap/>
            <w:vAlign w:val="bottom"/>
            <w:hideMark/>
          </w:tcPr>
          <w:p w14:paraId="2C65A52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21.7%</w:t>
            </w:r>
          </w:p>
        </w:tc>
        <w:tc>
          <w:tcPr>
            <w:tcW w:w="947" w:type="dxa"/>
            <w:tcBorders>
              <w:top w:val="nil"/>
              <w:left w:val="single" w:sz="4" w:space="0" w:color="auto"/>
              <w:bottom w:val="nil"/>
              <w:right w:val="nil"/>
            </w:tcBorders>
            <w:shd w:val="clear" w:color="auto" w:fill="auto"/>
            <w:noWrap/>
            <w:vAlign w:val="bottom"/>
            <w:hideMark/>
          </w:tcPr>
          <w:p w14:paraId="527CE0B8"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905</w:t>
            </w:r>
          </w:p>
        </w:tc>
        <w:tc>
          <w:tcPr>
            <w:tcW w:w="1082" w:type="dxa"/>
            <w:tcBorders>
              <w:top w:val="nil"/>
              <w:left w:val="nil"/>
              <w:right w:val="single" w:sz="4" w:space="0" w:color="auto"/>
            </w:tcBorders>
            <w:shd w:val="clear" w:color="auto" w:fill="auto"/>
            <w:noWrap/>
            <w:vAlign w:val="bottom"/>
            <w:hideMark/>
          </w:tcPr>
          <w:p w14:paraId="1BC5C4BE"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13.0%</w:t>
            </w:r>
          </w:p>
        </w:tc>
        <w:tc>
          <w:tcPr>
            <w:tcW w:w="1195" w:type="dxa"/>
            <w:tcBorders>
              <w:top w:val="nil"/>
              <w:left w:val="nil"/>
              <w:bottom w:val="nil"/>
              <w:right w:val="nil"/>
            </w:tcBorders>
            <w:shd w:val="clear" w:color="auto" w:fill="auto"/>
            <w:noWrap/>
            <w:vAlign w:val="bottom"/>
            <w:hideMark/>
          </w:tcPr>
          <w:p w14:paraId="0D1974F5" w14:textId="692A6215"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1.86</w:t>
            </w:r>
          </w:p>
        </w:tc>
        <w:tc>
          <w:tcPr>
            <w:tcW w:w="1372" w:type="dxa"/>
            <w:tcBorders>
              <w:top w:val="nil"/>
              <w:left w:val="nil"/>
              <w:bottom w:val="nil"/>
              <w:right w:val="single" w:sz="4" w:space="0" w:color="auto"/>
            </w:tcBorders>
            <w:shd w:val="clear" w:color="auto" w:fill="auto"/>
            <w:noWrap/>
            <w:vAlign w:val="bottom"/>
            <w:hideMark/>
          </w:tcPr>
          <w:p w14:paraId="24A89CDE"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1.60,2.16</w:t>
            </w:r>
          </w:p>
        </w:tc>
        <w:tc>
          <w:tcPr>
            <w:tcW w:w="1195" w:type="dxa"/>
            <w:tcBorders>
              <w:top w:val="nil"/>
              <w:left w:val="nil"/>
              <w:bottom w:val="nil"/>
              <w:right w:val="nil"/>
            </w:tcBorders>
            <w:shd w:val="clear" w:color="auto" w:fill="auto"/>
            <w:noWrap/>
            <w:vAlign w:val="bottom"/>
            <w:hideMark/>
          </w:tcPr>
          <w:p w14:paraId="7396BD86" w14:textId="1A01B8A4"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1.98</w:t>
            </w:r>
          </w:p>
        </w:tc>
        <w:tc>
          <w:tcPr>
            <w:tcW w:w="1372" w:type="dxa"/>
            <w:tcBorders>
              <w:top w:val="nil"/>
              <w:left w:val="nil"/>
              <w:bottom w:val="nil"/>
              <w:right w:val="nil"/>
            </w:tcBorders>
            <w:shd w:val="clear" w:color="auto" w:fill="auto"/>
            <w:noWrap/>
            <w:vAlign w:val="bottom"/>
            <w:hideMark/>
          </w:tcPr>
          <w:p w14:paraId="78F1A574"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1.68,2.32</w:t>
            </w:r>
          </w:p>
        </w:tc>
        <w:tc>
          <w:tcPr>
            <w:tcW w:w="1118" w:type="dxa"/>
            <w:tcBorders>
              <w:top w:val="nil"/>
              <w:left w:val="single" w:sz="4" w:space="0" w:color="auto"/>
              <w:bottom w:val="nil"/>
              <w:right w:val="nil"/>
            </w:tcBorders>
            <w:shd w:val="clear" w:color="auto" w:fill="auto"/>
            <w:noWrap/>
            <w:vAlign w:val="bottom"/>
            <w:hideMark/>
          </w:tcPr>
          <w:p w14:paraId="69654302" w14:textId="4F152C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1.96</w:t>
            </w:r>
          </w:p>
        </w:tc>
        <w:tc>
          <w:tcPr>
            <w:tcW w:w="1450" w:type="dxa"/>
            <w:tcBorders>
              <w:top w:val="nil"/>
              <w:left w:val="nil"/>
              <w:bottom w:val="nil"/>
              <w:right w:val="single" w:sz="4" w:space="0" w:color="auto"/>
            </w:tcBorders>
            <w:shd w:val="clear" w:color="auto" w:fill="auto"/>
            <w:noWrap/>
            <w:vAlign w:val="bottom"/>
            <w:hideMark/>
          </w:tcPr>
          <w:p w14:paraId="6CC884E8"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1.65,2.33</w:t>
            </w:r>
          </w:p>
        </w:tc>
      </w:tr>
      <w:tr w:rsidR="00FD76BD" w:rsidRPr="00FD76BD" w14:paraId="602B2641" w14:textId="77777777" w:rsidTr="004A2F71">
        <w:trPr>
          <w:trHeight w:val="205"/>
        </w:trPr>
        <w:tc>
          <w:tcPr>
            <w:tcW w:w="2689" w:type="dxa"/>
            <w:vMerge/>
            <w:tcBorders>
              <w:top w:val="nil"/>
              <w:left w:val="single" w:sz="4" w:space="0" w:color="auto"/>
              <w:bottom w:val="single" w:sz="4" w:space="0" w:color="000000"/>
              <w:right w:val="single" w:sz="4" w:space="0" w:color="auto"/>
            </w:tcBorders>
            <w:vAlign w:val="center"/>
            <w:hideMark/>
          </w:tcPr>
          <w:p w14:paraId="7F16BA01"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nil"/>
              <w:right w:val="nil"/>
            </w:tcBorders>
            <w:shd w:val="clear" w:color="auto" w:fill="auto"/>
            <w:noWrap/>
            <w:vAlign w:val="bottom"/>
            <w:hideMark/>
          </w:tcPr>
          <w:p w14:paraId="25EAAB4E"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 xml:space="preserve">Non-working </w:t>
            </w:r>
          </w:p>
        </w:tc>
        <w:tc>
          <w:tcPr>
            <w:tcW w:w="761" w:type="dxa"/>
            <w:tcBorders>
              <w:top w:val="nil"/>
              <w:left w:val="single" w:sz="4" w:space="0" w:color="auto"/>
              <w:bottom w:val="nil"/>
              <w:right w:val="nil"/>
            </w:tcBorders>
            <w:shd w:val="clear" w:color="auto" w:fill="auto"/>
            <w:noWrap/>
            <w:vAlign w:val="bottom"/>
            <w:hideMark/>
          </w:tcPr>
          <w:p w14:paraId="36BA9B64"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98</w:t>
            </w:r>
          </w:p>
        </w:tc>
        <w:tc>
          <w:tcPr>
            <w:tcW w:w="1268" w:type="dxa"/>
            <w:tcBorders>
              <w:top w:val="nil"/>
              <w:left w:val="nil"/>
              <w:bottom w:val="nil"/>
              <w:right w:val="nil"/>
            </w:tcBorders>
            <w:shd w:val="clear" w:color="auto" w:fill="auto"/>
            <w:noWrap/>
            <w:vAlign w:val="bottom"/>
            <w:hideMark/>
          </w:tcPr>
          <w:p w14:paraId="2FE80CD1"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39.7%</w:t>
            </w:r>
          </w:p>
        </w:tc>
        <w:tc>
          <w:tcPr>
            <w:tcW w:w="947" w:type="dxa"/>
            <w:tcBorders>
              <w:top w:val="nil"/>
              <w:left w:val="single" w:sz="4" w:space="0" w:color="auto"/>
              <w:bottom w:val="nil"/>
              <w:right w:val="nil"/>
            </w:tcBorders>
            <w:shd w:val="clear" w:color="auto" w:fill="auto"/>
            <w:noWrap/>
            <w:vAlign w:val="bottom"/>
            <w:hideMark/>
          </w:tcPr>
          <w:p w14:paraId="74407E5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561</w:t>
            </w:r>
          </w:p>
        </w:tc>
        <w:tc>
          <w:tcPr>
            <w:tcW w:w="1082" w:type="dxa"/>
            <w:tcBorders>
              <w:top w:val="nil"/>
              <w:left w:val="nil"/>
              <w:bottom w:val="single" w:sz="4" w:space="0" w:color="auto"/>
              <w:right w:val="single" w:sz="4" w:space="0" w:color="auto"/>
            </w:tcBorders>
            <w:shd w:val="clear" w:color="auto" w:fill="auto"/>
            <w:noWrap/>
            <w:vAlign w:val="bottom"/>
            <w:hideMark/>
          </w:tcPr>
          <w:p w14:paraId="693B0C2B"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25.6%</w:t>
            </w:r>
          </w:p>
        </w:tc>
        <w:tc>
          <w:tcPr>
            <w:tcW w:w="1195" w:type="dxa"/>
            <w:tcBorders>
              <w:top w:val="nil"/>
              <w:left w:val="nil"/>
              <w:bottom w:val="nil"/>
              <w:right w:val="nil"/>
            </w:tcBorders>
            <w:shd w:val="clear" w:color="auto" w:fill="auto"/>
            <w:noWrap/>
            <w:vAlign w:val="bottom"/>
            <w:hideMark/>
          </w:tcPr>
          <w:p w14:paraId="194EBB8B" w14:textId="7A57B69B"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1.95</w:t>
            </w:r>
          </w:p>
        </w:tc>
        <w:tc>
          <w:tcPr>
            <w:tcW w:w="1372" w:type="dxa"/>
            <w:tcBorders>
              <w:top w:val="nil"/>
              <w:left w:val="nil"/>
              <w:bottom w:val="nil"/>
              <w:right w:val="single" w:sz="4" w:space="0" w:color="auto"/>
            </w:tcBorders>
            <w:shd w:val="clear" w:color="auto" w:fill="auto"/>
            <w:noWrap/>
            <w:vAlign w:val="bottom"/>
            <w:hideMark/>
          </w:tcPr>
          <w:p w14:paraId="7C7D88E0"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1.41,2.70</w:t>
            </w:r>
          </w:p>
        </w:tc>
        <w:tc>
          <w:tcPr>
            <w:tcW w:w="1195" w:type="dxa"/>
            <w:tcBorders>
              <w:top w:val="nil"/>
              <w:left w:val="nil"/>
              <w:bottom w:val="nil"/>
              <w:right w:val="nil"/>
            </w:tcBorders>
            <w:shd w:val="clear" w:color="auto" w:fill="auto"/>
            <w:noWrap/>
            <w:vAlign w:val="bottom"/>
            <w:hideMark/>
          </w:tcPr>
          <w:p w14:paraId="76F90138" w14:textId="429F44F3"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1.55</w:t>
            </w:r>
          </w:p>
        </w:tc>
        <w:tc>
          <w:tcPr>
            <w:tcW w:w="1372" w:type="dxa"/>
            <w:tcBorders>
              <w:top w:val="nil"/>
              <w:left w:val="nil"/>
              <w:bottom w:val="nil"/>
              <w:right w:val="nil"/>
            </w:tcBorders>
            <w:shd w:val="clear" w:color="auto" w:fill="auto"/>
            <w:noWrap/>
            <w:vAlign w:val="bottom"/>
            <w:hideMark/>
          </w:tcPr>
          <w:p w14:paraId="49B0A75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1.07,2.24</w:t>
            </w:r>
          </w:p>
        </w:tc>
        <w:tc>
          <w:tcPr>
            <w:tcW w:w="1118" w:type="dxa"/>
            <w:tcBorders>
              <w:top w:val="nil"/>
              <w:left w:val="single" w:sz="4" w:space="0" w:color="auto"/>
              <w:bottom w:val="nil"/>
              <w:right w:val="nil"/>
            </w:tcBorders>
            <w:shd w:val="clear" w:color="auto" w:fill="auto"/>
            <w:noWrap/>
            <w:vAlign w:val="bottom"/>
            <w:hideMark/>
          </w:tcPr>
          <w:p w14:paraId="190FD6DF" w14:textId="7324E4A2"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1.64</w:t>
            </w:r>
          </w:p>
        </w:tc>
        <w:tc>
          <w:tcPr>
            <w:tcW w:w="1450" w:type="dxa"/>
            <w:tcBorders>
              <w:top w:val="nil"/>
              <w:left w:val="nil"/>
              <w:bottom w:val="nil"/>
              <w:right w:val="single" w:sz="4" w:space="0" w:color="auto"/>
            </w:tcBorders>
            <w:shd w:val="clear" w:color="auto" w:fill="auto"/>
            <w:noWrap/>
            <w:vAlign w:val="bottom"/>
            <w:hideMark/>
          </w:tcPr>
          <w:p w14:paraId="0FB2F9F0"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1.09,2.47</w:t>
            </w:r>
          </w:p>
        </w:tc>
      </w:tr>
      <w:tr w:rsidR="00FD76BD" w:rsidRPr="00FD76BD" w14:paraId="3DEDFB28" w14:textId="77777777" w:rsidTr="004A2F71">
        <w:trPr>
          <w:trHeight w:val="205"/>
        </w:trPr>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7830C"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PTSD caseness</w:t>
            </w:r>
          </w:p>
        </w:tc>
        <w:tc>
          <w:tcPr>
            <w:tcW w:w="1576" w:type="dxa"/>
            <w:tcBorders>
              <w:top w:val="single" w:sz="4" w:space="0" w:color="auto"/>
              <w:left w:val="nil"/>
              <w:bottom w:val="nil"/>
              <w:right w:val="nil"/>
            </w:tcBorders>
            <w:shd w:val="clear" w:color="auto" w:fill="auto"/>
            <w:noWrap/>
            <w:vAlign w:val="bottom"/>
            <w:hideMark/>
          </w:tcPr>
          <w:p w14:paraId="081B51BC"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Full sample</w:t>
            </w:r>
          </w:p>
        </w:tc>
        <w:tc>
          <w:tcPr>
            <w:tcW w:w="761" w:type="dxa"/>
            <w:tcBorders>
              <w:top w:val="single" w:sz="4" w:space="0" w:color="auto"/>
              <w:left w:val="single" w:sz="4" w:space="0" w:color="auto"/>
              <w:bottom w:val="nil"/>
              <w:right w:val="nil"/>
            </w:tcBorders>
            <w:shd w:val="clear" w:color="auto" w:fill="auto"/>
            <w:noWrap/>
            <w:vAlign w:val="bottom"/>
            <w:hideMark/>
          </w:tcPr>
          <w:p w14:paraId="1B1B3BD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169</w:t>
            </w:r>
          </w:p>
        </w:tc>
        <w:tc>
          <w:tcPr>
            <w:tcW w:w="1268" w:type="dxa"/>
            <w:tcBorders>
              <w:top w:val="single" w:sz="4" w:space="0" w:color="auto"/>
              <w:left w:val="nil"/>
              <w:bottom w:val="nil"/>
              <w:right w:val="single" w:sz="4" w:space="0" w:color="auto"/>
            </w:tcBorders>
            <w:shd w:val="clear" w:color="auto" w:fill="auto"/>
            <w:noWrap/>
            <w:vAlign w:val="bottom"/>
            <w:hideMark/>
          </w:tcPr>
          <w:p w14:paraId="7ED376D3"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7.9%</w:t>
            </w:r>
          </w:p>
        </w:tc>
        <w:tc>
          <w:tcPr>
            <w:tcW w:w="947" w:type="dxa"/>
            <w:tcBorders>
              <w:top w:val="single" w:sz="4" w:space="0" w:color="auto"/>
              <w:left w:val="nil"/>
              <w:bottom w:val="nil"/>
              <w:right w:val="nil"/>
            </w:tcBorders>
            <w:shd w:val="clear" w:color="auto" w:fill="auto"/>
            <w:noWrap/>
            <w:vAlign w:val="bottom"/>
            <w:hideMark/>
          </w:tcPr>
          <w:p w14:paraId="1182870C"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101</w:t>
            </w:r>
          </w:p>
        </w:tc>
        <w:tc>
          <w:tcPr>
            <w:tcW w:w="1082" w:type="dxa"/>
            <w:tcBorders>
              <w:top w:val="single" w:sz="4" w:space="0" w:color="auto"/>
              <w:left w:val="nil"/>
              <w:bottom w:val="nil"/>
              <w:right w:val="single" w:sz="4" w:space="0" w:color="auto"/>
            </w:tcBorders>
            <w:shd w:val="clear" w:color="auto" w:fill="auto"/>
            <w:noWrap/>
            <w:vAlign w:val="bottom"/>
            <w:hideMark/>
          </w:tcPr>
          <w:p w14:paraId="57839DB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5.0%</w:t>
            </w:r>
          </w:p>
        </w:tc>
        <w:tc>
          <w:tcPr>
            <w:tcW w:w="1195" w:type="dxa"/>
            <w:tcBorders>
              <w:top w:val="single" w:sz="4" w:space="0" w:color="auto"/>
              <w:left w:val="nil"/>
              <w:bottom w:val="nil"/>
              <w:right w:val="nil"/>
            </w:tcBorders>
            <w:shd w:val="clear" w:color="auto" w:fill="auto"/>
            <w:noWrap/>
            <w:vAlign w:val="bottom"/>
            <w:hideMark/>
          </w:tcPr>
          <w:p w14:paraId="6F4664D2" w14:textId="08F9D866"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1.63</w:t>
            </w:r>
          </w:p>
        </w:tc>
        <w:tc>
          <w:tcPr>
            <w:tcW w:w="1372" w:type="dxa"/>
            <w:tcBorders>
              <w:top w:val="single" w:sz="4" w:space="0" w:color="auto"/>
              <w:left w:val="nil"/>
              <w:bottom w:val="nil"/>
              <w:right w:val="nil"/>
            </w:tcBorders>
            <w:shd w:val="clear" w:color="auto" w:fill="auto"/>
            <w:noWrap/>
            <w:vAlign w:val="bottom"/>
            <w:hideMark/>
          </w:tcPr>
          <w:p w14:paraId="7A96C95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1.20,2.21</w:t>
            </w:r>
          </w:p>
        </w:tc>
        <w:tc>
          <w:tcPr>
            <w:tcW w:w="1195" w:type="dxa"/>
            <w:tcBorders>
              <w:top w:val="single" w:sz="4" w:space="0" w:color="auto"/>
              <w:left w:val="single" w:sz="4" w:space="0" w:color="auto"/>
              <w:bottom w:val="nil"/>
              <w:right w:val="nil"/>
            </w:tcBorders>
            <w:shd w:val="clear" w:color="auto" w:fill="auto"/>
            <w:noWrap/>
            <w:vAlign w:val="bottom"/>
            <w:hideMark/>
          </w:tcPr>
          <w:p w14:paraId="05B714F5" w14:textId="12054F4C"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2.34</w:t>
            </w:r>
          </w:p>
        </w:tc>
        <w:tc>
          <w:tcPr>
            <w:tcW w:w="1372" w:type="dxa"/>
            <w:tcBorders>
              <w:top w:val="single" w:sz="4" w:space="0" w:color="auto"/>
              <w:left w:val="nil"/>
              <w:bottom w:val="nil"/>
              <w:right w:val="nil"/>
            </w:tcBorders>
            <w:shd w:val="clear" w:color="auto" w:fill="auto"/>
            <w:noWrap/>
            <w:vAlign w:val="bottom"/>
            <w:hideMark/>
          </w:tcPr>
          <w:p w14:paraId="5BABA25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1.66,3.29</w:t>
            </w:r>
          </w:p>
        </w:tc>
        <w:tc>
          <w:tcPr>
            <w:tcW w:w="1118" w:type="dxa"/>
            <w:tcBorders>
              <w:top w:val="single" w:sz="4" w:space="0" w:color="auto"/>
              <w:left w:val="single" w:sz="4" w:space="0" w:color="auto"/>
              <w:bottom w:val="nil"/>
              <w:right w:val="nil"/>
            </w:tcBorders>
            <w:shd w:val="clear" w:color="auto" w:fill="auto"/>
            <w:noWrap/>
            <w:vAlign w:val="bottom"/>
            <w:hideMark/>
          </w:tcPr>
          <w:p w14:paraId="627FCB4E" w14:textId="70BFDB2B"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2.86</w:t>
            </w:r>
          </w:p>
        </w:tc>
        <w:tc>
          <w:tcPr>
            <w:tcW w:w="1450" w:type="dxa"/>
            <w:tcBorders>
              <w:top w:val="single" w:sz="4" w:space="0" w:color="auto"/>
              <w:left w:val="nil"/>
              <w:bottom w:val="nil"/>
              <w:right w:val="single" w:sz="4" w:space="0" w:color="auto"/>
            </w:tcBorders>
            <w:shd w:val="clear" w:color="auto" w:fill="auto"/>
            <w:noWrap/>
            <w:vAlign w:val="bottom"/>
            <w:hideMark/>
          </w:tcPr>
          <w:p w14:paraId="5BA75829"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1.95,4.21</w:t>
            </w:r>
          </w:p>
        </w:tc>
      </w:tr>
      <w:tr w:rsidR="00FD76BD" w:rsidRPr="00FD76BD" w14:paraId="1905ADB5" w14:textId="77777777" w:rsidTr="00063136">
        <w:trPr>
          <w:trHeight w:val="205"/>
        </w:trPr>
        <w:tc>
          <w:tcPr>
            <w:tcW w:w="2689" w:type="dxa"/>
            <w:vMerge/>
            <w:tcBorders>
              <w:top w:val="nil"/>
              <w:left w:val="single" w:sz="4" w:space="0" w:color="auto"/>
              <w:bottom w:val="single" w:sz="4" w:space="0" w:color="000000"/>
              <w:right w:val="single" w:sz="4" w:space="0" w:color="auto"/>
            </w:tcBorders>
            <w:vAlign w:val="center"/>
            <w:hideMark/>
          </w:tcPr>
          <w:p w14:paraId="6DC8F456"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nil"/>
              <w:right w:val="nil"/>
            </w:tcBorders>
            <w:shd w:val="clear" w:color="auto" w:fill="auto"/>
            <w:noWrap/>
            <w:vAlign w:val="bottom"/>
            <w:hideMark/>
          </w:tcPr>
          <w:p w14:paraId="51527A08"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Working</w:t>
            </w:r>
          </w:p>
        </w:tc>
        <w:tc>
          <w:tcPr>
            <w:tcW w:w="761" w:type="dxa"/>
            <w:tcBorders>
              <w:top w:val="nil"/>
              <w:left w:val="single" w:sz="4" w:space="0" w:color="auto"/>
              <w:bottom w:val="nil"/>
              <w:right w:val="nil"/>
            </w:tcBorders>
            <w:shd w:val="clear" w:color="auto" w:fill="auto"/>
            <w:noWrap/>
            <w:vAlign w:val="bottom"/>
            <w:hideMark/>
          </w:tcPr>
          <w:p w14:paraId="6420693C"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130</w:t>
            </w:r>
          </w:p>
        </w:tc>
        <w:tc>
          <w:tcPr>
            <w:tcW w:w="1268" w:type="dxa"/>
            <w:tcBorders>
              <w:top w:val="nil"/>
              <w:left w:val="nil"/>
              <w:bottom w:val="nil"/>
              <w:right w:val="single" w:sz="4" w:space="0" w:color="auto"/>
            </w:tcBorders>
            <w:shd w:val="clear" w:color="auto" w:fill="auto"/>
            <w:noWrap/>
            <w:vAlign w:val="bottom"/>
            <w:hideMark/>
          </w:tcPr>
          <w:p w14:paraId="4A7204F4"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6.8%</w:t>
            </w:r>
          </w:p>
        </w:tc>
        <w:tc>
          <w:tcPr>
            <w:tcW w:w="947" w:type="dxa"/>
            <w:tcBorders>
              <w:top w:val="nil"/>
              <w:left w:val="nil"/>
              <w:bottom w:val="nil"/>
              <w:right w:val="nil"/>
            </w:tcBorders>
            <w:shd w:val="clear" w:color="auto" w:fill="auto"/>
            <w:noWrap/>
            <w:vAlign w:val="bottom"/>
            <w:hideMark/>
          </w:tcPr>
          <w:p w14:paraId="1334DC89"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40</w:t>
            </w:r>
          </w:p>
        </w:tc>
        <w:tc>
          <w:tcPr>
            <w:tcW w:w="1082" w:type="dxa"/>
            <w:tcBorders>
              <w:top w:val="nil"/>
              <w:left w:val="nil"/>
              <w:bottom w:val="nil"/>
              <w:right w:val="single" w:sz="4" w:space="0" w:color="auto"/>
            </w:tcBorders>
            <w:shd w:val="clear" w:color="auto" w:fill="auto"/>
            <w:noWrap/>
            <w:vAlign w:val="bottom"/>
            <w:hideMark/>
          </w:tcPr>
          <w:p w14:paraId="6DFD29B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3.2%</w:t>
            </w:r>
          </w:p>
        </w:tc>
        <w:tc>
          <w:tcPr>
            <w:tcW w:w="1195" w:type="dxa"/>
            <w:tcBorders>
              <w:top w:val="nil"/>
              <w:left w:val="nil"/>
              <w:bottom w:val="nil"/>
              <w:right w:val="nil"/>
            </w:tcBorders>
            <w:shd w:val="clear" w:color="auto" w:fill="auto"/>
            <w:noWrap/>
            <w:vAlign w:val="bottom"/>
            <w:hideMark/>
          </w:tcPr>
          <w:p w14:paraId="2436494B" w14:textId="0B47E22E"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2.21</w:t>
            </w:r>
          </w:p>
        </w:tc>
        <w:tc>
          <w:tcPr>
            <w:tcW w:w="1372" w:type="dxa"/>
            <w:tcBorders>
              <w:top w:val="nil"/>
              <w:left w:val="nil"/>
              <w:bottom w:val="nil"/>
              <w:right w:val="nil"/>
            </w:tcBorders>
            <w:shd w:val="clear" w:color="auto" w:fill="auto"/>
            <w:noWrap/>
            <w:vAlign w:val="bottom"/>
            <w:hideMark/>
          </w:tcPr>
          <w:p w14:paraId="51A686CE"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1.46,3.37</w:t>
            </w:r>
          </w:p>
        </w:tc>
        <w:tc>
          <w:tcPr>
            <w:tcW w:w="1195" w:type="dxa"/>
            <w:tcBorders>
              <w:top w:val="nil"/>
              <w:left w:val="single" w:sz="4" w:space="0" w:color="auto"/>
              <w:bottom w:val="nil"/>
              <w:right w:val="nil"/>
            </w:tcBorders>
            <w:shd w:val="clear" w:color="auto" w:fill="auto"/>
            <w:noWrap/>
            <w:vAlign w:val="bottom"/>
            <w:hideMark/>
          </w:tcPr>
          <w:p w14:paraId="7C8E6E64" w14:textId="5FBCC55E"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2.79</w:t>
            </w:r>
          </w:p>
        </w:tc>
        <w:tc>
          <w:tcPr>
            <w:tcW w:w="1372" w:type="dxa"/>
            <w:tcBorders>
              <w:top w:val="nil"/>
              <w:left w:val="nil"/>
              <w:bottom w:val="nil"/>
              <w:right w:val="nil"/>
            </w:tcBorders>
            <w:shd w:val="clear" w:color="auto" w:fill="auto"/>
            <w:noWrap/>
            <w:vAlign w:val="bottom"/>
            <w:hideMark/>
          </w:tcPr>
          <w:p w14:paraId="7F2DDF3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1.79,4.35</w:t>
            </w:r>
          </w:p>
        </w:tc>
        <w:tc>
          <w:tcPr>
            <w:tcW w:w="1118" w:type="dxa"/>
            <w:tcBorders>
              <w:top w:val="nil"/>
              <w:left w:val="single" w:sz="4" w:space="0" w:color="auto"/>
              <w:bottom w:val="nil"/>
              <w:right w:val="nil"/>
            </w:tcBorders>
            <w:shd w:val="clear" w:color="auto" w:fill="auto"/>
            <w:noWrap/>
            <w:vAlign w:val="bottom"/>
            <w:hideMark/>
          </w:tcPr>
          <w:p w14:paraId="1DD87E86" w14:textId="67EC8C00"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2.84</w:t>
            </w:r>
          </w:p>
        </w:tc>
        <w:tc>
          <w:tcPr>
            <w:tcW w:w="1450" w:type="dxa"/>
            <w:tcBorders>
              <w:top w:val="nil"/>
              <w:left w:val="nil"/>
              <w:bottom w:val="nil"/>
              <w:right w:val="single" w:sz="4" w:space="0" w:color="auto"/>
            </w:tcBorders>
            <w:shd w:val="clear" w:color="auto" w:fill="auto"/>
            <w:noWrap/>
            <w:vAlign w:val="bottom"/>
            <w:hideMark/>
          </w:tcPr>
          <w:p w14:paraId="157A89D0"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1.80,4.46</w:t>
            </w:r>
          </w:p>
        </w:tc>
      </w:tr>
      <w:tr w:rsidR="00FD76BD" w:rsidRPr="00FD76BD" w14:paraId="5E7A8511" w14:textId="77777777" w:rsidTr="00063136">
        <w:trPr>
          <w:trHeight w:val="205"/>
        </w:trPr>
        <w:tc>
          <w:tcPr>
            <w:tcW w:w="2689" w:type="dxa"/>
            <w:vMerge/>
            <w:tcBorders>
              <w:top w:val="nil"/>
              <w:left w:val="single" w:sz="4" w:space="0" w:color="auto"/>
              <w:bottom w:val="single" w:sz="4" w:space="0" w:color="000000"/>
              <w:right w:val="single" w:sz="4" w:space="0" w:color="auto"/>
            </w:tcBorders>
            <w:vAlign w:val="center"/>
            <w:hideMark/>
          </w:tcPr>
          <w:p w14:paraId="09E5B4A0"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nil"/>
              <w:right w:val="nil"/>
            </w:tcBorders>
            <w:shd w:val="clear" w:color="auto" w:fill="auto"/>
            <w:noWrap/>
            <w:vAlign w:val="bottom"/>
            <w:hideMark/>
          </w:tcPr>
          <w:p w14:paraId="4C4F169F"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Non-working</w:t>
            </w:r>
          </w:p>
        </w:tc>
        <w:tc>
          <w:tcPr>
            <w:tcW w:w="761" w:type="dxa"/>
            <w:tcBorders>
              <w:top w:val="nil"/>
              <w:left w:val="single" w:sz="4" w:space="0" w:color="auto"/>
              <w:bottom w:val="single" w:sz="4" w:space="0" w:color="auto"/>
              <w:right w:val="nil"/>
            </w:tcBorders>
            <w:shd w:val="clear" w:color="auto" w:fill="auto"/>
            <w:noWrap/>
            <w:vAlign w:val="bottom"/>
            <w:hideMark/>
          </w:tcPr>
          <w:p w14:paraId="1123A9F5"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39</w:t>
            </w:r>
          </w:p>
        </w:tc>
        <w:tc>
          <w:tcPr>
            <w:tcW w:w="1268" w:type="dxa"/>
            <w:tcBorders>
              <w:top w:val="nil"/>
              <w:left w:val="nil"/>
              <w:bottom w:val="single" w:sz="4" w:space="0" w:color="auto"/>
              <w:right w:val="single" w:sz="4" w:space="0" w:color="auto"/>
            </w:tcBorders>
            <w:shd w:val="clear" w:color="auto" w:fill="auto"/>
            <w:noWrap/>
            <w:vAlign w:val="bottom"/>
            <w:hideMark/>
          </w:tcPr>
          <w:p w14:paraId="203BC77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19.0%</w:t>
            </w:r>
          </w:p>
        </w:tc>
        <w:tc>
          <w:tcPr>
            <w:tcW w:w="947" w:type="dxa"/>
            <w:tcBorders>
              <w:top w:val="nil"/>
              <w:left w:val="nil"/>
              <w:bottom w:val="single" w:sz="4" w:space="0" w:color="auto"/>
              <w:right w:val="nil"/>
            </w:tcBorders>
            <w:shd w:val="clear" w:color="auto" w:fill="auto"/>
            <w:noWrap/>
            <w:vAlign w:val="bottom"/>
            <w:hideMark/>
          </w:tcPr>
          <w:p w14:paraId="305FE13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61</w:t>
            </w:r>
          </w:p>
        </w:tc>
        <w:tc>
          <w:tcPr>
            <w:tcW w:w="1082" w:type="dxa"/>
            <w:tcBorders>
              <w:top w:val="nil"/>
              <w:left w:val="nil"/>
              <w:bottom w:val="single" w:sz="4" w:space="0" w:color="auto"/>
              <w:right w:val="single" w:sz="4" w:space="0" w:color="auto"/>
            </w:tcBorders>
            <w:shd w:val="clear" w:color="auto" w:fill="auto"/>
            <w:noWrap/>
            <w:vAlign w:val="bottom"/>
            <w:hideMark/>
          </w:tcPr>
          <w:p w14:paraId="694F0125"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11.5%</w:t>
            </w:r>
          </w:p>
        </w:tc>
        <w:tc>
          <w:tcPr>
            <w:tcW w:w="1195" w:type="dxa"/>
            <w:tcBorders>
              <w:top w:val="nil"/>
              <w:left w:val="nil"/>
              <w:bottom w:val="single" w:sz="4" w:space="0" w:color="auto"/>
              <w:right w:val="nil"/>
            </w:tcBorders>
            <w:shd w:val="clear" w:color="auto" w:fill="auto"/>
            <w:noWrap/>
            <w:vAlign w:val="bottom"/>
            <w:hideMark/>
          </w:tcPr>
          <w:p w14:paraId="16EBDB4F" w14:textId="69640A31"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1.81</w:t>
            </w:r>
          </w:p>
        </w:tc>
        <w:tc>
          <w:tcPr>
            <w:tcW w:w="1372" w:type="dxa"/>
            <w:tcBorders>
              <w:top w:val="nil"/>
              <w:left w:val="nil"/>
              <w:bottom w:val="single" w:sz="4" w:space="0" w:color="auto"/>
              <w:right w:val="nil"/>
            </w:tcBorders>
            <w:shd w:val="clear" w:color="auto" w:fill="auto"/>
            <w:noWrap/>
            <w:vAlign w:val="bottom"/>
            <w:hideMark/>
          </w:tcPr>
          <w:p w14:paraId="71492AA1"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1.08,3.03</w:t>
            </w:r>
          </w:p>
        </w:tc>
        <w:tc>
          <w:tcPr>
            <w:tcW w:w="1195" w:type="dxa"/>
            <w:tcBorders>
              <w:top w:val="nil"/>
              <w:left w:val="single" w:sz="4" w:space="0" w:color="auto"/>
              <w:bottom w:val="single" w:sz="4" w:space="0" w:color="auto"/>
              <w:right w:val="nil"/>
            </w:tcBorders>
            <w:shd w:val="clear" w:color="auto" w:fill="auto"/>
            <w:noWrap/>
            <w:vAlign w:val="bottom"/>
            <w:hideMark/>
          </w:tcPr>
          <w:p w14:paraId="1EF566E4" w14:textId="3DE7F702"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2.40</w:t>
            </w:r>
          </w:p>
        </w:tc>
        <w:tc>
          <w:tcPr>
            <w:tcW w:w="1372" w:type="dxa"/>
            <w:tcBorders>
              <w:top w:val="nil"/>
              <w:left w:val="nil"/>
              <w:bottom w:val="single" w:sz="4" w:space="0" w:color="auto"/>
              <w:right w:val="nil"/>
            </w:tcBorders>
            <w:shd w:val="clear" w:color="auto" w:fill="auto"/>
            <w:noWrap/>
            <w:vAlign w:val="bottom"/>
            <w:hideMark/>
          </w:tcPr>
          <w:p w14:paraId="4778EACE"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1.22,4.70</w:t>
            </w:r>
          </w:p>
        </w:tc>
        <w:tc>
          <w:tcPr>
            <w:tcW w:w="1118" w:type="dxa"/>
            <w:tcBorders>
              <w:top w:val="nil"/>
              <w:left w:val="single" w:sz="4" w:space="0" w:color="auto"/>
              <w:bottom w:val="single" w:sz="4" w:space="0" w:color="auto"/>
              <w:right w:val="nil"/>
            </w:tcBorders>
            <w:shd w:val="clear" w:color="auto" w:fill="auto"/>
            <w:noWrap/>
            <w:vAlign w:val="bottom"/>
            <w:hideMark/>
          </w:tcPr>
          <w:p w14:paraId="04D4C099" w14:textId="73EF6FA8"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3.09</w:t>
            </w:r>
          </w:p>
        </w:tc>
        <w:tc>
          <w:tcPr>
            <w:tcW w:w="1450" w:type="dxa"/>
            <w:tcBorders>
              <w:top w:val="nil"/>
              <w:left w:val="nil"/>
              <w:bottom w:val="single" w:sz="4" w:space="0" w:color="auto"/>
              <w:right w:val="single" w:sz="4" w:space="0" w:color="auto"/>
            </w:tcBorders>
            <w:shd w:val="clear" w:color="auto" w:fill="auto"/>
            <w:noWrap/>
            <w:vAlign w:val="bottom"/>
            <w:hideMark/>
          </w:tcPr>
          <w:p w14:paraId="70ED664D"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1.45,6.58</w:t>
            </w:r>
          </w:p>
        </w:tc>
      </w:tr>
      <w:tr w:rsidR="00FD76BD" w:rsidRPr="00FD76BD" w14:paraId="51717BB9" w14:textId="77777777" w:rsidTr="00063136">
        <w:trPr>
          <w:trHeight w:val="205"/>
        </w:trPr>
        <w:tc>
          <w:tcPr>
            <w:tcW w:w="2689" w:type="dxa"/>
            <w:vMerge w:val="restart"/>
            <w:tcBorders>
              <w:top w:val="nil"/>
              <w:left w:val="single" w:sz="4" w:space="0" w:color="auto"/>
              <w:bottom w:val="nil"/>
              <w:right w:val="single" w:sz="4" w:space="0" w:color="auto"/>
            </w:tcBorders>
            <w:shd w:val="clear" w:color="auto" w:fill="auto"/>
            <w:noWrap/>
            <w:vAlign w:val="center"/>
            <w:hideMark/>
          </w:tcPr>
          <w:p w14:paraId="1D4FC900"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Alcohol misuses (16+)</w:t>
            </w:r>
          </w:p>
        </w:tc>
        <w:tc>
          <w:tcPr>
            <w:tcW w:w="1576" w:type="dxa"/>
            <w:tcBorders>
              <w:top w:val="single" w:sz="4" w:space="0" w:color="auto"/>
              <w:left w:val="nil"/>
              <w:bottom w:val="nil"/>
              <w:right w:val="nil"/>
            </w:tcBorders>
            <w:shd w:val="clear" w:color="auto" w:fill="auto"/>
            <w:noWrap/>
            <w:vAlign w:val="bottom"/>
            <w:hideMark/>
          </w:tcPr>
          <w:p w14:paraId="18DEC717"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Full sample</w:t>
            </w:r>
          </w:p>
        </w:tc>
        <w:tc>
          <w:tcPr>
            <w:tcW w:w="761" w:type="dxa"/>
            <w:tcBorders>
              <w:top w:val="nil"/>
              <w:left w:val="single" w:sz="4" w:space="0" w:color="auto"/>
              <w:bottom w:val="nil"/>
              <w:right w:val="nil"/>
            </w:tcBorders>
            <w:shd w:val="clear" w:color="auto" w:fill="auto"/>
            <w:noWrap/>
            <w:vAlign w:val="bottom"/>
            <w:hideMark/>
          </w:tcPr>
          <w:p w14:paraId="358878C6"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253</w:t>
            </w:r>
          </w:p>
        </w:tc>
        <w:tc>
          <w:tcPr>
            <w:tcW w:w="1268" w:type="dxa"/>
            <w:tcBorders>
              <w:top w:val="nil"/>
              <w:left w:val="nil"/>
              <w:bottom w:val="nil"/>
              <w:right w:val="single" w:sz="4" w:space="0" w:color="auto"/>
            </w:tcBorders>
            <w:shd w:val="clear" w:color="auto" w:fill="auto"/>
            <w:noWrap/>
            <w:vAlign w:val="bottom"/>
            <w:hideMark/>
          </w:tcPr>
          <w:p w14:paraId="4F8E1F5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11.4%</w:t>
            </w:r>
          </w:p>
        </w:tc>
        <w:tc>
          <w:tcPr>
            <w:tcW w:w="947" w:type="dxa"/>
            <w:tcBorders>
              <w:top w:val="nil"/>
              <w:left w:val="nil"/>
              <w:bottom w:val="nil"/>
              <w:right w:val="nil"/>
            </w:tcBorders>
            <w:shd w:val="clear" w:color="auto" w:fill="auto"/>
            <w:noWrap/>
            <w:vAlign w:val="bottom"/>
            <w:hideMark/>
          </w:tcPr>
          <w:p w14:paraId="1A553D86"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106</w:t>
            </w:r>
          </w:p>
        </w:tc>
        <w:tc>
          <w:tcPr>
            <w:tcW w:w="1082" w:type="dxa"/>
            <w:tcBorders>
              <w:top w:val="nil"/>
              <w:left w:val="nil"/>
              <w:bottom w:val="nil"/>
              <w:right w:val="single" w:sz="4" w:space="0" w:color="auto"/>
            </w:tcBorders>
            <w:shd w:val="clear" w:color="auto" w:fill="auto"/>
            <w:noWrap/>
            <w:vAlign w:val="bottom"/>
            <w:hideMark/>
          </w:tcPr>
          <w:p w14:paraId="53260D41"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6.1%</w:t>
            </w:r>
          </w:p>
        </w:tc>
        <w:tc>
          <w:tcPr>
            <w:tcW w:w="1195" w:type="dxa"/>
            <w:tcBorders>
              <w:top w:val="nil"/>
              <w:left w:val="nil"/>
              <w:bottom w:val="nil"/>
              <w:right w:val="nil"/>
            </w:tcBorders>
            <w:shd w:val="clear" w:color="auto" w:fill="auto"/>
            <w:noWrap/>
            <w:vAlign w:val="bottom"/>
            <w:hideMark/>
          </w:tcPr>
          <w:p w14:paraId="75D74CB4" w14:textId="78C3C891"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1.99</w:t>
            </w:r>
          </w:p>
        </w:tc>
        <w:tc>
          <w:tcPr>
            <w:tcW w:w="1372" w:type="dxa"/>
            <w:tcBorders>
              <w:top w:val="nil"/>
              <w:left w:val="nil"/>
              <w:bottom w:val="nil"/>
              <w:right w:val="single" w:sz="4" w:space="0" w:color="auto"/>
            </w:tcBorders>
            <w:shd w:val="clear" w:color="auto" w:fill="auto"/>
            <w:noWrap/>
            <w:vAlign w:val="bottom"/>
            <w:hideMark/>
          </w:tcPr>
          <w:p w14:paraId="5FA68A4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1.51,2.63</w:t>
            </w:r>
          </w:p>
        </w:tc>
        <w:tc>
          <w:tcPr>
            <w:tcW w:w="1195" w:type="dxa"/>
            <w:tcBorders>
              <w:top w:val="nil"/>
              <w:left w:val="nil"/>
              <w:bottom w:val="nil"/>
              <w:right w:val="nil"/>
            </w:tcBorders>
            <w:shd w:val="clear" w:color="auto" w:fill="auto"/>
            <w:noWrap/>
            <w:vAlign w:val="bottom"/>
            <w:hideMark/>
          </w:tcPr>
          <w:p w14:paraId="1313AD6C" w14:textId="09F26A73"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2.33</w:t>
            </w:r>
          </w:p>
        </w:tc>
        <w:tc>
          <w:tcPr>
            <w:tcW w:w="1372" w:type="dxa"/>
            <w:tcBorders>
              <w:top w:val="nil"/>
              <w:left w:val="nil"/>
              <w:bottom w:val="nil"/>
              <w:right w:val="nil"/>
            </w:tcBorders>
            <w:shd w:val="clear" w:color="auto" w:fill="auto"/>
            <w:noWrap/>
            <w:vAlign w:val="bottom"/>
            <w:hideMark/>
          </w:tcPr>
          <w:p w14:paraId="74F0C3B9"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1.73,3.13</w:t>
            </w:r>
          </w:p>
        </w:tc>
        <w:tc>
          <w:tcPr>
            <w:tcW w:w="1118" w:type="dxa"/>
            <w:tcBorders>
              <w:top w:val="nil"/>
              <w:left w:val="single" w:sz="4" w:space="0" w:color="auto"/>
              <w:bottom w:val="nil"/>
              <w:right w:val="nil"/>
            </w:tcBorders>
            <w:shd w:val="clear" w:color="auto" w:fill="auto"/>
            <w:noWrap/>
            <w:vAlign w:val="bottom"/>
            <w:hideMark/>
          </w:tcPr>
          <w:p w14:paraId="539198F3" w14:textId="33EA7659"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2.36</w:t>
            </w:r>
          </w:p>
        </w:tc>
        <w:tc>
          <w:tcPr>
            <w:tcW w:w="1450" w:type="dxa"/>
            <w:tcBorders>
              <w:top w:val="nil"/>
              <w:left w:val="nil"/>
              <w:bottom w:val="nil"/>
              <w:right w:val="single" w:sz="4" w:space="0" w:color="auto"/>
            </w:tcBorders>
            <w:shd w:val="clear" w:color="auto" w:fill="auto"/>
            <w:noWrap/>
            <w:vAlign w:val="bottom"/>
            <w:hideMark/>
          </w:tcPr>
          <w:p w14:paraId="13A58F2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1.75,3.19</w:t>
            </w:r>
          </w:p>
        </w:tc>
      </w:tr>
      <w:tr w:rsidR="00FD76BD" w:rsidRPr="00FD76BD" w14:paraId="7D62B8ED" w14:textId="77777777" w:rsidTr="00063136">
        <w:trPr>
          <w:trHeight w:val="205"/>
        </w:trPr>
        <w:tc>
          <w:tcPr>
            <w:tcW w:w="2689" w:type="dxa"/>
            <w:vMerge/>
            <w:tcBorders>
              <w:top w:val="nil"/>
              <w:left w:val="single" w:sz="4" w:space="0" w:color="auto"/>
              <w:bottom w:val="nil"/>
              <w:right w:val="single" w:sz="4" w:space="0" w:color="auto"/>
            </w:tcBorders>
            <w:vAlign w:val="center"/>
            <w:hideMark/>
          </w:tcPr>
          <w:p w14:paraId="09A436A9"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nil"/>
              <w:right w:val="nil"/>
            </w:tcBorders>
            <w:shd w:val="clear" w:color="auto" w:fill="auto"/>
            <w:noWrap/>
            <w:vAlign w:val="bottom"/>
            <w:hideMark/>
          </w:tcPr>
          <w:p w14:paraId="7BD1ABAF"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Working</w:t>
            </w:r>
          </w:p>
        </w:tc>
        <w:tc>
          <w:tcPr>
            <w:tcW w:w="761" w:type="dxa"/>
            <w:tcBorders>
              <w:top w:val="nil"/>
              <w:left w:val="single" w:sz="4" w:space="0" w:color="auto"/>
              <w:bottom w:val="nil"/>
              <w:right w:val="nil"/>
            </w:tcBorders>
            <w:shd w:val="clear" w:color="auto" w:fill="auto"/>
            <w:noWrap/>
            <w:vAlign w:val="bottom"/>
            <w:hideMark/>
          </w:tcPr>
          <w:p w14:paraId="35B464E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220</w:t>
            </w:r>
          </w:p>
        </w:tc>
        <w:tc>
          <w:tcPr>
            <w:tcW w:w="1268" w:type="dxa"/>
            <w:tcBorders>
              <w:top w:val="nil"/>
              <w:left w:val="nil"/>
              <w:bottom w:val="nil"/>
              <w:right w:val="single" w:sz="4" w:space="0" w:color="auto"/>
            </w:tcBorders>
            <w:shd w:val="clear" w:color="auto" w:fill="auto"/>
            <w:noWrap/>
            <w:vAlign w:val="bottom"/>
            <w:hideMark/>
          </w:tcPr>
          <w:p w14:paraId="64904716"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11.3%</w:t>
            </w:r>
          </w:p>
        </w:tc>
        <w:tc>
          <w:tcPr>
            <w:tcW w:w="947" w:type="dxa"/>
            <w:tcBorders>
              <w:top w:val="nil"/>
              <w:left w:val="nil"/>
              <w:bottom w:val="nil"/>
              <w:right w:val="nil"/>
            </w:tcBorders>
            <w:shd w:val="clear" w:color="auto" w:fill="auto"/>
            <w:noWrap/>
            <w:vAlign w:val="bottom"/>
            <w:hideMark/>
          </w:tcPr>
          <w:p w14:paraId="0E040E48"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65</w:t>
            </w:r>
          </w:p>
        </w:tc>
        <w:tc>
          <w:tcPr>
            <w:tcW w:w="1082" w:type="dxa"/>
            <w:tcBorders>
              <w:top w:val="nil"/>
              <w:left w:val="nil"/>
              <w:bottom w:val="nil"/>
              <w:right w:val="single" w:sz="4" w:space="0" w:color="auto"/>
            </w:tcBorders>
            <w:shd w:val="clear" w:color="auto" w:fill="auto"/>
            <w:noWrap/>
            <w:vAlign w:val="bottom"/>
            <w:hideMark/>
          </w:tcPr>
          <w:p w14:paraId="4CA49A3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5.4%</w:t>
            </w:r>
          </w:p>
        </w:tc>
        <w:tc>
          <w:tcPr>
            <w:tcW w:w="1195" w:type="dxa"/>
            <w:tcBorders>
              <w:top w:val="nil"/>
              <w:left w:val="nil"/>
              <w:bottom w:val="nil"/>
              <w:right w:val="nil"/>
            </w:tcBorders>
            <w:shd w:val="clear" w:color="auto" w:fill="auto"/>
            <w:noWrap/>
            <w:vAlign w:val="bottom"/>
            <w:hideMark/>
          </w:tcPr>
          <w:p w14:paraId="61BD7424" w14:textId="44CB137E"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2.24</w:t>
            </w:r>
          </w:p>
        </w:tc>
        <w:tc>
          <w:tcPr>
            <w:tcW w:w="1372" w:type="dxa"/>
            <w:tcBorders>
              <w:top w:val="nil"/>
              <w:left w:val="nil"/>
              <w:bottom w:val="nil"/>
              <w:right w:val="single" w:sz="4" w:space="0" w:color="auto"/>
            </w:tcBorders>
            <w:shd w:val="clear" w:color="auto" w:fill="auto"/>
            <w:noWrap/>
            <w:vAlign w:val="bottom"/>
            <w:hideMark/>
          </w:tcPr>
          <w:p w14:paraId="3C1D7773"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1.61,3.12</w:t>
            </w:r>
          </w:p>
        </w:tc>
        <w:tc>
          <w:tcPr>
            <w:tcW w:w="1195" w:type="dxa"/>
            <w:tcBorders>
              <w:top w:val="nil"/>
              <w:left w:val="nil"/>
              <w:bottom w:val="nil"/>
              <w:right w:val="nil"/>
            </w:tcBorders>
            <w:shd w:val="clear" w:color="auto" w:fill="auto"/>
            <w:noWrap/>
            <w:vAlign w:val="bottom"/>
            <w:hideMark/>
          </w:tcPr>
          <w:p w14:paraId="517C3F9B" w14:textId="3DB79679"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2.52</w:t>
            </w:r>
          </w:p>
        </w:tc>
        <w:tc>
          <w:tcPr>
            <w:tcW w:w="1372" w:type="dxa"/>
            <w:tcBorders>
              <w:top w:val="nil"/>
              <w:left w:val="nil"/>
              <w:bottom w:val="nil"/>
              <w:right w:val="nil"/>
            </w:tcBorders>
            <w:shd w:val="clear" w:color="auto" w:fill="auto"/>
            <w:noWrap/>
            <w:vAlign w:val="bottom"/>
            <w:hideMark/>
          </w:tcPr>
          <w:p w14:paraId="26A10C6E"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1.80,3.53</w:t>
            </w:r>
          </w:p>
        </w:tc>
        <w:tc>
          <w:tcPr>
            <w:tcW w:w="1118" w:type="dxa"/>
            <w:tcBorders>
              <w:top w:val="nil"/>
              <w:left w:val="single" w:sz="4" w:space="0" w:color="auto"/>
              <w:bottom w:val="nil"/>
              <w:right w:val="nil"/>
            </w:tcBorders>
            <w:shd w:val="clear" w:color="auto" w:fill="auto"/>
            <w:noWrap/>
            <w:vAlign w:val="bottom"/>
            <w:hideMark/>
          </w:tcPr>
          <w:p w14:paraId="0B6699C0" w14:textId="471487A8"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2.63</w:t>
            </w:r>
          </w:p>
        </w:tc>
        <w:tc>
          <w:tcPr>
            <w:tcW w:w="1450" w:type="dxa"/>
            <w:tcBorders>
              <w:top w:val="nil"/>
              <w:left w:val="nil"/>
              <w:bottom w:val="nil"/>
              <w:right w:val="single" w:sz="4" w:space="0" w:color="auto"/>
            </w:tcBorders>
            <w:shd w:val="clear" w:color="auto" w:fill="auto"/>
            <w:noWrap/>
            <w:vAlign w:val="bottom"/>
            <w:hideMark/>
          </w:tcPr>
          <w:p w14:paraId="7A2520A8"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1.85,3.74</w:t>
            </w:r>
          </w:p>
        </w:tc>
      </w:tr>
      <w:tr w:rsidR="00FD76BD" w:rsidRPr="00FD76BD" w14:paraId="2E8C6C31" w14:textId="77777777" w:rsidTr="00063136">
        <w:trPr>
          <w:trHeight w:val="205"/>
        </w:trPr>
        <w:tc>
          <w:tcPr>
            <w:tcW w:w="2689" w:type="dxa"/>
            <w:vMerge/>
            <w:tcBorders>
              <w:top w:val="nil"/>
              <w:left w:val="single" w:sz="4" w:space="0" w:color="auto"/>
              <w:bottom w:val="nil"/>
              <w:right w:val="single" w:sz="4" w:space="0" w:color="auto"/>
            </w:tcBorders>
            <w:vAlign w:val="center"/>
            <w:hideMark/>
          </w:tcPr>
          <w:p w14:paraId="4F5D4B84"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nil"/>
              <w:right w:val="nil"/>
            </w:tcBorders>
            <w:shd w:val="clear" w:color="auto" w:fill="auto"/>
            <w:noWrap/>
            <w:vAlign w:val="bottom"/>
            <w:hideMark/>
          </w:tcPr>
          <w:p w14:paraId="4926E4B0"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Non-working</w:t>
            </w:r>
          </w:p>
        </w:tc>
        <w:tc>
          <w:tcPr>
            <w:tcW w:w="761" w:type="dxa"/>
            <w:tcBorders>
              <w:top w:val="nil"/>
              <w:left w:val="single" w:sz="4" w:space="0" w:color="auto"/>
              <w:bottom w:val="nil"/>
              <w:right w:val="nil"/>
            </w:tcBorders>
            <w:shd w:val="clear" w:color="auto" w:fill="auto"/>
            <w:noWrap/>
            <w:vAlign w:val="bottom"/>
            <w:hideMark/>
          </w:tcPr>
          <w:p w14:paraId="742016B1"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33</w:t>
            </w:r>
          </w:p>
        </w:tc>
        <w:tc>
          <w:tcPr>
            <w:tcW w:w="1268" w:type="dxa"/>
            <w:tcBorders>
              <w:top w:val="nil"/>
              <w:left w:val="nil"/>
              <w:bottom w:val="nil"/>
              <w:right w:val="single" w:sz="4" w:space="0" w:color="auto"/>
            </w:tcBorders>
            <w:shd w:val="clear" w:color="auto" w:fill="auto"/>
            <w:noWrap/>
            <w:vAlign w:val="bottom"/>
            <w:hideMark/>
          </w:tcPr>
          <w:p w14:paraId="0E136D94"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12.4%</w:t>
            </w:r>
          </w:p>
        </w:tc>
        <w:tc>
          <w:tcPr>
            <w:tcW w:w="947" w:type="dxa"/>
            <w:tcBorders>
              <w:top w:val="nil"/>
              <w:left w:val="nil"/>
              <w:bottom w:val="nil"/>
              <w:right w:val="nil"/>
            </w:tcBorders>
            <w:shd w:val="clear" w:color="auto" w:fill="auto"/>
            <w:noWrap/>
            <w:vAlign w:val="bottom"/>
            <w:hideMark/>
          </w:tcPr>
          <w:p w14:paraId="1A5F8230"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41</w:t>
            </w:r>
          </w:p>
        </w:tc>
        <w:tc>
          <w:tcPr>
            <w:tcW w:w="1082" w:type="dxa"/>
            <w:tcBorders>
              <w:top w:val="nil"/>
              <w:left w:val="nil"/>
              <w:bottom w:val="nil"/>
              <w:right w:val="single" w:sz="4" w:space="0" w:color="auto"/>
            </w:tcBorders>
            <w:shd w:val="clear" w:color="auto" w:fill="auto"/>
            <w:noWrap/>
            <w:vAlign w:val="bottom"/>
            <w:hideMark/>
          </w:tcPr>
          <w:p w14:paraId="5D12207C"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8.5%</w:t>
            </w:r>
          </w:p>
        </w:tc>
        <w:tc>
          <w:tcPr>
            <w:tcW w:w="1195" w:type="dxa"/>
            <w:tcBorders>
              <w:top w:val="nil"/>
              <w:left w:val="nil"/>
              <w:bottom w:val="nil"/>
              <w:right w:val="nil"/>
            </w:tcBorders>
            <w:shd w:val="clear" w:color="auto" w:fill="auto"/>
            <w:noWrap/>
            <w:vAlign w:val="bottom"/>
            <w:hideMark/>
          </w:tcPr>
          <w:p w14:paraId="1B7525F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1.51</w:t>
            </w:r>
          </w:p>
        </w:tc>
        <w:tc>
          <w:tcPr>
            <w:tcW w:w="1372" w:type="dxa"/>
            <w:tcBorders>
              <w:top w:val="nil"/>
              <w:left w:val="nil"/>
              <w:bottom w:val="nil"/>
              <w:right w:val="single" w:sz="4" w:space="0" w:color="auto"/>
            </w:tcBorders>
            <w:shd w:val="clear" w:color="auto" w:fill="auto"/>
            <w:noWrap/>
            <w:vAlign w:val="bottom"/>
            <w:hideMark/>
          </w:tcPr>
          <w:p w14:paraId="783E444D"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0.85,2.69</w:t>
            </w:r>
          </w:p>
        </w:tc>
        <w:tc>
          <w:tcPr>
            <w:tcW w:w="1195" w:type="dxa"/>
            <w:tcBorders>
              <w:top w:val="nil"/>
              <w:left w:val="nil"/>
              <w:bottom w:val="nil"/>
              <w:right w:val="nil"/>
            </w:tcBorders>
            <w:shd w:val="clear" w:color="auto" w:fill="auto"/>
            <w:noWrap/>
            <w:vAlign w:val="bottom"/>
            <w:hideMark/>
          </w:tcPr>
          <w:p w14:paraId="07CF3A6F"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1.60</w:t>
            </w:r>
          </w:p>
        </w:tc>
        <w:tc>
          <w:tcPr>
            <w:tcW w:w="1372" w:type="dxa"/>
            <w:tcBorders>
              <w:top w:val="nil"/>
              <w:left w:val="nil"/>
              <w:bottom w:val="nil"/>
              <w:right w:val="nil"/>
            </w:tcBorders>
            <w:shd w:val="clear" w:color="auto" w:fill="auto"/>
            <w:noWrap/>
            <w:vAlign w:val="bottom"/>
            <w:hideMark/>
          </w:tcPr>
          <w:p w14:paraId="34015C90"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0.85,3.00</w:t>
            </w:r>
          </w:p>
        </w:tc>
        <w:tc>
          <w:tcPr>
            <w:tcW w:w="1118" w:type="dxa"/>
            <w:tcBorders>
              <w:top w:val="nil"/>
              <w:left w:val="single" w:sz="4" w:space="0" w:color="auto"/>
              <w:bottom w:val="nil"/>
              <w:right w:val="nil"/>
            </w:tcBorders>
            <w:shd w:val="clear" w:color="auto" w:fill="auto"/>
            <w:noWrap/>
            <w:vAlign w:val="bottom"/>
            <w:hideMark/>
          </w:tcPr>
          <w:p w14:paraId="3348C88B"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1.37</w:t>
            </w:r>
          </w:p>
        </w:tc>
        <w:tc>
          <w:tcPr>
            <w:tcW w:w="1450" w:type="dxa"/>
            <w:tcBorders>
              <w:top w:val="nil"/>
              <w:left w:val="nil"/>
              <w:bottom w:val="nil"/>
              <w:right w:val="single" w:sz="4" w:space="0" w:color="auto"/>
            </w:tcBorders>
            <w:shd w:val="clear" w:color="auto" w:fill="auto"/>
            <w:noWrap/>
            <w:vAlign w:val="bottom"/>
            <w:hideMark/>
          </w:tcPr>
          <w:p w14:paraId="0A425A3C"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0.71,2.66</w:t>
            </w:r>
          </w:p>
        </w:tc>
      </w:tr>
      <w:tr w:rsidR="00FD76BD" w:rsidRPr="00FD76BD" w14:paraId="3F6F315A" w14:textId="77777777" w:rsidTr="00063136">
        <w:trPr>
          <w:trHeight w:val="205"/>
        </w:trPr>
        <w:tc>
          <w:tcPr>
            <w:tcW w:w="2689" w:type="dxa"/>
            <w:tcBorders>
              <w:top w:val="single" w:sz="4" w:space="0" w:color="auto"/>
              <w:left w:val="single" w:sz="4" w:space="0" w:color="auto"/>
              <w:bottom w:val="single" w:sz="4" w:space="0" w:color="auto"/>
              <w:right w:val="nil"/>
            </w:tcBorders>
            <w:shd w:val="clear" w:color="auto" w:fill="auto"/>
            <w:noWrap/>
            <w:vAlign w:val="center"/>
            <w:hideMark/>
          </w:tcPr>
          <w:p w14:paraId="5C1F56B6"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WOMEN</w:t>
            </w:r>
          </w:p>
        </w:tc>
        <w:tc>
          <w:tcPr>
            <w:tcW w:w="1576" w:type="dxa"/>
            <w:tcBorders>
              <w:top w:val="single" w:sz="4" w:space="0" w:color="auto"/>
              <w:left w:val="nil"/>
              <w:bottom w:val="single" w:sz="4" w:space="0" w:color="auto"/>
              <w:right w:val="nil"/>
            </w:tcBorders>
            <w:shd w:val="clear" w:color="auto" w:fill="auto"/>
            <w:noWrap/>
            <w:vAlign w:val="bottom"/>
            <w:hideMark/>
          </w:tcPr>
          <w:p w14:paraId="394E65D3"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761" w:type="dxa"/>
            <w:tcBorders>
              <w:top w:val="single" w:sz="4" w:space="0" w:color="auto"/>
              <w:left w:val="nil"/>
              <w:bottom w:val="single" w:sz="4" w:space="0" w:color="auto"/>
              <w:right w:val="nil"/>
            </w:tcBorders>
            <w:shd w:val="clear" w:color="auto" w:fill="auto"/>
            <w:noWrap/>
            <w:vAlign w:val="bottom"/>
            <w:hideMark/>
          </w:tcPr>
          <w:p w14:paraId="0FA5241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268" w:type="dxa"/>
            <w:tcBorders>
              <w:top w:val="single" w:sz="4" w:space="0" w:color="auto"/>
              <w:left w:val="nil"/>
              <w:bottom w:val="single" w:sz="4" w:space="0" w:color="auto"/>
              <w:right w:val="nil"/>
            </w:tcBorders>
            <w:shd w:val="clear" w:color="auto" w:fill="auto"/>
            <w:noWrap/>
            <w:vAlign w:val="bottom"/>
            <w:hideMark/>
          </w:tcPr>
          <w:p w14:paraId="4D66A1C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947" w:type="dxa"/>
            <w:tcBorders>
              <w:top w:val="single" w:sz="4" w:space="0" w:color="auto"/>
              <w:left w:val="nil"/>
              <w:bottom w:val="single" w:sz="4" w:space="0" w:color="auto"/>
              <w:right w:val="nil"/>
            </w:tcBorders>
            <w:shd w:val="clear" w:color="auto" w:fill="auto"/>
            <w:noWrap/>
            <w:vAlign w:val="bottom"/>
            <w:hideMark/>
          </w:tcPr>
          <w:p w14:paraId="75585EAC"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082" w:type="dxa"/>
            <w:tcBorders>
              <w:top w:val="single" w:sz="4" w:space="0" w:color="auto"/>
              <w:left w:val="nil"/>
              <w:bottom w:val="single" w:sz="4" w:space="0" w:color="auto"/>
              <w:right w:val="nil"/>
            </w:tcBorders>
            <w:shd w:val="clear" w:color="auto" w:fill="auto"/>
            <w:noWrap/>
            <w:vAlign w:val="bottom"/>
            <w:hideMark/>
          </w:tcPr>
          <w:p w14:paraId="5A34EC76"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195" w:type="dxa"/>
            <w:tcBorders>
              <w:top w:val="single" w:sz="4" w:space="0" w:color="auto"/>
              <w:left w:val="nil"/>
              <w:bottom w:val="single" w:sz="4" w:space="0" w:color="auto"/>
              <w:right w:val="nil"/>
            </w:tcBorders>
            <w:shd w:val="clear" w:color="auto" w:fill="auto"/>
            <w:noWrap/>
            <w:vAlign w:val="bottom"/>
            <w:hideMark/>
          </w:tcPr>
          <w:p w14:paraId="3B604DFF"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372" w:type="dxa"/>
            <w:tcBorders>
              <w:top w:val="single" w:sz="4" w:space="0" w:color="auto"/>
              <w:left w:val="nil"/>
              <w:bottom w:val="single" w:sz="4" w:space="0" w:color="auto"/>
              <w:right w:val="nil"/>
            </w:tcBorders>
            <w:shd w:val="clear" w:color="auto" w:fill="auto"/>
            <w:noWrap/>
            <w:vAlign w:val="bottom"/>
            <w:hideMark/>
          </w:tcPr>
          <w:p w14:paraId="789D1563"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195" w:type="dxa"/>
            <w:tcBorders>
              <w:top w:val="single" w:sz="4" w:space="0" w:color="auto"/>
              <w:left w:val="nil"/>
              <w:bottom w:val="single" w:sz="4" w:space="0" w:color="auto"/>
              <w:right w:val="nil"/>
            </w:tcBorders>
            <w:shd w:val="clear" w:color="auto" w:fill="auto"/>
            <w:noWrap/>
            <w:vAlign w:val="bottom"/>
            <w:hideMark/>
          </w:tcPr>
          <w:p w14:paraId="3D4A6A6E"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372" w:type="dxa"/>
            <w:tcBorders>
              <w:top w:val="single" w:sz="4" w:space="0" w:color="auto"/>
              <w:left w:val="nil"/>
              <w:bottom w:val="single" w:sz="4" w:space="0" w:color="auto"/>
              <w:right w:val="nil"/>
            </w:tcBorders>
            <w:shd w:val="clear" w:color="auto" w:fill="auto"/>
            <w:noWrap/>
            <w:vAlign w:val="bottom"/>
            <w:hideMark/>
          </w:tcPr>
          <w:p w14:paraId="6AE1D45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118" w:type="dxa"/>
            <w:tcBorders>
              <w:top w:val="single" w:sz="4" w:space="0" w:color="auto"/>
              <w:left w:val="single" w:sz="4" w:space="0" w:color="auto"/>
              <w:bottom w:val="single" w:sz="4" w:space="0" w:color="auto"/>
              <w:right w:val="nil"/>
            </w:tcBorders>
            <w:shd w:val="clear" w:color="auto" w:fill="auto"/>
            <w:noWrap/>
            <w:vAlign w:val="bottom"/>
            <w:hideMark/>
          </w:tcPr>
          <w:p w14:paraId="749C6B1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14:paraId="2FC54EDD"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 </w:t>
            </w:r>
          </w:p>
        </w:tc>
      </w:tr>
      <w:tr w:rsidR="00FD76BD" w:rsidRPr="00FD76BD" w14:paraId="3CB3841F" w14:textId="77777777" w:rsidTr="00063136">
        <w:trPr>
          <w:trHeight w:val="205"/>
        </w:trPr>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C524F6"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CMD caseness</w:t>
            </w:r>
          </w:p>
        </w:tc>
        <w:tc>
          <w:tcPr>
            <w:tcW w:w="1576" w:type="dxa"/>
            <w:tcBorders>
              <w:top w:val="nil"/>
              <w:left w:val="nil"/>
              <w:bottom w:val="nil"/>
              <w:right w:val="nil"/>
            </w:tcBorders>
            <w:shd w:val="clear" w:color="auto" w:fill="auto"/>
            <w:noWrap/>
            <w:vAlign w:val="bottom"/>
            <w:hideMark/>
          </w:tcPr>
          <w:p w14:paraId="5127ADFC"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Full sample</w:t>
            </w:r>
          </w:p>
        </w:tc>
        <w:tc>
          <w:tcPr>
            <w:tcW w:w="761" w:type="dxa"/>
            <w:tcBorders>
              <w:top w:val="nil"/>
              <w:left w:val="single" w:sz="4" w:space="0" w:color="auto"/>
              <w:bottom w:val="nil"/>
              <w:right w:val="nil"/>
            </w:tcBorders>
            <w:shd w:val="clear" w:color="auto" w:fill="auto"/>
            <w:noWrap/>
            <w:vAlign w:val="bottom"/>
            <w:hideMark/>
          </w:tcPr>
          <w:p w14:paraId="7A4A745C"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61</w:t>
            </w:r>
          </w:p>
        </w:tc>
        <w:tc>
          <w:tcPr>
            <w:tcW w:w="1268" w:type="dxa"/>
            <w:tcBorders>
              <w:top w:val="nil"/>
              <w:left w:val="nil"/>
              <w:bottom w:val="nil"/>
              <w:right w:val="single" w:sz="4" w:space="0" w:color="auto"/>
            </w:tcBorders>
            <w:shd w:val="clear" w:color="auto" w:fill="auto"/>
            <w:noWrap/>
            <w:vAlign w:val="bottom"/>
            <w:hideMark/>
          </w:tcPr>
          <w:p w14:paraId="155EE92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23.1%</w:t>
            </w:r>
          </w:p>
        </w:tc>
        <w:tc>
          <w:tcPr>
            <w:tcW w:w="947" w:type="dxa"/>
            <w:tcBorders>
              <w:top w:val="nil"/>
              <w:left w:val="nil"/>
              <w:bottom w:val="nil"/>
              <w:right w:val="nil"/>
            </w:tcBorders>
            <w:shd w:val="clear" w:color="auto" w:fill="auto"/>
            <w:noWrap/>
            <w:vAlign w:val="bottom"/>
            <w:hideMark/>
          </w:tcPr>
          <w:p w14:paraId="75226CA1"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2,597</w:t>
            </w:r>
          </w:p>
        </w:tc>
        <w:tc>
          <w:tcPr>
            <w:tcW w:w="1082" w:type="dxa"/>
            <w:tcBorders>
              <w:top w:val="nil"/>
              <w:left w:val="nil"/>
              <w:bottom w:val="nil"/>
              <w:right w:val="single" w:sz="4" w:space="0" w:color="auto"/>
            </w:tcBorders>
            <w:shd w:val="clear" w:color="auto" w:fill="auto"/>
            <w:noWrap/>
            <w:vAlign w:val="bottom"/>
            <w:hideMark/>
          </w:tcPr>
          <w:p w14:paraId="44AE4DEE"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21.2%</w:t>
            </w:r>
          </w:p>
        </w:tc>
        <w:tc>
          <w:tcPr>
            <w:tcW w:w="1195" w:type="dxa"/>
            <w:tcBorders>
              <w:top w:val="nil"/>
              <w:left w:val="nil"/>
              <w:bottom w:val="nil"/>
              <w:right w:val="nil"/>
            </w:tcBorders>
            <w:shd w:val="clear" w:color="auto" w:fill="auto"/>
            <w:noWrap/>
            <w:vAlign w:val="bottom"/>
            <w:hideMark/>
          </w:tcPr>
          <w:p w14:paraId="6DF07D99"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1.12</w:t>
            </w:r>
          </w:p>
        </w:tc>
        <w:tc>
          <w:tcPr>
            <w:tcW w:w="1372" w:type="dxa"/>
            <w:tcBorders>
              <w:top w:val="nil"/>
              <w:left w:val="nil"/>
              <w:bottom w:val="nil"/>
              <w:right w:val="single" w:sz="4" w:space="0" w:color="auto"/>
            </w:tcBorders>
            <w:shd w:val="clear" w:color="auto" w:fill="auto"/>
            <w:noWrap/>
            <w:vAlign w:val="bottom"/>
            <w:hideMark/>
          </w:tcPr>
          <w:p w14:paraId="3E0F4421"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0.80,1.56</w:t>
            </w:r>
          </w:p>
        </w:tc>
        <w:tc>
          <w:tcPr>
            <w:tcW w:w="1195" w:type="dxa"/>
            <w:tcBorders>
              <w:top w:val="nil"/>
              <w:left w:val="nil"/>
              <w:bottom w:val="nil"/>
              <w:right w:val="nil"/>
            </w:tcBorders>
            <w:shd w:val="clear" w:color="auto" w:fill="auto"/>
            <w:noWrap/>
            <w:vAlign w:val="bottom"/>
            <w:hideMark/>
          </w:tcPr>
          <w:p w14:paraId="6AB56F0B"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1.20</w:t>
            </w:r>
          </w:p>
        </w:tc>
        <w:tc>
          <w:tcPr>
            <w:tcW w:w="1372" w:type="dxa"/>
            <w:tcBorders>
              <w:top w:val="nil"/>
              <w:left w:val="nil"/>
              <w:bottom w:val="nil"/>
              <w:right w:val="nil"/>
            </w:tcBorders>
            <w:shd w:val="clear" w:color="auto" w:fill="auto"/>
            <w:noWrap/>
            <w:vAlign w:val="bottom"/>
            <w:hideMark/>
          </w:tcPr>
          <w:p w14:paraId="4D71D6A8"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0.86,1.69</w:t>
            </w:r>
          </w:p>
        </w:tc>
        <w:tc>
          <w:tcPr>
            <w:tcW w:w="1118" w:type="dxa"/>
            <w:tcBorders>
              <w:top w:val="nil"/>
              <w:left w:val="single" w:sz="4" w:space="0" w:color="auto"/>
              <w:bottom w:val="nil"/>
              <w:right w:val="nil"/>
            </w:tcBorders>
            <w:shd w:val="clear" w:color="auto" w:fill="auto"/>
            <w:noWrap/>
            <w:vAlign w:val="bottom"/>
            <w:hideMark/>
          </w:tcPr>
          <w:p w14:paraId="2344C6D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1.12</w:t>
            </w:r>
          </w:p>
        </w:tc>
        <w:tc>
          <w:tcPr>
            <w:tcW w:w="1450" w:type="dxa"/>
            <w:tcBorders>
              <w:top w:val="nil"/>
              <w:left w:val="nil"/>
              <w:bottom w:val="nil"/>
              <w:right w:val="single" w:sz="4" w:space="0" w:color="auto"/>
            </w:tcBorders>
            <w:shd w:val="clear" w:color="auto" w:fill="auto"/>
            <w:noWrap/>
            <w:vAlign w:val="bottom"/>
            <w:hideMark/>
          </w:tcPr>
          <w:p w14:paraId="208C2D53"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0.80,1.56</w:t>
            </w:r>
          </w:p>
        </w:tc>
      </w:tr>
      <w:tr w:rsidR="00FD76BD" w:rsidRPr="00FD76BD" w14:paraId="4AFB62D9" w14:textId="77777777" w:rsidTr="00063136">
        <w:trPr>
          <w:trHeight w:val="205"/>
        </w:trPr>
        <w:tc>
          <w:tcPr>
            <w:tcW w:w="2689" w:type="dxa"/>
            <w:vMerge/>
            <w:tcBorders>
              <w:top w:val="nil"/>
              <w:left w:val="single" w:sz="4" w:space="0" w:color="auto"/>
              <w:bottom w:val="single" w:sz="4" w:space="0" w:color="000000"/>
              <w:right w:val="single" w:sz="4" w:space="0" w:color="auto"/>
            </w:tcBorders>
            <w:vAlign w:val="center"/>
            <w:hideMark/>
          </w:tcPr>
          <w:p w14:paraId="4DE0713A"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nil"/>
              <w:right w:val="nil"/>
            </w:tcBorders>
            <w:shd w:val="clear" w:color="auto" w:fill="auto"/>
            <w:noWrap/>
            <w:vAlign w:val="bottom"/>
            <w:hideMark/>
          </w:tcPr>
          <w:p w14:paraId="3664A15A"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Working</w:t>
            </w:r>
          </w:p>
        </w:tc>
        <w:tc>
          <w:tcPr>
            <w:tcW w:w="761" w:type="dxa"/>
            <w:tcBorders>
              <w:top w:val="nil"/>
              <w:left w:val="single" w:sz="4" w:space="0" w:color="auto"/>
              <w:bottom w:val="nil"/>
              <w:right w:val="nil"/>
            </w:tcBorders>
            <w:shd w:val="clear" w:color="auto" w:fill="auto"/>
            <w:noWrap/>
            <w:vAlign w:val="bottom"/>
            <w:hideMark/>
          </w:tcPr>
          <w:p w14:paraId="4D8EC705"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48</w:t>
            </w:r>
          </w:p>
        </w:tc>
        <w:tc>
          <w:tcPr>
            <w:tcW w:w="1268" w:type="dxa"/>
            <w:tcBorders>
              <w:top w:val="nil"/>
              <w:left w:val="nil"/>
              <w:bottom w:val="nil"/>
              <w:right w:val="single" w:sz="4" w:space="0" w:color="auto"/>
            </w:tcBorders>
            <w:shd w:val="clear" w:color="auto" w:fill="auto"/>
            <w:noWrap/>
            <w:vAlign w:val="bottom"/>
            <w:hideMark/>
          </w:tcPr>
          <w:p w14:paraId="7975F609"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19.6%</w:t>
            </w:r>
          </w:p>
        </w:tc>
        <w:tc>
          <w:tcPr>
            <w:tcW w:w="947" w:type="dxa"/>
            <w:tcBorders>
              <w:top w:val="nil"/>
              <w:left w:val="nil"/>
              <w:bottom w:val="nil"/>
              <w:right w:val="nil"/>
            </w:tcBorders>
            <w:shd w:val="clear" w:color="auto" w:fill="auto"/>
            <w:noWrap/>
            <w:vAlign w:val="bottom"/>
            <w:hideMark/>
          </w:tcPr>
          <w:p w14:paraId="3D6CB4B3"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1,424</w:t>
            </w:r>
          </w:p>
        </w:tc>
        <w:tc>
          <w:tcPr>
            <w:tcW w:w="1082" w:type="dxa"/>
            <w:tcBorders>
              <w:top w:val="nil"/>
              <w:left w:val="nil"/>
              <w:bottom w:val="nil"/>
              <w:right w:val="single" w:sz="4" w:space="0" w:color="auto"/>
            </w:tcBorders>
            <w:shd w:val="clear" w:color="auto" w:fill="auto"/>
            <w:noWrap/>
            <w:vAlign w:val="bottom"/>
            <w:hideMark/>
          </w:tcPr>
          <w:p w14:paraId="0E5D1391"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18.2%</w:t>
            </w:r>
          </w:p>
        </w:tc>
        <w:tc>
          <w:tcPr>
            <w:tcW w:w="1195" w:type="dxa"/>
            <w:tcBorders>
              <w:top w:val="nil"/>
              <w:left w:val="nil"/>
              <w:bottom w:val="nil"/>
              <w:right w:val="nil"/>
            </w:tcBorders>
            <w:shd w:val="clear" w:color="auto" w:fill="auto"/>
            <w:noWrap/>
            <w:vAlign w:val="bottom"/>
            <w:hideMark/>
          </w:tcPr>
          <w:p w14:paraId="23C461AB"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1.15</w:t>
            </w:r>
          </w:p>
        </w:tc>
        <w:tc>
          <w:tcPr>
            <w:tcW w:w="1372" w:type="dxa"/>
            <w:tcBorders>
              <w:top w:val="nil"/>
              <w:left w:val="nil"/>
              <w:bottom w:val="nil"/>
              <w:right w:val="single" w:sz="4" w:space="0" w:color="auto"/>
            </w:tcBorders>
            <w:shd w:val="clear" w:color="auto" w:fill="auto"/>
            <w:noWrap/>
            <w:vAlign w:val="bottom"/>
            <w:hideMark/>
          </w:tcPr>
          <w:p w14:paraId="3FE3953E"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0.79,1.66</w:t>
            </w:r>
          </w:p>
        </w:tc>
        <w:tc>
          <w:tcPr>
            <w:tcW w:w="1195" w:type="dxa"/>
            <w:tcBorders>
              <w:top w:val="nil"/>
              <w:left w:val="nil"/>
              <w:bottom w:val="nil"/>
              <w:right w:val="nil"/>
            </w:tcBorders>
            <w:shd w:val="clear" w:color="auto" w:fill="auto"/>
            <w:noWrap/>
            <w:vAlign w:val="bottom"/>
            <w:hideMark/>
          </w:tcPr>
          <w:p w14:paraId="18E1473D"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1.21</w:t>
            </w:r>
          </w:p>
        </w:tc>
        <w:tc>
          <w:tcPr>
            <w:tcW w:w="1372" w:type="dxa"/>
            <w:tcBorders>
              <w:top w:val="nil"/>
              <w:left w:val="nil"/>
              <w:bottom w:val="nil"/>
              <w:right w:val="nil"/>
            </w:tcBorders>
            <w:shd w:val="clear" w:color="auto" w:fill="auto"/>
            <w:noWrap/>
            <w:vAlign w:val="bottom"/>
            <w:hideMark/>
          </w:tcPr>
          <w:p w14:paraId="1576AF3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0.84,1.74</w:t>
            </w:r>
          </w:p>
        </w:tc>
        <w:tc>
          <w:tcPr>
            <w:tcW w:w="1118" w:type="dxa"/>
            <w:tcBorders>
              <w:top w:val="nil"/>
              <w:left w:val="single" w:sz="4" w:space="0" w:color="auto"/>
              <w:bottom w:val="nil"/>
              <w:right w:val="nil"/>
            </w:tcBorders>
            <w:shd w:val="clear" w:color="auto" w:fill="auto"/>
            <w:noWrap/>
            <w:vAlign w:val="bottom"/>
            <w:hideMark/>
          </w:tcPr>
          <w:p w14:paraId="052D032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1.14</w:t>
            </w:r>
          </w:p>
        </w:tc>
        <w:tc>
          <w:tcPr>
            <w:tcW w:w="1450" w:type="dxa"/>
            <w:tcBorders>
              <w:top w:val="nil"/>
              <w:left w:val="nil"/>
              <w:bottom w:val="nil"/>
              <w:right w:val="single" w:sz="4" w:space="0" w:color="auto"/>
            </w:tcBorders>
            <w:shd w:val="clear" w:color="auto" w:fill="auto"/>
            <w:noWrap/>
            <w:vAlign w:val="bottom"/>
            <w:hideMark/>
          </w:tcPr>
          <w:p w14:paraId="2ADF137D"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0.78,1.66</w:t>
            </w:r>
          </w:p>
        </w:tc>
      </w:tr>
      <w:tr w:rsidR="00FD76BD" w:rsidRPr="00FD76BD" w14:paraId="0C8A211F" w14:textId="77777777" w:rsidTr="00063136">
        <w:trPr>
          <w:trHeight w:val="205"/>
        </w:trPr>
        <w:tc>
          <w:tcPr>
            <w:tcW w:w="2689" w:type="dxa"/>
            <w:vMerge/>
            <w:tcBorders>
              <w:top w:val="nil"/>
              <w:left w:val="single" w:sz="4" w:space="0" w:color="auto"/>
              <w:bottom w:val="single" w:sz="4" w:space="0" w:color="000000"/>
              <w:right w:val="single" w:sz="4" w:space="0" w:color="auto"/>
            </w:tcBorders>
            <w:vAlign w:val="center"/>
            <w:hideMark/>
          </w:tcPr>
          <w:p w14:paraId="290C00C4"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single" w:sz="4" w:space="0" w:color="auto"/>
              <w:right w:val="nil"/>
            </w:tcBorders>
            <w:shd w:val="clear" w:color="auto" w:fill="auto"/>
            <w:noWrap/>
            <w:vAlign w:val="bottom"/>
            <w:hideMark/>
          </w:tcPr>
          <w:p w14:paraId="4C862230"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Non-working</w:t>
            </w:r>
          </w:p>
        </w:tc>
        <w:tc>
          <w:tcPr>
            <w:tcW w:w="761" w:type="dxa"/>
            <w:tcBorders>
              <w:top w:val="nil"/>
              <w:left w:val="single" w:sz="4" w:space="0" w:color="auto"/>
              <w:bottom w:val="single" w:sz="4" w:space="0" w:color="auto"/>
              <w:right w:val="nil"/>
            </w:tcBorders>
            <w:shd w:val="clear" w:color="auto" w:fill="auto"/>
            <w:noWrap/>
            <w:vAlign w:val="bottom"/>
            <w:hideMark/>
          </w:tcPr>
          <w:p w14:paraId="50DA741D"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13</w:t>
            </w:r>
          </w:p>
        </w:tc>
        <w:tc>
          <w:tcPr>
            <w:tcW w:w="1268" w:type="dxa"/>
            <w:tcBorders>
              <w:top w:val="nil"/>
              <w:left w:val="nil"/>
              <w:bottom w:val="single" w:sz="4" w:space="0" w:color="auto"/>
              <w:right w:val="single" w:sz="4" w:space="0" w:color="auto"/>
            </w:tcBorders>
            <w:shd w:val="clear" w:color="auto" w:fill="auto"/>
            <w:noWrap/>
            <w:vAlign w:val="bottom"/>
            <w:hideMark/>
          </w:tcPr>
          <w:p w14:paraId="67A54CDB"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45.4%</w:t>
            </w:r>
          </w:p>
        </w:tc>
        <w:tc>
          <w:tcPr>
            <w:tcW w:w="947" w:type="dxa"/>
            <w:tcBorders>
              <w:top w:val="nil"/>
              <w:left w:val="nil"/>
              <w:bottom w:val="single" w:sz="4" w:space="0" w:color="auto"/>
              <w:right w:val="nil"/>
            </w:tcBorders>
            <w:shd w:val="clear" w:color="auto" w:fill="auto"/>
            <w:noWrap/>
            <w:vAlign w:val="bottom"/>
            <w:hideMark/>
          </w:tcPr>
          <w:p w14:paraId="4B8262F9"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1,173</w:t>
            </w:r>
          </w:p>
        </w:tc>
        <w:tc>
          <w:tcPr>
            <w:tcW w:w="1082" w:type="dxa"/>
            <w:tcBorders>
              <w:top w:val="nil"/>
              <w:left w:val="nil"/>
              <w:bottom w:val="single" w:sz="4" w:space="0" w:color="auto"/>
              <w:right w:val="single" w:sz="4" w:space="0" w:color="auto"/>
            </w:tcBorders>
            <w:shd w:val="clear" w:color="auto" w:fill="auto"/>
            <w:noWrap/>
            <w:vAlign w:val="bottom"/>
            <w:hideMark/>
          </w:tcPr>
          <w:p w14:paraId="641BB62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27.9%</w:t>
            </w:r>
          </w:p>
        </w:tc>
        <w:tc>
          <w:tcPr>
            <w:tcW w:w="1195" w:type="dxa"/>
            <w:tcBorders>
              <w:top w:val="nil"/>
              <w:left w:val="nil"/>
              <w:bottom w:val="single" w:sz="4" w:space="0" w:color="auto"/>
              <w:right w:val="nil"/>
            </w:tcBorders>
            <w:shd w:val="clear" w:color="auto" w:fill="auto"/>
            <w:noWrap/>
            <w:vAlign w:val="bottom"/>
            <w:hideMark/>
          </w:tcPr>
          <w:p w14:paraId="162721B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1.88</w:t>
            </w:r>
          </w:p>
        </w:tc>
        <w:tc>
          <w:tcPr>
            <w:tcW w:w="1372" w:type="dxa"/>
            <w:tcBorders>
              <w:top w:val="nil"/>
              <w:left w:val="nil"/>
              <w:bottom w:val="single" w:sz="4" w:space="0" w:color="auto"/>
              <w:right w:val="single" w:sz="4" w:space="0" w:color="auto"/>
            </w:tcBorders>
            <w:shd w:val="clear" w:color="auto" w:fill="auto"/>
            <w:noWrap/>
            <w:vAlign w:val="bottom"/>
            <w:hideMark/>
          </w:tcPr>
          <w:p w14:paraId="76459B35"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0.85,4.18</w:t>
            </w:r>
          </w:p>
        </w:tc>
        <w:tc>
          <w:tcPr>
            <w:tcW w:w="1195" w:type="dxa"/>
            <w:tcBorders>
              <w:top w:val="nil"/>
              <w:left w:val="nil"/>
              <w:bottom w:val="single" w:sz="4" w:space="0" w:color="auto"/>
              <w:right w:val="nil"/>
            </w:tcBorders>
            <w:shd w:val="clear" w:color="auto" w:fill="auto"/>
            <w:noWrap/>
            <w:vAlign w:val="bottom"/>
            <w:hideMark/>
          </w:tcPr>
          <w:p w14:paraId="67603AC2" w14:textId="1ACFEE98"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1.91</w:t>
            </w:r>
          </w:p>
        </w:tc>
        <w:tc>
          <w:tcPr>
            <w:tcW w:w="1372" w:type="dxa"/>
            <w:tcBorders>
              <w:top w:val="nil"/>
              <w:left w:val="nil"/>
              <w:bottom w:val="single" w:sz="4" w:space="0" w:color="auto"/>
              <w:right w:val="nil"/>
            </w:tcBorders>
            <w:shd w:val="clear" w:color="auto" w:fill="auto"/>
            <w:noWrap/>
            <w:vAlign w:val="bottom"/>
            <w:hideMark/>
          </w:tcPr>
          <w:p w14:paraId="71BB2414"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0.91,4.02</w:t>
            </w:r>
          </w:p>
        </w:tc>
        <w:tc>
          <w:tcPr>
            <w:tcW w:w="1118" w:type="dxa"/>
            <w:tcBorders>
              <w:top w:val="nil"/>
              <w:left w:val="single" w:sz="4" w:space="0" w:color="auto"/>
              <w:bottom w:val="single" w:sz="4" w:space="0" w:color="auto"/>
              <w:right w:val="nil"/>
            </w:tcBorders>
            <w:shd w:val="clear" w:color="auto" w:fill="auto"/>
            <w:noWrap/>
            <w:vAlign w:val="bottom"/>
            <w:hideMark/>
          </w:tcPr>
          <w:p w14:paraId="3363F9EB"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0.75</w:t>
            </w:r>
          </w:p>
        </w:tc>
        <w:tc>
          <w:tcPr>
            <w:tcW w:w="1450" w:type="dxa"/>
            <w:tcBorders>
              <w:top w:val="nil"/>
              <w:left w:val="nil"/>
              <w:bottom w:val="single" w:sz="4" w:space="0" w:color="auto"/>
              <w:right w:val="single" w:sz="4" w:space="0" w:color="auto"/>
            </w:tcBorders>
            <w:shd w:val="clear" w:color="auto" w:fill="auto"/>
            <w:noWrap/>
            <w:vAlign w:val="bottom"/>
            <w:hideMark/>
          </w:tcPr>
          <w:p w14:paraId="1D778085"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0.38,1.48</w:t>
            </w:r>
          </w:p>
        </w:tc>
      </w:tr>
      <w:tr w:rsidR="00FD76BD" w:rsidRPr="00FD76BD" w14:paraId="3B914960" w14:textId="77777777" w:rsidTr="00063136">
        <w:trPr>
          <w:trHeight w:val="205"/>
        </w:trPr>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255B95"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PTSD caseness</w:t>
            </w:r>
          </w:p>
        </w:tc>
        <w:tc>
          <w:tcPr>
            <w:tcW w:w="1576" w:type="dxa"/>
            <w:tcBorders>
              <w:top w:val="nil"/>
              <w:left w:val="nil"/>
              <w:bottom w:val="nil"/>
              <w:right w:val="single" w:sz="4" w:space="0" w:color="auto"/>
            </w:tcBorders>
            <w:shd w:val="clear" w:color="auto" w:fill="auto"/>
            <w:noWrap/>
            <w:vAlign w:val="bottom"/>
            <w:hideMark/>
          </w:tcPr>
          <w:p w14:paraId="76373B3E"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Full sample</w:t>
            </w:r>
          </w:p>
        </w:tc>
        <w:tc>
          <w:tcPr>
            <w:tcW w:w="761" w:type="dxa"/>
            <w:tcBorders>
              <w:top w:val="nil"/>
              <w:left w:val="nil"/>
              <w:bottom w:val="nil"/>
              <w:right w:val="nil"/>
            </w:tcBorders>
            <w:shd w:val="clear" w:color="auto" w:fill="auto"/>
            <w:noWrap/>
            <w:vAlign w:val="bottom"/>
            <w:hideMark/>
          </w:tcPr>
          <w:p w14:paraId="3FE8AABE"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18</w:t>
            </w:r>
          </w:p>
        </w:tc>
        <w:tc>
          <w:tcPr>
            <w:tcW w:w="1268" w:type="dxa"/>
            <w:tcBorders>
              <w:top w:val="nil"/>
              <w:left w:val="nil"/>
              <w:bottom w:val="nil"/>
              <w:right w:val="single" w:sz="4" w:space="0" w:color="auto"/>
            </w:tcBorders>
            <w:shd w:val="clear" w:color="auto" w:fill="auto"/>
            <w:noWrap/>
            <w:vAlign w:val="bottom"/>
            <w:hideMark/>
          </w:tcPr>
          <w:p w14:paraId="5BEB002E"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7.6%</w:t>
            </w:r>
          </w:p>
        </w:tc>
        <w:tc>
          <w:tcPr>
            <w:tcW w:w="947" w:type="dxa"/>
            <w:tcBorders>
              <w:top w:val="nil"/>
              <w:left w:val="nil"/>
              <w:bottom w:val="nil"/>
              <w:right w:val="nil"/>
            </w:tcBorders>
            <w:shd w:val="clear" w:color="auto" w:fill="auto"/>
            <w:noWrap/>
            <w:vAlign w:val="bottom"/>
            <w:hideMark/>
          </w:tcPr>
          <w:p w14:paraId="6172D7A6"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192</w:t>
            </w:r>
          </w:p>
        </w:tc>
        <w:tc>
          <w:tcPr>
            <w:tcW w:w="1082" w:type="dxa"/>
            <w:tcBorders>
              <w:top w:val="nil"/>
              <w:left w:val="nil"/>
              <w:bottom w:val="nil"/>
              <w:right w:val="single" w:sz="4" w:space="0" w:color="auto"/>
            </w:tcBorders>
            <w:shd w:val="clear" w:color="auto" w:fill="auto"/>
            <w:noWrap/>
            <w:vAlign w:val="bottom"/>
            <w:hideMark/>
          </w:tcPr>
          <w:p w14:paraId="0DC7ED93"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6.8%</w:t>
            </w:r>
          </w:p>
        </w:tc>
        <w:tc>
          <w:tcPr>
            <w:tcW w:w="1195" w:type="dxa"/>
            <w:tcBorders>
              <w:top w:val="nil"/>
              <w:left w:val="nil"/>
              <w:bottom w:val="nil"/>
              <w:right w:val="nil"/>
            </w:tcBorders>
            <w:shd w:val="clear" w:color="auto" w:fill="auto"/>
            <w:noWrap/>
            <w:vAlign w:val="bottom"/>
            <w:hideMark/>
          </w:tcPr>
          <w:p w14:paraId="49F1D3F4"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1.13</w:t>
            </w:r>
          </w:p>
        </w:tc>
        <w:tc>
          <w:tcPr>
            <w:tcW w:w="1372" w:type="dxa"/>
            <w:tcBorders>
              <w:top w:val="nil"/>
              <w:left w:val="nil"/>
              <w:bottom w:val="nil"/>
              <w:right w:val="nil"/>
            </w:tcBorders>
            <w:shd w:val="clear" w:color="auto" w:fill="auto"/>
            <w:noWrap/>
            <w:vAlign w:val="bottom"/>
            <w:hideMark/>
          </w:tcPr>
          <w:p w14:paraId="5D5D1048"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0.63,2.03</w:t>
            </w:r>
          </w:p>
        </w:tc>
        <w:tc>
          <w:tcPr>
            <w:tcW w:w="1195" w:type="dxa"/>
            <w:tcBorders>
              <w:top w:val="nil"/>
              <w:left w:val="single" w:sz="4" w:space="0" w:color="auto"/>
              <w:bottom w:val="nil"/>
              <w:right w:val="nil"/>
            </w:tcBorders>
            <w:shd w:val="clear" w:color="auto" w:fill="auto"/>
            <w:noWrap/>
            <w:vAlign w:val="bottom"/>
            <w:hideMark/>
          </w:tcPr>
          <w:p w14:paraId="56466F6C" w14:textId="06FBCF36"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2.07</w:t>
            </w:r>
          </w:p>
        </w:tc>
        <w:tc>
          <w:tcPr>
            <w:tcW w:w="1372" w:type="dxa"/>
            <w:tcBorders>
              <w:top w:val="nil"/>
              <w:left w:val="nil"/>
              <w:bottom w:val="nil"/>
              <w:right w:val="nil"/>
            </w:tcBorders>
            <w:shd w:val="clear" w:color="auto" w:fill="auto"/>
            <w:noWrap/>
            <w:vAlign w:val="bottom"/>
            <w:hideMark/>
          </w:tcPr>
          <w:p w14:paraId="672D7732"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1.02,4.20</w:t>
            </w:r>
          </w:p>
        </w:tc>
        <w:tc>
          <w:tcPr>
            <w:tcW w:w="1118" w:type="dxa"/>
            <w:tcBorders>
              <w:top w:val="nil"/>
              <w:left w:val="single" w:sz="4" w:space="0" w:color="auto"/>
              <w:bottom w:val="nil"/>
              <w:right w:val="nil"/>
            </w:tcBorders>
            <w:shd w:val="clear" w:color="auto" w:fill="auto"/>
            <w:noWrap/>
            <w:vAlign w:val="bottom"/>
            <w:hideMark/>
          </w:tcPr>
          <w:p w14:paraId="5642A7C2" w14:textId="3EFA13A1"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1.75</w:t>
            </w:r>
          </w:p>
        </w:tc>
        <w:tc>
          <w:tcPr>
            <w:tcW w:w="1450" w:type="dxa"/>
            <w:tcBorders>
              <w:top w:val="nil"/>
              <w:left w:val="nil"/>
              <w:bottom w:val="nil"/>
              <w:right w:val="single" w:sz="4" w:space="0" w:color="auto"/>
            </w:tcBorders>
            <w:shd w:val="clear" w:color="auto" w:fill="auto"/>
            <w:noWrap/>
            <w:vAlign w:val="bottom"/>
            <w:hideMark/>
          </w:tcPr>
          <w:p w14:paraId="562A9B36"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0.93,3.30</w:t>
            </w:r>
          </w:p>
        </w:tc>
      </w:tr>
      <w:tr w:rsidR="00FD76BD" w:rsidRPr="00FD76BD" w14:paraId="0007A74F" w14:textId="77777777" w:rsidTr="00063136">
        <w:trPr>
          <w:trHeight w:val="205"/>
        </w:trPr>
        <w:tc>
          <w:tcPr>
            <w:tcW w:w="2689" w:type="dxa"/>
            <w:vMerge/>
            <w:tcBorders>
              <w:top w:val="nil"/>
              <w:left w:val="single" w:sz="4" w:space="0" w:color="auto"/>
              <w:bottom w:val="single" w:sz="4" w:space="0" w:color="000000"/>
              <w:right w:val="single" w:sz="4" w:space="0" w:color="auto"/>
            </w:tcBorders>
            <w:vAlign w:val="center"/>
            <w:hideMark/>
          </w:tcPr>
          <w:p w14:paraId="4FB8AAC9"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nil"/>
              <w:right w:val="single" w:sz="4" w:space="0" w:color="auto"/>
            </w:tcBorders>
            <w:shd w:val="clear" w:color="auto" w:fill="auto"/>
            <w:noWrap/>
            <w:vAlign w:val="bottom"/>
            <w:hideMark/>
          </w:tcPr>
          <w:p w14:paraId="7A7CC2B9"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Working</w:t>
            </w:r>
          </w:p>
        </w:tc>
        <w:tc>
          <w:tcPr>
            <w:tcW w:w="761" w:type="dxa"/>
            <w:tcBorders>
              <w:top w:val="nil"/>
              <w:left w:val="nil"/>
              <w:bottom w:val="nil"/>
              <w:right w:val="nil"/>
            </w:tcBorders>
            <w:shd w:val="clear" w:color="auto" w:fill="auto"/>
            <w:noWrap/>
            <w:vAlign w:val="bottom"/>
            <w:hideMark/>
          </w:tcPr>
          <w:p w14:paraId="1F472E04" w14:textId="1664EAA8" w:rsidR="00FD76BD" w:rsidRPr="00FD76BD" w:rsidRDefault="00131426" w:rsidP="00FD76BD">
            <w:pPr>
              <w:spacing w:before="0"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x</w:t>
            </w:r>
          </w:p>
        </w:tc>
        <w:tc>
          <w:tcPr>
            <w:tcW w:w="1268" w:type="dxa"/>
            <w:tcBorders>
              <w:top w:val="nil"/>
              <w:left w:val="nil"/>
              <w:bottom w:val="nil"/>
              <w:right w:val="single" w:sz="4" w:space="0" w:color="auto"/>
            </w:tcBorders>
            <w:shd w:val="clear" w:color="auto" w:fill="auto"/>
            <w:noWrap/>
            <w:vAlign w:val="bottom"/>
            <w:hideMark/>
          </w:tcPr>
          <w:p w14:paraId="08BD1E35" w14:textId="444E3952" w:rsidR="00FD76BD" w:rsidRPr="00FD76BD" w:rsidRDefault="00131426" w:rsidP="00FD76BD">
            <w:pPr>
              <w:spacing w:before="0"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x</w:t>
            </w:r>
          </w:p>
        </w:tc>
        <w:tc>
          <w:tcPr>
            <w:tcW w:w="947" w:type="dxa"/>
            <w:tcBorders>
              <w:top w:val="nil"/>
              <w:left w:val="nil"/>
              <w:bottom w:val="nil"/>
              <w:right w:val="nil"/>
            </w:tcBorders>
            <w:shd w:val="clear" w:color="auto" w:fill="auto"/>
            <w:noWrap/>
            <w:vAlign w:val="bottom"/>
            <w:hideMark/>
          </w:tcPr>
          <w:p w14:paraId="5A3C870F"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60</w:t>
            </w:r>
          </w:p>
        </w:tc>
        <w:tc>
          <w:tcPr>
            <w:tcW w:w="1082" w:type="dxa"/>
            <w:tcBorders>
              <w:top w:val="nil"/>
              <w:left w:val="nil"/>
              <w:bottom w:val="nil"/>
              <w:right w:val="single" w:sz="4" w:space="0" w:color="auto"/>
            </w:tcBorders>
            <w:shd w:val="clear" w:color="auto" w:fill="auto"/>
            <w:noWrap/>
            <w:vAlign w:val="bottom"/>
            <w:hideMark/>
          </w:tcPr>
          <w:p w14:paraId="5F161FF1"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3.5%</w:t>
            </w:r>
          </w:p>
        </w:tc>
        <w:tc>
          <w:tcPr>
            <w:tcW w:w="1195" w:type="dxa"/>
            <w:tcBorders>
              <w:top w:val="nil"/>
              <w:left w:val="nil"/>
              <w:bottom w:val="nil"/>
              <w:right w:val="nil"/>
            </w:tcBorders>
            <w:shd w:val="clear" w:color="auto" w:fill="auto"/>
            <w:noWrap/>
            <w:vAlign w:val="bottom"/>
            <w:hideMark/>
          </w:tcPr>
          <w:p w14:paraId="6ED4440E"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1.65</w:t>
            </w:r>
          </w:p>
        </w:tc>
        <w:tc>
          <w:tcPr>
            <w:tcW w:w="1372" w:type="dxa"/>
            <w:tcBorders>
              <w:top w:val="nil"/>
              <w:left w:val="nil"/>
              <w:bottom w:val="nil"/>
              <w:right w:val="nil"/>
            </w:tcBorders>
            <w:shd w:val="clear" w:color="auto" w:fill="auto"/>
            <w:noWrap/>
            <w:vAlign w:val="bottom"/>
            <w:hideMark/>
          </w:tcPr>
          <w:p w14:paraId="6043AF51"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0.83,3.31</w:t>
            </w:r>
          </w:p>
        </w:tc>
        <w:tc>
          <w:tcPr>
            <w:tcW w:w="1195" w:type="dxa"/>
            <w:tcBorders>
              <w:top w:val="nil"/>
              <w:left w:val="single" w:sz="4" w:space="0" w:color="auto"/>
              <w:bottom w:val="nil"/>
              <w:right w:val="nil"/>
            </w:tcBorders>
            <w:shd w:val="clear" w:color="auto" w:fill="auto"/>
            <w:noWrap/>
            <w:vAlign w:val="bottom"/>
            <w:hideMark/>
          </w:tcPr>
          <w:p w14:paraId="1FA9955D" w14:textId="05490909"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2.21</w:t>
            </w:r>
          </w:p>
        </w:tc>
        <w:tc>
          <w:tcPr>
            <w:tcW w:w="1372" w:type="dxa"/>
            <w:tcBorders>
              <w:top w:val="nil"/>
              <w:left w:val="nil"/>
              <w:bottom w:val="nil"/>
              <w:right w:val="nil"/>
            </w:tcBorders>
            <w:shd w:val="clear" w:color="auto" w:fill="auto"/>
            <w:noWrap/>
            <w:vAlign w:val="bottom"/>
            <w:hideMark/>
          </w:tcPr>
          <w:p w14:paraId="47D3C995"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1.00,4.89</w:t>
            </w:r>
          </w:p>
        </w:tc>
        <w:tc>
          <w:tcPr>
            <w:tcW w:w="1118" w:type="dxa"/>
            <w:tcBorders>
              <w:top w:val="nil"/>
              <w:left w:val="single" w:sz="4" w:space="0" w:color="auto"/>
              <w:bottom w:val="nil"/>
              <w:right w:val="nil"/>
            </w:tcBorders>
            <w:shd w:val="clear" w:color="auto" w:fill="auto"/>
            <w:noWrap/>
            <w:vAlign w:val="bottom"/>
            <w:hideMark/>
          </w:tcPr>
          <w:p w14:paraId="22E926D5" w14:textId="5DEC5D82"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2.40</w:t>
            </w:r>
          </w:p>
        </w:tc>
        <w:tc>
          <w:tcPr>
            <w:tcW w:w="1450" w:type="dxa"/>
            <w:tcBorders>
              <w:top w:val="nil"/>
              <w:left w:val="nil"/>
              <w:bottom w:val="nil"/>
              <w:right w:val="single" w:sz="4" w:space="0" w:color="auto"/>
            </w:tcBorders>
            <w:shd w:val="clear" w:color="auto" w:fill="auto"/>
            <w:noWrap/>
            <w:vAlign w:val="bottom"/>
            <w:hideMark/>
          </w:tcPr>
          <w:p w14:paraId="65837AB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1.04,5.57</w:t>
            </w:r>
          </w:p>
        </w:tc>
      </w:tr>
      <w:tr w:rsidR="00FD76BD" w:rsidRPr="00FD76BD" w14:paraId="17F52B7F" w14:textId="77777777" w:rsidTr="00063136">
        <w:trPr>
          <w:trHeight w:val="205"/>
        </w:trPr>
        <w:tc>
          <w:tcPr>
            <w:tcW w:w="2689" w:type="dxa"/>
            <w:vMerge/>
            <w:tcBorders>
              <w:top w:val="nil"/>
              <w:left w:val="single" w:sz="4" w:space="0" w:color="auto"/>
              <w:bottom w:val="single" w:sz="4" w:space="0" w:color="000000"/>
              <w:right w:val="single" w:sz="4" w:space="0" w:color="auto"/>
            </w:tcBorders>
            <w:vAlign w:val="center"/>
            <w:hideMark/>
          </w:tcPr>
          <w:p w14:paraId="40AA3999"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single" w:sz="4" w:space="0" w:color="auto"/>
              <w:right w:val="single" w:sz="4" w:space="0" w:color="auto"/>
            </w:tcBorders>
            <w:shd w:val="clear" w:color="auto" w:fill="auto"/>
            <w:noWrap/>
            <w:vAlign w:val="bottom"/>
            <w:hideMark/>
          </w:tcPr>
          <w:p w14:paraId="5D706964"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Non-working</w:t>
            </w:r>
          </w:p>
        </w:tc>
        <w:tc>
          <w:tcPr>
            <w:tcW w:w="761" w:type="dxa"/>
            <w:tcBorders>
              <w:top w:val="nil"/>
              <w:left w:val="nil"/>
              <w:bottom w:val="single" w:sz="4" w:space="0" w:color="auto"/>
              <w:right w:val="nil"/>
            </w:tcBorders>
            <w:shd w:val="clear" w:color="auto" w:fill="auto"/>
            <w:noWrap/>
            <w:vAlign w:val="bottom"/>
            <w:hideMark/>
          </w:tcPr>
          <w:p w14:paraId="3C87FB64"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x</w:t>
            </w:r>
          </w:p>
        </w:tc>
        <w:tc>
          <w:tcPr>
            <w:tcW w:w="1268" w:type="dxa"/>
            <w:tcBorders>
              <w:top w:val="nil"/>
              <w:left w:val="nil"/>
              <w:bottom w:val="single" w:sz="4" w:space="0" w:color="auto"/>
              <w:right w:val="single" w:sz="4" w:space="0" w:color="auto"/>
            </w:tcBorders>
            <w:shd w:val="clear" w:color="auto" w:fill="auto"/>
            <w:noWrap/>
            <w:vAlign w:val="bottom"/>
            <w:hideMark/>
          </w:tcPr>
          <w:p w14:paraId="47C411E8"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x</w:t>
            </w:r>
          </w:p>
        </w:tc>
        <w:tc>
          <w:tcPr>
            <w:tcW w:w="947" w:type="dxa"/>
            <w:tcBorders>
              <w:top w:val="nil"/>
              <w:left w:val="nil"/>
              <w:bottom w:val="single" w:sz="4" w:space="0" w:color="auto"/>
              <w:right w:val="nil"/>
            </w:tcBorders>
            <w:shd w:val="clear" w:color="auto" w:fill="auto"/>
            <w:noWrap/>
            <w:vAlign w:val="bottom"/>
            <w:hideMark/>
          </w:tcPr>
          <w:p w14:paraId="47EFBE4F"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132</w:t>
            </w:r>
          </w:p>
        </w:tc>
        <w:tc>
          <w:tcPr>
            <w:tcW w:w="1082" w:type="dxa"/>
            <w:tcBorders>
              <w:top w:val="nil"/>
              <w:left w:val="nil"/>
              <w:bottom w:val="single" w:sz="4" w:space="0" w:color="auto"/>
              <w:right w:val="single" w:sz="4" w:space="0" w:color="auto"/>
            </w:tcBorders>
            <w:shd w:val="clear" w:color="auto" w:fill="auto"/>
            <w:noWrap/>
            <w:vAlign w:val="bottom"/>
            <w:hideMark/>
          </w:tcPr>
          <w:p w14:paraId="5364AC0C"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13.8%</w:t>
            </w:r>
          </w:p>
        </w:tc>
        <w:tc>
          <w:tcPr>
            <w:tcW w:w="1195" w:type="dxa"/>
            <w:tcBorders>
              <w:top w:val="nil"/>
              <w:left w:val="nil"/>
              <w:bottom w:val="single" w:sz="4" w:space="0" w:color="auto"/>
              <w:right w:val="nil"/>
            </w:tcBorders>
            <w:shd w:val="clear" w:color="auto" w:fill="auto"/>
            <w:noWrap/>
            <w:vAlign w:val="bottom"/>
            <w:hideMark/>
          </w:tcPr>
          <w:p w14:paraId="58292FE9"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1.62</w:t>
            </w:r>
          </w:p>
        </w:tc>
        <w:tc>
          <w:tcPr>
            <w:tcW w:w="1372" w:type="dxa"/>
            <w:tcBorders>
              <w:top w:val="nil"/>
              <w:left w:val="nil"/>
              <w:bottom w:val="single" w:sz="4" w:space="0" w:color="auto"/>
              <w:right w:val="nil"/>
            </w:tcBorders>
            <w:shd w:val="clear" w:color="auto" w:fill="auto"/>
            <w:noWrap/>
            <w:vAlign w:val="bottom"/>
            <w:hideMark/>
          </w:tcPr>
          <w:p w14:paraId="3F1FD888"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0.52,5.02</w:t>
            </w:r>
          </w:p>
        </w:tc>
        <w:tc>
          <w:tcPr>
            <w:tcW w:w="1195" w:type="dxa"/>
            <w:tcBorders>
              <w:top w:val="nil"/>
              <w:left w:val="single" w:sz="4" w:space="0" w:color="auto"/>
              <w:bottom w:val="single" w:sz="4" w:space="0" w:color="auto"/>
              <w:right w:val="nil"/>
            </w:tcBorders>
            <w:shd w:val="clear" w:color="auto" w:fill="auto"/>
            <w:noWrap/>
            <w:vAlign w:val="bottom"/>
            <w:hideMark/>
          </w:tcPr>
          <w:p w14:paraId="43C2BFE9"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2.15</w:t>
            </w:r>
          </w:p>
        </w:tc>
        <w:tc>
          <w:tcPr>
            <w:tcW w:w="1372" w:type="dxa"/>
            <w:tcBorders>
              <w:top w:val="nil"/>
              <w:left w:val="nil"/>
              <w:bottom w:val="single" w:sz="4" w:space="0" w:color="auto"/>
              <w:right w:val="nil"/>
            </w:tcBorders>
            <w:shd w:val="clear" w:color="auto" w:fill="auto"/>
            <w:noWrap/>
            <w:vAlign w:val="bottom"/>
            <w:hideMark/>
          </w:tcPr>
          <w:p w14:paraId="214913B4"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0.77,6.03</w:t>
            </w:r>
          </w:p>
        </w:tc>
        <w:tc>
          <w:tcPr>
            <w:tcW w:w="1118" w:type="dxa"/>
            <w:tcBorders>
              <w:top w:val="nil"/>
              <w:left w:val="single" w:sz="4" w:space="0" w:color="auto"/>
              <w:bottom w:val="single" w:sz="4" w:space="0" w:color="auto"/>
              <w:right w:val="nil"/>
            </w:tcBorders>
            <w:shd w:val="clear" w:color="auto" w:fill="auto"/>
            <w:noWrap/>
            <w:vAlign w:val="bottom"/>
            <w:hideMark/>
          </w:tcPr>
          <w:p w14:paraId="0B85B3DD"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0.72</w:t>
            </w:r>
          </w:p>
        </w:tc>
        <w:tc>
          <w:tcPr>
            <w:tcW w:w="1450" w:type="dxa"/>
            <w:tcBorders>
              <w:top w:val="nil"/>
              <w:left w:val="nil"/>
              <w:bottom w:val="single" w:sz="4" w:space="0" w:color="auto"/>
              <w:right w:val="single" w:sz="4" w:space="0" w:color="auto"/>
            </w:tcBorders>
            <w:shd w:val="clear" w:color="auto" w:fill="auto"/>
            <w:noWrap/>
            <w:vAlign w:val="bottom"/>
            <w:hideMark/>
          </w:tcPr>
          <w:p w14:paraId="2351E61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0.24,2.18</w:t>
            </w:r>
          </w:p>
        </w:tc>
      </w:tr>
      <w:tr w:rsidR="00FD76BD" w:rsidRPr="00FD76BD" w14:paraId="3AA0B171" w14:textId="77777777" w:rsidTr="00063136">
        <w:trPr>
          <w:trHeight w:val="205"/>
        </w:trPr>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925585" w14:textId="77777777" w:rsidR="00FD76BD" w:rsidRPr="00FD76BD" w:rsidRDefault="00FD76BD" w:rsidP="00FD76BD">
            <w:pPr>
              <w:spacing w:before="0" w:after="0"/>
              <w:jc w:val="center"/>
              <w:rPr>
                <w:rFonts w:eastAsia="Times New Roman" w:cs="Times New Roman"/>
                <w:b/>
                <w:bCs/>
                <w:color w:val="000000"/>
                <w:sz w:val="20"/>
                <w:szCs w:val="20"/>
                <w:lang w:eastAsia="en-GB"/>
              </w:rPr>
            </w:pPr>
            <w:r w:rsidRPr="00FD76BD">
              <w:rPr>
                <w:rFonts w:eastAsia="Times New Roman" w:cs="Times New Roman"/>
                <w:b/>
                <w:bCs/>
                <w:color w:val="000000"/>
                <w:sz w:val="20"/>
                <w:szCs w:val="20"/>
                <w:lang w:eastAsia="en-GB"/>
              </w:rPr>
              <w:t>Alcohol misuses (16+)</w:t>
            </w:r>
          </w:p>
        </w:tc>
        <w:tc>
          <w:tcPr>
            <w:tcW w:w="1576" w:type="dxa"/>
            <w:tcBorders>
              <w:top w:val="nil"/>
              <w:left w:val="nil"/>
              <w:bottom w:val="nil"/>
              <w:right w:val="nil"/>
            </w:tcBorders>
            <w:shd w:val="clear" w:color="auto" w:fill="auto"/>
            <w:noWrap/>
            <w:vAlign w:val="bottom"/>
            <w:hideMark/>
          </w:tcPr>
          <w:p w14:paraId="0FE79381"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Full sample</w:t>
            </w:r>
          </w:p>
        </w:tc>
        <w:tc>
          <w:tcPr>
            <w:tcW w:w="761" w:type="dxa"/>
            <w:tcBorders>
              <w:top w:val="nil"/>
              <w:left w:val="single" w:sz="4" w:space="0" w:color="auto"/>
              <w:bottom w:val="nil"/>
              <w:right w:val="nil"/>
            </w:tcBorders>
            <w:shd w:val="clear" w:color="auto" w:fill="auto"/>
            <w:noWrap/>
            <w:vAlign w:val="bottom"/>
            <w:hideMark/>
          </w:tcPr>
          <w:p w14:paraId="42127A94"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11</w:t>
            </w:r>
          </w:p>
        </w:tc>
        <w:tc>
          <w:tcPr>
            <w:tcW w:w="1268" w:type="dxa"/>
            <w:tcBorders>
              <w:top w:val="nil"/>
              <w:left w:val="nil"/>
              <w:bottom w:val="nil"/>
              <w:right w:val="single" w:sz="4" w:space="0" w:color="auto"/>
            </w:tcBorders>
            <w:shd w:val="clear" w:color="auto" w:fill="auto"/>
            <w:noWrap/>
            <w:vAlign w:val="bottom"/>
            <w:hideMark/>
          </w:tcPr>
          <w:p w14:paraId="59F55AE1"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3.3%</w:t>
            </w:r>
          </w:p>
        </w:tc>
        <w:tc>
          <w:tcPr>
            <w:tcW w:w="947" w:type="dxa"/>
            <w:tcBorders>
              <w:top w:val="nil"/>
              <w:left w:val="nil"/>
              <w:bottom w:val="nil"/>
              <w:right w:val="nil"/>
            </w:tcBorders>
            <w:shd w:val="clear" w:color="auto" w:fill="auto"/>
            <w:noWrap/>
            <w:vAlign w:val="bottom"/>
            <w:hideMark/>
          </w:tcPr>
          <w:p w14:paraId="34AC3EC8"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69</w:t>
            </w:r>
          </w:p>
        </w:tc>
        <w:tc>
          <w:tcPr>
            <w:tcW w:w="1082" w:type="dxa"/>
            <w:tcBorders>
              <w:top w:val="nil"/>
              <w:left w:val="nil"/>
              <w:bottom w:val="nil"/>
              <w:right w:val="single" w:sz="4" w:space="0" w:color="auto"/>
            </w:tcBorders>
            <w:shd w:val="clear" w:color="auto" w:fill="auto"/>
            <w:noWrap/>
            <w:vAlign w:val="bottom"/>
            <w:hideMark/>
          </w:tcPr>
          <w:p w14:paraId="4EF15EB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2.2%</w:t>
            </w:r>
          </w:p>
        </w:tc>
        <w:tc>
          <w:tcPr>
            <w:tcW w:w="1195" w:type="dxa"/>
            <w:tcBorders>
              <w:top w:val="nil"/>
              <w:left w:val="nil"/>
              <w:bottom w:val="nil"/>
              <w:right w:val="nil"/>
            </w:tcBorders>
            <w:shd w:val="clear" w:color="auto" w:fill="auto"/>
            <w:noWrap/>
            <w:vAlign w:val="bottom"/>
            <w:hideMark/>
          </w:tcPr>
          <w:p w14:paraId="1CCB6714"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1.49</w:t>
            </w:r>
          </w:p>
        </w:tc>
        <w:tc>
          <w:tcPr>
            <w:tcW w:w="1372" w:type="dxa"/>
            <w:tcBorders>
              <w:top w:val="nil"/>
              <w:left w:val="nil"/>
              <w:bottom w:val="nil"/>
              <w:right w:val="single" w:sz="4" w:space="0" w:color="auto"/>
            </w:tcBorders>
            <w:shd w:val="clear" w:color="auto" w:fill="auto"/>
            <w:noWrap/>
            <w:vAlign w:val="bottom"/>
            <w:hideMark/>
          </w:tcPr>
          <w:p w14:paraId="423E2084"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0.74,3.01</w:t>
            </w:r>
          </w:p>
        </w:tc>
        <w:tc>
          <w:tcPr>
            <w:tcW w:w="1195" w:type="dxa"/>
            <w:tcBorders>
              <w:top w:val="nil"/>
              <w:left w:val="nil"/>
              <w:bottom w:val="nil"/>
              <w:right w:val="nil"/>
            </w:tcBorders>
            <w:shd w:val="clear" w:color="auto" w:fill="auto"/>
            <w:noWrap/>
            <w:vAlign w:val="bottom"/>
            <w:hideMark/>
          </w:tcPr>
          <w:p w14:paraId="64722EE9"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1.56</w:t>
            </w:r>
          </w:p>
        </w:tc>
        <w:tc>
          <w:tcPr>
            <w:tcW w:w="1372" w:type="dxa"/>
            <w:tcBorders>
              <w:top w:val="nil"/>
              <w:left w:val="nil"/>
              <w:bottom w:val="nil"/>
              <w:right w:val="nil"/>
            </w:tcBorders>
            <w:shd w:val="clear" w:color="auto" w:fill="auto"/>
            <w:noWrap/>
            <w:vAlign w:val="bottom"/>
            <w:hideMark/>
          </w:tcPr>
          <w:p w14:paraId="0B7E7B03"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0.80,3.06</w:t>
            </w:r>
          </w:p>
        </w:tc>
        <w:tc>
          <w:tcPr>
            <w:tcW w:w="1118" w:type="dxa"/>
            <w:tcBorders>
              <w:top w:val="nil"/>
              <w:left w:val="single" w:sz="4" w:space="0" w:color="auto"/>
              <w:bottom w:val="nil"/>
              <w:right w:val="nil"/>
            </w:tcBorders>
            <w:shd w:val="clear" w:color="auto" w:fill="auto"/>
            <w:noWrap/>
            <w:vAlign w:val="bottom"/>
            <w:hideMark/>
          </w:tcPr>
          <w:p w14:paraId="0E41D7D1"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1.57</w:t>
            </w:r>
          </w:p>
        </w:tc>
        <w:tc>
          <w:tcPr>
            <w:tcW w:w="1450" w:type="dxa"/>
            <w:tcBorders>
              <w:top w:val="nil"/>
              <w:left w:val="nil"/>
              <w:bottom w:val="nil"/>
              <w:right w:val="single" w:sz="4" w:space="0" w:color="auto"/>
            </w:tcBorders>
            <w:shd w:val="clear" w:color="auto" w:fill="auto"/>
            <w:noWrap/>
            <w:vAlign w:val="bottom"/>
            <w:hideMark/>
          </w:tcPr>
          <w:p w14:paraId="0F012979"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0.76,3.23</w:t>
            </w:r>
          </w:p>
        </w:tc>
      </w:tr>
      <w:tr w:rsidR="00FD76BD" w:rsidRPr="00FD76BD" w14:paraId="30FD7C2A" w14:textId="77777777" w:rsidTr="00063136">
        <w:trPr>
          <w:trHeight w:val="205"/>
        </w:trPr>
        <w:tc>
          <w:tcPr>
            <w:tcW w:w="2689" w:type="dxa"/>
            <w:vMerge/>
            <w:tcBorders>
              <w:top w:val="nil"/>
              <w:left w:val="single" w:sz="4" w:space="0" w:color="auto"/>
              <w:bottom w:val="single" w:sz="4" w:space="0" w:color="000000"/>
              <w:right w:val="single" w:sz="4" w:space="0" w:color="auto"/>
            </w:tcBorders>
            <w:vAlign w:val="center"/>
            <w:hideMark/>
          </w:tcPr>
          <w:p w14:paraId="41C41584"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nil"/>
              <w:right w:val="nil"/>
            </w:tcBorders>
            <w:shd w:val="clear" w:color="auto" w:fill="auto"/>
            <w:noWrap/>
            <w:vAlign w:val="bottom"/>
            <w:hideMark/>
          </w:tcPr>
          <w:p w14:paraId="1A7A3E26"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Working</w:t>
            </w:r>
          </w:p>
        </w:tc>
        <w:tc>
          <w:tcPr>
            <w:tcW w:w="761" w:type="dxa"/>
            <w:tcBorders>
              <w:top w:val="nil"/>
              <w:left w:val="single" w:sz="4" w:space="0" w:color="auto"/>
              <w:bottom w:val="nil"/>
              <w:right w:val="nil"/>
            </w:tcBorders>
            <w:shd w:val="clear" w:color="auto" w:fill="auto"/>
            <w:noWrap/>
            <w:vAlign w:val="bottom"/>
            <w:hideMark/>
          </w:tcPr>
          <w:p w14:paraId="5EAEFF6F" w14:textId="1B119103" w:rsidR="00FD76BD" w:rsidRPr="00FD76BD" w:rsidRDefault="00131426" w:rsidP="00FD76BD">
            <w:pPr>
              <w:spacing w:before="0"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x</w:t>
            </w:r>
          </w:p>
        </w:tc>
        <w:tc>
          <w:tcPr>
            <w:tcW w:w="1268" w:type="dxa"/>
            <w:tcBorders>
              <w:top w:val="nil"/>
              <w:left w:val="nil"/>
              <w:bottom w:val="nil"/>
              <w:right w:val="single" w:sz="4" w:space="0" w:color="auto"/>
            </w:tcBorders>
            <w:shd w:val="clear" w:color="auto" w:fill="auto"/>
            <w:noWrap/>
            <w:vAlign w:val="bottom"/>
            <w:hideMark/>
          </w:tcPr>
          <w:p w14:paraId="7A8A3809" w14:textId="154C1D6F" w:rsidR="00FD76BD" w:rsidRPr="00FD76BD" w:rsidRDefault="00131426" w:rsidP="00FD76BD">
            <w:pPr>
              <w:spacing w:before="0" w:after="0"/>
              <w:jc w:val="center"/>
              <w:rPr>
                <w:rFonts w:eastAsia="Times New Roman" w:cs="Times New Roman"/>
                <w:color w:val="000000"/>
                <w:sz w:val="20"/>
                <w:szCs w:val="20"/>
                <w:lang w:eastAsia="en-GB"/>
              </w:rPr>
            </w:pPr>
            <w:r>
              <w:rPr>
                <w:rFonts w:eastAsia="Times New Roman" w:cs="Times New Roman"/>
                <w:color w:val="000000"/>
                <w:sz w:val="20"/>
                <w:szCs w:val="20"/>
                <w:lang w:eastAsia="en-GB"/>
              </w:rPr>
              <w:t>x</w:t>
            </w:r>
          </w:p>
        </w:tc>
        <w:tc>
          <w:tcPr>
            <w:tcW w:w="947" w:type="dxa"/>
            <w:tcBorders>
              <w:top w:val="nil"/>
              <w:left w:val="nil"/>
              <w:bottom w:val="nil"/>
              <w:right w:val="nil"/>
            </w:tcBorders>
            <w:shd w:val="clear" w:color="auto" w:fill="auto"/>
            <w:noWrap/>
            <w:vAlign w:val="bottom"/>
            <w:hideMark/>
          </w:tcPr>
          <w:p w14:paraId="2394B4FF"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38</w:t>
            </w:r>
          </w:p>
        </w:tc>
        <w:tc>
          <w:tcPr>
            <w:tcW w:w="1082" w:type="dxa"/>
            <w:tcBorders>
              <w:top w:val="nil"/>
              <w:left w:val="nil"/>
              <w:bottom w:val="nil"/>
              <w:right w:val="single" w:sz="4" w:space="0" w:color="auto"/>
            </w:tcBorders>
            <w:shd w:val="clear" w:color="auto" w:fill="auto"/>
            <w:noWrap/>
            <w:vAlign w:val="bottom"/>
            <w:hideMark/>
          </w:tcPr>
          <w:p w14:paraId="1AF05AB4"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2.0%</w:t>
            </w:r>
          </w:p>
        </w:tc>
        <w:tc>
          <w:tcPr>
            <w:tcW w:w="1195" w:type="dxa"/>
            <w:tcBorders>
              <w:top w:val="nil"/>
              <w:left w:val="nil"/>
              <w:bottom w:val="nil"/>
              <w:right w:val="nil"/>
            </w:tcBorders>
            <w:shd w:val="clear" w:color="auto" w:fill="auto"/>
            <w:noWrap/>
            <w:vAlign w:val="bottom"/>
            <w:hideMark/>
          </w:tcPr>
          <w:p w14:paraId="11D46A7C"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1.41</w:t>
            </w:r>
          </w:p>
        </w:tc>
        <w:tc>
          <w:tcPr>
            <w:tcW w:w="1372" w:type="dxa"/>
            <w:tcBorders>
              <w:top w:val="nil"/>
              <w:left w:val="nil"/>
              <w:bottom w:val="nil"/>
              <w:right w:val="single" w:sz="4" w:space="0" w:color="auto"/>
            </w:tcBorders>
            <w:shd w:val="clear" w:color="auto" w:fill="auto"/>
            <w:noWrap/>
            <w:vAlign w:val="bottom"/>
            <w:hideMark/>
          </w:tcPr>
          <w:p w14:paraId="1D05C84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0.61,3.26</w:t>
            </w:r>
          </w:p>
        </w:tc>
        <w:tc>
          <w:tcPr>
            <w:tcW w:w="1195" w:type="dxa"/>
            <w:tcBorders>
              <w:top w:val="nil"/>
              <w:left w:val="nil"/>
              <w:bottom w:val="nil"/>
              <w:right w:val="nil"/>
            </w:tcBorders>
            <w:shd w:val="clear" w:color="auto" w:fill="auto"/>
            <w:noWrap/>
            <w:vAlign w:val="bottom"/>
            <w:hideMark/>
          </w:tcPr>
          <w:p w14:paraId="01E10C3C"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1.47</w:t>
            </w:r>
          </w:p>
        </w:tc>
        <w:tc>
          <w:tcPr>
            <w:tcW w:w="1372" w:type="dxa"/>
            <w:tcBorders>
              <w:top w:val="nil"/>
              <w:left w:val="nil"/>
              <w:bottom w:val="nil"/>
              <w:right w:val="nil"/>
            </w:tcBorders>
            <w:shd w:val="clear" w:color="auto" w:fill="auto"/>
            <w:noWrap/>
            <w:vAlign w:val="bottom"/>
            <w:hideMark/>
          </w:tcPr>
          <w:p w14:paraId="319F155E"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0.63,3.47</w:t>
            </w:r>
          </w:p>
        </w:tc>
        <w:tc>
          <w:tcPr>
            <w:tcW w:w="1118" w:type="dxa"/>
            <w:tcBorders>
              <w:top w:val="nil"/>
              <w:left w:val="single" w:sz="4" w:space="0" w:color="auto"/>
              <w:bottom w:val="nil"/>
              <w:right w:val="nil"/>
            </w:tcBorders>
            <w:shd w:val="clear" w:color="auto" w:fill="auto"/>
            <w:noWrap/>
            <w:vAlign w:val="bottom"/>
            <w:hideMark/>
          </w:tcPr>
          <w:p w14:paraId="3F037A23"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1.80</w:t>
            </w:r>
          </w:p>
        </w:tc>
        <w:tc>
          <w:tcPr>
            <w:tcW w:w="1450" w:type="dxa"/>
            <w:tcBorders>
              <w:top w:val="nil"/>
              <w:left w:val="nil"/>
              <w:bottom w:val="nil"/>
              <w:right w:val="single" w:sz="4" w:space="0" w:color="auto"/>
            </w:tcBorders>
            <w:shd w:val="clear" w:color="auto" w:fill="auto"/>
            <w:noWrap/>
            <w:vAlign w:val="bottom"/>
            <w:hideMark/>
          </w:tcPr>
          <w:p w14:paraId="03716A09"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0.79,4.12</w:t>
            </w:r>
          </w:p>
        </w:tc>
      </w:tr>
      <w:tr w:rsidR="00FD76BD" w:rsidRPr="00FD76BD" w14:paraId="7E49C439" w14:textId="77777777" w:rsidTr="00063136">
        <w:trPr>
          <w:trHeight w:val="205"/>
        </w:trPr>
        <w:tc>
          <w:tcPr>
            <w:tcW w:w="2689" w:type="dxa"/>
            <w:vMerge/>
            <w:tcBorders>
              <w:top w:val="nil"/>
              <w:left w:val="single" w:sz="4" w:space="0" w:color="auto"/>
              <w:bottom w:val="single" w:sz="4" w:space="0" w:color="000000"/>
              <w:right w:val="single" w:sz="4" w:space="0" w:color="auto"/>
            </w:tcBorders>
            <w:vAlign w:val="center"/>
            <w:hideMark/>
          </w:tcPr>
          <w:p w14:paraId="07912723" w14:textId="77777777" w:rsidR="00FD76BD" w:rsidRPr="00FD76BD" w:rsidRDefault="00FD76BD" w:rsidP="00FD76BD">
            <w:pPr>
              <w:spacing w:before="0" w:after="0"/>
              <w:rPr>
                <w:rFonts w:eastAsia="Times New Roman" w:cs="Times New Roman"/>
                <w:b/>
                <w:bCs/>
                <w:color w:val="000000"/>
                <w:sz w:val="20"/>
                <w:szCs w:val="20"/>
                <w:lang w:eastAsia="en-GB"/>
              </w:rPr>
            </w:pPr>
          </w:p>
        </w:tc>
        <w:tc>
          <w:tcPr>
            <w:tcW w:w="1576" w:type="dxa"/>
            <w:tcBorders>
              <w:top w:val="nil"/>
              <w:left w:val="nil"/>
              <w:bottom w:val="single" w:sz="4" w:space="0" w:color="auto"/>
              <w:right w:val="nil"/>
            </w:tcBorders>
            <w:shd w:val="clear" w:color="auto" w:fill="auto"/>
            <w:noWrap/>
            <w:vAlign w:val="bottom"/>
            <w:hideMark/>
          </w:tcPr>
          <w:p w14:paraId="66970EF4"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Non-working</w:t>
            </w:r>
          </w:p>
        </w:tc>
        <w:tc>
          <w:tcPr>
            <w:tcW w:w="761" w:type="dxa"/>
            <w:tcBorders>
              <w:top w:val="nil"/>
              <w:left w:val="single" w:sz="4" w:space="0" w:color="auto"/>
              <w:bottom w:val="single" w:sz="4" w:space="0" w:color="auto"/>
              <w:right w:val="nil"/>
            </w:tcBorders>
            <w:shd w:val="clear" w:color="auto" w:fill="auto"/>
            <w:noWrap/>
            <w:vAlign w:val="bottom"/>
            <w:hideMark/>
          </w:tcPr>
          <w:p w14:paraId="4C258B0B"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x</w:t>
            </w:r>
          </w:p>
        </w:tc>
        <w:tc>
          <w:tcPr>
            <w:tcW w:w="1268" w:type="dxa"/>
            <w:tcBorders>
              <w:top w:val="nil"/>
              <w:left w:val="nil"/>
              <w:bottom w:val="single" w:sz="4" w:space="0" w:color="auto"/>
              <w:right w:val="single" w:sz="4" w:space="0" w:color="auto"/>
            </w:tcBorders>
            <w:shd w:val="clear" w:color="auto" w:fill="auto"/>
            <w:noWrap/>
            <w:vAlign w:val="bottom"/>
            <w:hideMark/>
          </w:tcPr>
          <w:p w14:paraId="57540E1F"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x</w:t>
            </w:r>
          </w:p>
        </w:tc>
        <w:tc>
          <w:tcPr>
            <w:tcW w:w="947" w:type="dxa"/>
            <w:tcBorders>
              <w:top w:val="nil"/>
              <w:left w:val="nil"/>
              <w:bottom w:val="single" w:sz="4" w:space="0" w:color="auto"/>
              <w:right w:val="nil"/>
            </w:tcBorders>
            <w:shd w:val="clear" w:color="auto" w:fill="auto"/>
            <w:noWrap/>
            <w:vAlign w:val="bottom"/>
            <w:hideMark/>
          </w:tcPr>
          <w:p w14:paraId="4EAE8F08"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31</w:t>
            </w:r>
          </w:p>
        </w:tc>
        <w:tc>
          <w:tcPr>
            <w:tcW w:w="1082" w:type="dxa"/>
            <w:tcBorders>
              <w:top w:val="nil"/>
              <w:left w:val="nil"/>
              <w:bottom w:val="single" w:sz="4" w:space="0" w:color="auto"/>
              <w:right w:val="single" w:sz="4" w:space="0" w:color="auto"/>
            </w:tcBorders>
            <w:shd w:val="clear" w:color="auto" w:fill="auto"/>
            <w:noWrap/>
            <w:vAlign w:val="bottom"/>
            <w:hideMark/>
          </w:tcPr>
          <w:p w14:paraId="19B20298"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2.6%</w:t>
            </w:r>
          </w:p>
        </w:tc>
        <w:tc>
          <w:tcPr>
            <w:tcW w:w="1195" w:type="dxa"/>
            <w:tcBorders>
              <w:top w:val="nil"/>
              <w:left w:val="nil"/>
              <w:bottom w:val="single" w:sz="4" w:space="0" w:color="auto"/>
              <w:right w:val="nil"/>
            </w:tcBorders>
            <w:shd w:val="clear" w:color="auto" w:fill="auto"/>
            <w:noWrap/>
            <w:vAlign w:val="bottom"/>
            <w:hideMark/>
          </w:tcPr>
          <w:p w14:paraId="5D1A4F25"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2.46</w:t>
            </w:r>
          </w:p>
        </w:tc>
        <w:tc>
          <w:tcPr>
            <w:tcW w:w="1372" w:type="dxa"/>
            <w:tcBorders>
              <w:top w:val="nil"/>
              <w:left w:val="nil"/>
              <w:bottom w:val="single" w:sz="4" w:space="0" w:color="auto"/>
              <w:right w:val="single" w:sz="4" w:space="0" w:color="auto"/>
            </w:tcBorders>
            <w:shd w:val="clear" w:color="auto" w:fill="auto"/>
            <w:noWrap/>
            <w:vAlign w:val="bottom"/>
            <w:hideMark/>
          </w:tcPr>
          <w:p w14:paraId="555B14AF"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0.68,8.94</w:t>
            </w:r>
          </w:p>
        </w:tc>
        <w:tc>
          <w:tcPr>
            <w:tcW w:w="1195" w:type="dxa"/>
            <w:tcBorders>
              <w:top w:val="nil"/>
              <w:left w:val="nil"/>
              <w:bottom w:val="single" w:sz="4" w:space="0" w:color="auto"/>
              <w:right w:val="nil"/>
            </w:tcBorders>
            <w:shd w:val="clear" w:color="auto" w:fill="auto"/>
            <w:noWrap/>
            <w:vAlign w:val="bottom"/>
            <w:hideMark/>
          </w:tcPr>
          <w:p w14:paraId="22355A0A"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2.25</w:t>
            </w:r>
          </w:p>
        </w:tc>
        <w:tc>
          <w:tcPr>
            <w:tcW w:w="1372" w:type="dxa"/>
            <w:tcBorders>
              <w:top w:val="nil"/>
              <w:left w:val="nil"/>
              <w:bottom w:val="single" w:sz="4" w:space="0" w:color="auto"/>
              <w:right w:val="nil"/>
            </w:tcBorders>
            <w:shd w:val="clear" w:color="auto" w:fill="auto"/>
            <w:noWrap/>
            <w:vAlign w:val="bottom"/>
            <w:hideMark/>
          </w:tcPr>
          <w:p w14:paraId="73CBEAA7"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0.63,8.05</w:t>
            </w:r>
          </w:p>
        </w:tc>
        <w:tc>
          <w:tcPr>
            <w:tcW w:w="1118" w:type="dxa"/>
            <w:tcBorders>
              <w:top w:val="nil"/>
              <w:left w:val="single" w:sz="4" w:space="0" w:color="auto"/>
              <w:bottom w:val="single" w:sz="4" w:space="0" w:color="auto"/>
              <w:right w:val="nil"/>
            </w:tcBorders>
            <w:shd w:val="clear" w:color="auto" w:fill="auto"/>
            <w:noWrap/>
            <w:vAlign w:val="bottom"/>
            <w:hideMark/>
          </w:tcPr>
          <w:p w14:paraId="70F5EB45"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2.46</w:t>
            </w:r>
          </w:p>
        </w:tc>
        <w:tc>
          <w:tcPr>
            <w:tcW w:w="1450" w:type="dxa"/>
            <w:tcBorders>
              <w:top w:val="nil"/>
              <w:left w:val="nil"/>
              <w:bottom w:val="single" w:sz="4" w:space="0" w:color="auto"/>
              <w:right w:val="single" w:sz="4" w:space="0" w:color="auto"/>
            </w:tcBorders>
            <w:shd w:val="clear" w:color="auto" w:fill="auto"/>
            <w:noWrap/>
            <w:vAlign w:val="bottom"/>
            <w:hideMark/>
          </w:tcPr>
          <w:p w14:paraId="254FB7C5" w14:textId="77777777" w:rsidR="00FD76BD" w:rsidRPr="00FD76BD" w:rsidRDefault="00FD76BD" w:rsidP="00FD76BD">
            <w:pPr>
              <w:spacing w:before="0" w:after="0"/>
              <w:jc w:val="center"/>
              <w:rPr>
                <w:rFonts w:eastAsia="Times New Roman" w:cs="Times New Roman"/>
                <w:color w:val="000000"/>
                <w:sz w:val="20"/>
                <w:szCs w:val="20"/>
                <w:lang w:eastAsia="en-GB"/>
              </w:rPr>
            </w:pPr>
            <w:r w:rsidRPr="00FD76BD">
              <w:rPr>
                <w:rFonts w:eastAsia="Times New Roman" w:cs="Times New Roman"/>
                <w:color w:val="000000"/>
                <w:sz w:val="20"/>
                <w:szCs w:val="20"/>
                <w:lang w:eastAsia="en-GB"/>
              </w:rPr>
              <w:t>0.54,11.13</w:t>
            </w:r>
          </w:p>
        </w:tc>
      </w:tr>
      <w:tr w:rsidR="00FD76BD" w:rsidRPr="00FD76BD" w14:paraId="6516241B" w14:textId="77777777" w:rsidTr="00FD76BD">
        <w:trPr>
          <w:trHeight w:val="223"/>
        </w:trPr>
        <w:tc>
          <w:tcPr>
            <w:tcW w:w="16025" w:type="dxa"/>
            <w:gridSpan w:val="12"/>
            <w:tcBorders>
              <w:top w:val="nil"/>
              <w:left w:val="nil"/>
              <w:bottom w:val="nil"/>
              <w:right w:val="nil"/>
            </w:tcBorders>
            <w:shd w:val="clear" w:color="auto" w:fill="auto"/>
            <w:noWrap/>
            <w:vAlign w:val="bottom"/>
            <w:hideMark/>
          </w:tcPr>
          <w:p w14:paraId="13C0C36F" w14:textId="659E2D96"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x = Suppressed due to low n</w:t>
            </w:r>
            <w:r w:rsidR="004B749F">
              <w:rPr>
                <w:rFonts w:eastAsia="Times New Roman" w:cs="Times New Roman"/>
                <w:color w:val="000000"/>
                <w:sz w:val="20"/>
                <w:szCs w:val="20"/>
                <w:lang w:eastAsia="en-GB"/>
              </w:rPr>
              <w:t xml:space="preserve"> (threshold is 10)</w:t>
            </w:r>
            <w:r w:rsidRPr="00FD76BD">
              <w:rPr>
                <w:rFonts w:eastAsia="Times New Roman" w:cs="Times New Roman"/>
                <w:color w:val="000000"/>
                <w:sz w:val="20"/>
                <w:szCs w:val="20"/>
                <w:lang w:eastAsia="en-GB"/>
              </w:rPr>
              <w:t xml:space="preserve">. </w:t>
            </w:r>
          </w:p>
        </w:tc>
      </w:tr>
      <w:tr w:rsidR="00FD76BD" w:rsidRPr="00FD76BD" w14:paraId="095C1785" w14:textId="77777777" w:rsidTr="00FD76BD">
        <w:trPr>
          <w:trHeight w:val="223"/>
        </w:trPr>
        <w:tc>
          <w:tcPr>
            <w:tcW w:w="16025" w:type="dxa"/>
            <w:gridSpan w:val="12"/>
            <w:tcBorders>
              <w:top w:val="nil"/>
              <w:left w:val="nil"/>
              <w:bottom w:val="nil"/>
              <w:right w:val="nil"/>
            </w:tcBorders>
            <w:shd w:val="clear" w:color="auto" w:fill="auto"/>
            <w:vAlign w:val="center"/>
            <w:hideMark/>
          </w:tcPr>
          <w:p w14:paraId="1D741526" w14:textId="77777777" w:rsidR="00FD76BD" w:rsidRPr="00FD76BD" w:rsidRDefault="00FD76BD" w:rsidP="00FD76BD">
            <w:pPr>
              <w:spacing w:before="0" w:after="0"/>
              <w:rPr>
                <w:rFonts w:eastAsia="Times New Roman" w:cs="Times New Roman"/>
                <w:color w:val="000000"/>
                <w:sz w:val="20"/>
                <w:szCs w:val="20"/>
                <w:lang w:eastAsia="en-GB"/>
              </w:rPr>
            </w:pPr>
            <w:r w:rsidRPr="00FD76BD">
              <w:rPr>
                <w:rFonts w:eastAsia="Times New Roman" w:cs="Times New Roman"/>
                <w:color w:val="000000"/>
                <w:sz w:val="20"/>
                <w:szCs w:val="20"/>
                <w:lang w:eastAsia="en-GB"/>
              </w:rPr>
              <w:t>† = NSSEC grade only adjusted for in working groups.</w:t>
            </w:r>
          </w:p>
        </w:tc>
      </w:tr>
    </w:tbl>
    <w:p w14:paraId="3B1D679E" w14:textId="3B9CDDEB" w:rsidR="00FD76BD" w:rsidRPr="00FD76BD" w:rsidRDefault="00FD76BD" w:rsidP="0014136F">
      <w:pPr>
        <w:spacing w:before="120"/>
        <w:jc w:val="center"/>
        <w:rPr>
          <w:sz w:val="18"/>
          <w:szCs w:val="18"/>
        </w:rPr>
        <w:sectPr w:rsidR="00FD76BD" w:rsidRPr="00FD76BD" w:rsidSect="00FA6CDE">
          <w:pgSz w:w="16840" w:h="11900" w:orient="landscape"/>
          <w:pgMar w:top="720" w:right="720" w:bottom="720" w:left="720" w:header="720" w:footer="720" w:gutter="0"/>
          <w:cols w:space="720"/>
          <w:docGrid w:linePitch="360"/>
        </w:sectPr>
      </w:pPr>
    </w:p>
    <w:p w14:paraId="24C3C8C3" w14:textId="5A17D528" w:rsidR="0014136F" w:rsidRPr="00FD03FF" w:rsidRDefault="0014136F" w:rsidP="00FD03FF">
      <w:pPr>
        <w:pStyle w:val="Caption"/>
        <w:rPr>
          <w:b w:val="0"/>
        </w:rPr>
      </w:pPr>
      <w:bookmarkStart w:id="18" w:name="_Ref531781964"/>
      <w:r w:rsidRPr="0047595D">
        <w:lastRenderedPageBreak/>
        <w:t xml:space="preserve">Table </w:t>
      </w:r>
      <w:r w:rsidR="00911EA6">
        <w:rPr>
          <w:noProof/>
        </w:rPr>
        <w:fldChar w:fldCharType="begin"/>
      </w:r>
      <w:r w:rsidR="00911EA6">
        <w:rPr>
          <w:noProof/>
        </w:rPr>
        <w:instrText xml:space="preserve"> SEQ Table \* ARABIC </w:instrText>
      </w:r>
      <w:r w:rsidR="00911EA6">
        <w:rPr>
          <w:noProof/>
        </w:rPr>
        <w:fldChar w:fldCharType="separate"/>
      </w:r>
      <w:r w:rsidR="00395506">
        <w:rPr>
          <w:noProof/>
        </w:rPr>
        <w:t>3</w:t>
      </w:r>
      <w:r w:rsidR="00911EA6">
        <w:rPr>
          <w:noProof/>
        </w:rPr>
        <w:fldChar w:fldCharType="end"/>
      </w:r>
      <w:bookmarkEnd w:id="18"/>
      <w:r w:rsidRPr="0047595D">
        <w:t xml:space="preserve">: Mental health </w:t>
      </w:r>
      <w:r w:rsidR="009D6ACC">
        <w:t>domain</w:t>
      </w:r>
      <w:r w:rsidR="009028F3">
        <w:t xml:space="preserve"> </w:t>
      </w:r>
      <w:r w:rsidRPr="0047595D">
        <w:t>prevalence in veterans and non-veterans</w:t>
      </w:r>
    </w:p>
    <w:tbl>
      <w:tblPr>
        <w:tblW w:w="5000" w:type="pct"/>
        <w:tblLook w:val="04A0" w:firstRow="1" w:lastRow="0" w:firstColumn="1" w:lastColumn="0" w:noHBand="0" w:noVBand="1"/>
      </w:tblPr>
      <w:tblGrid>
        <w:gridCol w:w="2880"/>
        <w:gridCol w:w="2043"/>
        <w:gridCol w:w="951"/>
        <w:gridCol w:w="785"/>
        <w:gridCol w:w="951"/>
        <w:gridCol w:w="785"/>
        <w:gridCol w:w="1290"/>
        <w:gridCol w:w="1041"/>
        <w:gridCol w:w="1290"/>
        <w:gridCol w:w="1041"/>
        <w:gridCol w:w="1290"/>
        <w:gridCol w:w="1043"/>
      </w:tblGrid>
      <w:tr w:rsidR="00F4173A" w:rsidRPr="00F4173A" w14:paraId="0EED7C13" w14:textId="77777777" w:rsidTr="003F6EDF">
        <w:trPr>
          <w:trHeight w:val="1776"/>
        </w:trPr>
        <w:tc>
          <w:tcPr>
            <w:tcW w:w="1599" w:type="pct"/>
            <w:gridSpan w:val="2"/>
            <w:vMerge w:val="restart"/>
            <w:tcBorders>
              <w:top w:val="single" w:sz="4" w:space="0" w:color="auto"/>
              <w:left w:val="single" w:sz="4" w:space="0" w:color="auto"/>
              <w:bottom w:val="nil"/>
              <w:right w:val="single" w:sz="4" w:space="0" w:color="000000"/>
            </w:tcBorders>
            <w:shd w:val="clear" w:color="auto" w:fill="auto"/>
            <w:noWrap/>
            <w:vAlign w:val="bottom"/>
            <w:hideMark/>
          </w:tcPr>
          <w:p w14:paraId="4D2D0518" w14:textId="77777777" w:rsidR="00F4173A" w:rsidRPr="00F4173A" w:rsidRDefault="00F4173A" w:rsidP="00F4173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 </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329553D" w14:textId="77777777" w:rsidR="00F4173A" w:rsidRPr="00F4173A" w:rsidRDefault="00F4173A" w:rsidP="00F4173A">
            <w:pPr>
              <w:spacing w:before="0" w:after="0"/>
              <w:jc w:val="center"/>
              <w:rPr>
                <w:rFonts w:eastAsia="Times New Roman" w:cs="Times New Roman"/>
                <w:b/>
                <w:bCs/>
                <w:color w:val="000000"/>
                <w:szCs w:val="22"/>
                <w:lang w:eastAsia="en-GB"/>
              </w:rPr>
            </w:pPr>
            <w:r w:rsidRPr="00F4173A">
              <w:rPr>
                <w:rFonts w:eastAsia="Times New Roman" w:cs="Times New Roman"/>
                <w:b/>
                <w:bCs/>
                <w:color w:val="000000"/>
                <w:szCs w:val="22"/>
                <w:lang w:eastAsia="en-GB"/>
              </w:rPr>
              <w:t>Veteran</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B7F819" w14:textId="77777777" w:rsidR="00F4173A" w:rsidRPr="00F4173A" w:rsidRDefault="00F4173A" w:rsidP="00F4173A">
            <w:pPr>
              <w:spacing w:before="0" w:after="0"/>
              <w:jc w:val="center"/>
              <w:rPr>
                <w:rFonts w:eastAsia="Times New Roman" w:cs="Times New Roman"/>
                <w:b/>
                <w:bCs/>
                <w:color w:val="000000"/>
                <w:szCs w:val="22"/>
                <w:lang w:eastAsia="en-GB"/>
              </w:rPr>
            </w:pPr>
            <w:r w:rsidRPr="00F4173A">
              <w:rPr>
                <w:rFonts w:eastAsia="Times New Roman" w:cs="Times New Roman"/>
                <w:b/>
                <w:bCs/>
                <w:color w:val="000000"/>
                <w:szCs w:val="22"/>
                <w:lang w:eastAsia="en-GB"/>
              </w:rPr>
              <w:t>Non-veteran</w:t>
            </w:r>
          </w:p>
        </w:tc>
        <w:tc>
          <w:tcPr>
            <w:tcW w:w="757" w:type="pct"/>
            <w:gridSpan w:val="2"/>
            <w:tcBorders>
              <w:top w:val="single" w:sz="4" w:space="0" w:color="auto"/>
              <w:left w:val="nil"/>
              <w:bottom w:val="single" w:sz="4" w:space="0" w:color="auto"/>
              <w:right w:val="single" w:sz="4" w:space="0" w:color="000000"/>
            </w:tcBorders>
            <w:shd w:val="clear" w:color="auto" w:fill="auto"/>
            <w:vAlign w:val="center"/>
            <w:hideMark/>
          </w:tcPr>
          <w:p w14:paraId="73B5C958" w14:textId="65B1437F" w:rsidR="00F4173A" w:rsidRPr="00F4173A" w:rsidRDefault="00063136" w:rsidP="00F4173A">
            <w:pPr>
              <w:spacing w:before="0" w:after="0"/>
              <w:jc w:val="center"/>
              <w:rPr>
                <w:rFonts w:eastAsia="Times New Roman" w:cs="Times New Roman"/>
                <w:b/>
                <w:bCs/>
                <w:color w:val="000000"/>
                <w:szCs w:val="22"/>
                <w:lang w:eastAsia="en-GB"/>
              </w:rPr>
            </w:pPr>
            <w:r>
              <w:rPr>
                <w:rFonts w:eastAsia="Times New Roman" w:cs="Times New Roman"/>
                <w:b/>
                <w:bCs/>
                <w:color w:val="000000"/>
                <w:szCs w:val="22"/>
                <w:lang w:eastAsia="en-GB"/>
              </w:rPr>
              <w:t>Crude</w:t>
            </w:r>
          </w:p>
        </w:tc>
        <w:tc>
          <w:tcPr>
            <w:tcW w:w="757" w:type="pct"/>
            <w:gridSpan w:val="2"/>
            <w:tcBorders>
              <w:top w:val="single" w:sz="4" w:space="0" w:color="auto"/>
              <w:left w:val="nil"/>
              <w:bottom w:val="single" w:sz="4" w:space="0" w:color="auto"/>
              <w:right w:val="single" w:sz="4" w:space="0" w:color="000000"/>
            </w:tcBorders>
            <w:shd w:val="clear" w:color="auto" w:fill="auto"/>
            <w:vAlign w:val="center"/>
            <w:hideMark/>
          </w:tcPr>
          <w:p w14:paraId="1FFA3553" w14:textId="748C189E" w:rsidR="00F4173A" w:rsidRPr="00F4173A" w:rsidRDefault="00F4173A" w:rsidP="00F4173A">
            <w:pPr>
              <w:spacing w:before="0" w:after="0"/>
              <w:jc w:val="center"/>
              <w:rPr>
                <w:rFonts w:eastAsia="Times New Roman" w:cs="Times New Roman"/>
                <w:b/>
                <w:bCs/>
                <w:color w:val="000000"/>
                <w:szCs w:val="22"/>
                <w:lang w:eastAsia="en-GB"/>
              </w:rPr>
            </w:pPr>
            <w:r w:rsidRPr="00F4173A">
              <w:rPr>
                <w:rFonts w:eastAsia="Times New Roman" w:cs="Times New Roman"/>
                <w:b/>
                <w:bCs/>
                <w:color w:val="000000"/>
                <w:szCs w:val="22"/>
                <w:lang w:eastAsia="en-GB"/>
              </w:rPr>
              <w:t>Adjusted for marital status and education</w:t>
            </w:r>
          </w:p>
        </w:tc>
        <w:tc>
          <w:tcPr>
            <w:tcW w:w="758" w:type="pct"/>
            <w:gridSpan w:val="2"/>
            <w:tcBorders>
              <w:top w:val="single" w:sz="4" w:space="0" w:color="auto"/>
              <w:left w:val="nil"/>
              <w:bottom w:val="single" w:sz="4" w:space="0" w:color="auto"/>
              <w:right w:val="single" w:sz="4" w:space="0" w:color="000000"/>
            </w:tcBorders>
            <w:shd w:val="clear" w:color="auto" w:fill="auto"/>
            <w:vAlign w:val="center"/>
            <w:hideMark/>
          </w:tcPr>
          <w:p w14:paraId="5CDC6A79" w14:textId="77777777" w:rsidR="00F4173A" w:rsidRPr="00F4173A" w:rsidRDefault="00F4173A" w:rsidP="00F4173A">
            <w:pPr>
              <w:spacing w:before="0" w:after="0"/>
              <w:jc w:val="center"/>
              <w:rPr>
                <w:rFonts w:eastAsia="Times New Roman" w:cs="Times New Roman"/>
                <w:b/>
                <w:bCs/>
                <w:color w:val="000000"/>
                <w:szCs w:val="22"/>
                <w:lang w:eastAsia="en-GB"/>
              </w:rPr>
            </w:pPr>
            <w:r w:rsidRPr="00F4173A">
              <w:rPr>
                <w:rFonts w:eastAsia="Times New Roman" w:cs="Times New Roman"/>
                <w:b/>
                <w:bCs/>
                <w:color w:val="000000"/>
                <w:szCs w:val="22"/>
                <w:lang w:eastAsia="en-GB"/>
              </w:rPr>
              <w:t>Adjusted for age, marital status, education, employment status and NS-SEC grade</w:t>
            </w:r>
          </w:p>
        </w:tc>
      </w:tr>
      <w:tr w:rsidR="00F4173A" w:rsidRPr="00F4173A" w14:paraId="64C9CE98" w14:textId="77777777" w:rsidTr="003F6EDF">
        <w:trPr>
          <w:trHeight w:val="288"/>
        </w:trPr>
        <w:tc>
          <w:tcPr>
            <w:tcW w:w="1599" w:type="pct"/>
            <w:gridSpan w:val="2"/>
            <w:vMerge/>
            <w:tcBorders>
              <w:top w:val="single" w:sz="4" w:space="0" w:color="auto"/>
              <w:left w:val="single" w:sz="4" w:space="0" w:color="auto"/>
              <w:bottom w:val="nil"/>
              <w:right w:val="single" w:sz="4" w:space="0" w:color="000000"/>
            </w:tcBorders>
            <w:vAlign w:val="center"/>
            <w:hideMark/>
          </w:tcPr>
          <w:p w14:paraId="47BDAFC1" w14:textId="77777777" w:rsidR="00F4173A" w:rsidRPr="00F4173A" w:rsidRDefault="00F4173A" w:rsidP="00F4173A">
            <w:pPr>
              <w:spacing w:before="0" w:after="0"/>
              <w:rPr>
                <w:rFonts w:eastAsia="Times New Roman" w:cs="Times New Roman"/>
                <w:color w:val="000000"/>
                <w:szCs w:val="22"/>
                <w:lang w:eastAsia="en-GB"/>
              </w:rPr>
            </w:pPr>
          </w:p>
        </w:tc>
        <w:tc>
          <w:tcPr>
            <w:tcW w:w="309" w:type="pct"/>
            <w:tcBorders>
              <w:top w:val="nil"/>
              <w:left w:val="nil"/>
              <w:bottom w:val="nil"/>
              <w:right w:val="single" w:sz="4" w:space="0" w:color="auto"/>
            </w:tcBorders>
            <w:shd w:val="clear" w:color="auto" w:fill="auto"/>
            <w:noWrap/>
            <w:vAlign w:val="bottom"/>
            <w:hideMark/>
          </w:tcPr>
          <w:p w14:paraId="530C6A8F" w14:textId="77777777" w:rsidR="00F4173A" w:rsidRPr="00F4173A" w:rsidRDefault="00F4173A" w:rsidP="00F4173A">
            <w:pPr>
              <w:spacing w:before="0" w:after="0"/>
              <w:jc w:val="center"/>
              <w:rPr>
                <w:rFonts w:eastAsia="Times New Roman" w:cs="Times New Roman"/>
                <w:b/>
                <w:bCs/>
                <w:color w:val="000000"/>
                <w:szCs w:val="22"/>
                <w:lang w:eastAsia="en-GB"/>
              </w:rPr>
            </w:pPr>
            <w:r w:rsidRPr="00F4173A">
              <w:rPr>
                <w:rFonts w:eastAsia="Times New Roman" w:cs="Times New Roman"/>
                <w:b/>
                <w:bCs/>
                <w:color w:val="000000"/>
                <w:szCs w:val="22"/>
                <w:lang w:eastAsia="en-GB"/>
              </w:rPr>
              <w:t>N</w:t>
            </w:r>
          </w:p>
        </w:tc>
        <w:tc>
          <w:tcPr>
            <w:tcW w:w="255" w:type="pct"/>
            <w:tcBorders>
              <w:top w:val="nil"/>
              <w:left w:val="nil"/>
              <w:bottom w:val="nil"/>
              <w:right w:val="single" w:sz="4" w:space="0" w:color="auto"/>
            </w:tcBorders>
            <w:shd w:val="clear" w:color="auto" w:fill="auto"/>
            <w:noWrap/>
            <w:vAlign w:val="bottom"/>
            <w:hideMark/>
          </w:tcPr>
          <w:p w14:paraId="1E60DBEC" w14:textId="77777777" w:rsidR="00F4173A" w:rsidRPr="00F4173A" w:rsidRDefault="00F4173A" w:rsidP="00F4173A">
            <w:pPr>
              <w:spacing w:before="0" w:after="0"/>
              <w:jc w:val="center"/>
              <w:rPr>
                <w:rFonts w:eastAsia="Times New Roman" w:cs="Times New Roman"/>
                <w:b/>
                <w:bCs/>
                <w:i/>
                <w:iCs/>
                <w:color w:val="000000"/>
                <w:szCs w:val="22"/>
                <w:lang w:eastAsia="en-GB"/>
              </w:rPr>
            </w:pPr>
            <w:r w:rsidRPr="00F4173A">
              <w:rPr>
                <w:rFonts w:eastAsia="Times New Roman" w:cs="Times New Roman"/>
                <w:b/>
                <w:bCs/>
                <w:i/>
                <w:iCs/>
                <w:color w:val="000000"/>
                <w:szCs w:val="22"/>
                <w:lang w:eastAsia="en-GB"/>
              </w:rPr>
              <w:t>%</w:t>
            </w:r>
          </w:p>
        </w:tc>
        <w:tc>
          <w:tcPr>
            <w:tcW w:w="309" w:type="pct"/>
            <w:tcBorders>
              <w:top w:val="nil"/>
              <w:left w:val="nil"/>
              <w:bottom w:val="nil"/>
              <w:right w:val="single" w:sz="4" w:space="0" w:color="auto"/>
            </w:tcBorders>
            <w:shd w:val="clear" w:color="auto" w:fill="auto"/>
            <w:noWrap/>
            <w:vAlign w:val="bottom"/>
            <w:hideMark/>
          </w:tcPr>
          <w:p w14:paraId="04E1BCC3" w14:textId="77777777" w:rsidR="00F4173A" w:rsidRPr="00F4173A" w:rsidRDefault="00F4173A" w:rsidP="00F4173A">
            <w:pPr>
              <w:spacing w:before="0" w:after="0"/>
              <w:jc w:val="center"/>
              <w:rPr>
                <w:rFonts w:eastAsia="Times New Roman" w:cs="Times New Roman"/>
                <w:b/>
                <w:bCs/>
                <w:color w:val="000000"/>
                <w:szCs w:val="22"/>
                <w:lang w:eastAsia="en-GB"/>
              </w:rPr>
            </w:pPr>
            <w:r w:rsidRPr="00F4173A">
              <w:rPr>
                <w:rFonts w:eastAsia="Times New Roman" w:cs="Times New Roman"/>
                <w:b/>
                <w:bCs/>
                <w:color w:val="000000"/>
                <w:szCs w:val="22"/>
                <w:lang w:eastAsia="en-GB"/>
              </w:rPr>
              <w:t>N</w:t>
            </w:r>
          </w:p>
        </w:tc>
        <w:tc>
          <w:tcPr>
            <w:tcW w:w="255" w:type="pct"/>
            <w:tcBorders>
              <w:top w:val="nil"/>
              <w:left w:val="nil"/>
              <w:bottom w:val="nil"/>
              <w:right w:val="single" w:sz="4" w:space="0" w:color="auto"/>
            </w:tcBorders>
            <w:shd w:val="clear" w:color="auto" w:fill="auto"/>
            <w:noWrap/>
            <w:vAlign w:val="bottom"/>
            <w:hideMark/>
          </w:tcPr>
          <w:p w14:paraId="63133804" w14:textId="77777777" w:rsidR="00F4173A" w:rsidRPr="00F4173A" w:rsidRDefault="00F4173A" w:rsidP="00F4173A">
            <w:pPr>
              <w:spacing w:before="0" w:after="0"/>
              <w:jc w:val="center"/>
              <w:rPr>
                <w:rFonts w:eastAsia="Times New Roman" w:cs="Times New Roman"/>
                <w:b/>
                <w:bCs/>
                <w:i/>
                <w:iCs/>
                <w:color w:val="000000"/>
                <w:szCs w:val="22"/>
                <w:lang w:eastAsia="en-GB"/>
              </w:rPr>
            </w:pPr>
            <w:r w:rsidRPr="00F4173A">
              <w:rPr>
                <w:rFonts w:eastAsia="Times New Roman" w:cs="Times New Roman"/>
                <w:b/>
                <w:bCs/>
                <w:i/>
                <w:iCs/>
                <w:color w:val="000000"/>
                <w:szCs w:val="22"/>
                <w:lang w:eastAsia="en-GB"/>
              </w:rPr>
              <w:t>%</w:t>
            </w:r>
          </w:p>
        </w:tc>
        <w:tc>
          <w:tcPr>
            <w:tcW w:w="419" w:type="pct"/>
            <w:tcBorders>
              <w:top w:val="nil"/>
              <w:left w:val="nil"/>
              <w:bottom w:val="nil"/>
              <w:right w:val="nil"/>
            </w:tcBorders>
            <w:shd w:val="clear" w:color="auto" w:fill="auto"/>
            <w:noWrap/>
            <w:vAlign w:val="bottom"/>
            <w:hideMark/>
          </w:tcPr>
          <w:p w14:paraId="7358CD9D" w14:textId="77777777" w:rsidR="00F4173A" w:rsidRPr="00F4173A" w:rsidRDefault="00F4173A" w:rsidP="00F4173A">
            <w:pPr>
              <w:spacing w:before="0" w:after="0"/>
              <w:jc w:val="center"/>
              <w:rPr>
                <w:rFonts w:eastAsia="Times New Roman" w:cs="Times New Roman"/>
                <w:b/>
                <w:bCs/>
                <w:color w:val="000000"/>
                <w:szCs w:val="22"/>
                <w:lang w:eastAsia="en-GB"/>
              </w:rPr>
            </w:pPr>
            <w:r w:rsidRPr="00F4173A">
              <w:rPr>
                <w:rFonts w:eastAsia="Times New Roman" w:cs="Times New Roman"/>
                <w:b/>
                <w:bCs/>
                <w:color w:val="000000"/>
                <w:szCs w:val="22"/>
                <w:lang w:eastAsia="en-GB"/>
              </w:rPr>
              <w:t>OR</w:t>
            </w:r>
          </w:p>
        </w:tc>
        <w:tc>
          <w:tcPr>
            <w:tcW w:w="338" w:type="pct"/>
            <w:tcBorders>
              <w:top w:val="nil"/>
              <w:left w:val="nil"/>
              <w:bottom w:val="nil"/>
              <w:right w:val="single" w:sz="4" w:space="0" w:color="auto"/>
            </w:tcBorders>
            <w:shd w:val="clear" w:color="auto" w:fill="auto"/>
            <w:noWrap/>
            <w:vAlign w:val="bottom"/>
            <w:hideMark/>
          </w:tcPr>
          <w:p w14:paraId="30D4E9E9" w14:textId="77777777" w:rsidR="00F4173A" w:rsidRPr="00F4173A" w:rsidRDefault="00F4173A" w:rsidP="00F4173A">
            <w:pPr>
              <w:spacing w:before="0" w:after="0"/>
              <w:jc w:val="center"/>
              <w:rPr>
                <w:rFonts w:eastAsia="Times New Roman" w:cs="Times New Roman"/>
                <w:b/>
                <w:bCs/>
                <w:color w:val="000000"/>
                <w:szCs w:val="22"/>
                <w:lang w:eastAsia="en-GB"/>
              </w:rPr>
            </w:pPr>
            <w:r w:rsidRPr="00F4173A">
              <w:rPr>
                <w:rFonts w:eastAsia="Times New Roman" w:cs="Times New Roman"/>
                <w:b/>
                <w:bCs/>
                <w:color w:val="000000"/>
                <w:szCs w:val="22"/>
                <w:lang w:eastAsia="en-GB"/>
              </w:rPr>
              <w:t>CI</w:t>
            </w:r>
          </w:p>
        </w:tc>
        <w:tc>
          <w:tcPr>
            <w:tcW w:w="419" w:type="pct"/>
            <w:tcBorders>
              <w:top w:val="nil"/>
              <w:left w:val="nil"/>
              <w:bottom w:val="nil"/>
              <w:right w:val="nil"/>
            </w:tcBorders>
            <w:shd w:val="clear" w:color="auto" w:fill="auto"/>
            <w:noWrap/>
            <w:vAlign w:val="bottom"/>
            <w:hideMark/>
          </w:tcPr>
          <w:p w14:paraId="731E5C71" w14:textId="77777777" w:rsidR="00F4173A" w:rsidRPr="00F4173A" w:rsidRDefault="00F4173A" w:rsidP="00F4173A">
            <w:pPr>
              <w:spacing w:before="0" w:after="0"/>
              <w:jc w:val="center"/>
              <w:rPr>
                <w:rFonts w:eastAsia="Times New Roman" w:cs="Times New Roman"/>
                <w:b/>
                <w:bCs/>
                <w:color w:val="000000"/>
                <w:szCs w:val="22"/>
                <w:lang w:eastAsia="en-GB"/>
              </w:rPr>
            </w:pPr>
            <w:r w:rsidRPr="00F4173A">
              <w:rPr>
                <w:rFonts w:eastAsia="Times New Roman" w:cs="Times New Roman"/>
                <w:b/>
                <w:bCs/>
                <w:color w:val="000000"/>
                <w:szCs w:val="22"/>
                <w:lang w:eastAsia="en-GB"/>
              </w:rPr>
              <w:t>OR</w:t>
            </w:r>
          </w:p>
        </w:tc>
        <w:tc>
          <w:tcPr>
            <w:tcW w:w="338" w:type="pct"/>
            <w:tcBorders>
              <w:top w:val="nil"/>
              <w:left w:val="nil"/>
              <w:bottom w:val="nil"/>
              <w:right w:val="single" w:sz="4" w:space="0" w:color="auto"/>
            </w:tcBorders>
            <w:shd w:val="clear" w:color="auto" w:fill="auto"/>
            <w:noWrap/>
            <w:vAlign w:val="bottom"/>
            <w:hideMark/>
          </w:tcPr>
          <w:p w14:paraId="6ECD6238" w14:textId="77777777" w:rsidR="00F4173A" w:rsidRPr="00F4173A" w:rsidRDefault="00F4173A" w:rsidP="00F4173A">
            <w:pPr>
              <w:spacing w:before="0" w:after="0"/>
              <w:jc w:val="center"/>
              <w:rPr>
                <w:rFonts w:eastAsia="Times New Roman" w:cs="Times New Roman"/>
                <w:b/>
                <w:bCs/>
                <w:color w:val="000000"/>
                <w:szCs w:val="22"/>
                <w:lang w:eastAsia="en-GB"/>
              </w:rPr>
            </w:pPr>
            <w:r w:rsidRPr="00F4173A">
              <w:rPr>
                <w:rFonts w:eastAsia="Times New Roman" w:cs="Times New Roman"/>
                <w:b/>
                <w:bCs/>
                <w:color w:val="000000"/>
                <w:szCs w:val="22"/>
                <w:lang w:eastAsia="en-GB"/>
              </w:rPr>
              <w:t>CI</w:t>
            </w:r>
          </w:p>
        </w:tc>
        <w:tc>
          <w:tcPr>
            <w:tcW w:w="419" w:type="pct"/>
            <w:tcBorders>
              <w:top w:val="nil"/>
              <w:left w:val="nil"/>
              <w:bottom w:val="nil"/>
              <w:right w:val="nil"/>
            </w:tcBorders>
            <w:shd w:val="clear" w:color="auto" w:fill="auto"/>
            <w:noWrap/>
            <w:vAlign w:val="bottom"/>
            <w:hideMark/>
          </w:tcPr>
          <w:p w14:paraId="583DF242" w14:textId="77777777" w:rsidR="00F4173A" w:rsidRPr="00F4173A" w:rsidRDefault="00F4173A" w:rsidP="00F4173A">
            <w:pPr>
              <w:spacing w:before="0" w:after="0"/>
              <w:jc w:val="center"/>
              <w:rPr>
                <w:rFonts w:eastAsia="Times New Roman" w:cs="Times New Roman"/>
                <w:b/>
                <w:bCs/>
                <w:color w:val="000000"/>
                <w:szCs w:val="22"/>
                <w:lang w:eastAsia="en-GB"/>
              </w:rPr>
            </w:pPr>
            <w:r w:rsidRPr="00F4173A">
              <w:rPr>
                <w:rFonts w:eastAsia="Times New Roman" w:cs="Times New Roman"/>
                <w:b/>
                <w:bCs/>
                <w:color w:val="000000"/>
                <w:szCs w:val="22"/>
                <w:lang w:eastAsia="en-GB"/>
              </w:rPr>
              <w:t>OR</w:t>
            </w:r>
          </w:p>
        </w:tc>
        <w:tc>
          <w:tcPr>
            <w:tcW w:w="339" w:type="pct"/>
            <w:tcBorders>
              <w:top w:val="nil"/>
              <w:left w:val="nil"/>
              <w:bottom w:val="nil"/>
              <w:right w:val="single" w:sz="4" w:space="0" w:color="auto"/>
            </w:tcBorders>
            <w:shd w:val="clear" w:color="auto" w:fill="auto"/>
            <w:noWrap/>
            <w:vAlign w:val="bottom"/>
            <w:hideMark/>
          </w:tcPr>
          <w:p w14:paraId="5B83A7D0" w14:textId="77777777" w:rsidR="00F4173A" w:rsidRPr="00F4173A" w:rsidRDefault="00F4173A" w:rsidP="00F4173A">
            <w:pPr>
              <w:spacing w:before="0" w:after="0"/>
              <w:jc w:val="center"/>
              <w:rPr>
                <w:rFonts w:eastAsia="Times New Roman" w:cs="Times New Roman"/>
                <w:b/>
                <w:bCs/>
                <w:color w:val="000000"/>
                <w:szCs w:val="22"/>
                <w:lang w:eastAsia="en-GB"/>
              </w:rPr>
            </w:pPr>
            <w:r w:rsidRPr="00F4173A">
              <w:rPr>
                <w:rFonts w:eastAsia="Times New Roman" w:cs="Times New Roman"/>
                <w:b/>
                <w:bCs/>
                <w:color w:val="000000"/>
                <w:szCs w:val="22"/>
                <w:lang w:eastAsia="en-GB"/>
              </w:rPr>
              <w:t>CI</w:t>
            </w:r>
          </w:p>
        </w:tc>
      </w:tr>
      <w:tr w:rsidR="00F4173A" w:rsidRPr="00F4173A" w14:paraId="63FEB428" w14:textId="77777777" w:rsidTr="003F6EDF">
        <w:trPr>
          <w:trHeight w:val="408"/>
        </w:trPr>
        <w:tc>
          <w:tcPr>
            <w:tcW w:w="936" w:type="pct"/>
            <w:tcBorders>
              <w:top w:val="single" w:sz="4" w:space="0" w:color="auto"/>
              <w:left w:val="single" w:sz="4" w:space="0" w:color="auto"/>
              <w:bottom w:val="single" w:sz="4" w:space="0" w:color="auto"/>
              <w:right w:val="nil"/>
            </w:tcBorders>
            <w:shd w:val="clear" w:color="000000" w:fill="E7E6E6"/>
            <w:noWrap/>
            <w:vAlign w:val="bottom"/>
            <w:hideMark/>
          </w:tcPr>
          <w:p w14:paraId="2D079CF9" w14:textId="77777777" w:rsidR="00F4173A" w:rsidRPr="00F4173A" w:rsidRDefault="00F4173A" w:rsidP="00F4173A">
            <w:pPr>
              <w:spacing w:before="0" w:after="0"/>
              <w:jc w:val="center"/>
              <w:rPr>
                <w:rFonts w:eastAsia="Times New Roman" w:cs="Times New Roman"/>
                <w:b/>
                <w:bCs/>
                <w:color w:val="000000"/>
                <w:sz w:val="32"/>
                <w:szCs w:val="32"/>
                <w:lang w:eastAsia="en-GB"/>
              </w:rPr>
            </w:pPr>
            <w:r w:rsidRPr="00F4173A">
              <w:rPr>
                <w:rFonts w:eastAsia="Times New Roman" w:cs="Times New Roman"/>
                <w:b/>
                <w:bCs/>
                <w:color w:val="000000"/>
                <w:sz w:val="32"/>
                <w:szCs w:val="32"/>
                <w:lang w:eastAsia="en-GB"/>
              </w:rPr>
              <w:t>Men</w:t>
            </w:r>
          </w:p>
        </w:tc>
        <w:tc>
          <w:tcPr>
            <w:tcW w:w="664" w:type="pct"/>
            <w:tcBorders>
              <w:top w:val="single" w:sz="4" w:space="0" w:color="auto"/>
              <w:left w:val="nil"/>
              <w:bottom w:val="single" w:sz="4" w:space="0" w:color="auto"/>
              <w:right w:val="nil"/>
            </w:tcBorders>
            <w:shd w:val="clear" w:color="000000" w:fill="E7E6E6"/>
            <w:noWrap/>
            <w:vAlign w:val="bottom"/>
            <w:hideMark/>
          </w:tcPr>
          <w:p w14:paraId="181DCAAF" w14:textId="77777777" w:rsidR="00F4173A" w:rsidRPr="00F4173A" w:rsidRDefault="00F4173A" w:rsidP="00F4173A">
            <w:pPr>
              <w:spacing w:before="0" w:after="0"/>
              <w:jc w:val="center"/>
              <w:rPr>
                <w:rFonts w:eastAsia="Times New Roman" w:cs="Times New Roman"/>
                <w:b/>
                <w:bCs/>
                <w:color w:val="000000"/>
                <w:sz w:val="32"/>
                <w:szCs w:val="32"/>
                <w:lang w:eastAsia="en-GB"/>
              </w:rPr>
            </w:pPr>
            <w:r w:rsidRPr="00F4173A">
              <w:rPr>
                <w:rFonts w:eastAsia="Times New Roman" w:cs="Times New Roman"/>
                <w:b/>
                <w:bCs/>
                <w:color w:val="000000"/>
                <w:sz w:val="32"/>
                <w:szCs w:val="32"/>
                <w:lang w:eastAsia="en-GB"/>
              </w:rPr>
              <w:t> </w:t>
            </w:r>
          </w:p>
        </w:tc>
        <w:tc>
          <w:tcPr>
            <w:tcW w:w="309" w:type="pct"/>
            <w:tcBorders>
              <w:top w:val="single" w:sz="4" w:space="0" w:color="auto"/>
              <w:left w:val="nil"/>
              <w:bottom w:val="single" w:sz="4" w:space="0" w:color="auto"/>
              <w:right w:val="nil"/>
            </w:tcBorders>
            <w:shd w:val="clear" w:color="000000" w:fill="E7E6E6"/>
            <w:noWrap/>
            <w:vAlign w:val="bottom"/>
            <w:hideMark/>
          </w:tcPr>
          <w:p w14:paraId="49F56754" w14:textId="77777777" w:rsidR="00F4173A" w:rsidRPr="00F4173A" w:rsidRDefault="00F4173A" w:rsidP="00F4173A">
            <w:pPr>
              <w:spacing w:before="0" w:after="0"/>
              <w:rPr>
                <w:rFonts w:eastAsia="Times New Roman" w:cs="Times New Roman"/>
                <w:b/>
                <w:bCs/>
                <w:color w:val="000000"/>
                <w:sz w:val="32"/>
                <w:szCs w:val="32"/>
                <w:lang w:eastAsia="en-GB"/>
              </w:rPr>
            </w:pPr>
            <w:r w:rsidRPr="00F4173A">
              <w:rPr>
                <w:rFonts w:eastAsia="Times New Roman" w:cs="Times New Roman"/>
                <w:b/>
                <w:bCs/>
                <w:color w:val="000000"/>
                <w:sz w:val="32"/>
                <w:szCs w:val="32"/>
                <w:lang w:eastAsia="en-GB"/>
              </w:rPr>
              <w:t> </w:t>
            </w:r>
          </w:p>
        </w:tc>
        <w:tc>
          <w:tcPr>
            <w:tcW w:w="255" w:type="pct"/>
            <w:tcBorders>
              <w:top w:val="single" w:sz="4" w:space="0" w:color="auto"/>
              <w:left w:val="nil"/>
              <w:bottom w:val="single" w:sz="4" w:space="0" w:color="auto"/>
              <w:right w:val="nil"/>
            </w:tcBorders>
            <w:shd w:val="clear" w:color="000000" w:fill="E7E6E6"/>
            <w:noWrap/>
            <w:vAlign w:val="bottom"/>
            <w:hideMark/>
          </w:tcPr>
          <w:p w14:paraId="6689CD7E" w14:textId="77777777" w:rsidR="00F4173A" w:rsidRPr="00F4173A" w:rsidRDefault="00F4173A" w:rsidP="00F4173A">
            <w:pPr>
              <w:spacing w:before="0" w:after="0"/>
              <w:rPr>
                <w:rFonts w:eastAsia="Times New Roman" w:cs="Times New Roman"/>
                <w:b/>
                <w:bCs/>
                <w:color w:val="000000"/>
                <w:sz w:val="32"/>
                <w:szCs w:val="32"/>
                <w:lang w:eastAsia="en-GB"/>
              </w:rPr>
            </w:pPr>
            <w:r w:rsidRPr="00F4173A">
              <w:rPr>
                <w:rFonts w:eastAsia="Times New Roman" w:cs="Times New Roman"/>
                <w:b/>
                <w:bCs/>
                <w:color w:val="000000"/>
                <w:sz w:val="32"/>
                <w:szCs w:val="32"/>
                <w:lang w:eastAsia="en-GB"/>
              </w:rPr>
              <w:t> </w:t>
            </w:r>
          </w:p>
        </w:tc>
        <w:tc>
          <w:tcPr>
            <w:tcW w:w="309" w:type="pct"/>
            <w:tcBorders>
              <w:top w:val="single" w:sz="4" w:space="0" w:color="auto"/>
              <w:left w:val="nil"/>
              <w:bottom w:val="single" w:sz="4" w:space="0" w:color="auto"/>
              <w:right w:val="nil"/>
            </w:tcBorders>
            <w:shd w:val="clear" w:color="000000" w:fill="E7E6E6"/>
            <w:noWrap/>
            <w:vAlign w:val="bottom"/>
            <w:hideMark/>
          </w:tcPr>
          <w:p w14:paraId="4F9D3BA8" w14:textId="77777777" w:rsidR="00F4173A" w:rsidRPr="00F4173A" w:rsidRDefault="00F4173A" w:rsidP="00F4173A">
            <w:pPr>
              <w:spacing w:before="0" w:after="0"/>
              <w:rPr>
                <w:rFonts w:eastAsia="Times New Roman" w:cs="Times New Roman"/>
                <w:b/>
                <w:bCs/>
                <w:color w:val="000000"/>
                <w:sz w:val="32"/>
                <w:szCs w:val="32"/>
                <w:lang w:eastAsia="en-GB"/>
              </w:rPr>
            </w:pPr>
            <w:r w:rsidRPr="00F4173A">
              <w:rPr>
                <w:rFonts w:eastAsia="Times New Roman" w:cs="Times New Roman"/>
                <w:b/>
                <w:bCs/>
                <w:color w:val="000000"/>
                <w:sz w:val="32"/>
                <w:szCs w:val="32"/>
                <w:lang w:eastAsia="en-GB"/>
              </w:rPr>
              <w:t> </w:t>
            </w:r>
          </w:p>
        </w:tc>
        <w:tc>
          <w:tcPr>
            <w:tcW w:w="255" w:type="pct"/>
            <w:tcBorders>
              <w:top w:val="single" w:sz="4" w:space="0" w:color="auto"/>
              <w:left w:val="nil"/>
              <w:bottom w:val="single" w:sz="4" w:space="0" w:color="auto"/>
              <w:right w:val="nil"/>
            </w:tcBorders>
            <w:shd w:val="clear" w:color="000000" w:fill="E7E6E6"/>
            <w:noWrap/>
            <w:vAlign w:val="bottom"/>
            <w:hideMark/>
          </w:tcPr>
          <w:p w14:paraId="5E06708D" w14:textId="77777777" w:rsidR="00F4173A" w:rsidRPr="00F4173A" w:rsidRDefault="00F4173A" w:rsidP="00F4173A">
            <w:pPr>
              <w:spacing w:before="0" w:after="0"/>
              <w:rPr>
                <w:rFonts w:eastAsia="Times New Roman" w:cs="Times New Roman"/>
                <w:b/>
                <w:bCs/>
                <w:color w:val="000000"/>
                <w:sz w:val="32"/>
                <w:szCs w:val="32"/>
                <w:lang w:eastAsia="en-GB"/>
              </w:rPr>
            </w:pPr>
            <w:r w:rsidRPr="00F4173A">
              <w:rPr>
                <w:rFonts w:eastAsia="Times New Roman" w:cs="Times New Roman"/>
                <w:b/>
                <w:bCs/>
                <w:color w:val="000000"/>
                <w:sz w:val="32"/>
                <w:szCs w:val="32"/>
                <w:lang w:eastAsia="en-GB"/>
              </w:rPr>
              <w:t> </w:t>
            </w:r>
          </w:p>
        </w:tc>
        <w:tc>
          <w:tcPr>
            <w:tcW w:w="419" w:type="pct"/>
            <w:tcBorders>
              <w:top w:val="single" w:sz="4" w:space="0" w:color="auto"/>
              <w:left w:val="nil"/>
              <w:bottom w:val="single" w:sz="4" w:space="0" w:color="auto"/>
              <w:right w:val="nil"/>
            </w:tcBorders>
            <w:shd w:val="clear" w:color="000000" w:fill="E7E6E6"/>
            <w:noWrap/>
            <w:vAlign w:val="bottom"/>
            <w:hideMark/>
          </w:tcPr>
          <w:p w14:paraId="3818A6DE" w14:textId="77777777" w:rsidR="00F4173A" w:rsidRPr="00F4173A" w:rsidRDefault="00F4173A" w:rsidP="00F4173A">
            <w:pPr>
              <w:spacing w:before="0" w:after="0"/>
              <w:jc w:val="center"/>
              <w:rPr>
                <w:rFonts w:eastAsia="Times New Roman" w:cs="Times New Roman"/>
                <w:b/>
                <w:bCs/>
                <w:color w:val="000000"/>
                <w:sz w:val="32"/>
                <w:szCs w:val="32"/>
                <w:lang w:eastAsia="en-GB"/>
              </w:rPr>
            </w:pPr>
            <w:r w:rsidRPr="00F4173A">
              <w:rPr>
                <w:rFonts w:eastAsia="Times New Roman" w:cs="Times New Roman"/>
                <w:b/>
                <w:bCs/>
                <w:color w:val="000000"/>
                <w:sz w:val="32"/>
                <w:szCs w:val="32"/>
                <w:lang w:eastAsia="en-GB"/>
              </w:rPr>
              <w:t> </w:t>
            </w:r>
          </w:p>
        </w:tc>
        <w:tc>
          <w:tcPr>
            <w:tcW w:w="338" w:type="pct"/>
            <w:tcBorders>
              <w:top w:val="single" w:sz="4" w:space="0" w:color="auto"/>
              <w:left w:val="nil"/>
              <w:bottom w:val="single" w:sz="4" w:space="0" w:color="auto"/>
              <w:right w:val="nil"/>
            </w:tcBorders>
            <w:shd w:val="clear" w:color="000000" w:fill="E7E6E6"/>
            <w:noWrap/>
            <w:vAlign w:val="bottom"/>
            <w:hideMark/>
          </w:tcPr>
          <w:p w14:paraId="24C65DBB" w14:textId="77777777" w:rsidR="00F4173A" w:rsidRPr="00F4173A" w:rsidRDefault="00F4173A" w:rsidP="00F4173A">
            <w:pPr>
              <w:spacing w:before="0" w:after="0"/>
              <w:jc w:val="center"/>
              <w:rPr>
                <w:rFonts w:eastAsia="Times New Roman" w:cs="Times New Roman"/>
                <w:b/>
                <w:bCs/>
                <w:color w:val="000000"/>
                <w:sz w:val="32"/>
                <w:szCs w:val="32"/>
                <w:lang w:eastAsia="en-GB"/>
              </w:rPr>
            </w:pPr>
            <w:r w:rsidRPr="00F4173A">
              <w:rPr>
                <w:rFonts w:eastAsia="Times New Roman" w:cs="Times New Roman"/>
                <w:b/>
                <w:bCs/>
                <w:color w:val="000000"/>
                <w:sz w:val="32"/>
                <w:szCs w:val="32"/>
                <w:lang w:eastAsia="en-GB"/>
              </w:rPr>
              <w:t> </w:t>
            </w:r>
          </w:p>
        </w:tc>
        <w:tc>
          <w:tcPr>
            <w:tcW w:w="419" w:type="pct"/>
            <w:tcBorders>
              <w:top w:val="single" w:sz="4" w:space="0" w:color="auto"/>
              <w:left w:val="nil"/>
              <w:bottom w:val="single" w:sz="4" w:space="0" w:color="auto"/>
              <w:right w:val="nil"/>
            </w:tcBorders>
            <w:shd w:val="clear" w:color="000000" w:fill="E7E6E6"/>
            <w:noWrap/>
            <w:vAlign w:val="bottom"/>
            <w:hideMark/>
          </w:tcPr>
          <w:p w14:paraId="6906828F" w14:textId="77777777" w:rsidR="00F4173A" w:rsidRPr="00F4173A" w:rsidRDefault="00F4173A" w:rsidP="00F4173A">
            <w:pPr>
              <w:spacing w:before="0" w:after="0"/>
              <w:rPr>
                <w:rFonts w:eastAsia="Times New Roman" w:cs="Times New Roman"/>
                <w:color w:val="000000"/>
                <w:szCs w:val="22"/>
                <w:lang w:eastAsia="en-GB"/>
              </w:rPr>
            </w:pPr>
            <w:r w:rsidRPr="00F4173A">
              <w:rPr>
                <w:rFonts w:eastAsia="Times New Roman" w:cs="Times New Roman"/>
                <w:color w:val="000000"/>
                <w:szCs w:val="22"/>
                <w:lang w:eastAsia="en-GB"/>
              </w:rPr>
              <w:t> </w:t>
            </w:r>
          </w:p>
        </w:tc>
        <w:tc>
          <w:tcPr>
            <w:tcW w:w="338" w:type="pct"/>
            <w:tcBorders>
              <w:top w:val="single" w:sz="4" w:space="0" w:color="auto"/>
              <w:left w:val="nil"/>
              <w:bottom w:val="single" w:sz="4" w:space="0" w:color="auto"/>
              <w:right w:val="nil"/>
            </w:tcBorders>
            <w:shd w:val="clear" w:color="000000" w:fill="E7E6E6"/>
            <w:noWrap/>
            <w:vAlign w:val="bottom"/>
            <w:hideMark/>
          </w:tcPr>
          <w:p w14:paraId="39CB878F" w14:textId="77777777" w:rsidR="00F4173A" w:rsidRPr="00F4173A" w:rsidRDefault="00F4173A" w:rsidP="00F4173A">
            <w:pPr>
              <w:spacing w:before="0" w:after="0"/>
              <w:rPr>
                <w:rFonts w:eastAsia="Times New Roman" w:cs="Times New Roman"/>
                <w:color w:val="000000"/>
                <w:szCs w:val="22"/>
                <w:lang w:eastAsia="en-GB"/>
              </w:rPr>
            </w:pPr>
            <w:r w:rsidRPr="00F4173A">
              <w:rPr>
                <w:rFonts w:eastAsia="Times New Roman" w:cs="Times New Roman"/>
                <w:color w:val="000000"/>
                <w:szCs w:val="22"/>
                <w:lang w:eastAsia="en-GB"/>
              </w:rPr>
              <w:t> </w:t>
            </w:r>
          </w:p>
        </w:tc>
        <w:tc>
          <w:tcPr>
            <w:tcW w:w="419" w:type="pct"/>
            <w:tcBorders>
              <w:top w:val="single" w:sz="4" w:space="0" w:color="auto"/>
              <w:left w:val="nil"/>
              <w:bottom w:val="single" w:sz="4" w:space="0" w:color="auto"/>
              <w:right w:val="nil"/>
            </w:tcBorders>
            <w:shd w:val="clear" w:color="000000" w:fill="E7E6E6"/>
            <w:noWrap/>
            <w:vAlign w:val="bottom"/>
            <w:hideMark/>
          </w:tcPr>
          <w:p w14:paraId="501C4A19" w14:textId="77777777" w:rsidR="00F4173A" w:rsidRPr="00F4173A" w:rsidRDefault="00F4173A" w:rsidP="00F4173A">
            <w:pPr>
              <w:spacing w:before="0" w:after="0"/>
              <w:rPr>
                <w:rFonts w:eastAsia="Times New Roman" w:cs="Times New Roman"/>
                <w:color w:val="000000"/>
                <w:szCs w:val="22"/>
                <w:lang w:eastAsia="en-GB"/>
              </w:rPr>
            </w:pPr>
            <w:r w:rsidRPr="00F4173A">
              <w:rPr>
                <w:rFonts w:eastAsia="Times New Roman" w:cs="Times New Roman"/>
                <w:color w:val="000000"/>
                <w:szCs w:val="22"/>
                <w:lang w:eastAsia="en-GB"/>
              </w:rPr>
              <w:t> </w:t>
            </w:r>
          </w:p>
        </w:tc>
        <w:tc>
          <w:tcPr>
            <w:tcW w:w="339" w:type="pct"/>
            <w:tcBorders>
              <w:top w:val="single" w:sz="4" w:space="0" w:color="auto"/>
              <w:left w:val="nil"/>
              <w:bottom w:val="single" w:sz="4" w:space="0" w:color="auto"/>
              <w:right w:val="single" w:sz="4" w:space="0" w:color="auto"/>
            </w:tcBorders>
            <w:shd w:val="clear" w:color="000000" w:fill="E7E6E6"/>
            <w:noWrap/>
            <w:vAlign w:val="bottom"/>
            <w:hideMark/>
          </w:tcPr>
          <w:p w14:paraId="6853700E" w14:textId="77777777" w:rsidR="00F4173A" w:rsidRPr="00F4173A" w:rsidRDefault="00F4173A" w:rsidP="00F4173A">
            <w:pPr>
              <w:spacing w:before="0" w:after="0"/>
              <w:rPr>
                <w:rFonts w:eastAsia="Times New Roman" w:cs="Times New Roman"/>
                <w:color w:val="000000"/>
                <w:szCs w:val="22"/>
                <w:lang w:eastAsia="en-GB"/>
              </w:rPr>
            </w:pPr>
            <w:r w:rsidRPr="00F4173A">
              <w:rPr>
                <w:rFonts w:eastAsia="Times New Roman" w:cs="Times New Roman"/>
                <w:color w:val="000000"/>
                <w:szCs w:val="22"/>
                <w:lang w:eastAsia="en-GB"/>
              </w:rPr>
              <w:t> </w:t>
            </w:r>
          </w:p>
        </w:tc>
      </w:tr>
      <w:tr w:rsidR="00F4173A" w:rsidRPr="00F4173A" w14:paraId="63B14A00" w14:textId="77777777" w:rsidTr="003F6EDF">
        <w:trPr>
          <w:trHeight w:val="276"/>
        </w:trPr>
        <w:tc>
          <w:tcPr>
            <w:tcW w:w="936" w:type="pct"/>
            <w:vMerge w:val="restart"/>
            <w:tcBorders>
              <w:top w:val="nil"/>
              <w:left w:val="single" w:sz="4" w:space="0" w:color="auto"/>
              <w:bottom w:val="nil"/>
              <w:right w:val="single" w:sz="4" w:space="0" w:color="auto"/>
            </w:tcBorders>
            <w:shd w:val="clear" w:color="auto" w:fill="auto"/>
            <w:vAlign w:val="center"/>
            <w:hideMark/>
          </w:tcPr>
          <w:p w14:paraId="3D525206" w14:textId="5F594CC7" w:rsidR="00F4173A" w:rsidRPr="00F4173A" w:rsidRDefault="00F4173A" w:rsidP="00F4173A">
            <w:pPr>
              <w:spacing w:before="0" w:after="0"/>
              <w:jc w:val="center"/>
              <w:rPr>
                <w:rFonts w:eastAsia="Times New Roman" w:cs="Times New Roman"/>
                <w:b/>
                <w:bCs/>
                <w:color w:val="000000"/>
                <w:szCs w:val="22"/>
                <w:lang w:eastAsia="en-GB"/>
              </w:rPr>
            </w:pPr>
            <w:r w:rsidRPr="00F4173A">
              <w:rPr>
                <w:rFonts w:eastAsia="Times New Roman" w:cs="Times New Roman"/>
                <w:b/>
                <w:bCs/>
                <w:color w:val="000000"/>
                <w:szCs w:val="22"/>
                <w:lang w:eastAsia="en-GB"/>
              </w:rPr>
              <w:t xml:space="preserve">PCL-C </w:t>
            </w:r>
            <w:r w:rsidR="004D3A09">
              <w:rPr>
                <w:rFonts w:eastAsia="Times New Roman" w:cs="Times New Roman"/>
                <w:b/>
                <w:bCs/>
                <w:color w:val="000000"/>
                <w:szCs w:val="22"/>
                <w:lang w:eastAsia="en-GB"/>
              </w:rPr>
              <w:t>domains</w:t>
            </w:r>
          </w:p>
        </w:tc>
        <w:tc>
          <w:tcPr>
            <w:tcW w:w="664" w:type="pct"/>
            <w:tcBorders>
              <w:top w:val="nil"/>
              <w:left w:val="nil"/>
              <w:bottom w:val="nil"/>
              <w:right w:val="single" w:sz="4" w:space="0" w:color="auto"/>
            </w:tcBorders>
            <w:shd w:val="clear" w:color="auto" w:fill="auto"/>
            <w:noWrap/>
            <w:vAlign w:val="center"/>
            <w:hideMark/>
          </w:tcPr>
          <w:p w14:paraId="1A2194D0" w14:textId="77777777" w:rsidR="00F4173A" w:rsidRPr="00F4173A" w:rsidRDefault="00F4173A" w:rsidP="00F4173A">
            <w:pPr>
              <w:spacing w:before="0" w:after="0"/>
              <w:rPr>
                <w:rFonts w:eastAsia="Times New Roman" w:cs="Times New Roman"/>
                <w:i/>
                <w:iCs/>
                <w:color w:val="000000"/>
                <w:szCs w:val="22"/>
                <w:lang w:eastAsia="en-GB"/>
              </w:rPr>
            </w:pPr>
            <w:r w:rsidRPr="00F4173A">
              <w:rPr>
                <w:rFonts w:eastAsia="Times New Roman" w:cs="Times New Roman"/>
                <w:i/>
                <w:iCs/>
                <w:color w:val="000000"/>
                <w:szCs w:val="22"/>
                <w:lang w:eastAsia="en-GB"/>
              </w:rPr>
              <w:t>Re-experiencing</w:t>
            </w:r>
          </w:p>
        </w:tc>
        <w:tc>
          <w:tcPr>
            <w:tcW w:w="309" w:type="pct"/>
            <w:tcBorders>
              <w:top w:val="nil"/>
              <w:left w:val="nil"/>
              <w:bottom w:val="nil"/>
              <w:right w:val="nil"/>
            </w:tcBorders>
            <w:shd w:val="clear" w:color="auto" w:fill="auto"/>
            <w:noWrap/>
            <w:vAlign w:val="bottom"/>
            <w:hideMark/>
          </w:tcPr>
          <w:p w14:paraId="1556A0DE"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492</w:t>
            </w:r>
          </w:p>
        </w:tc>
        <w:tc>
          <w:tcPr>
            <w:tcW w:w="255" w:type="pct"/>
            <w:tcBorders>
              <w:top w:val="nil"/>
              <w:left w:val="nil"/>
              <w:bottom w:val="nil"/>
              <w:right w:val="nil"/>
            </w:tcBorders>
            <w:shd w:val="clear" w:color="auto" w:fill="auto"/>
            <w:noWrap/>
            <w:vAlign w:val="bottom"/>
            <w:hideMark/>
          </w:tcPr>
          <w:p w14:paraId="37662C0E"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11.7%</w:t>
            </w:r>
          </w:p>
        </w:tc>
        <w:tc>
          <w:tcPr>
            <w:tcW w:w="309" w:type="pct"/>
            <w:tcBorders>
              <w:top w:val="nil"/>
              <w:left w:val="single" w:sz="4" w:space="0" w:color="auto"/>
              <w:bottom w:val="nil"/>
              <w:right w:val="nil"/>
            </w:tcBorders>
            <w:shd w:val="clear" w:color="auto" w:fill="auto"/>
            <w:noWrap/>
            <w:vAlign w:val="bottom"/>
            <w:hideMark/>
          </w:tcPr>
          <w:p w14:paraId="65B4F2E5"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417</w:t>
            </w:r>
          </w:p>
        </w:tc>
        <w:tc>
          <w:tcPr>
            <w:tcW w:w="255" w:type="pct"/>
            <w:tcBorders>
              <w:top w:val="nil"/>
              <w:left w:val="nil"/>
              <w:bottom w:val="nil"/>
              <w:right w:val="single" w:sz="4" w:space="0" w:color="auto"/>
            </w:tcBorders>
            <w:shd w:val="clear" w:color="auto" w:fill="auto"/>
            <w:noWrap/>
            <w:vAlign w:val="bottom"/>
            <w:hideMark/>
          </w:tcPr>
          <w:p w14:paraId="69D724EA"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9.5%</w:t>
            </w:r>
          </w:p>
        </w:tc>
        <w:tc>
          <w:tcPr>
            <w:tcW w:w="419" w:type="pct"/>
            <w:tcBorders>
              <w:top w:val="nil"/>
              <w:left w:val="nil"/>
              <w:bottom w:val="nil"/>
              <w:right w:val="nil"/>
            </w:tcBorders>
            <w:shd w:val="clear" w:color="auto" w:fill="auto"/>
            <w:noWrap/>
            <w:vAlign w:val="bottom"/>
            <w:hideMark/>
          </w:tcPr>
          <w:p w14:paraId="7DB00A28" w14:textId="26D865AF"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1.24</w:t>
            </w:r>
          </w:p>
        </w:tc>
        <w:tc>
          <w:tcPr>
            <w:tcW w:w="338" w:type="pct"/>
            <w:tcBorders>
              <w:top w:val="nil"/>
              <w:left w:val="nil"/>
              <w:bottom w:val="nil"/>
              <w:right w:val="nil"/>
            </w:tcBorders>
            <w:shd w:val="clear" w:color="auto" w:fill="auto"/>
            <w:noWrap/>
            <w:vAlign w:val="bottom"/>
            <w:hideMark/>
          </w:tcPr>
          <w:p w14:paraId="6582A8F9"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1.04,1.49</w:t>
            </w:r>
          </w:p>
        </w:tc>
        <w:tc>
          <w:tcPr>
            <w:tcW w:w="419" w:type="pct"/>
            <w:tcBorders>
              <w:top w:val="nil"/>
              <w:left w:val="single" w:sz="4" w:space="0" w:color="auto"/>
              <w:bottom w:val="nil"/>
              <w:right w:val="nil"/>
            </w:tcBorders>
            <w:shd w:val="clear" w:color="auto" w:fill="auto"/>
            <w:noWrap/>
            <w:vAlign w:val="bottom"/>
            <w:hideMark/>
          </w:tcPr>
          <w:p w14:paraId="60994FD1" w14:textId="3600EE4C"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1.58</w:t>
            </w:r>
          </w:p>
        </w:tc>
        <w:tc>
          <w:tcPr>
            <w:tcW w:w="338" w:type="pct"/>
            <w:tcBorders>
              <w:top w:val="nil"/>
              <w:left w:val="nil"/>
              <w:bottom w:val="nil"/>
              <w:right w:val="single" w:sz="4" w:space="0" w:color="auto"/>
            </w:tcBorders>
            <w:shd w:val="clear" w:color="auto" w:fill="auto"/>
            <w:noWrap/>
            <w:vAlign w:val="bottom"/>
            <w:hideMark/>
          </w:tcPr>
          <w:p w14:paraId="7497EC53"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1.29,1.93</w:t>
            </w:r>
          </w:p>
        </w:tc>
        <w:tc>
          <w:tcPr>
            <w:tcW w:w="419" w:type="pct"/>
            <w:tcBorders>
              <w:top w:val="nil"/>
              <w:left w:val="nil"/>
              <w:bottom w:val="nil"/>
              <w:right w:val="nil"/>
            </w:tcBorders>
            <w:shd w:val="clear" w:color="auto" w:fill="auto"/>
            <w:noWrap/>
            <w:vAlign w:val="bottom"/>
            <w:hideMark/>
          </w:tcPr>
          <w:p w14:paraId="03521F79" w14:textId="5CC2B279"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1.77</w:t>
            </w:r>
          </w:p>
        </w:tc>
        <w:tc>
          <w:tcPr>
            <w:tcW w:w="339" w:type="pct"/>
            <w:tcBorders>
              <w:top w:val="nil"/>
              <w:left w:val="nil"/>
              <w:bottom w:val="nil"/>
              <w:right w:val="single" w:sz="4" w:space="0" w:color="auto"/>
            </w:tcBorders>
            <w:shd w:val="clear" w:color="auto" w:fill="auto"/>
            <w:noWrap/>
            <w:vAlign w:val="bottom"/>
            <w:hideMark/>
          </w:tcPr>
          <w:p w14:paraId="008E070E"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1.39,2.25</w:t>
            </w:r>
          </w:p>
        </w:tc>
      </w:tr>
      <w:tr w:rsidR="00F4173A" w:rsidRPr="00F4173A" w14:paraId="609B5863" w14:textId="77777777" w:rsidTr="003F6EDF">
        <w:trPr>
          <w:trHeight w:val="288"/>
        </w:trPr>
        <w:tc>
          <w:tcPr>
            <w:tcW w:w="936" w:type="pct"/>
            <w:vMerge/>
            <w:tcBorders>
              <w:top w:val="nil"/>
              <w:left w:val="single" w:sz="4" w:space="0" w:color="auto"/>
              <w:bottom w:val="nil"/>
              <w:right w:val="single" w:sz="4" w:space="0" w:color="auto"/>
            </w:tcBorders>
            <w:vAlign w:val="center"/>
            <w:hideMark/>
          </w:tcPr>
          <w:p w14:paraId="2370CF64" w14:textId="77777777" w:rsidR="00F4173A" w:rsidRPr="00F4173A" w:rsidRDefault="00F4173A" w:rsidP="00F4173A">
            <w:pPr>
              <w:spacing w:before="0" w:after="0"/>
              <w:rPr>
                <w:rFonts w:eastAsia="Times New Roman" w:cs="Times New Roman"/>
                <w:b/>
                <w:bCs/>
                <w:color w:val="000000"/>
                <w:szCs w:val="22"/>
                <w:lang w:eastAsia="en-GB"/>
              </w:rPr>
            </w:pPr>
          </w:p>
        </w:tc>
        <w:tc>
          <w:tcPr>
            <w:tcW w:w="664" w:type="pct"/>
            <w:tcBorders>
              <w:top w:val="nil"/>
              <w:left w:val="nil"/>
              <w:bottom w:val="nil"/>
              <w:right w:val="single" w:sz="4" w:space="0" w:color="auto"/>
            </w:tcBorders>
            <w:shd w:val="clear" w:color="auto" w:fill="auto"/>
            <w:noWrap/>
            <w:vAlign w:val="center"/>
            <w:hideMark/>
          </w:tcPr>
          <w:p w14:paraId="39D0FD8E" w14:textId="77777777" w:rsidR="00F4173A" w:rsidRPr="00F4173A" w:rsidRDefault="00F4173A" w:rsidP="00F4173A">
            <w:pPr>
              <w:spacing w:before="0" w:after="0"/>
              <w:rPr>
                <w:rFonts w:eastAsia="Times New Roman" w:cs="Times New Roman"/>
                <w:i/>
                <w:iCs/>
                <w:color w:val="000000"/>
                <w:szCs w:val="22"/>
                <w:lang w:eastAsia="en-GB"/>
              </w:rPr>
            </w:pPr>
            <w:r w:rsidRPr="00F4173A">
              <w:rPr>
                <w:rFonts w:eastAsia="Times New Roman" w:cs="Times New Roman"/>
                <w:i/>
                <w:iCs/>
                <w:color w:val="000000"/>
                <w:szCs w:val="22"/>
                <w:lang w:eastAsia="en-GB"/>
              </w:rPr>
              <w:t>Avoidance</w:t>
            </w:r>
          </w:p>
        </w:tc>
        <w:tc>
          <w:tcPr>
            <w:tcW w:w="309" w:type="pct"/>
            <w:tcBorders>
              <w:top w:val="nil"/>
              <w:left w:val="nil"/>
              <w:bottom w:val="nil"/>
              <w:right w:val="nil"/>
            </w:tcBorders>
            <w:shd w:val="clear" w:color="auto" w:fill="auto"/>
            <w:noWrap/>
            <w:vAlign w:val="bottom"/>
            <w:hideMark/>
          </w:tcPr>
          <w:p w14:paraId="219BFC57"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406</w:t>
            </w:r>
          </w:p>
        </w:tc>
        <w:tc>
          <w:tcPr>
            <w:tcW w:w="255" w:type="pct"/>
            <w:tcBorders>
              <w:top w:val="nil"/>
              <w:left w:val="nil"/>
              <w:bottom w:val="nil"/>
              <w:right w:val="nil"/>
            </w:tcBorders>
            <w:shd w:val="clear" w:color="auto" w:fill="auto"/>
            <w:noWrap/>
            <w:vAlign w:val="bottom"/>
            <w:hideMark/>
          </w:tcPr>
          <w:p w14:paraId="782C6194"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9.1%</w:t>
            </w:r>
          </w:p>
        </w:tc>
        <w:tc>
          <w:tcPr>
            <w:tcW w:w="309" w:type="pct"/>
            <w:tcBorders>
              <w:top w:val="nil"/>
              <w:left w:val="single" w:sz="4" w:space="0" w:color="auto"/>
              <w:bottom w:val="nil"/>
              <w:right w:val="nil"/>
            </w:tcBorders>
            <w:shd w:val="clear" w:color="auto" w:fill="auto"/>
            <w:noWrap/>
            <w:vAlign w:val="bottom"/>
            <w:hideMark/>
          </w:tcPr>
          <w:p w14:paraId="59A87203"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231</w:t>
            </w:r>
          </w:p>
        </w:tc>
        <w:tc>
          <w:tcPr>
            <w:tcW w:w="255" w:type="pct"/>
            <w:tcBorders>
              <w:top w:val="nil"/>
              <w:left w:val="nil"/>
              <w:bottom w:val="nil"/>
              <w:right w:val="single" w:sz="4" w:space="0" w:color="auto"/>
            </w:tcBorders>
            <w:shd w:val="clear" w:color="auto" w:fill="auto"/>
            <w:noWrap/>
            <w:vAlign w:val="bottom"/>
            <w:hideMark/>
          </w:tcPr>
          <w:p w14:paraId="2E2AB1AF"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5.6%</w:t>
            </w:r>
          </w:p>
        </w:tc>
        <w:tc>
          <w:tcPr>
            <w:tcW w:w="419" w:type="pct"/>
            <w:tcBorders>
              <w:top w:val="nil"/>
              <w:left w:val="nil"/>
              <w:bottom w:val="nil"/>
              <w:right w:val="nil"/>
            </w:tcBorders>
            <w:shd w:val="clear" w:color="auto" w:fill="auto"/>
            <w:noWrap/>
            <w:vAlign w:val="bottom"/>
            <w:hideMark/>
          </w:tcPr>
          <w:p w14:paraId="36EF6330" w14:textId="3445B622"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1.74</w:t>
            </w:r>
          </w:p>
        </w:tc>
        <w:tc>
          <w:tcPr>
            <w:tcW w:w="338" w:type="pct"/>
            <w:tcBorders>
              <w:top w:val="nil"/>
              <w:left w:val="nil"/>
              <w:bottom w:val="nil"/>
              <w:right w:val="nil"/>
            </w:tcBorders>
            <w:shd w:val="clear" w:color="auto" w:fill="auto"/>
            <w:noWrap/>
            <w:vAlign w:val="bottom"/>
            <w:hideMark/>
          </w:tcPr>
          <w:p w14:paraId="18BCEF66"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1.42,2.15</w:t>
            </w:r>
          </w:p>
        </w:tc>
        <w:tc>
          <w:tcPr>
            <w:tcW w:w="419" w:type="pct"/>
            <w:tcBorders>
              <w:top w:val="nil"/>
              <w:left w:val="single" w:sz="4" w:space="0" w:color="auto"/>
              <w:bottom w:val="nil"/>
              <w:right w:val="nil"/>
            </w:tcBorders>
            <w:shd w:val="clear" w:color="auto" w:fill="auto"/>
            <w:noWrap/>
            <w:vAlign w:val="bottom"/>
            <w:hideMark/>
          </w:tcPr>
          <w:p w14:paraId="2338D00F" w14:textId="7168F896"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2.32</w:t>
            </w:r>
          </w:p>
        </w:tc>
        <w:tc>
          <w:tcPr>
            <w:tcW w:w="338" w:type="pct"/>
            <w:tcBorders>
              <w:top w:val="nil"/>
              <w:left w:val="nil"/>
              <w:bottom w:val="nil"/>
              <w:right w:val="single" w:sz="4" w:space="0" w:color="auto"/>
            </w:tcBorders>
            <w:shd w:val="clear" w:color="auto" w:fill="auto"/>
            <w:noWrap/>
            <w:vAlign w:val="bottom"/>
            <w:hideMark/>
          </w:tcPr>
          <w:p w14:paraId="5592852C"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1.82,2.96</w:t>
            </w:r>
          </w:p>
        </w:tc>
        <w:tc>
          <w:tcPr>
            <w:tcW w:w="419" w:type="pct"/>
            <w:tcBorders>
              <w:top w:val="nil"/>
              <w:left w:val="nil"/>
              <w:bottom w:val="nil"/>
              <w:right w:val="nil"/>
            </w:tcBorders>
            <w:shd w:val="clear" w:color="auto" w:fill="auto"/>
            <w:noWrap/>
            <w:vAlign w:val="bottom"/>
            <w:hideMark/>
          </w:tcPr>
          <w:p w14:paraId="710BCBE3" w14:textId="63158235"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2.69</w:t>
            </w:r>
          </w:p>
        </w:tc>
        <w:tc>
          <w:tcPr>
            <w:tcW w:w="339" w:type="pct"/>
            <w:tcBorders>
              <w:top w:val="nil"/>
              <w:left w:val="nil"/>
              <w:bottom w:val="nil"/>
              <w:right w:val="single" w:sz="4" w:space="0" w:color="auto"/>
            </w:tcBorders>
            <w:shd w:val="clear" w:color="auto" w:fill="auto"/>
            <w:noWrap/>
            <w:vAlign w:val="bottom"/>
            <w:hideMark/>
          </w:tcPr>
          <w:p w14:paraId="6C99BAAC"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2.01,3.60</w:t>
            </w:r>
          </w:p>
        </w:tc>
      </w:tr>
      <w:tr w:rsidR="00F4173A" w:rsidRPr="00F4173A" w14:paraId="22B8C59F" w14:textId="77777777" w:rsidTr="003F6EDF">
        <w:trPr>
          <w:trHeight w:val="288"/>
        </w:trPr>
        <w:tc>
          <w:tcPr>
            <w:tcW w:w="936" w:type="pct"/>
            <w:vMerge/>
            <w:tcBorders>
              <w:top w:val="nil"/>
              <w:left w:val="single" w:sz="4" w:space="0" w:color="auto"/>
              <w:bottom w:val="nil"/>
              <w:right w:val="single" w:sz="4" w:space="0" w:color="auto"/>
            </w:tcBorders>
            <w:vAlign w:val="center"/>
            <w:hideMark/>
          </w:tcPr>
          <w:p w14:paraId="429AAA34" w14:textId="77777777" w:rsidR="00F4173A" w:rsidRPr="00F4173A" w:rsidRDefault="00F4173A" w:rsidP="00F4173A">
            <w:pPr>
              <w:spacing w:before="0" w:after="0"/>
              <w:rPr>
                <w:rFonts w:eastAsia="Times New Roman" w:cs="Times New Roman"/>
                <w:b/>
                <w:bCs/>
                <w:color w:val="000000"/>
                <w:szCs w:val="22"/>
                <w:lang w:eastAsia="en-GB"/>
              </w:rPr>
            </w:pPr>
          </w:p>
        </w:tc>
        <w:tc>
          <w:tcPr>
            <w:tcW w:w="664" w:type="pct"/>
            <w:tcBorders>
              <w:top w:val="nil"/>
              <w:left w:val="nil"/>
              <w:bottom w:val="nil"/>
              <w:right w:val="single" w:sz="4" w:space="0" w:color="auto"/>
            </w:tcBorders>
            <w:shd w:val="clear" w:color="auto" w:fill="auto"/>
            <w:noWrap/>
            <w:vAlign w:val="center"/>
            <w:hideMark/>
          </w:tcPr>
          <w:p w14:paraId="4280575F" w14:textId="77777777" w:rsidR="00F4173A" w:rsidRPr="00F4173A" w:rsidRDefault="00F4173A" w:rsidP="00F4173A">
            <w:pPr>
              <w:spacing w:before="0" w:after="0"/>
              <w:rPr>
                <w:rFonts w:eastAsia="Times New Roman" w:cs="Times New Roman"/>
                <w:i/>
                <w:iCs/>
                <w:color w:val="000000"/>
                <w:szCs w:val="22"/>
                <w:lang w:eastAsia="en-GB"/>
              </w:rPr>
            </w:pPr>
            <w:r w:rsidRPr="00F4173A">
              <w:rPr>
                <w:rFonts w:eastAsia="Times New Roman" w:cs="Times New Roman"/>
                <w:i/>
                <w:iCs/>
                <w:color w:val="000000"/>
                <w:szCs w:val="22"/>
                <w:lang w:eastAsia="en-GB"/>
              </w:rPr>
              <w:t>Hyperarousal</w:t>
            </w:r>
          </w:p>
        </w:tc>
        <w:tc>
          <w:tcPr>
            <w:tcW w:w="309" w:type="pct"/>
            <w:tcBorders>
              <w:top w:val="nil"/>
              <w:left w:val="nil"/>
              <w:bottom w:val="nil"/>
              <w:right w:val="nil"/>
            </w:tcBorders>
            <w:shd w:val="clear" w:color="auto" w:fill="auto"/>
            <w:noWrap/>
            <w:vAlign w:val="bottom"/>
            <w:hideMark/>
          </w:tcPr>
          <w:p w14:paraId="50A4A01E"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544</w:t>
            </w:r>
          </w:p>
        </w:tc>
        <w:tc>
          <w:tcPr>
            <w:tcW w:w="255" w:type="pct"/>
            <w:tcBorders>
              <w:top w:val="nil"/>
              <w:left w:val="nil"/>
              <w:bottom w:val="nil"/>
              <w:right w:val="nil"/>
            </w:tcBorders>
            <w:shd w:val="clear" w:color="auto" w:fill="auto"/>
            <w:noWrap/>
            <w:vAlign w:val="bottom"/>
            <w:hideMark/>
          </w:tcPr>
          <w:p w14:paraId="569F791C"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12.5%</w:t>
            </w:r>
          </w:p>
        </w:tc>
        <w:tc>
          <w:tcPr>
            <w:tcW w:w="309" w:type="pct"/>
            <w:tcBorders>
              <w:top w:val="nil"/>
              <w:left w:val="single" w:sz="4" w:space="0" w:color="auto"/>
              <w:bottom w:val="nil"/>
              <w:right w:val="nil"/>
            </w:tcBorders>
            <w:shd w:val="clear" w:color="auto" w:fill="auto"/>
            <w:noWrap/>
            <w:vAlign w:val="bottom"/>
            <w:hideMark/>
          </w:tcPr>
          <w:p w14:paraId="3EF61BB0"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373</w:t>
            </w:r>
          </w:p>
        </w:tc>
        <w:tc>
          <w:tcPr>
            <w:tcW w:w="255" w:type="pct"/>
            <w:tcBorders>
              <w:top w:val="nil"/>
              <w:left w:val="nil"/>
              <w:bottom w:val="nil"/>
              <w:right w:val="single" w:sz="4" w:space="0" w:color="auto"/>
            </w:tcBorders>
            <w:shd w:val="clear" w:color="auto" w:fill="auto"/>
            <w:noWrap/>
            <w:vAlign w:val="bottom"/>
            <w:hideMark/>
          </w:tcPr>
          <w:p w14:paraId="0290F3BA"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9.3%</w:t>
            </w:r>
          </w:p>
        </w:tc>
        <w:tc>
          <w:tcPr>
            <w:tcW w:w="419" w:type="pct"/>
            <w:tcBorders>
              <w:top w:val="nil"/>
              <w:left w:val="nil"/>
              <w:bottom w:val="single" w:sz="4" w:space="0" w:color="auto"/>
              <w:right w:val="nil"/>
            </w:tcBorders>
            <w:shd w:val="clear" w:color="auto" w:fill="auto"/>
            <w:noWrap/>
            <w:vAlign w:val="bottom"/>
            <w:hideMark/>
          </w:tcPr>
          <w:p w14:paraId="0DE2D04F" w14:textId="4B3124DD"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1.44</w:t>
            </w:r>
          </w:p>
        </w:tc>
        <w:tc>
          <w:tcPr>
            <w:tcW w:w="338" w:type="pct"/>
            <w:tcBorders>
              <w:top w:val="nil"/>
              <w:left w:val="nil"/>
              <w:bottom w:val="single" w:sz="4" w:space="0" w:color="auto"/>
              <w:right w:val="nil"/>
            </w:tcBorders>
            <w:shd w:val="clear" w:color="auto" w:fill="auto"/>
            <w:noWrap/>
            <w:vAlign w:val="bottom"/>
            <w:hideMark/>
          </w:tcPr>
          <w:p w14:paraId="515E20D8"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1.21,1.73</w:t>
            </w:r>
          </w:p>
        </w:tc>
        <w:tc>
          <w:tcPr>
            <w:tcW w:w="419" w:type="pct"/>
            <w:tcBorders>
              <w:top w:val="nil"/>
              <w:left w:val="single" w:sz="4" w:space="0" w:color="auto"/>
              <w:bottom w:val="single" w:sz="4" w:space="0" w:color="auto"/>
              <w:right w:val="nil"/>
            </w:tcBorders>
            <w:shd w:val="clear" w:color="auto" w:fill="auto"/>
            <w:noWrap/>
            <w:vAlign w:val="bottom"/>
            <w:hideMark/>
          </w:tcPr>
          <w:p w14:paraId="231EED84" w14:textId="3760048F"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1.86</w:t>
            </w:r>
          </w:p>
        </w:tc>
        <w:tc>
          <w:tcPr>
            <w:tcW w:w="338" w:type="pct"/>
            <w:tcBorders>
              <w:top w:val="nil"/>
              <w:left w:val="nil"/>
              <w:bottom w:val="single" w:sz="4" w:space="0" w:color="auto"/>
              <w:right w:val="single" w:sz="4" w:space="0" w:color="auto"/>
            </w:tcBorders>
            <w:shd w:val="clear" w:color="auto" w:fill="auto"/>
            <w:noWrap/>
            <w:vAlign w:val="bottom"/>
            <w:hideMark/>
          </w:tcPr>
          <w:p w14:paraId="748A9BC5"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1.52,2.28</w:t>
            </w:r>
          </w:p>
        </w:tc>
        <w:tc>
          <w:tcPr>
            <w:tcW w:w="419" w:type="pct"/>
            <w:tcBorders>
              <w:top w:val="nil"/>
              <w:left w:val="nil"/>
              <w:bottom w:val="single" w:sz="4" w:space="0" w:color="auto"/>
              <w:right w:val="nil"/>
            </w:tcBorders>
            <w:shd w:val="clear" w:color="auto" w:fill="auto"/>
            <w:noWrap/>
            <w:vAlign w:val="bottom"/>
            <w:hideMark/>
          </w:tcPr>
          <w:p w14:paraId="0486C4F6" w14:textId="799BA65B"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2.20</w:t>
            </w:r>
          </w:p>
        </w:tc>
        <w:tc>
          <w:tcPr>
            <w:tcW w:w="339" w:type="pct"/>
            <w:tcBorders>
              <w:top w:val="nil"/>
              <w:left w:val="nil"/>
              <w:bottom w:val="single" w:sz="4" w:space="0" w:color="auto"/>
              <w:right w:val="single" w:sz="4" w:space="0" w:color="auto"/>
            </w:tcBorders>
            <w:shd w:val="clear" w:color="auto" w:fill="auto"/>
            <w:noWrap/>
            <w:vAlign w:val="bottom"/>
            <w:hideMark/>
          </w:tcPr>
          <w:p w14:paraId="413ED687"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1.74,2.79</w:t>
            </w:r>
          </w:p>
        </w:tc>
      </w:tr>
      <w:tr w:rsidR="00F4173A" w:rsidRPr="00F4173A" w14:paraId="30582386" w14:textId="77777777" w:rsidTr="003F6EDF">
        <w:trPr>
          <w:trHeight w:val="288"/>
        </w:trPr>
        <w:tc>
          <w:tcPr>
            <w:tcW w:w="936" w:type="pct"/>
            <w:vMerge w:val="restart"/>
            <w:tcBorders>
              <w:top w:val="single" w:sz="4" w:space="0" w:color="auto"/>
              <w:left w:val="single" w:sz="4" w:space="0" w:color="auto"/>
              <w:bottom w:val="nil"/>
              <w:right w:val="single" w:sz="4" w:space="0" w:color="auto"/>
            </w:tcBorders>
            <w:shd w:val="clear" w:color="auto" w:fill="auto"/>
            <w:vAlign w:val="center"/>
            <w:hideMark/>
          </w:tcPr>
          <w:p w14:paraId="258230AB" w14:textId="4FCE5571" w:rsidR="00F4173A" w:rsidRPr="00F4173A" w:rsidRDefault="00F4173A" w:rsidP="00F4173A">
            <w:pPr>
              <w:spacing w:before="0" w:after="0"/>
              <w:jc w:val="center"/>
              <w:rPr>
                <w:rFonts w:eastAsia="Times New Roman" w:cs="Times New Roman"/>
                <w:b/>
                <w:bCs/>
                <w:color w:val="000000"/>
                <w:szCs w:val="22"/>
                <w:lang w:eastAsia="en-GB"/>
              </w:rPr>
            </w:pPr>
            <w:r w:rsidRPr="00F4173A">
              <w:rPr>
                <w:rFonts w:eastAsia="Times New Roman" w:cs="Times New Roman"/>
                <w:b/>
                <w:bCs/>
                <w:color w:val="000000"/>
                <w:szCs w:val="22"/>
                <w:lang w:eastAsia="en-GB"/>
              </w:rPr>
              <w:t xml:space="preserve">AUDIT </w:t>
            </w:r>
            <w:r w:rsidR="004D3A09">
              <w:rPr>
                <w:rFonts w:eastAsia="Times New Roman" w:cs="Times New Roman"/>
                <w:b/>
                <w:bCs/>
                <w:color w:val="000000"/>
                <w:szCs w:val="22"/>
                <w:lang w:eastAsia="en-GB"/>
              </w:rPr>
              <w:t>domains</w:t>
            </w:r>
          </w:p>
        </w:tc>
        <w:tc>
          <w:tcPr>
            <w:tcW w:w="664" w:type="pct"/>
            <w:tcBorders>
              <w:top w:val="single" w:sz="4" w:space="0" w:color="auto"/>
              <w:left w:val="nil"/>
              <w:bottom w:val="nil"/>
              <w:right w:val="single" w:sz="4" w:space="0" w:color="auto"/>
            </w:tcBorders>
            <w:shd w:val="clear" w:color="auto" w:fill="auto"/>
            <w:noWrap/>
            <w:vAlign w:val="center"/>
            <w:hideMark/>
          </w:tcPr>
          <w:p w14:paraId="0E91C3AD" w14:textId="77777777" w:rsidR="00F4173A" w:rsidRPr="00F4173A" w:rsidRDefault="00F4173A" w:rsidP="00F4173A">
            <w:pPr>
              <w:spacing w:before="0" w:after="0"/>
              <w:rPr>
                <w:rFonts w:eastAsia="Times New Roman" w:cs="Times New Roman"/>
                <w:i/>
                <w:iCs/>
                <w:color w:val="000000"/>
                <w:szCs w:val="22"/>
                <w:lang w:eastAsia="en-GB"/>
              </w:rPr>
            </w:pPr>
            <w:r w:rsidRPr="00F4173A">
              <w:rPr>
                <w:rFonts w:eastAsia="Times New Roman" w:cs="Times New Roman"/>
                <w:i/>
                <w:iCs/>
                <w:color w:val="000000"/>
                <w:szCs w:val="22"/>
                <w:lang w:eastAsia="en-GB"/>
              </w:rPr>
              <w:t>Hazardous</w:t>
            </w:r>
          </w:p>
        </w:tc>
        <w:tc>
          <w:tcPr>
            <w:tcW w:w="309" w:type="pct"/>
            <w:tcBorders>
              <w:top w:val="single" w:sz="4" w:space="0" w:color="auto"/>
              <w:left w:val="nil"/>
              <w:bottom w:val="nil"/>
              <w:right w:val="nil"/>
            </w:tcBorders>
            <w:shd w:val="clear" w:color="auto" w:fill="auto"/>
            <w:noWrap/>
            <w:vAlign w:val="bottom"/>
            <w:hideMark/>
          </w:tcPr>
          <w:p w14:paraId="090C7621"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2,323</w:t>
            </w:r>
          </w:p>
        </w:tc>
        <w:tc>
          <w:tcPr>
            <w:tcW w:w="255" w:type="pct"/>
            <w:tcBorders>
              <w:top w:val="single" w:sz="4" w:space="0" w:color="auto"/>
              <w:left w:val="nil"/>
              <w:bottom w:val="nil"/>
              <w:right w:val="nil"/>
            </w:tcBorders>
            <w:shd w:val="clear" w:color="auto" w:fill="auto"/>
            <w:noWrap/>
            <w:vAlign w:val="bottom"/>
            <w:hideMark/>
          </w:tcPr>
          <w:p w14:paraId="3E1C7EE5"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51.2%</w:t>
            </w:r>
          </w:p>
        </w:tc>
        <w:tc>
          <w:tcPr>
            <w:tcW w:w="309" w:type="pct"/>
            <w:tcBorders>
              <w:top w:val="single" w:sz="4" w:space="0" w:color="auto"/>
              <w:left w:val="single" w:sz="4" w:space="0" w:color="auto"/>
              <w:bottom w:val="nil"/>
              <w:right w:val="nil"/>
            </w:tcBorders>
            <w:shd w:val="clear" w:color="auto" w:fill="auto"/>
            <w:noWrap/>
            <w:vAlign w:val="bottom"/>
            <w:hideMark/>
          </w:tcPr>
          <w:p w14:paraId="663CE5CA"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1,340</w:t>
            </w:r>
          </w:p>
        </w:tc>
        <w:tc>
          <w:tcPr>
            <w:tcW w:w="255" w:type="pct"/>
            <w:tcBorders>
              <w:top w:val="single" w:sz="4" w:space="0" w:color="auto"/>
              <w:left w:val="nil"/>
              <w:bottom w:val="nil"/>
              <w:right w:val="single" w:sz="4" w:space="0" w:color="auto"/>
            </w:tcBorders>
            <w:shd w:val="clear" w:color="auto" w:fill="auto"/>
            <w:noWrap/>
            <w:vAlign w:val="bottom"/>
            <w:hideMark/>
          </w:tcPr>
          <w:p w14:paraId="494864FA"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36.1%</w:t>
            </w:r>
          </w:p>
        </w:tc>
        <w:tc>
          <w:tcPr>
            <w:tcW w:w="419" w:type="pct"/>
            <w:tcBorders>
              <w:top w:val="nil"/>
              <w:left w:val="nil"/>
              <w:bottom w:val="nil"/>
              <w:right w:val="nil"/>
            </w:tcBorders>
            <w:shd w:val="clear" w:color="auto" w:fill="auto"/>
            <w:noWrap/>
            <w:vAlign w:val="bottom"/>
            <w:hideMark/>
          </w:tcPr>
          <w:p w14:paraId="7956A88D" w14:textId="6349EB0A"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4.03</w:t>
            </w:r>
          </w:p>
        </w:tc>
        <w:tc>
          <w:tcPr>
            <w:tcW w:w="338" w:type="pct"/>
            <w:tcBorders>
              <w:top w:val="nil"/>
              <w:left w:val="nil"/>
              <w:bottom w:val="nil"/>
              <w:right w:val="nil"/>
            </w:tcBorders>
            <w:shd w:val="clear" w:color="auto" w:fill="auto"/>
            <w:noWrap/>
            <w:vAlign w:val="bottom"/>
            <w:hideMark/>
          </w:tcPr>
          <w:p w14:paraId="0C8D3258"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3.23,5.03</w:t>
            </w:r>
          </w:p>
        </w:tc>
        <w:tc>
          <w:tcPr>
            <w:tcW w:w="419" w:type="pct"/>
            <w:tcBorders>
              <w:top w:val="nil"/>
              <w:left w:val="single" w:sz="4" w:space="0" w:color="auto"/>
              <w:bottom w:val="nil"/>
              <w:right w:val="nil"/>
            </w:tcBorders>
            <w:shd w:val="clear" w:color="auto" w:fill="auto"/>
            <w:noWrap/>
            <w:vAlign w:val="bottom"/>
            <w:hideMark/>
          </w:tcPr>
          <w:p w14:paraId="1FD11D08" w14:textId="25CAD3BF"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4.24</w:t>
            </w:r>
          </w:p>
        </w:tc>
        <w:tc>
          <w:tcPr>
            <w:tcW w:w="338" w:type="pct"/>
            <w:tcBorders>
              <w:top w:val="nil"/>
              <w:left w:val="nil"/>
              <w:bottom w:val="nil"/>
              <w:right w:val="single" w:sz="4" w:space="0" w:color="auto"/>
            </w:tcBorders>
            <w:shd w:val="clear" w:color="auto" w:fill="auto"/>
            <w:noWrap/>
            <w:vAlign w:val="bottom"/>
            <w:hideMark/>
          </w:tcPr>
          <w:p w14:paraId="34538530"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3.34,5.37</w:t>
            </w:r>
          </w:p>
        </w:tc>
        <w:tc>
          <w:tcPr>
            <w:tcW w:w="419" w:type="pct"/>
            <w:tcBorders>
              <w:top w:val="nil"/>
              <w:left w:val="nil"/>
              <w:bottom w:val="nil"/>
              <w:right w:val="nil"/>
            </w:tcBorders>
            <w:shd w:val="clear" w:color="auto" w:fill="auto"/>
            <w:noWrap/>
            <w:vAlign w:val="bottom"/>
            <w:hideMark/>
          </w:tcPr>
          <w:p w14:paraId="03294EA5" w14:textId="712A1C8D"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5.00</w:t>
            </w:r>
          </w:p>
        </w:tc>
        <w:tc>
          <w:tcPr>
            <w:tcW w:w="339" w:type="pct"/>
            <w:tcBorders>
              <w:top w:val="nil"/>
              <w:left w:val="nil"/>
              <w:bottom w:val="nil"/>
              <w:right w:val="single" w:sz="4" w:space="0" w:color="auto"/>
            </w:tcBorders>
            <w:shd w:val="clear" w:color="auto" w:fill="auto"/>
            <w:noWrap/>
            <w:vAlign w:val="bottom"/>
            <w:hideMark/>
          </w:tcPr>
          <w:p w14:paraId="62BAB900"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3.70,6.75</w:t>
            </w:r>
          </w:p>
        </w:tc>
      </w:tr>
      <w:tr w:rsidR="00F4173A" w:rsidRPr="00F4173A" w14:paraId="3E45524E" w14:textId="77777777" w:rsidTr="003F6EDF">
        <w:trPr>
          <w:trHeight w:val="288"/>
        </w:trPr>
        <w:tc>
          <w:tcPr>
            <w:tcW w:w="936" w:type="pct"/>
            <w:vMerge/>
            <w:tcBorders>
              <w:top w:val="single" w:sz="4" w:space="0" w:color="auto"/>
              <w:left w:val="single" w:sz="4" w:space="0" w:color="auto"/>
              <w:bottom w:val="nil"/>
              <w:right w:val="single" w:sz="4" w:space="0" w:color="auto"/>
            </w:tcBorders>
            <w:vAlign w:val="center"/>
            <w:hideMark/>
          </w:tcPr>
          <w:p w14:paraId="40579316" w14:textId="77777777" w:rsidR="00F4173A" w:rsidRPr="00F4173A" w:rsidRDefault="00F4173A" w:rsidP="00F4173A">
            <w:pPr>
              <w:spacing w:before="0" w:after="0"/>
              <w:rPr>
                <w:rFonts w:eastAsia="Times New Roman" w:cs="Times New Roman"/>
                <w:b/>
                <w:bCs/>
                <w:color w:val="000000"/>
                <w:szCs w:val="22"/>
                <w:lang w:eastAsia="en-GB"/>
              </w:rPr>
            </w:pPr>
          </w:p>
        </w:tc>
        <w:tc>
          <w:tcPr>
            <w:tcW w:w="664" w:type="pct"/>
            <w:tcBorders>
              <w:top w:val="nil"/>
              <w:left w:val="nil"/>
              <w:bottom w:val="nil"/>
              <w:right w:val="single" w:sz="4" w:space="0" w:color="auto"/>
            </w:tcBorders>
            <w:shd w:val="clear" w:color="auto" w:fill="auto"/>
            <w:noWrap/>
            <w:vAlign w:val="center"/>
            <w:hideMark/>
          </w:tcPr>
          <w:p w14:paraId="7AB290CD" w14:textId="77777777" w:rsidR="00F4173A" w:rsidRPr="00F4173A" w:rsidRDefault="00F4173A" w:rsidP="00F4173A">
            <w:pPr>
              <w:spacing w:before="0" w:after="0"/>
              <w:rPr>
                <w:rFonts w:eastAsia="Times New Roman" w:cs="Times New Roman"/>
                <w:i/>
                <w:iCs/>
                <w:color w:val="000000"/>
                <w:szCs w:val="22"/>
                <w:lang w:eastAsia="en-GB"/>
              </w:rPr>
            </w:pPr>
            <w:r w:rsidRPr="00F4173A">
              <w:rPr>
                <w:rFonts w:eastAsia="Times New Roman" w:cs="Times New Roman"/>
                <w:i/>
                <w:iCs/>
                <w:color w:val="000000"/>
                <w:szCs w:val="22"/>
                <w:lang w:eastAsia="en-GB"/>
              </w:rPr>
              <w:t>Present Harm</w:t>
            </w:r>
          </w:p>
        </w:tc>
        <w:tc>
          <w:tcPr>
            <w:tcW w:w="309" w:type="pct"/>
            <w:tcBorders>
              <w:top w:val="nil"/>
              <w:left w:val="nil"/>
              <w:bottom w:val="nil"/>
              <w:right w:val="nil"/>
            </w:tcBorders>
            <w:shd w:val="clear" w:color="auto" w:fill="auto"/>
            <w:noWrap/>
            <w:vAlign w:val="bottom"/>
            <w:hideMark/>
          </w:tcPr>
          <w:p w14:paraId="2F69F233"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1,107</w:t>
            </w:r>
          </w:p>
        </w:tc>
        <w:tc>
          <w:tcPr>
            <w:tcW w:w="255" w:type="pct"/>
            <w:tcBorders>
              <w:top w:val="nil"/>
              <w:left w:val="nil"/>
              <w:bottom w:val="nil"/>
              <w:right w:val="nil"/>
            </w:tcBorders>
            <w:shd w:val="clear" w:color="auto" w:fill="auto"/>
            <w:noWrap/>
            <w:vAlign w:val="bottom"/>
            <w:hideMark/>
          </w:tcPr>
          <w:p w14:paraId="0E7D4D65"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30.1%</w:t>
            </w:r>
          </w:p>
        </w:tc>
        <w:tc>
          <w:tcPr>
            <w:tcW w:w="309" w:type="pct"/>
            <w:tcBorders>
              <w:top w:val="nil"/>
              <w:left w:val="single" w:sz="4" w:space="0" w:color="auto"/>
              <w:bottom w:val="nil"/>
              <w:right w:val="nil"/>
            </w:tcBorders>
            <w:shd w:val="clear" w:color="auto" w:fill="auto"/>
            <w:noWrap/>
            <w:vAlign w:val="bottom"/>
            <w:hideMark/>
          </w:tcPr>
          <w:p w14:paraId="780EDE60"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686</w:t>
            </w:r>
          </w:p>
        </w:tc>
        <w:tc>
          <w:tcPr>
            <w:tcW w:w="255" w:type="pct"/>
            <w:tcBorders>
              <w:top w:val="nil"/>
              <w:left w:val="nil"/>
              <w:bottom w:val="nil"/>
              <w:right w:val="single" w:sz="4" w:space="0" w:color="auto"/>
            </w:tcBorders>
            <w:shd w:val="clear" w:color="auto" w:fill="auto"/>
            <w:noWrap/>
            <w:vAlign w:val="bottom"/>
            <w:hideMark/>
          </w:tcPr>
          <w:p w14:paraId="6D75FC0A"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21.5%</w:t>
            </w:r>
          </w:p>
        </w:tc>
        <w:tc>
          <w:tcPr>
            <w:tcW w:w="419" w:type="pct"/>
            <w:tcBorders>
              <w:top w:val="nil"/>
              <w:left w:val="nil"/>
              <w:bottom w:val="nil"/>
              <w:right w:val="nil"/>
            </w:tcBorders>
            <w:shd w:val="clear" w:color="auto" w:fill="auto"/>
            <w:noWrap/>
            <w:vAlign w:val="bottom"/>
            <w:hideMark/>
          </w:tcPr>
          <w:p w14:paraId="6252EC83" w14:textId="77964913"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1.44</w:t>
            </w:r>
          </w:p>
        </w:tc>
        <w:tc>
          <w:tcPr>
            <w:tcW w:w="338" w:type="pct"/>
            <w:tcBorders>
              <w:top w:val="nil"/>
              <w:left w:val="nil"/>
              <w:bottom w:val="nil"/>
              <w:right w:val="nil"/>
            </w:tcBorders>
            <w:shd w:val="clear" w:color="auto" w:fill="auto"/>
            <w:noWrap/>
            <w:vAlign w:val="bottom"/>
            <w:hideMark/>
          </w:tcPr>
          <w:p w14:paraId="2248588D"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1.21,1.73</w:t>
            </w:r>
          </w:p>
        </w:tc>
        <w:tc>
          <w:tcPr>
            <w:tcW w:w="419" w:type="pct"/>
            <w:tcBorders>
              <w:top w:val="nil"/>
              <w:left w:val="single" w:sz="4" w:space="0" w:color="auto"/>
              <w:bottom w:val="nil"/>
              <w:right w:val="nil"/>
            </w:tcBorders>
            <w:shd w:val="clear" w:color="auto" w:fill="auto"/>
            <w:noWrap/>
            <w:vAlign w:val="bottom"/>
            <w:hideMark/>
          </w:tcPr>
          <w:p w14:paraId="4C79CF78" w14:textId="5B7E67D8"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1.86</w:t>
            </w:r>
          </w:p>
        </w:tc>
        <w:tc>
          <w:tcPr>
            <w:tcW w:w="338" w:type="pct"/>
            <w:tcBorders>
              <w:top w:val="nil"/>
              <w:left w:val="nil"/>
              <w:bottom w:val="nil"/>
              <w:right w:val="single" w:sz="4" w:space="0" w:color="auto"/>
            </w:tcBorders>
            <w:shd w:val="clear" w:color="auto" w:fill="auto"/>
            <w:noWrap/>
            <w:vAlign w:val="bottom"/>
            <w:hideMark/>
          </w:tcPr>
          <w:p w14:paraId="78191BE9"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1.52,2.28</w:t>
            </w:r>
          </w:p>
        </w:tc>
        <w:tc>
          <w:tcPr>
            <w:tcW w:w="419" w:type="pct"/>
            <w:tcBorders>
              <w:top w:val="nil"/>
              <w:left w:val="nil"/>
              <w:bottom w:val="nil"/>
              <w:right w:val="nil"/>
            </w:tcBorders>
            <w:shd w:val="clear" w:color="auto" w:fill="auto"/>
            <w:noWrap/>
            <w:vAlign w:val="bottom"/>
            <w:hideMark/>
          </w:tcPr>
          <w:p w14:paraId="7650BA5E" w14:textId="1B62B2BF"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2.20</w:t>
            </w:r>
          </w:p>
        </w:tc>
        <w:tc>
          <w:tcPr>
            <w:tcW w:w="339" w:type="pct"/>
            <w:tcBorders>
              <w:top w:val="nil"/>
              <w:left w:val="nil"/>
              <w:bottom w:val="nil"/>
              <w:right w:val="single" w:sz="4" w:space="0" w:color="auto"/>
            </w:tcBorders>
            <w:shd w:val="clear" w:color="auto" w:fill="auto"/>
            <w:noWrap/>
            <w:vAlign w:val="bottom"/>
            <w:hideMark/>
          </w:tcPr>
          <w:p w14:paraId="120AAAC0"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1.74,2.79</w:t>
            </w:r>
          </w:p>
        </w:tc>
      </w:tr>
      <w:tr w:rsidR="00F4173A" w:rsidRPr="00F4173A" w14:paraId="7B1D5481" w14:textId="77777777" w:rsidTr="003F6EDF">
        <w:trPr>
          <w:trHeight w:val="288"/>
        </w:trPr>
        <w:tc>
          <w:tcPr>
            <w:tcW w:w="936" w:type="pct"/>
            <w:vMerge/>
            <w:tcBorders>
              <w:top w:val="single" w:sz="4" w:space="0" w:color="auto"/>
              <w:left w:val="single" w:sz="4" w:space="0" w:color="auto"/>
              <w:bottom w:val="nil"/>
              <w:right w:val="single" w:sz="4" w:space="0" w:color="auto"/>
            </w:tcBorders>
            <w:vAlign w:val="center"/>
            <w:hideMark/>
          </w:tcPr>
          <w:p w14:paraId="047349EA" w14:textId="77777777" w:rsidR="00F4173A" w:rsidRPr="00F4173A" w:rsidRDefault="00F4173A" w:rsidP="00F4173A">
            <w:pPr>
              <w:spacing w:before="0" w:after="0"/>
              <w:rPr>
                <w:rFonts w:eastAsia="Times New Roman" w:cs="Times New Roman"/>
                <w:b/>
                <w:bCs/>
                <w:color w:val="000000"/>
                <w:szCs w:val="22"/>
                <w:lang w:eastAsia="en-GB"/>
              </w:rPr>
            </w:pPr>
          </w:p>
        </w:tc>
        <w:tc>
          <w:tcPr>
            <w:tcW w:w="664" w:type="pct"/>
            <w:tcBorders>
              <w:top w:val="nil"/>
              <w:left w:val="nil"/>
              <w:bottom w:val="nil"/>
              <w:right w:val="single" w:sz="4" w:space="0" w:color="auto"/>
            </w:tcBorders>
            <w:shd w:val="clear" w:color="auto" w:fill="auto"/>
            <w:noWrap/>
            <w:vAlign w:val="center"/>
            <w:hideMark/>
          </w:tcPr>
          <w:p w14:paraId="55E745BC" w14:textId="77777777" w:rsidR="00F4173A" w:rsidRPr="00F4173A" w:rsidRDefault="00F4173A" w:rsidP="00F4173A">
            <w:pPr>
              <w:spacing w:before="0" w:after="0"/>
              <w:rPr>
                <w:rFonts w:eastAsia="Times New Roman" w:cs="Times New Roman"/>
                <w:i/>
                <w:iCs/>
                <w:color w:val="000000"/>
                <w:szCs w:val="22"/>
                <w:lang w:eastAsia="en-GB"/>
              </w:rPr>
            </w:pPr>
            <w:r w:rsidRPr="00F4173A">
              <w:rPr>
                <w:rFonts w:eastAsia="Times New Roman" w:cs="Times New Roman"/>
                <w:i/>
                <w:iCs/>
                <w:color w:val="000000"/>
                <w:szCs w:val="22"/>
                <w:lang w:eastAsia="en-GB"/>
              </w:rPr>
              <w:t>Alcohol Dependence</w:t>
            </w:r>
          </w:p>
        </w:tc>
        <w:tc>
          <w:tcPr>
            <w:tcW w:w="309" w:type="pct"/>
            <w:tcBorders>
              <w:top w:val="nil"/>
              <w:left w:val="nil"/>
              <w:bottom w:val="nil"/>
              <w:right w:val="nil"/>
            </w:tcBorders>
            <w:shd w:val="clear" w:color="auto" w:fill="auto"/>
            <w:noWrap/>
            <w:vAlign w:val="bottom"/>
            <w:hideMark/>
          </w:tcPr>
          <w:p w14:paraId="246B3230"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614</w:t>
            </w:r>
          </w:p>
        </w:tc>
        <w:tc>
          <w:tcPr>
            <w:tcW w:w="255" w:type="pct"/>
            <w:tcBorders>
              <w:top w:val="nil"/>
              <w:left w:val="nil"/>
              <w:bottom w:val="nil"/>
              <w:right w:val="nil"/>
            </w:tcBorders>
            <w:shd w:val="clear" w:color="auto" w:fill="auto"/>
            <w:noWrap/>
            <w:vAlign w:val="bottom"/>
            <w:hideMark/>
          </w:tcPr>
          <w:p w14:paraId="3F711CB3"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17.9%</w:t>
            </w:r>
          </w:p>
        </w:tc>
        <w:tc>
          <w:tcPr>
            <w:tcW w:w="309" w:type="pct"/>
            <w:tcBorders>
              <w:top w:val="nil"/>
              <w:left w:val="single" w:sz="4" w:space="0" w:color="auto"/>
              <w:bottom w:val="nil"/>
              <w:right w:val="nil"/>
            </w:tcBorders>
            <w:shd w:val="clear" w:color="auto" w:fill="auto"/>
            <w:noWrap/>
            <w:vAlign w:val="bottom"/>
            <w:hideMark/>
          </w:tcPr>
          <w:p w14:paraId="7166E0E2"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320</w:t>
            </w:r>
          </w:p>
        </w:tc>
        <w:tc>
          <w:tcPr>
            <w:tcW w:w="255" w:type="pct"/>
            <w:tcBorders>
              <w:top w:val="nil"/>
              <w:left w:val="nil"/>
              <w:bottom w:val="nil"/>
              <w:right w:val="single" w:sz="4" w:space="0" w:color="auto"/>
            </w:tcBorders>
            <w:shd w:val="clear" w:color="auto" w:fill="auto"/>
            <w:noWrap/>
            <w:vAlign w:val="bottom"/>
            <w:hideMark/>
          </w:tcPr>
          <w:p w14:paraId="12CE207C"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11.1%</w:t>
            </w:r>
          </w:p>
        </w:tc>
        <w:tc>
          <w:tcPr>
            <w:tcW w:w="419" w:type="pct"/>
            <w:tcBorders>
              <w:top w:val="nil"/>
              <w:left w:val="nil"/>
              <w:bottom w:val="nil"/>
              <w:right w:val="nil"/>
            </w:tcBorders>
            <w:shd w:val="clear" w:color="auto" w:fill="auto"/>
            <w:noWrap/>
            <w:vAlign w:val="bottom"/>
            <w:hideMark/>
          </w:tcPr>
          <w:p w14:paraId="08C0FB8F" w14:textId="347004BB"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1.74</w:t>
            </w:r>
          </w:p>
        </w:tc>
        <w:tc>
          <w:tcPr>
            <w:tcW w:w="338" w:type="pct"/>
            <w:tcBorders>
              <w:top w:val="nil"/>
              <w:left w:val="nil"/>
              <w:bottom w:val="nil"/>
              <w:right w:val="nil"/>
            </w:tcBorders>
            <w:shd w:val="clear" w:color="auto" w:fill="auto"/>
            <w:noWrap/>
            <w:vAlign w:val="bottom"/>
            <w:hideMark/>
          </w:tcPr>
          <w:p w14:paraId="6E7F4D80"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1.42,2.15</w:t>
            </w:r>
          </w:p>
        </w:tc>
        <w:tc>
          <w:tcPr>
            <w:tcW w:w="419" w:type="pct"/>
            <w:tcBorders>
              <w:top w:val="nil"/>
              <w:left w:val="single" w:sz="4" w:space="0" w:color="auto"/>
              <w:bottom w:val="nil"/>
              <w:right w:val="nil"/>
            </w:tcBorders>
            <w:shd w:val="clear" w:color="auto" w:fill="auto"/>
            <w:noWrap/>
            <w:vAlign w:val="bottom"/>
            <w:hideMark/>
          </w:tcPr>
          <w:p w14:paraId="24CD1C51" w14:textId="48724E61"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2.32</w:t>
            </w:r>
          </w:p>
        </w:tc>
        <w:tc>
          <w:tcPr>
            <w:tcW w:w="338" w:type="pct"/>
            <w:tcBorders>
              <w:top w:val="nil"/>
              <w:left w:val="nil"/>
              <w:bottom w:val="nil"/>
              <w:right w:val="single" w:sz="4" w:space="0" w:color="auto"/>
            </w:tcBorders>
            <w:shd w:val="clear" w:color="auto" w:fill="auto"/>
            <w:noWrap/>
            <w:vAlign w:val="bottom"/>
            <w:hideMark/>
          </w:tcPr>
          <w:p w14:paraId="6BC409CB"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1.82,2.96</w:t>
            </w:r>
          </w:p>
        </w:tc>
        <w:tc>
          <w:tcPr>
            <w:tcW w:w="419" w:type="pct"/>
            <w:tcBorders>
              <w:top w:val="nil"/>
              <w:left w:val="nil"/>
              <w:bottom w:val="nil"/>
              <w:right w:val="nil"/>
            </w:tcBorders>
            <w:shd w:val="clear" w:color="auto" w:fill="auto"/>
            <w:noWrap/>
            <w:vAlign w:val="bottom"/>
            <w:hideMark/>
          </w:tcPr>
          <w:p w14:paraId="5AB89DB1" w14:textId="6435ADE9"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2.69</w:t>
            </w:r>
          </w:p>
        </w:tc>
        <w:tc>
          <w:tcPr>
            <w:tcW w:w="339" w:type="pct"/>
            <w:tcBorders>
              <w:top w:val="nil"/>
              <w:left w:val="nil"/>
              <w:bottom w:val="nil"/>
              <w:right w:val="single" w:sz="4" w:space="0" w:color="auto"/>
            </w:tcBorders>
            <w:shd w:val="clear" w:color="auto" w:fill="auto"/>
            <w:noWrap/>
            <w:vAlign w:val="bottom"/>
            <w:hideMark/>
          </w:tcPr>
          <w:p w14:paraId="77866D55"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2.01,3.60</w:t>
            </w:r>
          </w:p>
        </w:tc>
      </w:tr>
      <w:tr w:rsidR="00F4173A" w:rsidRPr="00F4173A" w14:paraId="1B654B23" w14:textId="77777777" w:rsidTr="003F6EDF">
        <w:trPr>
          <w:trHeight w:val="480"/>
        </w:trPr>
        <w:tc>
          <w:tcPr>
            <w:tcW w:w="936" w:type="pct"/>
            <w:tcBorders>
              <w:top w:val="single" w:sz="4" w:space="0" w:color="auto"/>
              <w:left w:val="single" w:sz="4" w:space="0" w:color="auto"/>
              <w:bottom w:val="single" w:sz="4" w:space="0" w:color="auto"/>
              <w:right w:val="nil"/>
            </w:tcBorders>
            <w:shd w:val="clear" w:color="000000" w:fill="E7E6E6"/>
            <w:noWrap/>
            <w:vAlign w:val="bottom"/>
            <w:hideMark/>
          </w:tcPr>
          <w:p w14:paraId="2F3FD82B" w14:textId="77777777" w:rsidR="00F4173A" w:rsidRPr="00F4173A" w:rsidRDefault="00F4173A" w:rsidP="00F4173A">
            <w:pPr>
              <w:spacing w:before="0" w:after="0"/>
              <w:jc w:val="center"/>
              <w:rPr>
                <w:rFonts w:eastAsia="Times New Roman" w:cs="Times New Roman"/>
                <w:b/>
                <w:bCs/>
                <w:color w:val="000000"/>
                <w:sz w:val="32"/>
                <w:szCs w:val="32"/>
                <w:lang w:eastAsia="en-GB"/>
              </w:rPr>
            </w:pPr>
            <w:r w:rsidRPr="00F4173A">
              <w:rPr>
                <w:rFonts w:eastAsia="Times New Roman" w:cs="Times New Roman"/>
                <w:b/>
                <w:bCs/>
                <w:color w:val="000000"/>
                <w:sz w:val="32"/>
                <w:szCs w:val="32"/>
                <w:lang w:eastAsia="en-GB"/>
              </w:rPr>
              <w:t>WOMEN</w:t>
            </w:r>
          </w:p>
        </w:tc>
        <w:tc>
          <w:tcPr>
            <w:tcW w:w="664" w:type="pct"/>
            <w:tcBorders>
              <w:top w:val="single" w:sz="4" w:space="0" w:color="auto"/>
              <w:left w:val="nil"/>
              <w:bottom w:val="single" w:sz="4" w:space="0" w:color="auto"/>
              <w:right w:val="nil"/>
            </w:tcBorders>
            <w:shd w:val="clear" w:color="000000" w:fill="E7E6E6"/>
            <w:noWrap/>
            <w:vAlign w:val="bottom"/>
            <w:hideMark/>
          </w:tcPr>
          <w:p w14:paraId="3F54B47A" w14:textId="77777777" w:rsidR="00F4173A" w:rsidRPr="00F4173A" w:rsidRDefault="00F4173A" w:rsidP="00F4173A">
            <w:pPr>
              <w:spacing w:before="0" w:after="0"/>
              <w:rPr>
                <w:rFonts w:eastAsia="Times New Roman" w:cs="Times New Roman"/>
                <w:b/>
                <w:bCs/>
                <w:color w:val="000000"/>
                <w:sz w:val="32"/>
                <w:szCs w:val="32"/>
                <w:lang w:eastAsia="en-GB"/>
              </w:rPr>
            </w:pPr>
            <w:r w:rsidRPr="00F4173A">
              <w:rPr>
                <w:rFonts w:eastAsia="Times New Roman" w:cs="Times New Roman"/>
                <w:b/>
                <w:bCs/>
                <w:color w:val="000000"/>
                <w:sz w:val="32"/>
                <w:szCs w:val="32"/>
                <w:lang w:eastAsia="en-GB"/>
              </w:rPr>
              <w:t> </w:t>
            </w:r>
          </w:p>
        </w:tc>
        <w:tc>
          <w:tcPr>
            <w:tcW w:w="309" w:type="pct"/>
            <w:tcBorders>
              <w:top w:val="single" w:sz="4" w:space="0" w:color="auto"/>
              <w:left w:val="nil"/>
              <w:bottom w:val="single" w:sz="4" w:space="0" w:color="auto"/>
              <w:right w:val="nil"/>
            </w:tcBorders>
            <w:shd w:val="clear" w:color="000000" w:fill="E7E6E6"/>
            <w:noWrap/>
            <w:vAlign w:val="bottom"/>
            <w:hideMark/>
          </w:tcPr>
          <w:p w14:paraId="2F9C7168" w14:textId="7F508CBE" w:rsidR="00F4173A" w:rsidRPr="00F4173A" w:rsidRDefault="00F4173A" w:rsidP="00B14FAA">
            <w:pPr>
              <w:spacing w:before="0" w:after="0"/>
              <w:jc w:val="center"/>
              <w:rPr>
                <w:rFonts w:eastAsia="Times New Roman" w:cs="Times New Roman"/>
                <w:b/>
                <w:bCs/>
                <w:color w:val="000000"/>
                <w:sz w:val="32"/>
                <w:szCs w:val="32"/>
                <w:lang w:eastAsia="en-GB"/>
              </w:rPr>
            </w:pPr>
          </w:p>
        </w:tc>
        <w:tc>
          <w:tcPr>
            <w:tcW w:w="255" w:type="pct"/>
            <w:tcBorders>
              <w:top w:val="single" w:sz="4" w:space="0" w:color="auto"/>
              <w:left w:val="nil"/>
              <w:bottom w:val="single" w:sz="4" w:space="0" w:color="auto"/>
              <w:right w:val="nil"/>
            </w:tcBorders>
            <w:shd w:val="clear" w:color="000000" w:fill="E7E6E6"/>
            <w:noWrap/>
            <w:vAlign w:val="bottom"/>
            <w:hideMark/>
          </w:tcPr>
          <w:p w14:paraId="1FB76864" w14:textId="50343F1F" w:rsidR="00F4173A" w:rsidRPr="00F4173A" w:rsidRDefault="00F4173A" w:rsidP="00B14FAA">
            <w:pPr>
              <w:spacing w:before="0" w:after="0"/>
              <w:jc w:val="center"/>
              <w:rPr>
                <w:rFonts w:eastAsia="Times New Roman" w:cs="Times New Roman"/>
                <w:b/>
                <w:bCs/>
                <w:color w:val="000000"/>
                <w:sz w:val="32"/>
                <w:szCs w:val="32"/>
                <w:lang w:eastAsia="en-GB"/>
              </w:rPr>
            </w:pPr>
          </w:p>
        </w:tc>
        <w:tc>
          <w:tcPr>
            <w:tcW w:w="309" w:type="pct"/>
            <w:tcBorders>
              <w:top w:val="single" w:sz="4" w:space="0" w:color="auto"/>
              <w:left w:val="nil"/>
              <w:bottom w:val="single" w:sz="4" w:space="0" w:color="auto"/>
              <w:right w:val="nil"/>
            </w:tcBorders>
            <w:shd w:val="clear" w:color="000000" w:fill="E7E6E6"/>
            <w:noWrap/>
            <w:vAlign w:val="bottom"/>
            <w:hideMark/>
          </w:tcPr>
          <w:p w14:paraId="5A2C945A" w14:textId="7F6669E4" w:rsidR="00F4173A" w:rsidRPr="00F4173A" w:rsidRDefault="00F4173A" w:rsidP="00B14FAA">
            <w:pPr>
              <w:spacing w:before="0" w:after="0"/>
              <w:jc w:val="center"/>
              <w:rPr>
                <w:rFonts w:eastAsia="Times New Roman" w:cs="Times New Roman"/>
                <w:b/>
                <w:bCs/>
                <w:color w:val="000000"/>
                <w:sz w:val="32"/>
                <w:szCs w:val="32"/>
                <w:lang w:eastAsia="en-GB"/>
              </w:rPr>
            </w:pPr>
          </w:p>
        </w:tc>
        <w:tc>
          <w:tcPr>
            <w:tcW w:w="255" w:type="pct"/>
            <w:tcBorders>
              <w:top w:val="single" w:sz="4" w:space="0" w:color="auto"/>
              <w:left w:val="nil"/>
              <w:bottom w:val="single" w:sz="4" w:space="0" w:color="auto"/>
              <w:right w:val="nil"/>
            </w:tcBorders>
            <w:shd w:val="clear" w:color="000000" w:fill="E7E6E6"/>
            <w:noWrap/>
            <w:vAlign w:val="bottom"/>
            <w:hideMark/>
          </w:tcPr>
          <w:p w14:paraId="7B441A3B" w14:textId="16F943AC" w:rsidR="00F4173A" w:rsidRPr="00F4173A" w:rsidRDefault="00F4173A" w:rsidP="00B14FAA">
            <w:pPr>
              <w:spacing w:before="0" w:after="0"/>
              <w:jc w:val="center"/>
              <w:rPr>
                <w:rFonts w:eastAsia="Times New Roman" w:cs="Times New Roman"/>
                <w:b/>
                <w:bCs/>
                <w:color w:val="000000"/>
                <w:sz w:val="32"/>
                <w:szCs w:val="32"/>
                <w:lang w:eastAsia="en-GB"/>
              </w:rPr>
            </w:pPr>
          </w:p>
        </w:tc>
        <w:tc>
          <w:tcPr>
            <w:tcW w:w="419" w:type="pct"/>
            <w:tcBorders>
              <w:top w:val="single" w:sz="4" w:space="0" w:color="auto"/>
              <w:left w:val="nil"/>
              <w:bottom w:val="single" w:sz="4" w:space="0" w:color="auto"/>
              <w:right w:val="nil"/>
            </w:tcBorders>
            <w:shd w:val="clear" w:color="000000" w:fill="E7E6E6"/>
            <w:noWrap/>
            <w:vAlign w:val="bottom"/>
            <w:hideMark/>
          </w:tcPr>
          <w:p w14:paraId="7EAF4BF5" w14:textId="73A5CA10" w:rsidR="00F4173A" w:rsidRPr="00F4173A" w:rsidRDefault="00F4173A" w:rsidP="00B14FAA">
            <w:pPr>
              <w:spacing w:before="0" w:after="0"/>
              <w:jc w:val="center"/>
              <w:rPr>
                <w:rFonts w:eastAsia="Times New Roman" w:cs="Times New Roman"/>
                <w:b/>
                <w:bCs/>
                <w:color w:val="000000"/>
                <w:sz w:val="32"/>
                <w:szCs w:val="32"/>
                <w:lang w:eastAsia="en-GB"/>
              </w:rPr>
            </w:pPr>
          </w:p>
        </w:tc>
        <w:tc>
          <w:tcPr>
            <w:tcW w:w="338" w:type="pct"/>
            <w:tcBorders>
              <w:top w:val="single" w:sz="4" w:space="0" w:color="auto"/>
              <w:left w:val="nil"/>
              <w:bottom w:val="single" w:sz="4" w:space="0" w:color="auto"/>
              <w:right w:val="nil"/>
            </w:tcBorders>
            <w:shd w:val="clear" w:color="000000" w:fill="E7E6E6"/>
            <w:noWrap/>
            <w:vAlign w:val="bottom"/>
            <w:hideMark/>
          </w:tcPr>
          <w:p w14:paraId="2601E008" w14:textId="3A45CAF0" w:rsidR="00F4173A" w:rsidRPr="00F4173A" w:rsidRDefault="00F4173A" w:rsidP="00B14FAA">
            <w:pPr>
              <w:spacing w:before="0" w:after="0"/>
              <w:jc w:val="center"/>
              <w:rPr>
                <w:rFonts w:eastAsia="Times New Roman" w:cs="Times New Roman"/>
                <w:b/>
                <w:bCs/>
                <w:color w:val="000000"/>
                <w:sz w:val="32"/>
                <w:szCs w:val="32"/>
                <w:lang w:eastAsia="en-GB"/>
              </w:rPr>
            </w:pPr>
          </w:p>
        </w:tc>
        <w:tc>
          <w:tcPr>
            <w:tcW w:w="419" w:type="pct"/>
            <w:tcBorders>
              <w:top w:val="single" w:sz="4" w:space="0" w:color="auto"/>
              <w:left w:val="nil"/>
              <w:bottom w:val="single" w:sz="4" w:space="0" w:color="auto"/>
              <w:right w:val="nil"/>
            </w:tcBorders>
            <w:shd w:val="clear" w:color="000000" w:fill="E7E6E6"/>
            <w:noWrap/>
            <w:vAlign w:val="bottom"/>
            <w:hideMark/>
          </w:tcPr>
          <w:p w14:paraId="30FC4748" w14:textId="22872E3C" w:rsidR="00F4173A" w:rsidRPr="00F4173A" w:rsidRDefault="00F4173A" w:rsidP="00B14FAA">
            <w:pPr>
              <w:spacing w:before="0" w:after="0"/>
              <w:jc w:val="center"/>
              <w:rPr>
                <w:rFonts w:eastAsia="Times New Roman" w:cs="Times New Roman"/>
                <w:color w:val="000000"/>
                <w:szCs w:val="22"/>
                <w:lang w:eastAsia="en-GB"/>
              </w:rPr>
            </w:pPr>
          </w:p>
        </w:tc>
        <w:tc>
          <w:tcPr>
            <w:tcW w:w="338" w:type="pct"/>
            <w:tcBorders>
              <w:top w:val="single" w:sz="4" w:space="0" w:color="auto"/>
              <w:left w:val="nil"/>
              <w:bottom w:val="single" w:sz="4" w:space="0" w:color="auto"/>
              <w:right w:val="nil"/>
            </w:tcBorders>
            <w:shd w:val="clear" w:color="000000" w:fill="E7E6E6"/>
            <w:noWrap/>
            <w:vAlign w:val="bottom"/>
            <w:hideMark/>
          </w:tcPr>
          <w:p w14:paraId="59476DB8" w14:textId="37056D7E" w:rsidR="00F4173A" w:rsidRPr="00F4173A" w:rsidRDefault="00F4173A" w:rsidP="00B14FAA">
            <w:pPr>
              <w:spacing w:before="0" w:after="0"/>
              <w:jc w:val="center"/>
              <w:rPr>
                <w:rFonts w:eastAsia="Times New Roman" w:cs="Times New Roman"/>
                <w:color w:val="000000"/>
                <w:szCs w:val="22"/>
                <w:lang w:eastAsia="en-GB"/>
              </w:rPr>
            </w:pPr>
          </w:p>
        </w:tc>
        <w:tc>
          <w:tcPr>
            <w:tcW w:w="419" w:type="pct"/>
            <w:tcBorders>
              <w:top w:val="single" w:sz="4" w:space="0" w:color="auto"/>
              <w:left w:val="nil"/>
              <w:bottom w:val="single" w:sz="4" w:space="0" w:color="auto"/>
              <w:right w:val="nil"/>
            </w:tcBorders>
            <w:shd w:val="clear" w:color="000000" w:fill="E7E6E6"/>
            <w:noWrap/>
            <w:vAlign w:val="bottom"/>
            <w:hideMark/>
          </w:tcPr>
          <w:p w14:paraId="24492082" w14:textId="66464F5E" w:rsidR="00F4173A" w:rsidRPr="00F4173A" w:rsidRDefault="00F4173A" w:rsidP="00B14FAA">
            <w:pPr>
              <w:spacing w:before="0" w:after="0"/>
              <w:jc w:val="center"/>
              <w:rPr>
                <w:rFonts w:eastAsia="Times New Roman" w:cs="Times New Roman"/>
                <w:color w:val="000000"/>
                <w:szCs w:val="22"/>
                <w:lang w:eastAsia="en-GB"/>
              </w:rPr>
            </w:pPr>
          </w:p>
        </w:tc>
        <w:tc>
          <w:tcPr>
            <w:tcW w:w="339" w:type="pct"/>
            <w:tcBorders>
              <w:top w:val="single" w:sz="4" w:space="0" w:color="auto"/>
              <w:left w:val="nil"/>
              <w:bottom w:val="single" w:sz="4" w:space="0" w:color="auto"/>
              <w:right w:val="single" w:sz="4" w:space="0" w:color="auto"/>
            </w:tcBorders>
            <w:shd w:val="clear" w:color="000000" w:fill="E7E6E6"/>
            <w:noWrap/>
            <w:vAlign w:val="bottom"/>
            <w:hideMark/>
          </w:tcPr>
          <w:p w14:paraId="2470EDF3" w14:textId="325FA5C3" w:rsidR="00F4173A" w:rsidRPr="00F4173A" w:rsidRDefault="00F4173A" w:rsidP="00B14FAA">
            <w:pPr>
              <w:spacing w:before="0" w:after="0"/>
              <w:jc w:val="center"/>
              <w:rPr>
                <w:rFonts w:eastAsia="Times New Roman" w:cs="Times New Roman"/>
                <w:color w:val="000000"/>
                <w:szCs w:val="22"/>
                <w:lang w:eastAsia="en-GB"/>
              </w:rPr>
            </w:pPr>
          </w:p>
        </w:tc>
      </w:tr>
      <w:tr w:rsidR="00F4173A" w:rsidRPr="00F4173A" w14:paraId="16E48DD9" w14:textId="77777777" w:rsidTr="003F6EDF">
        <w:trPr>
          <w:trHeight w:val="288"/>
        </w:trPr>
        <w:tc>
          <w:tcPr>
            <w:tcW w:w="936" w:type="pct"/>
            <w:vMerge w:val="restart"/>
            <w:tcBorders>
              <w:top w:val="nil"/>
              <w:left w:val="single" w:sz="4" w:space="0" w:color="auto"/>
              <w:bottom w:val="nil"/>
              <w:right w:val="single" w:sz="4" w:space="0" w:color="auto"/>
            </w:tcBorders>
            <w:shd w:val="clear" w:color="auto" w:fill="auto"/>
            <w:vAlign w:val="center"/>
            <w:hideMark/>
          </w:tcPr>
          <w:p w14:paraId="1800389C" w14:textId="39B0B37B" w:rsidR="00F4173A" w:rsidRPr="00F4173A" w:rsidRDefault="00F4173A" w:rsidP="00F4173A">
            <w:pPr>
              <w:spacing w:before="0" w:after="0"/>
              <w:jc w:val="center"/>
              <w:rPr>
                <w:rFonts w:eastAsia="Times New Roman" w:cs="Times New Roman"/>
                <w:b/>
                <w:bCs/>
                <w:color w:val="000000"/>
                <w:szCs w:val="22"/>
                <w:lang w:eastAsia="en-GB"/>
              </w:rPr>
            </w:pPr>
            <w:r w:rsidRPr="00F4173A">
              <w:rPr>
                <w:rFonts w:eastAsia="Times New Roman" w:cs="Times New Roman"/>
                <w:b/>
                <w:bCs/>
                <w:color w:val="000000"/>
                <w:szCs w:val="22"/>
                <w:lang w:eastAsia="en-GB"/>
              </w:rPr>
              <w:t xml:space="preserve">PCL-C </w:t>
            </w:r>
            <w:r w:rsidR="004D3A09">
              <w:rPr>
                <w:rFonts w:eastAsia="Times New Roman" w:cs="Times New Roman"/>
                <w:b/>
                <w:bCs/>
                <w:color w:val="000000"/>
                <w:szCs w:val="22"/>
                <w:lang w:eastAsia="en-GB"/>
              </w:rPr>
              <w:t>domains</w:t>
            </w:r>
          </w:p>
        </w:tc>
        <w:tc>
          <w:tcPr>
            <w:tcW w:w="664" w:type="pct"/>
            <w:tcBorders>
              <w:top w:val="nil"/>
              <w:left w:val="nil"/>
              <w:bottom w:val="nil"/>
              <w:right w:val="single" w:sz="4" w:space="0" w:color="auto"/>
            </w:tcBorders>
            <w:shd w:val="clear" w:color="auto" w:fill="auto"/>
            <w:noWrap/>
            <w:vAlign w:val="center"/>
            <w:hideMark/>
          </w:tcPr>
          <w:p w14:paraId="5B8889AB" w14:textId="77777777" w:rsidR="00F4173A" w:rsidRPr="00F4173A" w:rsidRDefault="00F4173A" w:rsidP="00F4173A">
            <w:pPr>
              <w:spacing w:before="0" w:after="0"/>
              <w:rPr>
                <w:rFonts w:eastAsia="Times New Roman" w:cs="Times New Roman"/>
                <w:i/>
                <w:iCs/>
                <w:color w:val="000000"/>
                <w:szCs w:val="22"/>
                <w:lang w:eastAsia="en-GB"/>
              </w:rPr>
            </w:pPr>
            <w:r w:rsidRPr="00F4173A">
              <w:rPr>
                <w:rFonts w:eastAsia="Times New Roman" w:cs="Times New Roman"/>
                <w:i/>
                <w:iCs/>
                <w:color w:val="000000"/>
                <w:szCs w:val="22"/>
                <w:lang w:eastAsia="en-GB"/>
              </w:rPr>
              <w:t>Re-experiencing</w:t>
            </w:r>
          </w:p>
        </w:tc>
        <w:tc>
          <w:tcPr>
            <w:tcW w:w="309" w:type="pct"/>
            <w:tcBorders>
              <w:top w:val="nil"/>
              <w:left w:val="nil"/>
              <w:bottom w:val="nil"/>
              <w:right w:val="nil"/>
            </w:tcBorders>
            <w:shd w:val="clear" w:color="auto" w:fill="auto"/>
            <w:noWrap/>
            <w:vAlign w:val="bottom"/>
            <w:hideMark/>
          </w:tcPr>
          <w:p w14:paraId="20164C86"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53</w:t>
            </w:r>
          </w:p>
        </w:tc>
        <w:tc>
          <w:tcPr>
            <w:tcW w:w="255" w:type="pct"/>
            <w:tcBorders>
              <w:top w:val="nil"/>
              <w:left w:val="nil"/>
              <w:bottom w:val="nil"/>
              <w:right w:val="nil"/>
            </w:tcBorders>
            <w:shd w:val="clear" w:color="auto" w:fill="auto"/>
            <w:noWrap/>
            <w:vAlign w:val="bottom"/>
            <w:hideMark/>
          </w:tcPr>
          <w:p w14:paraId="12827DA2"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10.6%</w:t>
            </w:r>
          </w:p>
        </w:tc>
        <w:tc>
          <w:tcPr>
            <w:tcW w:w="309" w:type="pct"/>
            <w:tcBorders>
              <w:top w:val="nil"/>
              <w:left w:val="single" w:sz="4" w:space="0" w:color="auto"/>
              <w:bottom w:val="nil"/>
              <w:right w:val="nil"/>
            </w:tcBorders>
            <w:shd w:val="clear" w:color="auto" w:fill="auto"/>
            <w:noWrap/>
            <w:vAlign w:val="bottom"/>
            <w:hideMark/>
          </w:tcPr>
          <w:p w14:paraId="331A783C"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863</w:t>
            </w:r>
          </w:p>
        </w:tc>
        <w:tc>
          <w:tcPr>
            <w:tcW w:w="255" w:type="pct"/>
            <w:tcBorders>
              <w:top w:val="nil"/>
              <w:left w:val="nil"/>
              <w:bottom w:val="nil"/>
              <w:right w:val="single" w:sz="4" w:space="0" w:color="auto"/>
            </w:tcBorders>
            <w:shd w:val="clear" w:color="auto" w:fill="auto"/>
            <w:noWrap/>
            <w:vAlign w:val="bottom"/>
            <w:hideMark/>
          </w:tcPr>
          <w:p w14:paraId="19835B1C"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13.5%</w:t>
            </w:r>
          </w:p>
        </w:tc>
        <w:tc>
          <w:tcPr>
            <w:tcW w:w="419" w:type="pct"/>
            <w:tcBorders>
              <w:top w:val="nil"/>
              <w:left w:val="nil"/>
              <w:bottom w:val="nil"/>
              <w:right w:val="nil"/>
            </w:tcBorders>
            <w:shd w:val="clear" w:color="auto" w:fill="auto"/>
            <w:noWrap/>
            <w:vAlign w:val="bottom"/>
            <w:hideMark/>
          </w:tcPr>
          <w:p w14:paraId="5F4AF552"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0.78</w:t>
            </w:r>
          </w:p>
        </w:tc>
        <w:tc>
          <w:tcPr>
            <w:tcW w:w="338" w:type="pct"/>
            <w:tcBorders>
              <w:top w:val="nil"/>
              <w:left w:val="nil"/>
              <w:bottom w:val="nil"/>
              <w:right w:val="nil"/>
            </w:tcBorders>
            <w:shd w:val="clear" w:color="auto" w:fill="auto"/>
            <w:noWrap/>
            <w:vAlign w:val="bottom"/>
            <w:hideMark/>
          </w:tcPr>
          <w:p w14:paraId="59B234D0"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0.54,1.12</w:t>
            </w:r>
          </w:p>
        </w:tc>
        <w:tc>
          <w:tcPr>
            <w:tcW w:w="419" w:type="pct"/>
            <w:tcBorders>
              <w:top w:val="nil"/>
              <w:left w:val="single" w:sz="4" w:space="0" w:color="auto"/>
              <w:bottom w:val="nil"/>
              <w:right w:val="nil"/>
            </w:tcBorders>
            <w:shd w:val="clear" w:color="auto" w:fill="auto"/>
            <w:noWrap/>
            <w:vAlign w:val="bottom"/>
            <w:hideMark/>
          </w:tcPr>
          <w:p w14:paraId="24A0EA3A"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0.96</w:t>
            </w:r>
          </w:p>
        </w:tc>
        <w:tc>
          <w:tcPr>
            <w:tcW w:w="338" w:type="pct"/>
            <w:tcBorders>
              <w:top w:val="nil"/>
              <w:left w:val="nil"/>
              <w:bottom w:val="nil"/>
              <w:right w:val="single" w:sz="4" w:space="0" w:color="auto"/>
            </w:tcBorders>
            <w:shd w:val="clear" w:color="auto" w:fill="auto"/>
            <w:noWrap/>
            <w:vAlign w:val="bottom"/>
            <w:hideMark/>
          </w:tcPr>
          <w:p w14:paraId="4C4684AB"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0.66,1.41</w:t>
            </w:r>
          </w:p>
        </w:tc>
        <w:tc>
          <w:tcPr>
            <w:tcW w:w="419" w:type="pct"/>
            <w:tcBorders>
              <w:top w:val="nil"/>
              <w:left w:val="nil"/>
              <w:bottom w:val="nil"/>
              <w:right w:val="nil"/>
            </w:tcBorders>
            <w:shd w:val="clear" w:color="auto" w:fill="auto"/>
            <w:noWrap/>
            <w:vAlign w:val="bottom"/>
            <w:hideMark/>
          </w:tcPr>
          <w:p w14:paraId="485C668B"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0.85</w:t>
            </w:r>
          </w:p>
        </w:tc>
        <w:tc>
          <w:tcPr>
            <w:tcW w:w="339" w:type="pct"/>
            <w:tcBorders>
              <w:top w:val="nil"/>
              <w:left w:val="nil"/>
              <w:bottom w:val="nil"/>
              <w:right w:val="single" w:sz="4" w:space="0" w:color="auto"/>
            </w:tcBorders>
            <w:shd w:val="clear" w:color="auto" w:fill="auto"/>
            <w:noWrap/>
            <w:vAlign w:val="bottom"/>
            <w:hideMark/>
          </w:tcPr>
          <w:p w14:paraId="1BD6B4D8"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0.55,1.31</w:t>
            </w:r>
          </w:p>
        </w:tc>
      </w:tr>
      <w:tr w:rsidR="00F4173A" w:rsidRPr="00F4173A" w14:paraId="1351A02C" w14:textId="77777777" w:rsidTr="003F6EDF">
        <w:trPr>
          <w:trHeight w:val="288"/>
        </w:trPr>
        <w:tc>
          <w:tcPr>
            <w:tcW w:w="936" w:type="pct"/>
            <w:vMerge/>
            <w:tcBorders>
              <w:top w:val="nil"/>
              <w:left w:val="single" w:sz="4" w:space="0" w:color="auto"/>
              <w:bottom w:val="nil"/>
              <w:right w:val="single" w:sz="4" w:space="0" w:color="auto"/>
            </w:tcBorders>
            <w:vAlign w:val="center"/>
            <w:hideMark/>
          </w:tcPr>
          <w:p w14:paraId="59228D54" w14:textId="77777777" w:rsidR="00F4173A" w:rsidRPr="00F4173A" w:rsidRDefault="00F4173A" w:rsidP="00F4173A">
            <w:pPr>
              <w:spacing w:before="0" w:after="0"/>
              <w:rPr>
                <w:rFonts w:eastAsia="Times New Roman" w:cs="Times New Roman"/>
                <w:b/>
                <w:bCs/>
                <w:color w:val="000000"/>
                <w:szCs w:val="22"/>
                <w:lang w:eastAsia="en-GB"/>
              </w:rPr>
            </w:pPr>
          </w:p>
        </w:tc>
        <w:tc>
          <w:tcPr>
            <w:tcW w:w="664" w:type="pct"/>
            <w:tcBorders>
              <w:top w:val="nil"/>
              <w:left w:val="nil"/>
              <w:bottom w:val="nil"/>
              <w:right w:val="single" w:sz="4" w:space="0" w:color="auto"/>
            </w:tcBorders>
            <w:shd w:val="clear" w:color="auto" w:fill="auto"/>
            <w:noWrap/>
            <w:vAlign w:val="center"/>
            <w:hideMark/>
          </w:tcPr>
          <w:p w14:paraId="1D94C501" w14:textId="77777777" w:rsidR="00F4173A" w:rsidRPr="00F4173A" w:rsidRDefault="00F4173A" w:rsidP="00F4173A">
            <w:pPr>
              <w:spacing w:before="0" w:after="0"/>
              <w:rPr>
                <w:rFonts w:eastAsia="Times New Roman" w:cs="Times New Roman"/>
                <w:i/>
                <w:iCs/>
                <w:color w:val="000000"/>
                <w:szCs w:val="22"/>
                <w:lang w:eastAsia="en-GB"/>
              </w:rPr>
            </w:pPr>
            <w:r w:rsidRPr="00F4173A">
              <w:rPr>
                <w:rFonts w:eastAsia="Times New Roman" w:cs="Times New Roman"/>
                <w:i/>
                <w:iCs/>
                <w:color w:val="000000"/>
                <w:szCs w:val="22"/>
                <w:lang w:eastAsia="en-GB"/>
              </w:rPr>
              <w:t>Avoidance</w:t>
            </w:r>
          </w:p>
        </w:tc>
        <w:tc>
          <w:tcPr>
            <w:tcW w:w="309" w:type="pct"/>
            <w:tcBorders>
              <w:top w:val="nil"/>
              <w:left w:val="nil"/>
              <w:bottom w:val="nil"/>
              <w:right w:val="nil"/>
            </w:tcBorders>
            <w:shd w:val="clear" w:color="auto" w:fill="auto"/>
            <w:noWrap/>
            <w:vAlign w:val="bottom"/>
            <w:hideMark/>
          </w:tcPr>
          <w:p w14:paraId="6F568A02"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38</w:t>
            </w:r>
          </w:p>
        </w:tc>
        <w:tc>
          <w:tcPr>
            <w:tcW w:w="255" w:type="pct"/>
            <w:tcBorders>
              <w:top w:val="nil"/>
              <w:left w:val="nil"/>
              <w:bottom w:val="nil"/>
              <w:right w:val="nil"/>
            </w:tcBorders>
            <w:shd w:val="clear" w:color="auto" w:fill="auto"/>
            <w:noWrap/>
            <w:vAlign w:val="bottom"/>
            <w:hideMark/>
          </w:tcPr>
          <w:p w14:paraId="65F955FA"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7.9%</w:t>
            </w:r>
          </w:p>
        </w:tc>
        <w:tc>
          <w:tcPr>
            <w:tcW w:w="309" w:type="pct"/>
            <w:tcBorders>
              <w:top w:val="nil"/>
              <w:left w:val="single" w:sz="4" w:space="0" w:color="auto"/>
              <w:bottom w:val="nil"/>
              <w:right w:val="nil"/>
            </w:tcBorders>
            <w:shd w:val="clear" w:color="auto" w:fill="auto"/>
            <w:noWrap/>
            <w:vAlign w:val="bottom"/>
            <w:hideMark/>
          </w:tcPr>
          <w:p w14:paraId="29643D5A"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403</w:t>
            </w:r>
          </w:p>
        </w:tc>
        <w:tc>
          <w:tcPr>
            <w:tcW w:w="255" w:type="pct"/>
            <w:tcBorders>
              <w:top w:val="nil"/>
              <w:left w:val="nil"/>
              <w:bottom w:val="nil"/>
              <w:right w:val="single" w:sz="4" w:space="0" w:color="auto"/>
            </w:tcBorders>
            <w:shd w:val="clear" w:color="auto" w:fill="auto"/>
            <w:noWrap/>
            <w:vAlign w:val="bottom"/>
            <w:hideMark/>
          </w:tcPr>
          <w:p w14:paraId="05925DE5"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6.6%</w:t>
            </w:r>
          </w:p>
        </w:tc>
        <w:tc>
          <w:tcPr>
            <w:tcW w:w="419" w:type="pct"/>
            <w:tcBorders>
              <w:top w:val="nil"/>
              <w:left w:val="nil"/>
              <w:bottom w:val="nil"/>
              <w:right w:val="nil"/>
            </w:tcBorders>
            <w:shd w:val="clear" w:color="auto" w:fill="auto"/>
            <w:noWrap/>
            <w:vAlign w:val="bottom"/>
            <w:hideMark/>
          </w:tcPr>
          <w:p w14:paraId="5B28D682"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1.31</w:t>
            </w:r>
          </w:p>
        </w:tc>
        <w:tc>
          <w:tcPr>
            <w:tcW w:w="338" w:type="pct"/>
            <w:tcBorders>
              <w:top w:val="nil"/>
              <w:left w:val="nil"/>
              <w:bottom w:val="nil"/>
              <w:right w:val="nil"/>
            </w:tcBorders>
            <w:shd w:val="clear" w:color="auto" w:fill="auto"/>
            <w:noWrap/>
            <w:vAlign w:val="bottom"/>
            <w:hideMark/>
          </w:tcPr>
          <w:p w14:paraId="48BA1B88"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0.86,2.00</w:t>
            </w:r>
          </w:p>
        </w:tc>
        <w:tc>
          <w:tcPr>
            <w:tcW w:w="419" w:type="pct"/>
            <w:tcBorders>
              <w:top w:val="nil"/>
              <w:left w:val="single" w:sz="4" w:space="0" w:color="auto"/>
              <w:bottom w:val="nil"/>
              <w:right w:val="nil"/>
            </w:tcBorders>
            <w:shd w:val="clear" w:color="auto" w:fill="auto"/>
            <w:noWrap/>
            <w:vAlign w:val="bottom"/>
            <w:hideMark/>
          </w:tcPr>
          <w:p w14:paraId="26BF163C" w14:textId="4FCC29C1"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1.93</w:t>
            </w:r>
          </w:p>
        </w:tc>
        <w:tc>
          <w:tcPr>
            <w:tcW w:w="338" w:type="pct"/>
            <w:tcBorders>
              <w:top w:val="nil"/>
              <w:left w:val="nil"/>
              <w:bottom w:val="nil"/>
              <w:right w:val="single" w:sz="4" w:space="0" w:color="auto"/>
            </w:tcBorders>
            <w:shd w:val="clear" w:color="auto" w:fill="auto"/>
            <w:noWrap/>
            <w:vAlign w:val="bottom"/>
            <w:hideMark/>
          </w:tcPr>
          <w:p w14:paraId="0BC4CFDF"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1.17,3.19</w:t>
            </w:r>
          </w:p>
        </w:tc>
        <w:tc>
          <w:tcPr>
            <w:tcW w:w="419" w:type="pct"/>
            <w:tcBorders>
              <w:top w:val="nil"/>
              <w:left w:val="nil"/>
              <w:bottom w:val="nil"/>
              <w:right w:val="nil"/>
            </w:tcBorders>
            <w:shd w:val="clear" w:color="auto" w:fill="auto"/>
            <w:noWrap/>
            <w:vAlign w:val="bottom"/>
            <w:hideMark/>
          </w:tcPr>
          <w:p w14:paraId="186749D9"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1.38</w:t>
            </w:r>
          </w:p>
        </w:tc>
        <w:tc>
          <w:tcPr>
            <w:tcW w:w="339" w:type="pct"/>
            <w:tcBorders>
              <w:top w:val="nil"/>
              <w:left w:val="nil"/>
              <w:bottom w:val="nil"/>
              <w:right w:val="single" w:sz="4" w:space="0" w:color="auto"/>
            </w:tcBorders>
            <w:shd w:val="clear" w:color="auto" w:fill="auto"/>
            <w:noWrap/>
            <w:vAlign w:val="bottom"/>
            <w:hideMark/>
          </w:tcPr>
          <w:p w14:paraId="4D88C746"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0.80,2.39</w:t>
            </w:r>
          </w:p>
        </w:tc>
      </w:tr>
      <w:tr w:rsidR="00F4173A" w:rsidRPr="00F4173A" w14:paraId="2EFA3867" w14:textId="77777777" w:rsidTr="003F6EDF">
        <w:trPr>
          <w:trHeight w:val="288"/>
        </w:trPr>
        <w:tc>
          <w:tcPr>
            <w:tcW w:w="936" w:type="pct"/>
            <w:vMerge/>
            <w:tcBorders>
              <w:top w:val="nil"/>
              <w:left w:val="single" w:sz="4" w:space="0" w:color="auto"/>
              <w:bottom w:val="nil"/>
              <w:right w:val="single" w:sz="4" w:space="0" w:color="auto"/>
            </w:tcBorders>
            <w:vAlign w:val="center"/>
            <w:hideMark/>
          </w:tcPr>
          <w:p w14:paraId="3D7A865C" w14:textId="77777777" w:rsidR="00F4173A" w:rsidRPr="00F4173A" w:rsidRDefault="00F4173A" w:rsidP="00F4173A">
            <w:pPr>
              <w:spacing w:before="0" w:after="0"/>
              <w:rPr>
                <w:rFonts w:eastAsia="Times New Roman" w:cs="Times New Roman"/>
                <w:b/>
                <w:bCs/>
                <w:color w:val="000000"/>
                <w:szCs w:val="22"/>
                <w:lang w:eastAsia="en-GB"/>
              </w:rPr>
            </w:pPr>
          </w:p>
        </w:tc>
        <w:tc>
          <w:tcPr>
            <w:tcW w:w="664" w:type="pct"/>
            <w:tcBorders>
              <w:top w:val="nil"/>
              <w:left w:val="nil"/>
              <w:bottom w:val="nil"/>
              <w:right w:val="single" w:sz="4" w:space="0" w:color="auto"/>
            </w:tcBorders>
            <w:shd w:val="clear" w:color="auto" w:fill="auto"/>
            <w:noWrap/>
            <w:vAlign w:val="center"/>
            <w:hideMark/>
          </w:tcPr>
          <w:p w14:paraId="2081511D" w14:textId="77777777" w:rsidR="00F4173A" w:rsidRPr="00F4173A" w:rsidRDefault="00F4173A" w:rsidP="00F4173A">
            <w:pPr>
              <w:spacing w:before="0" w:after="0"/>
              <w:rPr>
                <w:rFonts w:eastAsia="Times New Roman" w:cs="Times New Roman"/>
                <w:i/>
                <w:iCs/>
                <w:color w:val="000000"/>
                <w:szCs w:val="22"/>
                <w:lang w:eastAsia="en-GB"/>
              </w:rPr>
            </w:pPr>
            <w:r w:rsidRPr="00F4173A">
              <w:rPr>
                <w:rFonts w:eastAsia="Times New Roman" w:cs="Times New Roman"/>
                <w:i/>
                <w:iCs/>
                <w:color w:val="000000"/>
                <w:szCs w:val="22"/>
                <w:lang w:eastAsia="en-GB"/>
              </w:rPr>
              <w:t>Hyperarousal</w:t>
            </w:r>
          </w:p>
        </w:tc>
        <w:tc>
          <w:tcPr>
            <w:tcW w:w="309" w:type="pct"/>
            <w:tcBorders>
              <w:top w:val="nil"/>
              <w:left w:val="nil"/>
              <w:bottom w:val="nil"/>
              <w:right w:val="nil"/>
            </w:tcBorders>
            <w:shd w:val="clear" w:color="auto" w:fill="auto"/>
            <w:noWrap/>
            <w:vAlign w:val="bottom"/>
            <w:hideMark/>
          </w:tcPr>
          <w:p w14:paraId="1C118946"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52</w:t>
            </w:r>
          </w:p>
        </w:tc>
        <w:tc>
          <w:tcPr>
            <w:tcW w:w="255" w:type="pct"/>
            <w:tcBorders>
              <w:top w:val="nil"/>
              <w:left w:val="nil"/>
              <w:bottom w:val="nil"/>
              <w:right w:val="nil"/>
            </w:tcBorders>
            <w:shd w:val="clear" w:color="auto" w:fill="auto"/>
            <w:noWrap/>
            <w:vAlign w:val="bottom"/>
            <w:hideMark/>
          </w:tcPr>
          <w:p w14:paraId="67CBFDB2"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9.6%</w:t>
            </w:r>
          </w:p>
        </w:tc>
        <w:tc>
          <w:tcPr>
            <w:tcW w:w="309" w:type="pct"/>
            <w:tcBorders>
              <w:top w:val="nil"/>
              <w:left w:val="single" w:sz="4" w:space="0" w:color="auto"/>
              <w:bottom w:val="nil"/>
              <w:right w:val="nil"/>
            </w:tcBorders>
            <w:shd w:val="clear" w:color="auto" w:fill="auto"/>
            <w:noWrap/>
            <w:vAlign w:val="bottom"/>
            <w:hideMark/>
          </w:tcPr>
          <w:p w14:paraId="17D08982"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693</w:t>
            </w:r>
          </w:p>
        </w:tc>
        <w:tc>
          <w:tcPr>
            <w:tcW w:w="255" w:type="pct"/>
            <w:tcBorders>
              <w:top w:val="nil"/>
              <w:left w:val="nil"/>
              <w:bottom w:val="nil"/>
              <w:right w:val="single" w:sz="4" w:space="0" w:color="auto"/>
            </w:tcBorders>
            <w:shd w:val="clear" w:color="auto" w:fill="auto"/>
            <w:noWrap/>
            <w:vAlign w:val="bottom"/>
            <w:hideMark/>
          </w:tcPr>
          <w:p w14:paraId="3637ECA9"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10.8%</w:t>
            </w:r>
          </w:p>
        </w:tc>
        <w:tc>
          <w:tcPr>
            <w:tcW w:w="419" w:type="pct"/>
            <w:tcBorders>
              <w:top w:val="nil"/>
              <w:left w:val="nil"/>
              <w:bottom w:val="single" w:sz="4" w:space="0" w:color="auto"/>
              <w:right w:val="nil"/>
            </w:tcBorders>
            <w:shd w:val="clear" w:color="auto" w:fill="auto"/>
            <w:noWrap/>
            <w:vAlign w:val="bottom"/>
            <w:hideMark/>
          </w:tcPr>
          <w:p w14:paraId="1A7EDE39"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0.91</w:t>
            </w:r>
          </w:p>
        </w:tc>
        <w:tc>
          <w:tcPr>
            <w:tcW w:w="338" w:type="pct"/>
            <w:tcBorders>
              <w:top w:val="nil"/>
              <w:left w:val="nil"/>
              <w:bottom w:val="single" w:sz="4" w:space="0" w:color="auto"/>
              <w:right w:val="nil"/>
            </w:tcBorders>
            <w:shd w:val="clear" w:color="auto" w:fill="auto"/>
            <w:noWrap/>
            <w:vAlign w:val="bottom"/>
            <w:hideMark/>
          </w:tcPr>
          <w:p w14:paraId="101FE77C"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0.63,1.31</w:t>
            </w:r>
          </w:p>
        </w:tc>
        <w:tc>
          <w:tcPr>
            <w:tcW w:w="419" w:type="pct"/>
            <w:tcBorders>
              <w:top w:val="nil"/>
              <w:left w:val="single" w:sz="4" w:space="0" w:color="auto"/>
              <w:bottom w:val="single" w:sz="4" w:space="0" w:color="auto"/>
              <w:right w:val="nil"/>
            </w:tcBorders>
            <w:shd w:val="clear" w:color="auto" w:fill="auto"/>
            <w:noWrap/>
            <w:vAlign w:val="bottom"/>
            <w:hideMark/>
          </w:tcPr>
          <w:p w14:paraId="33002B0F"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1.09</w:t>
            </w:r>
          </w:p>
        </w:tc>
        <w:tc>
          <w:tcPr>
            <w:tcW w:w="338" w:type="pct"/>
            <w:tcBorders>
              <w:top w:val="nil"/>
              <w:left w:val="nil"/>
              <w:bottom w:val="single" w:sz="4" w:space="0" w:color="auto"/>
              <w:right w:val="single" w:sz="4" w:space="0" w:color="auto"/>
            </w:tcBorders>
            <w:shd w:val="clear" w:color="auto" w:fill="auto"/>
            <w:noWrap/>
            <w:vAlign w:val="bottom"/>
            <w:hideMark/>
          </w:tcPr>
          <w:p w14:paraId="28809BF8"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0.74,1.60</w:t>
            </w:r>
          </w:p>
        </w:tc>
        <w:tc>
          <w:tcPr>
            <w:tcW w:w="419" w:type="pct"/>
            <w:tcBorders>
              <w:top w:val="nil"/>
              <w:left w:val="nil"/>
              <w:bottom w:val="single" w:sz="4" w:space="0" w:color="auto"/>
              <w:right w:val="nil"/>
            </w:tcBorders>
            <w:shd w:val="clear" w:color="auto" w:fill="auto"/>
            <w:noWrap/>
            <w:vAlign w:val="bottom"/>
            <w:hideMark/>
          </w:tcPr>
          <w:p w14:paraId="68EC3170"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1.02</w:t>
            </w:r>
          </w:p>
        </w:tc>
        <w:tc>
          <w:tcPr>
            <w:tcW w:w="339" w:type="pct"/>
            <w:tcBorders>
              <w:top w:val="nil"/>
              <w:left w:val="nil"/>
              <w:bottom w:val="single" w:sz="4" w:space="0" w:color="auto"/>
              <w:right w:val="single" w:sz="4" w:space="0" w:color="auto"/>
            </w:tcBorders>
            <w:shd w:val="clear" w:color="auto" w:fill="auto"/>
            <w:noWrap/>
            <w:vAlign w:val="bottom"/>
            <w:hideMark/>
          </w:tcPr>
          <w:p w14:paraId="4831864E"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0.66,1.57</w:t>
            </w:r>
          </w:p>
        </w:tc>
      </w:tr>
      <w:tr w:rsidR="00F4173A" w:rsidRPr="00F4173A" w14:paraId="302825AE" w14:textId="77777777" w:rsidTr="003F6EDF">
        <w:trPr>
          <w:trHeight w:val="288"/>
        </w:trPr>
        <w:tc>
          <w:tcPr>
            <w:tcW w:w="9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5287A1" w14:textId="674836E4" w:rsidR="00F4173A" w:rsidRPr="00F4173A" w:rsidRDefault="00F4173A" w:rsidP="00F4173A">
            <w:pPr>
              <w:spacing w:before="0" w:after="0"/>
              <w:jc w:val="center"/>
              <w:rPr>
                <w:rFonts w:eastAsia="Times New Roman" w:cs="Times New Roman"/>
                <w:b/>
                <w:bCs/>
                <w:color w:val="000000"/>
                <w:szCs w:val="22"/>
                <w:lang w:eastAsia="en-GB"/>
              </w:rPr>
            </w:pPr>
            <w:r w:rsidRPr="00F4173A">
              <w:rPr>
                <w:rFonts w:eastAsia="Times New Roman" w:cs="Times New Roman"/>
                <w:b/>
                <w:bCs/>
                <w:color w:val="000000"/>
                <w:szCs w:val="22"/>
                <w:lang w:eastAsia="en-GB"/>
              </w:rPr>
              <w:t xml:space="preserve">AUDIT </w:t>
            </w:r>
            <w:r w:rsidR="004D3A09">
              <w:rPr>
                <w:rFonts w:eastAsia="Times New Roman" w:cs="Times New Roman"/>
                <w:b/>
                <w:bCs/>
                <w:color w:val="000000"/>
                <w:szCs w:val="22"/>
                <w:lang w:eastAsia="en-GB"/>
              </w:rPr>
              <w:t>domains</w:t>
            </w:r>
          </w:p>
        </w:tc>
        <w:tc>
          <w:tcPr>
            <w:tcW w:w="664" w:type="pct"/>
            <w:tcBorders>
              <w:top w:val="single" w:sz="4" w:space="0" w:color="auto"/>
              <w:left w:val="nil"/>
              <w:bottom w:val="nil"/>
              <w:right w:val="single" w:sz="4" w:space="0" w:color="auto"/>
            </w:tcBorders>
            <w:shd w:val="clear" w:color="auto" w:fill="auto"/>
            <w:noWrap/>
            <w:vAlign w:val="center"/>
            <w:hideMark/>
          </w:tcPr>
          <w:p w14:paraId="092A1EE2" w14:textId="77777777" w:rsidR="00F4173A" w:rsidRPr="00F4173A" w:rsidRDefault="00F4173A" w:rsidP="00F4173A">
            <w:pPr>
              <w:spacing w:before="0" w:after="0"/>
              <w:rPr>
                <w:rFonts w:eastAsia="Times New Roman" w:cs="Times New Roman"/>
                <w:i/>
                <w:iCs/>
                <w:color w:val="000000"/>
                <w:szCs w:val="22"/>
                <w:lang w:eastAsia="en-GB"/>
              </w:rPr>
            </w:pPr>
            <w:r w:rsidRPr="00F4173A">
              <w:rPr>
                <w:rFonts w:eastAsia="Times New Roman" w:cs="Times New Roman"/>
                <w:i/>
                <w:iCs/>
                <w:color w:val="000000"/>
                <w:szCs w:val="22"/>
                <w:lang w:eastAsia="en-GB"/>
              </w:rPr>
              <w:t>Hazardous</w:t>
            </w:r>
          </w:p>
        </w:tc>
        <w:tc>
          <w:tcPr>
            <w:tcW w:w="309" w:type="pct"/>
            <w:tcBorders>
              <w:top w:val="single" w:sz="4" w:space="0" w:color="auto"/>
              <w:left w:val="nil"/>
              <w:bottom w:val="nil"/>
              <w:right w:val="nil"/>
            </w:tcBorders>
            <w:shd w:val="clear" w:color="auto" w:fill="auto"/>
            <w:noWrap/>
            <w:vAlign w:val="bottom"/>
            <w:hideMark/>
          </w:tcPr>
          <w:p w14:paraId="2FEF6D17"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228</w:t>
            </w:r>
          </w:p>
        </w:tc>
        <w:tc>
          <w:tcPr>
            <w:tcW w:w="255" w:type="pct"/>
            <w:tcBorders>
              <w:top w:val="single" w:sz="4" w:space="0" w:color="auto"/>
              <w:left w:val="nil"/>
              <w:bottom w:val="nil"/>
              <w:right w:val="nil"/>
            </w:tcBorders>
            <w:shd w:val="clear" w:color="auto" w:fill="auto"/>
            <w:noWrap/>
            <w:vAlign w:val="bottom"/>
            <w:hideMark/>
          </w:tcPr>
          <w:p w14:paraId="0F38CC8C"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42.4%</w:t>
            </w:r>
          </w:p>
        </w:tc>
        <w:tc>
          <w:tcPr>
            <w:tcW w:w="309" w:type="pct"/>
            <w:tcBorders>
              <w:top w:val="single" w:sz="4" w:space="0" w:color="auto"/>
              <w:left w:val="single" w:sz="4" w:space="0" w:color="auto"/>
              <w:bottom w:val="nil"/>
              <w:right w:val="nil"/>
            </w:tcBorders>
            <w:shd w:val="clear" w:color="auto" w:fill="auto"/>
            <w:noWrap/>
            <w:vAlign w:val="bottom"/>
            <w:hideMark/>
          </w:tcPr>
          <w:p w14:paraId="110BCB63"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1,560</w:t>
            </w:r>
          </w:p>
        </w:tc>
        <w:tc>
          <w:tcPr>
            <w:tcW w:w="255" w:type="pct"/>
            <w:tcBorders>
              <w:top w:val="single" w:sz="4" w:space="0" w:color="auto"/>
              <w:left w:val="nil"/>
              <w:bottom w:val="nil"/>
              <w:right w:val="single" w:sz="4" w:space="0" w:color="auto"/>
            </w:tcBorders>
            <w:shd w:val="clear" w:color="auto" w:fill="auto"/>
            <w:noWrap/>
            <w:vAlign w:val="bottom"/>
            <w:hideMark/>
          </w:tcPr>
          <w:p w14:paraId="0C86551B"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30.3%</w:t>
            </w:r>
          </w:p>
        </w:tc>
        <w:tc>
          <w:tcPr>
            <w:tcW w:w="419" w:type="pct"/>
            <w:tcBorders>
              <w:top w:val="nil"/>
              <w:left w:val="nil"/>
              <w:bottom w:val="nil"/>
              <w:right w:val="nil"/>
            </w:tcBorders>
            <w:shd w:val="clear" w:color="auto" w:fill="auto"/>
            <w:noWrap/>
            <w:vAlign w:val="bottom"/>
            <w:hideMark/>
          </w:tcPr>
          <w:p w14:paraId="187BB2DF" w14:textId="79A520DA"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1.69</w:t>
            </w:r>
          </w:p>
        </w:tc>
        <w:tc>
          <w:tcPr>
            <w:tcW w:w="338" w:type="pct"/>
            <w:tcBorders>
              <w:top w:val="nil"/>
              <w:left w:val="nil"/>
              <w:bottom w:val="nil"/>
              <w:right w:val="nil"/>
            </w:tcBorders>
            <w:shd w:val="clear" w:color="auto" w:fill="auto"/>
            <w:noWrap/>
            <w:vAlign w:val="bottom"/>
            <w:hideMark/>
          </w:tcPr>
          <w:p w14:paraId="5C89C21E"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1.19,2.40</w:t>
            </w:r>
          </w:p>
        </w:tc>
        <w:tc>
          <w:tcPr>
            <w:tcW w:w="419" w:type="pct"/>
            <w:tcBorders>
              <w:top w:val="nil"/>
              <w:left w:val="single" w:sz="4" w:space="0" w:color="auto"/>
              <w:bottom w:val="nil"/>
              <w:right w:val="nil"/>
            </w:tcBorders>
            <w:shd w:val="clear" w:color="auto" w:fill="auto"/>
            <w:noWrap/>
            <w:vAlign w:val="bottom"/>
            <w:hideMark/>
          </w:tcPr>
          <w:p w14:paraId="2BE8E014" w14:textId="4EEA4FD1"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1.66</w:t>
            </w:r>
          </w:p>
        </w:tc>
        <w:tc>
          <w:tcPr>
            <w:tcW w:w="338" w:type="pct"/>
            <w:tcBorders>
              <w:top w:val="nil"/>
              <w:left w:val="nil"/>
              <w:bottom w:val="nil"/>
              <w:right w:val="single" w:sz="4" w:space="0" w:color="auto"/>
            </w:tcBorders>
            <w:shd w:val="clear" w:color="auto" w:fill="auto"/>
            <w:noWrap/>
            <w:vAlign w:val="bottom"/>
            <w:hideMark/>
          </w:tcPr>
          <w:p w14:paraId="1FE91750"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1.13,2.44</w:t>
            </w:r>
          </w:p>
        </w:tc>
        <w:tc>
          <w:tcPr>
            <w:tcW w:w="419" w:type="pct"/>
            <w:tcBorders>
              <w:top w:val="nil"/>
              <w:left w:val="nil"/>
              <w:bottom w:val="nil"/>
              <w:right w:val="nil"/>
            </w:tcBorders>
            <w:shd w:val="clear" w:color="auto" w:fill="auto"/>
            <w:noWrap/>
            <w:vAlign w:val="bottom"/>
            <w:hideMark/>
          </w:tcPr>
          <w:p w14:paraId="4C302CCE" w14:textId="0E04F240"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1.78</w:t>
            </w:r>
          </w:p>
        </w:tc>
        <w:tc>
          <w:tcPr>
            <w:tcW w:w="339" w:type="pct"/>
            <w:tcBorders>
              <w:top w:val="nil"/>
              <w:left w:val="nil"/>
              <w:bottom w:val="nil"/>
              <w:right w:val="single" w:sz="4" w:space="0" w:color="auto"/>
            </w:tcBorders>
            <w:shd w:val="clear" w:color="auto" w:fill="auto"/>
            <w:noWrap/>
            <w:vAlign w:val="bottom"/>
            <w:hideMark/>
          </w:tcPr>
          <w:p w14:paraId="6F33C562"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1.17,2.72</w:t>
            </w:r>
          </w:p>
        </w:tc>
      </w:tr>
      <w:tr w:rsidR="00F4173A" w:rsidRPr="00F4173A" w14:paraId="68B96D80" w14:textId="77777777" w:rsidTr="003F6EDF">
        <w:trPr>
          <w:trHeight w:val="288"/>
        </w:trPr>
        <w:tc>
          <w:tcPr>
            <w:tcW w:w="936" w:type="pct"/>
            <w:vMerge/>
            <w:tcBorders>
              <w:top w:val="single" w:sz="4" w:space="0" w:color="auto"/>
              <w:left w:val="single" w:sz="4" w:space="0" w:color="auto"/>
              <w:bottom w:val="single" w:sz="4" w:space="0" w:color="000000"/>
              <w:right w:val="single" w:sz="4" w:space="0" w:color="auto"/>
            </w:tcBorders>
            <w:vAlign w:val="center"/>
            <w:hideMark/>
          </w:tcPr>
          <w:p w14:paraId="0F3A5F67" w14:textId="77777777" w:rsidR="00F4173A" w:rsidRPr="00F4173A" w:rsidRDefault="00F4173A" w:rsidP="00F4173A">
            <w:pPr>
              <w:spacing w:before="0" w:after="0"/>
              <w:rPr>
                <w:rFonts w:eastAsia="Times New Roman" w:cs="Times New Roman"/>
                <w:b/>
                <w:bCs/>
                <w:color w:val="000000"/>
                <w:szCs w:val="22"/>
                <w:lang w:eastAsia="en-GB"/>
              </w:rPr>
            </w:pPr>
          </w:p>
        </w:tc>
        <w:tc>
          <w:tcPr>
            <w:tcW w:w="664" w:type="pct"/>
            <w:tcBorders>
              <w:top w:val="nil"/>
              <w:left w:val="nil"/>
              <w:bottom w:val="nil"/>
              <w:right w:val="single" w:sz="4" w:space="0" w:color="auto"/>
            </w:tcBorders>
            <w:shd w:val="clear" w:color="auto" w:fill="auto"/>
            <w:noWrap/>
            <w:vAlign w:val="center"/>
            <w:hideMark/>
          </w:tcPr>
          <w:p w14:paraId="4D6AA811" w14:textId="77777777" w:rsidR="00F4173A" w:rsidRPr="00F4173A" w:rsidRDefault="00F4173A" w:rsidP="00F4173A">
            <w:pPr>
              <w:spacing w:before="0" w:after="0"/>
              <w:rPr>
                <w:rFonts w:eastAsia="Times New Roman" w:cs="Times New Roman"/>
                <w:i/>
                <w:iCs/>
                <w:color w:val="000000"/>
                <w:szCs w:val="22"/>
                <w:lang w:eastAsia="en-GB"/>
              </w:rPr>
            </w:pPr>
            <w:r w:rsidRPr="00F4173A">
              <w:rPr>
                <w:rFonts w:eastAsia="Times New Roman" w:cs="Times New Roman"/>
                <w:i/>
                <w:iCs/>
                <w:color w:val="000000"/>
                <w:szCs w:val="22"/>
                <w:lang w:eastAsia="en-GB"/>
              </w:rPr>
              <w:t>Present Harm</w:t>
            </w:r>
          </w:p>
        </w:tc>
        <w:tc>
          <w:tcPr>
            <w:tcW w:w="309" w:type="pct"/>
            <w:tcBorders>
              <w:top w:val="nil"/>
              <w:left w:val="nil"/>
              <w:bottom w:val="nil"/>
              <w:right w:val="nil"/>
            </w:tcBorders>
            <w:shd w:val="clear" w:color="auto" w:fill="auto"/>
            <w:noWrap/>
            <w:vAlign w:val="bottom"/>
            <w:hideMark/>
          </w:tcPr>
          <w:p w14:paraId="0FBE701E"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84</w:t>
            </w:r>
          </w:p>
        </w:tc>
        <w:tc>
          <w:tcPr>
            <w:tcW w:w="255" w:type="pct"/>
            <w:tcBorders>
              <w:top w:val="nil"/>
              <w:left w:val="nil"/>
              <w:bottom w:val="nil"/>
              <w:right w:val="nil"/>
            </w:tcBorders>
            <w:shd w:val="clear" w:color="auto" w:fill="auto"/>
            <w:noWrap/>
            <w:vAlign w:val="bottom"/>
            <w:hideMark/>
          </w:tcPr>
          <w:p w14:paraId="17DFDD82"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19.7%</w:t>
            </w:r>
          </w:p>
        </w:tc>
        <w:tc>
          <w:tcPr>
            <w:tcW w:w="309" w:type="pct"/>
            <w:tcBorders>
              <w:top w:val="nil"/>
              <w:left w:val="single" w:sz="4" w:space="0" w:color="auto"/>
              <w:bottom w:val="nil"/>
              <w:right w:val="nil"/>
            </w:tcBorders>
            <w:shd w:val="clear" w:color="auto" w:fill="auto"/>
            <w:noWrap/>
            <w:vAlign w:val="bottom"/>
            <w:hideMark/>
          </w:tcPr>
          <w:p w14:paraId="024176F5"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762</w:t>
            </w:r>
          </w:p>
        </w:tc>
        <w:tc>
          <w:tcPr>
            <w:tcW w:w="255" w:type="pct"/>
            <w:tcBorders>
              <w:top w:val="nil"/>
              <w:left w:val="nil"/>
              <w:bottom w:val="nil"/>
              <w:right w:val="single" w:sz="4" w:space="0" w:color="auto"/>
            </w:tcBorders>
            <w:shd w:val="clear" w:color="auto" w:fill="auto"/>
            <w:noWrap/>
            <w:vAlign w:val="bottom"/>
            <w:hideMark/>
          </w:tcPr>
          <w:p w14:paraId="247D475C"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16.5%</w:t>
            </w:r>
          </w:p>
        </w:tc>
        <w:tc>
          <w:tcPr>
            <w:tcW w:w="419" w:type="pct"/>
            <w:tcBorders>
              <w:top w:val="nil"/>
              <w:left w:val="nil"/>
              <w:bottom w:val="nil"/>
              <w:right w:val="nil"/>
            </w:tcBorders>
            <w:shd w:val="clear" w:color="auto" w:fill="auto"/>
            <w:noWrap/>
            <w:vAlign w:val="bottom"/>
            <w:hideMark/>
          </w:tcPr>
          <w:p w14:paraId="75274A4B"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0.91</w:t>
            </w:r>
          </w:p>
        </w:tc>
        <w:tc>
          <w:tcPr>
            <w:tcW w:w="338" w:type="pct"/>
            <w:tcBorders>
              <w:top w:val="nil"/>
              <w:left w:val="nil"/>
              <w:bottom w:val="nil"/>
              <w:right w:val="nil"/>
            </w:tcBorders>
            <w:shd w:val="clear" w:color="auto" w:fill="auto"/>
            <w:noWrap/>
            <w:vAlign w:val="bottom"/>
            <w:hideMark/>
          </w:tcPr>
          <w:p w14:paraId="7F5A2716"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0.63,1.31</w:t>
            </w:r>
          </w:p>
        </w:tc>
        <w:tc>
          <w:tcPr>
            <w:tcW w:w="419" w:type="pct"/>
            <w:tcBorders>
              <w:top w:val="nil"/>
              <w:left w:val="single" w:sz="4" w:space="0" w:color="auto"/>
              <w:bottom w:val="nil"/>
              <w:right w:val="nil"/>
            </w:tcBorders>
            <w:shd w:val="clear" w:color="auto" w:fill="auto"/>
            <w:noWrap/>
            <w:vAlign w:val="bottom"/>
            <w:hideMark/>
          </w:tcPr>
          <w:p w14:paraId="409A8355"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1.09</w:t>
            </w:r>
          </w:p>
        </w:tc>
        <w:tc>
          <w:tcPr>
            <w:tcW w:w="338" w:type="pct"/>
            <w:tcBorders>
              <w:top w:val="nil"/>
              <w:left w:val="nil"/>
              <w:bottom w:val="nil"/>
              <w:right w:val="single" w:sz="4" w:space="0" w:color="auto"/>
            </w:tcBorders>
            <w:shd w:val="clear" w:color="auto" w:fill="auto"/>
            <w:noWrap/>
            <w:vAlign w:val="bottom"/>
            <w:hideMark/>
          </w:tcPr>
          <w:p w14:paraId="02AD35F7"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0.74,1.60</w:t>
            </w:r>
          </w:p>
        </w:tc>
        <w:tc>
          <w:tcPr>
            <w:tcW w:w="419" w:type="pct"/>
            <w:tcBorders>
              <w:top w:val="nil"/>
              <w:left w:val="nil"/>
              <w:bottom w:val="nil"/>
              <w:right w:val="nil"/>
            </w:tcBorders>
            <w:shd w:val="clear" w:color="auto" w:fill="auto"/>
            <w:noWrap/>
            <w:vAlign w:val="bottom"/>
            <w:hideMark/>
          </w:tcPr>
          <w:p w14:paraId="49FBEF4A"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1.02</w:t>
            </w:r>
          </w:p>
        </w:tc>
        <w:tc>
          <w:tcPr>
            <w:tcW w:w="339" w:type="pct"/>
            <w:tcBorders>
              <w:top w:val="nil"/>
              <w:left w:val="nil"/>
              <w:bottom w:val="nil"/>
              <w:right w:val="single" w:sz="4" w:space="0" w:color="auto"/>
            </w:tcBorders>
            <w:shd w:val="clear" w:color="auto" w:fill="auto"/>
            <w:noWrap/>
            <w:vAlign w:val="bottom"/>
            <w:hideMark/>
          </w:tcPr>
          <w:p w14:paraId="6117CA51"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0.66,1.57</w:t>
            </w:r>
          </w:p>
        </w:tc>
      </w:tr>
      <w:tr w:rsidR="00F4173A" w:rsidRPr="00F4173A" w14:paraId="7B7BDAD2" w14:textId="77777777" w:rsidTr="003F6EDF">
        <w:trPr>
          <w:trHeight w:val="300"/>
        </w:trPr>
        <w:tc>
          <w:tcPr>
            <w:tcW w:w="936" w:type="pct"/>
            <w:vMerge/>
            <w:tcBorders>
              <w:top w:val="single" w:sz="4" w:space="0" w:color="auto"/>
              <w:left w:val="single" w:sz="4" w:space="0" w:color="auto"/>
              <w:bottom w:val="single" w:sz="4" w:space="0" w:color="000000"/>
              <w:right w:val="single" w:sz="4" w:space="0" w:color="auto"/>
            </w:tcBorders>
            <w:vAlign w:val="center"/>
            <w:hideMark/>
          </w:tcPr>
          <w:p w14:paraId="2CAAACCE" w14:textId="77777777" w:rsidR="00F4173A" w:rsidRPr="00F4173A" w:rsidRDefault="00F4173A" w:rsidP="00F4173A">
            <w:pPr>
              <w:spacing w:before="0" w:after="0"/>
              <w:rPr>
                <w:rFonts w:eastAsia="Times New Roman" w:cs="Times New Roman"/>
                <w:b/>
                <w:bCs/>
                <w:color w:val="000000"/>
                <w:szCs w:val="22"/>
                <w:lang w:eastAsia="en-GB"/>
              </w:rPr>
            </w:pPr>
          </w:p>
        </w:tc>
        <w:tc>
          <w:tcPr>
            <w:tcW w:w="664" w:type="pct"/>
            <w:tcBorders>
              <w:top w:val="nil"/>
              <w:left w:val="nil"/>
              <w:bottom w:val="single" w:sz="4" w:space="0" w:color="auto"/>
              <w:right w:val="single" w:sz="4" w:space="0" w:color="auto"/>
            </w:tcBorders>
            <w:shd w:val="clear" w:color="auto" w:fill="auto"/>
            <w:noWrap/>
            <w:vAlign w:val="center"/>
            <w:hideMark/>
          </w:tcPr>
          <w:p w14:paraId="2AB4247E" w14:textId="77777777" w:rsidR="00F4173A" w:rsidRPr="00F4173A" w:rsidRDefault="00F4173A" w:rsidP="00F4173A">
            <w:pPr>
              <w:spacing w:before="0" w:after="0"/>
              <w:rPr>
                <w:rFonts w:eastAsia="Times New Roman" w:cs="Times New Roman"/>
                <w:i/>
                <w:iCs/>
                <w:color w:val="000000"/>
                <w:szCs w:val="22"/>
                <w:lang w:eastAsia="en-GB"/>
              </w:rPr>
            </w:pPr>
            <w:r w:rsidRPr="00F4173A">
              <w:rPr>
                <w:rFonts w:eastAsia="Times New Roman" w:cs="Times New Roman"/>
                <w:i/>
                <w:iCs/>
                <w:color w:val="000000"/>
                <w:szCs w:val="22"/>
                <w:lang w:eastAsia="en-GB"/>
              </w:rPr>
              <w:t>Alcohol Dependence</w:t>
            </w:r>
          </w:p>
        </w:tc>
        <w:tc>
          <w:tcPr>
            <w:tcW w:w="309" w:type="pct"/>
            <w:tcBorders>
              <w:top w:val="nil"/>
              <w:left w:val="nil"/>
              <w:bottom w:val="single" w:sz="4" w:space="0" w:color="auto"/>
              <w:right w:val="nil"/>
            </w:tcBorders>
            <w:shd w:val="clear" w:color="auto" w:fill="auto"/>
            <w:noWrap/>
            <w:vAlign w:val="bottom"/>
            <w:hideMark/>
          </w:tcPr>
          <w:p w14:paraId="5BE8BE74"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43</w:t>
            </w:r>
          </w:p>
        </w:tc>
        <w:tc>
          <w:tcPr>
            <w:tcW w:w="255" w:type="pct"/>
            <w:tcBorders>
              <w:top w:val="nil"/>
              <w:left w:val="nil"/>
              <w:bottom w:val="single" w:sz="4" w:space="0" w:color="auto"/>
              <w:right w:val="single" w:sz="4" w:space="0" w:color="auto"/>
            </w:tcBorders>
            <w:shd w:val="clear" w:color="auto" w:fill="auto"/>
            <w:noWrap/>
            <w:vAlign w:val="bottom"/>
            <w:hideMark/>
          </w:tcPr>
          <w:p w14:paraId="0ADF4954"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9.2%</w:t>
            </w:r>
          </w:p>
        </w:tc>
        <w:tc>
          <w:tcPr>
            <w:tcW w:w="309" w:type="pct"/>
            <w:tcBorders>
              <w:top w:val="nil"/>
              <w:left w:val="nil"/>
              <w:bottom w:val="single" w:sz="4" w:space="0" w:color="auto"/>
              <w:right w:val="nil"/>
            </w:tcBorders>
            <w:shd w:val="clear" w:color="auto" w:fill="auto"/>
            <w:noWrap/>
            <w:vAlign w:val="bottom"/>
            <w:hideMark/>
          </w:tcPr>
          <w:p w14:paraId="330CBF2F"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309</w:t>
            </w:r>
          </w:p>
        </w:tc>
        <w:tc>
          <w:tcPr>
            <w:tcW w:w="255" w:type="pct"/>
            <w:tcBorders>
              <w:top w:val="nil"/>
              <w:left w:val="nil"/>
              <w:bottom w:val="single" w:sz="4" w:space="0" w:color="auto"/>
              <w:right w:val="single" w:sz="4" w:space="0" w:color="auto"/>
            </w:tcBorders>
            <w:shd w:val="clear" w:color="auto" w:fill="auto"/>
            <w:noWrap/>
            <w:vAlign w:val="bottom"/>
            <w:hideMark/>
          </w:tcPr>
          <w:p w14:paraId="0B0F333D"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7.0%</w:t>
            </w:r>
          </w:p>
        </w:tc>
        <w:tc>
          <w:tcPr>
            <w:tcW w:w="419" w:type="pct"/>
            <w:tcBorders>
              <w:top w:val="nil"/>
              <w:left w:val="nil"/>
              <w:bottom w:val="single" w:sz="4" w:space="0" w:color="auto"/>
              <w:right w:val="nil"/>
            </w:tcBorders>
            <w:shd w:val="clear" w:color="auto" w:fill="auto"/>
            <w:noWrap/>
            <w:vAlign w:val="bottom"/>
            <w:hideMark/>
          </w:tcPr>
          <w:p w14:paraId="612D515F"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1.31</w:t>
            </w:r>
          </w:p>
        </w:tc>
        <w:tc>
          <w:tcPr>
            <w:tcW w:w="338" w:type="pct"/>
            <w:tcBorders>
              <w:top w:val="nil"/>
              <w:left w:val="nil"/>
              <w:bottom w:val="single" w:sz="4" w:space="0" w:color="auto"/>
              <w:right w:val="single" w:sz="4" w:space="0" w:color="auto"/>
            </w:tcBorders>
            <w:shd w:val="clear" w:color="auto" w:fill="auto"/>
            <w:noWrap/>
            <w:vAlign w:val="bottom"/>
            <w:hideMark/>
          </w:tcPr>
          <w:p w14:paraId="22979BC8"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0.86,2.00</w:t>
            </w:r>
          </w:p>
        </w:tc>
        <w:tc>
          <w:tcPr>
            <w:tcW w:w="419" w:type="pct"/>
            <w:tcBorders>
              <w:top w:val="nil"/>
              <w:left w:val="nil"/>
              <w:bottom w:val="single" w:sz="4" w:space="0" w:color="auto"/>
              <w:right w:val="nil"/>
            </w:tcBorders>
            <w:shd w:val="clear" w:color="auto" w:fill="auto"/>
            <w:noWrap/>
            <w:vAlign w:val="bottom"/>
            <w:hideMark/>
          </w:tcPr>
          <w:p w14:paraId="2D3FFB35" w14:textId="666AAFAC"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1.93</w:t>
            </w:r>
          </w:p>
        </w:tc>
        <w:tc>
          <w:tcPr>
            <w:tcW w:w="338" w:type="pct"/>
            <w:tcBorders>
              <w:top w:val="nil"/>
              <w:left w:val="nil"/>
              <w:bottom w:val="single" w:sz="4" w:space="0" w:color="auto"/>
              <w:right w:val="single" w:sz="4" w:space="0" w:color="auto"/>
            </w:tcBorders>
            <w:shd w:val="clear" w:color="auto" w:fill="auto"/>
            <w:noWrap/>
            <w:vAlign w:val="bottom"/>
            <w:hideMark/>
          </w:tcPr>
          <w:p w14:paraId="0A94F8E6"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1.17,3.19</w:t>
            </w:r>
          </w:p>
        </w:tc>
        <w:tc>
          <w:tcPr>
            <w:tcW w:w="419" w:type="pct"/>
            <w:tcBorders>
              <w:top w:val="nil"/>
              <w:left w:val="nil"/>
              <w:bottom w:val="single" w:sz="4" w:space="0" w:color="auto"/>
              <w:right w:val="nil"/>
            </w:tcBorders>
            <w:shd w:val="clear" w:color="auto" w:fill="auto"/>
            <w:noWrap/>
            <w:vAlign w:val="bottom"/>
            <w:hideMark/>
          </w:tcPr>
          <w:p w14:paraId="101D3E77"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1.38</w:t>
            </w:r>
          </w:p>
        </w:tc>
        <w:tc>
          <w:tcPr>
            <w:tcW w:w="339" w:type="pct"/>
            <w:tcBorders>
              <w:top w:val="nil"/>
              <w:left w:val="nil"/>
              <w:bottom w:val="single" w:sz="4" w:space="0" w:color="auto"/>
              <w:right w:val="single" w:sz="4" w:space="0" w:color="auto"/>
            </w:tcBorders>
            <w:shd w:val="clear" w:color="auto" w:fill="auto"/>
            <w:noWrap/>
            <w:vAlign w:val="bottom"/>
            <w:hideMark/>
          </w:tcPr>
          <w:p w14:paraId="4CF20377" w14:textId="77777777" w:rsidR="00F4173A" w:rsidRPr="00F4173A" w:rsidRDefault="00F4173A" w:rsidP="00B14FAA">
            <w:pPr>
              <w:spacing w:before="0" w:after="0"/>
              <w:jc w:val="center"/>
              <w:rPr>
                <w:rFonts w:eastAsia="Times New Roman" w:cs="Times New Roman"/>
                <w:color w:val="000000"/>
                <w:szCs w:val="22"/>
                <w:lang w:eastAsia="en-GB"/>
              </w:rPr>
            </w:pPr>
            <w:r w:rsidRPr="00F4173A">
              <w:rPr>
                <w:rFonts w:eastAsia="Times New Roman" w:cs="Times New Roman"/>
                <w:color w:val="000000"/>
                <w:szCs w:val="22"/>
                <w:lang w:eastAsia="en-GB"/>
              </w:rPr>
              <w:t>0.80,2.39</w:t>
            </w:r>
          </w:p>
        </w:tc>
      </w:tr>
    </w:tbl>
    <w:p w14:paraId="0D177508" w14:textId="77777777" w:rsidR="00ED2DBB" w:rsidRDefault="00ED2DBB" w:rsidP="001D177F">
      <w:pPr>
        <w:sectPr w:rsidR="00ED2DBB" w:rsidSect="0074392E">
          <w:pgSz w:w="16840" w:h="11900" w:orient="landscape"/>
          <w:pgMar w:top="720" w:right="720" w:bottom="720" w:left="720" w:header="720" w:footer="720" w:gutter="0"/>
          <w:cols w:space="720"/>
          <w:docGrid w:linePitch="360"/>
        </w:sectPr>
      </w:pPr>
    </w:p>
    <w:p w14:paraId="4ECE9AC9" w14:textId="4244B40A" w:rsidR="00767ACF" w:rsidRPr="00767ACF" w:rsidRDefault="0014136F" w:rsidP="00767ACF">
      <w:pPr>
        <w:pStyle w:val="Caption"/>
        <w:rPr>
          <w:b w:val="0"/>
        </w:rPr>
      </w:pPr>
      <w:r w:rsidRPr="0047595D">
        <w:lastRenderedPageBreak/>
        <w:t xml:space="preserve">Table </w:t>
      </w:r>
      <w:r w:rsidR="00167A09">
        <w:rPr>
          <w:noProof/>
        </w:rPr>
        <w:fldChar w:fldCharType="begin"/>
      </w:r>
      <w:r w:rsidR="00167A09">
        <w:rPr>
          <w:noProof/>
        </w:rPr>
        <w:instrText xml:space="preserve"> SEQ Table \* ARABIC </w:instrText>
      </w:r>
      <w:r w:rsidR="00167A09">
        <w:rPr>
          <w:noProof/>
        </w:rPr>
        <w:fldChar w:fldCharType="separate"/>
      </w:r>
      <w:r w:rsidR="00395506">
        <w:rPr>
          <w:noProof/>
        </w:rPr>
        <w:t>4</w:t>
      </w:r>
      <w:r w:rsidR="00167A09">
        <w:rPr>
          <w:noProof/>
        </w:rPr>
        <w:fldChar w:fldCharType="end"/>
      </w:r>
      <w:r w:rsidRPr="0047595D">
        <w:t>: Regression analysis to show the association of socio-demographic characteristics on mental health for veterans and non-veterans separately.</w:t>
      </w:r>
    </w:p>
    <w:tbl>
      <w:tblPr>
        <w:tblW w:w="5011" w:type="pct"/>
        <w:tblLook w:val="04A0" w:firstRow="1" w:lastRow="0" w:firstColumn="1" w:lastColumn="0" w:noHBand="0" w:noVBand="1"/>
      </w:tblPr>
      <w:tblGrid>
        <w:gridCol w:w="603"/>
        <w:gridCol w:w="1829"/>
        <w:gridCol w:w="396"/>
        <w:gridCol w:w="527"/>
        <w:gridCol w:w="1282"/>
        <w:gridCol w:w="456"/>
        <w:gridCol w:w="527"/>
        <w:gridCol w:w="1217"/>
        <w:gridCol w:w="396"/>
        <w:gridCol w:w="527"/>
        <w:gridCol w:w="1282"/>
        <w:gridCol w:w="396"/>
        <w:gridCol w:w="527"/>
        <w:gridCol w:w="1282"/>
        <w:gridCol w:w="396"/>
        <w:gridCol w:w="528"/>
        <w:gridCol w:w="1160"/>
        <w:gridCol w:w="7"/>
        <w:gridCol w:w="392"/>
        <w:gridCol w:w="528"/>
        <w:gridCol w:w="1166"/>
      </w:tblGrid>
      <w:tr w:rsidR="00FD03FF" w:rsidRPr="00C65E8F" w14:paraId="02B358FA" w14:textId="77777777" w:rsidTr="00063136">
        <w:trPr>
          <w:trHeight w:val="352"/>
        </w:trPr>
        <w:tc>
          <w:tcPr>
            <w:tcW w:w="78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19003F" w14:textId="77777777" w:rsidR="00FD03FF" w:rsidRPr="00C65E8F" w:rsidRDefault="00FD03FF" w:rsidP="00FD03FF">
            <w:pPr>
              <w:spacing w:before="0" w:after="0"/>
              <w:jc w:val="center"/>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Socio-demographic Characteristics</w:t>
            </w:r>
          </w:p>
        </w:tc>
        <w:tc>
          <w:tcPr>
            <w:tcW w:w="1428" w:type="pct"/>
            <w:gridSpan w:val="6"/>
            <w:tcBorders>
              <w:top w:val="single" w:sz="4" w:space="0" w:color="auto"/>
              <w:left w:val="nil"/>
              <w:bottom w:val="single" w:sz="4" w:space="0" w:color="auto"/>
              <w:right w:val="single" w:sz="4" w:space="0" w:color="000000"/>
            </w:tcBorders>
            <w:shd w:val="clear" w:color="auto" w:fill="auto"/>
            <w:noWrap/>
            <w:vAlign w:val="bottom"/>
            <w:hideMark/>
          </w:tcPr>
          <w:p w14:paraId="032B335A" w14:textId="1D553F76" w:rsidR="00FD03FF" w:rsidRPr="00C65E8F" w:rsidRDefault="008066CD" w:rsidP="00FD03FF">
            <w:pPr>
              <w:spacing w:before="0" w:after="0"/>
              <w:jc w:val="center"/>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 xml:space="preserve">Probable </w:t>
            </w:r>
            <w:r w:rsidR="00FD03FF" w:rsidRPr="00C65E8F">
              <w:rPr>
                <w:rFonts w:eastAsia="Times New Roman" w:cs="Times New Roman"/>
                <w:b/>
                <w:bCs/>
                <w:color w:val="000000"/>
                <w:sz w:val="12"/>
                <w:szCs w:val="16"/>
                <w:lang w:eastAsia="en-GB"/>
              </w:rPr>
              <w:t>CMD</w:t>
            </w:r>
          </w:p>
        </w:tc>
        <w:tc>
          <w:tcPr>
            <w:tcW w:w="1430" w:type="pct"/>
            <w:gridSpan w:val="6"/>
            <w:tcBorders>
              <w:top w:val="single" w:sz="4" w:space="0" w:color="auto"/>
              <w:left w:val="nil"/>
              <w:bottom w:val="single" w:sz="4" w:space="0" w:color="auto"/>
              <w:right w:val="single" w:sz="4" w:space="0" w:color="000000"/>
            </w:tcBorders>
            <w:shd w:val="clear" w:color="auto" w:fill="auto"/>
            <w:noWrap/>
            <w:vAlign w:val="bottom"/>
            <w:hideMark/>
          </w:tcPr>
          <w:p w14:paraId="2B5DBB98" w14:textId="6DC84E94" w:rsidR="00FD03FF" w:rsidRPr="00C65E8F" w:rsidRDefault="008066CD" w:rsidP="00FD03FF">
            <w:pPr>
              <w:spacing w:before="0" w:after="0"/>
              <w:jc w:val="center"/>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 xml:space="preserve">Probable </w:t>
            </w:r>
            <w:r w:rsidR="00FD03FF" w:rsidRPr="00C65E8F">
              <w:rPr>
                <w:rFonts w:eastAsia="Times New Roman" w:cs="Times New Roman"/>
                <w:b/>
                <w:bCs/>
                <w:color w:val="000000"/>
                <w:sz w:val="12"/>
                <w:szCs w:val="16"/>
                <w:lang w:eastAsia="en-GB"/>
              </w:rPr>
              <w:t>PTSD</w:t>
            </w:r>
          </w:p>
        </w:tc>
        <w:tc>
          <w:tcPr>
            <w:tcW w:w="1354" w:type="pct"/>
            <w:gridSpan w:val="7"/>
            <w:tcBorders>
              <w:top w:val="single" w:sz="4" w:space="0" w:color="auto"/>
              <w:left w:val="nil"/>
              <w:bottom w:val="single" w:sz="4" w:space="0" w:color="auto"/>
              <w:right w:val="single" w:sz="4" w:space="0" w:color="000000"/>
            </w:tcBorders>
            <w:shd w:val="clear" w:color="auto" w:fill="auto"/>
            <w:noWrap/>
            <w:vAlign w:val="bottom"/>
            <w:hideMark/>
          </w:tcPr>
          <w:p w14:paraId="45F27D07" w14:textId="52D07C6F" w:rsidR="00FD03FF" w:rsidRPr="00C65E8F" w:rsidRDefault="008066CD" w:rsidP="00FD03FF">
            <w:pPr>
              <w:spacing w:before="0" w:after="0"/>
              <w:jc w:val="center"/>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 xml:space="preserve">Probable </w:t>
            </w:r>
            <w:r w:rsidR="00FD03FF" w:rsidRPr="00C65E8F">
              <w:rPr>
                <w:rFonts w:eastAsia="Times New Roman" w:cs="Times New Roman"/>
                <w:b/>
                <w:bCs/>
                <w:color w:val="000000"/>
                <w:sz w:val="12"/>
                <w:szCs w:val="16"/>
                <w:lang w:eastAsia="en-GB"/>
              </w:rPr>
              <w:t xml:space="preserve">Alcohol Misuse </w:t>
            </w:r>
          </w:p>
        </w:tc>
      </w:tr>
      <w:tr w:rsidR="00FD03FF" w:rsidRPr="00C65E8F" w14:paraId="63F18388" w14:textId="77777777" w:rsidTr="00063136">
        <w:trPr>
          <w:trHeight w:val="240"/>
        </w:trPr>
        <w:tc>
          <w:tcPr>
            <w:tcW w:w="788" w:type="pct"/>
            <w:gridSpan w:val="2"/>
            <w:vMerge/>
            <w:tcBorders>
              <w:top w:val="single" w:sz="4" w:space="0" w:color="auto"/>
              <w:left w:val="single" w:sz="4" w:space="0" w:color="auto"/>
              <w:bottom w:val="single" w:sz="4" w:space="0" w:color="000000"/>
              <w:right w:val="single" w:sz="4" w:space="0" w:color="000000"/>
            </w:tcBorders>
            <w:vAlign w:val="center"/>
            <w:hideMark/>
          </w:tcPr>
          <w:p w14:paraId="356923B8" w14:textId="77777777" w:rsidR="00FD03FF" w:rsidRPr="00C65E8F" w:rsidRDefault="00FD03FF" w:rsidP="00FD03FF">
            <w:pPr>
              <w:spacing w:before="0" w:after="0"/>
              <w:rPr>
                <w:rFonts w:eastAsia="Times New Roman" w:cs="Times New Roman"/>
                <w:b/>
                <w:bCs/>
                <w:color w:val="000000"/>
                <w:sz w:val="12"/>
                <w:szCs w:val="16"/>
                <w:lang w:eastAsia="en-GB"/>
              </w:rPr>
            </w:pPr>
          </w:p>
        </w:tc>
        <w:tc>
          <w:tcPr>
            <w:tcW w:w="714" w:type="pct"/>
            <w:gridSpan w:val="3"/>
            <w:tcBorders>
              <w:top w:val="single" w:sz="4" w:space="0" w:color="auto"/>
              <w:left w:val="nil"/>
              <w:bottom w:val="single" w:sz="4" w:space="0" w:color="auto"/>
              <w:right w:val="nil"/>
            </w:tcBorders>
            <w:shd w:val="clear" w:color="auto" w:fill="auto"/>
            <w:noWrap/>
            <w:vAlign w:val="bottom"/>
            <w:hideMark/>
          </w:tcPr>
          <w:p w14:paraId="1D8C2CD4" w14:textId="77777777" w:rsidR="00FD03FF" w:rsidRPr="00C65E8F" w:rsidRDefault="00FD03FF" w:rsidP="00FD03FF">
            <w:pPr>
              <w:spacing w:before="0" w:after="0"/>
              <w:jc w:val="center"/>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KCMHR (n=618)</w:t>
            </w:r>
          </w:p>
        </w:tc>
        <w:tc>
          <w:tcPr>
            <w:tcW w:w="71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A08979" w14:textId="77777777" w:rsidR="00FD03FF" w:rsidRPr="00C65E8F" w:rsidRDefault="00FD03FF" w:rsidP="00FD03FF">
            <w:pPr>
              <w:spacing w:before="0" w:after="0"/>
              <w:jc w:val="center"/>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UKHLS (n=4,063)</w:t>
            </w:r>
          </w:p>
        </w:tc>
        <w:tc>
          <w:tcPr>
            <w:tcW w:w="715" w:type="pct"/>
            <w:gridSpan w:val="3"/>
            <w:tcBorders>
              <w:top w:val="single" w:sz="4" w:space="0" w:color="auto"/>
              <w:left w:val="nil"/>
              <w:bottom w:val="single" w:sz="4" w:space="0" w:color="auto"/>
              <w:right w:val="nil"/>
            </w:tcBorders>
            <w:shd w:val="clear" w:color="auto" w:fill="auto"/>
            <w:noWrap/>
            <w:vAlign w:val="bottom"/>
            <w:hideMark/>
          </w:tcPr>
          <w:p w14:paraId="1AC6B33D" w14:textId="77777777" w:rsidR="00FD03FF" w:rsidRPr="00C65E8F" w:rsidRDefault="00FD03FF" w:rsidP="00FD03FF">
            <w:pPr>
              <w:spacing w:before="0" w:after="0"/>
              <w:jc w:val="center"/>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KCMHR (n=187)</w:t>
            </w:r>
          </w:p>
        </w:tc>
        <w:tc>
          <w:tcPr>
            <w:tcW w:w="715"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D6DB30" w14:textId="77777777" w:rsidR="00FD03FF" w:rsidRPr="00C65E8F" w:rsidRDefault="00FD03FF" w:rsidP="00FD03FF">
            <w:pPr>
              <w:spacing w:before="0" w:after="0"/>
              <w:jc w:val="center"/>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APMS (n=293)</w:t>
            </w:r>
          </w:p>
        </w:tc>
        <w:tc>
          <w:tcPr>
            <w:tcW w:w="677" w:type="pct"/>
            <w:gridSpan w:val="4"/>
            <w:tcBorders>
              <w:top w:val="single" w:sz="4" w:space="0" w:color="auto"/>
              <w:left w:val="nil"/>
              <w:bottom w:val="single" w:sz="4" w:space="0" w:color="auto"/>
              <w:right w:val="nil"/>
            </w:tcBorders>
            <w:shd w:val="clear" w:color="auto" w:fill="auto"/>
            <w:noWrap/>
            <w:vAlign w:val="bottom"/>
            <w:hideMark/>
          </w:tcPr>
          <w:p w14:paraId="74A3AAD5" w14:textId="77777777" w:rsidR="00FD03FF" w:rsidRPr="00C65E8F" w:rsidRDefault="00FD03FF" w:rsidP="00FD03FF">
            <w:pPr>
              <w:spacing w:before="0" w:after="0"/>
              <w:jc w:val="center"/>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KCMHR (n=264)</w:t>
            </w:r>
          </w:p>
        </w:tc>
        <w:tc>
          <w:tcPr>
            <w:tcW w:w="677"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DDAAE2" w14:textId="77777777" w:rsidR="00FD03FF" w:rsidRPr="00C65E8F" w:rsidRDefault="00FD03FF" w:rsidP="00FD03FF">
            <w:pPr>
              <w:spacing w:before="0" w:after="0"/>
              <w:jc w:val="center"/>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APMS (n=175)</w:t>
            </w:r>
          </w:p>
        </w:tc>
      </w:tr>
      <w:tr w:rsidR="00C65E8F" w:rsidRPr="00C65E8F" w14:paraId="6DE1ECA9" w14:textId="77777777" w:rsidTr="00063136">
        <w:trPr>
          <w:trHeight w:val="240"/>
        </w:trPr>
        <w:tc>
          <w:tcPr>
            <w:tcW w:w="788" w:type="pct"/>
            <w:gridSpan w:val="2"/>
            <w:vMerge/>
            <w:tcBorders>
              <w:top w:val="single" w:sz="4" w:space="0" w:color="auto"/>
              <w:left w:val="single" w:sz="4" w:space="0" w:color="auto"/>
              <w:bottom w:val="single" w:sz="4" w:space="0" w:color="000000"/>
              <w:right w:val="single" w:sz="4" w:space="0" w:color="000000"/>
            </w:tcBorders>
            <w:vAlign w:val="center"/>
            <w:hideMark/>
          </w:tcPr>
          <w:p w14:paraId="434FD3AB" w14:textId="77777777" w:rsidR="00FD03FF" w:rsidRPr="00C65E8F" w:rsidRDefault="00FD03FF" w:rsidP="00FD03FF">
            <w:pPr>
              <w:spacing w:before="0" w:after="0"/>
              <w:rPr>
                <w:rFonts w:eastAsia="Times New Roman" w:cs="Times New Roman"/>
                <w:b/>
                <w:bCs/>
                <w:color w:val="000000"/>
                <w:sz w:val="12"/>
                <w:szCs w:val="16"/>
                <w:lang w:eastAsia="en-GB"/>
              </w:rPr>
            </w:pPr>
          </w:p>
        </w:tc>
        <w:tc>
          <w:tcPr>
            <w:tcW w:w="128" w:type="pct"/>
            <w:tcBorders>
              <w:top w:val="nil"/>
              <w:left w:val="nil"/>
              <w:bottom w:val="single" w:sz="4" w:space="0" w:color="auto"/>
              <w:right w:val="nil"/>
            </w:tcBorders>
            <w:shd w:val="clear" w:color="auto" w:fill="auto"/>
            <w:noWrap/>
            <w:vAlign w:val="bottom"/>
            <w:hideMark/>
          </w:tcPr>
          <w:p w14:paraId="68782A1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N</w:t>
            </w:r>
          </w:p>
        </w:tc>
        <w:tc>
          <w:tcPr>
            <w:tcW w:w="171" w:type="pct"/>
            <w:tcBorders>
              <w:top w:val="nil"/>
              <w:left w:val="nil"/>
              <w:bottom w:val="single" w:sz="4" w:space="0" w:color="auto"/>
              <w:right w:val="nil"/>
            </w:tcBorders>
            <w:shd w:val="clear" w:color="auto" w:fill="auto"/>
            <w:noWrap/>
            <w:vAlign w:val="bottom"/>
            <w:hideMark/>
          </w:tcPr>
          <w:p w14:paraId="64F3FF4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w:t>
            </w:r>
          </w:p>
        </w:tc>
        <w:tc>
          <w:tcPr>
            <w:tcW w:w="416" w:type="pct"/>
            <w:tcBorders>
              <w:top w:val="nil"/>
              <w:left w:val="nil"/>
              <w:bottom w:val="single" w:sz="4" w:space="0" w:color="auto"/>
              <w:right w:val="nil"/>
            </w:tcBorders>
            <w:shd w:val="clear" w:color="auto" w:fill="auto"/>
            <w:noWrap/>
            <w:vAlign w:val="bottom"/>
            <w:hideMark/>
          </w:tcPr>
          <w:p w14:paraId="7F9482A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AOR (CI)</w:t>
            </w:r>
          </w:p>
        </w:tc>
        <w:tc>
          <w:tcPr>
            <w:tcW w:w="148" w:type="pct"/>
            <w:tcBorders>
              <w:top w:val="nil"/>
              <w:left w:val="single" w:sz="4" w:space="0" w:color="auto"/>
              <w:bottom w:val="single" w:sz="4" w:space="0" w:color="auto"/>
              <w:right w:val="nil"/>
            </w:tcBorders>
            <w:shd w:val="clear" w:color="auto" w:fill="auto"/>
            <w:noWrap/>
            <w:vAlign w:val="bottom"/>
            <w:hideMark/>
          </w:tcPr>
          <w:p w14:paraId="7F66492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N</w:t>
            </w:r>
          </w:p>
        </w:tc>
        <w:tc>
          <w:tcPr>
            <w:tcW w:w="171" w:type="pct"/>
            <w:tcBorders>
              <w:top w:val="nil"/>
              <w:left w:val="nil"/>
              <w:bottom w:val="single" w:sz="4" w:space="0" w:color="auto"/>
              <w:right w:val="nil"/>
            </w:tcBorders>
            <w:shd w:val="clear" w:color="auto" w:fill="auto"/>
            <w:noWrap/>
            <w:vAlign w:val="bottom"/>
            <w:hideMark/>
          </w:tcPr>
          <w:p w14:paraId="1210D4B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w:t>
            </w:r>
          </w:p>
        </w:tc>
        <w:tc>
          <w:tcPr>
            <w:tcW w:w="395" w:type="pct"/>
            <w:tcBorders>
              <w:top w:val="nil"/>
              <w:left w:val="nil"/>
              <w:bottom w:val="single" w:sz="4" w:space="0" w:color="auto"/>
              <w:right w:val="single" w:sz="4" w:space="0" w:color="auto"/>
            </w:tcBorders>
            <w:shd w:val="clear" w:color="auto" w:fill="auto"/>
            <w:noWrap/>
            <w:vAlign w:val="bottom"/>
            <w:hideMark/>
          </w:tcPr>
          <w:p w14:paraId="2ABCC32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AOR (CI)</w:t>
            </w:r>
          </w:p>
        </w:tc>
        <w:tc>
          <w:tcPr>
            <w:tcW w:w="128" w:type="pct"/>
            <w:tcBorders>
              <w:top w:val="nil"/>
              <w:left w:val="nil"/>
              <w:bottom w:val="single" w:sz="4" w:space="0" w:color="auto"/>
              <w:right w:val="nil"/>
            </w:tcBorders>
            <w:shd w:val="clear" w:color="auto" w:fill="auto"/>
            <w:noWrap/>
            <w:vAlign w:val="bottom"/>
            <w:hideMark/>
          </w:tcPr>
          <w:p w14:paraId="269766C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N</w:t>
            </w:r>
          </w:p>
        </w:tc>
        <w:tc>
          <w:tcPr>
            <w:tcW w:w="171" w:type="pct"/>
            <w:tcBorders>
              <w:top w:val="nil"/>
              <w:left w:val="nil"/>
              <w:bottom w:val="single" w:sz="4" w:space="0" w:color="auto"/>
              <w:right w:val="nil"/>
            </w:tcBorders>
            <w:shd w:val="clear" w:color="auto" w:fill="auto"/>
            <w:noWrap/>
            <w:vAlign w:val="bottom"/>
            <w:hideMark/>
          </w:tcPr>
          <w:p w14:paraId="194E3E8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w:t>
            </w:r>
          </w:p>
        </w:tc>
        <w:tc>
          <w:tcPr>
            <w:tcW w:w="416" w:type="pct"/>
            <w:tcBorders>
              <w:top w:val="nil"/>
              <w:left w:val="nil"/>
              <w:bottom w:val="single" w:sz="4" w:space="0" w:color="auto"/>
              <w:right w:val="nil"/>
            </w:tcBorders>
            <w:shd w:val="clear" w:color="auto" w:fill="auto"/>
            <w:noWrap/>
            <w:vAlign w:val="bottom"/>
            <w:hideMark/>
          </w:tcPr>
          <w:p w14:paraId="69C0916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AOR (CI)</w:t>
            </w:r>
          </w:p>
        </w:tc>
        <w:tc>
          <w:tcPr>
            <w:tcW w:w="128" w:type="pct"/>
            <w:tcBorders>
              <w:top w:val="nil"/>
              <w:left w:val="single" w:sz="4" w:space="0" w:color="auto"/>
              <w:bottom w:val="single" w:sz="4" w:space="0" w:color="auto"/>
              <w:right w:val="nil"/>
            </w:tcBorders>
            <w:shd w:val="clear" w:color="auto" w:fill="auto"/>
            <w:noWrap/>
            <w:vAlign w:val="bottom"/>
            <w:hideMark/>
          </w:tcPr>
          <w:p w14:paraId="1B974BF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N</w:t>
            </w:r>
          </w:p>
        </w:tc>
        <w:tc>
          <w:tcPr>
            <w:tcW w:w="171" w:type="pct"/>
            <w:tcBorders>
              <w:top w:val="nil"/>
              <w:left w:val="nil"/>
              <w:bottom w:val="single" w:sz="4" w:space="0" w:color="auto"/>
              <w:right w:val="nil"/>
            </w:tcBorders>
            <w:shd w:val="clear" w:color="auto" w:fill="auto"/>
            <w:noWrap/>
            <w:vAlign w:val="bottom"/>
            <w:hideMark/>
          </w:tcPr>
          <w:p w14:paraId="164A7FB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w:t>
            </w:r>
          </w:p>
        </w:tc>
        <w:tc>
          <w:tcPr>
            <w:tcW w:w="416" w:type="pct"/>
            <w:tcBorders>
              <w:top w:val="nil"/>
              <w:left w:val="nil"/>
              <w:bottom w:val="single" w:sz="4" w:space="0" w:color="auto"/>
              <w:right w:val="single" w:sz="4" w:space="0" w:color="auto"/>
            </w:tcBorders>
            <w:shd w:val="clear" w:color="auto" w:fill="auto"/>
            <w:noWrap/>
            <w:vAlign w:val="bottom"/>
            <w:hideMark/>
          </w:tcPr>
          <w:p w14:paraId="4311D39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AOR (CI)</w:t>
            </w:r>
          </w:p>
        </w:tc>
        <w:tc>
          <w:tcPr>
            <w:tcW w:w="128" w:type="pct"/>
            <w:tcBorders>
              <w:top w:val="nil"/>
              <w:left w:val="nil"/>
              <w:bottom w:val="single" w:sz="4" w:space="0" w:color="auto"/>
              <w:right w:val="nil"/>
            </w:tcBorders>
            <w:shd w:val="clear" w:color="auto" w:fill="auto"/>
            <w:noWrap/>
            <w:vAlign w:val="bottom"/>
            <w:hideMark/>
          </w:tcPr>
          <w:p w14:paraId="1DF002D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N</w:t>
            </w:r>
          </w:p>
        </w:tc>
        <w:tc>
          <w:tcPr>
            <w:tcW w:w="171" w:type="pct"/>
            <w:tcBorders>
              <w:top w:val="nil"/>
              <w:left w:val="nil"/>
              <w:bottom w:val="single" w:sz="4" w:space="0" w:color="auto"/>
              <w:right w:val="nil"/>
            </w:tcBorders>
            <w:shd w:val="clear" w:color="auto" w:fill="auto"/>
            <w:noWrap/>
            <w:vAlign w:val="bottom"/>
            <w:hideMark/>
          </w:tcPr>
          <w:p w14:paraId="1BAA56B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w:t>
            </w:r>
          </w:p>
        </w:tc>
        <w:tc>
          <w:tcPr>
            <w:tcW w:w="376" w:type="pct"/>
            <w:tcBorders>
              <w:top w:val="nil"/>
              <w:left w:val="nil"/>
              <w:bottom w:val="single" w:sz="4" w:space="0" w:color="auto"/>
              <w:right w:val="nil"/>
            </w:tcBorders>
            <w:shd w:val="clear" w:color="auto" w:fill="auto"/>
            <w:noWrap/>
            <w:vAlign w:val="bottom"/>
            <w:hideMark/>
          </w:tcPr>
          <w:p w14:paraId="70CD651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AOR</w:t>
            </w:r>
          </w:p>
        </w:tc>
        <w:tc>
          <w:tcPr>
            <w:tcW w:w="129" w:type="pct"/>
            <w:gridSpan w:val="2"/>
            <w:tcBorders>
              <w:top w:val="nil"/>
              <w:left w:val="single" w:sz="4" w:space="0" w:color="auto"/>
              <w:bottom w:val="single" w:sz="4" w:space="0" w:color="auto"/>
              <w:right w:val="nil"/>
            </w:tcBorders>
            <w:shd w:val="clear" w:color="auto" w:fill="auto"/>
            <w:noWrap/>
            <w:vAlign w:val="bottom"/>
            <w:hideMark/>
          </w:tcPr>
          <w:p w14:paraId="12AB656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N</w:t>
            </w:r>
          </w:p>
        </w:tc>
        <w:tc>
          <w:tcPr>
            <w:tcW w:w="171" w:type="pct"/>
            <w:tcBorders>
              <w:top w:val="nil"/>
              <w:left w:val="nil"/>
              <w:bottom w:val="single" w:sz="4" w:space="0" w:color="auto"/>
              <w:right w:val="nil"/>
            </w:tcBorders>
            <w:shd w:val="clear" w:color="auto" w:fill="auto"/>
            <w:noWrap/>
            <w:vAlign w:val="bottom"/>
            <w:hideMark/>
          </w:tcPr>
          <w:p w14:paraId="545D7EE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w:t>
            </w:r>
          </w:p>
        </w:tc>
        <w:tc>
          <w:tcPr>
            <w:tcW w:w="379" w:type="pct"/>
            <w:tcBorders>
              <w:top w:val="nil"/>
              <w:left w:val="nil"/>
              <w:bottom w:val="single" w:sz="4" w:space="0" w:color="auto"/>
              <w:right w:val="single" w:sz="4" w:space="0" w:color="auto"/>
            </w:tcBorders>
            <w:shd w:val="clear" w:color="auto" w:fill="auto"/>
            <w:noWrap/>
            <w:vAlign w:val="bottom"/>
            <w:hideMark/>
          </w:tcPr>
          <w:p w14:paraId="21DB1C8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AOR (CI)</w:t>
            </w:r>
          </w:p>
        </w:tc>
      </w:tr>
      <w:tr w:rsidR="00C65E8F" w:rsidRPr="00C65E8F" w14:paraId="442242E8"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0F410124" w14:textId="77777777" w:rsidR="00FD03FF" w:rsidRPr="00C65E8F" w:rsidRDefault="00FD03FF" w:rsidP="00FD03FF">
            <w:pPr>
              <w:spacing w:before="0" w:after="0"/>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Gender</w:t>
            </w:r>
          </w:p>
        </w:tc>
        <w:tc>
          <w:tcPr>
            <w:tcW w:w="593" w:type="pct"/>
            <w:tcBorders>
              <w:top w:val="nil"/>
              <w:left w:val="nil"/>
              <w:bottom w:val="nil"/>
              <w:right w:val="nil"/>
            </w:tcBorders>
            <w:shd w:val="clear" w:color="auto" w:fill="auto"/>
            <w:noWrap/>
            <w:vAlign w:val="bottom"/>
            <w:hideMark/>
          </w:tcPr>
          <w:p w14:paraId="4BD56B5D" w14:textId="77777777" w:rsidR="00FD03FF" w:rsidRPr="00C65E8F" w:rsidRDefault="00FD03FF" w:rsidP="00FD03FF">
            <w:pPr>
              <w:spacing w:before="0" w:after="0"/>
              <w:jc w:val="center"/>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 </w:t>
            </w:r>
          </w:p>
        </w:tc>
        <w:tc>
          <w:tcPr>
            <w:tcW w:w="128" w:type="pct"/>
            <w:tcBorders>
              <w:top w:val="nil"/>
              <w:left w:val="single" w:sz="4" w:space="0" w:color="auto"/>
              <w:bottom w:val="nil"/>
              <w:right w:val="nil"/>
            </w:tcBorders>
            <w:shd w:val="clear" w:color="auto" w:fill="auto"/>
            <w:noWrap/>
            <w:vAlign w:val="bottom"/>
            <w:hideMark/>
          </w:tcPr>
          <w:p w14:paraId="5584ABD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5DC16E3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416" w:type="pct"/>
            <w:tcBorders>
              <w:top w:val="nil"/>
              <w:left w:val="nil"/>
              <w:bottom w:val="nil"/>
              <w:right w:val="nil"/>
            </w:tcBorders>
            <w:shd w:val="clear" w:color="auto" w:fill="auto"/>
            <w:noWrap/>
            <w:vAlign w:val="bottom"/>
            <w:hideMark/>
          </w:tcPr>
          <w:p w14:paraId="60AEDBC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48" w:type="pct"/>
            <w:tcBorders>
              <w:top w:val="nil"/>
              <w:left w:val="single" w:sz="4" w:space="0" w:color="auto"/>
              <w:bottom w:val="nil"/>
              <w:right w:val="nil"/>
            </w:tcBorders>
            <w:shd w:val="clear" w:color="auto" w:fill="auto"/>
            <w:noWrap/>
            <w:vAlign w:val="bottom"/>
            <w:hideMark/>
          </w:tcPr>
          <w:p w14:paraId="2F32FF7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527E863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395" w:type="pct"/>
            <w:tcBorders>
              <w:top w:val="nil"/>
              <w:left w:val="nil"/>
              <w:bottom w:val="nil"/>
              <w:right w:val="single" w:sz="4" w:space="0" w:color="auto"/>
            </w:tcBorders>
            <w:shd w:val="clear" w:color="auto" w:fill="auto"/>
            <w:noWrap/>
            <w:vAlign w:val="bottom"/>
            <w:hideMark/>
          </w:tcPr>
          <w:p w14:paraId="5AEECE1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8" w:type="pct"/>
            <w:tcBorders>
              <w:top w:val="nil"/>
              <w:left w:val="nil"/>
              <w:bottom w:val="nil"/>
              <w:right w:val="nil"/>
            </w:tcBorders>
            <w:shd w:val="clear" w:color="auto" w:fill="auto"/>
            <w:noWrap/>
            <w:vAlign w:val="bottom"/>
            <w:hideMark/>
          </w:tcPr>
          <w:p w14:paraId="1665C68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597D6E3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416" w:type="pct"/>
            <w:tcBorders>
              <w:top w:val="nil"/>
              <w:left w:val="nil"/>
              <w:bottom w:val="nil"/>
              <w:right w:val="nil"/>
            </w:tcBorders>
            <w:shd w:val="clear" w:color="auto" w:fill="auto"/>
            <w:noWrap/>
            <w:vAlign w:val="bottom"/>
            <w:hideMark/>
          </w:tcPr>
          <w:p w14:paraId="3BFA6A5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8" w:type="pct"/>
            <w:tcBorders>
              <w:top w:val="nil"/>
              <w:left w:val="single" w:sz="4" w:space="0" w:color="auto"/>
              <w:bottom w:val="nil"/>
              <w:right w:val="nil"/>
            </w:tcBorders>
            <w:shd w:val="clear" w:color="auto" w:fill="auto"/>
            <w:noWrap/>
            <w:vAlign w:val="bottom"/>
            <w:hideMark/>
          </w:tcPr>
          <w:p w14:paraId="10CF033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70BC47B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416" w:type="pct"/>
            <w:tcBorders>
              <w:top w:val="nil"/>
              <w:left w:val="nil"/>
              <w:bottom w:val="nil"/>
              <w:right w:val="single" w:sz="4" w:space="0" w:color="auto"/>
            </w:tcBorders>
            <w:shd w:val="clear" w:color="auto" w:fill="auto"/>
            <w:noWrap/>
            <w:vAlign w:val="bottom"/>
            <w:hideMark/>
          </w:tcPr>
          <w:p w14:paraId="02187B1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8" w:type="pct"/>
            <w:tcBorders>
              <w:top w:val="nil"/>
              <w:left w:val="nil"/>
              <w:bottom w:val="nil"/>
              <w:right w:val="nil"/>
            </w:tcBorders>
            <w:shd w:val="clear" w:color="auto" w:fill="auto"/>
            <w:noWrap/>
            <w:vAlign w:val="bottom"/>
            <w:hideMark/>
          </w:tcPr>
          <w:p w14:paraId="003811E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02149DC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376" w:type="pct"/>
            <w:tcBorders>
              <w:top w:val="nil"/>
              <w:left w:val="nil"/>
              <w:bottom w:val="nil"/>
              <w:right w:val="nil"/>
            </w:tcBorders>
            <w:shd w:val="clear" w:color="auto" w:fill="auto"/>
            <w:noWrap/>
            <w:vAlign w:val="bottom"/>
            <w:hideMark/>
          </w:tcPr>
          <w:p w14:paraId="6BF4816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9" w:type="pct"/>
            <w:gridSpan w:val="2"/>
            <w:tcBorders>
              <w:top w:val="nil"/>
              <w:left w:val="single" w:sz="4" w:space="0" w:color="auto"/>
              <w:bottom w:val="nil"/>
              <w:right w:val="nil"/>
            </w:tcBorders>
            <w:shd w:val="clear" w:color="auto" w:fill="auto"/>
            <w:noWrap/>
            <w:vAlign w:val="bottom"/>
            <w:hideMark/>
          </w:tcPr>
          <w:p w14:paraId="1E14E78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2303EBE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379" w:type="pct"/>
            <w:tcBorders>
              <w:top w:val="nil"/>
              <w:left w:val="nil"/>
              <w:bottom w:val="nil"/>
              <w:right w:val="single" w:sz="4" w:space="0" w:color="auto"/>
            </w:tcBorders>
            <w:shd w:val="clear" w:color="auto" w:fill="auto"/>
            <w:noWrap/>
            <w:vAlign w:val="bottom"/>
            <w:hideMark/>
          </w:tcPr>
          <w:p w14:paraId="687DFB6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r>
      <w:tr w:rsidR="00C65E8F" w:rsidRPr="00C65E8F" w14:paraId="4389F935"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716DA9BA" w14:textId="77777777" w:rsidR="00FD03FF" w:rsidRPr="00C65E8F" w:rsidRDefault="00FD03FF" w:rsidP="00FD03FF">
            <w:pPr>
              <w:spacing w:before="0" w:after="0"/>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1715308B"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Male</w:t>
            </w:r>
          </w:p>
        </w:tc>
        <w:tc>
          <w:tcPr>
            <w:tcW w:w="128" w:type="pct"/>
            <w:tcBorders>
              <w:top w:val="nil"/>
              <w:left w:val="single" w:sz="4" w:space="0" w:color="auto"/>
              <w:bottom w:val="nil"/>
              <w:right w:val="nil"/>
            </w:tcBorders>
            <w:shd w:val="clear" w:color="auto" w:fill="auto"/>
            <w:noWrap/>
            <w:vAlign w:val="bottom"/>
            <w:hideMark/>
          </w:tcPr>
          <w:p w14:paraId="22F4149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557</w:t>
            </w:r>
          </w:p>
        </w:tc>
        <w:tc>
          <w:tcPr>
            <w:tcW w:w="171" w:type="pct"/>
            <w:tcBorders>
              <w:top w:val="nil"/>
              <w:left w:val="nil"/>
              <w:bottom w:val="nil"/>
              <w:right w:val="nil"/>
            </w:tcBorders>
            <w:shd w:val="clear" w:color="auto" w:fill="auto"/>
            <w:noWrap/>
            <w:vAlign w:val="bottom"/>
            <w:hideMark/>
          </w:tcPr>
          <w:p w14:paraId="08C6EBB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23.3%</w:t>
            </w:r>
          </w:p>
        </w:tc>
        <w:tc>
          <w:tcPr>
            <w:tcW w:w="416" w:type="pct"/>
            <w:tcBorders>
              <w:top w:val="nil"/>
              <w:left w:val="nil"/>
              <w:bottom w:val="nil"/>
              <w:right w:val="nil"/>
            </w:tcBorders>
            <w:shd w:val="clear" w:color="auto" w:fill="auto"/>
            <w:noWrap/>
            <w:vAlign w:val="bottom"/>
            <w:hideMark/>
          </w:tcPr>
          <w:p w14:paraId="524E169C" w14:textId="4821842B"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48" w:type="pct"/>
            <w:tcBorders>
              <w:top w:val="nil"/>
              <w:left w:val="single" w:sz="4" w:space="0" w:color="auto"/>
              <w:bottom w:val="nil"/>
              <w:right w:val="nil"/>
            </w:tcBorders>
            <w:shd w:val="clear" w:color="auto" w:fill="auto"/>
            <w:noWrap/>
            <w:vAlign w:val="bottom"/>
            <w:hideMark/>
          </w:tcPr>
          <w:p w14:paraId="18C648E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1466</w:t>
            </w:r>
          </w:p>
        </w:tc>
        <w:tc>
          <w:tcPr>
            <w:tcW w:w="171" w:type="pct"/>
            <w:tcBorders>
              <w:top w:val="nil"/>
              <w:left w:val="nil"/>
              <w:bottom w:val="nil"/>
              <w:right w:val="nil"/>
            </w:tcBorders>
            <w:shd w:val="clear" w:color="auto" w:fill="auto"/>
            <w:noWrap/>
            <w:vAlign w:val="bottom"/>
            <w:hideMark/>
          </w:tcPr>
          <w:p w14:paraId="09E84EF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15.5%</w:t>
            </w:r>
          </w:p>
        </w:tc>
        <w:tc>
          <w:tcPr>
            <w:tcW w:w="395" w:type="pct"/>
            <w:tcBorders>
              <w:top w:val="nil"/>
              <w:left w:val="nil"/>
              <w:bottom w:val="nil"/>
              <w:right w:val="single" w:sz="4" w:space="0" w:color="auto"/>
            </w:tcBorders>
            <w:shd w:val="clear" w:color="auto" w:fill="auto"/>
            <w:noWrap/>
            <w:vAlign w:val="bottom"/>
            <w:hideMark/>
          </w:tcPr>
          <w:p w14:paraId="302938C9" w14:textId="2AAB67AE"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nil"/>
              <w:bottom w:val="nil"/>
              <w:right w:val="nil"/>
            </w:tcBorders>
            <w:shd w:val="clear" w:color="auto" w:fill="auto"/>
            <w:noWrap/>
            <w:vAlign w:val="bottom"/>
            <w:hideMark/>
          </w:tcPr>
          <w:p w14:paraId="38744A9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169</w:t>
            </w:r>
          </w:p>
        </w:tc>
        <w:tc>
          <w:tcPr>
            <w:tcW w:w="171" w:type="pct"/>
            <w:tcBorders>
              <w:top w:val="nil"/>
              <w:left w:val="nil"/>
              <w:bottom w:val="nil"/>
              <w:right w:val="nil"/>
            </w:tcBorders>
            <w:shd w:val="clear" w:color="auto" w:fill="auto"/>
            <w:noWrap/>
            <w:vAlign w:val="bottom"/>
            <w:hideMark/>
          </w:tcPr>
          <w:p w14:paraId="605D647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7.9%</w:t>
            </w:r>
          </w:p>
        </w:tc>
        <w:tc>
          <w:tcPr>
            <w:tcW w:w="416" w:type="pct"/>
            <w:tcBorders>
              <w:top w:val="nil"/>
              <w:left w:val="nil"/>
              <w:bottom w:val="nil"/>
              <w:right w:val="nil"/>
            </w:tcBorders>
            <w:shd w:val="clear" w:color="auto" w:fill="auto"/>
            <w:noWrap/>
            <w:vAlign w:val="bottom"/>
            <w:hideMark/>
          </w:tcPr>
          <w:p w14:paraId="79E3B6CA" w14:textId="20B2A26B"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single" w:sz="4" w:space="0" w:color="auto"/>
              <w:bottom w:val="nil"/>
              <w:right w:val="nil"/>
            </w:tcBorders>
            <w:shd w:val="clear" w:color="auto" w:fill="auto"/>
            <w:noWrap/>
            <w:vAlign w:val="bottom"/>
            <w:hideMark/>
          </w:tcPr>
          <w:p w14:paraId="2FE85ED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101</w:t>
            </w:r>
          </w:p>
        </w:tc>
        <w:tc>
          <w:tcPr>
            <w:tcW w:w="171" w:type="pct"/>
            <w:tcBorders>
              <w:top w:val="nil"/>
              <w:left w:val="nil"/>
              <w:bottom w:val="nil"/>
              <w:right w:val="nil"/>
            </w:tcBorders>
            <w:shd w:val="clear" w:color="auto" w:fill="auto"/>
            <w:noWrap/>
            <w:vAlign w:val="bottom"/>
            <w:hideMark/>
          </w:tcPr>
          <w:p w14:paraId="008C2B5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5.0%</w:t>
            </w:r>
          </w:p>
        </w:tc>
        <w:tc>
          <w:tcPr>
            <w:tcW w:w="416" w:type="pct"/>
            <w:tcBorders>
              <w:top w:val="nil"/>
              <w:left w:val="nil"/>
              <w:bottom w:val="nil"/>
              <w:right w:val="single" w:sz="4" w:space="0" w:color="auto"/>
            </w:tcBorders>
            <w:shd w:val="clear" w:color="auto" w:fill="auto"/>
            <w:noWrap/>
            <w:vAlign w:val="bottom"/>
            <w:hideMark/>
          </w:tcPr>
          <w:p w14:paraId="1C666C8A" w14:textId="2795003E"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nil"/>
              <w:bottom w:val="nil"/>
              <w:right w:val="nil"/>
            </w:tcBorders>
            <w:shd w:val="clear" w:color="auto" w:fill="auto"/>
            <w:noWrap/>
            <w:vAlign w:val="bottom"/>
            <w:hideMark/>
          </w:tcPr>
          <w:p w14:paraId="205EA0C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253</w:t>
            </w:r>
          </w:p>
        </w:tc>
        <w:tc>
          <w:tcPr>
            <w:tcW w:w="171" w:type="pct"/>
            <w:tcBorders>
              <w:top w:val="nil"/>
              <w:left w:val="nil"/>
              <w:bottom w:val="nil"/>
              <w:right w:val="nil"/>
            </w:tcBorders>
            <w:shd w:val="clear" w:color="auto" w:fill="auto"/>
            <w:noWrap/>
            <w:vAlign w:val="bottom"/>
            <w:hideMark/>
          </w:tcPr>
          <w:p w14:paraId="694A016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11.4%</w:t>
            </w:r>
          </w:p>
        </w:tc>
        <w:tc>
          <w:tcPr>
            <w:tcW w:w="376" w:type="pct"/>
            <w:tcBorders>
              <w:top w:val="nil"/>
              <w:left w:val="nil"/>
              <w:bottom w:val="nil"/>
              <w:right w:val="nil"/>
            </w:tcBorders>
            <w:shd w:val="clear" w:color="auto" w:fill="auto"/>
            <w:noWrap/>
            <w:vAlign w:val="bottom"/>
            <w:hideMark/>
          </w:tcPr>
          <w:p w14:paraId="572513EA" w14:textId="4E4D3C2F"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9" w:type="pct"/>
            <w:gridSpan w:val="2"/>
            <w:tcBorders>
              <w:top w:val="nil"/>
              <w:left w:val="single" w:sz="4" w:space="0" w:color="auto"/>
              <w:bottom w:val="nil"/>
              <w:right w:val="nil"/>
            </w:tcBorders>
            <w:shd w:val="clear" w:color="auto" w:fill="auto"/>
            <w:noWrap/>
            <w:vAlign w:val="bottom"/>
            <w:hideMark/>
          </w:tcPr>
          <w:p w14:paraId="4479D66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106</w:t>
            </w:r>
          </w:p>
        </w:tc>
        <w:tc>
          <w:tcPr>
            <w:tcW w:w="171" w:type="pct"/>
            <w:tcBorders>
              <w:top w:val="nil"/>
              <w:left w:val="nil"/>
              <w:bottom w:val="nil"/>
              <w:right w:val="nil"/>
            </w:tcBorders>
            <w:shd w:val="clear" w:color="auto" w:fill="auto"/>
            <w:noWrap/>
            <w:vAlign w:val="bottom"/>
            <w:hideMark/>
          </w:tcPr>
          <w:p w14:paraId="11239B9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6.1%</w:t>
            </w:r>
          </w:p>
        </w:tc>
        <w:tc>
          <w:tcPr>
            <w:tcW w:w="379" w:type="pct"/>
            <w:tcBorders>
              <w:top w:val="nil"/>
              <w:left w:val="nil"/>
              <w:bottom w:val="nil"/>
              <w:right w:val="single" w:sz="4" w:space="0" w:color="auto"/>
            </w:tcBorders>
            <w:shd w:val="clear" w:color="auto" w:fill="auto"/>
            <w:noWrap/>
            <w:vAlign w:val="bottom"/>
            <w:hideMark/>
          </w:tcPr>
          <w:p w14:paraId="1E15C096" w14:textId="288B1A2F"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r>
      <w:tr w:rsidR="00C65E8F" w:rsidRPr="00C65E8F" w14:paraId="2FB57880"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1F2A415E" w14:textId="77777777" w:rsidR="00FD03FF" w:rsidRPr="00C65E8F" w:rsidRDefault="00FD03FF" w:rsidP="00FD03FF">
            <w:pPr>
              <w:spacing w:before="0" w:after="0"/>
              <w:jc w:val="center"/>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331A8831"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Female</w:t>
            </w:r>
          </w:p>
        </w:tc>
        <w:tc>
          <w:tcPr>
            <w:tcW w:w="128" w:type="pct"/>
            <w:tcBorders>
              <w:top w:val="nil"/>
              <w:left w:val="single" w:sz="4" w:space="0" w:color="auto"/>
              <w:bottom w:val="nil"/>
              <w:right w:val="nil"/>
            </w:tcBorders>
            <w:shd w:val="clear" w:color="auto" w:fill="auto"/>
            <w:noWrap/>
            <w:vAlign w:val="bottom"/>
            <w:hideMark/>
          </w:tcPr>
          <w:p w14:paraId="1BE79FD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61</w:t>
            </w:r>
          </w:p>
        </w:tc>
        <w:tc>
          <w:tcPr>
            <w:tcW w:w="171" w:type="pct"/>
            <w:tcBorders>
              <w:top w:val="nil"/>
              <w:left w:val="nil"/>
              <w:bottom w:val="nil"/>
              <w:right w:val="nil"/>
            </w:tcBorders>
            <w:shd w:val="clear" w:color="auto" w:fill="auto"/>
            <w:noWrap/>
            <w:vAlign w:val="bottom"/>
            <w:hideMark/>
          </w:tcPr>
          <w:p w14:paraId="1FEC8F8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23.1%</w:t>
            </w:r>
          </w:p>
        </w:tc>
        <w:tc>
          <w:tcPr>
            <w:tcW w:w="416" w:type="pct"/>
            <w:tcBorders>
              <w:top w:val="nil"/>
              <w:left w:val="nil"/>
              <w:bottom w:val="nil"/>
              <w:right w:val="nil"/>
            </w:tcBorders>
            <w:shd w:val="clear" w:color="auto" w:fill="auto"/>
            <w:noWrap/>
            <w:vAlign w:val="bottom"/>
            <w:hideMark/>
          </w:tcPr>
          <w:p w14:paraId="514A979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0.95 (0.67,1.36)</w:t>
            </w:r>
          </w:p>
        </w:tc>
        <w:tc>
          <w:tcPr>
            <w:tcW w:w="148" w:type="pct"/>
            <w:tcBorders>
              <w:top w:val="nil"/>
              <w:left w:val="single" w:sz="4" w:space="0" w:color="auto"/>
              <w:bottom w:val="nil"/>
              <w:right w:val="nil"/>
            </w:tcBorders>
            <w:shd w:val="clear" w:color="auto" w:fill="auto"/>
            <w:noWrap/>
            <w:vAlign w:val="bottom"/>
            <w:hideMark/>
          </w:tcPr>
          <w:p w14:paraId="35A55CA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2597</w:t>
            </w:r>
          </w:p>
        </w:tc>
        <w:tc>
          <w:tcPr>
            <w:tcW w:w="171" w:type="pct"/>
            <w:tcBorders>
              <w:top w:val="nil"/>
              <w:left w:val="nil"/>
              <w:bottom w:val="nil"/>
              <w:right w:val="nil"/>
            </w:tcBorders>
            <w:shd w:val="clear" w:color="auto" w:fill="auto"/>
            <w:noWrap/>
            <w:vAlign w:val="bottom"/>
            <w:hideMark/>
          </w:tcPr>
          <w:p w14:paraId="23DF8D3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21.2%</w:t>
            </w:r>
          </w:p>
        </w:tc>
        <w:tc>
          <w:tcPr>
            <w:tcW w:w="395" w:type="pct"/>
            <w:tcBorders>
              <w:top w:val="nil"/>
              <w:left w:val="nil"/>
              <w:bottom w:val="nil"/>
              <w:right w:val="single" w:sz="4" w:space="0" w:color="auto"/>
            </w:tcBorders>
            <w:shd w:val="clear" w:color="auto" w:fill="auto"/>
            <w:noWrap/>
            <w:vAlign w:val="bottom"/>
            <w:hideMark/>
          </w:tcPr>
          <w:p w14:paraId="52395311" w14:textId="53E2CAC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1.46 (1.35,1.58)</w:t>
            </w:r>
          </w:p>
        </w:tc>
        <w:tc>
          <w:tcPr>
            <w:tcW w:w="128" w:type="pct"/>
            <w:tcBorders>
              <w:top w:val="nil"/>
              <w:left w:val="nil"/>
              <w:bottom w:val="nil"/>
              <w:right w:val="nil"/>
            </w:tcBorders>
            <w:shd w:val="clear" w:color="auto" w:fill="auto"/>
            <w:noWrap/>
            <w:vAlign w:val="bottom"/>
            <w:hideMark/>
          </w:tcPr>
          <w:p w14:paraId="7C34961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18</w:t>
            </w:r>
          </w:p>
        </w:tc>
        <w:tc>
          <w:tcPr>
            <w:tcW w:w="171" w:type="pct"/>
            <w:tcBorders>
              <w:top w:val="nil"/>
              <w:left w:val="nil"/>
              <w:bottom w:val="nil"/>
              <w:right w:val="nil"/>
            </w:tcBorders>
            <w:shd w:val="clear" w:color="auto" w:fill="auto"/>
            <w:noWrap/>
            <w:vAlign w:val="bottom"/>
            <w:hideMark/>
          </w:tcPr>
          <w:p w14:paraId="086E747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7.6%</w:t>
            </w:r>
          </w:p>
        </w:tc>
        <w:tc>
          <w:tcPr>
            <w:tcW w:w="416" w:type="pct"/>
            <w:tcBorders>
              <w:top w:val="nil"/>
              <w:left w:val="nil"/>
              <w:bottom w:val="nil"/>
              <w:right w:val="nil"/>
            </w:tcBorders>
            <w:shd w:val="clear" w:color="auto" w:fill="auto"/>
            <w:noWrap/>
            <w:vAlign w:val="bottom"/>
            <w:hideMark/>
          </w:tcPr>
          <w:p w14:paraId="107745D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0.86 (0.48,1.57)</w:t>
            </w:r>
          </w:p>
        </w:tc>
        <w:tc>
          <w:tcPr>
            <w:tcW w:w="128" w:type="pct"/>
            <w:tcBorders>
              <w:top w:val="nil"/>
              <w:left w:val="single" w:sz="4" w:space="0" w:color="auto"/>
              <w:bottom w:val="nil"/>
              <w:right w:val="nil"/>
            </w:tcBorders>
            <w:shd w:val="clear" w:color="auto" w:fill="auto"/>
            <w:noWrap/>
            <w:vAlign w:val="bottom"/>
            <w:hideMark/>
          </w:tcPr>
          <w:p w14:paraId="4ABFE51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192</w:t>
            </w:r>
          </w:p>
        </w:tc>
        <w:tc>
          <w:tcPr>
            <w:tcW w:w="171" w:type="pct"/>
            <w:tcBorders>
              <w:top w:val="nil"/>
              <w:left w:val="nil"/>
              <w:bottom w:val="nil"/>
              <w:right w:val="nil"/>
            </w:tcBorders>
            <w:shd w:val="clear" w:color="auto" w:fill="auto"/>
            <w:noWrap/>
            <w:vAlign w:val="bottom"/>
            <w:hideMark/>
          </w:tcPr>
          <w:p w14:paraId="3EC4408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6.8%</w:t>
            </w:r>
          </w:p>
        </w:tc>
        <w:tc>
          <w:tcPr>
            <w:tcW w:w="416" w:type="pct"/>
            <w:tcBorders>
              <w:top w:val="nil"/>
              <w:left w:val="nil"/>
              <w:bottom w:val="nil"/>
              <w:right w:val="single" w:sz="4" w:space="0" w:color="auto"/>
            </w:tcBorders>
            <w:shd w:val="clear" w:color="auto" w:fill="auto"/>
            <w:noWrap/>
            <w:vAlign w:val="bottom"/>
            <w:hideMark/>
          </w:tcPr>
          <w:p w14:paraId="09EB6198" w14:textId="3B1356A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1.38 (1.03,1.85)</w:t>
            </w:r>
          </w:p>
        </w:tc>
        <w:tc>
          <w:tcPr>
            <w:tcW w:w="128" w:type="pct"/>
            <w:tcBorders>
              <w:top w:val="nil"/>
              <w:left w:val="nil"/>
              <w:bottom w:val="nil"/>
              <w:right w:val="nil"/>
            </w:tcBorders>
            <w:shd w:val="clear" w:color="auto" w:fill="auto"/>
            <w:noWrap/>
            <w:vAlign w:val="bottom"/>
            <w:hideMark/>
          </w:tcPr>
          <w:p w14:paraId="260BB7B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11</w:t>
            </w:r>
          </w:p>
        </w:tc>
        <w:tc>
          <w:tcPr>
            <w:tcW w:w="171" w:type="pct"/>
            <w:tcBorders>
              <w:top w:val="nil"/>
              <w:left w:val="nil"/>
              <w:bottom w:val="nil"/>
              <w:right w:val="nil"/>
            </w:tcBorders>
            <w:shd w:val="clear" w:color="auto" w:fill="auto"/>
            <w:noWrap/>
            <w:vAlign w:val="bottom"/>
            <w:hideMark/>
          </w:tcPr>
          <w:p w14:paraId="2A92F95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3.3%</w:t>
            </w:r>
          </w:p>
        </w:tc>
        <w:tc>
          <w:tcPr>
            <w:tcW w:w="376" w:type="pct"/>
            <w:tcBorders>
              <w:top w:val="nil"/>
              <w:left w:val="nil"/>
              <w:bottom w:val="nil"/>
              <w:right w:val="nil"/>
            </w:tcBorders>
            <w:shd w:val="clear" w:color="auto" w:fill="auto"/>
            <w:noWrap/>
            <w:vAlign w:val="bottom"/>
            <w:hideMark/>
          </w:tcPr>
          <w:p w14:paraId="637431A1" w14:textId="3E8A1A1F"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0.25 (0.13,0.49)</w:t>
            </w:r>
          </w:p>
        </w:tc>
        <w:tc>
          <w:tcPr>
            <w:tcW w:w="129" w:type="pct"/>
            <w:gridSpan w:val="2"/>
            <w:tcBorders>
              <w:top w:val="nil"/>
              <w:left w:val="single" w:sz="4" w:space="0" w:color="auto"/>
              <w:bottom w:val="nil"/>
              <w:right w:val="nil"/>
            </w:tcBorders>
            <w:shd w:val="clear" w:color="auto" w:fill="auto"/>
            <w:noWrap/>
            <w:vAlign w:val="bottom"/>
            <w:hideMark/>
          </w:tcPr>
          <w:p w14:paraId="7BA0E21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69</w:t>
            </w:r>
          </w:p>
        </w:tc>
        <w:tc>
          <w:tcPr>
            <w:tcW w:w="171" w:type="pct"/>
            <w:tcBorders>
              <w:top w:val="nil"/>
              <w:left w:val="nil"/>
              <w:bottom w:val="nil"/>
              <w:right w:val="nil"/>
            </w:tcBorders>
            <w:shd w:val="clear" w:color="auto" w:fill="auto"/>
            <w:noWrap/>
            <w:vAlign w:val="bottom"/>
            <w:hideMark/>
          </w:tcPr>
          <w:p w14:paraId="660DE50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2.2%</w:t>
            </w:r>
          </w:p>
        </w:tc>
        <w:tc>
          <w:tcPr>
            <w:tcW w:w="379" w:type="pct"/>
            <w:tcBorders>
              <w:top w:val="nil"/>
              <w:left w:val="nil"/>
              <w:bottom w:val="nil"/>
              <w:right w:val="single" w:sz="4" w:space="0" w:color="auto"/>
            </w:tcBorders>
            <w:shd w:val="clear" w:color="auto" w:fill="auto"/>
            <w:noWrap/>
            <w:vAlign w:val="bottom"/>
            <w:hideMark/>
          </w:tcPr>
          <w:p w14:paraId="3E17BCDE" w14:textId="5318EB55"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0.34 (0.24,0.49)</w:t>
            </w:r>
          </w:p>
        </w:tc>
      </w:tr>
      <w:tr w:rsidR="00C65E8F" w:rsidRPr="00C65E8F" w14:paraId="5FC3DA3F" w14:textId="77777777" w:rsidTr="00063136">
        <w:trPr>
          <w:trHeight w:val="222"/>
        </w:trPr>
        <w:tc>
          <w:tcPr>
            <w:tcW w:w="195" w:type="pct"/>
            <w:tcBorders>
              <w:top w:val="single" w:sz="4" w:space="0" w:color="auto"/>
              <w:left w:val="single" w:sz="4" w:space="0" w:color="auto"/>
              <w:bottom w:val="nil"/>
              <w:right w:val="nil"/>
            </w:tcBorders>
            <w:shd w:val="clear" w:color="auto" w:fill="auto"/>
            <w:noWrap/>
            <w:vAlign w:val="bottom"/>
            <w:hideMark/>
          </w:tcPr>
          <w:p w14:paraId="5FDC96E5" w14:textId="77777777" w:rsidR="00FD03FF" w:rsidRPr="00C65E8F" w:rsidRDefault="00FD03FF" w:rsidP="00FD03FF">
            <w:pPr>
              <w:spacing w:before="0" w:after="0"/>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Age</w:t>
            </w:r>
          </w:p>
        </w:tc>
        <w:tc>
          <w:tcPr>
            <w:tcW w:w="593" w:type="pct"/>
            <w:tcBorders>
              <w:top w:val="single" w:sz="4" w:space="0" w:color="auto"/>
              <w:left w:val="nil"/>
              <w:bottom w:val="nil"/>
              <w:right w:val="nil"/>
            </w:tcBorders>
            <w:shd w:val="clear" w:color="auto" w:fill="auto"/>
            <w:noWrap/>
            <w:vAlign w:val="bottom"/>
            <w:hideMark/>
          </w:tcPr>
          <w:p w14:paraId="2C95CB93"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8" w:type="pct"/>
            <w:tcBorders>
              <w:top w:val="single" w:sz="4" w:space="0" w:color="auto"/>
              <w:left w:val="single" w:sz="4" w:space="0" w:color="auto"/>
              <w:bottom w:val="nil"/>
              <w:right w:val="nil"/>
            </w:tcBorders>
            <w:shd w:val="clear" w:color="auto" w:fill="auto"/>
            <w:noWrap/>
            <w:vAlign w:val="bottom"/>
            <w:hideMark/>
          </w:tcPr>
          <w:p w14:paraId="09AF8DF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2EE5DBC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416" w:type="pct"/>
            <w:tcBorders>
              <w:top w:val="single" w:sz="4" w:space="0" w:color="auto"/>
              <w:left w:val="nil"/>
              <w:bottom w:val="nil"/>
              <w:right w:val="nil"/>
            </w:tcBorders>
            <w:shd w:val="clear" w:color="auto" w:fill="auto"/>
            <w:noWrap/>
            <w:vAlign w:val="bottom"/>
            <w:hideMark/>
          </w:tcPr>
          <w:p w14:paraId="432C363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48" w:type="pct"/>
            <w:tcBorders>
              <w:top w:val="single" w:sz="4" w:space="0" w:color="auto"/>
              <w:left w:val="single" w:sz="4" w:space="0" w:color="auto"/>
              <w:bottom w:val="nil"/>
              <w:right w:val="nil"/>
            </w:tcBorders>
            <w:shd w:val="clear" w:color="auto" w:fill="auto"/>
            <w:noWrap/>
            <w:vAlign w:val="bottom"/>
            <w:hideMark/>
          </w:tcPr>
          <w:p w14:paraId="12295B5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57A1CD4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395" w:type="pct"/>
            <w:tcBorders>
              <w:top w:val="single" w:sz="4" w:space="0" w:color="auto"/>
              <w:left w:val="nil"/>
              <w:bottom w:val="nil"/>
              <w:right w:val="single" w:sz="4" w:space="0" w:color="auto"/>
            </w:tcBorders>
            <w:shd w:val="clear" w:color="auto" w:fill="auto"/>
            <w:noWrap/>
            <w:vAlign w:val="bottom"/>
            <w:hideMark/>
          </w:tcPr>
          <w:p w14:paraId="754D113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8" w:type="pct"/>
            <w:tcBorders>
              <w:top w:val="single" w:sz="4" w:space="0" w:color="auto"/>
              <w:left w:val="nil"/>
              <w:bottom w:val="nil"/>
              <w:right w:val="nil"/>
            </w:tcBorders>
            <w:shd w:val="clear" w:color="auto" w:fill="auto"/>
            <w:noWrap/>
            <w:vAlign w:val="bottom"/>
            <w:hideMark/>
          </w:tcPr>
          <w:p w14:paraId="289AE89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59DAA35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416" w:type="pct"/>
            <w:tcBorders>
              <w:top w:val="single" w:sz="4" w:space="0" w:color="auto"/>
              <w:left w:val="nil"/>
              <w:bottom w:val="nil"/>
              <w:right w:val="nil"/>
            </w:tcBorders>
            <w:shd w:val="clear" w:color="auto" w:fill="auto"/>
            <w:noWrap/>
            <w:vAlign w:val="bottom"/>
            <w:hideMark/>
          </w:tcPr>
          <w:p w14:paraId="33B8B49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8" w:type="pct"/>
            <w:tcBorders>
              <w:top w:val="single" w:sz="4" w:space="0" w:color="auto"/>
              <w:left w:val="single" w:sz="4" w:space="0" w:color="auto"/>
              <w:bottom w:val="nil"/>
              <w:right w:val="nil"/>
            </w:tcBorders>
            <w:shd w:val="clear" w:color="auto" w:fill="auto"/>
            <w:noWrap/>
            <w:vAlign w:val="bottom"/>
            <w:hideMark/>
          </w:tcPr>
          <w:p w14:paraId="4FF5E8D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27F258F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416" w:type="pct"/>
            <w:tcBorders>
              <w:top w:val="single" w:sz="4" w:space="0" w:color="auto"/>
              <w:left w:val="nil"/>
              <w:bottom w:val="nil"/>
              <w:right w:val="single" w:sz="4" w:space="0" w:color="auto"/>
            </w:tcBorders>
            <w:shd w:val="clear" w:color="auto" w:fill="auto"/>
            <w:noWrap/>
            <w:vAlign w:val="bottom"/>
            <w:hideMark/>
          </w:tcPr>
          <w:p w14:paraId="174C0C4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8" w:type="pct"/>
            <w:tcBorders>
              <w:top w:val="single" w:sz="4" w:space="0" w:color="auto"/>
              <w:left w:val="nil"/>
              <w:bottom w:val="nil"/>
              <w:right w:val="nil"/>
            </w:tcBorders>
            <w:shd w:val="clear" w:color="auto" w:fill="auto"/>
            <w:noWrap/>
            <w:vAlign w:val="bottom"/>
            <w:hideMark/>
          </w:tcPr>
          <w:p w14:paraId="5B7F754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43C3FAB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376" w:type="pct"/>
            <w:tcBorders>
              <w:top w:val="single" w:sz="4" w:space="0" w:color="auto"/>
              <w:left w:val="nil"/>
              <w:bottom w:val="nil"/>
              <w:right w:val="nil"/>
            </w:tcBorders>
            <w:shd w:val="clear" w:color="auto" w:fill="auto"/>
            <w:noWrap/>
            <w:vAlign w:val="bottom"/>
            <w:hideMark/>
          </w:tcPr>
          <w:p w14:paraId="50752B7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9" w:type="pct"/>
            <w:gridSpan w:val="2"/>
            <w:tcBorders>
              <w:top w:val="single" w:sz="4" w:space="0" w:color="auto"/>
              <w:left w:val="single" w:sz="4" w:space="0" w:color="auto"/>
              <w:bottom w:val="nil"/>
              <w:right w:val="nil"/>
            </w:tcBorders>
            <w:shd w:val="clear" w:color="auto" w:fill="auto"/>
            <w:noWrap/>
            <w:vAlign w:val="bottom"/>
            <w:hideMark/>
          </w:tcPr>
          <w:p w14:paraId="3A118C4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4E3EAED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379" w:type="pct"/>
            <w:tcBorders>
              <w:top w:val="single" w:sz="4" w:space="0" w:color="auto"/>
              <w:left w:val="nil"/>
              <w:bottom w:val="nil"/>
              <w:right w:val="single" w:sz="4" w:space="0" w:color="auto"/>
            </w:tcBorders>
            <w:shd w:val="clear" w:color="auto" w:fill="auto"/>
            <w:noWrap/>
            <w:vAlign w:val="bottom"/>
            <w:hideMark/>
          </w:tcPr>
          <w:p w14:paraId="55C7744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r>
      <w:tr w:rsidR="00C65E8F" w:rsidRPr="00C65E8F" w14:paraId="411FE3C4"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77988DA8"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327F6004"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22-34</w:t>
            </w:r>
          </w:p>
        </w:tc>
        <w:tc>
          <w:tcPr>
            <w:tcW w:w="128" w:type="pct"/>
            <w:tcBorders>
              <w:top w:val="nil"/>
              <w:left w:val="single" w:sz="4" w:space="0" w:color="auto"/>
              <w:bottom w:val="nil"/>
              <w:right w:val="nil"/>
            </w:tcBorders>
            <w:shd w:val="clear" w:color="auto" w:fill="auto"/>
            <w:noWrap/>
            <w:vAlign w:val="bottom"/>
            <w:hideMark/>
          </w:tcPr>
          <w:p w14:paraId="5B93483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122</w:t>
            </w:r>
          </w:p>
        </w:tc>
        <w:tc>
          <w:tcPr>
            <w:tcW w:w="171" w:type="pct"/>
            <w:tcBorders>
              <w:top w:val="nil"/>
              <w:left w:val="nil"/>
              <w:bottom w:val="nil"/>
              <w:right w:val="nil"/>
            </w:tcBorders>
            <w:shd w:val="clear" w:color="auto" w:fill="auto"/>
            <w:noWrap/>
            <w:vAlign w:val="bottom"/>
            <w:hideMark/>
          </w:tcPr>
          <w:p w14:paraId="3C45C90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27.3%</w:t>
            </w:r>
          </w:p>
        </w:tc>
        <w:tc>
          <w:tcPr>
            <w:tcW w:w="416" w:type="pct"/>
            <w:tcBorders>
              <w:top w:val="nil"/>
              <w:left w:val="nil"/>
              <w:bottom w:val="nil"/>
              <w:right w:val="nil"/>
            </w:tcBorders>
            <w:shd w:val="clear" w:color="auto" w:fill="auto"/>
            <w:noWrap/>
            <w:vAlign w:val="bottom"/>
            <w:hideMark/>
          </w:tcPr>
          <w:p w14:paraId="5C3F19F1" w14:textId="4E2D5469"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48" w:type="pct"/>
            <w:tcBorders>
              <w:top w:val="nil"/>
              <w:left w:val="single" w:sz="4" w:space="0" w:color="auto"/>
              <w:bottom w:val="nil"/>
              <w:right w:val="nil"/>
            </w:tcBorders>
            <w:shd w:val="clear" w:color="auto" w:fill="auto"/>
            <w:noWrap/>
            <w:vAlign w:val="bottom"/>
            <w:hideMark/>
          </w:tcPr>
          <w:p w14:paraId="7BD3160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1048</w:t>
            </w:r>
          </w:p>
        </w:tc>
        <w:tc>
          <w:tcPr>
            <w:tcW w:w="171" w:type="pct"/>
            <w:tcBorders>
              <w:top w:val="nil"/>
              <w:left w:val="nil"/>
              <w:bottom w:val="nil"/>
              <w:right w:val="nil"/>
            </w:tcBorders>
            <w:shd w:val="clear" w:color="auto" w:fill="auto"/>
            <w:noWrap/>
            <w:vAlign w:val="bottom"/>
            <w:hideMark/>
          </w:tcPr>
          <w:p w14:paraId="6C01F95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17.1%</w:t>
            </w:r>
          </w:p>
        </w:tc>
        <w:tc>
          <w:tcPr>
            <w:tcW w:w="395" w:type="pct"/>
            <w:tcBorders>
              <w:top w:val="nil"/>
              <w:left w:val="nil"/>
              <w:bottom w:val="nil"/>
              <w:right w:val="single" w:sz="4" w:space="0" w:color="auto"/>
            </w:tcBorders>
            <w:shd w:val="clear" w:color="auto" w:fill="auto"/>
            <w:noWrap/>
            <w:vAlign w:val="bottom"/>
            <w:hideMark/>
          </w:tcPr>
          <w:p w14:paraId="22C6775D" w14:textId="37142CCE"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nil"/>
              <w:bottom w:val="nil"/>
              <w:right w:val="nil"/>
            </w:tcBorders>
            <w:shd w:val="clear" w:color="auto" w:fill="auto"/>
            <w:noWrap/>
            <w:vAlign w:val="bottom"/>
            <w:hideMark/>
          </w:tcPr>
          <w:p w14:paraId="32DDE3A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46</w:t>
            </w:r>
          </w:p>
        </w:tc>
        <w:tc>
          <w:tcPr>
            <w:tcW w:w="171" w:type="pct"/>
            <w:tcBorders>
              <w:top w:val="nil"/>
              <w:left w:val="nil"/>
              <w:bottom w:val="nil"/>
              <w:right w:val="nil"/>
            </w:tcBorders>
            <w:shd w:val="clear" w:color="auto" w:fill="auto"/>
            <w:noWrap/>
            <w:vAlign w:val="bottom"/>
            <w:hideMark/>
          </w:tcPr>
          <w:p w14:paraId="057378B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10.0%</w:t>
            </w:r>
          </w:p>
        </w:tc>
        <w:tc>
          <w:tcPr>
            <w:tcW w:w="416" w:type="pct"/>
            <w:tcBorders>
              <w:top w:val="nil"/>
              <w:left w:val="nil"/>
              <w:bottom w:val="nil"/>
              <w:right w:val="nil"/>
            </w:tcBorders>
            <w:shd w:val="clear" w:color="auto" w:fill="auto"/>
            <w:noWrap/>
            <w:vAlign w:val="bottom"/>
            <w:hideMark/>
          </w:tcPr>
          <w:p w14:paraId="39EA4E9C" w14:textId="6F745977"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single" w:sz="4" w:space="0" w:color="auto"/>
              <w:bottom w:val="nil"/>
              <w:right w:val="nil"/>
            </w:tcBorders>
            <w:shd w:val="clear" w:color="auto" w:fill="auto"/>
            <w:noWrap/>
            <w:vAlign w:val="bottom"/>
            <w:hideMark/>
          </w:tcPr>
          <w:p w14:paraId="6CD6798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84</w:t>
            </w:r>
          </w:p>
        </w:tc>
        <w:tc>
          <w:tcPr>
            <w:tcW w:w="171" w:type="pct"/>
            <w:tcBorders>
              <w:top w:val="nil"/>
              <w:left w:val="nil"/>
              <w:bottom w:val="nil"/>
              <w:right w:val="nil"/>
            </w:tcBorders>
            <w:shd w:val="clear" w:color="auto" w:fill="auto"/>
            <w:noWrap/>
            <w:vAlign w:val="bottom"/>
            <w:hideMark/>
          </w:tcPr>
          <w:p w14:paraId="7B004AF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5.0%</w:t>
            </w:r>
          </w:p>
        </w:tc>
        <w:tc>
          <w:tcPr>
            <w:tcW w:w="416" w:type="pct"/>
            <w:tcBorders>
              <w:top w:val="nil"/>
              <w:left w:val="nil"/>
              <w:bottom w:val="nil"/>
              <w:right w:val="single" w:sz="4" w:space="0" w:color="auto"/>
            </w:tcBorders>
            <w:shd w:val="clear" w:color="auto" w:fill="auto"/>
            <w:noWrap/>
            <w:vAlign w:val="bottom"/>
            <w:hideMark/>
          </w:tcPr>
          <w:p w14:paraId="5548BE5F" w14:textId="54EFD93F"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nil"/>
              <w:bottom w:val="nil"/>
              <w:right w:val="nil"/>
            </w:tcBorders>
            <w:shd w:val="clear" w:color="auto" w:fill="auto"/>
            <w:noWrap/>
            <w:vAlign w:val="bottom"/>
            <w:hideMark/>
          </w:tcPr>
          <w:p w14:paraId="62BC17D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54</w:t>
            </w:r>
          </w:p>
        </w:tc>
        <w:tc>
          <w:tcPr>
            <w:tcW w:w="171" w:type="pct"/>
            <w:tcBorders>
              <w:top w:val="nil"/>
              <w:left w:val="nil"/>
              <w:bottom w:val="nil"/>
              <w:right w:val="nil"/>
            </w:tcBorders>
            <w:shd w:val="clear" w:color="auto" w:fill="auto"/>
            <w:noWrap/>
            <w:vAlign w:val="bottom"/>
            <w:hideMark/>
          </w:tcPr>
          <w:p w14:paraId="64EC022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12.8%</w:t>
            </w:r>
          </w:p>
        </w:tc>
        <w:tc>
          <w:tcPr>
            <w:tcW w:w="376" w:type="pct"/>
            <w:tcBorders>
              <w:top w:val="nil"/>
              <w:left w:val="nil"/>
              <w:bottom w:val="nil"/>
              <w:right w:val="nil"/>
            </w:tcBorders>
            <w:shd w:val="clear" w:color="auto" w:fill="auto"/>
            <w:noWrap/>
            <w:vAlign w:val="bottom"/>
            <w:hideMark/>
          </w:tcPr>
          <w:p w14:paraId="4D1A7019" w14:textId="6DFFFA81"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9" w:type="pct"/>
            <w:gridSpan w:val="2"/>
            <w:tcBorders>
              <w:top w:val="nil"/>
              <w:left w:val="single" w:sz="4" w:space="0" w:color="auto"/>
              <w:bottom w:val="nil"/>
              <w:right w:val="nil"/>
            </w:tcBorders>
            <w:shd w:val="clear" w:color="auto" w:fill="auto"/>
            <w:noWrap/>
            <w:vAlign w:val="bottom"/>
            <w:hideMark/>
          </w:tcPr>
          <w:p w14:paraId="0A4B4D3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46</w:t>
            </w:r>
          </w:p>
        </w:tc>
        <w:tc>
          <w:tcPr>
            <w:tcW w:w="171" w:type="pct"/>
            <w:tcBorders>
              <w:top w:val="nil"/>
              <w:left w:val="nil"/>
              <w:bottom w:val="nil"/>
              <w:right w:val="nil"/>
            </w:tcBorders>
            <w:shd w:val="clear" w:color="auto" w:fill="auto"/>
            <w:noWrap/>
            <w:vAlign w:val="bottom"/>
            <w:hideMark/>
          </w:tcPr>
          <w:p w14:paraId="05DD300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6.4%</w:t>
            </w:r>
          </w:p>
        </w:tc>
        <w:tc>
          <w:tcPr>
            <w:tcW w:w="379" w:type="pct"/>
            <w:tcBorders>
              <w:top w:val="nil"/>
              <w:left w:val="nil"/>
              <w:bottom w:val="nil"/>
              <w:right w:val="single" w:sz="4" w:space="0" w:color="auto"/>
            </w:tcBorders>
            <w:shd w:val="clear" w:color="auto" w:fill="auto"/>
            <w:noWrap/>
            <w:vAlign w:val="bottom"/>
            <w:hideMark/>
          </w:tcPr>
          <w:p w14:paraId="11889DF1" w14:textId="1FBD8296"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r>
      <w:tr w:rsidR="00C65E8F" w:rsidRPr="00C65E8F" w14:paraId="4CC4B8F4"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7F71BF66"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49C8AD28"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35-44</w:t>
            </w:r>
          </w:p>
        </w:tc>
        <w:tc>
          <w:tcPr>
            <w:tcW w:w="128" w:type="pct"/>
            <w:tcBorders>
              <w:top w:val="nil"/>
              <w:left w:val="single" w:sz="4" w:space="0" w:color="auto"/>
              <w:bottom w:val="nil"/>
              <w:right w:val="nil"/>
            </w:tcBorders>
            <w:shd w:val="clear" w:color="auto" w:fill="auto"/>
            <w:noWrap/>
            <w:vAlign w:val="bottom"/>
            <w:hideMark/>
          </w:tcPr>
          <w:p w14:paraId="32A7B02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179</w:t>
            </w:r>
          </w:p>
        </w:tc>
        <w:tc>
          <w:tcPr>
            <w:tcW w:w="171" w:type="pct"/>
            <w:tcBorders>
              <w:top w:val="nil"/>
              <w:left w:val="nil"/>
              <w:bottom w:val="nil"/>
              <w:right w:val="nil"/>
            </w:tcBorders>
            <w:shd w:val="clear" w:color="auto" w:fill="auto"/>
            <w:noWrap/>
            <w:vAlign w:val="bottom"/>
            <w:hideMark/>
          </w:tcPr>
          <w:p w14:paraId="661E5D4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22.9%</w:t>
            </w:r>
          </w:p>
        </w:tc>
        <w:tc>
          <w:tcPr>
            <w:tcW w:w="416" w:type="pct"/>
            <w:tcBorders>
              <w:top w:val="nil"/>
              <w:left w:val="nil"/>
              <w:bottom w:val="nil"/>
              <w:right w:val="nil"/>
            </w:tcBorders>
            <w:shd w:val="clear" w:color="auto" w:fill="auto"/>
            <w:noWrap/>
            <w:vAlign w:val="bottom"/>
            <w:hideMark/>
          </w:tcPr>
          <w:p w14:paraId="35EC553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0.79 (0.59,1.06)</w:t>
            </w:r>
          </w:p>
        </w:tc>
        <w:tc>
          <w:tcPr>
            <w:tcW w:w="148" w:type="pct"/>
            <w:tcBorders>
              <w:top w:val="nil"/>
              <w:left w:val="single" w:sz="4" w:space="0" w:color="auto"/>
              <w:bottom w:val="nil"/>
              <w:right w:val="nil"/>
            </w:tcBorders>
            <w:shd w:val="clear" w:color="auto" w:fill="auto"/>
            <w:noWrap/>
            <w:vAlign w:val="bottom"/>
            <w:hideMark/>
          </w:tcPr>
          <w:p w14:paraId="468DE73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854</w:t>
            </w:r>
          </w:p>
        </w:tc>
        <w:tc>
          <w:tcPr>
            <w:tcW w:w="171" w:type="pct"/>
            <w:tcBorders>
              <w:top w:val="nil"/>
              <w:left w:val="nil"/>
              <w:bottom w:val="nil"/>
              <w:right w:val="nil"/>
            </w:tcBorders>
            <w:shd w:val="clear" w:color="auto" w:fill="auto"/>
            <w:noWrap/>
            <w:vAlign w:val="bottom"/>
            <w:hideMark/>
          </w:tcPr>
          <w:p w14:paraId="4CEBE05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15.5%</w:t>
            </w:r>
          </w:p>
        </w:tc>
        <w:tc>
          <w:tcPr>
            <w:tcW w:w="395" w:type="pct"/>
            <w:tcBorders>
              <w:top w:val="nil"/>
              <w:left w:val="nil"/>
              <w:bottom w:val="nil"/>
              <w:right w:val="single" w:sz="4" w:space="0" w:color="auto"/>
            </w:tcBorders>
            <w:shd w:val="clear" w:color="auto" w:fill="auto"/>
            <w:noWrap/>
            <w:vAlign w:val="bottom"/>
            <w:hideMark/>
          </w:tcPr>
          <w:p w14:paraId="100ABF7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0.89 (0.77,1.03)</w:t>
            </w:r>
          </w:p>
        </w:tc>
        <w:tc>
          <w:tcPr>
            <w:tcW w:w="128" w:type="pct"/>
            <w:tcBorders>
              <w:top w:val="nil"/>
              <w:left w:val="nil"/>
              <w:bottom w:val="nil"/>
              <w:right w:val="nil"/>
            </w:tcBorders>
            <w:shd w:val="clear" w:color="auto" w:fill="auto"/>
            <w:noWrap/>
            <w:vAlign w:val="bottom"/>
            <w:hideMark/>
          </w:tcPr>
          <w:p w14:paraId="075F880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73</w:t>
            </w:r>
          </w:p>
        </w:tc>
        <w:tc>
          <w:tcPr>
            <w:tcW w:w="171" w:type="pct"/>
            <w:tcBorders>
              <w:top w:val="nil"/>
              <w:left w:val="nil"/>
              <w:bottom w:val="nil"/>
              <w:right w:val="nil"/>
            </w:tcBorders>
            <w:shd w:val="clear" w:color="auto" w:fill="auto"/>
            <w:noWrap/>
            <w:vAlign w:val="bottom"/>
            <w:hideMark/>
          </w:tcPr>
          <w:p w14:paraId="76F33C6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9.8%</w:t>
            </w:r>
          </w:p>
        </w:tc>
        <w:tc>
          <w:tcPr>
            <w:tcW w:w="416" w:type="pct"/>
            <w:tcBorders>
              <w:top w:val="nil"/>
              <w:left w:val="nil"/>
              <w:bottom w:val="nil"/>
              <w:right w:val="nil"/>
            </w:tcBorders>
            <w:shd w:val="clear" w:color="auto" w:fill="auto"/>
            <w:noWrap/>
            <w:vAlign w:val="bottom"/>
            <w:hideMark/>
          </w:tcPr>
          <w:p w14:paraId="6C621C6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0.98 (0.64,1.51)</w:t>
            </w:r>
          </w:p>
        </w:tc>
        <w:tc>
          <w:tcPr>
            <w:tcW w:w="128" w:type="pct"/>
            <w:tcBorders>
              <w:top w:val="nil"/>
              <w:left w:val="single" w:sz="4" w:space="0" w:color="auto"/>
              <w:bottom w:val="nil"/>
              <w:right w:val="nil"/>
            </w:tcBorders>
            <w:shd w:val="clear" w:color="auto" w:fill="auto"/>
            <w:noWrap/>
            <w:vAlign w:val="bottom"/>
            <w:hideMark/>
          </w:tcPr>
          <w:p w14:paraId="0AE8908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61</w:t>
            </w:r>
          </w:p>
        </w:tc>
        <w:tc>
          <w:tcPr>
            <w:tcW w:w="171" w:type="pct"/>
            <w:tcBorders>
              <w:top w:val="nil"/>
              <w:left w:val="nil"/>
              <w:bottom w:val="nil"/>
              <w:right w:val="nil"/>
            </w:tcBorders>
            <w:shd w:val="clear" w:color="auto" w:fill="auto"/>
            <w:noWrap/>
            <w:vAlign w:val="bottom"/>
            <w:hideMark/>
          </w:tcPr>
          <w:p w14:paraId="16FD87A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5.3%</w:t>
            </w:r>
          </w:p>
        </w:tc>
        <w:tc>
          <w:tcPr>
            <w:tcW w:w="416" w:type="pct"/>
            <w:tcBorders>
              <w:top w:val="nil"/>
              <w:left w:val="nil"/>
              <w:bottom w:val="nil"/>
              <w:right w:val="single" w:sz="4" w:space="0" w:color="auto"/>
            </w:tcBorders>
            <w:shd w:val="clear" w:color="auto" w:fill="auto"/>
            <w:noWrap/>
            <w:vAlign w:val="bottom"/>
            <w:hideMark/>
          </w:tcPr>
          <w:p w14:paraId="1749C7C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1.09 (0.62,1.90)</w:t>
            </w:r>
          </w:p>
        </w:tc>
        <w:tc>
          <w:tcPr>
            <w:tcW w:w="128" w:type="pct"/>
            <w:tcBorders>
              <w:top w:val="nil"/>
              <w:left w:val="nil"/>
              <w:bottom w:val="nil"/>
              <w:right w:val="nil"/>
            </w:tcBorders>
            <w:shd w:val="clear" w:color="auto" w:fill="auto"/>
            <w:noWrap/>
            <w:vAlign w:val="bottom"/>
            <w:hideMark/>
          </w:tcPr>
          <w:p w14:paraId="0481899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80</w:t>
            </w:r>
          </w:p>
        </w:tc>
        <w:tc>
          <w:tcPr>
            <w:tcW w:w="171" w:type="pct"/>
            <w:tcBorders>
              <w:top w:val="nil"/>
              <w:left w:val="nil"/>
              <w:bottom w:val="nil"/>
              <w:right w:val="nil"/>
            </w:tcBorders>
            <w:shd w:val="clear" w:color="auto" w:fill="auto"/>
            <w:noWrap/>
            <w:vAlign w:val="bottom"/>
            <w:hideMark/>
          </w:tcPr>
          <w:p w14:paraId="7888221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10.6%</w:t>
            </w:r>
          </w:p>
        </w:tc>
        <w:tc>
          <w:tcPr>
            <w:tcW w:w="376" w:type="pct"/>
            <w:tcBorders>
              <w:top w:val="nil"/>
              <w:left w:val="nil"/>
              <w:bottom w:val="nil"/>
              <w:right w:val="nil"/>
            </w:tcBorders>
            <w:shd w:val="clear" w:color="auto" w:fill="auto"/>
            <w:noWrap/>
            <w:vAlign w:val="bottom"/>
            <w:hideMark/>
          </w:tcPr>
          <w:p w14:paraId="1990F46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0.82 (0.55,1.24)</w:t>
            </w:r>
          </w:p>
        </w:tc>
        <w:tc>
          <w:tcPr>
            <w:tcW w:w="129" w:type="pct"/>
            <w:gridSpan w:val="2"/>
            <w:tcBorders>
              <w:top w:val="nil"/>
              <w:left w:val="single" w:sz="4" w:space="0" w:color="auto"/>
              <w:bottom w:val="nil"/>
              <w:right w:val="nil"/>
            </w:tcBorders>
            <w:shd w:val="clear" w:color="auto" w:fill="auto"/>
            <w:noWrap/>
            <w:vAlign w:val="bottom"/>
            <w:hideMark/>
          </w:tcPr>
          <w:p w14:paraId="68FD96E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46</w:t>
            </w:r>
          </w:p>
        </w:tc>
        <w:tc>
          <w:tcPr>
            <w:tcW w:w="171" w:type="pct"/>
            <w:tcBorders>
              <w:top w:val="nil"/>
              <w:left w:val="nil"/>
              <w:bottom w:val="nil"/>
              <w:right w:val="nil"/>
            </w:tcBorders>
            <w:shd w:val="clear" w:color="auto" w:fill="auto"/>
            <w:noWrap/>
            <w:vAlign w:val="bottom"/>
            <w:hideMark/>
          </w:tcPr>
          <w:p w14:paraId="6392A9D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6.7%</w:t>
            </w:r>
          </w:p>
        </w:tc>
        <w:tc>
          <w:tcPr>
            <w:tcW w:w="379" w:type="pct"/>
            <w:tcBorders>
              <w:top w:val="nil"/>
              <w:left w:val="nil"/>
              <w:bottom w:val="nil"/>
              <w:right w:val="single" w:sz="4" w:space="0" w:color="auto"/>
            </w:tcBorders>
            <w:shd w:val="clear" w:color="auto" w:fill="auto"/>
            <w:noWrap/>
            <w:vAlign w:val="bottom"/>
            <w:hideMark/>
          </w:tcPr>
          <w:p w14:paraId="0C8B082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1.04 (0.62,1.75)</w:t>
            </w:r>
          </w:p>
        </w:tc>
      </w:tr>
      <w:tr w:rsidR="00C65E8F" w:rsidRPr="00C65E8F" w14:paraId="166E41F9"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31F83AFD"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1AFBC74A"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45-54</w:t>
            </w:r>
          </w:p>
        </w:tc>
        <w:tc>
          <w:tcPr>
            <w:tcW w:w="128" w:type="pct"/>
            <w:tcBorders>
              <w:top w:val="nil"/>
              <w:left w:val="single" w:sz="4" w:space="0" w:color="auto"/>
              <w:bottom w:val="nil"/>
              <w:right w:val="nil"/>
            </w:tcBorders>
            <w:shd w:val="clear" w:color="auto" w:fill="auto"/>
            <w:noWrap/>
            <w:vAlign w:val="bottom"/>
            <w:hideMark/>
          </w:tcPr>
          <w:p w14:paraId="4819316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233</w:t>
            </w:r>
          </w:p>
        </w:tc>
        <w:tc>
          <w:tcPr>
            <w:tcW w:w="171" w:type="pct"/>
            <w:tcBorders>
              <w:top w:val="nil"/>
              <w:left w:val="nil"/>
              <w:bottom w:val="nil"/>
              <w:right w:val="nil"/>
            </w:tcBorders>
            <w:shd w:val="clear" w:color="auto" w:fill="auto"/>
            <w:noWrap/>
            <w:vAlign w:val="bottom"/>
            <w:hideMark/>
          </w:tcPr>
          <w:p w14:paraId="09884BB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21.4%</w:t>
            </w:r>
          </w:p>
        </w:tc>
        <w:tc>
          <w:tcPr>
            <w:tcW w:w="416" w:type="pct"/>
            <w:tcBorders>
              <w:top w:val="nil"/>
              <w:left w:val="nil"/>
              <w:bottom w:val="nil"/>
              <w:right w:val="nil"/>
            </w:tcBorders>
            <w:shd w:val="clear" w:color="auto" w:fill="auto"/>
            <w:noWrap/>
            <w:vAlign w:val="bottom"/>
            <w:hideMark/>
          </w:tcPr>
          <w:p w14:paraId="4CCDF137" w14:textId="25E23C2B"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0.73 (0.55,0.96)</w:t>
            </w:r>
          </w:p>
        </w:tc>
        <w:tc>
          <w:tcPr>
            <w:tcW w:w="148" w:type="pct"/>
            <w:tcBorders>
              <w:top w:val="nil"/>
              <w:left w:val="single" w:sz="4" w:space="0" w:color="auto"/>
              <w:bottom w:val="nil"/>
              <w:right w:val="nil"/>
            </w:tcBorders>
            <w:shd w:val="clear" w:color="auto" w:fill="auto"/>
            <w:noWrap/>
            <w:vAlign w:val="bottom"/>
            <w:hideMark/>
          </w:tcPr>
          <w:p w14:paraId="13ABB23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994</w:t>
            </w:r>
          </w:p>
        </w:tc>
        <w:tc>
          <w:tcPr>
            <w:tcW w:w="171" w:type="pct"/>
            <w:tcBorders>
              <w:top w:val="nil"/>
              <w:left w:val="nil"/>
              <w:bottom w:val="nil"/>
              <w:right w:val="nil"/>
            </w:tcBorders>
            <w:shd w:val="clear" w:color="auto" w:fill="auto"/>
            <w:noWrap/>
            <w:vAlign w:val="bottom"/>
            <w:hideMark/>
          </w:tcPr>
          <w:p w14:paraId="3CE166D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16.8%</w:t>
            </w:r>
          </w:p>
        </w:tc>
        <w:tc>
          <w:tcPr>
            <w:tcW w:w="395" w:type="pct"/>
            <w:tcBorders>
              <w:top w:val="nil"/>
              <w:left w:val="nil"/>
              <w:bottom w:val="nil"/>
              <w:right w:val="single" w:sz="4" w:space="0" w:color="auto"/>
            </w:tcBorders>
            <w:shd w:val="clear" w:color="auto" w:fill="auto"/>
            <w:noWrap/>
            <w:vAlign w:val="bottom"/>
            <w:hideMark/>
          </w:tcPr>
          <w:p w14:paraId="2E320A3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0.98 (0.85,1.13)</w:t>
            </w:r>
          </w:p>
        </w:tc>
        <w:tc>
          <w:tcPr>
            <w:tcW w:w="128" w:type="pct"/>
            <w:tcBorders>
              <w:top w:val="nil"/>
              <w:left w:val="nil"/>
              <w:bottom w:val="nil"/>
              <w:right w:val="nil"/>
            </w:tcBorders>
            <w:shd w:val="clear" w:color="auto" w:fill="auto"/>
            <w:noWrap/>
            <w:vAlign w:val="bottom"/>
            <w:hideMark/>
          </w:tcPr>
          <w:p w14:paraId="50BD97F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52</w:t>
            </w:r>
          </w:p>
        </w:tc>
        <w:tc>
          <w:tcPr>
            <w:tcW w:w="171" w:type="pct"/>
            <w:tcBorders>
              <w:top w:val="nil"/>
              <w:left w:val="nil"/>
              <w:bottom w:val="nil"/>
              <w:right w:val="nil"/>
            </w:tcBorders>
            <w:shd w:val="clear" w:color="auto" w:fill="auto"/>
            <w:noWrap/>
            <w:vAlign w:val="bottom"/>
            <w:hideMark/>
          </w:tcPr>
          <w:p w14:paraId="147CF33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5.0%</w:t>
            </w:r>
          </w:p>
        </w:tc>
        <w:tc>
          <w:tcPr>
            <w:tcW w:w="416" w:type="pct"/>
            <w:tcBorders>
              <w:top w:val="nil"/>
              <w:left w:val="nil"/>
              <w:bottom w:val="nil"/>
              <w:right w:val="nil"/>
            </w:tcBorders>
            <w:shd w:val="clear" w:color="auto" w:fill="auto"/>
            <w:noWrap/>
            <w:vAlign w:val="bottom"/>
            <w:hideMark/>
          </w:tcPr>
          <w:p w14:paraId="188A8BAD" w14:textId="77DDB455"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0.47 (0.30,0.74)</w:t>
            </w:r>
          </w:p>
        </w:tc>
        <w:tc>
          <w:tcPr>
            <w:tcW w:w="128" w:type="pct"/>
            <w:tcBorders>
              <w:top w:val="nil"/>
              <w:left w:val="single" w:sz="4" w:space="0" w:color="auto"/>
              <w:bottom w:val="nil"/>
              <w:right w:val="nil"/>
            </w:tcBorders>
            <w:shd w:val="clear" w:color="auto" w:fill="auto"/>
            <w:noWrap/>
            <w:vAlign w:val="bottom"/>
            <w:hideMark/>
          </w:tcPr>
          <w:p w14:paraId="161D1C6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71</w:t>
            </w:r>
          </w:p>
        </w:tc>
        <w:tc>
          <w:tcPr>
            <w:tcW w:w="171" w:type="pct"/>
            <w:tcBorders>
              <w:top w:val="nil"/>
              <w:left w:val="nil"/>
              <w:bottom w:val="nil"/>
              <w:right w:val="nil"/>
            </w:tcBorders>
            <w:shd w:val="clear" w:color="auto" w:fill="auto"/>
            <w:noWrap/>
            <w:vAlign w:val="bottom"/>
            <w:hideMark/>
          </w:tcPr>
          <w:p w14:paraId="75D769D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6.2%</w:t>
            </w:r>
          </w:p>
        </w:tc>
        <w:tc>
          <w:tcPr>
            <w:tcW w:w="416" w:type="pct"/>
            <w:tcBorders>
              <w:top w:val="nil"/>
              <w:left w:val="nil"/>
              <w:bottom w:val="nil"/>
              <w:right w:val="single" w:sz="4" w:space="0" w:color="auto"/>
            </w:tcBorders>
            <w:shd w:val="clear" w:color="auto" w:fill="auto"/>
            <w:noWrap/>
            <w:vAlign w:val="bottom"/>
            <w:hideMark/>
          </w:tcPr>
          <w:p w14:paraId="64054A4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1.27 (0.74,2.18)</w:t>
            </w:r>
          </w:p>
        </w:tc>
        <w:tc>
          <w:tcPr>
            <w:tcW w:w="128" w:type="pct"/>
            <w:tcBorders>
              <w:top w:val="nil"/>
              <w:left w:val="nil"/>
              <w:bottom w:val="nil"/>
              <w:right w:val="nil"/>
            </w:tcBorders>
            <w:shd w:val="clear" w:color="auto" w:fill="auto"/>
            <w:noWrap/>
            <w:vAlign w:val="bottom"/>
            <w:hideMark/>
          </w:tcPr>
          <w:p w14:paraId="3A00787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100</w:t>
            </w:r>
          </w:p>
        </w:tc>
        <w:tc>
          <w:tcPr>
            <w:tcW w:w="171" w:type="pct"/>
            <w:tcBorders>
              <w:top w:val="nil"/>
              <w:left w:val="nil"/>
              <w:bottom w:val="nil"/>
              <w:right w:val="nil"/>
            </w:tcBorders>
            <w:shd w:val="clear" w:color="auto" w:fill="auto"/>
            <w:noWrap/>
            <w:vAlign w:val="bottom"/>
            <w:hideMark/>
          </w:tcPr>
          <w:p w14:paraId="3F1A36C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9.9%</w:t>
            </w:r>
          </w:p>
        </w:tc>
        <w:tc>
          <w:tcPr>
            <w:tcW w:w="376" w:type="pct"/>
            <w:tcBorders>
              <w:top w:val="nil"/>
              <w:left w:val="nil"/>
              <w:bottom w:val="nil"/>
              <w:right w:val="nil"/>
            </w:tcBorders>
            <w:shd w:val="clear" w:color="auto" w:fill="auto"/>
            <w:noWrap/>
            <w:vAlign w:val="bottom"/>
            <w:hideMark/>
          </w:tcPr>
          <w:p w14:paraId="6BB58B4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0.72 (0.49,1.07)</w:t>
            </w:r>
          </w:p>
        </w:tc>
        <w:tc>
          <w:tcPr>
            <w:tcW w:w="129" w:type="pct"/>
            <w:gridSpan w:val="2"/>
            <w:tcBorders>
              <w:top w:val="nil"/>
              <w:left w:val="single" w:sz="4" w:space="0" w:color="auto"/>
              <w:bottom w:val="nil"/>
              <w:right w:val="nil"/>
            </w:tcBorders>
            <w:shd w:val="clear" w:color="auto" w:fill="auto"/>
            <w:noWrap/>
            <w:vAlign w:val="bottom"/>
            <w:hideMark/>
          </w:tcPr>
          <w:p w14:paraId="2EACE1B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39</w:t>
            </w:r>
          </w:p>
        </w:tc>
        <w:tc>
          <w:tcPr>
            <w:tcW w:w="171" w:type="pct"/>
            <w:tcBorders>
              <w:top w:val="nil"/>
              <w:left w:val="nil"/>
              <w:bottom w:val="nil"/>
              <w:right w:val="nil"/>
            </w:tcBorders>
            <w:shd w:val="clear" w:color="auto" w:fill="auto"/>
            <w:noWrap/>
            <w:vAlign w:val="bottom"/>
            <w:hideMark/>
          </w:tcPr>
          <w:p w14:paraId="395CB2F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5.3%</w:t>
            </w:r>
          </w:p>
        </w:tc>
        <w:tc>
          <w:tcPr>
            <w:tcW w:w="379" w:type="pct"/>
            <w:tcBorders>
              <w:top w:val="nil"/>
              <w:left w:val="nil"/>
              <w:bottom w:val="nil"/>
              <w:right w:val="single" w:sz="4" w:space="0" w:color="auto"/>
            </w:tcBorders>
            <w:shd w:val="clear" w:color="auto" w:fill="auto"/>
            <w:noWrap/>
            <w:vAlign w:val="bottom"/>
            <w:hideMark/>
          </w:tcPr>
          <w:p w14:paraId="344A035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0.82 (0.47,1.41)</w:t>
            </w:r>
          </w:p>
        </w:tc>
      </w:tr>
      <w:tr w:rsidR="00C65E8F" w:rsidRPr="00C65E8F" w14:paraId="5B49F452"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1EE5B77D"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6DBCFB91"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55-64</w:t>
            </w:r>
          </w:p>
        </w:tc>
        <w:tc>
          <w:tcPr>
            <w:tcW w:w="128" w:type="pct"/>
            <w:tcBorders>
              <w:top w:val="nil"/>
              <w:left w:val="single" w:sz="4" w:space="0" w:color="auto"/>
              <w:bottom w:val="nil"/>
              <w:right w:val="nil"/>
            </w:tcBorders>
            <w:shd w:val="clear" w:color="auto" w:fill="auto"/>
            <w:noWrap/>
            <w:vAlign w:val="bottom"/>
            <w:hideMark/>
          </w:tcPr>
          <w:p w14:paraId="060BDC9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74</w:t>
            </w:r>
          </w:p>
        </w:tc>
        <w:tc>
          <w:tcPr>
            <w:tcW w:w="171" w:type="pct"/>
            <w:tcBorders>
              <w:top w:val="nil"/>
              <w:left w:val="nil"/>
              <w:bottom w:val="nil"/>
              <w:right w:val="nil"/>
            </w:tcBorders>
            <w:shd w:val="clear" w:color="auto" w:fill="auto"/>
            <w:noWrap/>
            <w:vAlign w:val="bottom"/>
            <w:hideMark/>
          </w:tcPr>
          <w:p w14:paraId="101B657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15.9%</w:t>
            </w:r>
          </w:p>
        </w:tc>
        <w:tc>
          <w:tcPr>
            <w:tcW w:w="416" w:type="pct"/>
            <w:tcBorders>
              <w:top w:val="nil"/>
              <w:left w:val="nil"/>
              <w:bottom w:val="nil"/>
              <w:right w:val="nil"/>
            </w:tcBorders>
            <w:shd w:val="clear" w:color="auto" w:fill="auto"/>
            <w:noWrap/>
            <w:vAlign w:val="bottom"/>
            <w:hideMark/>
          </w:tcPr>
          <w:p w14:paraId="060FD4A2" w14:textId="7E08EE12"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0.50 (0.36,0.71)</w:t>
            </w:r>
          </w:p>
        </w:tc>
        <w:tc>
          <w:tcPr>
            <w:tcW w:w="148" w:type="pct"/>
            <w:tcBorders>
              <w:top w:val="nil"/>
              <w:left w:val="single" w:sz="4" w:space="0" w:color="auto"/>
              <w:bottom w:val="nil"/>
              <w:right w:val="nil"/>
            </w:tcBorders>
            <w:shd w:val="clear" w:color="auto" w:fill="auto"/>
            <w:noWrap/>
            <w:vAlign w:val="bottom"/>
            <w:hideMark/>
          </w:tcPr>
          <w:p w14:paraId="285CF4E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772</w:t>
            </w:r>
          </w:p>
        </w:tc>
        <w:tc>
          <w:tcPr>
            <w:tcW w:w="171" w:type="pct"/>
            <w:tcBorders>
              <w:top w:val="nil"/>
              <w:left w:val="nil"/>
              <w:bottom w:val="nil"/>
              <w:right w:val="nil"/>
            </w:tcBorders>
            <w:shd w:val="clear" w:color="auto" w:fill="auto"/>
            <w:noWrap/>
            <w:vAlign w:val="bottom"/>
            <w:hideMark/>
          </w:tcPr>
          <w:p w14:paraId="112B7E7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16.0%</w:t>
            </w:r>
          </w:p>
        </w:tc>
        <w:tc>
          <w:tcPr>
            <w:tcW w:w="395" w:type="pct"/>
            <w:tcBorders>
              <w:top w:val="nil"/>
              <w:left w:val="nil"/>
              <w:bottom w:val="nil"/>
              <w:right w:val="single" w:sz="4" w:space="0" w:color="auto"/>
            </w:tcBorders>
            <w:shd w:val="clear" w:color="auto" w:fill="auto"/>
            <w:noWrap/>
            <w:vAlign w:val="bottom"/>
            <w:hideMark/>
          </w:tcPr>
          <w:p w14:paraId="4CA0229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0.93 (0.80,1.08)</w:t>
            </w:r>
          </w:p>
        </w:tc>
        <w:tc>
          <w:tcPr>
            <w:tcW w:w="128" w:type="pct"/>
            <w:tcBorders>
              <w:top w:val="nil"/>
              <w:left w:val="nil"/>
              <w:bottom w:val="nil"/>
              <w:right w:val="nil"/>
            </w:tcBorders>
            <w:shd w:val="clear" w:color="auto" w:fill="auto"/>
            <w:noWrap/>
            <w:vAlign w:val="bottom"/>
            <w:hideMark/>
          </w:tcPr>
          <w:p w14:paraId="365C59B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15</w:t>
            </w:r>
          </w:p>
        </w:tc>
        <w:tc>
          <w:tcPr>
            <w:tcW w:w="171" w:type="pct"/>
            <w:tcBorders>
              <w:top w:val="nil"/>
              <w:left w:val="nil"/>
              <w:bottom w:val="nil"/>
              <w:right w:val="nil"/>
            </w:tcBorders>
            <w:shd w:val="clear" w:color="auto" w:fill="auto"/>
            <w:noWrap/>
            <w:vAlign w:val="bottom"/>
            <w:hideMark/>
          </w:tcPr>
          <w:p w14:paraId="0FE9BCC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3.5%</w:t>
            </w:r>
          </w:p>
        </w:tc>
        <w:tc>
          <w:tcPr>
            <w:tcW w:w="416" w:type="pct"/>
            <w:tcBorders>
              <w:top w:val="nil"/>
              <w:left w:val="nil"/>
              <w:bottom w:val="nil"/>
              <w:right w:val="nil"/>
            </w:tcBorders>
            <w:shd w:val="clear" w:color="auto" w:fill="auto"/>
            <w:noWrap/>
            <w:vAlign w:val="bottom"/>
            <w:hideMark/>
          </w:tcPr>
          <w:p w14:paraId="14FC2A90" w14:textId="37A232B5"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0.32 (0.17,0.61)</w:t>
            </w:r>
          </w:p>
        </w:tc>
        <w:tc>
          <w:tcPr>
            <w:tcW w:w="128" w:type="pct"/>
            <w:tcBorders>
              <w:top w:val="nil"/>
              <w:left w:val="single" w:sz="4" w:space="0" w:color="auto"/>
              <w:bottom w:val="nil"/>
              <w:right w:val="nil"/>
            </w:tcBorders>
            <w:shd w:val="clear" w:color="auto" w:fill="auto"/>
            <w:noWrap/>
            <w:vAlign w:val="bottom"/>
            <w:hideMark/>
          </w:tcPr>
          <w:p w14:paraId="28F98AF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57</w:t>
            </w:r>
          </w:p>
        </w:tc>
        <w:tc>
          <w:tcPr>
            <w:tcW w:w="171" w:type="pct"/>
            <w:tcBorders>
              <w:top w:val="nil"/>
              <w:left w:val="nil"/>
              <w:bottom w:val="nil"/>
              <w:right w:val="nil"/>
            </w:tcBorders>
            <w:shd w:val="clear" w:color="auto" w:fill="auto"/>
            <w:noWrap/>
            <w:vAlign w:val="bottom"/>
            <w:hideMark/>
          </w:tcPr>
          <w:p w14:paraId="0855D9F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6.5%</w:t>
            </w:r>
          </w:p>
        </w:tc>
        <w:tc>
          <w:tcPr>
            <w:tcW w:w="416" w:type="pct"/>
            <w:tcBorders>
              <w:top w:val="nil"/>
              <w:left w:val="nil"/>
              <w:bottom w:val="nil"/>
              <w:right w:val="single" w:sz="4" w:space="0" w:color="auto"/>
            </w:tcBorders>
            <w:shd w:val="clear" w:color="auto" w:fill="auto"/>
            <w:noWrap/>
            <w:vAlign w:val="bottom"/>
            <w:hideMark/>
          </w:tcPr>
          <w:p w14:paraId="60987CB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1.35 (0.79,2.30)</w:t>
            </w:r>
          </w:p>
        </w:tc>
        <w:tc>
          <w:tcPr>
            <w:tcW w:w="128" w:type="pct"/>
            <w:tcBorders>
              <w:top w:val="nil"/>
              <w:left w:val="nil"/>
              <w:bottom w:val="nil"/>
              <w:right w:val="nil"/>
            </w:tcBorders>
            <w:shd w:val="clear" w:color="auto" w:fill="auto"/>
            <w:noWrap/>
            <w:vAlign w:val="bottom"/>
            <w:hideMark/>
          </w:tcPr>
          <w:p w14:paraId="54F5BFC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26</w:t>
            </w:r>
          </w:p>
        </w:tc>
        <w:tc>
          <w:tcPr>
            <w:tcW w:w="171" w:type="pct"/>
            <w:tcBorders>
              <w:top w:val="nil"/>
              <w:left w:val="nil"/>
              <w:bottom w:val="nil"/>
              <w:right w:val="nil"/>
            </w:tcBorders>
            <w:shd w:val="clear" w:color="auto" w:fill="auto"/>
            <w:noWrap/>
            <w:vAlign w:val="bottom"/>
            <w:hideMark/>
          </w:tcPr>
          <w:p w14:paraId="72CB888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5.8%</w:t>
            </w:r>
          </w:p>
        </w:tc>
        <w:tc>
          <w:tcPr>
            <w:tcW w:w="376" w:type="pct"/>
            <w:tcBorders>
              <w:top w:val="nil"/>
              <w:left w:val="nil"/>
              <w:bottom w:val="nil"/>
              <w:right w:val="nil"/>
            </w:tcBorders>
            <w:shd w:val="clear" w:color="auto" w:fill="auto"/>
            <w:noWrap/>
            <w:vAlign w:val="bottom"/>
            <w:hideMark/>
          </w:tcPr>
          <w:p w14:paraId="05410B85" w14:textId="6480217E"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0.40 (0.24,0.68)</w:t>
            </w:r>
          </w:p>
        </w:tc>
        <w:tc>
          <w:tcPr>
            <w:tcW w:w="129" w:type="pct"/>
            <w:gridSpan w:val="2"/>
            <w:tcBorders>
              <w:top w:val="nil"/>
              <w:left w:val="single" w:sz="4" w:space="0" w:color="auto"/>
              <w:bottom w:val="nil"/>
              <w:right w:val="nil"/>
            </w:tcBorders>
            <w:shd w:val="clear" w:color="auto" w:fill="auto"/>
            <w:noWrap/>
            <w:vAlign w:val="bottom"/>
            <w:hideMark/>
          </w:tcPr>
          <w:p w14:paraId="2B639F9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32</w:t>
            </w:r>
          </w:p>
        </w:tc>
        <w:tc>
          <w:tcPr>
            <w:tcW w:w="171" w:type="pct"/>
            <w:tcBorders>
              <w:top w:val="nil"/>
              <w:left w:val="nil"/>
              <w:bottom w:val="nil"/>
              <w:right w:val="nil"/>
            </w:tcBorders>
            <w:shd w:val="clear" w:color="auto" w:fill="auto"/>
            <w:noWrap/>
            <w:vAlign w:val="bottom"/>
            <w:hideMark/>
          </w:tcPr>
          <w:p w14:paraId="27EE5F7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3.8%</w:t>
            </w:r>
          </w:p>
        </w:tc>
        <w:tc>
          <w:tcPr>
            <w:tcW w:w="379" w:type="pct"/>
            <w:tcBorders>
              <w:top w:val="nil"/>
              <w:left w:val="nil"/>
              <w:bottom w:val="nil"/>
              <w:right w:val="single" w:sz="4" w:space="0" w:color="auto"/>
            </w:tcBorders>
            <w:shd w:val="clear" w:color="auto" w:fill="auto"/>
            <w:noWrap/>
            <w:vAlign w:val="bottom"/>
            <w:hideMark/>
          </w:tcPr>
          <w:p w14:paraId="7ED20D02" w14:textId="2E9C3E6B"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0.57 (0.32,1.03)</w:t>
            </w:r>
          </w:p>
        </w:tc>
      </w:tr>
      <w:tr w:rsidR="00C65E8F" w:rsidRPr="00C65E8F" w14:paraId="73D36E19" w14:textId="77777777" w:rsidTr="00063136">
        <w:trPr>
          <w:trHeight w:val="222"/>
        </w:trPr>
        <w:tc>
          <w:tcPr>
            <w:tcW w:w="195" w:type="pct"/>
            <w:tcBorders>
              <w:top w:val="nil"/>
              <w:left w:val="single" w:sz="4" w:space="0" w:color="auto"/>
              <w:bottom w:val="single" w:sz="4" w:space="0" w:color="auto"/>
              <w:right w:val="nil"/>
            </w:tcBorders>
            <w:shd w:val="clear" w:color="auto" w:fill="auto"/>
            <w:noWrap/>
            <w:vAlign w:val="bottom"/>
            <w:hideMark/>
          </w:tcPr>
          <w:p w14:paraId="3F2ECB86"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single" w:sz="4" w:space="0" w:color="auto"/>
              <w:right w:val="nil"/>
            </w:tcBorders>
            <w:shd w:val="clear" w:color="auto" w:fill="auto"/>
            <w:noWrap/>
            <w:vAlign w:val="bottom"/>
            <w:hideMark/>
          </w:tcPr>
          <w:p w14:paraId="0142B670"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65-74</w:t>
            </w:r>
          </w:p>
        </w:tc>
        <w:tc>
          <w:tcPr>
            <w:tcW w:w="128" w:type="pct"/>
            <w:tcBorders>
              <w:top w:val="nil"/>
              <w:left w:val="single" w:sz="4" w:space="0" w:color="auto"/>
              <w:bottom w:val="single" w:sz="4" w:space="0" w:color="auto"/>
              <w:right w:val="nil"/>
            </w:tcBorders>
            <w:shd w:val="clear" w:color="auto" w:fill="auto"/>
            <w:noWrap/>
            <w:vAlign w:val="bottom"/>
            <w:hideMark/>
          </w:tcPr>
          <w:p w14:paraId="775DA99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w:t>
            </w:r>
          </w:p>
        </w:tc>
        <w:tc>
          <w:tcPr>
            <w:tcW w:w="171" w:type="pct"/>
            <w:tcBorders>
              <w:top w:val="nil"/>
              <w:left w:val="nil"/>
              <w:bottom w:val="single" w:sz="4" w:space="0" w:color="auto"/>
              <w:right w:val="nil"/>
            </w:tcBorders>
            <w:shd w:val="clear" w:color="auto" w:fill="auto"/>
            <w:noWrap/>
            <w:vAlign w:val="bottom"/>
            <w:hideMark/>
          </w:tcPr>
          <w:p w14:paraId="5F40344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11.9%</w:t>
            </w:r>
          </w:p>
        </w:tc>
        <w:tc>
          <w:tcPr>
            <w:tcW w:w="416" w:type="pct"/>
            <w:tcBorders>
              <w:top w:val="nil"/>
              <w:left w:val="nil"/>
              <w:bottom w:val="single" w:sz="4" w:space="0" w:color="auto"/>
              <w:right w:val="nil"/>
            </w:tcBorders>
            <w:shd w:val="clear" w:color="auto" w:fill="auto"/>
            <w:noWrap/>
            <w:vAlign w:val="bottom"/>
            <w:hideMark/>
          </w:tcPr>
          <w:p w14:paraId="3D22DADE" w14:textId="0F5C2A3A"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0.36 (0.18,0.73)</w:t>
            </w:r>
          </w:p>
        </w:tc>
        <w:tc>
          <w:tcPr>
            <w:tcW w:w="148" w:type="pct"/>
            <w:tcBorders>
              <w:top w:val="nil"/>
              <w:left w:val="single" w:sz="4" w:space="0" w:color="auto"/>
              <w:bottom w:val="single" w:sz="4" w:space="0" w:color="auto"/>
              <w:right w:val="nil"/>
            </w:tcBorders>
            <w:shd w:val="clear" w:color="auto" w:fill="auto"/>
            <w:noWrap/>
            <w:vAlign w:val="bottom"/>
            <w:hideMark/>
          </w:tcPr>
          <w:p w14:paraId="7D33444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395</w:t>
            </w:r>
          </w:p>
        </w:tc>
        <w:tc>
          <w:tcPr>
            <w:tcW w:w="171" w:type="pct"/>
            <w:tcBorders>
              <w:top w:val="nil"/>
              <w:left w:val="nil"/>
              <w:bottom w:val="single" w:sz="4" w:space="0" w:color="auto"/>
              <w:right w:val="nil"/>
            </w:tcBorders>
            <w:shd w:val="clear" w:color="auto" w:fill="auto"/>
            <w:noWrap/>
            <w:vAlign w:val="bottom"/>
            <w:hideMark/>
          </w:tcPr>
          <w:p w14:paraId="32CF122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9.5%</w:t>
            </w:r>
          </w:p>
        </w:tc>
        <w:tc>
          <w:tcPr>
            <w:tcW w:w="395" w:type="pct"/>
            <w:tcBorders>
              <w:top w:val="nil"/>
              <w:left w:val="nil"/>
              <w:bottom w:val="single" w:sz="4" w:space="0" w:color="auto"/>
              <w:right w:val="single" w:sz="4" w:space="0" w:color="auto"/>
            </w:tcBorders>
            <w:shd w:val="clear" w:color="auto" w:fill="auto"/>
            <w:noWrap/>
            <w:vAlign w:val="bottom"/>
            <w:hideMark/>
          </w:tcPr>
          <w:p w14:paraId="4CF89BEA" w14:textId="2291D384"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0.51 (0.42,0.62)</w:t>
            </w:r>
          </w:p>
        </w:tc>
        <w:tc>
          <w:tcPr>
            <w:tcW w:w="128" w:type="pct"/>
            <w:tcBorders>
              <w:top w:val="nil"/>
              <w:left w:val="nil"/>
              <w:bottom w:val="single" w:sz="4" w:space="0" w:color="auto"/>
              <w:right w:val="nil"/>
            </w:tcBorders>
            <w:shd w:val="clear" w:color="auto" w:fill="auto"/>
            <w:noWrap/>
            <w:vAlign w:val="bottom"/>
            <w:hideMark/>
          </w:tcPr>
          <w:p w14:paraId="788244D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71" w:type="pct"/>
            <w:tcBorders>
              <w:top w:val="nil"/>
              <w:left w:val="nil"/>
              <w:bottom w:val="single" w:sz="4" w:space="0" w:color="auto"/>
              <w:right w:val="nil"/>
            </w:tcBorders>
            <w:shd w:val="clear" w:color="auto" w:fill="auto"/>
            <w:noWrap/>
            <w:vAlign w:val="bottom"/>
            <w:hideMark/>
          </w:tcPr>
          <w:p w14:paraId="3898987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1.1%</w:t>
            </w:r>
          </w:p>
        </w:tc>
        <w:tc>
          <w:tcPr>
            <w:tcW w:w="416" w:type="pct"/>
            <w:tcBorders>
              <w:top w:val="nil"/>
              <w:left w:val="nil"/>
              <w:bottom w:val="single" w:sz="4" w:space="0" w:color="auto"/>
              <w:right w:val="nil"/>
            </w:tcBorders>
            <w:shd w:val="clear" w:color="auto" w:fill="auto"/>
            <w:noWrap/>
            <w:vAlign w:val="bottom"/>
            <w:hideMark/>
          </w:tcPr>
          <w:p w14:paraId="511EFB41" w14:textId="732AF990"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0.10 (0.01,0.73)</w:t>
            </w:r>
          </w:p>
        </w:tc>
        <w:tc>
          <w:tcPr>
            <w:tcW w:w="128" w:type="pct"/>
            <w:tcBorders>
              <w:top w:val="nil"/>
              <w:left w:val="single" w:sz="4" w:space="0" w:color="auto"/>
              <w:bottom w:val="single" w:sz="4" w:space="0" w:color="auto"/>
              <w:right w:val="nil"/>
            </w:tcBorders>
            <w:shd w:val="clear" w:color="auto" w:fill="auto"/>
            <w:noWrap/>
            <w:vAlign w:val="bottom"/>
            <w:hideMark/>
          </w:tcPr>
          <w:p w14:paraId="2C99D28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20</w:t>
            </w:r>
          </w:p>
        </w:tc>
        <w:tc>
          <w:tcPr>
            <w:tcW w:w="171" w:type="pct"/>
            <w:tcBorders>
              <w:top w:val="nil"/>
              <w:left w:val="nil"/>
              <w:bottom w:val="single" w:sz="4" w:space="0" w:color="auto"/>
              <w:right w:val="nil"/>
            </w:tcBorders>
            <w:shd w:val="clear" w:color="auto" w:fill="auto"/>
            <w:noWrap/>
            <w:vAlign w:val="bottom"/>
            <w:hideMark/>
          </w:tcPr>
          <w:p w14:paraId="242DECF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1.2%</w:t>
            </w:r>
          </w:p>
        </w:tc>
        <w:tc>
          <w:tcPr>
            <w:tcW w:w="416" w:type="pct"/>
            <w:tcBorders>
              <w:top w:val="nil"/>
              <w:left w:val="nil"/>
              <w:bottom w:val="single" w:sz="4" w:space="0" w:color="auto"/>
              <w:right w:val="single" w:sz="4" w:space="0" w:color="auto"/>
            </w:tcBorders>
            <w:shd w:val="clear" w:color="auto" w:fill="auto"/>
            <w:noWrap/>
            <w:vAlign w:val="bottom"/>
            <w:hideMark/>
          </w:tcPr>
          <w:p w14:paraId="10E99A5A" w14:textId="4F6C224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0.23 (0.10,0.55)</w:t>
            </w:r>
          </w:p>
        </w:tc>
        <w:tc>
          <w:tcPr>
            <w:tcW w:w="128" w:type="pct"/>
            <w:tcBorders>
              <w:top w:val="nil"/>
              <w:left w:val="nil"/>
              <w:bottom w:val="single" w:sz="4" w:space="0" w:color="auto"/>
              <w:right w:val="nil"/>
            </w:tcBorders>
            <w:shd w:val="clear" w:color="auto" w:fill="auto"/>
            <w:noWrap/>
            <w:vAlign w:val="bottom"/>
            <w:hideMark/>
          </w:tcPr>
          <w:p w14:paraId="6CD32C8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w:t>
            </w:r>
          </w:p>
        </w:tc>
        <w:tc>
          <w:tcPr>
            <w:tcW w:w="171" w:type="pct"/>
            <w:tcBorders>
              <w:top w:val="nil"/>
              <w:left w:val="nil"/>
              <w:bottom w:val="single" w:sz="4" w:space="0" w:color="auto"/>
              <w:right w:val="nil"/>
            </w:tcBorders>
            <w:shd w:val="clear" w:color="auto" w:fill="auto"/>
            <w:noWrap/>
            <w:vAlign w:val="bottom"/>
            <w:hideMark/>
          </w:tcPr>
          <w:p w14:paraId="7C5F71C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4.8%</w:t>
            </w:r>
          </w:p>
        </w:tc>
        <w:tc>
          <w:tcPr>
            <w:tcW w:w="376" w:type="pct"/>
            <w:tcBorders>
              <w:top w:val="nil"/>
              <w:left w:val="nil"/>
              <w:bottom w:val="single" w:sz="4" w:space="0" w:color="auto"/>
              <w:right w:val="nil"/>
            </w:tcBorders>
            <w:shd w:val="clear" w:color="auto" w:fill="auto"/>
            <w:noWrap/>
            <w:vAlign w:val="bottom"/>
            <w:hideMark/>
          </w:tcPr>
          <w:p w14:paraId="749DF254" w14:textId="52B4EF24"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0.33 (0.11,0.94)</w:t>
            </w:r>
          </w:p>
        </w:tc>
        <w:tc>
          <w:tcPr>
            <w:tcW w:w="129" w:type="pct"/>
            <w:gridSpan w:val="2"/>
            <w:tcBorders>
              <w:top w:val="nil"/>
              <w:left w:val="single" w:sz="4" w:space="0" w:color="auto"/>
              <w:bottom w:val="single" w:sz="4" w:space="0" w:color="auto"/>
              <w:right w:val="nil"/>
            </w:tcBorders>
            <w:shd w:val="clear" w:color="auto" w:fill="auto"/>
            <w:noWrap/>
            <w:vAlign w:val="bottom"/>
            <w:hideMark/>
          </w:tcPr>
          <w:p w14:paraId="6A66828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12</w:t>
            </w:r>
          </w:p>
        </w:tc>
        <w:tc>
          <w:tcPr>
            <w:tcW w:w="171" w:type="pct"/>
            <w:tcBorders>
              <w:top w:val="nil"/>
              <w:left w:val="nil"/>
              <w:bottom w:val="single" w:sz="4" w:space="0" w:color="auto"/>
              <w:right w:val="nil"/>
            </w:tcBorders>
            <w:shd w:val="clear" w:color="auto" w:fill="auto"/>
            <w:noWrap/>
            <w:vAlign w:val="bottom"/>
            <w:hideMark/>
          </w:tcPr>
          <w:p w14:paraId="79A9E17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1.5%</w:t>
            </w:r>
          </w:p>
        </w:tc>
        <w:tc>
          <w:tcPr>
            <w:tcW w:w="379" w:type="pct"/>
            <w:tcBorders>
              <w:top w:val="nil"/>
              <w:left w:val="nil"/>
              <w:bottom w:val="single" w:sz="4" w:space="0" w:color="auto"/>
              <w:right w:val="single" w:sz="4" w:space="0" w:color="auto"/>
            </w:tcBorders>
            <w:shd w:val="clear" w:color="auto" w:fill="auto"/>
            <w:noWrap/>
            <w:vAlign w:val="bottom"/>
            <w:hideMark/>
          </w:tcPr>
          <w:p w14:paraId="053C4298" w14:textId="026BE7E5"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0.21 (0.09,0.48)</w:t>
            </w:r>
          </w:p>
        </w:tc>
      </w:tr>
      <w:tr w:rsidR="00C65E8F" w:rsidRPr="00C65E8F" w14:paraId="0D3DEC99" w14:textId="77777777" w:rsidTr="00063136">
        <w:trPr>
          <w:trHeight w:val="222"/>
        </w:trPr>
        <w:tc>
          <w:tcPr>
            <w:tcW w:w="788" w:type="pct"/>
            <w:gridSpan w:val="2"/>
            <w:tcBorders>
              <w:top w:val="nil"/>
              <w:left w:val="single" w:sz="4" w:space="0" w:color="auto"/>
              <w:bottom w:val="nil"/>
              <w:right w:val="nil"/>
            </w:tcBorders>
            <w:shd w:val="clear" w:color="auto" w:fill="auto"/>
            <w:noWrap/>
            <w:vAlign w:val="bottom"/>
            <w:hideMark/>
          </w:tcPr>
          <w:p w14:paraId="1133ADB8" w14:textId="77777777" w:rsidR="00FD03FF" w:rsidRPr="00C65E8F" w:rsidRDefault="00FD03FF" w:rsidP="00FD03FF">
            <w:pPr>
              <w:spacing w:before="0" w:after="0"/>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Marital Status</w:t>
            </w:r>
          </w:p>
        </w:tc>
        <w:tc>
          <w:tcPr>
            <w:tcW w:w="128" w:type="pct"/>
            <w:tcBorders>
              <w:top w:val="nil"/>
              <w:left w:val="single" w:sz="4" w:space="0" w:color="auto"/>
              <w:bottom w:val="nil"/>
              <w:right w:val="nil"/>
            </w:tcBorders>
            <w:shd w:val="clear" w:color="auto" w:fill="auto"/>
            <w:noWrap/>
            <w:vAlign w:val="bottom"/>
            <w:hideMark/>
          </w:tcPr>
          <w:p w14:paraId="069C306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30F9C0FA" w14:textId="77777777" w:rsidR="00FD03FF" w:rsidRPr="00C65E8F" w:rsidRDefault="00FD03FF" w:rsidP="00FD03FF">
            <w:pPr>
              <w:spacing w:before="0" w:after="0"/>
              <w:jc w:val="center"/>
              <w:rPr>
                <w:rFonts w:eastAsia="Times New Roman" w:cs="Times New Roman"/>
                <w:color w:val="000000"/>
                <w:sz w:val="12"/>
                <w:szCs w:val="16"/>
                <w:lang w:eastAsia="en-GB"/>
              </w:rPr>
            </w:pPr>
          </w:p>
        </w:tc>
        <w:tc>
          <w:tcPr>
            <w:tcW w:w="416" w:type="pct"/>
            <w:tcBorders>
              <w:top w:val="nil"/>
              <w:left w:val="nil"/>
              <w:bottom w:val="nil"/>
              <w:right w:val="nil"/>
            </w:tcBorders>
            <w:shd w:val="clear" w:color="auto" w:fill="auto"/>
            <w:noWrap/>
            <w:vAlign w:val="bottom"/>
            <w:hideMark/>
          </w:tcPr>
          <w:p w14:paraId="786CFD53" w14:textId="77777777" w:rsidR="00FD03FF" w:rsidRPr="00C65E8F" w:rsidRDefault="00FD03FF" w:rsidP="00FD03FF">
            <w:pPr>
              <w:spacing w:before="0" w:after="0"/>
              <w:jc w:val="center"/>
              <w:rPr>
                <w:rFonts w:eastAsia="Times New Roman" w:cs="Times New Roman"/>
                <w:sz w:val="12"/>
                <w:szCs w:val="16"/>
                <w:lang w:eastAsia="en-GB"/>
              </w:rPr>
            </w:pPr>
          </w:p>
        </w:tc>
        <w:tc>
          <w:tcPr>
            <w:tcW w:w="148" w:type="pct"/>
            <w:tcBorders>
              <w:top w:val="nil"/>
              <w:left w:val="single" w:sz="4" w:space="0" w:color="auto"/>
              <w:bottom w:val="nil"/>
              <w:right w:val="nil"/>
            </w:tcBorders>
            <w:shd w:val="clear" w:color="auto" w:fill="auto"/>
            <w:noWrap/>
            <w:vAlign w:val="bottom"/>
            <w:hideMark/>
          </w:tcPr>
          <w:p w14:paraId="083F567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00E3AEC7" w14:textId="77777777" w:rsidR="00FD03FF" w:rsidRPr="00C65E8F" w:rsidRDefault="00FD03FF" w:rsidP="00FD03FF">
            <w:pPr>
              <w:spacing w:before="0" w:after="0"/>
              <w:jc w:val="center"/>
              <w:rPr>
                <w:rFonts w:eastAsia="Times New Roman" w:cs="Times New Roman"/>
                <w:color w:val="000000"/>
                <w:sz w:val="12"/>
                <w:szCs w:val="16"/>
                <w:lang w:eastAsia="en-GB"/>
              </w:rPr>
            </w:pPr>
          </w:p>
        </w:tc>
        <w:tc>
          <w:tcPr>
            <w:tcW w:w="395" w:type="pct"/>
            <w:tcBorders>
              <w:top w:val="nil"/>
              <w:left w:val="nil"/>
              <w:bottom w:val="nil"/>
              <w:right w:val="single" w:sz="4" w:space="0" w:color="auto"/>
            </w:tcBorders>
            <w:shd w:val="clear" w:color="auto" w:fill="auto"/>
            <w:noWrap/>
            <w:vAlign w:val="bottom"/>
            <w:hideMark/>
          </w:tcPr>
          <w:p w14:paraId="39B4C29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8" w:type="pct"/>
            <w:tcBorders>
              <w:top w:val="nil"/>
              <w:left w:val="nil"/>
              <w:bottom w:val="nil"/>
              <w:right w:val="nil"/>
            </w:tcBorders>
            <w:shd w:val="clear" w:color="auto" w:fill="auto"/>
            <w:noWrap/>
            <w:vAlign w:val="bottom"/>
            <w:hideMark/>
          </w:tcPr>
          <w:p w14:paraId="6699DA7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375F1B11" w14:textId="77777777" w:rsidR="00FD03FF" w:rsidRPr="00C65E8F" w:rsidRDefault="00FD03FF" w:rsidP="00FD03FF">
            <w:pPr>
              <w:spacing w:before="0" w:after="0"/>
              <w:jc w:val="center"/>
              <w:rPr>
                <w:rFonts w:eastAsia="Times New Roman" w:cs="Times New Roman"/>
                <w:color w:val="000000"/>
                <w:sz w:val="12"/>
                <w:szCs w:val="16"/>
                <w:lang w:eastAsia="en-GB"/>
              </w:rPr>
            </w:pPr>
          </w:p>
        </w:tc>
        <w:tc>
          <w:tcPr>
            <w:tcW w:w="416" w:type="pct"/>
            <w:tcBorders>
              <w:top w:val="nil"/>
              <w:left w:val="nil"/>
              <w:bottom w:val="nil"/>
              <w:right w:val="nil"/>
            </w:tcBorders>
            <w:shd w:val="clear" w:color="auto" w:fill="auto"/>
            <w:noWrap/>
            <w:vAlign w:val="bottom"/>
            <w:hideMark/>
          </w:tcPr>
          <w:p w14:paraId="569E1D1D" w14:textId="77777777" w:rsidR="00FD03FF" w:rsidRPr="00C65E8F" w:rsidRDefault="00FD03FF" w:rsidP="00FD03FF">
            <w:pPr>
              <w:spacing w:before="0" w:after="0"/>
              <w:jc w:val="center"/>
              <w:rPr>
                <w:rFonts w:eastAsia="Times New Roman" w:cs="Times New Roman"/>
                <w:sz w:val="12"/>
                <w:szCs w:val="16"/>
                <w:lang w:eastAsia="en-GB"/>
              </w:rPr>
            </w:pPr>
          </w:p>
        </w:tc>
        <w:tc>
          <w:tcPr>
            <w:tcW w:w="128" w:type="pct"/>
            <w:tcBorders>
              <w:top w:val="nil"/>
              <w:left w:val="single" w:sz="4" w:space="0" w:color="auto"/>
              <w:bottom w:val="nil"/>
              <w:right w:val="nil"/>
            </w:tcBorders>
            <w:shd w:val="clear" w:color="auto" w:fill="auto"/>
            <w:noWrap/>
            <w:vAlign w:val="bottom"/>
            <w:hideMark/>
          </w:tcPr>
          <w:p w14:paraId="0ACFB56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5D6E2DE4" w14:textId="77777777" w:rsidR="00FD03FF" w:rsidRPr="00C65E8F" w:rsidRDefault="00FD03FF" w:rsidP="00FD03FF">
            <w:pPr>
              <w:spacing w:before="0" w:after="0"/>
              <w:jc w:val="center"/>
              <w:rPr>
                <w:rFonts w:eastAsia="Times New Roman" w:cs="Times New Roman"/>
                <w:color w:val="000000"/>
                <w:sz w:val="12"/>
                <w:szCs w:val="16"/>
                <w:lang w:eastAsia="en-GB"/>
              </w:rPr>
            </w:pPr>
          </w:p>
        </w:tc>
        <w:tc>
          <w:tcPr>
            <w:tcW w:w="416" w:type="pct"/>
            <w:tcBorders>
              <w:top w:val="nil"/>
              <w:left w:val="nil"/>
              <w:bottom w:val="nil"/>
              <w:right w:val="single" w:sz="4" w:space="0" w:color="auto"/>
            </w:tcBorders>
            <w:shd w:val="clear" w:color="auto" w:fill="auto"/>
            <w:noWrap/>
            <w:vAlign w:val="bottom"/>
            <w:hideMark/>
          </w:tcPr>
          <w:p w14:paraId="66E373F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8" w:type="pct"/>
            <w:tcBorders>
              <w:top w:val="nil"/>
              <w:left w:val="nil"/>
              <w:bottom w:val="nil"/>
              <w:right w:val="nil"/>
            </w:tcBorders>
            <w:shd w:val="clear" w:color="auto" w:fill="auto"/>
            <w:noWrap/>
            <w:vAlign w:val="bottom"/>
            <w:hideMark/>
          </w:tcPr>
          <w:p w14:paraId="3EE5D441" w14:textId="77777777" w:rsidR="00FD03FF" w:rsidRPr="00C65E8F" w:rsidRDefault="00FD03FF" w:rsidP="00FD03FF">
            <w:pPr>
              <w:spacing w:before="0" w:after="0"/>
              <w:jc w:val="center"/>
              <w:rPr>
                <w:rFonts w:eastAsia="Times New Roman" w:cs="Times New Roman"/>
                <w:color w:val="000000"/>
                <w:sz w:val="12"/>
                <w:szCs w:val="16"/>
                <w:lang w:eastAsia="en-GB"/>
              </w:rPr>
            </w:pPr>
          </w:p>
        </w:tc>
        <w:tc>
          <w:tcPr>
            <w:tcW w:w="171" w:type="pct"/>
            <w:tcBorders>
              <w:top w:val="nil"/>
              <w:left w:val="nil"/>
              <w:bottom w:val="nil"/>
              <w:right w:val="nil"/>
            </w:tcBorders>
            <w:shd w:val="clear" w:color="auto" w:fill="auto"/>
            <w:noWrap/>
            <w:vAlign w:val="bottom"/>
            <w:hideMark/>
          </w:tcPr>
          <w:p w14:paraId="120C9A8E" w14:textId="77777777" w:rsidR="00FD03FF" w:rsidRPr="00C65E8F" w:rsidRDefault="00FD03FF" w:rsidP="00FD03FF">
            <w:pPr>
              <w:spacing w:before="0" w:after="0"/>
              <w:jc w:val="center"/>
              <w:rPr>
                <w:rFonts w:eastAsia="Times New Roman" w:cs="Times New Roman"/>
                <w:sz w:val="12"/>
                <w:szCs w:val="16"/>
                <w:lang w:eastAsia="en-GB"/>
              </w:rPr>
            </w:pPr>
          </w:p>
        </w:tc>
        <w:tc>
          <w:tcPr>
            <w:tcW w:w="376" w:type="pct"/>
            <w:tcBorders>
              <w:top w:val="nil"/>
              <w:left w:val="nil"/>
              <w:bottom w:val="nil"/>
              <w:right w:val="nil"/>
            </w:tcBorders>
            <w:shd w:val="clear" w:color="auto" w:fill="auto"/>
            <w:noWrap/>
            <w:vAlign w:val="bottom"/>
            <w:hideMark/>
          </w:tcPr>
          <w:p w14:paraId="0892045E" w14:textId="77777777" w:rsidR="00FD03FF" w:rsidRPr="00C65E8F" w:rsidRDefault="00FD03FF" w:rsidP="00FD03FF">
            <w:pPr>
              <w:spacing w:before="0" w:after="0"/>
              <w:jc w:val="center"/>
              <w:rPr>
                <w:rFonts w:eastAsia="Times New Roman" w:cs="Times New Roman"/>
                <w:sz w:val="12"/>
                <w:szCs w:val="16"/>
                <w:lang w:eastAsia="en-GB"/>
              </w:rPr>
            </w:pPr>
          </w:p>
        </w:tc>
        <w:tc>
          <w:tcPr>
            <w:tcW w:w="129" w:type="pct"/>
            <w:gridSpan w:val="2"/>
            <w:tcBorders>
              <w:top w:val="nil"/>
              <w:left w:val="single" w:sz="4" w:space="0" w:color="auto"/>
              <w:bottom w:val="nil"/>
              <w:right w:val="nil"/>
            </w:tcBorders>
            <w:shd w:val="clear" w:color="auto" w:fill="auto"/>
            <w:noWrap/>
            <w:vAlign w:val="bottom"/>
            <w:hideMark/>
          </w:tcPr>
          <w:p w14:paraId="64BE484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72E7226E" w14:textId="77777777" w:rsidR="00FD03FF" w:rsidRPr="00C65E8F" w:rsidRDefault="00FD03FF" w:rsidP="00FD03FF">
            <w:pPr>
              <w:spacing w:before="0" w:after="0"/>
              <w:jc w:val="center"/>
              <w:rPr>
                <w:rFonts w:eastAsia="Times New Roman" w:cs="Times New Roman"/>
                <w:color w:val="000000"/>
                <w:sz w:val="12"/>
                <w:szCs w:val="16"/>
                <w:lang w:eastAsia="en-GB"/>
              </w:rPr>
            </w:pPr>
          </w:p>
        </w:tc>
        <w:tc>
          <w:tcPr>
            <w:tcW w:w="379" w:type="pct"/>
            <w:tcBorders>
              <w:top w:val="nil"/>
              <w:left w:val="nil"/>
              <w:bottom w:val="nil"/>
              <w:right w:val="single" w:sz="4" w:space="0" w:color="auto"/>
            </w:tcBorders>
            <w:shd w:val="clear" w:color="auto" w:fill="auto"/>
            <w:noWrap/>
            <w:vAlign w:val="bottom"/>
            <w:hideMark/>
          </w:tcPr>
          <w:p w14:paraId="2820CBF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r>
      <w:tr w:rsidR="00C65E8F" w:rsidRPr="00C65E8F" w14:paraId="4D3CD38F"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1BAA5498"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707C08BB"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Married / long term relationship</w:t>
            </w:r>
          </w:p>
        </w:tc>
        <w:tc>
          <w:tcPr>
            <w:tcW w:w="128" w:type="pct"/>
            <w:tcBorders>
              <w:top w:val="nil"/>
              <w:left w:val="single" w:sz="4" w:space="0" w:color="auto"/>
              <w:bottom w:val="nil"/>
              <w:right w:val="nil"/>
            </w:tcBorders>
            <w:shd w:val="clear" w:color="auto" w:fill="auto"/>
            <w:noWrap/>
            <w:vAlign w:val="bottom"/>
            <w:hideMark/>
          </w:tcPr>
          <w:p w14:paraId="6167F30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489</w:t>
            </w:r>
          </w:p>
        </w:tc>
        <w:tc>
          <w:tcPr>
            <w:tcW w:w="171" w:type="pct"/>
            <w:tcBorders>
              <w:top w:val="nil"/>
              <w:left w:val="nil"/>
              <w:bottom w:val="nil"/>
              <w:right w:val="nil"/>
            </w:tcBorders>
            <w:shd w:val="clear" w:color="auto" w:fill="auto"/>
            <w:noWrap/>
            <w:vAlign w:val="bottom"/>
            <w:hideMark/>
          </w:tcPr>
          <w:p w14:paraId="6BE25DF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20.9%</w:t>
            </w:r>
          </w:p>
        </w:tc>
        <w:tc>
          <w:tcPr>
            <w:tcW w:w="416" w:type="pct"/>
            <w:tcBorders>
              <w:top w:val="nil"/>
              <w:left w:val="nil"/>
              <w:bottom w:val="nil"/>
              <w:right w:val="nil"/>
            </w:tcBorders>
            <w:shd w:val="clear" w:color="auto" w:fill="auto"/>
            <w:noWrap/>
            <w:vAlign w:val="bottom"/>
            <w:hideMark/>
          </w:tcPr>
          <w:p w14:paraId="663C403F" w14:textId="0485EE96"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48" w:type="pct"/>
            <w:tcBorders>
              <w:top w:val="nil"/>
              <w:left w:val="single" w:sz="4" w:space="0" w:color="auto"/>
              <w:bottom w:val="nil"/>
              <w:right w:val="nil"/>
            </w:tcBorders>
            <w:shd w:val="clear" w:color="auto" w:fill="auto"/>
            <w:noWrap/>
            <w:vAlign w:val="bottom"/>
            <w:hideMark/>
          </w:tcPr>
          <w:p w14:paraId="3079979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2513</w:t>
            </w:r>
          </w:p>
        </w:tc>
        <w:tc>
          <w:tcPr>
            <w:tcW w:w="171" w:type="pct"/>
            <w:tcBorders>
              <w:top w:val="nil"/>
              <w:left w:val="nil"/>
              <w:bottom w:val="nil"/>
              <w:right w:val="nil"/>
            </w:tcBorders>
            <w:shd w:val="clear" w:color="auto" w:fill="auto"/>
            <w:noWrap/>
            <w:vAlign w:val="bottom"/>
            <w:hideMark/>
          </w:tcPr>
          <w:p w14:paraId="43BA3D0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14.2%</w:t>
            </w:r>
          </w:p>
        </w:tc>
        <w:tc>
          <w:tcPr>
            <w:tcW w:w="395" w:type="pct"/>
            <w:tcBorders>
              <w:top w:val="nil"/>
              <w:left w:val="nil"/>
              <w:bottom w:val="nil"/>
              <w:right w:val="single" w:sz="4" w:space="0" w:color="auto"/>
            </w:tcBorders>
            <w:shd w:val="clear" w:color="auto" w:fill="auto"/>
            <w:noWrap/>
            <w:vAlign w:val="bottom"/>
            <w:hideMark/>
          </w:tcPr>
          <w:p w14:paraId="5AC2F01B" w14:textId="2EF2995D"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nil"/>
              <w:bottom w:val="nil"/>
              <w:right w:val="nil"/>
            </w:tcBorders>
            <w:shd w:val="clear" w:color="auto" w:fill="auto"/>
            <w:noWrap/>
            <w:vAlign w:val="bottom"/>
            <w:hideMark/>
          </w:tcPr>
          <w:p w14:paraId="0382241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133</w:t>
            </w:r>
          </w:p>
        </w:tc>
        <w:tc>
          <w:tcPr>
            <w:tcW w:w="171" w:type="pct"/>
            <w:tcBorders>
              <w:top w:val="nil"/>
              <w:left w:val="nil"/>
              <w:bottom w:val="nil"/>
              <w:right w:val="nil"/>
            </w:tcBorders>
            <w:shd w:val="clear" w:color="auto" w:fill="auto"/>
            <w:noWrap/>
            <w:vAlign w:val="bottom"/>
            <w:hideMark/>
          </w:tcPr>
          <w:p w14:paraId="32B01A0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6.4%</w:t>
            </w:r>
          </w:p>
        </w:tc>
        <w:tc>
          <w:tcPr>
            <w:tcW w:w="416" w:type="pct"/>
            <w:tcBorders>
              <w:top w:val="nil"/>
              <w:left w:val="nil"/>
              <w:bottom w:val="nil"/>
              <w:right w:val="nil"/>
            </w:tcBorders>
            <w:shd w:val="clear" w:color="auto" w:fill="auto"/>
            <w:noWrap/>
            <w:vAlign w:val="bottom"/>
            <w:hideMark/>
          </w:tcPr>
          <w:p w14:paraId="28E2EF1C" w14:textId="0914351B"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single" w:sz="4" w:space="0" w:color="auto"/>
              <w:bottom w:val="nil"/>
              <w:right w:val="nil"/>
            </w:tcBorders>
            <w:shd w:val="clear" w:color="auto" w:fill="auto"/>
            <w:noWrap/>
            <w:vAlign w:val="bottom"/>
            <w:hideMark/>
          </w:tcPr>
          <w:p w14:paraId="24FBCEF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94</w:t>
            </w:r>
          </w:p>
        </w:tc>
        <w:tc>
          <w:tcPr>
            <w:tcW w:w="171" w:type="pct"/>
            <w:tcBorders>
              <w:top w:val="nil"/>
              <w:left w:val="nil"/>
              <w:bottom w:val="nil"/>
              <w:right w:val="nil"/>
            </w:tcBorders>
            <w:shd w:val="clear" w:color="auto" w:fill="auto"/>
            <w:noWrap/>
            <w:vAlign w:val="bottom"/>
            <w:hideMark/>
          </w:tcPr>
          <w:p w14:paraId="6B40236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2.8%</w:t>
            </w:r>
          </w:p>
        </w:tc>
        <w:tc>
          <w:tcPr>
            <w:tcW w:w="416" w:type="pct"/>
            <w:tcBorders>
              <w:top w:val="nil"/>
              <w:left w:val="nil"/>
              <w:bottom w:val="nil"/>
              <w:right w:val="single" w:sz="4" w:space="0" w:color="auto"/>
            </w:tcBorders>
            <w:shd w:val="clear" w:color="auto" w:fill="auto"/>
            <w:noWrap/>
            <w:vAlign w:val="bottom"/>
            <w:hideMark/>
          </w:tcPr>
          <w:p w14:paraId="169C58A1" w14:textId="05548D60"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nil"/>
              <w:bottom w:val="nil"/>
              <w:right w:val="nil"/>
            </w:tcBorders>
            <w:shd w:val="clear" w:color="auto" w:fill="auto"/>
            <w:noWrap/>
            <w:vAlign w:val="bottom"/>
            <w:hideMark/>
          </w:tcPr>
          <w:p w14:paraId="0700E35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219</w:t>
            </w:r>
          </w:p>
        </w:tc>
        <w:tc>
          <w:tcPr>
            <w:tcW w:w="171" w:type="pct"/>
            <w:tcBorders>
              <w:top w:val="nil"/>
              <w:left w:val="nil"/>
              <w:bottom w:val="nil"/>
              <w:right w:val="nil"/>
            </w:tcBorders>
            <w:shd w:val="clear" w:color="auto" w:fill="auto"/>
            <w:noWrap/>
            <w:vAlign w:val="bottom"/>
            <w:hideMark/>
          </w:tcPr>
          <w:p w14:paraId="481E6C0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10.2%</w:t>
            </w:r>
          </w:p>
        </w:tc>
        <w:tc>
          <w:tcPr>
            <w:tcW w:w="376" w:type="pct"/>
            <w:tcBorders>
              <w:top w:val="nil"/>
              <w:left w:val="nil"/>
              <w:bottom w:val="nil"/>
              <w:right w:val="nil"/>
            </w:tcBorders>
            <w:shd w:val="clear" w:color="auto" w:fill="auto"/>
            <w:noWrap/>
            <w:vAlign w:val="bottom"/>
            <w:hideMark/>
          </w:tcPr>
          <w:p w14:paraId="52241AB2" w14:textId="45EDB5AC"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9" w:type="pct"/>
            <w:gridSpan w:val="2"/>
            <w:tcBorders>
              <w:top w:val="nil"/>
              <w:left w:val="single" w:sz="4" w:space="0" w:color="auto"/>
              <w:bottom w:val="nil"/>
              <w:right w:val="nil"/>
            </w:tcBorders>
            <w:shd w:val="clear" w:color="auto" w:fill="auto"/>
            <w:noWrap/>
            <w:vAlign w:val="bottom"/>
            <w:hideMark/>
          </w:tcPr>
          <w:p w14:paraId="4E20EEB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72</w:t>
            </w:r>
          </w:p>
        </w:tc>
        <w:tc>
          <w:tcPr>
            <w:tcW w:w="171" w:type="pct"/>
            <w:tcBorders>
              <w:top w:val="nil"/>
              <w:left w:val="nil"/>
              <w:bottom w:val="nil"/>
              <w:right w:val="nil"/>
            </w:tcBorders>
            <w:shd w:val="clear" w:color="auto" w:fill="auto"/>
            <w:noWrap/>
            <w:vAlign w:val="bottom"/>
            <w:hideMark/>
          </w:tcPr>
          <w:p w14:paraId="6071AF7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3.9%</w:t>
            </w:r>
          </w:p>
        </w:tc>
        <w:tc>
          <w:tcPr>
            <w:tcW w:w="379" w:type="pct"/>
            <w:tcBorders>
              <w:top w:val="nil"/>
              <w:left w:val="nil"/>
              <w:bottom w:val="nil"/>
              <w:right w:val="single" w:sz="4" w:space="0" w:color="auto"/>
            </w:tcBorders>
            <w:shd w:val="clear" w:color="auto" w:fill="auto"/>
            <w:noWrap/>
            <w:vAlign w:val="bottom"/>
            <w:hideMark/>
          </w:tcPr>
          <w:p w14:paraId="0465B77C" w14:textId="244DE887"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r>
      <w:tr w:rsidR="00C65E8F" w:rsidRPr="00C65E8F" w14:paraId="50801572"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318CE1AD"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04BA83B1"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Single</w:t>
            </w:r>
          </w:p>
        </w:tc>
        <w:tc>
          <w:tcPr>
            <w:tcW w:w="128" w:type="pct"/>
            <w:tcBorders>
              <w:top w:val="nil"/>
              <w:left w:val="single" w:sz="4" w:space="0" w:color="auto"/>
              <w:bottom w:val="nil"/>
              <w:right w:val="nil"/>
            </w:tcBorders>
            <w:shd w:val="clear" w:color="auto" w:fill="auto"/>
            <w:noWrap/>
            <w:vAlign w:val="bottom"/>
            <w:hideMark/>
          </w:tcPr>
          <w:p w14:paraId="025AC89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55</w:t>
            </w:r>
          </w:p>
        </w:tc>
        <w:tc>
          <w:tcPr>
            <w:tcW w:w="171" w:type="pct"/>
            <w:tcBorders>
              <w:top w:val="nil"/>
              <w:left w:val="nil"/>
              <w:bottom w:val="nil"/>
              <w:right w:val="nil"/>
            </w:tcBorders>
            <w:shd w:val="clear" w:color="auto" w:fill="auto"/>
            <w:noWrap/>
            <w:vAlign w:val="bottom"/>
            <w:hideMark/>
          </w:tcPr>
          <w:p w14:paraId="6FCEE20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34.3%</w:t>
            </w:r>
          </w:p>
        </w:tc>
        <w:tc>
          <w:tcPr>
            <w:tcW w:w="416" w:type="pct"/>
            <w:tcBorders>
              <w:top w:val="nil"/>
              <w:left w:val="nil"/>
              <w:bottom w:val="nil"/>
              <w:right w:val="nil"/>
            </w:tcBorders>
            <w:shd w:val="clear" w:color="auto" w:fill="auto"/>
            <w:noWrap/>
            <w:vAlign w:val="bottom"/>
            <w:hideMark/>
          </w:tcPr>
          <w:p w14:paraId="6EC34E0A" w14:textId="5DCCA499"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1.84 (1.22,2.77)</w:t>
            </w:r>
          </w:p>
        </w:tc>
        <w:tc>
          <w:tcPr>
            <w:tcW w:w="148" w:type="pct"/>
            <w:tcBorders>
              <w:top w:val="nil"/>
              <w:left w:val="single" w:sz="4" w:space="0" w:color="auto"/>
              <w:bottom w:val="nil"/>
              <w:right w:val="nil"/>
            </w:tcBorders>
            <w:shd w:val="clear" w:color="auto" w:fill="auto"/>
            <w:noWrap/>
            <w:vAlign w:val="bottom"/>
            <w:hideMark/>
          </w:tcPr>
          <w:p w14:paraId="5595B87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898</w:t>
            </w:r>
          </w:p>
        </w:tc>
        <w:tc>
          <w:tcPr>
            <w:tcW w:w="171" w:type="pct"/>
            <w:tcBorders>
              <w:top w:val="nil"/>
              <w:left w:val="nil"/>
              <w:bottom w:val="nil"/>
              <w:right w:val="nil"/>
            </w:tcBorders>
            <w:shd w:val="clear" w:color="auto" w:fill="auto"/>
            <w:noWrap/>
            <w:vAlign w:val="bottom"/>
            <w:hideMark/>
          </w:tcPr>
          <w:p w14:paraId="6BD2772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19.6%</w:t>
            </w:r>
          </w:p>
        </w:tc>
        <w:tc>
          <w:tcPr>
            <w:tcW w:w="395" w:type="pct"/>
            <w:tcBorders>
              <w:top w:val="nil"/>
              <w:left w:val="nil"/>
              <w:bottom w:val="nil"/>
              <w:right w:val="single" w:sz="4" w:space="0" w:color="auto"/>
            </w:tcBorders>
            <w:shd w:val="clear" w:color="auto" w:fill="auto"/>
            <w:noWrap/>
            <w:vAlign w:val="bottom"/>
            <w:hideMark/>
          </w:tcPr>
          <w:p w14:paraId="04332AA2" w14:textId="00ABF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1.45 (1.26,1.68)</w:t>
            </w:r>
          </w:p>
        </w:tc>
        <w:tc>
          <w:tcPr>
            <w:tcW w:w="128" w:type="pct"/>
            <w:tcBorders>
              <w:top w:val="nil"/>
              <w:left w:val="nil"/>
              <w:bottom w:val="nil"/>
              <w:right w:val="nil"/>
            </w:tcBorders>
            <w:shd w:val="clear" w:color="auto" w:fill="auto"/>
            <w:noWrap/>
            <w:vAlign w:val="bottom"/>
            <w:hideMark/>
          </w:tcPr>
          <w:p w14:paraId="39F7335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21</w:t>
            </w:r>
          </w:p>
        </w:tc>
        <w:tc>
          <w:tcPr>
            <w:tcW w:w="171" w:type="pct"/>
            <w:tcBorders>
              <w:top w:val="nil"/>
              <w:left w:val="nil"/>
              <w:bottom w:val="nil"/>
              <w:right w:val="nil"/>
            </w:tcBorders>
            <w:shd w:val="clear" w:color="auto" w:fill="auto"/>
            <w:noWrap/>
            <w:vAlign w:val="bottom"/>
            <w:hideMark/>
          </w:tcPr>
          <w:p w14:paraId="5B7943B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13.5%</w:t>
            </w:r>
          </w:p>
        </w:tc>
        <w:tc>
          <w:tcPr>
            <w:tcW w:w="416" w:type="pct"/>
            <w:tcBorders>
              <w:top w:val="nil"/>
              <w:left w:val="nil"/>
              <w:bottom w:val="nil"/>
              <w:right w:val="nil"/>
            </w:tcBorders>
            <w:shd w:val="clear" w:color="auto" w:fill="auto"/>
            <w:noWrap/>
            <w:vAlign w:val="bottom"/>
            <w:hideMark/>
          </w:tcPr>
          <w:p w14:paraId="56274BF2" w14:textId="02470C3A"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1.99 (1.11,3.55)</w:t>
            </w:r>
          </w:p>
        </w:tc>
        <w:tc>
          <w:tcPr>
            <w:tcW w:w="128" w:type="pct"/>
            <w:tcBorders>
              <w:top w:val="nil"/>
              <w:left w:val="single" w:sz="4" w:space="0" w:color="auto"/>
              <w:bottom w:val="nil"/>
              <w:right w:val="nil"/>
            </w:tcBorders>
            <w:shd w:val="clear" w:color="auto" w:fill="auto"/>
            <w:noWrap/>
            <w:vAlign w:val="bottom"/>
            <w:hideMark/>
          </w:tcPr>
          <w:p w14:paraId="3C9970E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125</w:t>
            </w:r>
          </w:p>
        </w:tc>
        <w:tc>
          <w:tcPr>
            <w:tcW w:w="171" w:type="pct"/>
            <w:tcBorders>
              <w:top w:val="nil"/>
              <w:left w:val="nil"/>
              <w:bottom w:val="nil"/>
              <w:right w:val="nil"/>
            </w:tcBorders>
            <w:shd w:val="clear" w:color="auto" w:fill="auto"/>
            <w:noWrap/>
            <w:vAlign w:val="bottom"/>
            <w:hideMark/>
          </w:tcPr>
          <w:p w14:paraId="658D66F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9.1%</w:t>
            </w:r>
          </w:p>
        </w:tc>
        <w:tc>
          <w:tcPr>
            <w:tcW w:w="416" w:type="pct"/>
            <w:tcBorders>
              <w:top w:val="nil"/>
              <w:left w:val="nil"/>
              <w:bottom w:val="nil"/>
              <w:right w:val="single" w:sz="4" w:space="0" w:color="auto"/>
            </w:tcBorders>
            <w:shd w:val="clear" w:color="auto" w:fill="auto"/>
            <w:noWrap/>
            <w:vAlign w:val="bottom"/>
            <w:hideMark/>
          </w:tcPr>
          <w:p w14:paraId="7CB521FE" w14:textId="60413758"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3.78 (2.24,6.36)</w:t>
            </w:r>
          </w:p>
        </w:tc>
        <w:tc>
          <w:tcPr>
            <w:tcW w:w="128" w:type="pct"/>
            <w:tcBorders>
              <w:top w:val="nil"/>
              <w:left w:val="nil"/>
              <w:bottom w:val="nil"/>
              <w:right w:val="nil"/>
            </w:tcBorders>
            <w:shd w:val="clear" w:color="auto" w:fill="auto"/>
            <w:noWrap/>
            <w:vAlign w:val="bottom"/>
            <w:hideMark/>
          </w:tcPr>
          <w:p w14:paraId="4BE619E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18</w:t>
            </w:r>
          </w:p>
        </w:tc>
        <w:tc>
          <w:tcPr>
            <w:tcW w:w="171" w:type="pct"/>
            <w:tcBorders>
              <w:top w:val="nil"/>
              <w:left w:val="nil"/>
              <w:bottom w:val="nil"/>
              <w:right w:val="nil"/>
            </w:tcBorders>
            <w:shd w:val="clear" w:color="auto" w:fill="auto"/>
            <w:noWrap/>
            <w:vAlign w:val="bottom"/>
            <w:hideMark/>
          </w:tcPr>
          <w:p w14:paraId="557CFD9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11.8%</w:t>
            </w:r>
          </w:p>
        </w:tc>
        <w:tc>
          <w:tcPr>
            <w:tcW w:w="376" w:type="pct"/>
            <w:tcBorders>
              <w:top w:val="nil"/>
              <w:left w:val="nil"/>
              <w:bottom w:val="nil"/>
              <w:right w:val="nil"/>
            </w:tcBorders>
            <w:shd w:val="clear" w:color="auto" w:fill="auto"/>
            <w:noWrap/>
            <w:vAlign w:val="bottom"/>
            <w:hideMark/>
          </w:tcPr>
          <w:p w14:paraId="3719BD6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1.08 (0.58,2.00)</w:t>
            </w:r>
          </w:p>
        </w:tc>
        <w:tc>
          <w:tcPr>
            <w:tcW w:w="129" w:type="pct"/>
            <w:gridSpan w:val="2"/>
            <w:tcBorders>
              <w:top w:val="nil"/>
              <w:left w:val="single" w:sz="4" w:space="0" w:color="auto"/>
              <w:bottom w:val="nil"/>
              <w:right w:val="nil"/>
            </w:tcBorders>
            <w:shd w:val="clear" w:color="auto" w:fill="auto"/>
            <w:noWrap/>
            <w:vAlign w:val="bottom"/>
            <w:hideMark/>
          </w:tcPr>
          <w:p w14:paraId="71833A8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73</w:t>
            </w:r>
          </w:p>
        </w:tc>
        <w:tc>
          <w:tcPr>
            <w:tcW w:w="171" w:type="pct"/>
            <w:tcBorders>
              <w:top w:val="nil"/>
              <w:left w:val="nil"/>
              <w:bottom w:val="nil"/>
              <w:right w:val="nil"/>
            </w:tcBorders>
            <w:shd w:val="clear" w:color="auto" w:fill="auto"/>
            <w:noWrap/>
            <w:vAlign w:val="bottom"/>
            <w:hideMark/>
          </w:tcPr>
          <w:p w14:paraId="52695CC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9.8%</w:t>
            </w:r>
          </w:p>
        </w:tc>
        <w:tc>
          <w:tcPr>
            <w:tcW w:w="379" w:type="pct"/>
            <w:tcBorders>
              <w:top w:val="nil"/>
              <w:left w:val="nil"/>
              <w:bottom w:val="nil"/>
              <w:right w:val="single" w:sz="4" w:space="0" w:color="auto"/>
            </w:tcBorders>
            <w:shd w:val="clear" w:color="auto" w:fill="auto"/>
            <w:noWrap/>
            <w:vAlign w:val="bottom"/>
            <w:hideMark/>
          </w:tcPr>
          <w:p w14:paraId="2F1840F0" w14:textId="40F514C3"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2.71 (1.59,4.62)</w:t>
            </w:r>
          </w:p>
        </w:tc>
      </w:tr>
      <w:tr w:rsidR="00C65E8F" w:rsidRPr="00C65E8F" w14:paraId="20179B84"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5CC3A395"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58677DEB" w14:textId="5E435A19" w:rsidR="00FD03FF" w:rsidRPr="00C65E8F" w:rsidRDefault="00063136"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Separated</w:t>
            </w:r>
            <w:r w:rsidR="00FD03FF" w:rsidRPr="00C65E8F">
              <w:rPr>
                <w:rFonts w:eastAsia="Times New Roman" w:cs="Times New Roman"/>
                <w:color w:val="000000"/>
                <w:sz w:val="12"/>
                <w:szCs w:val="16"/>
                <w:lang w:eastAsia="en-GB"/>
              </w:rPr>
              <w:t>, divorced or widowed</w:t>
            </w:r>
          </w:p>
        </w:tc>
        <w:tc>
          <w:tcPr>
            <w:tcW w:w="128" w:type="pct"/>
            <w:tcBorders>
              <w:top w:val="nil"/>
              <w:left w:val="single" w:sz="4" w:space="0" w:color="auto"/>
              <w:bottom w:val="nil"/>
              <w:right w:val="nil"/>
            </w:tcBorders>
            <w:shd w:val="clear" w:color="auto" w:fill="auto"/>
            <w:noWrap/>
            <w:vAlign w:val="bottom"/>
            <w:hideMark/>
          </w:tcPr>
          <w:p w14:paraId="155684B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69</w:t>
            </w:r>
          </w:p>
        </w:tc>
        <w:tc>
          <w:tcPr>
            <w:tcW w:w="171" w:type="pct"/>
            <w:tcBorders>
              <w:top w:val="nil"/>
              <w:left w:val="nil"/>
              <w:bottom w:val="nil"/>
              <w:right w:val="nil"/>
            </w:tcBorders>
            <w:shd w:val="clear" w:color="auto" w:fill="auto"/>
            <w:noWrap/>
            <w:vAlign w:val="bottom"/>
            <w:hideMark/>
          </w:tcPr>
          <w:p w14:paraId="332DA92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39.2%</w:t>
            </w:r>
          </w:p>
        </w:tc>
        <w:tc>
          <w:tcPr>
            <w:tcW w:w="416" w:type="pct"/>
            <w:tcBorders>
              <w:top w:val="nil"/>
              <w:left w:val="nil"/>
              <w:bottom w:val="nil"/>
              <w:right w:val="nil"/>
            </w:tcBorders>
            <w:shd w:val="clear" w:color="auto" w:fill="auto"/>
            <w:noWrap/>
            <w:vAlign w:val="bottom"/>
            <w:hideMark/>
          </w:tcPr>
          <w:p w14:paraId="79C047F6" w14:textId="152A55DC"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2.60 (1.76,3.83)</w:t>
            </w:r>
          </w:p>
        </w:tc>
        <w:tc>
          <w:tcPr>
            <w:tcW w:w="148" w:type="pct"/>
            <w:tcBorders>
              <w:top w:val="nil"/>
              <w:left w:val="single" w:sz="4" w:space="0" w:color="auto"/>
              <w:bottom w:val="nil"/>
              <w:right w:val="nil"/>
            </w:tcBorders>
            <w:shd w:val="clear" w:color="auto" w:fill="auto"/>
            <w:noWrap/>
            <w:vAlign w:val="bottom"/>
            <w:hideMark/>
          </w:tcPr>
          <w:p w14:paraId="6095AB0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642</w:t>
            </w:r>
          </w:p>
        </w:tc>
        <w:tc>
          <w:tcPr>
            <w:tcW w:w="171" w:type="pct"/>
            <w:tcBorders>
              <w:top w:val="nil"/>
              <w:left w:val="nil"/>
              <w:bottom w:val="nil"/>
              <w:right w:val="nil"/>
            </w:tcBorders>
            <w:shd w:val="clear" w:color="auto" w:fill="auto"/>
            <w:noWrap/>
            <w:vAlign w:val="bottom"/>
            <w:hideMark/>
          </w:tcPr>
          <w:p w14:paraId="68CF967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22.5%</w:t>
            </w:r>
          </w:p>
        </w:tc>
        <w:tc>
          <w:tcPr>
            <w:tcW w:w="395" w:type="pct"/>
            <w:tcBorders>
              <w:top w:val="nil"/>
              <w:left w:val="nil"/>
              <w:bottom w:val="nil"/>
              <w:right w:val="single" w:sz="4" w:space="0" w:color="auto"/>
            </w:tcBorders>
            <w:shd w:val="clear" w:color="auto" w:fill="auto"/>
            <w:noWrap/>
            <w:vAlign w:val="bottom"/>
            <w:hideMark/>
          </w:tcPr>
          <w:p w14:paraId="7ECB57E5" w14:textId="142C844F"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1.83 (1.53,2.19)</w:t>
            </w:r>
          </w:p>
        </w:tc>
        <w:tc>
          <w:tcPr>
            <w:tcW w:w="128" w:type="pct"/>
            <w:tcBorders>
              <w:top w:val="nil"/>
              <w:left w:val="nil"/>
              <w:bottom w:val="nil"/>
              <w:right w:val="nil"/>
            </w:tcBorders>
            <w:shd w:val="clear" w:color="auto" w:fill="auto"/>
            <w:noWrap/>
            <w:vAlign w:val="bottom"/>
            <w:hideMark/>
          </w:tcPr>
          <w:p w14:paraId="59F7ED2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30</w:t>
            </w:r>
          </w:p>
        </w:tc>
        <w:tc>
          <w:tcPr>
            <w:tcW w:w="171" w:type="pct"/>
            <w:tcBorders>
              <w:top w:val="nil"/>
              <w:left w:val="nil"/>
              <w:bottom w:val="nil"/>
              <w:right w:val="nil"/>
            </w:tcBorders>
            <w:shd w:val="clear" w:color="auto" w:fill="auto"/>
            <w:noWrap/>
            <w:vAlign w:val="bottom"/>
            <w:hideMark/>
          </w:tcPr>
          <w:p w14:paraId="17516F2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18.7%</w:t>
            </w:r>
          </w:p>
        </w:tc>
        <w:tc>
          <w:tcPr>
            <w:tcW w:w="416" w:type="pct"/>
            <w:tcBorders>
              <w:top w:val="nil"/>
              <w:left w:val="nil"/>
              <w:bottom w:val="nil"/>
              <w:right w:val="nil"/>
            </w:tcBorders>
            <w:shd w:val="clear" w:color="auto" w:fill="auto"/>
            <w:noWrap/>
            <w:vAlign w:val="bottom"/>
            <w:hideMark/>
          </w:tcPr>
          <w:p w14:paraId="2A21BBF4" w14:textId="0ADC84B3"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3.72 (2.16,6.41)</w:t>
            </w:r>
          </w:p>
        </w:tc>
        <w:tc>
          <w:tcPr>
            <w:tcW w:w="128" w:type="pct"/>
            <w:tcBorders>
              <w:top w:val="nil"/>
              <w:left w:val="single" w:sz="4" w:space="0" w:color="auto"/>
              <w:bottom w:val="nil"/>
              <w:right w:val="nil"/>
            </w:tcBorders>
            <w:shd w:val="clear" w:color="auto" w:fill="auto"/>
            <w:noWrap/>
            <w:vAlign w:val="bottom"/>
            <w:hideMark/>
          </w:tcPr>
          <w:p w14:paraId="6B344D7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74</w:t>
            </w:r>
          </w:p>
        </w:tc>
        <w:tc>
          <w:tcPr>
            <w:tcW w:w="171" w:type="pct"/>
            <w:tcBorders>
              <w:top w:val="nil"/>
              <w:left w:val="nil"/>
              <w:bottom w:val="nil"/>
              <w:right w:val="nil"/>
            </w:tcBorders>
            <w:shd w:val="clear" w:color="auto" w:fill="auto"/>
            <w:noWrap/>
            <w:vAlign w:val="bottom"/>
            <w:hideMark/>
          </w:tcPr>
          <w:p w14:paraId="508DAA0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8.1%</w:t>
            </w:r>
          </w:p>
        </w:tc>
        <w:tc>
          <w:tcPr>
            <w:tcW w:w="416" w:type="pct"/>
            <w:tcBorders>
              <w:top w:val="nil"/>
              <w:left w:val="nil"/>
              <w:bottom w:val="nil"/>
              <w:right w:val="single" w:sz="4" w:space="0" w:color="auto"/>
            </w:tcBorders>
            <w:shd w:val="clear" w:color="auto" w:fill="auto"/>
            <w:noWrap/>
            <w:vAlign w:val="bottom"/>
            <w:hideMark/>
          </w:tcPr>
          <w:p w14:paraId="65C16F17" w14:textId="48DB6AC5"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2.84 (1.64,4.92)</w:t>
            </w:r>
          </w:p>
        </w:tc>
        <w:tc>
          <w:tcPr>
            <w:tcW w:w="128" w:type="pct"/>
            <w:tcBorders>
              <w:top w:val="nil"/>
              <w:left w:val="nil"/>
              <w:bottom w:val="nil"/>
              <w:right w:val="nil"/>
            </w:tcBorders>
            <w:shd w:val="clear" w:color="auto" w:fill="auto"/>
            <w:noWrap/>
            <w:vAlign w:val="bottom"/>
            <w:hideMark/>
          </w:tcPr>
          <w:p w14:paraId="48CFB24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26</w:t>
            </w:r>
          </w:p>
        </w:tc>
        <w:tc>
          <w:tcPr>
            <w:tcW w:w="171" w:type="pct"/>
            <w:tcBorders>
              <w:top w:val="nil"/>
              <w:left w:val="nil"/>
              <w:bottom w:val="nil"/>
              <w:right w:val="nil"/>
            </w:tcBorders>
            <w:shd w:val="clear" w:color="auto" w:fill="auto"/>
            <w:noWrap/>
            <w:vAlign w:val="bottom"/>
            <w:hideMark/>
          </w:tcPr>
          <w:p w14:paraId="62F811D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17.0%</w:t>
            </w:r>
          </w:p>
        </w:tc>
        <w:tc>
          <w:tcPr>
            <w:tcW w:w="376" w:type="pct"/>
            <w:tcBorders>
              <w:top w:val="nil"/>
              <w:left w:val="nil"/>
              <w:bottom w:val="nil"/>
              <w:right w:val="nil"/>
            </w:tcBorders>
            <w:shd w:val="clear" w:color="auto" w:fill="auto"/>
            <w:noWrap/>
            <w:vAlign w:val="bottom"/>
            <w:hideMark/>
          </w:tcPr>
          <w:p w14:paraId="61D1EF40" w14:textId="7AACBFDE"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2.05 (1.18,3.58)</w:t>
            </w:r>
          </w:p>
        </w:tc>
        <w:tc>
          <w:tcPr>
            <w:tcW w:w="129" w:type="pct"/>
            <w:gridSpan w:val="2"/>
            <w:tcBorders>
              <w:top w:val="nil"/>
              <w:left w:val="single" w:sz="4" w:space="0" w:color="auto"/>
              <w:bottom w:val="nil"/>
              <w:right w:val="nil"/>
            </w:tcBorders>
            <w:shd w:val="clear" w:color="auto" w:fill="auto"/>
            <w:noWrap/>
            <w:vAlign w:val="bottom"/>
            <w:hideMark/>
          </w:tcPr>
          <w:p w14:paraId="4DD44B4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30</w:t>
            </w:r>
          </w:p>
        </w:tc>
        <w:tc>
          <w:tcPr>
            <w:tcW w:w="171" w:type="pct"/>
            <w:tcBorders>
              <w:top w:val="nil"/>
              <w:left w:val="nil"/>
              <w:bottom w:val="nil"/>
              <w:right w:val="nil"/>
            </w:tcBorders>
            <w:shd w:val="clear" w:color="auto" w:fill="auto"/>
            <w:noWrap/>
            <w:vAlign w:val="bottom"/>
            <w:hideMark/>
          </w:tcPr>
          <w:p w14:paraId="6458EB9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4.9%</w:t>
            </w:r>
          </w:p>
        </w:tc>
        <w:tc>
          <w:tcPr>
            <w:tcW w:w="379" w:type="pct"/>
            <w:tcBorders>
              <w:top w:val="nil"/>
              <w:left w:val="nil"/>
              <w:bottom w:val="nil"/>
              <w:right w:val="single" w:sz="4" w:space="0" w:color="auto"/>
            </w:tcBorders>
            <w:shd w:val="clear" w:color="auto" w:fill="auto"/>
            <w:noWrap/>
            <w:vAlign w:val="bottom"/>
            <w:hideMark/>
          </w:tcPr>
          <w:p w14:paraId="4253B37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1.57 (0.78,3.15)</w:t>
            </w:r>
          </w:p>
        </w:tc>
      </w:tr>
      <w:tr w:rsidR="00C65E8F" w:rsidRPr="00C65E8F" w14:paraId="4638DD2E" w14:textId="77777777" w:rsidTr="00063136">
        <w:trPr>
          <w:trHeight w:val="222"/>
        </w:trPr>
        <w:tc>
          <w:tcPr>
            <w:tcW w:w="788" w:type="pct"/>
            <w:gridSpan w:val="2"/>
            <w:tcBorders>
              <w:top w:val="single" w:sz="4" w:space="0" w:color="auto"/>
              <w:left w:val="single" w:sz="4" w:space="0" w:color="auto"/>
              <w:bottom w:val="nil"/>
              <w:right w:val="nil"/>
            </w:tcBorders>
            <w:shd w:val="clear" w:color="auto" w:fill="auto"/>
            <w:noWrap/>
            <w:vAlign w:val="bottom"/>
            <w:hideMark/>
          </w:tcPr>
          <w:p w14:paraId="44B5E9E6" w14:textId="77777777" w:rsidR="00FD03FF" w:rsidRPr="00C65E8F" w:rsidRDefault="00FD03FF" w:rsidP="00FD03FF">
            <w:pPr>
              <w:spacing w:before="0" w:after="0"/>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Highest qualification</w:t>
            </w:r>
          </w:p>
        </w:tc>
        <w:tc>
          <w:tcPr>
            <w:tcW w:w="128" w:type="pct"/>
            <w:tcBorders>
              <w:top w:val="single" w:sz="4" w:space="0" w:color="auto"/>
              <w:left w:val="single" w:sz="4" w:space="0" w:color="auto"/>
              <w:bottom w:val="nil"/>
              <w:right w:val="nil"/>
            </w:tcBorders>
            <w:shd w:val="clear" w:color="auto" w:fill="auto"/>
            <w:noWrap/>
            <w:vAlign w:val="bottom"/>
            <w:hideMark/>
          </w:tcPr>
          <w:p w14:paraId="11DAF95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189B6D5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416" w:type="pct"/>
            <w:tcBorders>
              <w:top w:val="single" w:sz="4" w:space="0" w:color="auto"/>
              <w:left w:val="nil"/>
              <w:bottom w:val="nil"/>
              <w:right w:val="nil"/>
            </w:tcBorders>
            <w:shd w:val="clear" w:color="auto" w:fill="auto"/>
            <w:noWrap/>
            <w:vAlign w:val="bottom"/>
            <w:hideMark/>
          </w:tcPr>
          <w:p w14:paraId="1DBDB4E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48" w:type="pct"/>
            <w:tcBorders>
              <w:top w:val="single" w:sz="4" w:space="0" w:color="auto"/>
              <w:left w:val="single" w:sz="4" w:space="0" w:color="auto"/>
              <w:bottom w:val="nil"/>
              <w:right w:val="nil"/>
            </w:tcBorders>
            <w:shd w:val="clear" w:color="auto" w:fill="auto"/>
            <w:noWrap/>
            <w:vAlign w:val="bottom"/>
            <w:hideMark/>
          </w:tcPr>
          <w:p w14:paraId="11D22B7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46DAE98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395" w:type="pct"/>
            <w:tcBorders>
              <w:top w:val="single" w:sz="4" w:space="0" w:color="auto"/>
              <w:left w:val="nil"/>
              <w:bottom w:val="nil"/>
              <w:right w:val="single" w:sz="4" w:space="0" w:color="auto"/>
            </w:tcBorders>
            <w:shd w:val="clear" w:color="auto" w:fill="auto"/>
            <w:noWrap/>
            <w:vAlign w:val="bottom"/>
            <w:hideMark/>
          </w:tcPr>
          <w:p w14:paraId="573E6DD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8" w:type="pct"/>
            <w:tcBorders>
              <w:top w:val="single" w:sz="4" w:space="0" w:color="auto"/>
              <w:left w:val="nil"/>
              <w:bottom w:val="nil"/>
              <w:right w:val="nil"/>
            </w:tcBorders>
            <w:shd w:val="clear" w:color="auto" w:fill="auto"/>
            <w:noWrap/>
            <w:vAlign w:val="bottom"/>
            <w:hideMark/>
          </w:tcPr>
          <w:p w14:paraId="11096E2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31D2E6B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416" w:type="pct"/>
            <w:tcBorders>
              <w:top w:val="single" w:sz="4" w:space="0" w:color="auto"/>
              <w:left w:val="nil"/>
              <w:bottom w:val="nil"/>
              <w:right w:val="nil"/>
            </w:tcBorders>
            <w:shd w:val="clear" w:color="auto" w:fill="auto"/>
            <w:noWrap/>
            <w:vAlign w:val="bottom"/>
            <w:hideMark/>
          </w:tcPr>
          <w:p w14:paraId="02E8F41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8" w:type="pct"/>
            <w:tcBorders>
              <w:top w:val="single" w:sz="4" w:space="0" w:color="auto"/>
              <w:left w:val="single" w:sz="4" w:space="0" w:color="auto"/>
              <w:bottom w:val="nil"/>
              <w:right w:val="nil"/>
            </w:tcBorders>
            <w:shd w:val="clear" w:color="auto" w:fill="auto"/>
            <w:noWrap/>
            <w:vAlign w:val="bottom"/>
            <w:hideMark/>
          </w:tcPr>
          <w:p w14:paraId="3DE7C28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7F1EC88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416" w:type="pct"/>
            <w:tcBorders>
              <w:top w:val="single" w:sz="4" w:space="0" w:color="auto"/>
              <w:left w:val="nil"/>
              <w:bottom w:val="nil"/>
              <w:right w:val="single" w:sz="4" w:space="0" w:color="auto"/>
            </w:tcBorders>
            <w:shd w:val="clear" w:color="auto" w:fill="auto"/>
            <w:noWrap/>
            <w:vAlign w:val="bottom"/>
            <w:hideMark/>
          </w:tcPr>
          <w:p w14:paraId="5AFED95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8" w:type="pct"/>
            <w:tcBorders>
              <w:top w:val="single" w:sz="4" w:space="0" w:color="auto"/>
              <w:left w:val="nil"/>
              <w:bottom w:val="nil"/>
              <w:right w:val="nil"/>
            </w:tcBorders>
            <w:shd w:val="clear" w:color="auto" w:fill="auto"/>
            <w:noWrap/>
            <w:vAlign w:val="bottom"/>
            <w:hideMark/>
          </w:tcPr>
          <w:p w14:paraId="7DE424A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34603E1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376" w:type="pct"/>
            <w:tcBorders>
              <w:top w:val="single" w:sz="4" w:space="0" w:color="auto"/>
              <w:left w:val="nil"/>
              <w:bottom w:val="nil"/>
              <w:right w:val="nil"/>
            </w:tcBorders>
            <w:shd w:val="clear" w:color="auto" w:fill="auto"/>
            <w:noWrap/>
            <w:vAlign w:val="bottom"/>
            <w:hideMark/>
          </w:tcPr>
          <w:p w14:paraId="6B3BD82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9" w:type="pct"/>
            <w:gridSpan w:val="2"/>
            <w:tcBorders>
              <w:top w:val="single" w:sz="4" w:space="0" w:color="auto"/>
              <w:left w:val="single" w:sz="4" w:space="0" w:color="auto"/>
              <w:bottom w:val="nil"/>
              <w:right w:val="nil"/>
            </w:tcBorders>
            <w:shd w:val="clear" w:color="auto" w:fill="auto"/>
            <w:noWrap/>
            <w:vAlign w:val="bottom"/>
            <w:hideMark/>
          </w:tcPr>
          <w:p w14:paraId="71DFD5B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3316920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379" w:type="pct"/>
            <w:tcBorders>
              <w:top w:val="single" w:sz="4" w:space="0" w:color="auto"/>
              <w:left w:val="nil"/>
              <w:bottom w:val="nil"/>
              <w:right w:val="single" w:sz="4" w:space="0" w:color="auto"/>
            </w:tcBorders>
            <w:shd w:val="clear" w:color="auto" w:fill="auto"/>
            <w:noWrap/>
            <w:vAlign w:val="bottom"/>
            <w:hideMark/>
          </w:tcPr>
          <w:p w14:paraId="03ED6B4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r>
      <w:tr w:rsidR="00C65E8F" w:rsidRPr="00C65E8F" w14:paraId="4A4D1357"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0E8A0083"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5F424A0D"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No qualifications</w:t>
            </w:r>
          </w:p>
        </w:tc>
        <w:tc>
          <w:tcPr>
            <w:tcW w:w="128" w:type="pct"/>
            <w:tcBorders>
              <w:top w:val="nil"/>
              <w:left w:val="single" w:sz="4" w:space="0" w:color="auto"/>
              <w:bottom w:val="nil"/>
              <w:right w:val="nil"/>
            </w:tcBorders>
            <w:shd w:val="clear" w:color="auto" w:fill="auto"/>
            <w:noWrap/>
            <w:vAlign w:val="bottom"/>
            <w:hideMark/>
          </w:tcPr>
          <w:p w14:paraId="0D1FB1D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35</w:t>
            </w:r>
          </w:p>
        </w:tc>
        <w:tc>
          <w:tcPr>
            <w:tcW w:w="171" w:type="pct"/>
            <w:tcBorders>
              <w:top w:val="nil"/>
              <w:left w:val="nil"/>
              <w:bottom w:val="nil"/>
              <w:right w:val="nil"/>
            </w:tcBorders>
            <w:shd w:val="clear" w:color="auto" w:fill="auto"/>
            <w:noWrap/>
            <w:vAlign w:val="bottom"/>
            <w:hideMark/>
          </w:tcPr>
          <w:p w14:paraId="13F7164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29.9%</w:t>
            </w:r>
          </w:p>
        </w:tc>
        <w:tc>
          <w:tcPr>
            <w:tcW w:w="416" w:type="pct"/>
            <w:tcBorders>
              <w:top w:val="nil"/>
              <w:left w:val="nil"/>
              <w:bottom w:val="nil"/>
              <w:right w:val="nil"/>
            </w:tcBorders>
            <w:shd w:val="clear" w:color="auto" w:fill="auto"/>
            <w:noWrap/>
            <w:vAlign w:val="bottom"/>
            <w:hideMark/>
          </w:tcPr>
          <w:p w14:paraId="091F1F21" w14:textId="77207B03"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48" w:type="pct"/>
            <w:tcBorders>
              <w:top w:val="nil"/>
              <w:left w:val="single" w:sz="4" w:space="0" w:color="auto"/>
              <w:bottom w:val="nil"/>
              <w:right w:val="nil"/>
            </w:tcBorders>
            <w:shd w:val="clear" w:color="auto" w:fill="auto"/>
            <w:noWrap/>
            <w:vAlign w:val="bottom"/>
            <w:hideMark/>
          </w:tcPr>
          <w:p w14:paraId="09F9ED5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437</w:t>
            </w:r>
          </w:p>
        </w:tc>
        <w:tc>
          <w:tcPr>
            <w:tcW w:w="171" w:type="pct"/>
            <w:tcBorders>
              <w:top w:val="nil"/>
              <w:left w:val="nil"/>
              <w:bottom w:val="nil"/>
              <w:right w:val="nil"/>
            </w:tcBorders>
            <w:shd w:val="clear" w:color="auto" w:fill="auto"/>
            <w:noWrap/>
            <w:vAlign w:val="bottom"/>
            <w:hideMark/>
          </w:tcPr>
          <w:p w14:paraId="5412C67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20.7%</w:t>
            </w:r>
          </w:p>
        </w:tc>
        <w:tc>
          <w:tcPr>
            <w:tcW w:w="395" w:type="pct"/>
            <w:tcBorders>
              <w:top w:val="nil"/>
              <w:left w:val="nil"/>
              <w:bottom w:val="nil"/>
              <w:right w:val="single" w:sz="4" w:space="0" w:color="auto"/>
            </w:tcBorders>
            <w:shd w:val="clear" w:color="auto" w:fill="auto"/>
            <w:noWrap/>
            <w:vAlign w:val="bottom"/>
            <w:hideMark/>
          </w:tcPr>
          <w:p w14:paraId="6F55D033" w14:textId="339668DD"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nil"/>
              <w:bottom w:val="nil"/>
              <w:right w:val="nil"/>
            </w:tcBorders>
            <w:shd w:val="clear" w:color="auto" w:fill="auto"/>
            <w:noWrap/>
            <w:vAlign w:val="bottom"/>
            <w:hideMark/>
          </w:tcPr>
          <w:p w14:paraId="4A211B1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21</w:t>
            </w:r>
          </w:p>
        </w:tc>
        <w:tc>
          <w:tcPr>
            <w:tcW w:w="171" w:type="pct"/>
            <w:tcBorders>
              <w:top w:val="nil"/>
              <w:left w:val="nil"/>
              <w:bottom w:val="nil"/>
              <w:right w:val="nil"/>
            </w:tcBorders>
            <w:shd w:val="clear" w:color="auto" w:fill="auto"/>
            <w:noWrap/>
            <w:vAlign w:val="bottom"/>
            <w:hideMark/>
          </w:tcPr>
          <w:p w14:paraId="7319A7E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19.1%</w:t>
            </w:r>
          </w:p>
        </w:tc>
        <w:tc>
          <w:tcPr>
            <w:tcW w:w="416" w:type="pct"/>
            <w:tcBorders>
              <w:top w:val="nil"/>
              <w:left w:val="nil"/>
              <w:bottom w:val="nil"/>
              <w:right w:val="nil"/>
            </w:tcBorders>
            <w:shd w:val="clear" w:color="auto" w:fill="auto"/>
            <w:noWrap/>
            <w:vAlign w:val="bottom"/>
            <w:hideMark/>
          </w:tcPr>
          <w:p w14:paraId="3A4B6BF6" w14:textId="6EB41CFB"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single" w:sz="4" w:space="0" w:color="auto"/>
              <w:bottom w:val="nil"/>
              <w:right w:val="nil"/>
            </w:tcBorders>
            <w:shd w:val="clear" w:color="auto" w:fill="auto"/>
            <w:noWrap/>
            <w:vAlign w:val="bottom"/>
            <w:hideMark/>
          </w:tcPr>
          <w:p w14:paraId="7A799FC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101</w:t>
            </w:r>
          </w:p>
        </w:tc>
        <w:tc>
          <w:tcPr>
            <w:tcW w:w="171" w:type="pct"/>
            <w:tcBorders>
              <w:top w:val="nil"/>
              <w:left w:val="nil"/>
              <w:bottom w:val="nil"/>
              <w:right w:val="nil"/>
            </w:tcBorders>
            <w:shd w:val="clear" w:color="auto" w:fill="auto"/>
            <w:noWrap/>
            <w:vAlign w:val="bottom"/>
            <w:hideMark/>
          </w:tcPr>
          <w:p w14:paraId="26F4306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12.5%</w:t>
            </w:r>
          </w:p>
        </w:tc>
        <w:tc>
          <w:tcPr>
            <w:tcW w:w="416" w:type="pct"/>
            <w:tcBorders>
              <w:top w:val="nil"/>
              <w:left w:val="nil"/>
              <w:bottom w:val="nil"/>
              <w:right w:val="single" w:sz="4" w:space="0" w:color="auto"/>
            </w:tcBorders>
            <w:shd w:val="clear" w:color="auto" w:fill="auto"/>
            <w:noWrap/>
            <w:vAlign w:val="bottom"/>
            <w:hideMark/>
          </w:tcPr>
          <w:p w14:paraId="00F08FA5" w14:textId="43E63A8C"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nil"/>
              <w:bottom w:val="nil"/>
              <w:right w:val="nil"/>
            </w:tcBorders>
            <w:shd w:val="clear" w:color="auto" w:fill="auto"/>
            <w:noWrap/>
            <w:vAlign w:val="bottom"/>
            <w:hideMark/>
          </w:tcPr>
          <w:p w14:paraId="27C36C5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16</w:t>
            </w:r>
          </w:p>
        </w:tc>
        <w:tc>
          <w:tcPr>
            <w:tcW w:w="171" w:type="pct"/>
            <w:tcBorders>
              <w:top w:val="nil"/>
              <w:left w:val="nil"/>
              <w:bottom w:val="nil"/>
              <w:right w:val="nil"/>
            </w:tcBorders>
            <w:shd w:val="clear" w:color="auto" w:fill="auto"/>
            <w:noWrap/>
            <w:vAlign w:val="bottom"/>
            <w:hideMark/>
          </w:tcPr>
          <w:p w14:paraId="0F1FC5F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16.2%</w:t>
            </w:r>
          </w:p>
        </w:tc>
        <w:tc>
          <w:tcPr>
            <w:tcW w:w="376" w:type="pct"/>
            <w:tcBorders>
              <w:top w:val="nil"/>
              <w:left w:val="nil"/>
              <w:bottom w:val="nil"/>
              <w:right w:val="nil"/>
            </w:tcBorders>
            <w:shd w:val="clear" w:color="auto" w:fill="auto"/>
            <w:noWrap/>
            <w:vAlign w:val="bottom"/>
            <w:hideMark/>
          </w:tcPr>
          <w:p w14:paraId="50FB1000" w14:textId="0B344A8E"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9" w:type="pct"/>
            <w:gridSpan w:val="2"/>
            <w:tcBorders>
              <w:top w:val="nil"/>
              <w:left w:val="single" w:sz="4" w:space="0" w:color="auto"/>
              <w:bottom w:val="nil"/>
              <w:right w:val="nil"/>
            </w:tcBorders>
            <w:shd w:val="clear" w:color="auto" w:fill="auto"/>
            <w:noWrap/>
            <w:vAlign w:val="bottom"/>
            <w:hideMark/>
          </w:tcPr>
          <w:p w14:paraId="4AA1C21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35</w:t>
            </w:r>
          </w:p>
        </w:tc>
        <w:tc>
          <w:tcPr>
            <w:tcW w:w="171" w:type="pct"/>
            <w:tcBorders>
              <w:top w:val="nil"/>
              <w:left w:val="nil"/>
              <w:bottom w:val="nil"/>
              <w:right w:val="nil"/>
            </w:tcBorders>
            <w:shd w:val="clear" w:color="auto" w:fill="auto"/>
            <w:noWrap/>
            <w:vAlign w:val="bottom"/>
            <w:hideMark/>
          </w:tcPr>
          <w:p w14:paraId="3A9F54F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7.2%</w:t>
            </w:r>
          </w:p>
        </w:tc>
        <w:tc>
          <w:tcPr>
            <w:tcW w:w="379" w:type="pct"/>
            <w:tcBorders>
              <w:top w:val="nil"/>
              <w:left w:val="nil"/>
              <w:bottom w:val="nil"/>
              <w:right w:val="single" w:sz="4" w:space="0" w:color="auto"/>
            </w:tcBorders>
            <w:shd w:val="clear" w:color="auto" w:fill="auto"/>
            <w:noWrap/>
            <w:vAlign w:val="bottom"/>
            <w:hideMark/>
          </w:tcPr>
          <w:p w14:paraId="0D8BE140" w14:textId="1FA131BE"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r>
      <w:tr w:rsidR="00C65E8F" w:rsidRPr="00C65E8F" w14:paraId="4A3DC05E"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09EBC833"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356C0CF7"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GCSE</w:t>
            </w:r>
          </w:p>
        </w:tc>
        <w:tc>
          <w:tcPr>
            <w:tcW w:w="128" w:type="pct"/>
            <w:tcBorders>
              <w:top w:val="nil"/>
              <w:left w:val="single" w:sz="4" w:space="0" w:color="auto"/>
              <w:bottom w:val="nil"/>
              <w:right w:val="nil"/>
            </w:tcBorders>
            <w:shd w:val="clear" w:color="auto" w:fill="auto"/>
            <w:noWrap/>
            <w:vAlign w:val="bottom"/>
            <w:hideMark/>
          </w:tcPr>
          <w:p w14:paraId="0D3A41A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138</w:t>
            </w:r>
          </w:p>
        </w:tc>
        <w:tc>
          <w:tcPr>
            <w:tcW w:w="171" w:type="pct"/>
            <w:tcBorders>
              <w:top w:val="nil"/>
              <w:left w:val="nil"/>
              <w:bottom w:val="nil"/>
              <w:right w:val="nil"/>
            </w:tcBorders>
            <w:shd w:val="clear" w:color="auto" w:fill="auto"/>
            <w:noWrap/>
            <w:vAlign w:val="bottom"/>
            <w:hideMark/>
          </w:tcPr>
          <w:p w14:paraId="0EF5D9B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23.9%</w:t>
            </w:r>
          </w:p>
        </w:tc>
        <w:tc>
          <w:tcPr>
            <w:tcW w:w="416" w:type="pct"/>
            <w:tcBorders>
              <w:top w:val="nil"/>
              <w:left w:val="nil"/>
              <w:bottom w:val="nil"/>
              <w:right w:val="nil"/>
            </w:tcBorders>
            <w:shd w:val="clear" w:color="auto" w:fill="auto"/>
            <w:noWrap/>
            <w:vAlign w:val="bottom"/>
            <w:hideMark/>
          </w:tcPr>
          <w:p w14:paraId="08AF36B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0.7 (0.41,1.21)</w:t>
            </w:r>
          </w:p>
        </w:tc>
        <w:tc>
          <w:tcPr>
            <w:tcW w:w="148" w:type="pct"/>
            <w:tcBorders>
              <w:top w:val="nil"/>
              <w:left w:val="single" w:sz="4" w:space="0" w:color="auto"/>
              <w:bottom w:val="nil"/>
              <w:right w:val="nil"/>
            </w:tcBorders>
            <w:shd w:val="clear" w:color="auto" w:fill="auto"/>
            <w:noWrap/>
            <w:vAlign w:val="bottom"/>
            <w:hideMark/>
          </w:tcPr>
          <w:p w14:paraId="44D2415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1037</w:t>
            </w:r>
          </w:p>
        </w:tc>
        <w:tc>
          <w:tcPr>
            <w:tcW w:w="171" w:type="pct"/>
            <w:tcBorders>
              <w:top w:val="nil"/>
              <w:left w:val="nil"/>
              <w:bottom w:val="nil"/>
              <w:right w:val="nil"/>
            </w:tcBorders>
            <w:shd w:val="clear" w:color="auto" w:fill="auto"/>
            <w:noWrap/>
            <w:vAlign w:val="bottom"/>
            <w:hideMark/>
          </w:tcPr>
          <w:p w14:paraId="5121E8B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16.7%</w:t>
            </w:r>
          </w:p>
        </w:tc>
        <w:tc>
          <w:tcPr>
            <w:tcW w:w="395" w:type="pct"/>
            <w:tcBorders>
              <w:top w:val="nil"/>
              <w:left w:val="nil"/>
              <w:bottom w:val="nil"/>
              <w:right w:val="single" w:sz="4" w:space="0" w:color="auto"/>
            </w:tcBorders>
            <w:shd w:val="clear" w:color="auto" w:fill="auto"/>
            <w:noWrap/>
            <w:vAlign w:val="bottom"/>
            <w:hideMark/>
          </w:tcPr>
          <w:p w14:paraId="1CEAB311" w14:textId="249BD3B2"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0.67 (0.54,0.83)</w:t>
            </w:r>
          </w:p>
        </w:tc>
        <w:tc>
          <w:tcPr>
            <w:tcW w:w="128" w:type="pct"/>
            <w:tcBorders>
              <w:top w:val="nil"/>
              <w:left w:val="nil"/>
              <w:bottom w:val="nil"/>
              <w:right w:val="nil"/>
            </w:tcBorders>
            <w:shd w:val="clear" w:color="auto" w:fill="auto"/>
            <w:noWrap/>
            <w:vAlign w:val="bottom"/>
            <w:hideMark/>
          </w:tcPr>
          <w:p w14:paraId="72E4582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48</w:t>
            </w:r>
          </w:p>
        </w:tc>
        <w:tc>
          <w:tcPr>
            <w:tcW w:w="171" w:type="pct"/>
            <w:tcBorders>
              <w:top w:val="nil"/>
              <w:left w:val="nil"/>
              <w:bottom w:val="nil"/>
              <w:right w:val="nil"/>
            </w:tcBorders>
            <w:shd w:val="clear" w:color="auto" w:fill="auto"/>
            <w:noWrap/>
            <w:vAlign w:val="bottom"/>
            <w:hideMark/>
          </w:tcPr>
          <w:p w14:paraId="3D17E81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8.3%</w:t>
            </w:r>
          </w:p>
        </w:tc>
        <w:tc>
          <w:tcPr>
            <w:tcW w:w="416" w:type="pct"/>
            <w:tcBorders>
              <w:top w:val="nil"/>
              <w:left w:val="nil"/>
              <w:bottom w:val="nil"/>
              <w:right w:val="nil"/>
            </w:tcBorders>
            <w:shd w:val="clear" w:color="auto" w:fill="auto"/>
            <w:noWrap/>
            <w:vAlign w:val="bottom"/>
            <w:hideMark/>
          </w:tcPr>
          <w:p w14:paraId="592F1B69" w14:textId="0ED35DE6"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0.36 (0.18,0.72)</w:t>
            </w:r>
          </w:p>
        </w:tc>
        <w:tc>
          <w:tcPr>
            <w:tcW w:w="128" w:type="pct"/>
            <w:tcBorders>
              <w:top w:val="nil"/>
              <w:left w:val="single" w:sz="4" w:space="0" w:color="auto"/>
              <w:bottom w:val="nil"/>
              <w:right w:val="nil"/>
            </w:tcBorders>
            <w:shd w:val="clear" w:color="auto" w:fill="auto"/>
            <w:noWrap/>
            <w:vAlign w:val="bottom"/>
            <w:hideMark/>
          </w:tcPr>
          <w:p w14:paraId="7F3B644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89</w:t>
            </w:r>
          </w:p>
        </w:tc>
        <w:tc>
          <w:tcPr>
            <w:tcW w:w="171" w:type="pct"/>
            <w:tcBorders>
              <w:top w:val="nil"/>
              <w:left w:val="nil"/>
              <w:bottom w:val="nil"/>
              <w:right w:val="nil"/>
            </w:tcBorders>
            <w:shd w:val="clear" w:color="auto" w:fill="auto"/>
            <w:noWrap/>
            <w:vAlign w:val="bottom"/>
            <w:hideMark/>
          </w:tcPr>
          <w:p w14:paraId="24840A6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5.0%</w:t>
            </w:r>
          </w:p>
        </w:tc>
        <w:tc>
          <w:tcPr>
            <w:tcW w:w="416" w:type="pct"/>
            <w:tcBorders>
              <w:top w:val="nil"/>
              <w:left w:val="nil"/>
              <w:bottom w:val="nil"/>
              <w:right w:val="single" w:sz="4" w:space="0" w:color="auto"/>
            </w:tcBorders>
            <w:shd w:val="clear" w:color="auto" w:fill="auto"/>
            <w:noWrap/>
            <w:vAlign w:val="bottom"/>
            <w:hideMark/>
          </w:tcPr>
          <w:p w14:paraId="788F29CA" w14:textId="09151C20"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0.33 (0.19,0.57)</w:t>
            </w:r>
          </w:p>
        </w:tc>
        <w:tc>
          <w:tcPr>
            <w:tcW w:w="128" w:type="pct"/>
            <w:tcBorders>
              <w:top w:val="nil"/>
              <w:left w:val="nil"/>
              <w:bottom w:val="nil"/>
              <w:right w:val="nil"/>
            </w:tcBorders>
            <w:shd w:val="clear" w:color="auto" w:fill="auto"/>
            <w:noWrap/>
            <w:vAlign w:val="bottom"/>
            <w:hideMark/>
          </w:tcPr>
          <w:p w14:paraId="2743229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65</w:t>
            </w:r>
          </w:p>
        </w:tc>
        <w:tc>
          <w:tcPr>
            <w:tcW w:w="171" w:type="pct"/>
            <w:tcBorders>
              <w:top w:val="nil"/>
              <w:left w:val="nil"/>
              <w:bottom w:val="nil"/>
              <w:right w:val="nil"/>
            </w:tcBorders>
            <w:shd w:val="clear" w:color="auto" w:fill="auto"/>
            <w:noWrap/>
            <w:vAlign w:val="bottom"/>
            <w:hideMark/>
          </w:tcPr>
          <w:p w14:paraId="5591FC0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12.3%</w:t>
            </w:r>
          </w:p>
        </w:tc>
        <w:tc>
          <w:tcPr>
            <w:tcW w:w="376" w:type="pct"/>
            <w:tcBorders>
              <w:top w:val="nil"/>
              <w:left w:val="nil"/>
              <w:bottom w:val="nil"/>
              <w:right w:val="nil"/>
            </w:tcBorders>
            <w:shd w:val="clear" w:color="auto" w:fill="auto"/>
            <w:noWrap/>
            <w:vAlign w:val="bottom"/>
            <w:hideMark/>
          </w:tcPr>
          <w:p w14:paraId="5C7D785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0.72 (0.35,1.49)</w:t>
            </w:r>
          </w:p>
        </w:tc>
        <w:tc>
          <w:tcPr>
            <w:tcW w:w="129" w:type="pct"/>
            <w:gridSpan w:val="2"/>
            <w:tcBorders>
              <w:top w:val="nil"/>
              <w:left w:val="single" w:sz="4" w:space="0" w:color="auto"/>
              <w:bottom w:val="nil"/>
              <w:right w:val="nil"/>
            </w:tcBorders>
            <w:shd w:val="clear" w:color="auto" w:fill="auto"/>
            <w:noWrap/>
            <w:vAlign w:val="bottom"/>
            <w:hideMark/>
          </w:tcPr>
          <w:p w14:paraId="547EBAD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57</w:t>
            </w:r>
          </w:p>
        </w:tc>
        <w:tc>
          <w:tcPr>
            <w:tcW w:w="171" w:type="pct"/>
            <w:tcBorders>
              <w:top w:val="nil"/>
              <w:left w:val="nil"/>
              <w:bottom w:val="nil"/>
              <w:right w:val="nil"/>
            </w:tcBorders>
            <w:shd w:val="clear" w:color="auto" w:fill="auto"/>
            <w:noWrap/>
            <w:vAlign w:val="bottom"/>
            <w:hideMark/>
          </w:tcPr>
          <w:p w14:paraId="1CD268A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6.9%</w:t>
            </w:r>
          </w:p>
        </w:tc>
        <w:tc>
          <w:tcPr>
            <w:tcW w:w="379" w:type="pct"/>
            <w:tcBorders>
              <w:top w:val="nil"/>
              <w:left w:val="nil"/>
              <w:bottom w:val="nil"/>
              <w:right w:val="single" w:sz="4" w:space="0" w:color="auto"/>
            </w:tcBorders>
            <w:shd w:val="clear" w:color="auto" w:fill="auto"/>
            <w:noWrap/>
            <w:vAlign w:val="bottom"/>
            <w:hideMark/>
          </w:tcPr>
          <w:p w14:paraId="4F0692E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0.85 (0.45,1.61)</w:t>
            </w:r>
          </w:p>
        </w:tc>
      </w:tr>
      <w:tr w:rsidR="00C65E8F" w:rsidRPr="00C65E8F" w14:paraId="3BC9682A"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3E09AEF0"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14891065"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A level</w:t>
            </w:r>
          </w:p>
        </w:tc>
        <w:tc>
          <w:tcPr>
            <w:tcW w:w="128" w:type="pct"/>
            <w:tcBorders>
              <w:top w:val="nil"/>
              <w:left w:val="single" w:sz="4" w:space="0" w:color="auto"/>
              <w:bottom w:val="nil"/>
              <w:right w:val="nil"/>
            </w:tcBorders>
            <w:shd w:val="clear" w:color="auto" w:fill="auto"/>
            <w:noWrap/>
            <w:vAlign w:val="bottom"/>
            <w:hideMark/>
          </w:tcPr>
          <w:p w14:paraId="6946B90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201</w:t>
            </w:r>
          </w:p>
        </w:tc>
        <w:tc>
          <w:tcPr>
            <w:tcW w:w="171" w:type="pct"/>
            <w:tcBorders>
              <w:top w:val="nil"/>
              <w:left w:val="nil"/>
              <w:bottom w:val="nil"/>
              <w:right w:val="nil"/>
            </w:tcBorders>
            <w:shd w:val="clear" w:color="auto" w:fill="auto"/>
            <w:noWrap/>
            <w:vAlign w:val="bottom"/>
            <w:hideMark/>
          </w:tcPr>
          <w:p w14:paraId="5935F0B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23.5%</w:t>
            </w:r>
          </w:p>
        </w:tc>
        <w:tc>
          <w:tcPr>
            <w:tcW w:w="416" w:type="pct"/>
            <w:tcBorders>
              <w:top w:val="nil"/>
              <w:left w:val="nil"/>
              <w:bottom w:val="nil"/>
              <w:right w:val="nil"/>
            </w:tcBorders>
            <w:shd w:val="clear" w:color="auto" w:fill="auto"/>
            <w:noWrap/>
            <w:vAlign w:val="bottom"/>
            <w:hideMark/>
          </w:tcPr>
          <w:p w14:paraId="0560001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0.67 (0.40,1.15)</w:t>
            </w:r>
          </w:p>
        </w:tc>
        <w:tc>
          <w:tcPr>
            <w:tcW w:w="148" w:type="pct"/>
            <w:tcBorders>
              <w:top w:val="nil"/>
              <w:left w:val="single" w:sz="4" w:space="0" w:color="auto"/>
              <w:bottom w:val="nil"/>
              <w:right w:val="nil"/>
            </w:tcBorders>
            <w:shd w:val="clear" w:color="auto" w:fill="auto"/>
            <w:noWrap/>
            <w:vAlign w:val="bottom"/>
            <w:hideMark/>
          </w:tcPr>
          <w:p w14:paraId="4EF0058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797</w:t>
            </w:r>
          </w:p>
        </w:tc>
        <w:tc>
          <w:tcPr>
            <w:tcW w:w="171" w:type="pct"/>
            <w:tcBorders>
              <w:top w:val="nil"/>
              <w:left w:val="nil"/>
              <w:bottom w:val="nil"/>
              <w:right w:val="nil"/>
            </w:tcBorders>
            <w:shd w:val="clear" w:color="auto" w:fill="auto"/>
            <w:noWrap/>
            <w:vAlign w:val="bottom"/>
            <w:hideMark/>
          </w:tcPr>
          <w:p w14:paraId="691145C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15.8%</w:t>
            </w:r>
          </w:p>
        </w:tc>
        <w:tc>
          <w:tcPr>
            <w:tcW w:w="395" w:type="pct"/>
            <w:tcBorders>
              <w:top w:val="nil"/>
              <w:left w:val="nil"/>
              <w:bottom w:val="nil"/>
              <w:right w:val="single" w:sz="4" w:space="0" w:color="auto"/>
            </w:tcBorders>
            <w:shd w:val="clear" w:color="auto" w:fill="auto"/>
            <w:noWrap/>
            <w:vAlign w:val="bottom"/>
            <w:hideMark/>
          </w:tcPr>
          <w:p w14:paraId="56AF3B3C" w14:textId="09E49D8B"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0.63 (0.50,0.78)</w:t>
            </w:r>
          </w:p>
        </w:tc>
        <w:tc>
          <w:tcPr>
            <w:tcW w:w="128" w:type="pct"/>
            <w:tcBorders>
              <w:top w:val="nil"/>
              <w:left w:val="nil"/>
              <w:bottom w:val="nil"/>
              <w:right w:val="nil"/>
            </w:tcBorders>
            <w:shd w:val="clear" w:color="auto" w:fill="auto"/>
            <w:noWrap/>
            <w:vAlign w:val="bottom"/>
            <w:hideMark/>
          </w:tcPr>
          <w:p w14:paraId="1B80595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62</w:t>
            </w:r>
          </w:p>
        </w:tc>
        <w:tc>
          <w:tcPr>
            <w:tcW w:w="171" w:type="pct"/>
            <w:tcBorders>
              <w:top w:val="nil"/>
              <w:left w:val="nil"/>
              <w:bottom w:val="nil"/>
              <w:right w:val="nil"/>
            </w:tcBorders>
            <w:shd w:val="clear" w:color="auto" w:fill="auto"/>
            <w:noWrap/>
            <w:vAlign w:val="bottom"/>
            <w:hideMark/>
          </w:tcPr>
          <w:p w14:paraId="25F14C8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8.2%</w:t>
            </w:r>
          </w:p>
        </w:tc>
        <w:tc>
          <w:tcPr>
            <w:tcW w:w="416" w:type="pct"/>
            <w:tcBorders>
              <w:top w:val="nil"/>
              <w:left w:val="nil"/>
              <w:bottom w:val="nil"/>
              <w:right w:val="nil"/>
            </w:tcBorders>
            <w:shd w:val="clear" w:color="auto" w:fill="auto"/>
            <w:noWrap/>
            <w:vAlign w:val="bottom"/>
            <w:hideMark/>
          </w:tcPr>
          <w:p w14:paraId="3512C285" w14:textId="5DC5EBA3"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0.34 (0.17,0.67)</w:t>
            </w:r>
          </w:p>
        </w:tc>
        <w:tc>
          <w:tcPr>
            <w:tcW w:w="128" w:type="pct"/>
            <w:tcBorders>
              <w:top w:val="nil"/>
              <w:left w:val="single" w:sz="4" w:space="0" w:color="auto"/>
              <w:bottom w:val="nil"/>
              <w:right w:val="nil"/>
            </w:tcBorders>
            <w:shd w:val="clear" w:color="auto" w:fill="auto"/>
            <w:noWrap/>
            <w:vAlign w:val="bottom"/>
            <w:hideMark/>
          </w:tcPr>
          <w:p w14:paraId="2BBD477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46</w:t>
            </w:r>
          </w:p>
        </w:tc>
        <w:tc>
          <w:tcPr>
            <w:tcW w:w="171" w:type="pct"/>
            <w:tcBorders>
              <w:top w:val="nil"/>
              <w:left w:val="nil"/>
              <w:bottom w:val="nil"/>
              <w:right w:val="nil"/>
            </w:tcBorders>
            <w:shd w:val="clear" w:color="auto" w:fill="auto"/>
            <w:noWrap/>
            <w:vAlign w:val="bottom"/>
            <w:hideMark/>
          </w:tcPr>
          <w:p w14:paraId="176BE10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4.9%</w:t>
            </w:r>
          </w:p>
        </w:tc>
        <w:tc>
          <w:tcPr>
            <w:tcW w:w="416" w:type="pct"/>
            <w:tcBorders>
              <w:top w:val="nil"/>
              <w:left w:val="nil"/>
              <w:bottom w:val="nil"/>
              <w:right w:val="single" w:sz="4" w:space="0" w:color="auto"/>
            </w:tcBorders>
            <w:shd w:val="clear" w:color="auto" w:fill="auto"/>
            <w:noWrap/>
            <w:vAlign w:val="bottom"/>
            <w:hideMark/>
          </w:tcPr>
          <w:p w14:paraId="20A46485" w14:textId="227C8D8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0.32 (0.17,0.60)</w:t>
            </w:r>
          </w:p>
        </w:tc>
        <w:tc>
          <w:tcPr>
            <w:tcW w:w="128" w:type="pct"/>
            <w:tcBorders>
              <w:top w:val="nil"/>
              <w:left w:val="nil"/>
              <w:bottom w:val="nil"/>
              <w:right w:val="nil"/>
            </w:tcBorders>
            <w:shd w:val="clear" w:color="auto" w:fill="auto"/>
            <w:noWrap/>
            <w:vAlign w:val="bottom"/>
            <w:hideMark/>
          </w:tcPr>
          <w:p w14:paraId="5DB104C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91</w:t>
            </w:r>
          </w:p>
        </w:tc>
        <w:tc>
          <w:tcPr>
            <w:tcW w:w="171" w:type="pct"/>
            <w:tcBorders>
              <w:top w:val="nil"/>
              <w:left w:val="nil"/>
              <w:bottom w:val="nil"/>
              <w:right w:val="nil"/>
            </w:tcBorders>
            <w:shd w:val="clear" w:color="auto" w:fill="auto"/>
            <w:noWrap/>
            <w:vAlign w:val="bottom"/>
            <w:hideMark/>
          </w:tcPr>
          <w:p w14:paraId="6B11248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11.1%</w:t>
            </w:r>
          </w:p>
        </w:tc>
        <w:tc>
          <w:tcPr>
            <w:tcW w:w="376" w:type="pct"/>
            <w:tcBorders>
              <w:top w:val="nil"/>
              <w:left w:val="nil"/>
              <w:bottom w:val="nil"/>
              <w:right w:val="nil"/>
            </w:tcBorders>
            <w:shd w:val="clear" w:color="auto" w:fill="auto"/>
            <w:noWrap/>
            <w:vAlign w:val="bottom"/>
            <w:hideMark/>
          </w:tcPr>
          <w:p w14:paraId="0BB4226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0.63 (0.31,1.27)</w:t>
            </w:r>
          </w:p>
        </w:tc>
        <w:tc>
          <w:tcPr>
            <w:tcW w:w="129" w:type="pct"/>
            <w:gridSpan w:val="2"/>
            <w:tcBorders>
              <w:top w:val="nil"/>
              <w:left w:val="single" w:sz="4" w:space="0" w:color="auto"/>
              <w:bottom w:val="nil"/>
              <w:right w:val="nil"/>
            </w:tcBorders>
            <w:shd w:val="clear" w:color="auto" w:fill="auto"/>
            <w:noWrap/>
            <w:vAlign w:val="bottom"/>
            <w:hideMark/>
          </w:tcPr>
          <w:p w14:paraId="1898493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23</w:t>
            </w:r>
          </w:p>
        </w:tc>
        <w:tc>
          <w:tcPr>
            <w:tcW w:w="171" w:type="pct"/>
            <w:tcBorders>
              <w:top w:val="nil"/>
              <w:left w:val="nil"/>
              <w:bottom w:val="nil"/>
              <w:right w:val="nil"/>
            </w:tcBorders>
            <w:shd w:val="clear" w:color="auto" w:fill="auto"/>
            <w:noWrap/>
            <w:vAlign w:val="bottom"/>
            <w:hideMark/>
          </w:tcPr>
          <w:p w14:paraId="253CC81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5.7%</w:t>
            </w:r>
          </w:p>
        </w:tc>
        <w:tc>
          <w:tcPr>
            <w:tcW w:w="379" w:type="pct"/>
            <w:tcBorders>
              <w:top w:val="nil"/>
              <w:left w:val="nil"/>
              <w:bottom w:val="nil"/>
              <w:right w:val="single" w:sz="4" w:space="0" w:color="auto"/>
            </w:tcBorders>
            <w:shd w:val="clear" w:color="auto" w:fill="auto"/>
            <w:noWrap/>
            <w:vAlign w:val="bottom"/>
            <w:hideMark/>
          </w:tcPr>
          <w:p w14:paraId="27D5451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0.65 (0.32,1.34)</w:t>
            </w:r>
          </w:p>
        </w:tc>
      </w:tr>
      <w:tr w:rsidR="00C65E8F" w:rsidRPr="00C65E8F" w14:paraId="46B0141D" w14:textId="77777777" w:rsidTr="00063136">
        <w:trPr>
          <w:trHeight w:val="222"/>
        </w:trPr>
        <w:tc>
          <w:tcPr>
            <w:tcW w:w="195" w:type="pct"/>
            <w:tcBorders>
              <w:top w:val="nil"/>
              <w:left w:val="single" w:sz="4" w:space="0" w:color="auto"/>
              <w:bottom w:val="single" w:sz="4" w:space="0" w:color="auto"/>
              <w:right w:val="nil"/>
            </w:tcBorders>
            <w:shd w:val="clear" w:color="auto" w:fill="auto"/>
            <w:noWrap/>
            <w:vAlign w:val="bottom"/>
            <w:hideMark/>
          </w:tcPr>
          <w:p w14:paraId="38ADEC0C"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single" w:sz="4" w:space="0" w:color="auto"/>
              <w:right w:val="nil"/>
            </w:tcBorders>
            <w:shd w:val="clear" w:color="auto" w:fill="auto"/>
            <w:noWrap/>
            <w:vAlign w:val="bottom"/>
            <w:hideMark/>
          </w:tcPr>
          <w:p w14:paraId="03456B92"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Degree or higher</w:t>
            </w:r>
          </w:p>
        </w:tc>
        <w:tc>
          <w:tcPr>
            <w:tcW w:w="128" w:type="pct"/>
            <w:tcBorders>
              <w:top w:val="nil"/>
              <w:left w:val="single" w:sz="4" w:space="0" w:color="auto"/>
              <w:bottom w:val="single" w:sz="4" w:space="0" w:color="auto"/>
              <w:right w:val="nil"/>
            </w:tcBorders>
            <w:shd w:val="clear" w:color="auto" w:fill="auto"/>
            <w:noWrap/>
            <w:vAlign w:val="bottom"/>
            <w:hideMark/>
          </w:tcPr>
          <w:p w14:paraId="193C600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244</w:t>
            </w:r>
          </w:p>
        </w:tc>
        <w:tc>
          <w:tcPr>
            <w:tcW w:w="171" w:type="pct"/>
            <w:tcBorders>
              <w:top w:val="nil"/>
              <w:left w:val="nil"/>
              <w:bottom w:val="single" w:sz="4" w:space="0" w:color="auto"/>
              <w:right w:val="nil"/>
            </w:tcBorders>
            <w:shd w:val="clear" w:color="auto" w:fill="auto"/>
            <w:noWrap/>
            <w:vAlign w:val="bottom"/>
            <w:hideMark/>
          </w:tcPr>
          <w:p w14:paraId="3C3D024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21.8%</w:t>
            </w:r>
          </w:p>
        </w:tc>
        <w:tc>
          <w:tcPr>
            <w:tcW w:w="416" w:type="pct"/>
            <w:tcBorders>
              <w:top w:val="nil"/>
              <w:left w:val="nil"/>
              <w:bottom w:val="single" w:sz="4" w:space="0" w:color="auto"/>
              <w:right w:val="nil"/>
            </w:tcBorders>
            <w:shd w:val="clear" w:color="auto" w:fill="auto"/>
            <w:noWrap/>
            <w:vAlign w:val="bottom"/>
            <w:hideMark/>
          </w:tcPr>
          <w:p w14:paraId="0B8C3EF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0.67 (0.40,1.13)</w:t>
            </w:r>
          </w:p>
        </w:tc>
        <w:tc>
          <w:tcPr>
            <w:tcW w:w="148" w:type="pct"/>
            <w:tcBorders>
              <w:top w:val="nil"/>
              <w:left w:val="single" w:sz="4" w:space="0" w:color="auto"/>
              <w:bottom w:val="single" w:sz="4" w:space="0" w:color="auto"/>
              <w:right w:val="nil"/>
            </w:tcBorders>
            <w:shd w:val="clear" w:color="auto" w:fill="auto"/>
            <w:noWrap/>
            <w:vAlign w:val="bottom"/>
            <w:hideMark/>
          </w:tcPr>
          <w:p w14:paraId="1E57A0C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1792</w:t>
            </w:r>
          </w:p>
        </w:tc>
        <w:tc>
          <w:tcPr>
            <w:tcW w:w="171" w:type="pct"/>
            <w:tcBorders>
              <w:top w:val="nil"/>
              <w:left w:val="nil"/>
              <w:bottom w:val="single" w:sz="4" w:space="0" w:color="auto"/>
              <w:right w:val="nil"/>
            </w:tcBorders>
            <w:shd w:val="clear" w:color="auto" w:fill="auto"/>
            <w:noWrap/>
            <w:vAlign w:val="bottom"/>
            <w:hideMark/>
          </w:tcPr>
          <w:p w14:paraId="22BEF9F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15.3%</w:t>
            </w:r>
          </w:p>
        </w:tc>
        <w:tc>
          <w:tcPr>
            <w:tcW w:w="395" w:type="pct"/>
            <w:tcBorders>
              <w:top w:val="nil"/>
              <w:left w:val="nil"/>
              <w:bottom w:val="single" w:sz="4" w:space="0" w:color="auto"/>
              <w:right w:val="single" w:sz="4" w:space="0" w:color="auto"/>
            </w:tcBorders>
            <w:shd w:val="clear" w:color="auto" w:fill="auto"/>
            <w:noWrap/>
            <w:vAlign w:val="bottom"/>
            <w:hideMark/>
          </w:tcPr>
          <w:p w14:paraId="138810C9" w14:textId="1F4E3815"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0.60 (0.49,0.74)</w:t>
            </w:r>
          </w:p>
        </w:tc>
        <w:tc>
          <w:tcPr>
            <w:tcW w:w="128" w:type="pct"/>
            <w:tcBorders>
              <w:top w:val="nil"/>
              <w:left w:val="nil"/>
              <w:bottom w:val="single" w:sz="4" w:space="0" w:color="auto"/>
              <w:right w:val="nil"/>
            </w:tcBorders>
            <w:shd w:val="clear" w:color="auto" w:fill="auto"/>
            <w:noWrap/>
            <w:vAlign w:val="bottom"/>
            <w:hideMark/>
          </w:tcPr>
          <w:p w14:paraId="65F8AE4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56</w:t>
            </w:r>
          </w:p>
        </w:tc>
        <w:tc>
          <w:tcPr>
            <w:tcW w:w="171" w:type="pct"/>
            <w:tcBorders>
              <w:top w:val="nil"/>
              <w:left w:val="nil"/>
              <w:bottom w:val="single" w:sz="4" w:space="0" w:color="auto"/>
              <w:right w:val="nil"/>
            </w:tcBorders>
            <w:shd w:val="clear" w:color="auto" w:fill="auto"/>
            <w:noWrap/>
            <w:vAlign w:val="bottom"/>
            <w:hideMark/>
          </w:tcPr>
          <w:p w14:paraId="1041FF8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5.6%</w:t>
            </w:r>
          </w:p>
        </w:tc>
        <w:tc>
          <w:tcPr>
            <w:tcW w:w="416" w:type="pct"/>
            <w:tcBorders>
              <w:top w:val="nil"/>
              <w:left w:val="nil"/>
              <w:bottom w:val="single" w:sz="4" w:space="0" w:color="auto"/>
              <w:right w:val="nil"/>
            </w:tcBorders>
            <w:shd w:val="clear" w:color="auto" w:fill="auto"/>
            <w:noWrap/>
            <w:vAlign w:val="bottom"/>
            <w:hideMark/>
          </w:tcPr>
          <w:p w14:paraId="4EF3D66C" w14:textId="16CA2E69"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0.25 (0.13,0.51)</w:t>
            </w:r>
          </w:p>
        </w:tc>
        <w:tc>
          <w:tcPr>
            <w:tcW w:w="128" w:type="pct"/>
            <w:tcBorders>
              <w:top w:val="nil"/>
              <w:left w:val="single" w:sz="4" w:space="0" w:color="auto"/>
              <w:bottom w:val="single" w:sz="4" w:space="0" w:color="auto"/>
              <w:right w:val="nil"/>
            </w:tcBorders>
            <w:shd w:val="clear" w:color="auto" w:fill="auto"/>
            <w:noWrap/>
            <w:vAlign w:val="bottom"/>
            <w:hideMark/>
          </w:tcPr>
          <w:p w14:paraId="7B75CFE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55</w:t>
            </w:r>
          </w:p>
        </w:tc>
        <w:tc>
          <w:tcPr>
            <w:tcW w:w="171" w:type="pct"/>
            <w:tcBorders>
              <w:top w:val="nil"/>
              <w:left w:val="nil"/>
              <w:bottom w:val="single" w:sz="4" w:space="0" w:color="auto"/>
              <w:right w:val="nil"/>
            </w:tcBorders>
            <w:shd w:val="clear" w:color="auto" w:fill="auto"/>
            <w:noWrap/>
            <w:vAlign w:val="bottom"/>
            <w:hideMark/>
          </w:tcPr>
          <w:p w14:paraId="71B6265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2.9%</w:t>
            </w:r>
          </w:p>
        </w:tc>
        <w:tc>
          <w:tcPr>
            <w:tcW w:w="416" w:type="pct"/>
            <w:tcBorders>
              <w:top w:val="nil"/>
              <w:left w:val="nil"/>
              <w:bottom w:val="single" w:sz="4" w:space="0" w:color="auto"/>
              <w:right w:val="single" w:sz="4" w:space="0" w:color="auto"/>
            </w:tcBorders>
            <w:shd w:val="clear" w:color="auto" w:fill="auto"/>
            <w:noWrap/>
            <w:vAlign w:val="bottom"/>
            <w:hideMark/>
          </w:tcPr>
          <w:p w14:paraId="73E8B0E3" w14:textId="65632F22"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0.18 (0.10,0.32)</w:t>
            </w:r>
          </w:p>
        </w:tc>
        <w:tc>
          <w:tcPr>
            <w:tcW w:w="128" w:type="pct"/>
            <w:tcBorders>
              <w:top w:val="nil"/>
              <w:left w:val="nil"/>
              <w:bottom w:val="single" w:sz="4" w:space="0" w:color="auto"/>
              <w:right w:val="nil"/>
            </w:tcBorders>
            <w:shd w:val="clear" w:color="auto" w:fill="auto"/>
            <w:noWrap/>
            <w:vAlign w:val="bottom"/>
            <w:hideMark/>
          </w:tcPr>
          <w:p w14:paraId="40D6EEF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92</w:t>
            </w:r>
          </w:p>
        </w:tc>
        <w:tc>
          <w:tcPr>
            <w:tcW w:w="171" w:type="pct"/>
            <w:tcBorders>
              <w:top w:val="nil"/>
              <w:left w:val="nil"/>
              <w:bottom w:val="single" w:sz="4" w:space="0" w:color="auto"/>
              <w:right w:val="nil"/>
            </w:tcBorders>
            <w:shd w:val="clear" w:color="auto" w:fill="auto"/>
            <w:noWrap/>
            <w:vAlign w:val="bottom"/>
            <w:hideMark/>
          </w:tcPr>
          <w:p w14:paraId="109A9FB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8.2%</w:t>
            </w:r>
          </w:p>
        </w:tc>
        <w:tc>
          <w:tcPr>
            <w:tcW w:w="376" w:type="pct"/>
            <w:tcBorders>
              <w:top w:val="nil"/>
              <w:left w:val="nil"/>
              <w:bottom w:val="single" w:sz="4" w:space="0" w:color="auto"/>
              <w:right w:val="nil"/>
            </w:tcBorders>
            <w:shd w:val="clear" w:color="auto" w:fill="auto"/>
            <w:noWrap/>
            <w:vAlign w:val="bottom"/>
            <w:hideMark/>
          </w:tcPr>
          <w:p w14:paraId="16ED5652" w14:textId="4282CA6B"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0.51 (0.26,1.01)</w:t>
            </w:r>
          </w:p>
        </w:tc>
        <w:tc>
          <w:tcPr>
            <w:tcW w:w="129" w:type="pct"/>
            <w:gridSpan w:val="2"/>
            <w:tcBorders>
              <w:top w:val="nil"/>
              <w:left w:val="single" w:sz="4" w:space="0" w:color="auto"/>
              <w:bottom w:val="single" w:sz="4" w:space="0" w:color="auto"/>
              <w:right w:val="nil"/>
            </w:tcBorders>
            <w:shd w:val="clear" w:color="auto" w:fill="auto"/>
            <w:noWrap/>
            <w:vAlign w:val="bottom"/>
            <w:hideMark/>
          </w:tcPr>
          <w:p w14:paraId="2A15356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58</w:t>
            </w:r>
          </w:p>
        </w:tc>
        <w:tc>
          <w:tcPr>
            <w:tcW w:w="171" w:type="pct"/>
            <w:tcBorders>
              <w:top w:val="nil"/>
              <w:left w:val="nil"/>
              <w:bottom w:val="single" w:sz="4" w:space="0" w:color="auto"/>
              <w:right w:val="nil"/>
            </w:tcBorders>
            <w:shd w:val="clear" w:color="auto" w:fill="auto"/>
            <w:noWrap/>
            <w:vAlign w:val="bottom"/>
            <w:hideMark/>
          </w:tcPr>
          <w:p w14:paraId="0AAF3B7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4.4%</w:t>
            </w:r>
          </w:p>
        </w:tc>
        <w:tc>
          <w:tcPr>
            <w:tcW w:w="379" w:type="pct"/>
            <w:tcBorders>
              <w:top w:val="nil"/>
              <w:left w:val="nil"/>
              <w:bottom w:val="single" w:sz="4" w:space="0" w:color="auto"/>
              <w:right w:val="single" w:sz="4" w:space="0" w:color="auto"/>
            </w:tcBorders>
            <w:shd w:val="clear" w:color="auto" w:fill="auto"/>
            <w:noWrap/>
            <w:vAlign w:val="bottom"/>
            <w:hideMark/>
          </w:tcPr>
          <w:p w14:paraId="7F8905CA" w14:textId="5049ADB2"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0.51 (0.27,0.97)</w:t>
            </w:r>
          </w:p>
        </w:tc>
      </w:tr>
      <w:tr w:rsidR="00C65E8F" w:rsidRPr="00C65E8F" w14:paraId="33185EE8" w14:textId="77777777" w:rsidTr="00063136">
        <w:trPr>
          <w:trHeight w:val="222"/>
        </w:trPr>
        <w:tc>
          <w:tcPr>
            <w:tcW w:w="788" w:type="pct"/>
            <w:gridSpan w:val="2"/>
            <w:tcBorders>
              <w:top w:val="nil"/>
              <w:left w:val="single" w:sz="4" w:space="0" w:color="auto"/>
              <w:bottom w:val="nil"/>
              <w:right w:val="nil"/>
            </w:tcBorders>
            <w:shd w:val="clear" w:color="auto" w:fill="auto"/>
            <w:noWrap/>
            <w:vAlign w:val="bottom"/>
            <w:hideMark/>
          </w:tcPr>
          <w:p w14:paraId="6C006E94" w14:textId="77777777" w:rsidR="00FD03FF" w:rsidRPr="00C65E8F" w:rsidRDefault="00FD03FF" w:rsidP="00FD03FF">
            <w:pPr>
              <w:spacing w:before="0" w:after="0"/>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Employment status</w:t>
            </w:r>
          </w:p>
        </w:tc>
        <w:tc>
          <w:tcPr>
            <w:tcW w:w="128" w:type="pct"/>
            <w:tcBorders>
              <w:top w:val="nil"/>
              <w:left w:val="single" w:sz="4" w:space="0" w:color="auto"/>
              <w:bottom w:val="nil"/>
              <w:right w:val="nil"/>
            </w:tcBorders>
            <w:shd w:val="clear" w:color="auto" w:fill="auto"/>
            <w:noWrap/>
            <w:vAlign w:val="bottom"/>
            <w:hideMark/>
          </w:tcPr>
          <w:p w14:paraId="679F1FF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5E9B59C5" w14:textId="77777777" w:rsidR="00FD03FF" w:rsidRPr="00C65E8F" w:rsidRDefault="00FD03FF" w:rsidP="00FD03FF">
            <w:pPr>
              <w:spacing w:before="0" w:after="0"/>
              <w:jc w:val="center"/>
              <w:rPr>
                <w:rFonts w:eastAsia="Times New Roman" w:cs="Times New Roman"/>
                <w:color w:val="000000"/>
                <w:sz w:val="12"/>
                <w:szCs w:val="16"/>
                <w:lang w:eastAsia="en-GB"/>
              </w:rPr>
            </w:pPr>
          </w:p>
        </w:tc>
        <w:tc>
          <w:tcPr>
            <w:tcW w:w="416" w:type="pct"/>
            <w:tcBorders>
              <w:top w:val="nil"/>
              <w:left w:val="nil"/>
              <w:bottom w:val="nil"/>
              <w:right w:val="nil"/>
            </w:tcBorders>
            <w:shd w:val="clear" w:color="auto" w:fill="auto"/>
            <w:noWrap/>
            <w:vAlign w:val="bottom"/>
            <w:hideMark/>
          </w:tcPr>
          <w:p w14:paraId="08CFB622" w14:textId="77777777" w:rsidR="00FD03FF" w:rsidRPr="00C65E8F" w:rsidRDefault="00FD03FF" w:rsidP="00FD03FF">
            <w:pPr>
              <w:spacing w:before="0" w:after="0"/>
              <w:jc w:val="center"/>
              <w:rPr>
                <w:rFonts w:eastAsia="Times New Roman" w:cs="Times New Roman"/>
                <w:sz w:val="12"/>
                <w:szCs w:val="16"/>
                <w:lang w:eastAsia="en-GB"/>
              </w:rPr>
            </w:pPr>
          </w:p>
        </w:tc>
        <w:tc>
          <w:tcPr>
            <w:tcW w:w="148" w:type="pct"/>
            <w:tcBorders>
              <w:top w:val="nil"/>
              <w:left w:val="single" w:sz="4" w:space="0" w:color="auto"/>
              <w:bottom w:val="nil"/>
              <w:right w:val="nil"/>
            </w:tcBorders>
            <w:shd w:val="clear" w:color="auto" w:fill="auto"/>
            <w:noWrap/>
            <w:vAlign w:val="bottom"/>
            <w:hideMark/>
          </w:tcPr>
          <w:p w14:paraId="238AE87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23057E04" w14:textId="77777777" w:rsidR="00FD03FF" w:rsidRPr="00C65E8F" w:rsidRDefault="00FD03FF" w:rsidP="00FD03FF">
            <w:pPr>
              <w:spacing w:before="0" w:after="0"/>
              <w:jc w:val="center"/>
              <w:rPr>
                <w:rFonts w:eastAsia="Times New Roman" w:cs="Times New Roman"/>
                <w:color w:val="000000"/>
                <w:sz w:val="12"/>
                <w:szCs w:val="16"/>
                <w:lang w:eastAsia="en-GB"/>
              </w:rPr>
            </w:pPr>
          </w:p>
        </w:tc>
        <w:tc>
          <w:tcPr>
            <w:tcW w:w="395" w:type="pct"/>
            <w:tcBorders>
              <w:top w:val="nil"/>
              <w:left w:val="nil"/>
              <w:bottom w:val="nil"/>
              <w:right w:val="single" w:sz="4" w:space="0" w:color="auto"/>
            </w:tcBorders>
            <w:shd w:val="clear" w:color="auto" w:fill="auto"/>
            <w:noWrap/>
            <w:vAlign w:val="bottom"/>
            <w:hideMark/>
          </w:tcPr>
          <w:p w14:paraId="24C0364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8" w:type="pct"/>
            <w:tcBorders>
              <w:top w:val="nil"/>
              <w:left w:val="nil"/>
              <w:bottom w:val="nil"/>
              <w:right w:val="nil"/>
            </w:tcBorders>
            <w:shd w:val="clear" w:color="auto" w:fill="auto"/>
            <w:noWrap/>
            <w:vAlign w:val="bottom"/>
            <w:hideMark/>
          </w:tcPr>
          <w:p w14:paraId="7CEFC91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16025C23" w14:textId="77777777" w:rsidR="00FD03FF" w:rsidRPr="00C65E8F" w:rsidRDefault="00FD03FF" w:rsidP="00FD03FF">
            <w:pPr>
              <w:spacing w:before="0" w:after="0"/>
              <w:jc w:val="center"/>
              <w:rPr>
                <w:rFonts w:eastAsia="Times New Roman" w:cs="Times New Roman"/>
                <w:color w:val="000000"/>
                <w:sz w:val="12"/>
                <w:szCs w:val="16"/>
                <w:lang w:eastAsia="en-GB"/>
              </w:rPr>
            </w:pPr>
          </w:p>
        </w:tc>
        <w:tc>
          <w:tcPr>
            <w:tcW w:w="416" w:type="pct"/>
            <w:tcBorders>
              <w:top w:val="nil"/>
              <w:left w:val="nil"/>
              <w:bottom w:val="nil"/>
              <w:right w:val="nil"/>
            </w:tcBorders>
            <w:shd w:val="clear" w:color="auto" w:fill="auto"/>
            <w:noWrap/>
            <w:vAlign w:val="bottom"/>
            <w:hideMark/>
          </w:tcPr>
          <w:p w14:paraId="73956A07" w14:textId="77777777" w:rsidR="00FD03FF" w:rsidRPr="00C65E8F" w:rsidRDefault="00FD03FF" w:rsidP="00FD03FF">
            <w:pPr>
              <w:spacing w:before="0" w:after="0"/>
              <w:jc w:val="center"/>
              <w:rPr>
                <w:rFonts w:eastAsia="Times New Roman" w:cs="Times New Roman"/>
                <w:sz w:val="12"/>
                <w:szCs w:val="16"/>
                <w:lang w:eastAsia="en-GB"/>
              </w:rPr>
            </w:pPr>
          </w:p>
        </w:tc>
        <w:tc>
          <w:tcPr>
            <w:tcW w:w="128" w:type="pct"/>
            <w:tcBorders>
              <w:top w:val="nil"/>
              <w:left w:val="single" w:sz="4" w:space="0" w:color="auto"/>
              <w:bottom w:val="nil"/>
              <w:right w:val="nil"/>
            </w:tcBorders>
            <w:shd w:val="clear" w:color="auto" w:fill="auto"/>
            <w:noWrap/>
            <w:vAlign w:val="bottom"/>
            <w:hideMark/>
          </w:tcPr>
          <w:p w14:paraId="46117B0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27AA0913" w14:textId="77777777" w:rsidR="00FD03FF" w:rsidRPr="00C65E8F" w:rsidRDefault="00FD03FF" w:rsidP="00FD03FF">
            <w:pPr>
              <w:spacing w:before="0" w:after="0"/>
              <w:jc w:val="center"/>
              <w:rPr>
                <w:rFonts w:eastAsia="Times New Roman" w:cs="Times New Roman"/>
                <w:color w:val="000000"/>
                <w:sz w:val="12"/>
                <w:szCs w:val="16"/>
                <w:lang w:eastAsia="en-GB"/>
              </w:rPr>
            </w:pPr>
          </w:p>
        </w:tc>
        <w:tc>
          <w:tcPr>
            <w:tcW w:w="416" w:type="pct"/>
            <w:tcBorders>
              <w:top w:val="nil"/>
              <w:left w:val="nil"/>
              <w:bottom w:val="nil"/>
              <w:right w:val="single" w:sz="4" w:space="0" w:color="auto"/>
            </w:tcBorders>
            <w:shd w:val="clear" w:color="auto" w:fill="auto"/>
            <w:noWrap/>
            <w:vAlign w:val="bottom"/>
            <w:hideMark/>
          </w:tcPr>
          <w:p w14:paraId="412ADA9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8" w:type="pct"/>
            <w:tcBorders>
              <w:top w:val="nil"/>
              <w:left w:val="nil"/>
              <w:bottom w:val="nil"/>
              <w:right w:val="nil"/>
            </w:tcBorders>
            <w:shd w:val="clear" w:color="auto" w:fill="auto"/>
            <w:noWrap/>
            <w:vAlign w:val="bottom"/>
            <w:hideMark/>
          </w:tcPr>
          <w:p w14:paraId="2410D801" w14:textId="77777777" w:rsidR="00FD03FF" w:rsidRPr="00C65E8F" w:rsidRDefault="00FD03FF" w:rsidP="00FD03FF">
            <w:pPr>
              <w:spacing w:before="0" w:after="0"/>
              <w:jc w:val="center"/>
              <w:rPr>
                <w:rFonts w:eastAsia="Times New Roman" w:cs="Times New Roman"/>
                <w:color w:val="000000"/>
                <w:sz w:val="12"/>
                <w:szCs w:val="16"/>
                <w:lang w:eastAsia="en-GB"/>
              </w:rPr>
            </w:pPr>
          </w:p>
        </w:tc>
        <w:tc>
          <w:tcPr>
            <w:tcW w:w="171" w:type="pct"/>
            <w:tcBorders>
              <w:top w:val="nil"/>
              <w:left w:val="nil"/>
              <w:bottom w:val="nil"/>
              <w:right w:val="nil"/>
            </w:tcBorders>
            <w:shd w:val="clear" w:color="auto" w:fill="auto"/>
            <w:noWrap/>
            <w:vAlign w:val="bottom"/>
            <w:hideMark/>
          </w:tcPr>
          <w:p w14:paraId="353B6F96" w14:textId="77777777" w:rsidR="00FD03FF" w:rsidRPr="00C65E8F" w:rsidRDefault="00FD03FF" w:rsidP="00FD03FF">
            <w:pPr>
              <w:spacing w:before="0" w:after="0"/>
              <w:jc w:val="center"/>
              <w:rPr>
                <w:rFonts w:eastAsia="Times New Roman" w:cs="Times New Roman"/>
                <w:sz w:val="12"/>
                <w:szCs w:val="16"/>
                <w:lang w:eastAsia="en-GB"/>
              </w:rPr>
            </w:pPr>
          </w:p>
        </w:tc>
        <w:tc>
          <w:tcPr>
            <w:tcW w:w="376" w:type="pct"/>
            <w:tcBorders>
              <w:top w:val="nil"/>
              <w:left w:val="nil"/>
              <w:bottom w:val="nil"/>
              <w:right w:val="nil"/>
            </w:tcBorders>
            <w:shd w:val="clear" w:color="auto" w:fill="auto"/>
            <w:noWrap/>
            <w:vAlign w:val="bottom"/>
            <w:hideMark/>
          </w:tcPr>
          <w:p w14:paraId="4434A36F" w14:textId="77777777" w:rsidR="00FD03FF" w:rsidRPr="00C65E8F" w:rsidRDefault="00FD03FF" w:rsidP="00FD03FF">
            <w:pPr>
              <w:spacing w:before="0" w:after="0"/>
              <w:jc w:val="center"/>
              <w:rPr>
                <w:rFonts w:eastAsia="Times New Roman" w:cs="Times New Roman"/>
                <w:sz w:val="12"/>
                <w:szCs w:val="16"/>
                <w:lang w:eastAsia="en-GB"/>
              </w:rPr>
            </w:pPr>
          </w:p>
        </w:tc>
        <w:tc>
          <w:tcPr>
            <w:tcW w:w="129" w:type="pct"/>
            <w:gridSpan w:val="2"/>
            <w:tcBorders>
              <w:top w:val="nil"/>
              <w:left w:val="single" w:sz="4" w:space="0" w:color="auto"/>
              <w:bottom w:val="nil"/>
              <w:right w:val="nil"/>
            </w:tcBorders>
            <w:shd w:val="clear" w:color="auto" w:fill="auto"/>
            <w:noWrap/>
            <w:vAlign w:val="bottom"/>
            <w:hideMark/>
          </w:tcPr>
          <w:p w14:paraId="326EC04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5DD32D4C" w14:textId="77777777" w:rsidR="00FD03FF" w:rsidRPr="00C65E8F" w:rsidRDefault="00FD03FF" w:rsidP="00FD03FF">
            <w:pPr>
              <w:spacing w:before="0" w:after="0"/>
              <w:jc w:val="center"/>
              <w:rPr>
                <w:rFonts w:eastAsia="Times New Roman" w:cs="Times New Roman"/>
                <w:color w:val="000000"/>
                <w:sz w:val="12"/>
                <w:szCs w:val="16"/>
                <w:lang w:eastAsia="en-GB"/>
              </w:rPr>
            </w:pPr>
          </w:p>
        </w:tc>
        <w:tc>
          <w:tcPr>
            <w:tcW w:w="379" w:type="pct"/>
            <w:tcBorders>
              <w:top w:val="nil"/>
              <w:left w:val="nil"/>
              <w:bottom w:val="nil"/>
              <w:right w:val="single" w:sz="4" w:space="0" w:color="auto"/>
            </w:tcBorders>
            <w:shd w:val="clear" w:color="auto" w:fill="auto"/>
            <w:noWrap/>
            <w:vAlign w:val="bottom"/>
            <w:hideMark/>
          </w:tcPr>
          <w:p w14:paraId="097D9DB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r>
      <w:tr w:rsidR="00C65E8F" w:rsidRPr="00C65E8F" w14:paraId="50ADEF74"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48FDB390"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47DE6784"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In employment (ft/pt)</w:t>
            </w:r>
          </w:p>
        </w:tc>
        <w:tc>
          <w:tcPr>
            <w:tcW w:w="128" w:type="pct"/>
            <w:tcBorders>
              <w:top w:val="nil"/>
              <w:left w:val="single" w:sz="4" w:space="0" w:color="auto"/>
              <w:bottom w:val="nil"/>
              <w:right w:val="nil"/>
            </w:tcBorders>
            <w:shd w:val="clear" w:color="auto" w:fill="auto"/>
            <w:noWrap/>
            <w:vAlign w:val="bottom"/>
            <w:hideMark/>
          </w:tcPr>
          <w:p w14:paraId="3A36026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507</w:t>
            </w:r>
          </w:p>
        </w:tc>
        <w:tc>
          <w:tcPr>
            <w:tcW w:w="171" w:type="pct"/>
            <w:tcBorders>
              <w:top w:val="nil"/>
              <w:left w:val="nil"/>
              <w:bottom w:val="nil"/>
              <w:right w:val="nil"/>
            </w:tcBorders>
            <w:shd w:val="clear" w:color="auto" w:fill="auto"/>
            <w:noWrap/>
            <w:vAlign w:val="bottom"/>
            <w:hideMark/>
          </w:tcPr>
          <w:p w14:paraId="45060B6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21.5%</w:t>
            </w:r>
          </w:p>
        </w:tc>
        <w:tc>
          <w:tcPr>
            <w:tcW w:w="416" w:type="pct"/>
            <w:tcBorders>
              <w:top w:val="nil"/>
              <w:left w:val="nil"/>
              <w:bottom w:val="nil"/>
              <w:right w:val="nil"/>
            </w:tcBorders>
            <w:shd w:val="clear" w:color="auto" w:fill="auto"/>
            <w:noWrap/>
            <w:vAlign w:val="center"/>
            <w:hideMark/>
          </w:tcPr>
          <w:p w14:paraId="13EFF876" w14:textId="7F9DC406"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48" w:type="pct"/>
            <w:tcBorders>
              <w:top w:val="nil"/>
              <w:left w:val="single" w:sz="4" w:space="0" w:color="auto"/>
              <w:bottom w:val="nil"/>
              <w:right w:val="nil"/>
            </w:tcBorders>
            <w:shd w:val="clear" w:color="auto" w:fill="auto"/>
            <w:noWrap/>
            <w:vAlign w:val="bottom"/>
            <w:hideMark/>
          </w:tcPr>
          <w:p w14:paraId="781B876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2329</w:t>
            </w:r>
          </w:p>
        </w:tc>
        <w:tc>
          <w:tcPr>
            <w:tcW w:w="171" w:type="pct"/>
            <w:tcBorders>
              <w:top w:val="nil"/>
              <w:left w:val="nil"/>
              <w:bottom w:val="nil"/>
              <w:right w:val="nil"/>
            </w:tcBorders>
            <w:shd w:val="clear" w:color="auto" w:fill="auto"/>
            <w:noWrap/>
            <w:vAlign w:val="bottom"/>
            <w:hideMark/>
          </w:tcPr>
          <w:p w14:paraId="53257D2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13.3%</w:t>
            </w:r>
          </w:p>
        </w:tc>
        <w:tc>
          <w:tcPr>
            <w:tcW w:w="395" w:type="pct"/>
            <w:tcBorders>
              <w:top w:val="nil"/>
              <w:left w:val="nil"/>
              <w:bottom w:val="nil"/>
              <w:right w:val="single" w:sz="4" w:space="0" w:color="auto"/>
            </w:tcBorders>
            <w:shd w:val="clear" w:color="auto" w:fill="auto"/>
            <w:noWrap/>
            <w:vAlign w:val="bottom"/>
            <w:hideMark/>
          </w:tcPr>
          <w:p w14:paraId="603E8CF1" w14:textId="68D62839"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nil"/>
              <w:bottom w:val="nil"/>
              <w:right w:val="nil"/>
            </w:tcBorders>
            <w:shd w:val="clear" w:color="auto" w:fill="auto"/>
            <w:noWrap/>
            <w:vAlign w:val="bottom"/>
            <w:hideMark/>
          </w:tcPr>
          <w:p w14:paraId="5AB1E29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143</w:t>
            </w:r>
          </w:p>
        </w:tc>
        <w:tc>
          <w:tcPr>
            <w:tcW w:w="171" w:type="pct"/>
            <w:tcBorders>
              <w:top w:val="nil"/>
              <w:left w:val="nil"/>
              <w:bottom w:val="nil"/>
              <w:right w:val="nil"/>
            </w:tcBorders>
            <w:shd w:val="clear" w:color="auto" w:fill="auto"/>
            <w:noWrap/>
            <w:vAlign w:val="bottom"/>
            <w:hideMark/>
          </w:tcPr>
          <w:p w14:paraId="754EFAB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6.7%</w:t>
            </w:r>
          </w:p>
        </w:tc>
        <w:tc>
          <w:tcPr>
            <w:tcW w:w="416" w:type="pct"/>
            <w:tcBorders>
              <w:top w:val="nil"/>
              <w:left w:val="nil"/>
              <w:bottom w:val="nil"/>
              <w:right w:val="nil"/>
            </w:tcBorders>
            <w:shd w:val="clear" w:color="auto" w:fill="auto"/>
            <w:noWrap/>
            <w:vAlign w:val="bottom"/>
            <w:hideMark/>
          </w:tcPr>
          <w:p w14:paraId="71F65231" w14:textId="67C7AAD7"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single" w:sz="4" w:space="0" w:color="auto"/>
              <w:bottom w:val="nil"/>
              <w:right w:val="nil"/>
            </w:tcBorders>
            <w:shd w:val="clear" w:color="auto" w:fill="auto"/>
            <w:noWrap/>
            <w:vAlign w:val="bottom"/>
            <w:hideMark/>
          </w:tcPr>
          <w:p w14:paraId="11BC15B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100</w:t>
            </w:r>
          </w:p>
        </w:tc>
        <w:tc>
          <w:tcPr>
            <w:tcW w:w="171" w:type="pct"/>
            <w:tcBorders>
              <w:top w:val="nil"/>
              <w:left w:val="nil"/>
              <w:bottom w:val="nil"/>
              <w:right w:val="nil"/>
            </w:tcBorders>
            <w:shd w:val="clear" w:color="auto" w:fill="auto"/>
            <w:noWrap/>
            <w:vAlign w:val="bottom"/>
            <w:hideMark/>
          </w:tcPr>
          <w:p w14:paraId="7799E75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3.2%</w:t>
            </w:r>
          </w:p>
        </w:tc>
        <w:tc>
          <w:tcPr>
            <w:tcW w:w="416" w:type="pct"/>
            <w:tcBorders>
              <w:top w:val="nil"/>
              <w:left w:val="nil"/>
              <w:bottom w:val="nil"/>
              <w:right w:val="single" w:sz="4" w:space="0" w:color="auto"/>
            </w:tcBorders>
            <w:shd w:val="clear" w:color="auto" w:fill="auto"/>
            <w:noWrap/>
            <w:vAlign w:val="bottom"/>
            <w:hideMark/>
          </w:tcPr>
          <w:p w14:paraId="664C0675" w14:textId="69AC8AEC"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nil"/>
              <w:bottom w:val="nil"/>
              <w:right w:val="nil"/>
            </w:tcBorders>
            <w:shd w:val="clear" w:color="auto" w:fill="auto"/>
            <w:noWrap/>
            <w:vAlign w:val="bottom"/>
            <w:hideMark/>
          </w:tcPr>
          <w:p w14:paraId="0DA0B66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228</w:t>
            </w:r>
          </w:p>
        </w:tc>
        <w:tc>
          <w:tcPr>
            <w:tcW w:w="171" w:type="pct"/>
            <w:tcBorders>
              <w:top w:val="nil"/>
              <w:left w:val="nil"/>
              <w:bottom w:val="nil"/>
              <w:right w:val="nil"/>
            </w:tcBorders>
            <w:shd w:val="clear" w:color="auto" w:fill="auto"/>
            <w:noWrap/>
            <w:vAlign w:val="bottom"/>
            <w:hideMark/>
          </w:tcPr>
          <w:p w14:paraId="69828FF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10.6%</w:t>
            </w:r>
          </w:p>
        </w:tc>
        <w:tc>
          <w:tcPr>
            <w:tcW w:w="376" w:type="pct"/>
            <w:tcBorders>
              <w:top w:val="nil"/>
              <w:left w:val="nil"/>
              <w:bottom w:val="nil"/>
              <w:right w:val="nil"/>
            </w:tcBorders>
            <w:shd w:val="clear" w:color="auto" w:fill="auto"/>
            <w:noWrap/>
            <w:vAlign w:val="bottom"/>
            <w:hideMark/>
          </w:tcPr>
          <w:p w14:paraId="50D8FA6C" w14:textId="786F7CED"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9" w:type="pct"/>
            <w:gridSpan w:val="2"/>
            <w:tcBorders>
              <w:top w:val="nil"/>
              <w:left w:val="single" w:sz="4" w:space="0" w:color="auto"/>
              <w:bottom w:val="nil"/>
              <w:right w:val="nil"/>
            </w:tcBorders>
            <w:shd w:val="clear" w:color="auto" w:fill="auto"/>
            <w:noWrap/>
            <w:vAlign w:val="bottom"/>
            <w:hideMark/>
          </w:tcPr>
          <w:p w14:paraId="2F0BF45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103</w:t>
            </w:r>
          </w:p>
        </w:tc>
        <w:tc>
          <w:tcPr>
            <w:tcW w:w="171" w:type="pct"/>
            <w:tcBorders>
              <w:top w:val="nil"/>
              <w:left w:val="nil"/>
              <w:bottom w:val="nil"/>
              <w:right w:val="nil"/>
            </w:tcBorders>
            <w:shd w:val="clear" w:color="auto" w:fill="auto"/>
            <w:noWrap/>
            <w:vAlign w:val="bottom"/>
            <w:hideMark/>
          </w:tcPr>
          <w:p w14:paraId="78A8EDF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5.1%</w:t>
            </w:r>
          </w:p>
        </w:tc>
        <w:tc>
          <w:tcPr>
            <w:tcW w:w="379" w:type="pct"/>
            <w:tcBorders>
              <w:top w:val="nil"/>
              <w:left w:val="nil"/>
              <w:bottom w:val="nil"/>
              <w:right w:val="single" w:sz="4" w:space="0" w:color="auto"/>
            </w:tcBorders>
            <w:shd w:val="clear" w:color="auto" w:fill="auto"/>
            <w:noWrap/>
            <w:vAlign w:val="bottom"/>
            <w:hideMark/>
          </w:tcPr>
          <w:p w14:paraId="03BEFAF3" w14:textId="125BE09A"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r>
      <w:tr w:rsidR="00C65E8F" w:rsidRPr="00C65E8F" w14:paraId="2A792393"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3BC8114E"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054CA0DA"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Unemployed (looking for work)</w:t>
            </w:r>
          </w:p>
        </w:tc>
        <w:tc>
          <w:tcPr>
            <w:tcW w:w="128" w:type="pct"/>
            <w:tcBorders>
              <w:top w:val="nil"/>
              <w:left w:val="single" w:sz="4" w:space="0" w:color="auto"/>
              <w:bottom w:val="nil"/>
              <w:right w:val="nil"/>
            </w:tcBorders>
            <w:shd w:val="clear" w:color="auto" w:fill="auto"/>
            <w:noWrap/>
            <w:vAlign w:val="bottom"/>
            <w:hideMark/>
          </w:tcPr>
          <w:p w14:paraId="67C3718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38</w:t>
            </w:r>
          </w:p>
        </w:tc>
        <w:tc>
          <w:tcPr>
            <w:tcW w:w="171" w:type="pct"/>
            <w:tcBorders>
              <w:top w:val="nil"/>
              <w:left w:val="nil"/>
              <w:bottom w:val="nil"/>
              <w:right w:val="nil"/>
            </w:tcBorders>
            <w:shd w:val="clear" w:color="auto" w:fill="auto"/>
            <w:noWrap/>
            <w:vAlign w:val="bottom"/>
            <w:hideMark/>
          </w:tcPr>
          <w:p w14:paraId="4FE854C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50.8%</w:t>
            </w:r>
          </w:p>
        </w:tc>
        <w:tc>
          <w:tcPr>
            <w:tcW w:w="416" w:type="pct"/>
            <w:tcBorders>
              <w:top w:val="nil"/>
              <w:left w:val="nil"/>
              <w:bottom w:val="nil"/>
              <w:right w:val="nil"/>
            </w:tcBorders>
            <w:shd w:val="clear" w:color="auto" w:fill="auto"/>
            <w:noWrap/>
            <w:vAlign w:val="center"/>
            <w:hideMark/>
          </w:tcPr>
          <w:p w14:paraId="1F099B0F" w14:textId="29142603"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3.88 (2.26,6.65)</w:t>
            </w:r>
          </w:p>
        </w:tc>
        <w:tc>
          <w:tcPr>
            <w:tcW w:w="148" w:type="pct"/>
            <w:tcBorders>
              <w:top w:val="nil"/>
              <w:left w:val="single" w:sz="4" w:space="0" w:color="auto"/>
              <w:bottom w:val="nil"/>
              <w:right w:val="nil"/>
            </w:tcBorders>
            <w:shd w:val="clear" w:color="auto" w:fill="auto"/>
            <w:noWrap/>
            <w:vAlign w:val="bottom"/>
            <w:hideMark/>
          </w:tcPr>
          <w:p w14:paraId="4E8E417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365</w:t>
            </w:r>
          </w:p>
        </w:tc>
        <w:tc>
          <w:tcPr>
            <w:tcW w:w="171" w:type="pct"/>
            <w:tcBorders>
              <w:top w:val="nil"/>
              <w:left w:val="nil"/>
              <w:bottom w:val="nil"/>
              <w:right w:val="nil"/>
            </w:tcBorders>
            <w:shd w:val="clear" w:color="auto" w:fill="auto"/>
            <w:noWrap/>
            <w:vAlign w:val="bottom"/>
            <w:hideMark/>
          </w:tcPr>
          <w:p w14:paraId="4272B38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32.3%</w:t>
            </w:r>
          </w:p>
        </w:tc>
        <w:tc>
          <w:tcPr>
            <w:tcW w:w="395" w:type="pct"/>
            <w:tcBorders>
              <w:top w:val="nil"/>
              <w:left w:val="nil"/>
              <w:bottom w:val="nil"/>
              <w:right w:val="single" w:sz="4" w:space="0" w:color="auto"/>
            </w:tcBorders>
            <w:shd w:val="clear" w:color="auto" w:fill="auto"/>
            <w:noWrap/>
            <w:vAlign w:val="bottom"/>
            <w:hideMark/>
          </w:tcPr>
          <w:p w14:paraId="455ECD9D" w14:textId="050301D5"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3.07 (2.51,3.75)</w:t>
            </w:r>
          </w:p>
        </w:tc>
        <w:tc>
          <w:tcPr>
            <w:tcW w:w="128" w:type="pct"/>
            <w:tcBorders>
              <w:top w:val="nil"/>
              <w:left w:val="nil"/>
              <w:bottom w:val="nil"/>
              <w:right w:val="nil"/>
            </w:tcBorders>
            <w:shd w:val="clear" w:color="auto" w:fill="auto"/>
            <w:noWrap/>
            <w:vAlign w:val="bottom"/>
            <w:hideMark/>
          </w:tcPr>
          <w:p w14:paraId="6102CC0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9</w:t>
            </w:r>
          </w:p>
        </w:tc>
        <w:tc>
          <w:tcPr>
            <w:tcW w:w="171" w:type="pct"/>
            <w:tcBorders>
              <w:top w:val="nil"/>
              <w:left w:val="nil"/>
              <w:bottom w:val="nil"/>
              <w:right w:val="nil"/>
            </w:tcBorders>
            <w:shd w:val="clear" w:color="auto" w:fill="auto"/>
            <w:noWrap/>
            <w:vAlign w:val="bottom"/>
            <w:hideMark/>
          </w:tcPr>
          <w:p w14:paraId="43596FF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15.0%</w:t>
            </w:r>
          </w:p>
        </w:tc>
        <w:tc>
          <w:tcPr>
            <w:tcW w:w="416" w:type="pct"/>
            <w:tcBorders>
              <w:top w:val="nil"/>
              <w:left w:val="nil"/>
              <w:bottom w:val="nil"/>
              <w:right w:val="nil"/>
            </w:tcBorders>
            <w:shd w:val="clear" w:color="auto" w:fill="auto"/>
            <w:noWrap/>
            <w:vAlign w:val="bottom"/>
            <w:hideMark/>
          </w:tcPr>
          <w:p w14:paraId="592977FA" w14:textId="359974C9"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2.46 (1.07,5.68)</w:t>
            </w:r>
          </w:p>
        </w:tc>
        <w:tc>
          <w:tcPr>
            <w:tcW w:w="128" w:type="pct"/>
            <w:tcBorders>
              <w:top w:val="nil"/>
              <w:left w:val="single" w:sz="4" w:space="0" w:color="auto"/>
              <w:bottom w:val="nil"/>
              <w:right w:val="nil"/>
            </w:tcBorders>
            <w:shd w:val="clear" w:color="auto" w:fill="auto"/>
            <w:noWrap/>
            <w:vAlign w:val="bottom"/>
            <w:hideMark/>
          </w:tcPr>
          <w:p w14:paraId="26EC877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22</w:t>
            </w:r>
          </w:p>
        </w:tc>
        <w:tc>
          <w:tcPr>
            <w:tcW w:w="171" w:type="pct"/>
            <w:tcBorders>
              <w:top w:val="nil"/>
              <w:left w:val="nil"/>
              <w:bottom w:val="nil"/>
              <w:right w:val="nil"/>
            </w:tcBorders>
            <w:shd w:val="clear" w:color="auto" w:fill="auto"/>
            <w:noWrap/>
            <w:vAlign w:val="bottom"/>
            <w:hideMark/>
          </w:tcPr>
          <w:p w14:paraId="5B15AB4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11.6%</w:t>
            </w:r>
          </w:p>
        </w:tc>
        <w:tc>
          <w:tcPr>
            <w:tcW w:w="416" w:type="pct"/>
            <w:tcBorders>
              <w:top w:val="nil"/>
              <w:left w:val="nil"/>
              <w:bottom w:val="nil"/>
              <w:right w:val="single" w:sz="4" w:space="0" w:color="auto"/>
            </w:tcBorders>
            <w:shd w:val="clear" w:color="auto" w:fill="auto"/>
            <w:noWrap/>
            <w:vAlign w:val="bottom"/>
            <w:hideMark/>
          </w:tcPr>
          <w:p w14:paraId="6959CFB0" w14:textId="0CEDB711"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3.93 (1.65,9.36)</w:t>
            </w:r>
          </w:p>
        </w:tc>
        <w:tc>
          <w:tcPr>
            <w:tcW w:w="128" w:type="pct"/>
            <w:tcBorders>
              <w:top w:val="nil"/>
              <w:left w:val="nil"/>
              <w:bottom w:val="nil"/>
              <w:right w:val="nil"/>
            </w:tcBorders>
            <w:shd w:val="clear" w:color="auto" w:fill="auto"/>
            <w:noWrap/>
            <w:vAlign w:val="bottom"/>
            <w:hideMark/>
          </w:tcPr>
          <w:p w14:paraId="3581728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14</w:t>
            </w:r>
          </w:p>
        </w:tc>
        <w:tc>
          <w:tcPr>
            <w:tcW w:w="171" w:type="pct"/>
            <w:tcBorders>
              <w:top w:val="nil"/>
              <w:left w:val="nil"/>
              <w:bottom w:val="nil"/>
              <w:right w:val="nil"/>
            </w:tcBorders>
            <w:shd w:val="clear" w:color="auto" w:fill="auto"/>
            <w:noWrap/>
            <w:vAlign w:val="bottom"/>
            <w:hideMark/>
          </w:tcPr>
          <w:p w14:paraId="4214360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15.9%</w:t>
            </w:r>
          </w:p>
        </w:tc>
        <w:tc>
          <w:tcPr>
            <w:tcW w:w="376" w:type="pct"/>
            <w:tcBorders>
              <w:top w:val="nil"/>
              <w:left w:val="nil"/>
              <w:bottom w:val="nil"/>
              <w:right w:val="nil"/>
            </w:tcBorders>
            <w:shd w:val="clear" w:color="auto" w:fill="auto"/>
            <w:noWrap/>
            <w:vAlign w:val="bottom"/>
            <w:hideMark/>
          </w:tcPr>
          <w:p w14:paraId="1C68B9B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1.58 (0.74,3.39)</w:t>
            </w:r>
          </w:p>
        </w:tc>
        <w:tc>
          <w:tcPr>
            <w:tcW w:w="129" w:type="pct"/>
            <w:gridSpan w:val="2"/>
            <w:tcBorders>
              <w:top w:val="nil"/>
              <w:left w:val="single" w:sz="4" w:space="0" w:color="auto"/>
              <w:bottom w:val="nil"/>
              <w:right w:val="nil"/>
            </w:tcBorders>
            <w:shd w:val="clear" w:color="auto" w:fill="auto"/>
            <w:noWrap/>
            <w:vAlign w:val="bottom"/>
            <w:hideMark/>
          </w:tcPr>
          <w:p w14:paraId="78A8F31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15</w:t>
            </w:r>
          </w:p>
        </w:tc>
        <w:tc>
          <w:tcPr>
            <w:tcW w:w="171" w:type="pct"/>
            <w:tcBorders>
              <w:top w:val="nil"/>
              <w:left w:val="nil"/>
              <w:bottom w:val="nil"/>
              <w:right w:val="nil"/>
            </w:tcBorders>
            <w:shd w:val="clear" w:color="auto" w:fill="auto"/>
            <w:noWrap/>
            <w:vAlign w:val="bottom"/>
            <w:hideMark/>
          </w:tcPr>
          <w:p w14:paraId="0482F59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13.4%</w:t>
            </w:r>
          </w:p>
        </w:tc>
        <w:tc>
          <w:tcPr>
            <w:tcW w:w="379" w:type="pct"/>
            <w:tcBorders>
              <w:top w:val="nil"/>
              <w:left w:val="nil"/>
              <w:bottom w:val="nil"/>
              <w:right w:val="single" w:sz="4" w:space="0" w:color="auto"/>
            </w:tcBorders>
            <w:shd w:val="clear" w:color="auto" w:fill="auto"/>
            <w:noWrap/>
            <w:vAlign w:val="bottom"/>
            <w:hideMark/>
          </w:tcPr>
          <w:p w14:paraId="2F13ED08" w14:textId="1694BB6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2.83 (1.29,6.21)</w:t>
            </w:r>
          </w:p>
        </w:tc>
      </w:tr>
      <w:tr w:rsidR="00C65E8F" w:rsidRPr="00C65E8F" w14:paraId="2DCFDCC7"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045685D0"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06583403"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Long term ill or disabled</w:t>
            </w:r>
          </w:p>
        </w:tc>
        <w:tc>
          <w:tcPr>
            <w:tcW w:w="128" w:type="pct"/>
            <w:tcBorders>
              <w:top w:val="nil"/>
              <w:left w:val="single" w:sz="4" w:space="0" w:color="auto"/>
              <w:bottom w:val="nil"/>
              <w:right w:val="nil"/>
            </w:tcBorders>
            <w:shd w:val="clear" w:color="auto" w:fill="auto"/>
            <w:noWrap/>
            <w:vAlign w:val="bottom"/>
            <w:hideMark/>
          </w:tcPr>
          <w:p w14:paraId="00D01A7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52</w:t>
            </w:r>
          </w:p>
        </w:tc>
        <w:tc>
          <w:tcPr>
            <w:tcW w:w="171" w:type="pct"/>
            <w:tcBorders>
              <w:top w:val="nil"/>
              <w:left w:val="nil"/>
              <w:bottom w:val="nil"/>
              <w:right w:val="nil"/>
            </w:tcBorders>
            <w:shd w:val="clear" w:color="auto" w:fill="auto"/>
            <w:noWrap/>
            <w:vAlign w:val="bottom"/>
            <w:hideMark/>
          </w:tcPr>
          <w:p w14:paraId="4A9392E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79.5%</w:t>
            </w:r>
          </w:p>
        </w:tc>
        <w:tc>
          <w:tcPr>
            <w:tcW w:w="416" w:type="pct"/>
            <w:tcBorders>
              <w:top w:val="nil"/>
              <w:left w:val="nil"/>
              <w:bottom w:val="nil"/>
              <w:right w:val="nil"/>
            </w:tcBorders>
            <w:shd w:val="clear" w:color="auto" w:fill="auto"/>
            <w:noWrap/>
            <w:vAlign w:val="center"/>
            <w:hideMark/>
          </w:tcPr>
          <w:p w14:paraId="1A78968C" w14:textId="5F69F975"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15.34 (7.69,30.58)</w:t>
            </w:r>
          </w:p>
        </w:tc>
        <w:tc>
          <w:tcPr>
            <w:tcW w:w="148" w:type="pct"/>
            <w:tcBorders>
              <w:top w:val="nil"/>
              <w:left w:val="single" w:sz="4" w:space="0" w:color="auto"/>
              <w:bottom w:val="nil"/>
              <w:right w:val="nil"/>
            </w:tcBorders>
            <w:shd w:val="clear" w:color="auto" w:fill="auto"/>
            <w:noWrap/>
            <w:vAlign w:val="bottom"/>
            <w:hideMark/>
          </w:tcPr>
          <w:p w14:paraId="1F342EE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442</w:t>
            </w:r>
          </w:p>
        </w:tc>
        <w:tc>
          <w:tcPr>
            <w:tcW w:w="171" w:type="pct"/>
            <w:tcBorders>
              <w:top w:val="nil"/>
              <w:left w:val="nil"/>
              <w:bottom w:val="nil"/>
              <w:right w:val="nil"/>
            </w:tcBorders>
            <w:shd w:val="clear" w:color="auto" w:fill="auto"/>
            <w:noWrap/>
            <w:vAlign w:val="bottom"/>
            <w:hideMark/>
          </w:tcPr>
          <w:p w14:paraId="2FF76C8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55.9%</w:t>
            </w:r>
          </w:p>
        </w:tc>
        <w:tc>
          <w:tcPr>
            <w:tcW w:w="395" w:type="pct"/>
            <w:tcBorders>
              <w:top w:val="nil"/>
              <w:left w:val="nil"/>
              <w:bottom w:val="nil"/>
              <w:right w:val="single" w:sz="4" w:space="0" w:color="auto"/>
            </w:tcBorders>
            <w:shd w:val="clear" w:color="auto" w:fill="auto"/>
            <w:noWrap/>
            <w:vAlign w:val="bottom"/>
            <w:hideMark/>
          </w:tcPr>
          <w:p w14:paraId="420AEAAE" w14:textId="7F93D65E"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8.56 (6.77,10.83)</w:t>
            </w:r>
          </w:p>
        </w:tc>
        <w:tc>
          <w:tcPr>
            <w:tcW w:w="128" w:type="pct"/>
            <w:tcBorders>
              <w:top w:val="nil"/>
              <w:left w:val="nil"/>
              <w:bottom w:val="nil"/>
              <w:right w:val="nil"/>
            </w:tcBorders>
            <w:shd w:val="clear" w:color="auto" w:fill="auto"/>
            <w:noWrap/>
            <w:vAlign w:val="bottom"/>
            <w:hideMark/>
          </w:tcPr>
          <w:p w14:paraId="37D9F02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31</w:t>
            </w:r>
          </w:p>
        </w:tc>
        <w:tc>
          <w:tcPr>
            <w:tcW w:w="171" w:type="pct"/>
            <w:tcBorders>
              <w:top w:val="nil"/>
              <w:left w:val="nil"/>
              <w:bottom w:val="nil"/>
              <w:right w:val="nil"/>
            </w:tcBorders>
            <w:shd w:val="clear" w:color="auto" w:fill="auto"/>
            <w:noWrap/>
            <w:vAlign w:val="bottom"/>
            <w:hideMark/>
          </w:tcPr>
          <w:p w14:paraId="3EDFB57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52.8%</w:t>
            </w:r>
          </w:p>
        </w:tc>
        <w:tc>
          <w:tcPr>
            <w:tcW w:w="416" w:type="pct"/>
            <w:tcBorders>
              <w:top w:val="nil"/>
              <w:left w:val="nil"/>
              <w:bottom w:val="nil"/>
              <w:right w:val="nil"/>
            </w:tcBorders>
            <w:shd w:val="clear" w:color="auto" w:fill="auto"/>
            <w:noWrap/>
            <w:vAlign w:val="bottom"/>
            <w:hideMark/>
          </w:tcPr>
          <w:p w14:paraId="27410B71" w14:textId="6593BE52"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18.29 (9.83,34.05)</w:t>
            </w:r>
          </w:p>
        </w:tc>
        <w:tc>
          <w:tcPr>
            <w:tcW w:w="128" w:type="pct"/>
            <w:tcBorders>
              <w:top w:val="nil"/>
              <w:left w:val="single" w:sz="4" w:space="0" w:color="auto"/>
              <w:bottom w:val="nil"/>
              <w:right w:val="nil"/>
            </w:tcBorders>
            <w:shd w:val="clear" w:color="auto" w:fill="auto"/>
            <w:noWrap/>
            <w:vAlign w:val="bottom"/>
            <w:hideMark/>
          </w:tcPr>
          <w:p w14:paraId="0560C1E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97</w:t>
            </w:r>
          </w:p>
        </w:tc>
        <w:tc>
          <w:tcPr>
            <w:tcW w:w="171" w:type="pct"/>
            <w:tcBorders>
              <w:top w:val="nil"/>
              <w:left w:val="nil"/>
              <w:bottom w:val="nil"/>
              <w:right w:val="nil"/>
            </w:tcBorders>
            <w:shd w:val="clear" w:color="auto" w:fill="auto"/>
            <w:noWrap/>
            <w:vAlign w:val="bottom"/>
            <w:hideMark/>
          </w:tcPr>
          <w:p w14:paraId="6BFB51D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27.6%</w:t>
            </w:r>
          </w:p>
        </w:tc>
        <w:tc>
          <w:tcPr>
            <w:tcW w:w="416" w:type="pct"/>
            <w:tcBorders>
              <w:top w:val="nil"/>
              <w:left w:val="nil"/>
              <w:bottom w:val="nil"/>
              <w:right w:val="single" w:sz="4" w:space="0" w:color="auto"/>
            </w:tcBorders>
            <w:shd w:val="clear" w:color="auto" w:fill="auto"/>
            <w:noWrap/>
            <w:vAlign w:val="bottom"/>
            <w:hideMark/>
          </w:tcPr>
          <w:p w14:paraId="237FBBA3" w14:textId="6FF93876"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11.38 (6.89,18.79)</w:t>
            </w:r>
          </w:p>
        </w:tc>
        <w:tc>
          <w:tcPr>
            <w:tcW w:w="128" w:type="pct"/>
            <w:tcBorders>
              <w:top w:val="nil"/>
              <w:left w:val="nil"/>
              <w:bottom w:val="nil"/>
              <w:right w:val="nil"/>
            </w:tcBorders>
            <w:shd w:val="clear" w:color="auto" w:fill="auto"/>
            <w:noWrap/>
            <w:vAlign w:val="bottom"/>
            <w:hideMark/>
          </w:tcPr>
          <w:p w14:paraId="764E32E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13</w:t>
            </w:r>
          </w:p>
        </w:tc>
        <w:tc>
          <w:tcPr>
            <w:tcW w:w="171" w:type="pct"/>
            <w:tcBorders>
              <w:top w:val="nil"/>
              <w:left w:val="nil"/>
              <w:bottom w:val="nil"/>
              <w:right w:val="nil"/>
            </w:tcBorders>
            <w:shd w:val="clear" w:color="auto" w:fill="auto"/>
            <w:noWrap/>
            <w:vAlign w:val="bottom"/>
            <w:hideMark/>
          </w:tcPr>
          <w:p w14:paraId="3103CE3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19.6%</w:t>
            </w:r>
          </w:p>
        </w:tc>
        <w:tc>
          <w:tcPr>
            <w:tcW w:w="376" w:type="pct"/>
            <w:tcBorders>
              <w:top w:val="nil"/>
              <w:left w:val="nil"/>
              <w:bottom w:val="nil"/>
              <w:right w:val="nil"/>
            </w:tcBorders>
            <w:shd w:val="clear" w:color="auto" w:fill="auto"/>
            <w:noWrap/>
            <w:vAlign w:val="bottom"/>
            <w:hideMark/>
          </w:tcPr>
          <w:p w14:paraId="7A09F474" w14:textId="5B2204CE"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2.49 (1.22,5.07)</w:t>
            </w:r>
          </w:p>
        </w:tc>
        <w:tc>
          <w:tcPr>
            <w:tcW w:w="129" w:type="pct"/>
            <w:gridSpan w:val="2"/>
            <w:tcBorders>
              <w:top w:val="nil"/>
              <w:left w:val="single" w:sz="4" w:space="0" w:color="auto"/>
              <w:bottom w:val="nil"/>
              <w:right w:val="nil"/>
            </w:tcBorders>
            <w:shd w:val="clear" w:color="auto" w:fill="auto"/>
            <w:noWrap/>
            <w:vAlign w:val="bottom"/>
            <w:hideMark/>
          </w:tcPr>
          <w:p w14:paraId="6AF4115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27</w:t>
            </w:r>
          </w:p>
        </w:tc>
        <w:tc>
          <w:tcPr>
            <w:tcW w:w="171" w:type="pct"/>
            <w:tcBorders>
              <w:top w:val="nil"/>
              <w:left w:val="nil"/>
              <w:bottom w:val="nil"/>
              <w:right w:val="nil"/>
            </w:tcBorders>
            <w:shd w:val="clear" w:color="auto" w:fill="auto"/>
            <w:noWrap/>
            <w:vAlign w:val="bottom"/>
            <w:hideMark/>
          </w:tcPr>
          <w:p w14:paraId="304ABCC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14.5%</w:t>
            </w:r>
          </w:p>
        </w:tc>
        <w:tc>
          <w:tcPr>
            <w:tcW w:w="379" w:type="pct"/>
            <w:tcBorders>
              <w:top w:val="nil"/>
              <w:left w:val="nil"/>
              <w:bottom w:val="nil"/>
              <w:right w:val="single" w:sz="4" w:space="0" w:color="auto"/>
            </w:tcBorders>
            <w:shd w:val="clear" w:color="auto" w:fill="auto"/>
            <w:noWrap/>
            <w:vAlign w:val="bottom"/>
            <w:hideMark/>
          </w:tcPr>
          <w:p w14:paraId="3E390DB6" w14:textId="46F7FD8E"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3.52 (1.90,6.50)</w:t>
            </w:r>
          </w:p>
        </w:tc>
      </w:tr>
      <w:tr w:rsidR="00C65E8F" w:rsidRPr="00C65E8F" w14:paraId="4185910A"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1A559A15"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6104DEA9"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Retired</w:t>
            </w:r>
          </w:p>
        </w:tc>
        <w:tc>
          <w:tcPr>
            <w:tcW w:w="128" w:type="pct"/>
            <w:tcBorders>
              <w:top w:val="nil"/>
              <w:left w:val="single" w:sz="4" w:space="0" w:color="auto"/>
              <w:bottom w:val="nil"/>
              <w:right w:val="nil"/>
            </w:tcBorders>
            <w:shd w:val="clear" w:color="auto" w:fill="auto"/>
            <w:noWrap/>
            <w:vAlign w:val="bottom"/>
            <w:hideMark/>
          </w:tcPr>
          <w:p w14:paraId="12DEDAB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14</w:t>
            </w:r>
          </w:p>
        </w:tc>
        <w:tc>
          <w:tcPr>
            <w:tcW w:w="171" w:type="pct"/>
            <w:tcBorders>
              <w:top w:val="nil"/>
              <w:left w:val="nil"/>
              <w:bottom w:val="nil"/>
              <w:right w:val="nil"/>
            </w:tcBorders>
            <w:shd w:val="clear" w:color="auto" w:fill="auto"/>
            <w:noWrap/>
            <w:vAlign w:val="bottom"/>
            <w:hideMark/>
          </w:tcPr>
          <w:p w14:paraId="0A79E98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8.5%</w:t>
            </w:r>
          </w:p>
        </w:tc>
        <w:tc>
          <w:tcPr>
            <w:tcW w:w="416" w:type="pct"/>
            <w:tcBorders>
              <w:top w:val="nil"/>
              <w:left w:val="nil"/>
              <w:bottom w:val="nil"/>
              <w:right w:val="nil"/>
            </w:tcBorders>
            <w:shd w:val="clear" w:color="auto" w:fill="auto"/>
            <w:noWrap/>
            <w:vAlign w:val="center"/>
            <w:hideMark/>
          </w:tcPr>
          <w:p w14:paraId="0201100E" w14:textId="431F3F1C"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0.50 (0.27,0.93)</w:t>
            </w:r>
          </w:p>
        </w:tc>
        <w:tc>
          <w:tcPr>
            <w:tcW w:w="148" w:type="pct"/>
            <w:tcBorders>
              <w:top w:val="nil"/>
              <w:left w:val="single" w:sz="4" w:space="0" w:color="auto"/>
              <w:bottom w:val="nil"/>
              <w:right w:val="nil"/>
            </w:tcBorders>
            <w:shd w:val="clear" w:color="auto" w:fill="auto"/>
            <w:noWrap/>
            <w:vAlign w:val="bottom"/>
            <w:hideMark/>
          </w:tcPr>
          <w:p w14:paraId="7DD1900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481</w:t>
            </w:r>
          </w:p>
        </w:tc>
        <w:tc>
          <w:tcPr>
            <w:tcW w:w="171" w:type="pct"/>
            <w:tcBorders>
              <w:top w:val="nil"/>
              <w:left w:val="nil"/>
              <w:bottom w:val="nil"/>
              <w:right w:val="nil"/>
            </w:tcBorders>
            <w:shd w:val="clear" w:color="auto" w:fill="auto"/>
            <w:noWrap/>
            <w:vAlign w:val="bottom"/>
            <w:hideMark/>
          </w:tcPr>
          <w:p w14:paraId="6B90079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10.8%</w:t>
            </w:r>
          </w:p>
        </w:tc>
        <w:tc>
          <w:tcPr>
            <w:tcW w:w="395" w:type="pct"/>
            <w:tcBorders>
              <w:top w:val="nil"/>
              <w:left w:val="nil"/>
              <w:bottom w:val="nil"/>
              <w:right w:val="single" w:sz="4" w:space="0" w:color="auto"/>
            </w:tcBorders>
            <w:shd w:val="clear" w:color="auto" w:fill="auto"/>
            <w:noWrap/>
            <w:vAlign w:val="bottom"/>
            <w:hideMark/>
          </w:tcPr>
          <w:p w14:paraId="0F7FCD3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1.18 (0.93,1.49)</w:t>
            </w:r>
          </w:p>
        </w:tc>
        <w:tc>
          <w:tcPr>
            <w:tcW w:w="128" w:type="pct"/>
            <w:tcBorders>
              <w:top w:val="nil"/>
              <w:left w:val="nil"/>
              <w:bottom w:val="nil"/>
              <w:right w:val="nil"/>
            </w:tcBorders>
            <w:shd w:val="clear" w:color="auto" w:fill="auto"/>
            <w:noWrap/>
            <w:vAlign w:val="bottom"/>
            <w:hideMark/>
          </w:tcPr>
          <w:p w14:paraId="34EFF0E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w:t>
            </w:r>
          </w:p>
        </w:tc>
        <w:tc>
          <w:tcPr>
            <w:tcW w:w="171" w:type="pct"/>
            <w:tcBorders>
              <w:top w:val="nil"/>
              <w:left w:val="nil"/>
              <w:bottom w:val="nil"/>
              <w:right w:val="nil"/>
            </w:tcBorders>
            <w:shd w:val="clear" w:color="auto" w:fill="auto"/>
            <w:noWrap/>
            <w:vAlign w:val="bottom"/>
            <w:hideMark/>
          </w:tcPr>
          <w:p w14:paraId="73FA6DF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w:t>
            </w:r>
          </w:p>
        </w:tc>
        <w:tc>
          <w:tcPr>
            <w:tcW w:w="416" w:type="pct"/>
            <w:tcBorders>
              <w:top w:val="nil"/>
              <w:left w:val="nil"/>
              <w:bottom w:val="nil"/>
              <w:right w:val="nil"/>
            </w:tcBorders>
            <w:shd w:val="clear" w:color="auto" w:fill="auto"/>
            <w:noWrap/>
            <w:vAlign w:val="bottom"/>
            <w:hideMark/>
          </w:tcPr>
          <w:p w14:paraId="6958991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0.37 (0.10,1.42)</w:t>
            </w:r>
          </w:p>
        </w:tc>
        <w:tc>
          <w:tcPr>
            <w:tcW w:w="128" w:type="pct"/>
            <w:tcBorders>
              <w:top w:val="nil"/>
              <w:left w:val="single" w:sz="4" w:space="0" w:color="auto"/>
              <w:bottom w:val="nil"/>
              <w:right w:val="nil"/>
            </w:tcBorders>
            <w:shd w:val="clear" w:color="auto" w:fill="auto"/>
            <w:noWrap/>
            <w:vAlign w:val="bottom"/>
            <w:hideMark/>
          </w:tcPr>
          <w:p w14:paraId="06F58F1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27</w:t>
            </w:r>
          </w:p>
        </w:tc>
        <w:tc>
          <w:tcPr>
            <w:tcW w:w="171" w:type="pct"/>
            <w:tcBorders>
              <w:top w:val="nil"/>
              <w:left w:val="nil"/>
              <w:bottom w:val="nil"/>
              <w:right w:val="nil"/>
            </w:tcBorders>
            <w:shd w:val="clear" w:color="auto" w:fill="auto"/>
            <w:noWrap/>
            <w:vAlign w:val="bottom"/>
            <w:hideMark/>
          </w:tcPr>
          <w:p w14:paraId="157E9A9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1.6%</w:t>
            </w:r>
          </w:p>
        </w:tc>
        <w:tc>
          <w:tcPr>
            <w:tcW w:w="416" w:type="pct"/>
            <w:tcBorders>
              <w:top w:val="nil"/>
              <w:left w:val="nil"/>
              <w:bottom w:val="nil"/>
              <w:right w:val="single" w:sz="4" w:space="0" w:color="auto"/>
            </w:tcBorders>
            <w:shd w:val="clear" w:color="auto" w:fill="auto"/>
            <w:noWrap/>
            <w:vAlign w:val="bottom"/>
            <w:hideMark/>
          </w:tcPr>
          <w:p w14:paraId="34FCEEF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0.87 (0.36,2.09)</w:t>
            </w:r>
          </w:p>
        </w:tc>
        <w:tc>
          <w:tcPr>
            <w:tcW w:w="128" w:type="pct"/>
            <w:tcBorders>
              <w:top w:val="nil"/>
              <w:left w:val="nil"/>
              <w:bottom w:val="nil"/>
              <w:right w:val="nil"/>
            </w:tcBorders>
            <w:shd w:val="clear" w:color="auto" w:fill="auto"/>
            <w:noWrap/>
            <w:vAlign w:val="bottom"/>
            <w:hideMark/>
          </w:tcPr>
          <w:p w14:paraId="6668535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8</w:t>
            </w:r>
          </w:p>
        </w:tc>
        <w:tc>
          <w:tcPr>
            <w:tcW w:w="171" w:type="pct"/>
            <w:tcBorders>
              <w:top w:val="nil"/>
              <w:left w:val="nil"/>
              <w:bottom w:val="nil"/>
              <w:right w:val="nil"/>
            </w:tcBorders>
            <w:shd w:val="clear" w:color="auto" w:fill="auto"/>
            <w:noWrap/>
            <w:vAlign w:val="bottom"/>
            <w:hideMark/>
          </w:tcPr>
          <w:p w14:paraId="4B523A1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5.1%</w:t>
            </w:r>
          </w:p>
        </w:tc>
        <w:tc>
          <w:tcPr>
            <w:tcW w:w="376" w:type="pct"/>
            <w:tcBorders>
              <w:top w:val="nil"/>
              <w:left w:val="nil"/>
              <w:bottom w:val="nil"/>
              <w:right w:val="nil"/>
            </w:tcBorders>
            <w:shd w:val="clear" w:color="auto" w:fill="auto"/>
            <w:noWrap/>
            <w:vAlign w:val="bottom"/>
            <w:hideMark/>
          </w:tcPr>
          <w:p w14:paraId="2C8BB6D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0.84 (0.36,1.96)</w:t>
            </w:r>
          </w:p>
        </w:tc>
        <w:tc>
          <w:tcPr>
            <w:tcW w:w="129" w:type="pct"/>
            <w:gridSpan w:val="2"/>
            <w:tcBorders>
              <w:top w:val="nil"/>
              <w:left w:val="single" w:sz="4" w:space="0" w:color="auto"/>
              <w:bottom w:val="nil"/>
              <w:right w:val="nil"/>
            </w:tcBorders>
            <w:shd w:val="clear" w:color="auto" w:fill="auto"/>
            <w:noWrap/>
            <w:vAlign w:val="bottom"/>
            <w:hideMark/>
          </w:tcPr>
          <w:p w14:paraId="06F1FCD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22</w:t>
            </w:r>
          </w:p>
        </w:tc>
        <w:tc>
          <w:tcPr>
            <w:tcW w:w="171" w:type="pct"/>
            <w:tcBorders>
              <w:top w:val="nil"/>
              <w:left w:val="nil"/>
              <w:bottom w:val="nil"/>
              <w:right w:val="nil"/>
            </w:tcBorders>
            <w:shd w:val="clear" w:color="auto" w:fill="auto"/>
            <w:noWrap/>
            <w:vAlign w:val="bottom"/>
            <w:hideMark/>
          </w:tcPr>
          <w:p w14:paraId="0C7DC0C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3.2%</w:t>
            </w:r>
          </w:p>
        </w:tc>
        <w:tc>
          <w:tcPr>
            <w:tcW w:w="379" w:type="pct"/>
            <w:tcBorders>
              <w:top w:val="nil"/>
              <w:left w:val="nil"/>
              <w:bottom w:val="nil"/>
              <w:right w:val="single" w:sz="4" w:space="0" w:color="auto"/>
            </w:tcBorders>
            <w:shd w:val="clear" w:color="auto" w:fill="auto"/>
            <w:noWrap/>
            <w:vAlign w:val="bottom"/>
            <w:hideMark/>
          </w:tcPr>
          <w:p w14:paraId="4F59C273" w14:textId="20C4DAB5"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3.12 (1.08,9.06)</w:t>
            </w:r>
          </w:p>
        </w:tc>
      </w:tr>
      <w:tr w:rsidR="00C65E8F" w:rsidRPr="00C65E8F" w14:paraId="7B4D5C2C"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3C1A0F9D"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4ED5D1DA"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Economically inactive</w:t>
            </w:r>
          </w:p>
        </w:tc>
        <w:tc>
          <w:tcPr>
            <w:tcW w:w="128" w:type="pct"/>
            <w:tcBorders>
              <w:top w:val="nil"/>
              <w:left w:val="single" w:sz="4" w:space="0" w:color="auto"/>
              <w:bottom w:val="nil"/>
              <w:right w:val="nil"/>
            </w:tcBorders>
            <w:shd w:val="clear" w:color="auto" w:fill="auto"/>
            <w:noWrap/>
            <w:vAlign w:val="bottom"/>
            <w:hideMark/>
          </w:tcPr>
          <w:p w14:paraId="7BE06D8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7</w:t>
            </w:r>
          </w:p>
        </w:tc>
        <w:tc>
          <w:tcPr>
            <w:tcW w:w="171" w:type="pct"/>
            <w:tcBorders>
              <w:top w:val="nil"/>
              <w:left w:val="nil"/>
              <w:bottom w:val="nil"/>
              <w:right w:val="nil"/>
            </w:tcBorders>
            <w:shd w:val="clear" w:color="auto" w:fill="auto"/>
            <w:noWrap/>
            <w:vAlign w:val="bottom"/>
            <w:hideMark/>
          </w:tcPr>
          <w:p w14:paraId="6BD71CB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26.8%</w:t>
            </w:r>
          </w:p>
        </w:tc>
        <w:tc>
          <w:tcPr>
            <w:tcW w:w="416" w:type="pct"/>
            <w:tcBorders>
              <w:top w:val="nil"/>
              <w:left w:val="nil"/>
              <w:bottom w:val="nil"/>
              <w:right w:val="nil"/>
            </w:tcBorders>
            <w:shd w:val="clear" w:color="auto" w:fill="auto"/>
            <w:noWrap/>
            <w:vAlign w:val="center"/>
            <w:hideMark/>
          </w:tcPr>
          <w:p w14:paraId="3674E9A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1.28 (0.42,3.90)</w:t>
            </w:r>
          </w:p>
        </w:tc>
        <w:tc>
          <w:tcPr>
            <w:tcW w:w="148" w:type="pct"/>
            <w:tcBorders>
              <w:top w:val="nil"/>
              <w:left w:val="single" w:sz="4" w:space="0" w:color="auto"/>
              <w:bottom w:val="nil"/>
              <w:right w:val="nil"/>
            </w:tcBorders>
            <w:shd w:val="clear" w:color="auto" w:fill="auto"/>
            <w:noWrap/>
            <w:vAlign w:val="bottom"/>
            <w:hideMark/>
          </w:tcPr>
          <w:p w14:paraId="3E34716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446</w:t>
            </w:r>
          </w:p>
        </w:tc>
        <w:tc>
          <w:tcPr>
            <w:tcW w:w="171" w:type="pct"/>
            <w:tcBorders>
              <w:top w:val="nil"/>
              <w:left w:val="nil"/>
              <w:bottom w:val="nil"/>
              <w:right w:val="nil"/>
            </w:tcBorders>
            <w:shd w:val="clear" w:color="auto" w:fill="auto"/>
            <w:noWrap/>
            <w:vAlign w:val="bottom"/>
            <w:hideMark/>
          </w:tcPr>
          <w:p w14:paraId="7CF0408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24.0%</w:t>
            </w:r>
          </w:p>
        </w:tc>
        <w:tc>
          <w:tcPr>
            <w:tcW w:w="395" w:type="pct"/>
            <w:tcBorders>
              <w:top w:val="nil"/>
              <w:left w:val="nil"/>
              <w:bottom w:val="nil"/>
              <w:right w:val="single" w:sz="4" w:space="0" w:color="auto"/>
            </w:tcBorders>
            <w:shd w:val="clear" w:color="auto" w:fill="auto"/>
            <w:noWrap/>
            <w:vAlign w:val="bottom"/>
            <w:hideMark/>
          </w:tcPr>
          <w:p w14:paraId="27E97F40" w14:textId="32C6FFA3"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1.86 (1.45,2.38)</w:t>
            </w:r>
          </w:p>
        </w:tc>
        <w:tc>
          <w:tcPr>
            <w:tcW w:w="128" w:type="pct"/>
            <w:tcBorders>
              <w:top w:val="nil"/>
              <w:left w:val="nil"/>
              <w:bottom w:val="nil"/>
              <w:right w:val="nil"/>
            </w:tcBorders>
            <w:shd w:val="clear" w:color="auto" w:fill="auto"/>
            <w:noWrap/>
            <w:vAlign w:val="bottom"/>
            <w:hideMark/>
          </w:tcPr>
          <w:p w14:paraId="43C370D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w:t>
            </w:r>
          </w:p>
        </w:tc>
        <w:tc>
          <w:tcPr>
            <w:tcW w:w="171" w:type="pct"/>
            <w:tcBorders>
              <w:top w:val="nil"/>
              <w:left w:val="nil"/>
              <w:bottom w:val="nil"/>
              <w:right w:val="nil"/>
            </w:tcBorders>
            <w:shd w:val="clear" w:color="auto" w:fill="auto"/>
            <w:noWrap/>
            <w:vAlign w:val="bottom"/>
            <w:hideMark/>
          </w:tcPr>
          <w:p w14:paraId="3BCE04D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15.8%</w:t>
            </w:r>
          </w:p>
        </w:tc>
        <w:tc>
          <w:tcPr>
            <w:tcW w:w="416" w:type="pct"/>
            <w:tcBorders>
              <w:top w:val="nil"/>
              <w:left w:val="nil"/>
              <w:bottom w:val="nil"/>
              <w:right w:val="nil"/>
            </w:tcBorders>
            <w:shd w:val="clear" w:color="auto" w:fill="auto"/>
            <w:noWrap/>
            <w:vAlign w:val="bottom"/>
            <w:hideMark/>
          </w:tcPr>
          <w:p w14:paraId="699B655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2.63 (0.41,16.79)</w:t>
            </w:r>
          </w:p>
        </w:tc>
        <w:tc>
          <w:tcPr>
            <w:tcW w:w="128" w:type="pct"/>
            <w:tcBorders>
              <w:top w:val="nil"/>
              <w:left w:val="single" w:sz="4" w:space="0" w:color="auto"/>
              <w:bottom w:val="nil"/>
              <w:right w:val="nil"/>
            </w:tcBorders>
            <w:shd w:val="clear" w:color="auto" w:fill="auto"/>
            <w:noWrap/>
            <w:vAlign w:val="bottom"/>
            <w:hideMark/>
          </w:tcPr>
          <w:p w14:paraId="098AD8C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47</w:t>
            </w:r>
          </w:p>
        </w:tc>
        <w:tc>
          <w:tcPr>
            <w:tcW w:w="171" w:type="pct"/>
            <w:tcBorders>
              <w:top w:val="nil"/>
              <w:left w:val="nil"/>
              <w:bottom w:val="nil"/>
              <w:right w:val="nil"/>
            </w:tcBorders>
            <w:shd w:val="clear" w:color="auto" w:fill="auto"/>
            <w:noWrap/>
            <w:vAlign w:val="bottom"/>
            <w:hideMark/>
          </w:tcPr>
          <w:p w14:paraId="2EAA0F0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8.4%</w:t>
            </w:r>
          </w:p>
        </w:tc>
        <w:tc>
          <w:tcPr>
            <w:tcW w:w="416" w:type="pct"/>
            <w:tcBorders>
              <w:top w:val="nil"/>
              <w:left w:val="nil"/>
              <w:bottom w:val="nil"/>
              <w:right w:val="single" w:sz="4" w:space="0" w:color="auto"/>
            </w:tcBorders>
            <w:shd w:val="clear" w:color="auto" w:fill="auto"/>
            <w:noWrap/>
            <w:vAlign w:val="bottom"/>
            <w:hideMark/>
          </w:tcPr>
          <w:p w14:paraId="4D101C45" w14:textId="62E6290B"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2.61 (1.34,5.10)</w:t>
            </w:r>
          </w:p>
        </w:tc>
        <w:tc>
          <w:tcPr>
            <w:tcW w:w="128" w:type="pct"/>
            <w:tcBorders>
              <w:top w:val="nil"/>
              <w:left w:val="nil"/>
              <w:bottom w:val="nil"/>
              <w:right w:val="nil"/>
            </w:tcBorders>
            <w:shd w:val="clear" w:color="auto" w:fill="auto"/>
            <w:noWrap/>
            <w:vAlign w:val="bottom"/>
            <w:hideMark/>
          </w:tcPr>
          <w:p w14:paraId="7E1965E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71" w:type="pct"/>
            <w:tcBorders>
              <w:top w:val="nil"/>
              <w:left w:val="nil"/>
              <w:bottom w:val="nil"/>
              <w:right w:val="nil"/>
            </w:tcBorders>
            <w:shd w:val="clear" w:color="auto" w:fill="auto"/>
            <w:noWrap/>
            <w:vAlign w:val="bottom"/>
            <w:hideMark/>
          </w:tcPr>
          <w:p w14:paraId="2F66F26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2.1%</w:t>
            </w:r>
          </w:p>
        </w:tc>
        <w:tc>
          <w:tcPr>
            <w:tcW w:w="376" w:type="pct"/>
            <w:tcBorders>
              <w:top w:val="nil"/>
              <w:left w:val="nil"/>
              <w:bottom w:val="nil"/>
              <w:right w:val="nil"/>
            </w:tcBorders>
            <w:shd w:val="clear" w:color="auto" w:fill="auto"/>
            <w:noWrap/>
            <w:vAlign w:val="bottom"/>
            <w:hideMark/>
          </w:tcPr>
          <w:p w14:paraId="1B6F6A1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0.21 (0.02,1.71)</w:t>
            </w:r>
          </w:p>
        </w:tc>
        <w:tc>
          <w:tcPr>
            <w:tcW w:w="129" w:type="pct"/>
            <w:gridSpan w:val="2"/>
            <w:tcBorders>
              <w:top w:val="nil"/>
              <w:left w:val="single" w:sz="4" w:space="0" w:color="auto"/>
              <w:bottom w:val="nil"/>
              <w:right w:val="nil"/>
            </w:tcBorders>
            <w:shd w:val="clear" w:color="auto" w:fill="auto"/>
            <w:noWrap/>
            <w:vAlign w:val="bottom"/>
            <w:hideMark/>
          </w:tcPr>
          <w:p w14:paraId="1C44A43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8</w:t>
            </w:r>
          </w:p>
        </w:tc>
        <w:tc>
          <w:tcPr>
            <w:tcW w:w="171" w:type="pct"/>
            <w:tcBorders>
              <w:top w:val="nil"/>
              <w:left w:val="nil"/>
              <w:bottom w:val="nil"/>
              <w:right w:val="nil"/>
            </w:tcBorders>
            <w:shd w:val="clear" w:color="auto" w:fill="auto"/>
            <w:noWrap/>
            <w:vAlign w:val="bottom"/>
            <w:hideMark/>
          </w:tcPr>
          <w:p w14:paraId="105C482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2.8%</w:t>
            </w:r>
          </w:p>
        </w:tc>
        <w:tc>
          <w:tcPr>
            <w:tcW w:w="379" w:type="pct"/>
            <w:tcBorders>
              <w:top w:val="nil"/>
              <w:left w:val="nil"/>
              <w:bottom w:val="nil"/>
              <w:right w:val="single" w:sz="4" w:space="0" w:color="auto"/>
            </w:tcBorders>
            <w:shd w:val="clear" w:color="auto" w:fill="auto"/>
            <w:noWrap/>
            <w:vAlign w:val="bottom"/>
            <w:hideMark/>
          </w:tcPr>
          <w:p w14:paraId="3F4954F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0.59 (0.17,2.12)</w:t>
            </w:r>
          </w:p>
        </w:tc>
      </w:tr>
      <w:tr w:rsidR="00C65E8F" w:rsidRPr="00C65E8F" w14:paraId="4E4FE034" w14:textId="77777777" w:rsidTr="00063136">
        <w:trPr>
          <w:trHeight w:val="222"/>
        </w:trPr>
        <w:tc>
          <w:tcPr>
            <w:tcW w:w="788" w:type="pct"/>
            <w:gridSpan w:val="2"/>
            <w:tcBorders>
              <w:top w:val="single" w:sz="4" w:space="0" w:color="auto"/>
              <w:left w:val="single" w:sz="4" w:space="0" w:color="auto"/>
              <w:bottom w:val="nil"/>
              <w:right w:val="nil"/>
            </w:tcBorders>
            <w:shd w:val="clear" w:color="auto" w:fill="auto"/>
            <w:noWrap/>
            <w:vAlign w:val="bottom"/>
            <w:hideMark/>
          </w:tcPr>
          <w:p w14:paraId="61D5F905" w14:textId="77777777" w:rsidR="00FD03FF" w:rsidRPr="00C65E8F" w:rsidRDefault="00FD03FF" w:rsidP="00FD03FF">
            <w:pPr>
              <w:spacing w:before="0" w:after="0"/>
              <w:rPr>
                <w:rFonts w:eastAsia="Times New Roman" w:cs="Times New Roman"/>
                <w:b/>
                <w:bCs/>
                <w:color w:val="000000"/>
                <w:sz w:val="12"/>
                <w:szCs w:val="16"/>
                <w:lang w:eastAsia="en-GB"/>
              </w:rPr>
            </w:pPr>
            <w:r w:rsidRPr="00C65E8F">
              <w:rPr>
                <w:rFonts w:eastAsia="Times New Roman" w:cs="Times New Roman"/>
                <w:b/>
                <w:bCs/>
                <w:color w:val="000000"/>
                <w:sz w:val="12"/>
                <w:szCs w:val="16"/>
                <w:lang w:eastAsia="en-GB"/>
              </w:rPr>
              <w:t>NSSEC grade (employed only)</w:t>
            </w:r>
          </w:p>
        </w:tc>
        <w:tc>
          <w:tcPr>
            <w:tcW w:w="128" w:type="pct"/>
            <w:tcBorders>
              <w:top w:val="single" w:sz="4" w:space="0" w:color="auto"/>
              <w:left w:val="single" w:sz="4" w:space="0" w:color="auto"/>
              <w:bottom w:val="nil"/>
              <w:right w:val="nil"/>
            </w:tcBorders>
            <w:shd w:val="clear" w:color="auto" w:fill="auto"/>
            <w:noWrap/>
            <w:vAlign w:val="bottom"/>
            <w:hideMark/>
          </w:tcPr>
          <w:p w14:paraId="68BF2A8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08CF649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416" w:type="pct"/>
            <w:tcBorders>
              <w:top w:val="single" w:sz="4" w:space="0" w:color="auto"/>
              <w:left w:val="nil"/>
              <w:bottom w:val="nil"/>
              <w:right w:val="nil"/>
            </w:tcBorders>
            <w:shd w:val="clear" w:color="auto" w:fill="auto"/>
            <w:noWrap/>
            <w:vAlign w:val="center"/>
            <w:hideMark/>
          </w:tcPr>
          <w:p w14:paraId="1752F61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48" w:type="pct"/>
            <w:tcBorders>
              <w:top w:val="single" w:sz="4" w:space="0" w:color="auto"/>
              <w:left w:val="single" w:sz="4" w:space="0" w:color="auto"/>
              <w:bottom w:val="nil"/>
              <w:right w:val="nil"/>
            </w:tcBorders>
            <w:shd w:val="clear" w:color="auto" w:fill="auto"/>
            <w:noWrap/>
            <w:vAlign w:val="bottom"/>
            <w:hideMark/>
          </w:tcPr>
          <w:p w14:paraId="64B8504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0DEDD32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395" w:type="pct"/>
            <w:tcBorders>
              <w:top w:val="single" w:sz="4" w:space="0" w:color="auto"/>
              <w:left w:val="nil"/>
              <w:bottom w:val="nil"/>
              <w:right w:val="single" w:sz="4" w:space="0" w:color="auto"/>
            </w:tcBorders>
            <w:shd w:val="clear" w:color="auto" w:fill="auto"/>
            <w:noWrap/>
            <w:vAlign w:val="bottom"/>
            <w:hideMark/>
          </w:tcPr>
          <w:p w14:paraId="77C91FB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8" w:type="pct"/>
            <w:tcBorders>
              <w:top w:val="single" w:sz="4" w:space="0" w:color="auto"/>
              <w:left w:val="nil"/>
              <w:bottom w:val="nil"/>
              <w:right w:val="nil"/>
            </w:tcBorders>
            <w:shd w:val="clear" w:color="auto" w:fill="auto"/>
            <w:noWrap/>
            <w:vAlign w:val="bottom"/>
            <w:hideMark/>
          </w:tcPr>
          <w:p w14:paraId="79D3301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35E980A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416" w:type="pct"/>
            <w:tcBorders>
              <w:top w:val="single" w:sz="4" w:space="0" w:color="auto"/>
              <w:left w:val="nil"/>
              <w:bottom w:val="nil"/>
              <w:right w:val="nil"/>
            </w:tcBorders>
            <w:shd w:val="clear" w:color="auto" w:fill="auto"/>
            <w:noWrap/>
            <w:vAlign w:val="bottom"/>
            <w:hideMark/>
          </w:tcPr>
          <w:p w14:paraId="59F988D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8" w:type="pct"/>
            <w:tcBorders>
              <w:top w:val="single" w:sz="4" w:space="0" w:color="auto"/>
              <w:left w:val="single" w:sz="4" w:space="0" w:color="auto"/>
              <w:bottom w:val="nil"/>
              <w:right w:val="nil"/>
            </w:tcBorders>
            <w:shd w:val="clear" w:color="auto" w:fill="auto"/>
            <w:noWrap/>
            <w:vAlign w:val="bottom"/>
            <w:hideMark/>
          </w:tcPr>
          <w:p w14:paraId="5502A75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61D9D61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416" w:type="pct"/>
            <w:tcBorders>
              <w:top w:val="single" w:sz="4" w:space="0" w:color="auto"/>
              <w:left w:val="nil"/>
              <w:bottom w:val="nil"/>
              <w:right w:val="single" w:sz="4" w:space="0" w:color="auto"/>
            </w:tcBorders>
            <w:shd w:val="clear" w:color="auto" w:fill="auto"/>
            <w:noWrap/>
            <w:vAlign w:val="bottom"/>
            <w:hideMark/>
          </w:tcPr>
          <w:p w14:paraId="7CF83B3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8" w:type="pct"/>
            <w:tcBorders>
              <w:top w:val="single" w:sz="4" w:space="0" w:color="auto"/>
              <w:left w:val="nil"/>
              <w:bottom w:val="nil"/>
              <w:right w:val="nil"/>
            </w:tcBorders>
            <w:shd w:val="clear" w:color="auto" w:fill="auto"/>
            <w:noWrap/>
            <w:vAlign w:val="bottom"/>
            <w:hideMark/>
          </w:tcPr>
          <w:p w14:paraId="5A05035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0D5E611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376" w:type="pct"/>
            <w:tcBorders>
              <w:top w:val="single" w:sz="4" w:space="0" w:color="auto"/>
              <w:left w:val="nil"/>
              <w:bottom w:val="nil"/>
              <w:right w:val="nil"/>
            </w:tcBorders>
            <w:shd w:val="clear" w:color="auto" w:fill="auto"/>
            <w:noWrap/>
            <w:vAlign w:val="bottom"/>
            <w:hideMark/>
          </w:tcPr>
          <w:p w14:paraId="78BFC7E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29" w:type="pct"/>
            <w:gridSpan w:val="2"/>
            <w:tcBorders>
              <w:top w:val="single" w:sz="4" w:space="0" w:color="auto"/>
              <w:left w:val="single" w:sz="4" w:space="0" w:color="auto"/>
              <w:bottom w:val="nil"/>
              <w:right w:val="nil"/>
            </w:tcBorders>
            <w:shd w:val="clear" w:color="auto" w:fill="auto"/>
            <w:noWrap/>
            <w:vAlign w:val="bottom"/>
            <w:hideMark/>
          </w:tcPr>
          <w:p w14:paraId="7065089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171" w:type="pct"/>
            <w:tcBorders>
              <w:top w:val="single" w:sz="4" w:space="0" w:color="auto"/>
              <w:left w:val="nil"/>
              <w:bottom w:val="nil"/>
              <w:right w:val="nil"/>
            </w:tcBorders>
            <w:shd w:val="clear" w:color="auto" w:fill="auto"/>
            <w:noWrap/>
            <w:vAlign w:val="bottom"/>
            <w:hideMark/>
          </w:tcPr>
          <w:p w14:paraId="6F0765B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379" w:type="pct"/>
            <w:tcBorders>
              <w:top w:val="single" w:sz="4" w:space="0" w:color="auto"/>
              <w:left w:val="nil"/>
              <w:bottom w:val="nil"/>
              <w:right w:val="single" w:sz="4" w:space="0" w:color="auto"/>
            </w:tcBorders>
            <w:shd w:val="clear" w:color="auto" w:fill="auto"/>
            <w:noWrap/>
            <w:vAlign w:val="bottom"/>
            <w:hideMark/>
          </w:tcPr>
          <w:p w14:paraId="09D5133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r>
      <w:tr w:rsidR="00C65E8F" w:rsidRPr="00C65E8F" w14:paraId="20A77B90"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69590AF2"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1805E0E0"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1: Managerial and Professional</w:t>
            </w:r>
          </w:p>
        </w:tc>
        <w:tc>
          <w:tcPr>
            <w:tcW w:w="128" w:type="pct"/>
            <w:tcBorders>
              <w:top w:val="nil"/>
              <w:left w:val="single" w:sz="4" w:space="0" w:color="auto"/>
              <w:bottom w:val="nil"/>
              <w:right w:val="nil"/>
            </w:tcBorders>
            <w:shd w:val="clear" w:color="auto" w:fill="auto"/>
            <w:noWrap/>
            <w:vAlign w:val="bottom"/>
            <w:hideMark/>
          </w:tcPr>
          <w:p w14:paraId="3490A7A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163</w:t>
            </w:r>
          </w:p>
        </w:tc>
        <w:tc>
          <w:tcPr>
            <w:tcW w:w="171" w:type="pct"/>
            <w:tcBorders>
              <w:top w:val="nil"/>
              <w:left w:val="nil"/>
              <w:bottom w:val="nil"/>
              <w:right w:val="nil"/>
            </w:tcBorders>
            <w:shd w:val="clear" w:color="auto" w:fill="auto"/>
            <w:noWrap/>
            <w:vAlign w:val="bottom"/>
            <w:hideMark/>
          </w:tcPr>
          <w:p w14:paraId="2C7B6C1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21.6%</w:t>
            </w:r>
          </w:p>
        </w:tc>
        <w:tc>
          <w:tcPr>
            <w:tcW w:w="416" w:type="pct"/>
            <w:tcBorders>
              <w:top w:val="nil"/>
              <w:left w:val="nil"/>
              <w:bottom w:val="nil"/>
              <w:right w:val="nil"/>
            </w:tcBorders>
            <w:shd w:val="clear" w:color="auto" w:fill="auto"/>
            <w:noWrap/>
            <w:vAlign w:val="center"/>
            <w:hideMark/>
          </w:tcPr>
          <w:p w14:paraId="15EE3BFF" w14:textId="24C4906F"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48" w:type="pct"/>
            <w:tcBorders>
              <w:top w:val="nil"/>
              <w:left w:val="single" w:sz="4" w:space="0" w:color="auto"/>
              <w:bottom w:val="nil"/>
              <w:right w:val="nil"/>
            </w:tcBorders>
            <w:shd w:val="clear" w:color="auto" w:fill="auto"/>
            <w:noWrap/>
            <w:vAlign w:val="bottom"/>
            <w:hideMark/>
          </w:tcPr>
          <w:p w14:paraId="6F805B5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1047</w:t>
            </w:r>
          </w:p>
        </w:tc>
        <w:tc>
          <w:tcPr>
            <w:tcW w:w="171" w:type="pct"/>
            <w:tcBorders>
              <w:top w:val="nil"/>
              <w:left w:val="nil"/>
              <w:bottom w:val="nil"/>
              <w:right w:val="nil"/>
            </w:tcBorders>
            <w:shd w:val="clear" w:color="auto" w:fill="auto"/>
            <w:noWrap/>
            <w:vAlign w:val="bottom"/>
            <w:hideMark/>
          </w:tcPr>
          <w:p w14:paraId="2A3DBB5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13.5%</w:t>
            </w:r>
          </w:p>
        </w:tc>
        <w:tc>
          <w:tcPr>
            <w:tcW w:w="395" w:type="pct"/>
            <w:tcBorders>
              <w:top w:val="nil"/>
              <w:left w:val="nil"/>
              <w:bottom w:val="nil"/>
              <w:right w:val="single" w:sz="4" w:space="0" w:color="auto"/>
            </w:tcBorders>
            <w:shd w:val="clear" w:color="auto" w:fill="auto"/>
            <w:noWrap/>
            <w:vAlign w:val="bottom"/>
            <w:hideMark/>
          </w:tcPr>
          <w:p w14:paraId="1D48565E" w14:textId="4063699D"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nil"/>
              <w:bottom w:val="nil"/>
              <w:right w:val="nil"/>
            </w:tcBorders>
            <w:shd w:val="clear" w:color="auto" w:fill="auto"/>
            <w:noWrap/>
            <w:vAlign w:val="bottom"/>
            <w:hideMark/>
          </w:tcPr>
          <w:p w14:paraId="7B26073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43</w:t>
            </w:r>
          </w:p>
        </w:tc>
        <w:tc>
          <w:tcPr>
            <w:tcW w:w="171" w:type="pct"/>
            <w:tcBorders>
              <w:top w:val="nil"/>
              <w:left w:val="nil"/>
              <w:bottom w:val="nil"/>
              <w:right w:val="nil"/>
            </w:tcBorders>
            <w:shd w:val="clear" w:color="auto" w:fill="auto"/>
            <w:noWrap/>
            <w:vAlign w:val="bottom"/>
            <w:hideMark/>
          </w:tcPr>
          <w:p w14:paraId="7CF0F77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5.5%</w:t>
            </w:r>
          </w:p>
        </w:tc>
        <w:tc>
          <w:tcPr>
            <w:tcW w:w="416" w:type="pct"/>
            <w:tcBorders>
              <w:top w:val="nil"/>
              <w:left w:val="nil"/>
              <w:bottom w:val="nil"/>
              <w:right w:val="nil"/>
            </w:tcBorders>
            <w:shd w:val="clear" w:color="auto" w:fill="auto"/>
            <w:noWrap/>
            <w:vAlign w:val="bottom"/>
            <w:hideMark/>
          </w:tcPr>
          <w:p w14:paraId="4351981F" w14:textId="26549E44"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single" w:sz="4" w:space="0" w:color="auto"/>
              <w:bottom w:val="nil"/>
              <w:right w:val="nil"/>
            </w:tcBorders>
            <w:shd w:val="clear" w:color="auto" w:fill="auto"/>
            <w:noWrap/>
            <w:vAlign w:val="bottom"/>
            <w:hideMark/>
          </w:tcPr>
          <w:p w14:paraId="2C45B0A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41</w:t>
            </w:r>
          </w:p>
        </w:tc>
        <w:tc>
          <w:tcPr>
            <w:tcW w:w="171" w:type="pct"/>
            <w:tcBorders>
              <w:top w:val="nil"/>
              <w:left w:val="nil"/>
              <w:bottom w:val="nil"/>
              <w:right w:val="nil"/>
            </w:tcBorders>
            <w:shd w:val="clear" w:color="auto" w:fill="auto"/>
            <w:noWrap/>
            <w:vAlign w:val="bottom"/>
            <w:hideMark/>
          </w:tcPr>
          <w:p w14:paraId="0896FD3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3.6%</w:t>
            </w:r>
          </w:p>
        </w:tc>
        <w:tc>
          <w:tcPr>
            <w:tcW w:w="416" w:type="pct"/>
            <w:tcBorders>
              <w:top w:val="nil"/>
              <w:left w:val="nil"/>
              <w:bottom w:val="nil"/>
              <w:right w:val="single" w:sz="4" w:space="0" w:color="auto"/>
            </w:tcBorders>
            <w:shd w:val="clear" w:color="auto" w:fill="auto"/>
            <w:noWrap/>
            <w:vAlign w:val="bottom"/>
            <w:hideMark/>
          </w:tcPr>
          <w:p w14:paraId="237DEFB1" w14:textId="4E0D18F5"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8" w:type="pct"/>
            <w:tcBorders>
              <w:top w:val="nil"/>
              <w:left w:val="nil"/>
              <w:bottom w:val="nil"/>
              <w:right w:val="nil"/>
            </w:tcBorders>
            <w:shd w:val="clear" w:color="auto" w:fill="auto"/>
            <w:noWrap/>
            <w:vAlign w:val="bottom"/>
            <w:hideMark/>
          </w:tcPr>
          <w:p w14:paraId="31612DA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75</w:t>
            </w:r>
          </w:p>
        </w:tc>
        <w:tc>
          <w:tcPr>
            <w:tcW w:w="171" w:type="pct"/>
            <w:tcBorders>
              <w:top w:val="nil"/>
              <w:left w:val="nil"/>
              <w:bottom w:val="nil"/>
              <w:right w:val="nil"/>
            </w:tcBorders>
            <w:shd w:val="clear" w:color="auto" w:fill="auto"/>
            <w:noWrap/>
            <w:vAlign w:val="bottom"/>
            <w:hideMark/>
          </w:tcPr>
          <w:p w14:paraId="7821E73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9.4%</w:t>
            </w:r>
          </w:p>
        </w:tc>
        <w:tc>
          <w:tcPr>
            <w:tcW w:w="376" w:type="pct"/>
            <w:tcBorders>
              <w:top w:val="nil"/>
              <w:left w:val="nil"/>
              <w:bottom w:val="nil"/>
              <w:right w:val="nil"/>
            </w:tcBorders>
            <w:shd w:val="clear" w:color="auto" w:fill="auto"/>
            <w:noWrap/>
            <w:vAlign w:val="bottom"/>
            <w:hideMark/>
          </w:tcPr>
          <w:p w14:paraId="47AF161F" w14:textId="31E4BFC6"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c>
          <w:tcPr>
            <w:tcW w:w="129" w:type="pct"/>
            <w:gridSpan w:val="2"/>
            <w:tcBorders>
              <w:top w:val="nil"/>
              <w:left w:val="single" w:sz="4" w:space="0" w:color="auto"/>
              <w:bottom w:val="nil"/>
              <w:right w:val="nil"/>
            </w:tcBorders>
            <w:shd w:val="clear" w:color="auto" w:fill="auto"/>
            <w:noWrap/>
            <w:vAlign w:val="bottom"/>
            <w:hideMark/>
          </w:tcPr>
          <w:p w14:paraId="22F07C8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40</w:t>
            </w:r>
          </w:p>
        </w:tc>
        <w:tc>
          <w:tcPr>
            <w:tcW w:w="171" w:type="pct"/>
            <w:tcBorders>
              <w:top w:val="nil"/>
              <w:left w:val="nil"/>
              <w:bottom w:val="nil"/>
              <w:right w:val="nil"/>
            </w:tcBorders>
            <w:shd w:val="clear" w:color="auto" w:fill="auto"/>
            <w:noWrap/>
            <w:vAlign w:val="bottom"/>
            <w:hideMark/>
          </w:tcPr>
          <w:p w14:paraId="7EE5212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3.7%</w:t>
            </w:r>
          </w:p>
        </w:tc>
        <w:tc>
          <w:tcPr>
            <w:tcW w:w="379" w:type="pct"/>
            <w:tcBorders>
              <w:top w:val="nil"/>
              <w:left w:val="nil"/>
              <w:bottom w:val="nil"/>
              <w:right w:val="single" w:sz="4" w:space="0" w:color="auto"/>
            </w:tcBorders>
            <w:shd w:val="clear" w:color="auto" w:fill="auto"/>
            <w:noWrap/>
            <w:vAlign w:val="bottom"/>
            <w:hideMark/>
          </w:tcPr>
          <w:p w14:paraId="3735A92A" w14:textId="5417EBDB" w:rsidR="00FD03FF" w:rsidRPr="00C65E8F" w:rsidRDefault="005939B7"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w:t>
            </w:r>
          </w:p>
        </w:tc>
      </w:tr>
      <w:tr w:rsidR="00C65E8F" w:rsidRPr="00C65E8F" w14:paraId="298958D3"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543C0BD8"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1E9F30B7"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2: Intermediate</w:t>
            </w:r>
          </w:p>
        </w:tc>
        <w:tc>
          <w:tcPr>
            <w:tcW w:w="128" w:type="pct"/>
            <w:tcBorders>
              <w:top w:val="nil"/>
              <w:left w:val="single" w:sz="4" w:space="0" w:color="auto"/>
              <w:bottom w:val="nil"/>
              <w:right w:val="nil"/>
            </w:tcBorders>
            <w:shd w:val="clear" w:color="auto" w:fill="auto"/>
            <w:noWrap/>
            <w:vAlign w:val="bottom"/>
            <w:hideMark/>
          </w:tcPr>
          <w:p w14:paraId="5C1CAEC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107</w:t>
            </w:r>
          </w:p>
        </w:tc>
        <w:tc>
          <w:tcPr>
            <w:tcW w:w="171" w:type="pct"/>
            <w:tcBorders>
              <w:top w:val="nil"/>
              <w:left w:val="nil"/>
              <w:bottom w:val="nil"/>
              <w:right w:val="nil"/>
            </w:tcBorders>
            <w:shd w:val="clear" w:color="auto" w:fill="auto"/>
            <w:noWrap/>
            <w:vAlign w:val="bottom"/>
            <w:hideMark/>
          </w:tcPr>
          <w:p w14:paraId="5368E686"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23.3%</w:t>
            </w:r>
          </w:p>
        </w:tc>
        <w:tc>
          <w:tcPr>
            <w:tcW w:w="416" w:type="pct"/>
            <w:tcBorders>
              <w:top w:val="nil"/>
              <w:left w:val="nil"/>
              <w:bottom w:val="nil"/>
              <w:right w:val="nil"/>
            </w:tcBorders>
            <w:shd w:val="clear" w:color="auto" w:fill="auto"/>
            <w:noWrap/>
            <w:vAlign w:val="center"/>
            <w:hideMark/>
          </w:tcPr>
          <w:p w14:paraId="7A60764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1.05 (0.74,1.49)</w:t>
            </w:r>
          </w:p>
        </w:tc>
        <w:tc>
          <w:tcPr>
            <w:tcW w:w="148" w:type="pct"/>
            <w:tcBorders>
              <w:top w:val="nil"/>
              <w:left w:val="single" w:sz="4" w:space="0" w:color="auto"/>
              <w:bottom w:val="nil"/>
              <w:right w:val="nil"/>
            </w:tcBorders>
            <w:shd w:val="clear" w:color="auto" w:fill="auto"/>
            <w:noWrap/>
            <w:vAlign w:val="bottom"/>
            <w:hideMark/>
          </w:tcPr>
          <w:p w14:paraId="61A736B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331</w:t>
            </w:r>
          </w:p>
        </w:tc>
        <w:tc>
          <w:tcPr>
            <w:tcW w:w="171" w:type="pct"/>
            <w:tcBorders>
              <w:top w:val="nil"/>
              <w:left w:val="nil"/>
              <w:bottom w:val="nil"/>
              <w:right w:val="nil"/>
            </w:tcBorders>
            <w:shd w:val="clear" w:color="auto" w:fill="auto"/>
            <w:noWrap/>
            <w:vAlign w:val="bottom"/>
            <w:hideMark/>
          </w:tcPr>
          <w:p w14:paraId="66EB2D7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15.4%</w:t>
            </w:r>
          </w:p>
        </w:tc>
        <w:tc>
          <w:tcPr>
            <w:tcW w:w="395" w:type="pct"/>
            <w:tcBorders>
              <w:top w:val="nil"/>
              <w:left w:val="nil"/>
              <w:bottom w:val="nil"/>
              <w:right w:val="single" w:sz="4" w:space="0" w:color="auto"/>
            </w:tcBorders>
            <w:shd w:val="clear" w:color="auto" w:fill="auto"/>
            <w:noWrap/>
            <w:vAlign w:val="bottom"/>
            <w:hideMark/>
          </w:tcPr>
          <w:p w14:paraId="673B713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1.13 (0.90,1.42)</w:t>
            </w:r>
          </w:p>
        </w:tc>
        <w:tc>
          <w:tcPr>
            <w:tcW w:w="128" w:type="pct"/>
            <w:tcBorders>
              <w:top w:val="nil"/>
              <w:left w:val="nil"/>
              <w:bottom w:val="nil"/>
              <w:right w:val="nil"/>
            </w:tcBorders>
            <w:shd w:val="clear" w:color="auto" w:fill="auto"/>
            <w:noWrap/>
            <w:vAlign w:val="bottom"/>
            <w:hideMark/>
          </w:tcPr>
          <w:p w14:paraId="6E74108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32</w:t>
            </w:r>
          </w:p>
        </w:tc>
        <w:tc>
          <w:tcPr>
            <w:tcW w:w="171" w:type="pct"/>
            <w:tcBorders>
              <w:top w:val="nil"/>
              <w:left w:val="nil"/>
              <w:bottom w:val="nil"/>
              <w:right w:val="nil"/>
            </w:tcBorders>
            <w:shd w:val="clear" w:color="auto" w:fill="auto"/>
            <w:noWrap/>
            <w:vAlign w:val="bottom"/>
            <w:hideMark/>
          </w:tcPr>
          <w:p w14:paraId="75AB871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6.7%</w:t>
            </w:r>
          </w:p>
        </w:tc>
        <w:tc>
          <w:tcPr>
            <w:tcW w:w="416" w:type="pct"/>
            <w:tcBorders>
              <w:top w:val="nil"/>
              <w:left w:val="nil"/>
              <w:bottom w:val="nil"/>
              <w:right w:val="nil"/>
            </w:tcBorders>
            <w:shd w:val="clear" w:color="auto" w:fill="auto"/>
            <w:noWrap/>
            <w:vAlign w:val="bottom"/>
            <w:hideMark/>
          </w:tcPr>
          <w:p w14:paraId="506ACBC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1.12 (0.61,2.07)</w:t>
            </w:r>
          </w:p>
        </w:tc>
        <w:tc>
          <w:tcPr>
            <w:tcW w:w="128" w:type="pct"/>
            <w:tcBorders>
              <w:top w:val="nil"/>
              <w:left w:val="single" w:sz="4" w:space="0" w:color="auto"/>
              <w:bottom w:val="nil"/>
              <w:right w:val="nil"/>
            </w:tcBorders>
            <w:shd w:val="clear" w:color="auto" w:fill="auto"/>
            <w:noWrap/>
            <w:vAlign w:val="bottom"/>
            <w:hideMark/>
          </w:tcPr>
          <w:p w14:paraId="2C18A1A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20</w:t>
            </w:r>
          </w:p>
        </w:tc>
        <w:tc>
          <w:tcPr>
            <w:tcW w:w="171" w:type="pct"/>
            <w:tcBorders>
              <w:top w:val="nil"/>
              <w:left w:val="nil"/>
              <w:bottom w:val="nil"/>
              <w:right w:val="nil"/>
            </w:tcBorders>
            <w:shd w:val="clear" w:color="auto" w:fill="auto"/>
            <w:noWrap/>
            <w:vAlign w:val="bottom"/>
            <w:hideMark/>
          </w:tcPr>
          <w:p w14:paraId="47FF6AE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2.2%</w:t>
            </w:r>
          </w:p>
        </w:tc>
        <w:tc>
          <w:tcPr>
            <w:tcW w:w="416" w:type="pct"/>
            <w:tcBorders>
              <w:top w:val="nil"/>
              <w:left w:val="nil"/>
              <w:bottom w:val="nil"/>
              <w:right w:val="single" w:sz="4" w:space="0" w:color="auto"/>
            </w:tcBorders>
            <w:shd w:val="clear" w:color="auto" w:fill="auto"/>
            <w:noWrap/>
            <w:vAlign w:val="bottom"/>
            <w:hideMark/>
          </w:tcPr>
          <w:p w14:paraId="2CB3E4F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0.56 (0.20,1.55)</w:t>
            </w:r>
          </w:p>
        </w:tc>
        <w:tc>
          <w:tcPr>
            <w:tcW w:w="128" w:type="pct"/>
            <w:tcBorders>
              <w:top w:val="nil"/>
              <w:left w:val="nil"/>
              <w:bottom w:val="nil"/>
              <w:right w:val="nil"/>
            </w:tcBorders>
            <w:shd w:val="clear" w:color="auto" w:fill="auto"/>
            <w:noWrap/>
            <w:vAlign w:val="bottom"/>
            <w:hideMark/>
          </w:tcPr>
          <w:p w14:paraId="0C63F6E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37</w:t>
            </w:r>
          </w:p>
        </w:tc>
        <w:tc>
          <w:tcPr>
            <w:tcW w:w="171" w:type="pct"/>
            <w:tcBorders>
              <w:top w:val="nil"/>
              <w:left w:val="nil"/>
              <w:bottom w:val="nil"/>
              <w:right w:val="nil"/>
            </w:tcBorders>
            <w:shd w:val="clear" w:color="auto" w:fill="auto"/>
            <w:noWrap/>
            <w:vAlign w:val="bottom"/>
            <w:hideMark/>
          </w:tcPr>
          <w:p w14:paraId="7202E815"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9.4%</w:t>
            </w:r>
          </w:p>
        </w:tc>
        <w:tc>
          <w:tcPr>
            <w:tcW w:w="376" w:type="pct"/>
            <w:tcBorders>
              <w:top w:val="nil"/>
              <w:left w:val="nil"/>
              <w:bottom w:val="nil"/>
              <w:right w:val="nil"/>
            </w:tcBorders>
            <w:shd w:val="clear" w:color="auto" w:fill="auto"/>
            <w:noWrap/>
            <w:vAlign w:val="bottom"/>
            <w:hideMark/>
          </w:tcPr>
          <w:p w14:paraId="748E5F5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0.91 (0.54,1.54)</w:t>
            </w:r>
          </w:p>
        </w:tc>
        <w:tc>
          <w:tcPr>
            <w:tcW w:w="129" w:type="pct"/>
            <w:gridSpan w:val="2"/>
            <w:tcBorders>
              <w:top w:val="nil"/>
              <w:left w:val="single" w:sz="4" w:space="0" w:color="auto"/>
              <w:bottom w:val="nil"/>
              <w:right w:val="nil"/>
            </w:tcBorders>
            <w:shd w:val="clear" w:color="auto" w:fill="auto"/>
            <w:noWrap/>
            <w:vAlign w:val="bottom"/>
            <w:hideMark/>
          </w:tcPr>
          <w:p w14:paraId="14ED8F2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9</w:t>
            </w:r>
          </w:p>
        </w:tc>
        <w:tc>
          <w:tcPr>
            <w:tcW w:w="171" w:type="pct"/>
            <w:tcBorders>
              <w:top w:val="nil"/>
              <w:left w:val="nil"/>
              <w:bottom w:val="nil"/>
              <w:right w:val="nil"/>
            </w:tcBorders>
            <w:shd w:val="clear" w:color="auto" w:fill="auto"/>
            <w:noWrap/>
            <w:vAlign w:val="bottom"/>
            <w:hideMark/>
          </w:tcPr>
          <w:p w14:paraId="7899F50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4.2%</w:t>
            </w:r>
          </w:p>
        </w:tc>
        <w:tc>
          <w:tcPr>
            <w:tcW w:w="379" w:type="pct"/>
            <w:tcBorders>
              <w:top w:val="nil"/>
              <w:left w:val="nil"/>
              <w:bottom w:val="nil"/>
              <w:right w:val="single" w:sz="4" w:space="0" w:color="auto"/>
            </w:tcBorders>
            <w:shd w:val="clear" w:color="auto" w:fill="auto"/>
            <w:noWrap/>
            <w:vAlign w:val="bottom"/>
            <w:hideMark/>
          </w:tcPr>
          <w:p w14:paraId="455A054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1.16 (0.41,3.31)</w:t>
            </w:r>
          </w:p>
        </w:tc>
      </w:tr>
      <w:tr w:rsidR="00C65E8F" w:rsidRPr="00C65E8F" w14:paraId="1FADE1F2"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15215CF0"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3BF72533"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3: Small and own employers</w:t>
            </w:r>
          </w:p>
        </w:tc>
        <w:tc>
          <w:tcPr>
            <w:tcW w:w="128" w:type="pct"/>
            <w:tcBorders>
              <w:top w:val="nil"/>
              <w:left w:val="single" w:sz="4" w:space="0" w:color="auto"/>
              <w:bottom w:val="nil"/>
              <w:right w:val="nil"/>
            </w:tcBorders>
            <w:shd w:val="clear" w:color="auto" w:fill="auto"/>
            <w:noWrap/>
            <w:vAlign w:val="bottom"/>
            <w:hideMark/>
          </w:tcPr>
          <w:p w14:paraId="135AF05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20</w:t>
            </w:r>
          </w:p>
        </w:tc>
        <w:tc>
          <w:tcPr>
            <w:tcW w:w="171" w:type="pct"/>
            <w:tcBorders>
              <w:top w:val="nil"/>
              <w:left w:val="nil"/>
              <w:bottom w:val="nil"/>
              <w:right w:val="nil"/>
            </w:tcBorders>
            <w:shd w:val="clear" w:color="auto" w:fill="auto"/>
            <w:noWrap/>
            <w:vAlign w:val="bottom"/>
            <w:hideMark/>
          </w:tcPr>
          <w:p w14:paraId="22C3192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18.3%</w:t>
            </w:r>
          </w:p>
        </w:tc>
        <w:tc>
          <w:tcPr>
            <w:tcW w:w="416" w:type="pct"/>
            <w:tcBorders>
              <w:top w:val="nil"/>
              <w:left w:val="nil"/>
              <w:bottom w:val="nil"/>
              <w:right w:val="nil"/>
            </w:tcBorders>
            <w:shd w:val="clear" w:color="auto" w:fill="auto"/>
            <w:noWrap/>
            <w:vAlign w:val="center"/>
            <w:hideMark/>
          </w:tcPr>
          <w:p w14:paraId="31A8444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0.76 (0.39,1.46)</w:t>
            </w:r>
          </w:p>
        </w:tc>
        <w:tc>
          <w:tcPr>
            <w:tcW w:w="148" w:type="pct"/>
            <w:tcBorders>
              <w:top w:val="nil"/>
              <w:left w:val="single" w:sz="4" w:space="0" w:color="auto"/>
              <w:bottom w:val="nil"/>
              <w:right w:val="nil"/>
            </w:tcBorders>
            <w:shd w:val="clear" w:color="auto" w:fill="auto"/>
            <w:noWrap/>
            <w:vAlign w:val="bottom"/>
            <w:hideMark/>
          </w:tcPr>
          <w:p w14:paraId="1F4F6B1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197</w:t>
            </w:r>
          </w:p>
        </w:tc>
        <w:tc>
          <w:tcPr>
            <w:tcW w:w="171" w:type="pct"/>
            <w:tcBorders>
              <w:top w:val="nil"/>
              <w:left w:val="nil"/>
              <w:bottom w:val="nil"/>
              <w:right w:val="nil"/>
            </w:tcBorders>
            <w:shd w:val="clear" w:color="auto" w:fill="auto"/>
            <w:noWrap/>
            <w:vAlign w:val="bottom"/>
            <w:hideMark/>
          </w:tcPr>
          <w:p w14:paraId="44CB7C3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12.4%</w:t>
            </w:r>
          </w:p>
        </w:tc>
        <w:tc>
          <w:tcPr>
            <w:tcW w:w="395" w:type="pct"/>
            <w:tcBorders>
              <w:top w:val="nil"/>
              <w:left w:val="nil"/>
              <w:bottom w:val="nil"/>
              <w:right w:val="single" w:sz="4" w:space="0" w:color="auto"/>
            </w:tcBorders>
            <w:shd w:val="clear" w:color="auto" w:fill="auto"/>
            <w:noWrap/>
            <w:vAlign w:val="bottom"/>
            <w:hideMark/>
          </w:tcPr>
          <w:p w14:paraId="4D69FCD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0.95 (0.75,1.19)</w:t>
            </w:r>
          </w:p>
        </w:tc>
        <w:tc>
          <w:tcPr>
            <w:tcW w:w="128" w:type="pct"/>
            <w:tcBorders>
              <w:top w:val="nil"/>
              <w:left w:val="nil"/>
              <w:bottom w:val="nil"/>
              <w:right w:val="nil"/>
            </w:tcBorders>
            <w:shd w:val="clear" w:color="auto" w:fill="auto"/>
            <w:noWrap/>
            <w:vAlign w:val="bottom"/>
            <w:hideMark/>
          </w:tcPr>
          <w:p w14:paraId="76148A6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w:t>
            </w:r>
          </w:p>
        </w:tc>
        <w:tc>
          <w:tcPr>
            <w:tcW w:w="171" w:type="pct"/>
            <w:tcBorders>
              <w:top w:val="nil"/>
              <w:left w:val="nil"/>
              <w:bottom w:val="nil"/>
              <w:right w:val="nil"/>
            </w:tcBorders>
            <w:shd w:val="clear" w:color="auto" w:fill="auto"/>
            <w:noWrap/>
            <w:vAlign w:val="bottom"/>
            <w:hideMark/>
          </w:tcPr>
          <w:p w14:paraId="0D0F9A1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6.8%</w:t>
            </w:r>
          </w:p>
        </w:tc>
        <w:tc>
          <w:tcPr>
            <w:tcW w:w="416" w:type="pct"/>
            <w:tcBorders>
              <w:top w:val="nil"/>
              <w:left w:val="nil"/>
              <w:bottom w:val="nil"/>
              <w:right w:val="nil"/>
            </w:tcBorders>
            <w:shd w:val="clear" w:color="auto" w:fill="auto"/>
            <w:noWrap/>
            <w:vAlign w:val="bottom"/>
            <w:hideMark/>
          </w:tcPr>
          <w:p w14:paraId="2A9849F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1.09 (0.46,2.59)</w:t>
            </w:r>
          </w:p>
        </w:tc>
        <w:tc>
          <w:tcPr>
            <w:tcW w:w="128" w:type="pct"/>
            <w:tcBorders>
              <w:top w:val="nil"/>
              <w:left w:val="single" w:sz="4" w:space="0" w:color="auto"/>
              <w:bottom w:val="nil"/>
              <w:right w:val="nil"/>
            </w:tcBorders>
            <w:shd w:val="clear" w:color="auto" w:fill="auto"/>
            <w:noWrap/>
            <w:vAlign w:val="bottom"/>
            <w:hideMark/>
          </w:tcPr>
          <w:p w14:paraId="2F5B47A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14</w:t>
            </w:r>
          </w:p>
        </w:tc>
        <w:tc>
          <w:tcPr>
            <w:tcW w:w="171" w:type="pct"/>
            <w:tcBorders>
              <w:top w:val="nil"/>
              <w:left w:val="nil"/>
              <w:bottom w:val="nil"/>
              <w:right w:val="nil"/>
            </w:tcBorders>
            <w:shd w:val="clear" w:color="auto" w:fill="auto"/>
            <w:noWrap/>
            <w:vAlign w:val="bottom"/>
            <w:hideMark/>
          </w:tcPr>
          <w:p w14:paraId="5BD7A15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2.8%</w:t>
            </w:r>
          </w:p>
        </w:tc>
        <w:tc>
          <w:tcPr>
            <w:tcW w:w="416" w:type="pct"/>
            <w:tcBorders>
              <w:top w:val="nil"/>
              <w:left w:val="nil"/>
              <w:bottom w:val="nil"/>
              <w:right w:val="single" w:sz="4" w:space="0" w:color="auto"/>
            </w:tcBorders>
            <w:shd w:val="clear" w:color="auto" w:fill="auto"/>
            <w:noWrap/>
            <w:vAlign w:val="bottom"/>
            <w:hideMark/>
          </w:tcPr>
          <w:p w14:paraId="7A56374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0.69 (0.26,1.83)</w:t>
            </w:r>
          </w:p>
        </w:tc>
        <w:tc>
          <w:tcPr>
            <w:tcW w:w="128" w:type="pct"/>
            <w:tcBorders>
              <w:top w:val="nil"/>
              <w:left w:val="nil"/>
              <w:bottom w:val="nil"/>
              <w:right w:val="nil"/>
            </w:tcBorders>
            <w:shd w:val="clear" w:color="auto" w:fill="auto"/>
            <w:noWrap/>
            <w:vAlign w:val="bottom"/>
            <w:hideMark/>
          </w:tcPr>
          <w:p w14:paraId="5892F44F"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13</w:t>
            </w:r>
          </w:p>
        </w:tc>
        <w:tc>
          <w:tcPr>
            <w:tcW w:w="171" w:type="pct"/>
            <w:tcBorders>
              <w:top w:val="nil"/>
              <w:left w:val="nil"/>
              <w:bottom w:val="nil"/>
              <w:right w:val="nil"/>
            </w:tcBorders>
            <w:shd w:val="clear" w:color="auto" w:fill="auto"/>
            <w:noWrap/>
            <w:vAlign w:val="bottom"/>
            <w:hideMark/>
          </w:tcPr>
          <w:p w14:paraId="18B354F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12.2%</w:t>
            </w:r>
          </w:p>
        </w:tc>
        <w:tc>
          <w:tcPr>
            <w:tcW w:w="376" w:type="pct"/>
            <w:tcBorders>
              <w:top w:val="nil"/>
              <w:left w:val="nil"/>
              <w:bottom w:val="nil"/>
              <w:right w:val="nil"/>
            </w:tcBorders>
            <w:shd w:val="clear" w:color="auto" w:fill="auto"/>
            <w:noWrap/>
            <w:vAlign w:val="bottom"/>
            <w:hideMark/>
          </w:tcPr>
          <w:p w14:paraId="32D0430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1.17 (0.52,2.66)</w:t>
            </w:r>
          </w:p>
        </w:tc>
        <w:tc>
          <w:tcPr>
            <w:tcW w:w="129" w:type="pct"/>
            <w:gridSpan w:val="2"/>
            <w:tcBorders>
              <w:top w:val="nil"/>
              <w:left w:val="single" w:sz="4" w:space="0" w:color="auto"/>
              <w:bottom w:val="nil"/>
              <w:right w:val="nil"/>
            </w:tcBorders>
            <w:shd w:val="clear" w:color="auto" w:fill="auto"/>
            <w:noWrap/>
            <w:vAlign w:val="bottom"/>
            <w:hideMark/>
          </w:tcPr>
          <w:p w14:paraId="7AA84A9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18</w:t>
            </w:r>
          </w:p>
        </w:tc>
        <w:tc>
          <w:tcPr>
            <w:tcW w:w="171" w:type="pct"/>
            <w:tcBorders>
              <w:top w:val="nil"/>
              <w:left w:val="nil"/>
              <w:bottom w:val="nil"/>
              <w:right w:val="nil"/>
            </w:tcBorders>
            <w:shd w:val="clear" w:color="auto" w:fill="auto"/>
            <w:noWrap/>
            <w:vAlign w:val="bottom"/>
            <w:hideMark/>
          </w:tcPr>
          <w:p w14:paraId="2541938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7.6%</w:t>
            </w:r>
          </w:p>
        </w:tc>
        <w:tc>
          <w:tcPr>
            <w:tcW w:w="379" w:type="pct"/>
            <w:tcBorders>
              <w:top w:val="nil"/>
              <w:left w:val="nil"/>
              <w:bottom w:val="nil"/>
              <w:right w:val="single" w:sz="4" w:space="0" w:color="auto"/>
            </w:tcBorders>
            <w:shd w:val="clear" w:color="auto" w:fill="auto"/>
            <w:noWrap/>
            <w:vAlign w:val="bottom"/>
            <w:hideMark/>
          </w:tcPr>
          <w:p w14:paraId="5FC4E5B9" w14:textId="3B071ACF"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2.32 (1.03,5.23)</w:t>
            </w:r>
          </w:p>
        </w:tc>
      </w:tr>
      <w:tr w:rsidR="00C65E8F" w:rsidRPr="00C65E8F" w14:paraId="0F8B624E"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6CC1BE6E"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5FB360AB"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4: Lower supervisory &amp; technical</w:t>
            </w:r>
          </w:p>
        </w:tc>
        <w:tc>
          <w:tcPr>
            <w:tcW w:w="128" w:type="pct"/>
            <w:tcBorders>
              <w:top w:val="nil"/>
              <w:left w:val="single" w:sz="4" w:space="0" w:color="auto"/>
              <w:bottom w:val="nil"/>
              <w:right w:val="nil"/>
            </w:tcBorders>
            <w:shd w:val="clear" w:color="auto" w:fill="auto"/>
            <w:noWrap/>
            <w:vAlign w:val="bottom"/>
            <w:hideMark/>
          </w:tcPr>
          <w:p w14:paraId="7F9070B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32</w:t>
            </w:r>
          </w:p>
        </w:tc>
        <w:tc>
          <w:tcPr>
            <w:tcW w:w="171" w:type="pct"/>
            <w:tcBorders>
              <w:top w:val="nil"/>
              <w:left w:val="nil"/>
              <w:bottom w:val="nil"/>
              <w:right w:val="nil"/>
            </w:tcBorders>
            <w:shd w:val="clear" w:color="auto" w:fill="auto"/>
            <w:noWrap/>
            <w:vAlign w:val="bottom"/>
            <w:hideMark/>
          </w:tcPr>
          <w:p w14:paraId="6341DCB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20.6%</w:t>
            </w:r>
          </w:p>
        </w:tc>
        <w:tc>
          <w:tcPr>
            <w:tcW w:w="416" w:type="pct"/>
            <w:tcBorders>
              <w:top w:val="nil"/>
              <w:left w:val="nil"/>
              <w:bottom w:val="nil"/>
              <w:right w:val="nil"/>
            </w:tcBorders>
            <w:shd w:val="clear" w:color="auto" w:fill="auto"/>
            <w:noWrap/>
            <w:vAlign w:val="center"/>
            <w:hideMark/>
          </w:tcPr>
          <w:p w14:paraId="70BD8BE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0.87 (0.50,1.49)</w:t>
            </w:r>
          </w:p>
        </w:tc>
        <w:tc>
          <w:tcPr>
            <w:tcW w:w="148" w:type="pct"/>
            <w:tcBorders>
              <w:top w:val="nil"/>
              <w:left w:val="single" w:sz="4" w:space="0" w:color="auto"/>
              <w:bottom w:val="nil"/>
              <w:right w:val="nil"/>
            </w:tcBorders>
            <w:shd w:val="clear" w:color="auto" w:fill="auto"/>
            <w:noWrap/>
            <w:vAlign w:val="bottom"/>
            <w:hideMark/>
          </w:tcPr>
          <w:p w14:paraId="32AE2AC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125</w:t>
            </w:r>
          </w:p>
        </w:tc>
        <w:tc>
          <w:tcPr>
            <w:tcW w:w="171" w:type="pct"/>
            <w:tcBorders>
              <w:top w:val="nil"/>
              <w:left w:val="nil"/>
              <w:bottom w:val="nil"/>
              <w:right w:val="nil"/>
            </w:tcBorders>
            <w:shd w:val="clear" w:color="auto" w:fill="auto"/>
            <w:noWrap/>
            <w:vAlign w:val="bottom"/>
            <w:hideMark/>
          </w:tcPr>
          <w:p w14:paraId="5EAC4EA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10.0%</w:t>
            </w:r>
          </w:p>
        </w:tc>
        <w:tc>
          <w:tcPr>
            <w:tcW w:w="395" w:type="pct"/>
            <w:tcBorders>
              <w:top w:val="nil"/>
              <w:left w:val="nil"/>
              <w:bottom w:val="nil"/>
              <w:right w:val="single" w:sz="4" w:space="0" w:color="auto"/>
            </w:tcBorders>
            <w:shd w:val="clear" w:color="auto" w:fill="auto"/>
            <w:noWrap/>
            <w:vAlign w:val="bottom"/>
            <w:hideMark/>
          </w:tcPr>
          <w:p w14:paraId="1351B974" w14:textId="1A9C54DD"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0.72 (0.54,0.95)</w:t>
            </w:r>
          </w:p>
        </w:tc>
        <w:tc>
          <w:tcPr>
            <w:tcW w:w="128" w:type="pct"/>
            <w:tcBorders>
              <w:top w:val="nil"/>
              <w:left w:val="nil"/>
              <w:bottom w:val="nil"/>
              <w:right w:val="nil"/>
            </w:tcBorders>
            <w:shd w:val="clear" w:color="auto" w:fill="auto"/>
            <w:noWrap/>
            <w:vAlign w:val="bottom"/>
            <w:hideMark/>
          </w:tcPr>
          <w:p w14:paraId="414462B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13</w:t>
            </w:r>
          </w:p>
        </w:tc>
        <w:tc>
          <w:tcPr>
            <w:tcW w:w="171" w:type="pct"/>
            <w:tcBorders>
              <w:top w:val="nil"/>
              <w:left w:val="nil"/>
              <w:bottom w:val="nil"/>
              <w:right w:val="nil"/>
            </w:tcBorders>
            <w:shd w:val="clear" w:color="auto" w:fill="auto"/>
            <w:noWrap/>
            <w:vAlign w:val="bottom"/>
            <w:hideMark/>
          </w:tcPr>
          <w:p w14:paraId="778CF76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9.8%</w:t>
            </w:r>
          </w:p>
        </w:tc>
        <w:tc>
          <w:tcPr>
            <w:tcW w:w="416" w:type="pct"/>
            <w:tcBorders>
              <w:top w:val="nil"/>
              <w:left w:val="nil"/>
              <w:bottom w:val="nil"/>
              <w:right w:val="nil"/>
            </w:tcBorders>
            <w:shd w:val="clear" w:color="auto" w:fill="auto"/>
            <w:noWrap/>
            <w:vAlign w:val="bottom"/>
            <w:hideMark/>
          </w:tcPr>
          <w:p w14:paraId="75FCF9B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1.56 (0.66,3.66)</w:t>
            </w:r>
          </w:p>
        </w:tc>
        <w:tc>
          <w:tcPr>
            <w:tcW w:w="128" w:type="pct"/>
            <w:tcBorders>
              <w:top w:val="nil"/>
              <w:left w:val="single" w:sz="4" w:space="0" w:color="auto"/>
              <w:bottom w:val="nil"/>
              <w:right w:val="nil"/>
            </w:tcBorders>
            <w:shd w:val="clear" w:color="auto" w:fill="auto"/>
            <w:noWrap/>
            <w:vAlign w:val="bottom"/>
            <w:hideMark/>
          </w:tcPr>
          <w:p w14:paraId="0505020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w:t>
            </w:r>
          </w:p>
        </w:tc>
        <w:tc>
          <w:tcPr>
            <w:tcW w:w="171" w:type="pct"/>
            <w:tcBorders>
              <w:top w:val="nil"/>
              <w:left w:val="nil"/>
              <w:bottom w:val="nil"/>
              <w:right w:val="nil"/>
            </w:tcBorders>
            <w:shd w:val="clear" w:color="auto" w:fill="auto"/>
            <w:noWrap/>
            <w:vAlign w:val="bottom"/>
            <w:hideMark/>
          </w:tcPr>
          <w:p w14:paraId="2C2C907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1.7%</w:t>
            </w:r>
          </w:p>
        </w:tc>
        <w:tc>
          <w:tcPr>
            <w:tcW w:w="416" w:type="pct"/>
            <w:tcBorders>
              <w:top w:val="nil"/>
              <w:left w:val="nil"/>
              <w:bottom w:val="nil"/>
              <w:right w:val="single" w:sz="4" w:space="0" w:color="auto"/>
            </w:tcBorders>
            <w:shd w:val="clear" w:color="auto" w:fill="auto"/>
            <w:noWrap/>
            <w:vAlign w:val="bottom"/>
            <w:hideMark/>
          </w:tcPr>
          <w:p w14:paraId="44AE82E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0.46 (0.11,2.04)</w:t>
            </w:r>
          </w:p>
        </w:tc>
        <w:tc>
          <w:tcPr>
            <w:tcW w:w="128" w:type="pct"/>
            <w:tcBorders>
              <w:top w:val="nil"/>
              <w:left w:val="nil"/>
              <w:bottom w:val="nil"/>
              <w:right w:val="nil"/>
            </w:tcBorders>
            <w:shd w:val="clear" w:color="auto" w:fill="auto"/>
            <w:noWrap/>
            <w:vAlign w:val="bottom"/>
            <w:hideMark/>
          </w:tcPr>
          <w:p w14:paraId="75E11D8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21</w:t>
            </w:r>
          </w:p>
        </w:tc>
        <w:tc>
          <w:tcPr>
            <w:tcW w:w="171" w:type="pct"/>
            <w:tcBorders>
              <w:top w:val="nil"/>
              <w:left w:val="nil"/>
              <w:bottom w:val="nil"/>
              <w:right w:val="nil"/>
            </w:tcBorders>
            <w:shd w:val="clear" w:color="auto" w:fill="auto"/>
            <w:noWrap/>
            <w:vAlign w:val="bottom"/>
            <w:hideMark/>
          </w:tcPr>
          <w:p w14:paraId="5835B72D"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16.8%</w:t>
            </w:r>
          </w:p>
        </w:tc>
        <w:tc>
          <w:tcPr>
            <w:tcW w:w="376" w:type="pct"/>
            <w:tcBorders>
              <w:top w:val="nil"/>
              <w:left w:val="nil"/>
              <w:bottom w:val="nil"/>
              <w:right w:val="nil"/>
            </w:tcBorders>
            <w:shd w:val="clear" w:color="auto" w:fill="auto"/>
            <w:noWrap/>
            <w:vAlign w:val="bottom"/>
            <w:hideMark/>
          </w:tcPr>
          <w:p w14:paraId="1FC126F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1.61 (0.84,3.07)</w:t>
            </w:r>
          </w:p>
        </w:tc>
        <w:tc>
          <w:tcPr>
            <w:tcW w:w="129" w:type="pct"/>
            <w:gridSpan w:val="2"/>
            <w:tcBorders>
              <w:top w:val="nil"/>
              <w:left w:val="single" w:sz="4" w:space="0" w:color="auto"/>
              <w:bottom w:val="nil"/>
              <w:right w:val="nil"/>
            </w:tcBorders>
            <w:shd w:val="clear" w:color="auto" w:fill="auto"/>
            <w:noWrap/>
            <w:vAlign w:val="bottom"/>
            <w:hideMark/>
          </w:tcPr>
          <w:p w14:paraId="5000C7F7"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w:t>
            </w:r>
          </w:p>
        </w:tc>
        <w:tc>
          <w:tcPr>
            <w:tcW w:w="171" w:type="pct"/>
            <w:tcBorders>
              <w:top w:val="nil"/>
              <w:left w:val="nil"/>
              <w:bottom w:val="nil"/>
              <w:right w:val="nil"/>
            </w:tcBorders>
            <w:shd w:val="clear" w:color="auto" w:fill="auto"/>
            <w:noWrap/>
            <w:vAlign w:val="bottom"/>
            <w:hideMark/>
          </w:tcPr>
          <w:p w14:paraId="490440B2"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8.4%</w:t>
            </w:r>
          </w:p>
        </w:tc>
        <w:tc>
          <w:tcPr>
            <w:tcW w:w="379" w:type="pct"/>
            <w:tcBorders>
              <w:top w:val="nil"/>
              <w:left w:val="nil"/>
              <w:bottom w:val="nil"/>
              <w:right w:val="single" w:sz="4" w:space="0" w:color="auto"/>
            </w:tcBorders>
            <w:shd w:val="clear" w:color="auto" w:fill="auto"/>
            <w:noWrap/>
            <w:vAlign w:val="bottom"/>
            <w:hideMark/>
          </w:tcPr>
          <w:p w14:paraId="4332D111" w14:textId="0FD1767E"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2.28 (0.92,5.67)</w:t>
            </w:r>
          </w:p>
        </w:tc>
      </w:tr>
      <w:tr w:rsidR="00C65E8F" w:rsidRPr="00C65E8F" w14:paraId="5797F1CF" w14:textId="77777777" w:rsidTr="00063136">
        <w:trPr>
          <w:trHeight w:val="222"/>
        </w:trPr>
        <w:tc>
          <w:tcPr>
            <w:tcW w:w="195" w:type="pct"/>
            <w:tcBorders>
              <w:top w:val="nil"/>
              <w:left w:val="single" w:sz="4" w:space="0" w:color="auto"/>
              <w:bottom w:val="nil"/>
              <w:right w:val="nil"/>
            </w:tcBorders>
            <w:shd w:val="clear" w:color="auto" w:fill="auto"/>
            <w:noWrap/>
            <w:vAlign w:val="bottom"/>
            <w:hideMark/>
          </w:tcPr>
          <w:p w14:paraId="7146F7BD"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 </w:t>
            </w:r>
          </w:p>
        </w:tc>
        <w:tc>
          <w:tcPr>
            <w:tcW w:w="593" w:type="pct"/>
            <w:tcBorders>
              <w:top w:val="nil"/>
              <w:left w:val="nil"/>
              <w:bottom w:val="nil"/>
              <w:right w:val="nil"/>
            </w:tcBorders>
            <w:shd w:val="clear" w:color="auto" w:fill="auto"/>
            <w:noWrap/>
            <w:vAlign w:val="bottom"/>
            <w:hideMark/>
          </w:tcPr>
          <w:p w14:paraId="4A9B10B6" w14:textId="77777777" w:rsidR="00FD03FF" w:rsidRPr="00C65E8F" w:rsidRDefault="00FD03FF" w:rsidP="00FD03FF">
            <w:pPr>
              <w:spacing w:before="0" w:after="0"/>
              <w:rPr>
                <w:rFonts w:eastAsia="Times New Roman" w:cs="Times New Roman"/>
                <w:color w:val="000000"/>
                <w:sz w:val="12"/>
                <w:szCs w:val="16"/>
                <w:lang w:eastAsia="en-GB"/>
              </w:rPr>
            </w:pPr>
            <w:r w:rsidRPr="00C65E8F">
              <w:rPr>
                <w:rFonts w:eastAsia="Times New Roman" w:cs="Times New Roman"/>
                <w:color w:val="000000"/>
                <w:sz w:val="12"/>
                <w:szCs w:val="16"/>
                <w:lang w:eastAsia="en-GB"/>
              </w:rPr>
              <w:t>5: Semi-routine/routine</w:t>
            </w:r>
          </w:p>
        </w:tc>
        <w:tc>
          <w:tcPr>
            <w:tcW w:w="128" w:type="pct"/>
            <w:tcBorders>
              <w:top w:val="nil"/>
              <w:left w:val="single" w:sz="4" w:space="0" w:color="auto"/>
              <w:bottom w:val="single" w:sz="4" w:space="0" w:color="auto"/>
              <w:right w:val="nil"/>
            </w:tcBorders>
            <w:shd w:val="clear" w:color="auto" w:fill="auto"/>
            <w:noWrap/>
            <w:vAlign w:val="bottom"/>
            <w:hideMark/>
          </w:tcPr>
          <w:p w14:paraId="39DCE41E"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110</w:t>
            </w:r>
          </w:p>
        </w:tc>
        <w:tc>
          <w:tcPr>
            <w:tcW w:w="171" w:type="pct"/>
            <w:tcBorders>
              <w:top w:val="nil"/>
              <w:left w:val="nil"/>
              <w:bottom w:val="single" w:sz="4" w:space="0" w:color="auto"/>
              <w:right w:val="nil"/>
            </w:tcBorders>
            <w:shd w:val="clear" w:color="auto" w:fill="auto"/>
            <w:noWrap/>
            <w:vAlign w:val="bottom"/>
            <w:hideMark/>
          </w:tcPr>
          <w:p w14:paraId="6A28301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21.6%</w:t>
            </w:r>
          </w:p>
        </w:tc>
        <w:tc>
          <w:tcPr>
            <w:tcW w:w="416" w:type="pct"/>
            <w:tcBorders>
              <w:top w:val="nil"/>
              <w:left w:val="nil"/>
              <w:bottom w:val="single" w:sz="4" w:space="0" w:color="auto"/>
              <w:right w:val="nil"/>
            </w:tcBorders>
            <w:shd w:val="clear" w:color="auto" w:fill="auto"/>
            <w:noWrap/>
            <w:vAlign w:val="center"/>
            <w:hideMark/>
          </w:tcPr>
          <w:p w14:paraId="22CA7A8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0.93 (0.66,1.32)</w:t>
            </w:r>
          </w:p>
        </w:tc>
        <w:tc>
          <w:tcPr>
            <w:tcW w:w="148" w:type="pct"/>
            <w:tcBorders>
              <w:top w:val="nil"/>
              <w:left w:val="single" w:sz="4" w:space="0" w:color="auto"/>
              <w:bottom w:val="single" w:sz="4" w:space="0" w:color="auto"/>
              <w:right w:val="nil"/>
            </w:tcBorders>
            <w:shd w:val="clear" w:color="auto" w:fill="auto"/>
            <w:noWrap/>
            <w:vAlign w:val="bottom"/>
            <w:hideMark/>
          </w:tcPr>
          <w:p w14:paraId="4CCAD359"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554</w:t>
            </w:r>
          </w:p>
        </w:tc>
        <w:tc>
          <w:tcPr>
            <w:tcW w:w="171" w:type="pct"/>
            <w:tcBorders>
              <w:top w:val="nil"/>
              <w:left w:val="nil"/>
              <w:bottom w:val="single" w:sz="4" w:space="0" w:color="auto"/>
              <w:right w:val="nil"/>
            </w:tcBorders>
            <w:shd w:val="clear" w:color="auto" w:fill="auto"/>
            <w:noWrap/>
            <w:vAlign w:val="bottom"/>
            <w:hideMark/>
          </w:tcPr>
          <w:p w14:paraId="1C1ADC6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13.3%</w:t>
            </w:r>
          </w:p>
        </w:tc>
        <w:tc>
          <w:tcPr>
            <w:tcW w:w="395" w:type="pct"/>
            <w:tcBorders>
              <w:top w:val="nil"/>
              <w:left w:val="nil"/>
              <w:bottom w:val="single" w:sz="4" w:space="0" w:color="auto"/>
              <w:right w:val="single" w:sz="4" w:space="0" w:color="auto"/>
            </w:tcBorders>
            <w:shd w:val="clear" w:color="auto" w:fill="auto"/>
            <w:noWrap/>
            <w:vAlign w:val="bottom"/>
            <w:hideMark/>
          </w:tcPr>
          <w:p w14:paraId="4D86BB9A"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0.97 (0.81,1.16)</w:t>
            </w:r>
          </w:p>
        </w:tc>
        <w:tc>
          <w:tcPr>
            <w:tcW w:w="128" w:type="pct"/>
            <w:tcBorders>
              <w:top w:val="nil"/>
              <w:left w:val="nil"/>
              <w:bottom w:val="single" w:sz="4" w:space="0" w:color="auto"/>
              <w:right w:val="nil"/>
            </w:tcBorders>
            <w:shd w:val="clear" w:color="auto" w:fill="auto"/>
            <w:noWrap/>
            <w:vAlign w:val="bottom"/>
            <w:hideMark/>
          </w:tcPr>
          <w:p w14:paraId="44D7EEC4"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51</w:t>
            </w:r>
          </w:p>
        </w:tc>
        <w:tc>
          <w:tcPr>
            <w:tcW w:w="171" w:type="pct"/>
            <w:tcBorders>
              <w:top w:val="nil"/>
              <w:left w:val="nil"/>
              <w:bottom w:val="single" w:sz="4" w:space="0" w:color="auto"/>
              <w:right w:val="nil"/>
            </w:tcBorders>
            <w:shd w:val="clear" w:color="auto" w:fill="auto"/>
            <w:noWrap/>
            <w:vAlign w:val="bottom"/>
            <w:hideMark/>
          </w:tcPr>
          <w:p w14:paraId="2AEFBDA8"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10.9%</w:t>
            </w:r>
          </w:p>
        </w:tc>
        <w:tc>
          <w:tcPr>
            <w:tcW w:w="416" w:type="pct"/>
            <w:tcBorders>
              <w:top w:val="nil"/>
              <w:left w:val="nil"/>
              <w:bottom w:val="single" w:sz="4" w:space="0" w:color="auto"/>
              <w:right w:val="nil"/>
            </w:tcBorders>
            <w:shd w:val="clear" w:color="auto" w:fill="auto"/>
            <w:noWrap/>
            <w:vAlign w:val="bottom"/>
            <w:hideMark/>
          </w:tcPr>
          <w:p w14:paraId="4A4B9173" w14:textId="71BB88FA"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1.68 (0.95,2.98)</w:t>
            </w:r>
          </w:p>
        </w:tc>
        <w:tc>
          <w:tcPr>
            <w:tcW w:w="128" w:type="pct"/>
            <w:tcBorders>
              <w:top w:val="nil"/>
              <w:left w:val="single" w:sz="4" w:space="0" w:color="auto"/>
              <w:bottom w:val="single" w:sz="4" w:space="0" w:color="auto"/>
              <w:right w:val="nil"/>
            </w:tcBorders>
            <w:shd w:val="clear" w:color="auto" w:fill="auto"/>
            <w:noWrap/>
            <w:vAlign w:val="bottom"/>
            <w:hideMark/>
          </w:tcPr>
          <w:p w14:paraId="5017C43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53</w:t>
            </w:r>
          </w:p>
        </w:tc>
        <w:tc>
          <w:tcPr>
            <w:tcW w:w="171" w:type="pct"/>
            <w:tcBorders>
              <w:top w:val="nil"/>
              <w:left w:val="nil"/>
              <w:bottom w:val="single" w:sz="4" w:space="0" w:color="auto"/>
              <w:right w:val="nil"/>
            </w:tcBorders>
            <w:shd w:val="clear" w:color="auto" w:fill="auto"/>
            <w:noWrap/>
            <w:vAlign w:val="bottom"/>
            <w:hideMark/>
          </w:tcPr>
          <w:p w14:paraId="3ACE565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6.1%</w:t>
            </w:r>
          </w:p>
        </w:tc>
        <w:tc>
          <w:tcPr>
            <w:tcW w:w="416" w:type="pct"/>
            <w:tcBorders>
              <w:top w:val="nil"/>
              <w:left w:val="nil"/>
              <w:bottom w:val="single" w:sz="4" w:space="0" w:color="auto"/>
              <w:right w:val="single" w:sz="4" w:space="0" w:color="auto"/>
            </w:tcBorders>
            <w:shd w:val="clear" w:color="auto" w:fill="auto"/>
            <w:noWrap/>
            <w:vAlign w:val="bottom"/>
            <w:hideMark/>
          </w:tcPr>
          <w:p w14:paraId="18D3B0A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1.6 (0.79,3.23)</w:t>
            </w:r>
          </w:p>
        </w:tc>
        <w:tc>
          <w:tcPr>
            <w:tcW w:w="128" w:type="pct"/>
            <w:tcBorders>
              <w:top w:val="nil"/>
              <w:left w:val="nil"/>
              <w:bottom w:val="single" w:sz="4" w:space="0" w:color="auto"/>
              <w:right w:val="nil"/>
            </w:tcBorders>
            <w:shd w:val="clear" w:color="auto" w:fill="auto"/>
            <w:noWrap/>
            <w:vAlign w:val="bottom"/>
            <w:hideMark/>
          </w:tcPr>
          <w:p w14:paraId="0C2C0CF3"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47</w:t>
            </w:r>
          </w:p>
        </w:tc>
        <w:tc>
          <w:tcPr>
            <w:tcW w:w="171" w:type="pct"/>
            <w:tcBorders>
              <w:top w:val="nil"/>
              <w:left w:val="nil"/>
              <w:bottom w:val="single" w:sz="4" w:space="0" w:color="auto"/>
              <w:right w:val="nil"/>
            </w:tcBorders>
            <w:shd w:val="clear" w:color="auto" w:fill="auto"/>
            <w:noWrap/>
            <w:vAlign w:val="bottom"/>
            <w:hideMark/>
          </w:tcPr>
          <w:p w14:paraId="10F96E7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11.8%</w:t>
            </w:r>
          </w:p>
        </w:tc>
        <w:tc>
          <w:tcPr>
            <w:tcW w:w="376" w:type="pct"/>
            <w:tcBorders>
              <w:top w:val="nil"/>
              <w:left w:val="nil"/>
              <w:bottom w:val="single" w:sz="4" w:space="0" w:color="auto"/>
              <w:right w:val="nil"/>
            </w:tcBorders>
            <w:shd w:val="clear" w:color="auto" w:fill="auto"/>
            <w:noWrap/>
            <w:vAlign w:val="bottom"/>
            <w:hideMark/>
          </w:tcPr>
          <w:p w14:paraId="4C0EA650"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1.13 (0.70,1.83)</w:t>
            </w:r>
          </w:p>
        </w:tc>
        <w:tc>
          <w:tcPr>
            <w:tcW w:w="129" w:type="pct"/>
            <w:gridSpan w:val="2"/>
            <w:tcBorders>
              <w:top w:val="nil"/>
              <w:left w:val="single" w:sz="4" w:space="0" w:color="auto"/>
              <w:bottom w:val="single" w:sz="4" w:space="0" w:color="auto"/>
              <w:right w:val="nil"/>
            </w:tcBorders>
            <w:shd w:val="clear" w:color="auto" w:fill="auto"/>
            <w:noWrap/>
            <w:vAlign w:val="bottom"/>
            <w:hideMark/>
          </w:tcPr>
          <w:p w14:paraId="690F2CEB"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26</w:t>
            </w:r>
          </w:p>
        </w:tc>
        <w:tc>
          <w:tcPr>
            <w:tcW w:w="171" w:type="pct"/>
            <w:tcBorders>
              <w:top w:val="nil"/>
              <w:left w:val="nil"/>
              <w:bottom w:val="single" w:sz="4" w:space="0" w:color="auto"/>
              <w:right w:val="nil"/>
            </w:tcBorders>
            <w:shd w:val="clear" w:color="auto" w:fill="auto"/>
            <w:noWrap/>
            <w:vAlign w:val="bottom"/>
            <w:hideMark/>
          </w:tcPr>
          <w:p w14:paraId="063B15C1"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6.2%</w:t>
            </w:r>
          </w:p>
        </w:tc>
        <w:tc>
          <w:tcPr>
            <w:tcW w:w="379" w:type="pct"/>
            <w:tcBorders>
              <w:top w:val="nil"/>
              <w:left w:val="nil"/>
              <w:bottom w:val="single" w:sz="4" w:space="0" w:color="auto"/>
              <w:right w:val="single" w:sz="4" w:space="0" w:color="auto"/>
            </w:tcBorders>
            <w:shd w:val="clear" w:color="auto" w:fill="auto"/>
            <w:noWrap/>
            <w:vAlign w:val="bottom"/>
            <w:hideMark/>
          </w:tcPr>
          <w:p w14:paraId="23BE538C" w14:textId="77777777" w:rsidR="00FD03FF" w:rsidRPr="00C65E8F" w:rsidRDefault="00FD03FF" w:rsidP="00FD03FF">
            <w:pPr>
              <w:spacing w:before="0" w:after="0"/>
              <w:jc w:val="center"/>
              <w:rPr>
                <w:rFonts w:eastAsia="Times New Roman" w:cs="Times New Roman"/>
                <w:color w:val="000000"/>
                <w:sz w:val="12"/>
                <w:szCs w:val="16"/>
                <w:lang w:eastAsia="en-GB"/>
              </w:rPr>
            </w:pPr>
            <w:r w:rsidRPr="00C65E8F">
              <w:rPr>
                <w:rFonts w:eastAsia="Times New Roman" w:cs="Times New Roman"/>
                <w:color w:val="000000"/>
                <w:sz w:val="12"/>
                <w:szCs w:val="16"/>
                <w:lang w:eastAsia="en-GB"/>
              </w:rPr>
              <w:t>1.65 (0.84,3.27)</w:t>
            </w:r>
          </w:p>
        </w:tc>
      </w:tr>
      <w:tr w:rsidR="00C65E8F" w:rsidRPr="00C65E8F" w14:paraId="7366ECD3" w14:textId="77777777" w:rsidTr="00063136">
        <w:trPr>
          <w:trHeight w:val="222"/>
        </w:trPr>
        <w:tc>
          <w:tcPr>
            <w:tcW w:w="788" w:type="pct"/>
            <w:gridSpan w:val="2"/>
            <w:tcBorders>
              <w:top w:val="single" w:sz="4" w:space="0" w:color="auto"/>
              <w:left w:val="nil"/>
              <w:bottom w:val="nil"/>
              <w:right w:val="nil"/>
            </w:tcBorders>
            <w:shd w:val="clear" w:color="auto" w:fill="auto"/>
            <w:noWrap/>
            <w:vAlign w:val="bottom"/>
            <w:hideMark/>
          </w:tcPr>
          <w:p w14:paraId="7B2464C4" w14:textId="77777777" w:rsidR="00FD03FF" w:rsidRPr="00C65E8F" w:rsidRDefault="00FD03FF" w:rsidP="00FD03FF">
            <w:pPr>
              <w:spacing w:before="0" w:after="0"/>
              <w:rPr>
                <w:rFonts w:eastAsia="Times New Roman" w:cs="Times New Roman"/>
                <w:i/>
                <w:iCs/>
                <w:color w:val="000000"/>
                <w:sz w:val="12"/>
                <w:szCs w:val="16"/>
                <w:lang w:eastAsia="en-GB"/>
              </w:rPr>
            </w:pPr>
            <w:r w:rsidRPr="00C65E8F">
              <w:rPr>
                <w:rFonts w:eastAsia="Times New Roman" w:cs="Times New Roman"/>
                <w:i/>
                <w:iCs/>
                <w:color w:val="000000"/>
                <w:sz w:val="12"/>
                <w:szCs w:val="16"/>
                <w:lang w:eastAsia="en-GB"/>
              </w:rPr>
              <w:t>AOR = adjusted for age and gender</w:t>
            </w:r>
          </w:p>
        </w:tc>
        <w:tc>
          <w:tcPr>
            <w:tcW w:w="128" w:type="pct"/>
            <w:tcBorders>
              <w:top w:val="nil"/>
              <w:left w:val="nil"/>
              <w:bottom w:val="nil"/>
              <w:right w:val="nil"/>
            </w:tcBorders>
            <w:shd w:val="clear" w:color="auto" w:fill="auto"/>
            <w:noWrap/>
            <w:vAlign w:val="bottom"/>
            <w:hideMark/>
          </w:tcPr>
          <w:p w14:paraId="3E3AB9DA" w14:textId="77777777" w:rsidR="00FD03FF" w:rsidRPr="00C65E8F" w:rsidRDefault="00FD03FF" w:rsidP="00FD03FF">
            <w:pPr>
              <w:spacing w:before="0" w:after="0"/>
              <w:rPr>
                <w:rFonts w:eastAsia="Times New Roman" w:cs="Times New Roman"/>
                <w:i/>
                <w:iCs/>
                <w:color w:val="000000"/>
                <w:sz w:val="12"/>
                <w:szCs w:val="16"/>
                <w:lang w:eastAsia="en-GB"/>
              </w:rPr>
            </w:pPr>
            <w:r w:rsidRPr="00C65E8F">
              <w:rPr>
                <w:rFonts w:eastAsia="Times New Roman" w:cs="Times New Roman"/>
                <w:i/>
                <w:iCs/>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6DF8A367" w14:textId="77777777" w:rsidR="00FD03FF" w:rsidRPr="00C65E8F" w:rsidRDefault="00FD03FF" w:rsidP="00FD03FF">
            <w:pPr>
              <w:spacing w:before="0" w:after="0"/>
              <w:rPr>
                <w:rFonts w:eastAsia="Times New Roman" w:cs="Times New Roman"/>
                <w:i/>
                <w:iCs/>
                <w:color w:val="000000"/>
                <w:sz w:val="12"/>
                <w:szCs w:val="16"/>
                <w:lang w:eastAsia="en-GB"/>
              </w:rPr>
            </w:pPr>
            <w:r w:rsidRPr="00C65E8F">
              <w:rPr>
                <w:rFonts w:eastAsia="Times New Roman" w:cs="Times New Roman"/>
                <w:i/>
                <w:iCs/>
                <w:color w:val="000000"/>
                <w:sz w:val="12"/>
                <w:szCs w:val="16"/>
                <w:lang w:eastAsia="en-GB"/>
              </w:rPr>
              <w:t> </w:t>
            </w:r>
          </w:p>
        </w:tc>
        <w:tc>
          <w:tcPr>
            <w:tcW w:w="416" w:type="pct"/>
            <w:tcBorders>
              <w:top w:val="nil"/>
              <w:left w:val="nil"/>
              <w:bottom w:val="nil"/>
              <w:right w:val="nil"/>
            </w:tcBorders>
            <w:shd w:val="clear" w:color="auto" w:fill="auto"/>
            <w:noWrap/>
            <w:vAlign w:val="bottom"/>
            <w:hideMark/>
          </w:tcPr>
          <w:p w14:paraId="76A1A3FF" w14:textId="77777777" w:rsidR="00FD03FF" w:rsidRPr="00C65E8F" w:rsidRDefault="00FD03FF" w:rsidP="00FD03FF">
            <w:pPr>
              <w:spacing w:before="0" w:after="0"/>
              <w:rPr>
                <w:rFonts w:eastAsia="Times New Roman" w:cs="Times New Roman"/>
                <w:i/>
                <w:iCs/>
                <w:color w:val="000000"/>
                <w:sz w:val="12"/>
                <w:szCs w:val="16"/>
                <w:lang w:eastAsia="en-GB"/>
              </w:rPr>
            </w:pPr>
            <w:r w:rsidRPr="00C65E8F">
              <w:rPr>
                <w:rFonts w:eastAsia="Times New Roman" w:cs="Times New Roman"/>
                <w:i/>
                <w:iCs/>
                <w:color w:val="000000"/>
                <w:sz w:val="12"/>
                <w:szCs w:val="16"/>
                <w:lang w:eastAsia="en-GB"/>
              </w:rPr>
              <w:t> </w:t>
            </w:r>
          </w:p>
        </w:tc>
        <w:tc>
          <w:tcPr>
            <w:tcW w:w="148" w:type="pct"/>
            <w:tcBorders>
              <w:top w:val="nil"/>
              <w:left w:val="nil"/>
              <w:bottom w:val="nil"/>
              <w:right w:val="nil"/>
            </w:tcBorders>
            <w:shd w:val="clear" w:color="auto" w:fill="auto"/>
            <w:noWrap/>
            <w:vAlign w:val="bottom"/>
            <w:hideMark/>
          </w:tcPr>
          <w:p w14:paraId="321D57F6" w14:textId="77777777" w:rsidR="00FD03FF" w:rsidRPr="00C65E8F" w:rsidRDefault="00FD03FF" w:rsidP="00FD03FF">
            <w:pPr>
              <w:spacing w:before="0" w:after="0"/>
              <w:rPr>
                <w:rFonts w:eastAsia="Times New Roman" w:cs="Times New Roman"/>
                <w:i/>
                <w:iCs/>
                <w:color w:val="000000"/>
                <w:sz w:val="12"/>
                <w:szCs w:val="16"/>
                <w:lang w:eastAsia="en-GB"/>
              </w:rPr>
            </w:pPr>
            <w:r w:rsidRPr="00C65E8F">
              <w:rPr>
                <w:rFonts w:eastAsia="Times New Roman" w:cs="Times New Roman"/>
                <w:i/>
                <w:iCs/>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2AC4489E" w14:textId="77777777" w:rsidR="00FD03FF" w:rsidRPr="00C65E8F" w:rsidRDefault="00FD03FF" w:rsidP="00FD03FF">
            <w:pPr>
              <w:spacing w:before="0" w:after="0"/>
              <w:rPr>
                <w:rFonts w:eastAsia="Times New Roman" w:cs="Times New Roman"/>
                <w:i/>
                <w:iCs/>
                <w:color w:val="000000"/>
                <w:sz w:val="12"/>
                <w:szCs w:val="16"/>
                <w:lang w:eastAsia="en-GB"/>
              </w:rPr>
            </w:pPr>
            <w:r w:rsidRPr="00C65E8F">
              <w:rPr>
                <w:rFonts w:eastAsia="Times New Roman" w:cs="Times New Roman"/>
                <w:i/>
                <w:iCs/>
                <w:color w:val="000000"/>
                <w:sz w:val="12"/>
                <w:szCs w:val="16"/>
                <w:lang w:eastAsia="en-GB"/>
              </w:rPr>
              <w:t> </w:t>
            </w:r>
          </w:p>
        </w:tc>
        <w:tc>
          <w:tcPr>
            <w:tcW w:w="395" w:type="pct"/>
            <w:tcBorders>
              <w:top w:val="nil"/>
              <w:left w:val="nil"/>
              <w:bottom w:val="nil"/>
              <w:right w:val="nil"/>
            </w:tcBorders>
            <w:shd w:val="clear" w:color="auto" w:fill="auto"/>
            <w:noWrap/>
            <w:vAlign w:val="bottom"/>
            <w:hideMark/>
          </w:tcPr>
          <w:p w14:paraId="47229D7B" w14:textId="77777777" w:rsidR="00FD03FF" w:rsidRPr="00C65E8F" w:rsidRDefault="00FD03FF" w:rsidP="00FD03FF">
            <w:pPr>
              <w:spacing w:before="0" w:after="0"/>
              <w:rPr>
                <w:rFonts w:eastAsia="Times New Roman" w:cs="Times New Roman"/>
                <w:i/>
                <w:iCs/>
                <w:color w:val="000000"/>
                <w:sz w:val="12"/>
                <w:szCs w:val="16"/>
                <w:lang w:eastAsia="en-GB"/>
              </w:rPr>
            </w:pPr>
            <w:r w:rsidRPr="00C65E8F">
              <w:rPr>
                <w:rFonts w:eastAsia="Times New Roman" w:cs="Times New Roman"/>
                <w:i/>
                <w:iCs/>
                <w:color w:val="000000"/>
                <w:sz w:val="12"/>
                <w:szCs w:val="16"/>
                <w:lang w:eastAsia="en-GB"/>
              </w:rPr>
              <w:t> </w:t>
            </w:r>
          </w:p>
        </w:tc>
        <w:tc>
          <w:tcPr>
            <w:tcW w:w="128" w:type="pct"/>
            <w:tcBorders>
              <w:top w:val="nil"/>
              <w:left w:val="nil"/>
              <w:bottom w:val="nil"/>
              <w:right w:val="nil"/>
            </w:tcBorders>
            <w:shd w:val="clear" w:color="auto" w:fill="auto"/>
            <w:noWrap/>
            <w:vAlign w:val="bottom"/>
            <w:hideMark/>
          </w:tcPr>
          <w:p w14:paraId="1600477C" w14:textId="77777777" w:rsidR="00FD03FF" w:rsidRPr="00C65E8F" w:rsidRDefault="00FD03FF" w:rsidP="00FD03FF">
            <w:pPr>
              <w:spacing w:before="0" w:after="0"/>
              <w:rPr>
                <w:rFonts w:eastAsia="Times New Roman" w:cs="Times New Roman"/>
                <w:i/>
                <w:iCs/>
                <w:color w:val="000000"/>
                <w:sz w:val="12"/>
                <w:szCs w:val="16"/>
                <w:lang w:eastAsia="en-GB"/>
              </w:rPr>
            </w:pPr>
            <w:r w:rsidRPr="00C65E8F">
              <w:rPr>
                <w:rFonts w:eastAsia="Times New Roman" w:cs="Times New Roman"/>
                <w:i/>
                <w:iCs/>
                <w:color w:val="000000"/>
                <w:sz w:val="12"/>
                <w:szCs w:val="16"/>
                <w:lang w:eastAsia="en-GB"/>
              </w:rPr>
              <w:t> </w:t>
            </w:r>
          </w:p>
        </w:tc>
        <w:tc>
          <w:tcPr>
            <w:tcW w:w="171" w:type="pct"/>
            <w:tcBorders>
              <w:top w:val="nil"/>
              <w:left w:val="nil"/>
              <w:bottom w:val="nil"/>
              <w:right w:val="nil"/>
            </w:tcBorders>
            <w:shd w:val="clear" w:color="auto" w:fill="auto"/>
            <w:noWrap/>
            <w:vAlign w:val="bottom"/>
            <w:hideMark/>
          </w:tcPr>
          <w:p w14:paraId="23C324AF" w14:textId="77777777" w:rsidR="00FD03FF" w:rsidRPr="00C65E8F" w:rsidRDefault="00FD03FF" w:rsidP="00FD03FF">
            <w:pPr>
              <w:spacing w:before="0" w:after="0"/>
              <w:rPr>
                <w:rFonts w:eastAsia="Times New Roman" w:cs="Times New Roman"/>
                <w:i/>
                <w:iCs/>
                <w:color w:val="000000"/>
                <w:sz w:val="12"/>
                <w:szCs w:val="16"/>
                <w:lang w:eastAsia="en-GB"/>
              </w:rPr>
            </w:pPr>
          </w:p>
        </w:tc>
        <w:tc>
          <w:tcPr>
            <w:tcW w:w="416" w:type="pct"/>
            <w:tcBorders>
              <w:top w:val="nil"/>
              <w:left w:val="nil"/>
              <w:bottom w:val="nil"/>
              <w:right w:val="nil"/>
            </w:tcBorders>
            <w:shd w:val="clear" w:color="auto" w:fill="auto"/>
            <w:noWrap/>
            <w:vAlign w:val="bottom"/>
            <w:hideMark/>
          </w:tcPr>
          <w:p w14:paraId="10630FBD" w14:textId="77777777" w:rsidR="00FD03FF" w:rsidRPr="00C65E8F" w:rsidRDefault="00FD03FF" w:rsidP="00FD03FF">
            <w:pPr>
              <w:spacing w:before="0" w:after="0"/>
              <w:rPr>
                <w:rFonts w:eastAsia="Times New Roman" w:cs="Times New Roman"/>
                <w:sz w:val="12"/>
                <w:szCs w:val="16"/>
                <w:lang w:eastAsia="en-GB"/>
              </w:rPr>
            </w:pPr>
          </w:p>
        </w:tc>
        <w:tc>
          <w:tcPr>
            <w:tcW w:w="128" w:type="pct"/>
            <w:tcBorders>
              <w:top w:val="nil"/>
              <w:left w:val="nil"/>
              <w:bottom w:val="nil"/>
              <w:right w:val="nil"/>
            </w:tcBorders>
            <w:shd w:val="clear" w:color="auto" w:fill="auto"/>
            <w:noWrap/>
            <w:vAlign w:val="bottom"/>
            <w:hideMark/>
          </w:tcPr>
          <w:p w14:paraId="435F880C" w14:textId="77777777" w:rsidR="00FD03FF" w:rsidRPr="00C65E8F" w:rsidRDefault="00FD03FF" w:rsidP="00FD03FF">
            <w:pPr>
              <w:spacing w:before="0" w:after="0"/>
              <w:rPr>
                <w:rFonts w:eastAsia="Times New Roman" w:cs="Times New Roman"/>
                <w:sz w:val="12"/>
                <w:szCs w:val="16"/>
                <w:lang w:eastAsia="en-GB"/>
              </w:rPr>
            </w:pPr>
          </w:p>
        </w:tc>
        <w:tc>
          <w:tcPr>
            <w:tcW w:w="171" w:type="pct"/>
            <w:tcBorders>
              <w:top w:val="nil"/>
              <w:left w:val="nil"/>
              <w:bottom w:val="nil"/>
              <w:right w:val="nil"/>
            </w:tcBorders>
            <w:shd w:val="clear" w:color="auto" w:fill="auto"/>
            <w:noWrap/>
            <w:vAlign w:val="bottom"/>
            <w:hideMark/>
          </w:tcPr>
          <w:p w14:paraId="42F30BA7" w14:textId="77777777" w:rsidR="00FD03FF" w:rsidRPr="00C65E8F" w:rsidRDefault="00FD03FF" w:rsidP="00FD03FF">
            <w:pPr>
              <w:spacing w:before="0" w:after="0"/>
              <w:rPr>
                <w:rFonts w:eastAsia="Times New Roman" w:cs="Times New Roman"/>
                <w:sz w:val="12"/>
                <w:szCs w:val="16"/>
                <w:lang w:eastAsia="en-GB"/>
              </w:rPr>
            </w:pPr>
          </w:p>
        </w:tc>
        <w:tc>
          <w:tcPr>
            <w:tcW w:w="416" w:type="pct"/>
            <w:tcBorders>
              <w:top w:val="nil"/>
              <w:left w:val="nil"/>
              <w:bottom w:val="nil"/>
              <w:right w:val="nil"/>
            </w:tcBorders>
            <w:shd w:val="clear" w:color="auto" w:fill="auto"/>
            <w:noWrap/>
            <w:vAlign w:val="bottom"/>
            <w:hideMark/>
          </w:tcPr>
          <w:p w14:paraId="0112D09A" w14:textId="77777777" w:rsidR="00FD03FF" w:rsidRPr="00C65E8F" w:rsidRDefault="00FD03FF" w:rsidP="00FD03FF">
            <w:pPr>
              <w:spacing w:before="0" w:after="0"/>
              <w:rPr>
                <w:rFonts w:eastAsia="Times New Roman" w:cs="Times New Roman"/>
                <w:sz w:val="12"/>
                <w:szCs w:val="16"/>
                <w:lang w:eastAsia="en-GB"/>
              </w:rPr>
            </w:pPr>
          </w:p>
        </w:tc>
        <w:tc>
          <w:tcPr>
            <w:tcW w:w="128" w:type="pct"/>
            <w:tcBorders>
              <w:top w:val="nil"/>
              <w:left w:val="nil"/>
              <w:bottom w:val="nil"/>
              <w:right w:val="nil"/>
            </w:tcBorders>
            <w:shd w:val="clear" w:color="auto" w:fill="auto"/>
            <w:noWrap/>
            <w:vAlign w:val="bottom"/>
            <w:hideMark/>
          </w:tcPr>
          <w:p w14:paraId="49D949A2" w14:textId="77777777" w:rsidR="00FD03FF" w:rsidRPr="00C65E8F" w:rsidRDefault="00FD03FF" w:rsidP="00FD03FF">
            <w:pPr>
              <w:spacing w:before="0" w:after="0"/>
              <w:rPr>
                <w:rFonts w:eastAsia="Times New Roman" w:cs="Times New Roman"/>
                <w:sz w:val="12"/>
                <w:szCs w:val="16"/>
                <w:lang w:eastAsia="en-GB"/>
              </w:rPr>
            </w:pPr>
          </w:p>
        </w:tc>
        <w:tc>
          <w:tcPr>
            <w:tcW w:w="171" w:type="pct"/>
            <w:tcBorders>
              <w:top w:val="nil"/>
              <w:left w:val="nil"/>
              <w:bottom w:val="nil"/>
              <w:right w:val="nil"/>
            </w:tcBorders>
            <w:shd w:val="clear" w:color="auto" w:fill="auto"/>
            <w:noWrap/>
            <w:vAlign w:val="bottom"/>
            <w:hideMark/>
          </w:tcPr>
          <w:p w14:paraId="2FEAB3B4" w14:textId="77777777" w:rsidR="00FD03FF" w:rsidRPr="00C65E8F" w:rsidRDefault="00FD03FF" w:rsidP="00FD03FF">
            <w:pPr>
              <w:spacing w:before="0" w:after="0"/>
              <w:rPr>
                <w:rFonts w:eastAsia="Times New Roman" w:cs="Times New Roman"/>
                <w:sz w:val="12"/>
                <w:szCs w:val="16"/>
                <w:lang w:eastAsia="en-GB"/>
              </w:rPr>
            </w:pPr>
          </w:p>
        </w:tc>
        <w:tc>
          <w:tcPr>
            <w:tcW w:w="376" w:type="pct"/>
            <w:tcBorders>
              <w:top w:val="nil"/>
              <w:left w:val="nil"/>
              <w:bottom w:val="nil"/>
              <w:right w:val="nil"/>
            </w:tcBorders>
            <w:shd w:val="clear" w:color="auto" w:fill="auto"/>
            <w:noWrap/>
            <w:vAlign w:val="bottom"/>
            <w:hideMark/>
          </w:tcPr>
          <w:p w14:paraId="59FCDC40" w14:textId="77777777" w:rsidR="00FD03FF" w:rsidRPr="00C65E8F" w:rsidRDefault="00FD03FF" w:rsidP="00FD03FF">
            <w:pPr>
              <w:spacing w:before="0" w:after="0"/>
              <w:rPr>
                <w:rFonts w:eastAsia="Times New Roman" w:cs="Times New Roman"/>
                <w:sz w:val="12"/>
                <w:szCs w:val="16"/>
                <w:lang w:eastAsia="en-GB"/>
              </w:rPr>
            </w:pPr>
          </w:p>
        </w:tc>
        <w:tc>
          <w:tcPr>
            <w:tcW w:w="129" w:type="pct"/>
            <w:gridSpan w:val="2"/>
            <w:tcBorders>
              <w:top w:val="nil"/>
              <w:left w:val="nil"/>
              <w:bottom w:val="nil"/>
              <w:right w:val="nil"/>
            </w:tcBorders>
            <w:shd w:val="clear" w:color="auto" w:fill="auto"/>
            <w:noWrap/>
            <w:vAlign w:val="bottom"/>
            <w:hideMark/>
          </w:tcPr>
          <w:p w14:paraId="549A779D" w14:textId="77777777" w:rsidR="00FD03FF" w:rsidRPr="00C65E8F" w:rsidRDefault="00FD03FF" w:rsidP="00FD03FF">
            <w:pPr>
              <w:spacing w:before="0" w:after="0"/>
              <w:rPr>
                <w:rFonts w:eastAsia="Times New Roman" w:cs="Times New Roman"/>
                <w:sz w:val="12"/>
                <w:szCs w:val="16"/>
                <w:lang w:eastAsia="en-GB"/>
              </w:rPr>
            </w:pPr>
          </w:p>
        </w:tc>
        <w:tc>
          <w:tcPr>
            <w:tcW w:w="171" w:type="pct"/>
            <w:tcBorders>
              <w:top w:val="nil"/>
              <w:left w:val="nil"/>
              <w:bottom w:val="nil"/>
              <w:right w:val="nil"/>
            </w:tcBorders>
            <w:shd w:val="clear" w:color="auto" w:fill="auto"/>
            <w:noWrap/>
            <w:vAlign w:val="bottom"/>
            <w:hideMark/>
          </w:tcPr>
          <w:p w14:paraId="44EB9F3F" w14:textId="77777777" w:rsidR="00FD03FF" w:rsidRPr="00C65E8F" w:rsidRDefault="00FD03FF" w:rsidP="00FD03FF">
            <w:pPr>
              <w:spacing w:before="0" w:after="0"/>
              <w:rPr>
                <w:rFonts w:eastAsia="Times New Roman" w:cs="Times New Roman"/>
                <w:sz w:val="12"/>
                <w:szCs w:val="16"/>
                <w:lang w:eastAsia="en-GB"/>
              </w:rPr>
            </w:pPr>
          </w:p>
        </w:tc>
        <w:tc>
          <w:tcPr>
            <w:tcW w:w="379" w:type="pct"/>
            <w:tcBorders>
              <w:top w:val="nil"/>
              <w:left w:val="nil"/>
              <w:bottom w:val="nil"/>
              <w:right w:val="nil"/>
            </w:tcBorders>
            <w:shd w:val="clear" w:color="auto" w:fill="auto"/>
            <w:noWrap/>
            <w:vAlign w:val="bottom"/>
            <w:hideMark/>
          </w:tcPr>
          <w:p w14:paraId="1E490C3B" w14:textId="77777777" w:rsidR="00FD03FF" w:rsidRPr="00C65E8F" w:rsidRDefault="00FD03FF" w:rsidP="00FD03FF">
            <w:pPr>
              <w:spacing w:before="0" w:after="0"/>
              <w:rPr>
                <w:rFonts w:eastAsia="Times New Roman" w:cs="Times New Roman"/>
                <w:sz w:val="12"/>
                <w:szCs w:val="16"/>
                <w:lang w:eastAsia="en-GB"/>
              </w:rPr>
            </w:pPr>
          </w:p>
        </w:tc>
      </w:tr>
    </w:tbl>
    <w:p w14:paraId="4DEAC021" w14:textId="130A5012" w:rsidR="001D6BC9" w:rsidRDefault="001D6BC9" w:rsidP="001D177F">
      <w:pPr>
        <w:rPr>
          <w:rStyle w:val="CommentReference"/>
        </w:rPr>
      </w:pPr>
    </w:p>
    <w:p w14:paraId="0DAE8B39" w14:textId="7C1FC486" w:rsidR="00620B71" w:rsidRDefault="00620B71" w:rsidP="001D177F">
      <w:pPr>
        <w:rPr>
          <w:rStyle w:val="CommentReference"/>
        </w:rPr>
      </w:pPr>
    </w:p>
    <w:p w14:paraId="69C33912" w14:textId="01715311" w:rsidR="00620B71" w:rsidRDefault="00620B71" w:rsidP="001D177F">
      <w:pPr>
        <w:rPr>
          <w:rStyle w:val="CommentReference"/>
        </w:rPr>
      </w:pPr>
    </w:p>
    <w:p w14:paraId="088D4525" w14:textId="77777777" w:rsidR="00620B71" w:rsidRDefault="00620B71" w:rsidP="00620B71">
      <w:pPr>
        <w:pStyle w:val="Heading1"/>
      </w:pPr>
      <w:r w:rsidRPr="00F3656B">
        <w:lastRenderedPageBreak/>
        <w:t>Supplementary Material</w:t>
      </w:r>
    </w:p>
    <w:p w14:paraId="2EA250E5" w14:textId="6CC6CC84" w:rsidR="00620B71" w:rsidRPr="00BC4C1A" w:rsidRDefault="00620B71" w:rsidP="00620B71">
      <w:pPr>
        <w:jc w:val="center"/>
        <w:rPr>
          <w:b/>
        </w:rPr>
      </w:pPr>
      <w:r w:rsidRPr="00BC4C1A">
        <w:rPr>
          <w:b/>
        </w:rPr>
        <w:t xml:space="preserve">Table S1: Prevalence of mental health problems for veterans stratified by gender and military experience (deployment </w:t>
      </w:r>
      <w:r w:rsidR="00C07AFE">
        <w:rPr>
          <w:b/>
        </w:rPr>
        <w:t xml:space="preserve">to Iraq </w:t>
      </w:r>
      <w:r w:rsidR="00C14B27">
        <w:rPr>
          <w:b/>
        </w:rPr>
        <w:t>or</w:t>
      </w:r>
      <w:r w:rsidR="00C07AFE">
        <w:rPr>
          <w:b/>
        </w:rPr>
        <w:t xml:space="preserve"> Afghanistan </w:t>
      </w:r>
      <w:r w:rsidRPr="00BC4C1A">
        <w:rPr>
          <w:b/>
        </w:rPr>
        <w:t xml:space="preserve">and </w:t>
      </w:r>
      <w:r w:rsidR="00C14B27">
        <w:rPr>
          <w:b/>
        </w:rPr>
        <w:t xml:space="preserve">whether deployed in a </w:t>
      </w:r>
      <w:r w:rsidRPr="00BC4C1A">
        <w:rPr>
          <w:b/>
        </w:rPr>
        <w:t xml:space="preserve">combat </w:t>
      </w:r>
      <w:r w:rsidR="00C14B27">
        <w:rPr>
          <w:b/>
        </w:rPr>
        <w:t>or non-combat role</w:t>
      </w:r>
      <w:r w:rsidRPr="00BC4C1A">
        <w:rPr>
          <w:b/>
        </w:rPr>
        <w:t>)</w:t>
      </w:r>
      <w:r>
        <w:rPr>
          <w:b/>
        </w:rPr>
        <w:t xml:space="preserve"> and matched on age and gender to non-veterans.</w:t>
      </w:r>
    </w:p>
    <w:tbl>
      <w:tblPr>
        <w:tblW w:w="15021" w:type="dxa"/>
        <w:jc w:val="center"/>
        <w:tblLook w:val="04A0" w:firstRow="1" w:lastRow="0" w:firstColumn="1" w:lastColumn="0" w:noHBand="0" w:noVBand="1"/>
      </w:tblPr>
      <w:tblGrid>
        <w:gridCol w:w="1271"/>
        <w:gridCol w:w="2021"/>
        <w:gridCol w:w="1175"/>
        <w:gridCol w:w="1559"/>
        <w:gridCol w:w="1196"/>
        <w:gridCol w:w="1559"/>
        <w:gridCol w:w="1013"/>
        <w:gridCol w:w="1923"/>
        <w:gridCol w:w="1013"/>
        <w:gridCol w:w="2291"/>
      </w:tblGrid>
      <w:tr w:rsidR="00AF3BF2" w:rsidRPr="00620B71" w14:paraId="23C08834" w14:textId="77777777" w:rsidTr="00F24CBC">
        <w:trPr>
          <w:trHeight w:val="670"/>
          <w:jc w:val="center"/>
        </w:trPr>
        <w:tc>
          <w:tcPr>
            <w:tcW w:w="3292"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14:paraId="24061A5D" w14:textId="77777777" w:rsidR="00620B71" w:rsidRPr="00620B71" w:rsidRDefault="00620B71" w:rsidP="006A7761">
            <w:pPr>
              <w:spacing w:before="0" w:after="0"/>
              <w:jc w:val="center"/>
              <w:rPr>
                <w:rFonts w:eastAsia="Times New Roman" w:cs="Times New Roman"/>
                <w:b/>
                <w:bCs/>
                <w:color w:val="000000"/>
                <w:sz w:val="24"/>
                <w:lang w:eastAsia="en-GB"/>
              </w:rPr>
            </w:pPr>
            <w:r w:rsidRPr="00620B71">
              <w:rPr>
                <w:rFonts w:eastAsia="Times New Roman" w:cs="Times New Roman"/>
                <w:b/>
                <w:bCs/>
                <w:color w:val="000000"/>
                <w:sz w:val="24"/>
                <w:lang w:eastAsia="en-GB"/>
              </w:rPr>
              <w:t> </w:t>
            </w:r>
          </w:p>
        </w:tc>
        <w:tc>
          <w:tcPr>
            <w:tcW w:w="2734" w:type="dxa"/>
            <w:gridSpan w:val="2"/>
            <w:tcBorders>
              <w:top w:val="single" w:sz="4" w:space="0" w:color="auto"/>
              <w:left w:val="nil"/>
              <w:bottom w:val="single" w:sz="4" w:space="0" w:color="auto"/>
              <w:right w:val="single" w:sz="4" w:space="0" w:color="auto"/>
            </w:tcBorders>
            <w:shd w:val="clear" w:color="auto" w:fill="auto"/>
            <w:vAlign w:val="center"/>
            <w:hideMark/>
          </w:tcPr>
          <w:p w14:paraId="192E2BF8" w14:textId="77777777" w:rsidR="00620B71" w:rsidRPr="00620B71" w:rsidRDefault="00620B71" w:rsidP="006A7761">
            <w:pPr>
              <w:spacing w:before="0" w:after="0"/>
              <w:jc w:val="center"/>
              <w:rPr>
                <w:rFonts w:eastAsia="Times New Roman" w:cs="Times New Roman"/>
                <w:b/>
                <w:bCs/>
                <w:color w:val="000000"/>
                <w:szCs w:val="22"/>
                <w:lang w:eastAsia="en-GB"/>
              </w:rPr>
            </w:pPr>
            <w:r w:rsidRPr="00620B71">
              <w:rPr>
                <w:rFonts w:eastAsia="Times New Roman" w:cs="Times New Roman"/>
                <w:b/>
                <w:bCs/>
                <w:color w:val="000000"/>
                <w:szCs w:val="22"/>
                <w:lang w:eastAsia="en-GB"/>
              </w:rPr>
              <w:t>Veteran</w:t>
            </w:r>
          </w:p>
        </w:tc>
        <w:tc>
          <w:tcPr>
            <w:tcW w:w="2755" w:type="dxa"/>
            <w:gridSpan w:val="2"/>
            <w:tcBorders>
              <w:top w:val="single" w:sz="4" w:space="0" w:color="auto"/>
              <w:left w:val="nil"/>
              <w:bottom w:val="single" w:sz="4" w:space="0" w:color="auto"/>
              <w:right w:val="single" w:sz="4" w:space="0" w:color="auto"/>
            </w:tcBorders>
            <w:shd w:val="clear" w:color="auto" w:fill="auto"/>
            <w:vAlign w:val="center"/>
            <w:hideMark/>
          </w:tcPr>
          <w:p w14:paraId="1B5975D4" w14:textId="77777777" w:rsidR="00620B71" w:rsidRPr="00620B71" w:rsidRDefault="00620B71" w:rsidP="006A7761">
            <w:pPr>
              <w:spacing w:before="0" w:after="0"/>
              <w:jc w:val="center"/>
              <w:rPr>
                <w:rFonts w:eastAsia="Times New Roman" w:cs="Times New Roman"/>
                <w:b/>
                <w:bCs/>
                <w:color w:val="000000"/>
                <w:szCs w:val="22"/>
                <w:lang w:eastAsia="en-GB"/>
              </w:rPr>
            </w:pPr>
            <w:r w:rsidRPr="00620B71">
              <w:rPr>
                <w:rFonts w:eastAsia="Times New Roman" w:cs="Times New Roman"/>
                <w:b/>
                <w:bCs/>
                <w:color w:val="000000"/>
                <w:szCs w:val="22"/>
                <w:lang w:eastAsia="en-GB"/>
              </w:rPr>
              <w:t>Non-veteran</w:t>
            </w:r>
          </w:p>
        </w:tc>
        <w:tc>
          <w:tcPr>
            <w:tcW w:w="29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A0A59" w14:textId="77777777" w:rsidR="00620B71" w:rsidRPr="00620B71" w:rsidRDefault="00620B71" w:rsidP="006A7761">
            <w:pPr>
              <w:spacing w:before="0" w:after="0"/>
              <w:jc w:val="center"/>
              <w:rPr>
                <w:rFonts w:eastAsia="Times New Roman" w:cs="Times New Roman"/>
                <w:b/>
                <w:bCs/>
                <w:color w:val="000000"/>
                <w:sz w:val="24"/>
                <w:lang w:eastAsia="en-GB"/>
              </w:rPr>
            </w:pPr>
            <w:r w:rsidRPr="00620B71">
              <w:rPr>
                <w:rFonts w:eastAsia="Times New Roman" w:cs="Times New Roman"/>
                <w:b/>
                <w:bCs/>
                <w:color w:val="000000"/>
                <w:sz w:val="24"/>
                <w:lang w:eastAsia="en-GB"/>
              </w:rPr>
              <w:t xml:space="preserve">Unadjusted </w:t>
            </w:r>
          </w:p>
        </w:tc>
        <w:tc>
          <w:tcPr>
            <w:tcW w:w="3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BEB58" w14:textId="40F16FDB" w:rsidR="00620B71" w:rsidRPr="00620B71" w:rsidRDefault="00620B71" w:rsidP="006A7761">
            <w:pPr>
              <w:spacing w:before="0" w:after="0"/>
              <w:jc w:val="center"/>
              <w:rPr>
                <w:rFonts w:eastAsia="Times New Roman" w:cs="Times New Roman"/>
                <w:b/>
                <w:bCs/>
                <w:color w:val="000000"/>
                <w:sz w:val="24"/>
                <w:lang w:eastAsia="en-GB"/>
              </w:rPr>
            </w:pPr>
            <w:r w:rsidRPr="00620B71">
              <w:rPr>
                <w:rFonts w:eastAsia="Times New Roman" w:cs="Times New Roman"/>
                <w:b/>
                <w:bCs/>
                <w:color w:val="000000"/>
                <w:sz w:val="24"/>
                <w:lang w:eastAsia="en-GB"/>
              </w:rPr>
              <w:t xml:space="preserve">Adjusted for </w:t>
            </w:r>
            <w:r w:rsidR="005C6033">
              <w:rPr>
                <w:rFonts w:eastAsia="Times New Roman" w:cs="Times New Roman"/>
                <w:b/>
                <w:bCs/>
                <w:color w:val="000000"/>
                <w:sz w:val="24"/>
                <w:lang w:eastAsia="en-GB"/>
              </w:rPr>
              <w:t>marital status</w:t>
            </w:r>
            <w:r w:rsidRPr="00620B71">
              <w:rPr>
                <w:rFonts w:eastAsia="Times New Roman" w:cs="Times New Roman"/>
                <w:b/>
                <w:bCs/>
                <w:color w:val="000000"/>
                <w:sz w:val="24"/>
                <w:lang w:eastAsia="en-GB"/>
              </w:rPr>
              <w:t xml:space="preserve"> and </w:t>
            </w:r>
            <w:r w:rsidR="003B793C">
              <w:rPr>
                <w:rFonts w:eastAsia="Times New Roman" w:cs="Times New Roman"/>
                <w:b/>
                <w:bCs/>
                <w:color w:val="000000"/>
                <w:sz w:val="24"/>
                <w:lang w:eastAsia="en-GB"/>
              </w:rPr>
              <w:t>education</w:t>
            </w:r>
          </w:p>
        </w:tc>
      </w:tr>
      <w:tr w:rsidR="00A37D22" w:rsidRPr="00620B71" w14:paraId="0D9E49AF" w14:textId="77777777" w:rsidTr="00F24CBC">
        <w:trPr>
          <w:trHeight w:val="320"/>
          <w:jc w:val="center"/>
        </w:trPr>
        <w:tc>
          <w:tcPr>
            <w:tcW w:w="3292" w:type="dxa"/>
            <w:gridSpan w:val="2"/>
            <w:vMerge/>
            <w:tcBorders>
              <w:top w:val="single" w:sz="4" w:space="0" w:color="auto"/>
              <w:left w:val="single" w:sz="4" w:space="0" w:color="auto"/>
              <w:bottom w:val="nil"/>
              <w:right w:val="single" w:sz="4" w:space="0" w:color="000000"/>
            </w:tcBorders>
            <w:vAlign w:val="center"/>
            <w:hideMark/>
          </w:tcPr>
          <w:p w14:paraId="2C3608AF" w14:textId="77777777" w:rsidR="00620B71" w:rsidRPr="00620B71" w:rsidRDefault="00620B71" w:rsidP="006A7761">
            <w:pPr>
              <w:spacing w:before="0" w:after="0"/>
              <w:rPr>
                <w:rFonts w:eastAsia="Times New Roman" w:cs="Times New Roman"/>
                <w:b/>
                <w:bCs/>
                <w:color w:val="000000"/>
                <w:sz w:val="24"/>
                <w:lang w:eastAsia="en-GB"/>
              </w:rPr>
            </w:pPr>
          </w:p>
        </w:tc>
        <w:tc>
          <w:tcPr>
            <w:tcW w:w="1175" w:type="dxa"/>
            <w:tcBorders>
              <w:top w:val="nil"/>
              <w:left w:val="nil"/>
              <w:bottom w:val="nil"/>
              <w:right w:val="single" w:sz="4" w:space="0" w:color="auto"/>
            </w:tcBorders>
            <w:shd w:val="clear" w:color="auto" w:fill="auto"/>
            <w:noWrap/>
            <w:vAlign w:val="center"/>
            <w:hideMark/>
          </w:tcPr>
          <w:p w14:paraId="2FF7FA97" w14:textId="77777777" w:rsidR="00620B71" w:rsidRPr="00620B71" w:rsidRDefault="00620B71" w:rsidP="006A7761">
            <w:pPr>
              <w:spacing w:before="0" w:after="0"/>
              <w:jc w:val="center"/>
              <w:rPr>
                <w:rFonts w:eastAsia="Times New Roman" w:cs="Times New Roman"/>
                <w:b/>
                <w:bCs/>
                <w:color w:val="000000"/>
                <w:szCs w:val="22"/>
                <w:lang w:eastAsia="en-GB"/>
              </w:rPr>
            </w:pPr>
            <w:r w:rsidRPr="00620B71">
              <w:rPr>
                <w:rFonts w:eastAsia="Times New Roman" w:cs="Times New Roman"/>
                <w:b/>
                <w:bCs/>
                <w:color w:val="000000"/>
                <w:szCs w:val="22"/>
                <w:lang w:eastAsia="en-GB"/>
              </w:rPr>
              <w:t>n</w:t>
            </w:r>
          </w:p>
        </w:tc>
        <w:tc>
          <w:tcPr>
            <w:tcW w:w="1559" w:type="dxa"/>
            <w:tcBorders>
              <w:top w:val="nil"/>
              <w:left w:val="nil"/>
              <w:bottom w:val="nil"/>
              <w:right w:val="single" w:sz="4" w:space="0" w:color="auto"/>
            </w:tcBorders>
            <w:shd w:val="clear" w:color="auto" w:fill="auto"/>
            <w:noWrap/>
            <w:vAlign w:val="center"/>
            <w:hideMark/>
          </w:tcPr>
          <w:p w14:paraId="5755449A" w14:textId="77777777" w:rsidR="00620B71" w:rsidRPr="00620B71" w:rsidRDefault="00620B71" w:rsidP="006A7761">
            <w:pPr>
              <w:spacing w:before="0" w:after="0"/>
              <w:jc w:val="center"/>
              <w:rPr>
                <w:rFonts w:eastAsia="Times New Roman" w:cs="Times New Roman"/>
                <w:b/>
                <w:bCs/>
                <w:color w:val="000000"/>
                <w:szCs w:val="22"/>
                <w:lang w:eastAsia="en-GB"/>
              </w:rPr>
            </w:pPr>
            <w:r w:rsidRPr="00620B71">
              <w:rPr>
                <w:rFonts w:eastAsia="Times New Roman" w:cs="Times New Roman"/>
                <w:b/>
                <w:bCs/>
                <w:color w:val="000000"/>
                <w:szCs w:val="22"/>
                <w:lang w:eastAsia="en-GB"/>
              </w:rPr>
              <w:t>%</w:t>
            </w:r>
          </w:p>
        </w:tc>
        <w:tc>
          <w:tcPr>
            <w:tcW w:w="1196" w:type="dxa"/>
            <w:tcBorders>
              <w:top w:val="nil"/>
              <w:left w:val="nil"/>
              <w:bottom w:val="nil"/>
              <w:right w:val="single" w:sz="4" w:space="0" w:color="auto"/>
            </w:tcBorders>
            <w:shd w:val="clear" w:color="auto" w:fill="auto"/>
            <w:noWrap/>
            <w:vAlign w:val="center"/>
            <w:hideMark/>
          </w:tcPr>
          <w:p w14:paraId="7D35A84D" w14:textId="77777777" w:rsidR="00620B71" w:rsidRPr="00620B71" w:rsidRDefault="00620B71" w:rsidP="006A7761">
            <w:pPr>
              <w:spacing w:before="0" w:after="0"/>
              <w:jc w:val="center"/>
              <w:rPr>
                <w:rFonts w:eastAsia="Times New Roman" w:cs="Times New Roman"/>
                <w:b/>
                <w:bCs/>
                <w:color w:val="000000"/>
                <w:szCs w:val="22"/>
                <w:lang w:eastAsia="en-GB"/>
              </w:rPr>
            </w:pPr>
            <w:r w:rsidRPr="00620B71">
              <w:rPr>
                <w:rFonts w:eastAsia="Times New Roman" w:cs="Times New Roman"/>
                <w:b/>
                <w:bCs/>
                <w:color w:val="000000"/>
                <w:szCs w:val="22"/>
                <w:lang w:eastAsia="en-GB"/>
              </w:rPr>
              <w:t>n</w:t>
            </w:r>
          </w:p>
        </w:tc>
        <w:tc>
          <w:tcPr>
            <w:tcW w:w="1559" w:type="dxa"/>
            <w:tcBorders>
              <w:top w:val="nil"/>
              <w:left w:val="nil"/>
              <w:bottom w:val="nil"/>
              <w:right w:val="single" w:sz="4" w:space="0" w:color="auto"/>
            </w:tcBorders>
            <w:shd w:val="clear" w:color="auto" w:fill="auto"/>
            <w:noWrap/>
            <w:vAlign w:val="center"/>
            <w:hideMark/>
          </w:tcPr>
          <w:p w14:paraId="0E868272" w14:textId="77777777" w:rsidR="00620B71" w:rsidRPr="00620B71" w:rsidRDefault="00620B71" w:rsidP="006A7761">
            <w:pPr>
              <w:spacing w:before="0" w:after="0"/>
              <w:jc w:val="center"/>
              <w:rPr>
                <w:rFonts w:eastAsia="Times New Roman" w:cs="Times New Roman"/>
                <w:b/>
                <w:bCs/>
                <w:color w:val="000000"/>
                <w:szCs w:val="22"/>
                <w:lang w:eastAsia="en-GB"/>
              </w:rPr>
            </w:pPr>
            <w:r w:rsidRPr="00620B71">
              <w:rPr>
                <w:rFonts w:eastAsia="Times New Roman" w:cs="Times New Roman"/>
                <w:b/>
                <w:bCs/>
                <w:color w:val="000000"/>
                <w:szCs w:val="22"/>
                <w:lang w:eastAsia="en-GB"/>
              </w:rPr>
              <w:t>%</w:t>
            </w:r>
          </w:p>
        </w:tc>
        <w:tc>
          <w:tcPr>
            <w:tcW w:w="1013" w:type="dxa"/>
            <w:tcBorders>
              <w:top w:val="nil"/>
              <w:left w:val="nil"/>
              <w:bottom w:val="nil"/>
              <w:right w:val="nil"/>
            </w:tcBorders>
            <w:shd w:val="clear" w:color="auto" w:fill="auto"/>
            <w:noWrap/>
            <w:vAlign w:val="bottom"/>
            <w:hideMark/>
          </w:tcPr>
          <w:p w14:paraId="5946F540" w14:textId="77777777" w:rsidR="00620B71" w:rsidRPr="00620B71" w:rsidRDefault="00620B71" w:rsidP="006A7761">
            <w:pPr>
              <w:spacing w:before="0" w:after="0"/>
              <w:jc w:val="center"/>
              <w:rPr>
                <w:rFonts w:eastAsia="Times New Roman" w:cs="Times New Roman"/>
                <w:b/>
                <w:bCs/>
                <w:i/>
                <w:iCs/>
                <w:color w:val="000000"/>
                <w:sz w:val="24"/>
                <w:lang w:eastAsia="en-GB"/>
              </w:rPr>
            </w:pPr>
            <w:r w:rsidRPr="00620B71">
              <w:rPr>
                <w:rFonts w:eastAsia="Times New Roman" w:cs="Times New Roman"/>
                <w:b/>
                <w:bCs/>
                <w:i/>
                <w:iCs/>
                <w:color w:val="000000"/>
                <w:sz w:val="24"/>
                <w:lang w:eastAsia="en-GB"/>
              </w:rPr>
              <w:t>OR</w:t>
            </w:r>
          </w:p>
        </w:tc>
        <w:tc>
          <w:tcPr>
            <w:tcW w:w="1923" w:type="dxa"/>
            <w:tcBorders>
              <w:top w:val="nil"/>
              <w:left w:val="single" w:sz="4" w:space="0" w:color="auto"/>
              <w:bottom w:val="nil"/>
              <w:right w:val="nil"/>
            </w:tcBorders>
            <w:shd w:val="clear" w:color="auto" w:fill="auto"/>
            <w:noWrap/>
            <w:vAlign w:val="center"/>
            <w:hideMark/>
          </w:tcPr>
          <w:p w14:paraId="123B8E0A" w14:textId="77777777" w:rsidR="00620B71" w:rsidRPr="00620B71" w:rsidRDefault="00620B71" w:rsidP="006A7761">
            <w:pPr>
              <w:spacing w:before="0" w:after="0"/>
              <w:jc w:val="center"/>
              <w:rPr>
                <w:rFonts w:eastAsia="Times New Roman" w:cs="Times New Roman"/>
                <w:b/>
                <w:bCs/>
                <w:i/>
                <w:iCs/>
                <w:color w:val="000000"/>
                <w:sz w:val="24"/>
                <w:lang w:eastAsia="en-GB"/>
              </w:rPr>
            </w:pPr>
            <w:r w:rsidRPr="00620B71">
              <w:rPr>
                <w:rFonts w:eastAsia="Times New Roman" w:cs="Times New Roman"/>
                <w:b/>
                <w:bCs/>
                <w:i/>
                <w:iCs/>
                <w:color w:val="000000"/>
                <w:sz w:val="24"/>
                <w:lang w:eastAsia="en-GB"/>
              </w:rPr>
              <w:t>CI</w:t>
            </w:r>
          </w:p>
        </w:tc>
        <w:tc>
          <w:tcPr>
            <w:tcW w:w="1013" w:type="dxa"/>
            <w:tcBorders>
              <w:top w:val="nil"/>
              <w:left w:val="single" w:sz="4" w:space="0" w:color="000000"/>
              <w:bottom w:val="nil"/>
              <w:right w:val="nil"/>
            </w:tcBorders>
            <w:shd w:val="clear" w:color="auto" w:fill="auto"/>
            <w:noWrap/>
            <w:vAlign w:val="center"/>
            <w:hideMark/>
          </w:tcPr>
          <w:p w14:paraId="11C4DDCB" w14:textId="77777777" w:rsidR="00620B71" w:rsidRPr="00620B71" w:rsidRDefault="00620B71" w:rsidP="006A7761">
            <w:pPr>
              <w:spacing w:before="0" w:after="0"/>
              <w:jc w:val="center"/>
              <w:rPr>
                <w:rFonts w:eastAsia="Times New Roman" w:cs="Times New Roman"/>
                <w:b/>
                <w:bCs/>
                <w:i/>
                <w:iCs/>
                <w:color w:val="000000"/>
                <w:sz w:val="24"/>
                <w:lang w:eastAsia="en-GB"/>
              </w:rPr>
            </w:pPr>
            <w:r w:rsidRPr="00620B71">
              <w:rPr>
                <w:rFonts w:eastAsia="Times New Roman" w:cs="Times New Roman"/>
                <w:b/>
                <w:bCs/>
                <w:i/>
                <w:iCs/>
                <w:color w:val="000000"/>
                <w:sz w:val="24"/>
                <w:lang w:eastAsia="en-GB"/>
              </w:rPr>
              <w:t>OR</w:t>
            </w:r>
          </w:p>
        </w:tc>
        <w:tc>
          <w:tcPr>
            <w:tcW w:w="2291" w:type="dxa"/>
            <w:tcBorders>
              <w:top w:val="nil"/>
              <w:left w:val="single" w:sz="4" w:space="0" w:color="auto"/>
              <w:bottom w:val="nil"/>
              <w:right w:val="single" w:sz="4" w:space="0" w:color="000000"/>
            </w:tcBorders>
            <w:shd w:val="clear" w:color="auto" w:fill="auto"/>
            <w:noWrap/>
            <w:vAlign w:val="center"/>
            <w:hideMark/>
          </w:tcPr>
          <w:p w14:paraId="487D6526" w14:textId="77777777" w:rsidR="00620B71" w:rsidRPr="00620B71" w:rsidRDefault="00620B71" w:rsidP="006A7761">
            <w:pPr>
              <w:spacing w:before="0" w:after="0"/>
              <w:jc w:val="center"/>
              <w:rPr>
                <w:rFonts w:eastAsia="Times New Roman" w:cs="Times New Roman"/>
                <w:b/>
                <w:bCs/>
                <w:i/>
                <w:iCs/>
                <w:color w:val="000000"/>
                <w:sz w:val="24"/>
                <w:lang w:eastAsia="en-GB"/>
              </w:rPr>
            </w:pPr>
            <w:r w:rsidRPr="00620B71">
              <w:rPr>
                <w:rFonts w:eastAsia="Times New Roman" w:cs="Times New Roman"/>
                <w:b/>
                <w:bCs/>
                <w:i/>
                <w:iCs/>
                <w:color w:val="000000"/>
                <w:sz w:val="24"/>
                <w:lang w:eastAsia="en-GB"/>
              </w:rPr>
              <w:t>CI</w:t>
            </w:r>
          </w:p>
        </w:tc>
      </w:tr>
      <w:tr w:rsidR="000E12BC" w:rsidRPr="00620B71" w14:paraId="31A35062" w14:textId="77777777" w:rsidTr="00F24CBC">
        <w:trPr>
          <w:trHeight w:val="320"/>
          <w:jc w:val="center"/>
        </w:trPr>
        <w:tc>
          <w:tcPr>
            <w:tcW w:w="1271" w:type="dxa"/>
            <w:tcBorders>
              <w:top w:val="single" w:sz="4" w:space="0" w:color="000000"/>
              <w:left w:val="single" w:sz="4" w:space="0" w:color="000000"/>
              <w:bottom w:val="single" w:sz="4" w:space="0" w:color="000000"/>
              <w:right w:val="nil"/>
            </w:tcBorders>
            <w:shd w:val="clear" w:color="000000" w:fill="D9D9D9"/>
            <w:noWrap/>
            <w:vAlign w:val="center"/>
            <w:hideMark/>
          </w:tcPr>
          <w:p w14:paraId="0C7D811D" w14:textId="77777777" w:rsidR="00620B71" w:rsidRPr="00620B71" w:rsidRDefault="00620B71" w:rsidP="006A7761">
            <w:pPr>
              <w:spacing w:before="0" w:after="0"/>
              <w:jc w:val="center"/>
              <w:rPr>
                <w:rFonts w:eastAsia="Times New Roman" w:cs="Times New Roman"/>
                <w:b/>
                <w:bCs/>
                <w:color w:val="000000"/>
                <w:sz w:val="24"/>
                <w:lang w:eastAsia="en-GB"/>
              </w:rPr>
            </w:pPr>
            <w:r w:rsidRPr="00620B71">
              <w:rPr>
                <w:rFonts w:eastAsia="Times New Roman" w:cs="Times New Roman"/>
                <w:b/>
                <w:bCs/>
                <w:color w:val="000000"/>
                <w:sz w:val="24"/>
                <w:lang w:eastAsia="en-GB"/>
              </w:rPr>
              <w:t>Men</w:t>
            </w:r>
          </w:p>
        </w:tc>
        <w:tc>
          <w:tcPr>
            <w:tcW w:w="2021" w:type="dxa"/>
            <w:tcBorders>
              <w:top w:val="single" w:sz="4" w:space="0" w:color="000000"/>
              <w:left w:val="nil"/>
              <w:bottom w:val="single" w:sz="4" w:space="0" w:color="000000"/>
              <w:right w:val="nil"/>
            </w:tcBorders>
            <w:shd w:val="clear" w:color="000000" w:fill="D9D9D9"/>
            <w:noWrap/>
            <w:vAlign w:val="center"/>
            <w:hideMark/>
          </w:tcPr>
          <w:p w14:paraId="45CEF466" w14:textId="77777777" w:rsidR="00620B71" w:rsidRPr="00620B71" w:rsidRDefault="00620B71" w:rsidP="006A7761">
            <w:pPr>
              <w:spacing w:before="0" w:after="0"/>
              <w:jc w:val="center"/>
              <w:rPr>
                <w:rFonts w:eastAsia="Times New Roman" w:cs="Times New Roman"/>
                <w:b/>
                <w:bCs/>
                <w:color w:val="000000"/>
                <w:sz w:val="24"/>
                <w:lang w:eastAsia="en-GB"/>
              </w:rPr>
            </w:pPr>
            <w:r w:rsidRPr="00620B71">
              <w:rPr>
                <w:rFonts w:eastAsia="Times New Roman" w:cs="Times New Roman"/>
                <w:b/>
                <w:bCs/>
                <w:color w:val="000000"/>
                <w:sz w:val="24"/>
                <w:lang w:eastAsia="en-GB"/>
              </w:rPr>
              <w:t> </w:t>
            </w:r>
          </w:p>
        </w:tc>
        <w:tc>
          <w:tcPr>
            <w:tcW w:w="1175" w:type="dxa"/>
            <w:tcBorders>
              <w:top w:val="single" w:sz="4" w:space="0" w:color="000000"/>
              <w:left w:val="nil"/>
              <w:bottom w:val="single" w:sz="4" w:space="0" w:color="000000"/>
              <w:right w:val="nil"/>
            </w:tcBorders>
            <w:shd w:val="clear" w:color="000000" w:fill="D9D9D9"/>
            <w:noWrap/>
            <w:vAlign w:val="center"/>
            <w:hideMark/>
          </w:tcPr>
          <w:p w14:paraId="2F82D61B" w14:textId="77777777" w:rsidR="00620B71" w:rsidRPr="00620B71" w:rsidRDefault="00620B71" w:rsidP="006A7761">
            <w:pPr>
              <w:spacing w:before="0" w:after="0"/>
              <w:jc w:val="center"/>
              <w:rPr>
                <w:rFonts w:eastAsia="Times New Roman" w:cs="Times New Roman"/>
                <w:b/>
                <w:bCs/>
                <w:color w:val="000000"/>
                <w:szCs w:val="22"/>
                <w:lang w:eastAsia="en-GB"/>
              </w:rPr>
            </w:pPr>
            <w:r w:rsidRPr="00620B71">
              <w:rPr>
                <w:rFonts w:eastAsia="Times New Roman" w:cs="Times New Roman"/>
                <w:b/>
                <w:bCs/>
                <w:color w:val="000000"/>
                <w:szCs w:val="22"/>
                <w:lang w:eastAsia="en-GB"/>
              </w:rPr>
              <w:t> </w:t>
            </w:r>
          </w:p>
        </w:tc>
        <w:tc>
          <w:tcPr>
            <w:tcW w:w="1559" w:type="dxa"/>
            <w:tcBorders>
              <w:top w:val="single" w:sz="4" w:space="0" w:color="000000"/>
              <w:left w:val="nil"/>
              <w:bottom w:val="single" w:sz="4" w:space="0" w:color="000000"/>
              <w:right w:val="nil"/>
            </w:tcBorders>
            <w:shd w:val="clear" w:color="000000" w:fill="D9D9D9"/>
            <w:noWrap/>
            <w:vAlign w:val="center"/>
            <w:hideMark/>
          </w:tcPr>
          <w:p w14:paraId="495C969C" w14:textId="77777777" w:rsidR="00620B71" w:rsidRPr="00620B71" w:rsidRDefault="00620B71" w:rsidP="006A7761">
            <w:pPr>
              <w:spacing w:before="0" w:after="0"/>
              <w:jc w:val="center"/>
              <w:rPr>
                <w:rFonts w:eastAsia="Times New Roman" w:cs="Times New Roman"/>
                <w:b/>
                <w:bCs/>
                <w:color w:val="000000"/>
                <w:szCs w:val="22"/>
                <w:lang w:eastAsia="en-GB"/>
              </w:rPr>
            </w:pPr>
            <w:r w:rsidRPr="00620B71">
              <w:rPr>
                <w:rFonts w:eastAsia="Times New Roman" w:cs="Times New Roman"/>
                <w:b/>
                <w:bCs/>
                <w:color w:val="000000"/>
                <w:szCs w:val="22"/>
                <w:lang w:eastAsia="en-GB"/>
              </w:rPr>
              <w:t> </w:t>
            </w:r>
          </w:p>
        </w:tc>
        <w:tc>
          <w:tcPr>
            <w:tcW w:w="1196" w:type="dxa"/>
            <w:tcBorders>
              <w:top w:val="single" w:sz="4" w:space="0" w:color="000000"/>
              <w:left w:val="nil"/>
              <w:bottom w:val="single" w:sz="4" w:space="0" w:color="000000"/>
              <w:right w:val="nil"/>
            </w:tcBorders>
            <w:shd w:val="clear" w:color="000000" w:fill="D9D9D9"/>
            <w:noWrap/>
            <w:vAlign w:val="center"/>
            <w:hideMark/>
          </w:tcPr>
          <w:p w14:paraId="000ABF7C" w14:textId="77777777" w:rsidR="00620B71" w:rsidRPr="00620B71" w:rsidRDefault="00620B71" w:rsidP="006A7761">
            <w:pPr>
              <w:spacing w:before="0" w:after="0"/>
              <w:jc w:val="center"/>
              <w:rPr>
                <w:rFonts w:eastAsia="Times New Roman" w:cs="Times New Roman"/>
                <w:b/>
                <w:bCs/>
                <w:color w:val="000000"/>
                <w:szCs w:val="22"/>
                <w:lang w:eastAsia="en-GB"/>
              </w:rPr>
            </w:pPr>
            <w:r w:rsidRPr="00620B71">
              <w:rPr>
                <w:rFonts w:eastAsia="Times New Roman" w:cs="Times New Roman"/>
                <w:b/>
                <w:bCs/>
                <w:color w:val="000000"/>
                <w:szCs w:val="22"/>
                <w:lang w:eastAsia="en-GB"/>
              </w:rPr>
              <w:t> </w:t>
            </w:r>
          </w:p>
        </w:tc>
        <w:tc>
          <w:tcPr>
            <w:tcW w:w="1559" w:type="dxa"/>
            <w:tcBorders>
              <w:top w:val="single" w:sz="4" w:space="0" w:color="000000"/>
              <w:left w:val="nil"/>
              <w:bottom w:val="single" w:sz="4" w:space="0" w:color="000000"/>
              <w:right w:val="nil"/>
            </w:tcBorders>
            <w:shd w:val="clear" w:color="000000" w:fill="D9D9D9"/>
            <w:noWrap/>
            <w:vAlign w:val="center"/>
            <w:hideMark/>
          </w:tcPr>
          <w:p w14:paraId="37609F3C" w14:textId="77777777" w:rsidR="00620B71" w:rsidRPr="00620B71" w:rsidRDefault="00620B71" w:rsidP="006A7761">
            <w:pPr>
              <w:spacing w:before="0" w:after="0"/>
              <w:jc w:val="center"/>
              <w:rPr>
                <w:rFonts w:eastAsia="Times New Roman" w:cs="Times New Roman"/>
                <w:b/>
                <w:bCs/>
                <w:color w:val="000000"/>
                <w:szCs w:val="22"/>
                <w:lang w:eastAsia="en-GB"/>
              </w:rPr>
            </w:pPr>
            <w:r w:rsidRPr="00620B71">
              <w:rPr>
                <w:rFonts w:eastAsia="Times New Roman" w:cs="Times New Roman"/>
                <w:b/>
                <w:bCs/>
                <w:color w:val="000000"/>
                <w:szCs w:val="22"/>
                <w:lang w:eastAsia="en-GB"/>
              </w:rPr>
              <w:t> </w:t>
            </w:r>
          </w:p>
        </w:tc>
        <w:tc>
          <w:tcPr>
            <w:tcW w:w="1013" w:type="dxa"/>
            <w:tcBorders>
              <w:top w:val="single" w:sz="4" w:space="0" w:color="000000"/>
              <w:left w:val="nil"/>
              <w:bottom w:val="single" w:sz="4" w:space="0" w:color="000000"/>
              <w:right w:val="nil"/>
            </w:tcBorders>
            <w:shd w:val="clear" w:color="000000" w:fill="D9D9D9"/>
            <w:noWrap/>
            <w:vAlign w:val="bottom"/>
            <w:hideMark/>
          </w:tcPr>
          <w:p w14:paraId="10C99A91" w14:textId="77777777" w:rsidR="00620B71" w:rsidRPr="00620B71" w:rsidRDefault="00620B71" w:rsidP="006A7761">
            <w:pPr>
              <w:spacing w:before="0" w:after="0"/>
              <w:jc w:val="center"/>
              <w:rPr>
                <w:rFonts w:eastAsia="Times New Roman" w:cs="Times New Roman"/>
                <w:b/>
                <w:bCs/>
                <w:i/>
                <w:iCs/>
                <w:color w:val="000000"/>
                <w:sz w:val="24"/>
                <w:lang w:eastAsia="en-GB"/>
              </w:rPr>
            </w:pPr>
            <w:r w:rsidRPr="00620B71">
              <w:rPr>
                <w:rFonts w:eastAsia="Times New Roman" w:cs="Times New Roman"/>
                <w:b/>
                <w:bCs/>
                <w:i/>
                <w:iCs/>
                <w:color w:val="000000"/>
                <w:sz w:val="24"/>
                <w:lang w:eastAsia="en-GB"/>
              </w:rPr>
              <w:t> </w:t>
            </w:r>
          </w:p>
        </w:tc>
        <w:tc>
          <w:tcPr>
            <w:tcW w:w="1923" w:type="dxa"/>
            <w:tcBorders>
              <w:top w:val="single" w:sz="4" w:space="0" w:color="000000"/>
              <w:left w:val="nil"/>
              <w:bottom w:val="single" w:sz="4" w:space="0" w:color="000000"/>
              <w:right w:val="nil"/>
            </w:tcBorders>
            <w:shd w:val="clear" w:color="000000" w:fill="D9D9D9"/>
            <w:noWrap/>
            <w:vAlign w:val="center"/>
            <w:hideMark/>
          </w:tcPr>
          <w:p w14:paraId="213B5EA8" w14:textId="77777777" w:rsidR="00620B71" w:rsidRPr="00620B71" w:rsidRDefault="00620B71" w:rsidP="006A7761">
            <w:pPr>
              <w:spacing w:before="0" w:after="0"/>
              <w:jc w:val="center"/>
              <w:rPr>
                <w:rFonts w:eastAsia="Times New Roman" w:cs="Times New Roman"/>
                <w:b/>
                <w:bCs/>
                <w:i/>
                <w:iCs/>
                <w:color w:val="000000"/>
                <w:sz w:val="24"/>
                <w:lang w:eastAsia="en-GB"/>
              </w:rPr>
            </w:pPr>
            <w:r w:rsidRPr="00620B71">
              <w:rPr>
                <w:rFonts w:eastAsia="Times New Roman" w:cs="Times New Roman"/>
                <w:b/>
                <w:bCs/>
                <w:i/>
                <w:iCs/>
                <w:color w:val="000000"/>
                <w:sz w:val="24"/>
                <w:lang w:eastAsia="en-GB"/>
              </w:rPr>
              <w:t> </w:t>
            </w:r>
          </w:p>
        </w:tc>
        <w:tc>
          <w:tcPr>
            <w:tcW w:w="1013" w:type="dxa"/>
            <w:tcBorders>
              <w:top w:val="single" w:sz="4" w:space="0" w:color="000000"/>
              <w:left w:val="nil"/>
              <w:bottom w:val="single" w:sz="4" w:space="0" w:color="000000"/>
              <w:right w:val="nil"/>
            </w:tcBorders>
            <w:shd w:val="clear" w:color="000000" w:fill="D9D9D9"/>
            <w:noWrap/>
            <w:vAlign w:val="center"/>
            <w:hideMark/>
          </w:tcPr>
          <w:p w14:paraId="7DAB0C6C" w14:textId="77777777" w:rsidR="00620B71" w:rsidRPr="00620B71" w:rsidRDefault="00620B71" w:rsidP="006A7761">
            <w:pPr>
              <w:spacing w:before="0" w:after="0"/>
              <w:jc w:val="center"/>
              <w:rPr>
                <w:rFonts w:eastAsia="Times New Roman" w:cs="Times New Roman"/>
                <w:b/>
                <w:bCs/>
                <w:i/>
                <w:iCs/>
                <w:color w:val="000000"/>
                <w:sz w:val="24"/>
                <w:lang w:eastAsia="en-GB"/>
              </w:rPr>
            </w:pPr>
            <w:r w:rsidRPr="00620B71">
              <w:rPr>
                <w:rFonts w:eastAsia="Times New Roman" w:cs="Times New Roman"/>
                <w:b/>
                <w:bCs/>
                <w:i/>
                <w:iCs/>
                <w:color w:val="000000"/>
                <w:sz w:val="24"/>
                <w:lang w:eastAsia="en-GB"/>
              </w:rPr>
              <w:t> </w:t>
            </w:r>
          </w:p>
        </w:tc>
        <w:tc>
          <w:tcPr>
            <w:tcW w:w="2291" w:type="dxa"/>
            <w:tcBorders>
              <w:top w:val="single" w:sz="4" w:space="0" w:color="000000"/>
              <w:left w:val="nil"/>
              <w:bottom w:val="single" w:sz="4" w:space="0" w:color="000000"/>
              <w:right w:val="single" w:sz="4" w:space="0" w:color="000000"/>
            </w:tcBorders>
            <w:shd w:val="clear" w:color="000000" w:fill="D9D9D9"/>
            <w:noWrap/>
            <w:vAlign w:val="center"/>
            <w:hideMark/>
          </w:tcPr>
          <w:p w14:paraId="260890AF" w14:textId="77777777" w:rsidR="00620B71" w:rsidRPr="00620B71" w:rsidRDefault="00620B71" w:rsidP="006A7761">
            <w:pPr>
              <w:spacing w:before="0" w:after="0"/>
              <w:jc w:val="center"/>
              <w:rPr>
                <w:rFonts w:eastAsia="Times New Roman" w:cs="Times New Roman"/>
                <w:b/>
                <w:bCs/>
                <w:i/>
                <w:iCs/>
                <w:color w:val="000000"/>
                <w:sz w:val="24"/>
                <w:lang w:eastAsia="en-GB"/>
              </w:rPr>
            </w:pPr>
            <w:r w:rsidRPr="00620B71">
              <w:rPr>
                <w:rFonts w:eastAsia="Times New Roman" w:cs="Times New Roman"/>
                <w:b/>
                <w:bCs/>
                <w:i/>
                <w:iCs/>
                <w:color w:val="000000"/>
                <w:sz w:val="24"/>
                <w:lang w:eastAsia="en-GB"/>
              </w:rPr>
              <w:t> </w:t>
            </w:r>
          </w:p>
        </w:tc>
      </w:tr>
      <w:tr w:rsidR="00DE517E" w:rsidRPr="00620B71" w14:paraId="54C11874" w14:textId="77777777" w:rsidTr="00F24CBC">
        <w:trPr>
          <w:trHeight w:val="320"/>
          <w:jc w:val="center"/>
        </w:trPr>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4F8C07" w14:textId="77777777" w:rsidR="00DE517E" w:rsidRPr="00620B71" w:rsidRDefault="00DE517E" w:rsidP="00DE517E">
            <w:pPr>
              <w:spacing w:before="0" w:after="0"/>
              <w:jc w:val="center"/>
              <w:rPr>
                <w:rFonts w:eastAsia="Times New Roman" w:cs="Times New Roman"/>
                <w:b/>
                <w:bCs/>
                <w:color w:val="000000"/>
                <w:szCs w:val="22"/>
                <w:lang w:eastAsia="en-GB"/>
              </w:rPr>
            </w:pPr>
            <w:r w:rsidRPr="00620B71">
              <w:rPr>
                <w:rFonts w:eastAsia="Times New Roman" w:cs="Times New Roman"/>
                <w:b/>
                <w:bCs/>
                <w:color w:val="000000"/>
                <w:szCs w:val="22"/>
                <w:lang w:eastAsia="en-GB"/>
              </w:rPr>
              <w:t>PTSD</w:t>
            </w:r>
          </w:p>
        </w:tc>
        <w:tc>
          <w:tcPr>
            <w:tcW w:w="2021" w:type="dxa"/>
            <w:tcBorders>
              <w:top w:val="nil"/>
              <w:left w:val="nil"/>
              <w:bottom w:val="nil"/>
              <w:right w:val="single" w:sz="4" w:space="0" w:color="auto"/>
            </w:tcBorders>
            <w:shd w:val="clear" w:color="auto" w:fill="auto"/>
            <w:noWrap/>
            <w:vAlign w:val="center"/>
            <w:hideMark/>
          </w:tcPr>
          <w:p w14:paraId="43BBCCDF" w14:textId="77777777" w:rsidR="00DE517E" w:rsidRPr="00620B71" w:rsidRDefault="00DE517E" w:rsidP="00DE517E">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Deployed</w:t>
            </w:r>
          </w:p>
        </w:tc>
        <w:tc>
          <w:tcPr>
            <w:tcW w:w="1175" w:type="dxa"/>
            <w:tcBorders>
              <w:top w:val="nil"/>
              <w:left w:val="nil"/>
              <w:bottom w:val="nil"/>
              <w:right w:val="nil"/>
            </w:tcBorders>
            <w:shd w:val="clear" w:color="auto" w:fill="auto"/>
            <w:noWrap/>
            <w:vAlign w:val="center"/>
            <w:hideMark/>
          </w:tcPr>
          <w:p w14:paraId="16AF692C"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136</w:t>
            </w:r>
          </w:p>
        </w:tc>
        <w:tc>
          <w:tcPr>
            <w:tcW w:w="1559" w:type="dxa"/>
            <w:tcBorders>
              <w:top w:val="nil"/>
              <w:left w:val="nil"/>
              <w:bottom w:val="nil"/>
              <w:right w:val="nil"/>
            </w:tcBorders>
            <w:shd w:val="clear" w:color="auto" w:fill="auto"/>
            <w:noWrap/>
            <w:vAlign w:val="center"/>
            <w:hideMark/>
          </w:tcPr>
          <w:p w14:paraId="62626E83"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9.70%</w:t>
            </w:r>
          </w:p>
        </w:tc>
        <w:tc>
          <w:tcPr>
            <w:tcW w:w="1196" w:type="dxa"/>
            <w:tcBorders>
              <w:top w:val="nil"/>
              <w:left w:val="single" w:sz="4" w:space="0" w:color="000000"/>
              <w:bottom w:val="nil"/>
              <w:right w:val="nil"/>
            </w:tcBorders>
            <w:shd w:val="clear" w:color="auto" w:fill="auto"/>
            <w:noWrap/>
            <w:vAlign w:val="center"/>
            <w:hideMark/>
          </w:tcPr>
          <w:p w14:paraId="753673E6"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101</w:t>
            </w:r>
          </w:p>
        </w:tc>
        <w:tc>
          <w:tcPr>
            <w:tcW w:w="1559" w:type="dxa"/>
            <w:tcBorders>
              <w:top w:val="nil"/>
              <w:left w:val="nil"/>
              <w:bottom w:val="nil"/>
              <w:right w:val="single" w:sz="4" w:space="0" w:color="000000"/>
            </w:tcBorders>
            <w:shd w:val="clear" w:color="auto" w:fill="auto"/>
            <w:noWrap/>
            <w:vAlign w:val="center"/>
            <w:hideMark/>
          </w:tcPr>
          <w:p w14:paraId="4509365D"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5.00%</w:t>
            </w:r>
          </w:p>
        </w:tc>
        <w:tc>
          <w:tcPr>
            <w:tcW w:w="1013" w:type="dxa"/>
            <w:tcBorders>
              <w:top w:val="nil"/>
              <w:left w:val="nil"/>
              <w:bottom w:val="nil"/>
              <w:right w:val="nil"/>
            </w:tcBorders>
            <w:shd w:val="clear" w:color="auto" w:fill="auto"/>
            <w:noWrap/>
            <w:vAlign w:val="center"/>
            <w:hideMark/>
          </w:tcPr>
          <w:p w14:paraId="0D7778B6" w14:textId="452232E6"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2.04</w:t>
            </w:r>
          </w:p>
        </w:tc>
        <w:tc>
          <w:tcPr>
            <w:tcW w:w="1923" w:type="dxa"/>
            <w:tcBorders>
              <w:top w:val="nil"/>
              <w:left w:val="single" w:sz="4" w:space="0" w:color="auto"/>
              <w:bottom w:val="nil"/>
              <w:right w:val="nil"/>
            </w:tcBorders>
            <w:shd w:val="clear" w:color="auto" w:fill="auto"/>
            <w:noWrap/>
            <w:vAlign w:val="center"/>
            <w:hideMark/>
          </w:tcPr>
          <w:p w14:paraId="3B5E9950"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1.47,2.83</w:t>
            </w:r>
          </w:p>
        </w:tc>
        <w:tc>
          <w:tcPr>
            <w:tcW w:w="1013" w:type="dxa"/>
            <w:tcBorders>
              <w:top w:val="nil"/>
              <w:left w:val="single" w:sz="4" w:space="0" w:color="000000"/>
              <w:bottom w:val="nil"/>
              <w:right w:val="nil"/>
            </w:tcBorders>
            <w:shd w:val="clear" w:color="auto" w:fill="auto"/>
            <w:noWrap/>
            <w:vAlign w:val="center"/>
            <w:hideMark/>
          </w:tcPr>
          <w:p w14:paraId="372C5892" w14:textId="05596DBB"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2.92</w:t>
            </w:r>
          </w:p>
        </w:tc>
        <w:tc>
          <w:tcPr>
            <w:tcW w:w="2291" w:type="dxa"/>
            <w:tcBorders>
              <w:top w:val="nil"/>
              <w:left w:val="single" w:sz="4" w:space="0" w:color="auto"/>
              <w:bottom w:val="nil"/>
              <w:right w:val="single" w:sz="4" w:space="0" w:color="000000"/>
            </w:tcBorders>
            <w:shd w:val="clear" w:color="auto" w:fill="auto"/>
            <w:noWrap/>
            <w:vAlign w:val="center"/>
            <w:hideMark/>
          </w:tcPr>
          <w:p w14:paraId="3B4EAFF5" w14:textId="12B9790A"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2.03,4.20</w:t>
            </w:r>
          </w:p>
        </w:tc>
      </w:tr>
      <w:tr w:rsidR="00DE517E" w:rsidRPr="00620B71" w14:paraId="5B72416B" w14:textId="77777777" w:rsidTr="00F24CBC">
        <w:trPr>
          <w:trHeight w:val="320"/>
          <w:jc w:val="center"/>
        </w:trPr>
        <w:tc>
          <w:tcPr>
            <w:tcW w:w="1271" w:type="dxa"/>
            <w:vMerge/>
            <w:tcBorders>
              <w:top w:val="nil"/>
              <w:left w:val="single" w:sz="4" w:space="0" w:color="auto"/>
              <w:bottom w:val="single" w:sz="4" w:space="0" w:color="000000"/>
              <w:right w:val="single" w:sz="4" w:space="0" w:color="auto"/>
            </w:tcBorders>
            <w:vAlign w:val="center"/>
            <w:hideMark/>
          </w:tcPr>
          <w:p w14:paraId="0ED3FACD" w14:textId="77777777" w:rsidR="00DE517E" w:rsidRPr="00620B71" w:rsidRDefault="00DE517E" w:rsidP="00DE517E">
            <w:pPr>
              <w:spacing w:before="0" w:after="0"/>
              <w:rPr>
                <w:rFonts w:eastAsia="Times New Roman" w:cs="Times New Roman"/>
                <w:b/>
                <w:bCs/>
                <w:color w:val="000000"/>
                <w:szCs w:val="22"/>
                <w:lang w:eastAsia="en-GB"/>
              </w:rPr>
            </w:pPr>
          </w:p>
        </w:tc>
        <w:tc>
          <w:tcPr>
            <w:tcW w:w="2021" w:type="dxa"/>
            <w:tcBorders>
              <w:top w:val="nil"/>
              <w:left w:val="nil"/>
              <w:bottom w:val="nil"/>
              <w:right w:val="single" w:sz="4" w:space="0" w:color="auto"/>
            </w:tcBorders>
            <w:shd w:val="clear" w:color="auto" w:fill="auto"/>
            <w:noWrap/>
            <w:vAlign w:val="center"/>
            <w:hideMark/>
          </w:tcPr>
          <w:p w14:paraId="75494A15" w14:textId="77777777" w:rsidR="00DE517E" w:rsidRPr="00620B71" w:rsidRDefault="00DE517E" w:rsidP="00DE517E">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Not-deployed</w:t>
            </w:r>
          </w:p>
        </w:tc>
        <w:tc>
          <w:tcPr>
            <w:tcW w:w="1175" w:type="dxa"/>
            <w:tcBorders>
              <w:top w:val="nil"/>
              <w:left w:val="nil"/>
              <w:bottom w:val="nil"/>
              <w:right w:val="nil"/>
            </w:tcBorders>
            <w:shd w:val="clear" w:color="auto" w:fill="auto"/>
            <w:noWrap/>
            <w:vAlign w:val="center"/>
            <w:hideMark/>
          </w:tcPr>
          <w:p w14:paraId="17AC1000"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33</w:t>
            </w:r>
          </w:p>
        </w:tc>
        <w:tc>
          <w:tcPr>
            <w:tcW w:w="1559" w:type="dxa"/>
            <w:tcBorders>
              <w:top w:val="nil"/>
              <w:left w:val="nil"/>
              <w:bottom w:val="nil"/>
              <w:right w:val="nil"/>
            </w:tcBorders>
            <w:shd w:val="clear" w:color="auto" w:fill="auto"/>
            <w:noWrap/>
            <w:vAlign w:val="center"/>
            <w:hideMark/>
          </w:tcPr>
          <w:p w14:paraId="3EEE99F4"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3.70%</w:t>
            </w:r>
          </w:p>
        </w:tc>
        <w:tc>
          <w:tcPr>
            <w:tcW w:w="1196" w:type="dxa"/>
            <w:tcBorders>
              <w:top w:val="nil"/>
              <w:left w:val="single" w:sz="4" w:space="0" w:color="000000"/>
              <w:bottom w:val="nil"/>
              <w:right w:val="nil"/>
            </w:tcBorders>
            <w:shd w:val="clear" w:color="auto" w:fill="auto"/>
            <w:noWrap/>
            <w:vAlign w:val="center"/>
            <w:hideMark/>
          </w:tcPr>
          <w:p w14:paraId="62950A31"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101</w:t>
            </w:r>
          </w:p>
        </w:tc>
        <w:tc>
          <w:tcPr>
            <w:tcW w:w="1559" w:type="dxa"/>
            <w:tcBorders>
              <w:top w:val="nil"/>
              <w:left w:val="nil"/>
              <w:bottom w:val="nil"/>
              <w:right w:val="single" w:sz="4" w:space="0" w:color="000000"/>
            </w:tcBorders>
            <w:shd w:val="clear" w:color="auto" w:fill="auto"/>
            <w:noWrap/>
            <w:vAlign w:val="center"/>
            <w:hideMark/>
          </w:tcPr>
          <w:p w14:paraId="0AB4F0DE"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5.00%</w:t>
            </w:r>
          </w:p>
        </w:tc>
        <w:tc>
          <w:tcPr>
            <w:tcW w:w="1013" w:type="dxa"/>
            <w:tcBorders>
              <w:top w:val="nil"/>
              <w:left w:val="nil"/>
              <w:bottom w:val="single" w:sz="4" w:space="0" w:color="auto"/>
              <w:right w:val="nil"/>
            </w:tcBorders>
            <w:shd w:val="clear" w:color="auto" w:fill="auto"/>
            <w:noWrap/>
            <w:vAlign w:val="center"/>
            <w:hideMark/>
          </w:tcPr>
          <w:p w14:paraId="5A8919D0"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0.73</w:t>
            </w:r>
          </w:p>
        </w:tc>
        <w:tc>
          <w:tcPr>
            <w:tcW w:w="1923" w:type="dxa"/>
            <w:tcBorders>
              <w:top w:val="nil"/>
              <w:left w:val="single" w:sz="4" w:space="0" w:color="auto"/>
              <w:bottom w:val="single" w:sz="4" w:space="0" w:color="auto"/>
              <w:right w:val="nil"/>
            </w:tcBorders>
            <w:shd w:val="clear" w:color="auto" w:fill="auto"/>
            <w:noWrap/>
            <w:vAlign w:val="center"/>
            <w:hideMark/>
          </w:tcPr>
          <w:p w14:paraId="58B01DFF"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0.46,1.14</w:t>
            </w:r>
          </w:p>
        </w:tc>
        <w:tc>
          <w:tcPr>
            <w:tcW w:w="1013" w:type="dxa"/>
            <w:tcBorders>
              <w:top w:val="nil"/>
              <w:left w:val="single" w:sz="4" w:space="0" w:color="000000"/>
              <w:bottom w:val="single" w:sz="4" w:space="0" w:color="auto"/>
              <w:right w:val="nil"/>
            </w:tcBorders>
            <w:shd w:val="clear" w:color="auto" w:fill="auto"/>
            <w:noWrap/>
            <w:vAlign w:val="center"/>
            <w:hideMark/>
          </w:tcPr>
          <w:p w14:paraId="777BACE1" w14:textId="762D6FE8"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1.36</w:t>
            </w:r>
          </w:p>
        </w:tc>
        <w:tc>
          <w:tcPr>
            <w:tcW w:w="2291" w:type="dxa"/>
            <w:tcBorders>
              <w:top w:val="nil"/>
              <w:left w:val="single" w:sz="4" w:space="0" w:color="auto"/>
              <w:bottom w:val="single" w:sz="4" w:space="0" w:color="auto"/>
              <w:right w:val="single" w:sz="4" w:space="0" w:color="000000"/>
            </w:tcBorders>
            <w:shd w:val="clear" w:color="auto" w:fill="auto"/>
            <w:noWrap/>
            <w:vAlign w:val="center"/>
            <w:hideMark/>
          </w:tcPr>
          <w:p w14:paraId="5EA42D7F" w14:textId="36FA4FC3"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0.78,2.37</w:t>
            </w:r>
          </w:p>
        </w:tc>
      </w:tr>
      <w:tr w:rsidR="00DE517E" w:rsidRPr="00620B71" w14:paraId="5DF118C4" w14:textId="77777777" w:rsidTr="00F24CBC">
        <w:trPr>
          <w:trHeight w:val="320"/>
          <w:jc w:val="center"/>
        </w:trPr>
        <w:tc>
          <w:tcPr>
            <w:tcW w:w="1271" w:type="dxa"/>
            <w:vMerge/>
            <w:tcBorders>
              <w:top w:val="nil"/>
              <w:left w:val="single" w:sz="4" w:space="0" w:color="auto"/>
              <w:bottom w:val="single" w:sz="4" w:space="0" w:color="000000"/>
              <w:right w:val="single" w:sz="4" w:space="0" w:color="auto"/>
            </w:tcBorders>
            <w:vAlign w:val="center"/>
            <w:hideMark/>
          </w:tcPr>
          <w:p w14:paraId="49448F5F" w14:textId="77777777" w:rsidR="00DE517E" w:rsidRPr="00620B71" w:rsidRDefault="00DE517E" w:rsidP="00DE517E">
            <w:pPr>
              <w:spacing w:before="0" w:after="0"/>
              <w:rPr>
                <w:rFonts w:eastAsia="Times New Roman" w:cs="Times New Roman"/>
                <w:b/>
                <w:bCs/>
                <w:color w:val="000000"/>
                <w:szCs w:val="22"/>
                <w:lang w:eastAsia="en-GB"/>
              </w:rPr>
            </w:pPr>
          </w:p>
        </w:tc>
        <w:tc>
          <w:tcPr>
            <w:tcW w:w="2021" w:type="dxa"/>
            <w:tcBorders>
              <w:top w:val="single" w:sz="4" w:space="0" w:color="auto"/>
              <w:left w:val="nil"/>
              <w:bottom w:val="nil"/>
              <w:right w:val="single" w:sz="4" w:space="0" w:color="auto"/>
            </w:tcBorders>
            <w:shd w:val="clear" w:color="auto" w:fill="auto"/>
            <w:noWrap/>
            <w:vAlign w:val="center"/>
            <w:hideMark/>
          </w:tcPr>
          <w:p w14:paraId="663CFFC2" w14:textId="77777777" w:rsidR="00DE517E" w:rsidRPr="00620B71" w:rsidRDefault="00DE517E" w:rsidP="00DE517E">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Combat role</w:t>
            </w:r>
          </w:p>
        </w:tc>
        <w:tc>
          <w:tcPr>
            <w:tcW w:w="1175" w:type="dxa"/>
            <w:tcBorders>
              <w:top w:val="single" w:sz="4" w:space="0" w:color="auto"/>
              <w:left w:val="nil"/>
              <w:bottom w:val="nil"/>
              <w:right w:val="nil"/>
            </w:tcBorders>
            <w:shd w:val="clear" w:color="auto" w:fill="auto"/>
            <w:noWrap/>
            <w:vAlign w:val="center"/>
            <w:hideMark/>
          </w:tcPr>
          <w:p w14:paraId="4D2CA3EC"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77</w:t>
            </w:r>
          </w:p>
        </w:tc>
        <w:tc>
          <w:tcPr>
            <w:tcW w:w="1559" w:type="dxa"/>
            <w:tcBorders>
              <w:top w:val="single" w:sz="4" w:space="0" w:color="auto"/>
              <w:left w:val="nil"/>
              <w:bottom w:val="nil"/>
              <w:right w:val="nil"/>
            </w:tcBorders>
            <w:shd w:val="clear" w:color="auto" w:fill="auto"/>
            <w:noWrap/>
            <w:vAlign w:val="center"/>
            <w:hideMark/>
          </w:tcPr>
          <w:p w14:paraId="44996488"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16.10%</w:t>
            </w:r>
          </w:p>
        </w:tc>
        <w:tc>
          <w:tcPr>
            <w:tcW w:w="1196" w:type="dxa"/>
            <w:tcBorders>
              <w:top w:val="single" w:sz="4" w:space="0" w:color="auto"/>
              <w:left w:val="single" w:sz="4" w:space="0" w:color="000000"/>
              <w:bottom w:val="nil"/>
              <w:right w:val="nil"/>
            </w:tcBorders>
            <w:shd w:val="clear" w:color="auto" w:fill="auto"/>
            <w:noWrap/>
            <w:vAlign w:val="center"/>
            <w:hideMark/>
          </w:tcPr>
          <w:p w14:paraId="4BB2A067"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101</w:t>
            </w:r>
          </w:p>
        </w:tc>
        <w:tc>
          <w:tcPr>
            <w:tcW w:w="1559" w:type="dxa"/>
            <w:tcBorders>
              <w:top w:val="single" w:sz="4" w:space="0" w:color="auto"/>
              <w:left w:val="nil"/>
              <w:bottom w:val="nil"/>
              <w:right w:val="single" w:sz="4" w:space="0" w:color="000000"/>
            </w:tcBorders>
            <w:shd w:val="clear" w:color="auto" w:fill="auto"/>
            <w:noWrap/>
            <w:vAlign w:val="center"/>
            <w:hideMark/>
          </w:tcPr>
          <w:p w14:paraId="1EC077F2"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5.00%</w:t>
            </w:r>
          </w:p>
        </w:tc>
        <w:tc>
          <w:tcPr>
            <w:tcW w:w="1013" w:type="dxa"/>
            <w:tcBorders>
              <w:top w:val="nil"/>
              <w:left w:val="nil"/>
              <w:bottom w:val="nil"/>
              <w:right w:val="nil"/>
            </w:tcBorders>
            <w:shd w:val="clear" w:color="auto" w:fill="auto"/>
            <w:noWrap/>
            <w:vAlign w:val="center"/>
            <w:hideMark/>
          </w:tcPr>
          <w:p w14:paraId="58C6414D" w14:textId="070AD1E0"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3.70</w:t>
            </w:r>
          </w:p>
        </w:tc>
        <w:tc>
          <w:tcPr>
            <w:tcW w:w="1923" w:type="dxa"/>
            <w:tcBorders>
              <w:top w:val="nil"/>
              <w:left w:val="single" w:sz="4" w:space="0" w:color="auto"/>
              <w:bottom w:val="nil"/>
              <w:right w:val="nil"/>
            </w:tcBorders>
            <w:shd w:val="clear" w:color="auto" w:fill="auto"/>
            <w:noWrap/>
            <w:vAlign w:val="center"/>
            <w:hideMark/>
          </w:tcPr>
          <w:p w14:paraId="48C3FE44"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2.47,5.53</w:t>
            </w:r>
          </w:p>
        </w:tc>
        <w:tc>
          <w:tcPr>
            <w:tcW w:w="1013" w:type="dxa"/>
            <w:tcBorders>
              <w:top w:val="nil"/>
              <w:left w:val="single" w:sz="4" w:space="0" w:color="000000"/>
              <w:bottom w:val="nil"/>
              <w:right w:val="nil"/>
            </w:tcBorders>
            <w:shd w:val="clear" w:color="auto" w:fill="auto"/>
            <w:noWrap/>
            <w:vAlign w:val="center"/>
            <w:hideMark/>
          </w:tcPr>
          <w:p w14:paraId="21FE41A2" w14:textId="1EA62504"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4.74</w:t>
            </w:r>
          </w:p>
        </w:tc>
        <w:tc>
          <w:tcPr>
            <w:tcW w:w="2291" w:type="dxa"/>
            <w:tcBorders>
              <w:top w:val="nil"/>
              <w:left w:val="single" w:sz="4" w:space="0" w:color="auto"/>
              <w:bottom w:val="nil"/>
              <w:right w:val="single" w:sz="4" w:space="0" w:color="000000"/>
            </w:tcBorders>
            <w:shd w:val="clear" w:color="auto" w:fill="auto"/>
            <w:noWrap/>
            <w:vAlign w:val="center"/>
            <w:hideMark/>
          </w:tcPr>
          <w:p w14:paraId="3228AFE8" w14:textId="40446046"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3.00,7.48</w:t>
            </w:r>
          </w:p>
        </w:tc>
      </w:tr>
      <w:tr w:rsidR="00DE517E" w:rsidRPr="00620B71" w14:paraId="4E443A62" w14:textId="77777777" w:rsidTr="00F24CBC">
        <w:trPr>
          <w:trHeight w:val="320"/>
          <w:jc w:val="center"/>
        </w:trPr>
        <w:tc>
          <w:tcPr>
            <w:tcW w:w="1271" w:type="dxa"/>
            <w:vMerge/>
            <w:tcBorders>
              <w:top w:val="nil"/>
              <w:left w:val="single" w:sz="4" w:space="0" w:color="auto"/>
              <w:bottom w:val="single" w:sz="4" w:space="0" w:color="000000"/>
              <w:right w:val="single" w:sz="4" w:space="0" w:color="auto"/>
            </w:tcBorders>
            <w:vAlign w:val="center"/>
            <w:hideMark/>
          </w:tcPr>
          <w:p w14:paraId="05500DF8" w14:textId="77777777" w:rsidR="00DE517E" w:rsidRPr="00620B71" w:rsidRDefault="00DE517E" w:rsidP="00DE517E">
            <w:pPr>
              <w:spacing w:before="0" w:after="0"/>
              <w:rPr>
                <w:rFonts w:eastAsia="Times New Roman" w:cs="Times New Roman"/>
                <w:b/>
                <w:bCs/>
                <w:color w:val="000000"/>
                <w:szCs w:val="22"/>
                <w:lang w:eastAsia="en-GB"/>
              </w:rPr>
            </w:pPr>
          </w:p>
        </w:tc>
        <w:tc>
          <w:tcPr>
            <w:tcW w:w="2021" w:type="dxa"/>
            <w:tcBorders>
              <w:top w:val="nil"/>
              <w:left w:val="nil"/>
              <w:bottom w:val="nil"/>
              <w:right w:val="single" w:sz="4" w:space="0" w:color="auto"/>
            </w:tcBorders>
            <w:shd w:val="clear" w:color="auto" w:fill="auto"/>
            <w:noWrap/>
            <w:vAlign w:val="center"/>
            <w:hideMark/>
          </w:tcPr>
          <w:p w14:paraId="6B3492BF" w14:textId="77777777" w:rsidR="00DE517E" w:rsidRPr="00620B71" w:rsidRDefault="00DE517E" w:rsidP="00DE517E">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Non-combat role</w:t>
            </w:r>
          </w:p>
        </w:tc>
        <w:tc>
          <w:tcPr>
            <w:tcW w:w="1175" w:type="dxa"/>
            <w:tcBorders>
              <w:top w:val="nil"/>
              <w:left w:val="nil"/>
              <w:bottom w:val="nil"/>
              <w:right w:val="nil"/>
            </w:tcBorders>
            <w:shd w:val="clear" w:color="auto" w:fill="auto"/>
            <w:noWrap/>
            <w:vAlign w:val="center"/>
            <w:hideMark/>
          </w:tcPr>
          <w:p w14:paraId="5AEE974E" w14:textId="21A0D792"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59</w:t>
            </w:r>
          </w:p>
        </w:tc>
        <w:tc>
          <w:tcPr>
            <w:tcW w:w="1559" w:type="dxa"/>
            <w:tcBorders>
              <w:top w:val="nil"/>
              <w:left w:val="nil"/>
              <w:bottom w:val="nil"/>
              <w:right w:val="nil"/>
            </w:tcBorders>
            <w:shd w:val="clear" w:color="auto" w:fill="auto"/>
            <w:noWrap/>
            <w:vAlign w:val="center"/>
            <w:hideMark/>
          </w:tcPr>
          <w:p w14:paraId="0E2F7729" w14:textId="327ABA02"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5.56%</w:t>
            </w:r>
          </w:p>
        </w:tc>
        <w:tc>
          <w:tcPr>
            <w:tcW w:w="1196" w:type="dxa"/>
            <w:tcBorders>
              <w:top w:val="nil"/>
              <w:left w:val="single" w:sz="4" w:space="0" w:color="000000"/>
              <w:bottom w:val="nil"/>
              <w:right w:val="nil"/>
            </w:tcBorders>
            <w:shd w:val="clear" w:color="auto" w:fill="auto"/>
            <w:noWrap/>
            <w:vAlign w:val="center"/>
            <w:hideMark/>
          </w:tcPr>
          <w:p w14:paraId="4DFB21FB" w14:textId="293E9A85"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101</w:t>
            </w:r>
          </w:p>
        </w:tc>
        <w:tc>
          <w:tcPr>
            <w:tcW w:w="1559" w:type="dxa"/>
            <w:tcBorders>
              <w:top w:val="nil"/>
              <w:left w:val="nil"/>
              <w:bottom w:val="nil"/>
              <w:right w:val="single" w:sz="4" w:space="0" w:color="000000"/>
            </w:tcBorders>
            <w:shd w:val="clear" w:color="auto" w:fill="auto"/>
            <w:noWrap/>
            <w:vAlign w:val="center"/>
            <w:hideMark/>
          </w:tcPr>
          <w:p w14:paraId="36537BF7" w14:textId="61BAB835"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5.00%</w:t>
            </w:r>
          </w:p>
        </w:tc>
        <w:tc>
          <w:tcPr>
            <w:tcW w:w="1013" w:type="dxa"/>
            <w:tcBorders>
              <w:top w:val="nil"/>
              <w:left w:val="nil"/>
              <w:bottom w:val="nil"/>
              <w:right w:val="nil"/>
            </w:tcBorders>
            <w:shd w:val="clear" w:color="auto" w:fill="auto"/>
            <w:noWrap/>
            <w:vAlign w:val="center"/>
            <w:hideMark/>
          </w:tcPr>
          <w:p w14:paraId="3BC78E25" w14:textId="5339A591"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1.12</w:t>
            </w:r>
          </w:p>
        </w:tc>
        <w:tc>
          <w:tcPr>
            <w:tcW w:w="1923" w:type="dxa"/>
            <w:tcBorders>
              <w:top w:val="nil"/>
              <w:left w:val="single" w:sz="4" w:space="0" w:color="auto"/>
              <w:bottom w:val="nil"/>
              <w:right w:val="nil"/>
            </w:tcBorders>
            <w:shd w:val="clear" w:color="auto" w:fill="auto"/>
            <w:noWrap/>
            <w:vAlign w:val="center"/>
            <w:hideMark/>
          </w:tcPr>
          <w:p w14:paraId="71A4EBFE" w14:textId="65917D1F"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0.75,1.67</w:t>
            </w:r>
          </w:p>
        </w:tc>
        <w:tc>
          <w:tcPr>
            <w:tcW w:w="1013" w:type="dxa"/>
            <w:tcBorders>
              <w:top w:val="nil"/>
              <w:left w:val="single" w:sz="4" w:space="0" w:color="000000"/>
              <w:bottom w:val="nil"/>
              <w:right w:val="nil"/>
            </w:tcBorders>
            <w:shd w:val="clear" w:color="auto" w:fill="auto"/>
            <w:noWrap/>
            <w:vAlign w:val="center"/>
            <w:hideMark/>
          </w:tcPr>
          <w:p w14:paraId="5EFE6536" w14:textId="7C302B09" w:rsidR="00DE517E" w:rsidRPr="00A37D22" w:rsidRDefault="00DE517E" w:rsidP="00DE517E">
            <w:pPr>
              <w:spacing w:before="0" w:after="0"/>
              <w:jc w:val="center"/>
              <w:rPr>
                <w:rFonts w:eastAsia="Times New Roman" w:cs="Times New Roman"/>
                <w:color w:val="000000"/>
                <w:szCs w:val="22"/>
                <w:highlight w:val="yellow"/>
                <w:lang w:eastAsia="en-GB"/>
              </w:rPr>
            </w:pPr>
            <w:r>
              <w:rPr>
                <w:color w:val="000000"/>
                <w:szCs w:val="22"/>
              </w:rPr>
              <w:t>1.76</w:t>
            </w:r>
          </w:p>
        </w:tc>
        <w:tc>
          <w:tcPr>
            <w:tcW w:w="2291" w:type="dxa"/>
            <w:tcBorders>
              <w:top w:val="nil"/>
              <w:left w:val="single" w:sz="4" w:space="0" w:color="auto"/>
              <w:bottom w:val="nil"/>
              <w:right w:val="single" w:sz="4" w:space="0" w:color="000000"/>
            </w:tcBorders>
            <w:shd w:val="clear" w:color="auto" w:fill="auto"/>
            <w:noWrap/>
            <w:vAlign w:val="center"/>
            <w:hideMark/>
          </w:tcPr>
          <w:p w14:paraId="607D9EDC" w14:textId="34110EAD" w:rsidR="00DE517E" w:rsidRPr="00A37D22" w:rsidRDefault="00DE517E" w:rsidP="00DE517E">
            <w:pPr>
              <w:spacing w:before="0" w:after="0"/>
              <w:jc w:val="center"/>
              <w:rPr>
                <w:rFonts w:eastAsia="Times New Roman" w:cs="Times New Roman"/>
                <w:color w:val="000000"/>
                <w:szCs w:val="22"/>
                <w:highlight w:val="yellow"/>
                <w:lang w:eastAsia="en-GB"/>
              </w:rPr>
            </w:pPr>
            <w:r>
              <w:rPr>
                <w:color w:val="000000"/>
                <w:szCs w:val="22"/>
              </w:rPr>
              <w:t>1.14,2.72</w:t>
            </w:r>
          </w:p>
        </w:tc>
      </w:tr>
      <w:tr w:rsidR="00DE517E" w:rsidRPr="00620B71" w14:paraId="3F59F054" w14:textId="77777777" w:rsidTr="00F24CBC">
        <w:trPr>
          <w:trHeight w:val="320"/>
          <w:jc w:val="center"/>
        </w:trPr>
        <w:tc>
          <w:tcPr>
            <w:tcW w:w="127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A80A0FD" w14:textId="77777777" w:rsidR="00DE517E" w:rsidRPr="00620B71" w:rsidRDefault="00DE517E" w:rsidP="00DE517E">
            <w:pPr>
              <w:spacing w:before="0" w:after="0"/>
              <w:jc w:val="center"/>
              <w:rPr>
                <w:rFonts w:eastAsia="Times New Roman" w:cs="Times New Roman"/>
                <w:b/>
                <w:bCs/>
                <w:color w:val="000000"/>
                <w:szCs w:val="22"/>
                <w:lang w:eastAsia="en-GB"/>
              </w:rPr>
            </w:pPr>
            <w:r w:rsidRPr="00620B71">
              <w:rPr>
                <w:rFonts w:eastAsia="Times New Roman" w:cs="Times New Roman"/>
                <w:b/>
                <w:bCs/>
                <w:color w:val="000000"/>
                <w:szCs w:val="22"/>
                <w:lang w:eastAsia="en-GB"/>
              </w:rPr>
              <w:t>CMD</w:t>
            </w:r>
          </w:p>
        </w:tc>
        <w:tc>
          <w:tcPr>
            <w:tcW w:w="2021" w:type="dxa"/>
            <w:tcBorders>
              <w:top w:val="single" w:sz="4" w:space="0" w:color="000000"/>
              <w:left w:val="nil"/>
              <w:bottom w:val="nil"/>
              <w:right w:val="single" w:sz="4" w:space="0" w:color="000000"/>
            </w:tcBorders>
            <w:shd w:val="clear" w:color="auto" w:fill="auto"/>
            <w:noWrap/>
            <w:vAlign w:val="center"/>
            <w:hideMark/>
          </w:tcPr>
          <w:p w14:paraId="23ACC628" w14:textId="77777777" w:rsidR="00DE517E" w:rsidRPr="00620B71" w:rsidRDefault="00DE517E" w:rsidP="00DE517E">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Deployed</w:t>
            </w:r>
          </w:p>
        </w:tc>
        <w:tc>
          <w:tcPr>
            <w:tcW w:w="1175" w:type="dxa"/>
            <w:tcBorders>
              <w:top w:val="single" w:sz="4" w:space="0" w:color="000000"/>
              <w:left w:val="nil"/>
              <w:bottom w:val="nil"/>
              <w:right w:val="nil"/>
            </w:tcBorders>
            <w:shd w:val="clear" w:color="auto" w:fill="auto"/>
            <w:noWrap/>
            <w:vAlign w:val="center"/>
            <w:hideMark/>
          </w:tcPr>
          <w:p w14:paraId="363AA182"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390</w:t>
            </w:r>
          </w:p>
        </w:tc>
        <w:tc>
          <w:tcPr>
            <w:tcW w:w="1559" w:type="dxa"/>
            <w:tcBorders>
              <w:top w:val="single" w:sz="4" w:space="0" w:color="000000"/>
              <w:left w:val="nil"/>
              <w:bottom w:val="nil"/>
              <w:right w:val="nil"/>
            </w:tcBorders>
            <w:shd w:val="clear" w:color="auto" w:fill="auto"/>
            <w:noWrap/>
            <w:vAlign w:val="center"/>
            <w:hideMark/>
          </w:tcPr>
          <w:p w14:paraId="0252BBD1"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24.60%</w:t>
            </w:r>
          </w:p>
        </w:tc>
        <w:tc>
          <w:tcPr>
            <w:tcW w:w="1196" w:type="dxa"/>
            <w:tcBorders>
              <w:top w:val="single" w:sz="4" w:space="0" w:color="000000"/>
              <w:left w:val="single" w:sz="4" w:space="0" w:color="000000"/>
              <w:bottom w:val="nil"/>
              <w:right w:val="nil"/>
            </w:tcBorders>
            <w:shd w:val="clear" w:color="auto" w:fill="auto"/>
            <w:noWrap/>
            <w:vAlign w:val="center"/>
            <w:hideMark/>
          </w:tcPr>
          <w:p w14:paraId="3AFBEE42"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1,451</w:t>
            </w:r>
          </w:p>
        </w:tc>
        <w:tc>
          <w:tcPr>
            <w:tcW w:w="1559" w:type="dxa"/>
            <w:tcBorders>
              <w:top w:val="single" w:sz="4" w:space="0" w:color="000000"/>
              <w:left w:val="nil"/>
              <w:bottom w:val="nil"/>
              <w:right w:val="single" w:sz="4" w:space="0" w:color="000000"/>
            </w:tcBorders>
            <w:shd w:val="clear" w:color="auto" w:fill="auto"/>
            <w:noWrap/>
            <w:vAlign w:val="center"/>
            <w:hideMark/>
          </w:tcPr>
          <w:p w14:paraId="6DF02FB2"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15.70%</w:t>
            </w:r>
          </w:p>
        </w:tc>
        <w:tc>
          <w:tcPr>
            <w:tcW w:w="1013" w:type="dxa"/>
            <w:tcBorders>
              <w:top w:val="single" w:sz="4" w:space="0" w:color="000000"/>
              <w:left w:val="nil"/>
              <w:bottom w:val="nil"/>
              <w:right w:val="nil"/>
            </w:tcBorders>
            <w:shd w:val="clear" w:color="auto" w:fill="auto"/>
            <w:noWrap/>
            <w:vAlign w:val="bottom"/>
            <w:hideMark/>
          </w:tcPr>
          <w:p w14:paraId="3262A8B7" w14:textId="155C0A7B" w:rsidR="00DE517E" w:rsidRPr="00620B71" w:rsidRDefault="00DE517E" w:rsidP="00DE517E">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1.76</w:t>
            </w:r>
          </w:p>
        </w:tc>
        <w:tc>
          <w:tcPr>
            <w:tcW w:w="1923" w:type="dxa"/>
            <w:tcBorders>
              <w:top w:val="single" w:sz="4" w:space="0" w:color="000000"/>
              <w:left w:val="single" w:sz="4" w:space="0" w:color="000000"/>
              <w:bottom w:val="nil"/>
              <w:right w:val="nil"/>
            </w:tcBorders>
            <w:shd w:val="clear" w:color="auto" w:fill="auto"/>
            <w:noWrap/>
            <w:vAlign w:val="center"/>
            <w:hideMark/>
          </w:tcPr>
          <w:p w14:paraId="0DEF416F" w14:textId="77777777" w:rsidR="00DE517E" w:rsidRPr="00620B71" w:rsidRDefault="00DE517E" w:rsidP="00DE517E">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1.51,2.05</w:t>
            </w:r>
          </w:p>
        </w:tc>
        <w:tc>
          <w:tcPr>
            <w:tcW w:w="1013" w:type="dxa"/>
            <w:tcBorders>
              <w:top w:val="single" w:sz="4" w:space="0" w:color="000000"/>
              <w:left w:val="single" w:sz="4" w:space="0" w:color="000000"/>
              <w:bottom w:val="nil"/>
              <w:right w:val="single" w:sz="4" w:space="0" w:color="000000"/>
            </w:tcBorders>
            <w:shd w:val="clear" w:color="auto" w:fill="auto"/>
            <w:noWrap/>
            <w:vAlign w:val="center"/>
            <w:hideMark/>
          </w:tcPr>
          <w:p w14:paraId="2EAE07B5" w14:textId="24EDB704" w:rsidR="00DE517E" w:rsidRPr="00620B71" w:rsidRDefault="00DE517E" w:rsidP="00DE517E">
            <w:pPr>
              <w:spacing w:before="0" w:after="0"/>
              <w:jc w:val="center"/>
              <w:rPr>
                <w:rFonts w:eastAsia="Times New Roman" w:cs="Times New Roman"/>
                <w:color w:val="000000"/>
                <w:sz w:val="24"/>
                <w:lang w:eastAsia="en-GB"/>
              </w:rPr>
            </w:pPr>
            <w:r>
              <w:rPr>
                <w:color w:val="000000"/>
              </w:rPr>
              <w:t>1.85</w:t>
            </w:r>
          </w:p>
        </w:tc>
        <w:tc>
          <w:tcPr>
            <w:tcW w:w="2291" w:type="dxa"/>
            <w:tcBorders>
              <w:top w:val="single" w:sz="4" w:space="0" w:color="000000"/>
              <w:left w:val="nil"/>
              <w:bottom w:val="nil"/>
              <w:right w:val="single" w:sz="4" w:space="0" w:color="000000"/>
            </w:tcBorders>
            <w:shd w:val="clear" w:color="auto" w:fill="auto"/>
            <w:noWrap/>
            <w:vAlign w:val="center"/>
            <w:hideMark/>
          </w:tcPr>
          <w:p w14:paraId="656A7010" w14:textId="72FB0560" w:rsidR="00DE517E" w:rsidRPr="00620B71" w:rsidRDefault="00DE517E" w:rsidP="00DE517E">
            <w:pPr>
              <w:spacing w:before="0" w:after="0"/>
              <w:jc w:val="center"/>
              <w:rPr>
                <w:rFonts w:eastAsia="Times New Roman" w:cs="Times New Roman"/>
                <w:color w:val="000000"/>
                <w:sz w:val="24"/>
                <w:lang w:eastAsia="en-GB"/>
              </w:rPr>
            </w:pPr>
            <w:r>
              <w:rPr>
                <w:color w:val="000000"/>
              </w:rPr>
              <w:t>1.57,2.18</w:t>
            </w:r>
          </w:p>
        </w:tc>
      </w:tr>
      <w:tr w:rsidR="00DE517E" w:rsidRPr="00620B71" w14:paraId="55EB52F0" w14:textId="77777777" w:rsidTr="00F24CBC">
        <w:trPr>
          <w:trHeight w:val="320"/>
          <w:jc w:val="center"/>
        </w:trPr>
        <w:tc>
          <w:tcPr>
            <w:tcW w:w="1271" w:type="dxa"/>
            <w:vMerge/>
            <w:tcBorders>
              <w:top w:val="nil"/>
              <w:left w:val="single" w:sz="4" w:space="0" w:color="000000"/>
              <w:bottom w:val="single" w:sz="4" w:space="0" w:color="000000"/>
              <w:right w:val="single" w:sz="4" w:space="0" w:color="000000"/>
            </w:tcBorders>
            <w:vAlign w:val="center"/>
            <w:hideMark/>
          </w:tcPr>
          <w:p w14:paraId="78658A2C" w14:textId="77777777" w:rsidR="00DE517E" w:rsidRPr="00620B71" w:rsidRDefault="00DE517E" w:rsidP="00DE517E">
            <w:pPr>
              <w:spacing w:before="0" w:after="0"/>
              <w:rPr>
                <w:rFonts w:eastAsia="Times New Roman" w:cs="Times New Roman"/>
                <w:b/>
                <w:bCs/>
                <w:color w:val="000000"/>
                <w:szCs w:val="22"/>
                <w:lang w:eastAsia="en-GB"/>
              </w:rPr>
            </w:pPr>
          </w:p>
        </w:tc>
        <w:tc>
          <w:tcPr>
            <w:tcW w:w="2021" w:type="dxa"/>
            <w:tcBorders>
              <w:top w:val="nil"/>
              <w:left w:val="nil"/>
              <w:bottom w:val="single" w:sz="4" w:space="0" w:color="000000"/>
              <w:right w:val="single" w:sz="4" w:space="0" w:color="000000"/>
            </w:tcBorders>
            <w:shd w:val="clear" w:color="auto" w:fill="auto"/>
            <w:noWrap/>
            <w:vAlign w:val="center"/>
            <w:hideMark/>
          </w:tcPr>
          <w:p w14:paraId="6A72BB02" w14:textId="77777777" w:rsidR="00DE517E" w:rsidRPr="00620B71" w:rsidRDefault="00DE517E" w:rsidP="00DE517E">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Not-deployed</w:t>
            </w:r>
          </w:p>
        </w:tc>
        <w:tc>
          <w:tcPr>
            <w:tcW w:w="1175" w:type="dxa"/>
            <w:tcBorders>
              <w:top w:val="nil"/>
              <w:left w:val="nil"/>
              <w:bottom w:val="single" w:sz="4" w:space="0" w:color="000000"/>
              <w:right w:val="nil"/>
            </w:tcBorders>
            <w:shd w:val="clear" w:color="auto" w:fill="auto"/>
            <w:noWrap/>
            <w:vAlign w:val="center"/>
            <w:hideMark/>
          </w:tcPr>
          <w:p w14:paraId="4E7D33D6"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167</w:t>
            </w:r>
          </w:p>
        </w:tc>
        <w:tc>
          <w:tcPr>
            <w:tcW w:w="1559" w:type="dxa"/>
            <w:tcBorders>
              <w:top w:val="nil"/>
              <w:left w:val="nil"/>
              <w:bottom w:val="single" w:sz="4" w:space="0" w:color="000000"/>
              <w:right w:val="nil"/>
            </w:tcBorders>
            <w:shd w:val="clear" w:color="auto" w:fill="auto"/>
            <w:noWrap/>
            <w:vAlign w:val="center"/>
            <w:hideMark/>
          </w:tcPr>
          <w:p w14:paraId="343A791A"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20.30%</w:t>
            </w:r>
          </w:p>
        </w:tc>
        <w:tc>
          <w:tcPr>
            <w:tcW w:w="1196" w:type="dxa"/>
            <w:tcBorders>
              <w:top w:val="nil"/>
              <w:left w:val="single" w:sz="4" w:space="0" w:color="000000"/>
              <w:bottom w:val="single" w:sz="4" w:space="0" w:color="000000"/>
              <w:right w:val="nil"/>
            </w:tcBorders>
            <w:shd w:val="clear" w:color="auto" w:fill="auto"/>
            <w:noWrap/>
            <w:vAlign w:val="center"/>
            <w:hideMark/>
          </w:tcPr>
          <w:p w14:paraId="4244A48D"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1,451</w:t>
            </w:r>
          </w:p>
        </w:tc>
        <w:tc>
          <w:tcPr>
            <w:tcW w:w="1559" w:type="dxa"/>
            <w:tcBorders>
              <w:top w:val="nil"/>
              <w:left w:val="nil"/>
              <w:bottom w:val="single" w:sz="4" w:space="0" w:color="000000"/>
              <w:right w:val="single" w:sz="4" w:space="0" w:color="000000"/>
            </w:tcBorders>
            <w:shd w:val="clear" w:color="auto" w:fill="auto"/>
            <w:noWrap/>
            <w:vAlign w:val="center"/>
            <w:hideMark/>
          </w:tcPr>
          <w:p w14:paraId="5E698159"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15.30%</w:t>
            </w:r>
          </w:p>
        </w:tc>
        <w:tc>
          <w:tcPr>
            <w:tcW w:w="1013" w:type="dxa"/>
            <w:tcBorders>
              <w:top w:val="nil"/>
              <w:left w:val="nil"/>
              <w:bottom w:val="single" w:sz="4" w:space="0" w:color="000000"/>
              <w:right w:val="nil"/>
            </w:tcBorders>
            <w:shd w:val="clear" w:color="auto" w:fill="auto"/>
            <w:noWrap/>
            <w:vAlign w:val="bottom"/>
            <w:hideMark/>
          </w:tcPr>
          <w:p w14:paraId="10942227" w14:textId="1EE01395" w:rsidR="00DE517E" w:rsidRPr="00620B71" w:rsidRDefault="00DE517E" w:rsidP="00DE517E">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1.41</w:t>
            </w:r>
          </w:p>
        </w:tc>
        <w:tc>
          <w:tcPr>
            <w:tcW w:w="1923" w:type="dxa"/>
            <w:tcBorders>
              <w:top w:val="nil"/>
              <w:left w:val="single" w:sz="4" w:space="0" w:color="000000"/>
              <w:bottom w:val="single" w:sz="4" w:space="0" w:color="000000"/>
              <w:right w:val="nil"/>
            </w:tcBorders>
            <w:shd w:val="clear" w:color="auto" w:fill="auto"/>
            <w:noWrap/>
            <w:vAlign w:val="center"/>
            <w:hideMark/>
          </w:tcPr>
          <w:p w14:paraId="1DEEFE73" w14:textId="77777777" w:rsidR="00DE517E" w:rsidRPr="00620B71" w:rsidRDefault="00DE517E" w:rsidP="00DE517E">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1.12,1.77</w:t>
            </w:r>
          </w:p>
        </w:tc>
        <w:tc>
          <w:tcPr>
            <w:tcW w:w="1013" w:type="dxa"/>
            <w:tcBorders>
              <w:top w:val="nil"/>
              <w:left w:val="single" w:sz="4" w:space="0" w:color="000000"/>
              <w:bottom w:val="single" w:sz="4" w:space="0" w:color="000000"/>
              <w:right w:val="single" w:sz="4" w:space="0" w:color="000000"/>
            </w:tcBorders>
            <w:shd w:val="clear" w:color="auto" w:fill="auto"/>
            <w:noWrap/>
            <w:vAlign w:val="center"/>
            <w:hideMark/>
          </w:tcPr>
          <w:p w14:paraId="74A431CE" w14:textId="5934D852" w:rsidR="00DE517E" w:rsidRPr="00620B71" w:rsidRDefault="00DE517E" w:rsidP="00DE517E">
            <w:pPr>
              <w:spacing w:before="0" w:after="0"/>
              <w:jc w:val="center"/>
              <w:rPr>
                <w:rFonts w:eastAsia="Times New Roman" w:cs="Times New Roman"/>
                <w:color w:val="000000"/>
                <w:sz w:val="24"/>
                <w:lang w:eastAsia="en-GB"/>
              </w:rPr>
            </w:pPr>
            <w:r>
              <w:rPr>
                <w:color w:val="000000"/>
              </w:rPr>
              <w:t>1.69</w:t>
            </w:r>
          </w:p>
        </w:tc>
        <w:tc>
          <w:tcPr>
            <w:tcW w:w="2291" w:type="dxa"/>
            <w:tcBorders>
              <w:top w:val="nil"/>
              <w:left w:val="nil"/>
              <w:bottom w:val="single" w:sz="4" w:space="0" w:color="000000"/>
              <w:right w:val="single" w:sz="4" w:space="0" w:color="000000"/>
            </w:tcBorders>
            <w:shd w:val="clear" w:color="auto" w:fill="auto"/>
            <w:noWrap/>
            <w:vAlign w:val="center"/>
            <w:hideMark/>
          </w:tcPr>
          <w:p w14:paraId="5A17963C" w14:textId="64A4DEB3" w:rsidR="00DE517E" w:rsidRPr="00620B71" w:rsidRDefault="00DE517E" w:rsidP="00DE517E">
            <w:pPr>
              <w:spacing w:before="0" w:after="0"/>
              <w:jc w:val="center"/>
              <w:rPr>
                <w:rFonts w:eastAsia="Times New Roman" w:cs="Times New Roman"/>
                <w:color w:val="000000"/>
                <w:sz w:val="24"/>
                <w:lang w:eastAsia="en-GB"/>
              </w:rPr>
            </w:pPr>
            <w:r>
              <w:rPr>
                <w:color w:val="000000"/>
              </w:rPr>
              <w:t>1.31,2.17</w:t>
            </w:r>
          </w:p>
        </w:tc>
      </w:tr>
      <w:tr w:rsidR="00DE517E" w:rsidRPr="00620B71" w14:paraId="1AACAD7D" w14:textId="77777777" w:rsidTr="00F24CBC">
        <w:trPr>
          <w:trHeight w:val="320"/>
          <w:jc w:val="center"/>
        </w:trPr>
        <w:tc>
          <w:tcPr>
            <w:tcW w:w="1271" w:type="dxa"/>
            <w:vMerge/>
            <w:tcBorders>
              <w:top w:val="nil"/>
              <w:left w:val="single" w:sz="4" w:space="0" w:color="000000"/>
              <w:bottom w:val="single" w:sz="4" w:space="0" w:color="000000"/>
              <w:right w:val="single" w:sz="4" w:space="0" w:color="000000"/>
            </w:tcBorders>
            <w:vAlign w:val="center"/>
            <w:hideMark/>
          </w:tcPr>
          <w:p w14:paraId="3FD9A48B" w14:textId="77777777" w:rsidR="00DE517E" w:rsidRPr="00620B71" w:rsidRDefault="00DE517E" w:rsidP="00DE517E">
            <w:pPr>
              <w:spacing w:before="0" w:after="0"/>
              <w:rPr>
                <w:rFonts w:eastAsia="Times New Roman" w:cs="Times New Roman"/>
                <w:b/>
                <w:bCs/>
                <w:color w:val="000000"/>
                <w:szCs w:val="22"/>
                <w:lang w:eastAsia="en-GB"/>
              </w:rPr>
            </w:pPr>
          </w:p>
        </w:tc>
        <w:tc>
          <w:tcPr>
            <w:tcW w:w="2021" w:type="dxa"/>
            <w:tcBorders>
              <w:top w:val="nil"/>
              <w:left w:val="nil"/>
              <w:bottom w:val="nil"/>
              <w:right w:val="single" w:sz="4" w:space="0" w:color="000000"/>
            </w:tcBorders>
            <w:shd w:val="clear" w:color="auto" w:fill="auto"/>
            <w:noWrap/>
            <w:vAlign w:val="center"/>
            <w:hideMark/>
          </w:tcPr>
          <w:p w14:paraId="1B8A3CCB" w14:textId="77777777" w:rsidR="00DE517E" w:rsidRPr="00620B71" w:rsidRDefault="00DE517E" w:rsidP="00DE517E">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Combat role</w:t>
            </w:r>
          </w:p>
        </w:tc>
        <w:tc>
          <w:tcPr>
            <w:tcW w:w="1175" w:type="dxa"/>
            <w:tcBorders>
              <w:top w:val="nil"/>
              <w:left w:val="nil"/>
              <w:bottom w:val="nil"/>
              <w:right w:val="nil"/>
            </w:tcBorders>
            <w:shd w:val="clear" w:color="auto" w:fill="auto"/>
            <w:noWrap/>
            <w:vAlign w:val="center"/>
            <w:hideMark/>
          </w:tcPr>
          <w:p w14:paraId="214AF87D"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171</w:t>
            </w:r>
          </w:p>
        </w:tc>
        <w:tc>
          <w:tcPr>
            <w:tcW w:w="1559" w:type="dxa"/>
            <w:tcBorders>
              <w:top w:val="nil"/>
              <w:left w:val="nil"/>
              <w:bottom w:val="nil"/>
              <w:right w:val="nil"/>
            </w:tcBorders>
            <w:shd w:val="clear" w:color="auto" w:fill="auto"/>
            <w:noWrap/>
            <w:vAlign w:val="center"/>
            <w:hideMark/>
          </w:tcPr>
          <w:p w14:paraId="542B847D"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30.20%</w:t>
            </w:r>
          </w:p>
        </w:tc>
        <w:tc>
          <w:tcPr>
            <w:tcW w:w="1196" w:type="dxa"/>
            <w:tcBorders>
              <w:top w:val="nil"/>
              <w:left w:val="single" w:sz="4" w:space="0" w:color="000000"/>
              <w:bottom w:val="nil"/>
              <w:right w:val="nil"/>
            </w:tcBorders>
            <w:shd w:val="clear" w:color="auto" w:fill="auto"/>
            <w:noWrap/>
            <w:vAlign w:val="center"/>
            <w:hideMark/>
          </w:tcPr>
          <w:p w14:paraId="24868847"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1,451</w:t>
            </w:r>
          </w:p>
        </w:tc>
        <w:tc>
          <w:tcPr>
            <w:tcW w:w="1559" w:type="dxa"/>
            <w:tcBorders>
              <w:top w:val="nil"/>
              <w:left w:val="nil"/>
              <w:bottom w:val="nil"/>
              <w:right w:val="single" w:sz="4" w:space="0" w:color="000000"/>
            </w:tcBorders>
            <w:shd w:val="clear" w:color="auto" w:fill="auto"/>
            <w:noWrap/>
            <w:vAlign w:val="center"/>
            <w:hideMark/>
          </w:tcPr>
          <w:p w14:paraId="5826CF9A"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15.90%</w:t>
            </w:r>
          </w:p>
        </w:tc>
        <w:tc>
          <w:tcPr>
            <w:tcW w:w="1013" w:type="dxa"/>
            <w:tcBorders>
              <w:top w:val="nil"/>
              <w:left w:val="nil"/>
              <w:bottom w:val="nil"/>
              <w:right w:val="nil"/>
            </w:tcBorders>
            <w:shd w:val="clear" w:color="auto" w:fill="auto"/>
            <w:noWrap/>
            <w:vAlign w:val="bottom"/>
            <w:hideMark/>
          </w:tcPr>
          <w:p w14:paraId="63F72F8B" w14:textId="5D754404" w:rsidR="00DE517E" w:rsidRPr="00620B71" w:rsidRDefault="00DE517E" w:rsidP="00DE517E">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2.29</w:t>
            </w:r>
          </w:p>
        </w:tc>
        <w:tc>
          <w:tcPr>
            <w:tcW w:w="1923" w:type="dxa"/>
            <w:tcBorders>
              <w:top w:val="nil"/>
              <w:left w:val="single" w:sz="4" w:space="0" w:color="000000"/>
              <w:bottom w:val="nil"/>
              <w:right w:val="nil"/>
            </w:tcBorders>
            <w:shd w:val="clear" w:color="auto" w:fill="auto"/>
            <w:noWrap/>
            <w:vAlign w:val="center"/>
            <w:hideMark/>
          </w:tcPr>
          <w:p w14:paraId="1CE7D737" w14:textId="77777777" w:rsidR="00DE517E" w:rsidRPr="00620B71" w:rsidRDefault="00DE517E" w:rsidP="00DE517E">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1.81,2.89</w:t>
            </w:r>
          </w:p>
        </w:tc>
        <w:tc>
          <w:tcPr>
            <w:tcW w:w="1013" w:type="dxa"/>
            <w:tcBorders>
              <w:top w:val="nil"/>
              <w:left w:val="single" w:sz="4" w:space="0" w:color="000000"/>
              <w:bottom w:val="nil"/>
              <w:right w:val="single" w:sz="4" w:space="0" w:color="000000"/>
            </w:tcBorders>
            <w:shd w:val="clear" w:color="auto" w:fill="auto"/>
            <w:noWrap/>
            <w:vAlign w:val="center"/>
            <w:hideMark/>
          </w:tcPr>
          <w:p w14:paraId="05382C28" w14:textId="40EA0199" w:rsidR="00DE517E" w:rsidRPr="00620B71" w:rsidRDefault="00DE517E" w:rsidP="00DE517E">
            <w:pPr>
              <w:spacing w:before="0" w:after="0"/>
              <w:jc w:val="center"/>
              <w:rPr>
                <w:rFonts w:eastAsia="Times New Roman" w:cs="Times New Roman"/>
                <w:color w:val="000000"/>
                <w:sz w:val="24"/>
                <w:lang w:eastAsia="en-GB"/>
              </w:rPr>
            </w:pPr>
            <w:r>
              <w:rPr>
                <w:color w:val="000000"/>
              </w:rPr>
              <w:t>2.23</w:t>
            </w:r>
          </w:p>
        </w:tc>
        <w:tc>
          <w:tcPr>
            <w:tcW w:w="2291" w:type="dxa"/>
            <w:tcBorders>
              <w:top w:val="nil"/>
              <w:left w:val="nil"/>
              <w:bottom w:val="nil"/>
              <w:right w:val="single" w:sz="4" w:space="0" w:color="000000"/>
            </w:tcBorders>
            <w:shd w:val="clear" w:color="auto" w:fill="auto"/>
            <w:noWrap/>
            <w:vAlign w:val="center"/>
            <w:hideMark/>
          </w:tcPr>
          <w:p w14:paraId="57029F78" w14:textId="3F7A3C47" w:rsidR="00DE517E" w:rsidRPr="00620B71" w:rsidRDefault="00DE517E" w:rsidP="00DE517E">
            <w:pPr>
              <w:spacing w:before="0" w:after="0"/>
              <w:jc w:val="center"/>
              <w:rPr>
                <w:rFonts w:eastAsia="Times New Roman" w:cs="Times New Roman"/>
                <w:color w:val="000000"/>
                <w:sz w:val="24"/>
                <w:lang w:eastAsia="en-GB"/>
              </w:rPr>
            </w:pPr>
            <w:r>
              <w:rPr>
                <w:color w:val="000000"/>
              </w:rPr>
              <w:t>1.75,2.85</w:t>
            </w:r>
          </w:p>
        </w:tc>
      </w:tr>
      <w:tr w:rsidR="00DE517E" w:rsidRPr="00620B71" w14:paraId="37527625" w14:textId="77777777" w:rsidTr="00F24CBC">
        <w:trPr>
          <w:trHeight w:val="320"/>
          <w:jc w:val="center"/>
        </w:trPr>
        <w:tc>
          <w:tcPr>
            <w:tcW w:w="1271" w:type="dxa"/>
            <w:vMerge/>
            <w:tcBorders>
              <w:top w:val="nil"/>
              <w:left w:val="single" w:sz="4" w:space="0" w:color="000000"/>
              <w:bottom w:val="single" w:sz="4" w:space="0" w:color="000000"/>
              <w:right w:val="single" w:sz="4" w:space="0" w:color="000000"/>
            </w:tcBorders>
            <w:vAlign w:val="center"/>
            <w:hideMark/>
          </w:tcPr>
          <w:p w14:paraId="6D8867A7" w14:textId="77777777" w:rsidR="00DE517E" w:rsidRPr="00620B71" w:rsidRDefault="00DE517E" w:rsidP="00DE517E">
            <w:pPr>
              <w:spacing w:before="0" w:after="0"/>
              <w:rPr>
                <w:rFonts w:eastAsia="Times New Roman" w:cs="Times New Roman"/>
                <w:b/>
                <w:bCs/>
                <w:color w:val="000000"/>
                <w:szCs w:val="22"/>
                <w:lang w:eastAsia="en-GB"/>
              </w:rPr>
            </w:pPr>
          </w:p>
        </w:tc>
        <w:tc>
          <w:tcPr>
            <w:tcW w:w="2021" w:type="dxa"/>
            <w:tcBorders>
              <w:top w:val="nil"/>
              <w:left w:val="nil"/>
              <w:bottom w:val="single" w:sz="4" w:space="0" w:color="000000"/>
              <w:right w:val="single" w:sz="4" w:space="0" w:color="000000"/>
            </w:tcBorders>
            <w:shd w:val="clear" w:color="auto" w:fill="auto"/>
            <w:noWrap/>
            <w:vAlign w:val="center"/>
            <w:hideMark/>
          </w:tcPr>
          <w:p w14:paraId="24FD6A4E" w14:textId="77777777" w:rsidR="00DE517E" w:rsidRPr="00620B71" w:rsidRDefault="00DE517E" w:rsidP="00DE517E">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Non-combat role</w:t>
            </w:r>
          </w:p>
        </w:tc>
        <w:tc>
          <w:tcPr>
            <w:tcW w:w="1175" w:type="dxa"/>
            <w:tcBorders>
              <w:top w:val="nil"/>
              <w:left w:val="nil"/>
              <w:bottom w:val="single" w:sz="4" w:space="0" w:color="000000"/>
              <w:right w:val="nil"/>
            </w:tcBorders>
            <w:shd w:val="clear" w:color="auto" w:fill="auto"/>
            <w:noWrap/>
            <w:vAlign w:val="center"/>
            <w:hideMark/>
          </w:tcPr>
          <w:p w14:paraId="28E3F6E6" w14:textId="04FC3224"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219</w:t>
            </w:r>
          </w:p>
        </w:tc>
        <w:tc>
          <w:tcPr>
            <w:tcW w:w="1559" w:type="dxa"/>
            <w:tcBorders>
              <w:top w:val="nil"/>
              <w:left w:val="nil"/>
              <w:bottom w:val="single" w:sz="4" w:space="0" w:color="000000"/>
              <w:right w:val="nil"/>
            </w:tcBorders>
            <w:shd w:val="clear" w:color="auto" w:fill="auto"/>
            <w:noWrap/>
            <w:vAlign w:val="center"/>
            <w:hideMark/>
          </w:tcPr>
          <w:p w14:paraId="4C8390BF" w14:textId="5A1C3AAF"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21.01%</w:t>
            </w:r>
          </w:p>
        </w:tc>
        <w:tc>
          <w:tcPr>
            <w:tcW w:w="1196" w:type="dxa"/>
            <w:tcBorders>
              <w:top w:val="nil"/>
              <w:left w:val="single" w:sz="4" w:space="0" w:color="000000"/>
              <w:bottom w:val="single" w:sz="4" w:space="0" w:color="000000"/>
              <w:right w:val="nil"/>
            </w:tcBorders>
            <w:shd w:val="clear" w:color="auto" w:fill="auto"/>
            <w:noWrap/>
            <w:vAlign w:val="center"/>
            <w:hideMark/>
          </w:tcPr>
          <w:p w14:paraId="6E54DC41" w14:textId="080440D7"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1,451</w:t>
            </w:r>
          </w:p>
        </w:tc>
        <w:tc>
          <w:tcPr>
            <w:tcW w:w="1559" w:type="dxa"/>
            <w:tcBorders>
              <w:top w:val="nil"/>
              <w:left w:val="nil"/>
              <w:bottom w:val="single" w:sz="4" w:space="0" w:color="000000"/>
              <w:right w:val="single" w:sz="4" w:space="0" w:color="000000"/>
            </w:tcBorders>
            <w:shd w:val="clear" w:color="auto" w:fill="auto"/>
            <w:noWrap/>
            <w:vAlign w:val="center"/>
            <w:hideMark/>
          </w:tcPr>
          <w:p w14:paraId="4892A6E5" w14:textId="263835D9"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15.48%</w:t>
            </w:r>
          </w:p>
        </w:tc>
        <w:tc>
          <w:tcPr>
            <w:tcW w:w="1013" w:type="dxa"/>
            <w:tcBorders>
              <w:top w:val="nil"/>
              <w:left w:val="nil"/>
              <w:bottom w:val="single" w:sz="4" w:space="0" w:color="000000"/>
              <w:right w:val="nil"/>
            </w:tcBorders>
            <w:shd w:val="clear" w:color="auto" w:fill="auto"/>
            <w:noWrap/>
            <w:vAlign w:val="bottom"/>
            <w:hideMark/>
          </w:tcPr>
          <w:p w14:paraId="3D196DA4" w14:textId="55769315" w:rsidR="00DE517E" w:rsidRPr="00620B71" w:rsidRDefault="00DE517E" w:rsidP="00DE517E">
            <w:pPr>
              <w:spacing w:before="0" w:after="0"/>
              <w:jc w:val="center"/>
              <w:rPr>
                <w:rFonts w:eastAsia="Times New Roman" w:cs="Times New Roman"/>
                <w:color w:val="000000"/>
                <w:sz w:val="24"/>
                <w:lang w:eastAsia="en-GB"/>
              </w:rPr>
            </w:pPr>
            <w:r>
              <w:rPr>
                <w:color w:val="000000"/>
              </w:rPr>
              <w:t>1.45</w:t>
            </w:r>
          </w:p>
        </w:tc>
        <w:tc>
          <w:tcPr>
            <w:tcW w:w="1923" w:type="dxa"/>
            <w:tcBorders>
              <w:top w:val="nil"/>
              <w:left w:val="single" w:sz="4" w:space="0" w:color="000000"/>
              <w:bottom w:val="single" w:sz="4" w:space="0" w:color="000000"/>
              <w:right w:val="nil"/>
            </w:tcBorders>
            <w:shd w:val="clear" w:color="auto" w:fill="auto"/>
            <w:noWrap/>
            <w:vAlign w:val="center"/>
            <w:hideMark/>
          </w:tcPr>
          <w:p w14:paraId="13900D3D" w14:textId="40F570E2" w:rsidR="00DE517E" w:rsidRPr="00620B71" w:rsidRDefault="00DE517E" w:rsidP="00DE517E">
            <w:pPr>
              <w:spacing w:before="0" w:after="0"/>
              <w:jc w:val="center"/>
              <w:rPr>
                <w:rFonts w:eastAsia="Times New Roman" w:cs="Times New Roman"/>
                <w:color w:val="000000"/>
                <w:sz w:val="24"/>
                <w:lang w:eastAsia="en-GB"/>
              </w:rPr>
            </w:pPr>
            <w:r>
              <w:rPr>
                <w:color w:val="000000"/>
              </w:rPr>
              <w:t>1.19,1.77</w:t>
            </w:r>
          </w:p>
        </w:tc>
        <w:tc>
          <w:tcPr>
            <w:tcW w:w="1013" w:type="dxa"/>
            <w:tcBorders>
              <w:top w:val="nil"/>
              <w:left w:val="single" w:sz="4" w:space="0" w:color="000000"/>
              <w:bottom w:val="single" w:sz="4" w:space="0" w:color="000000"/>
              <w:right w:val="single" w:sz="4" w:space="0" w:color="000000"/>
            </w:tcBorders>
            <w:shd w:val="clear" w:color="auto" w:fill="auto"/>
            <w:noWrap/>
            <w:vAlign w:val="center"/>
            <w:hideMark/>
          </w:tcPr>
          <w:p w14:paraId="18589CC7" w14:textId="49275606" w:rsidR="00DE517E" w:rsidRPr="00620B71" w:rsidRDefault="00DE517E" w:rsidP="00DE517E">
            <w:pPr>
              <w:spacing w:before="0" w:after="0"/>
              <w:jc w:val="center"/>
              <w:rPr>
                <w:rFonts w:eastAsia="Times New Roman" w:cs="Times New Roman"/>
                <w:color w:val="000000"/>
                <w:sz w:val="24"/>
                <w:lang w:eastAsia="en-GB"/>
              </w:rPr>
            </w:pPr>
            <w:r>
              <w:rPr>
                <w:color w:val="000000"/>
              </w:rPr>
              <w:t>1.61</w:t>
            </w:r>
          </w:p>
        </w:tc>
        <w:tc>
          <w:tcPr>
            <w:tcW w:w="2291" w:type="dxa"/>
            <w:tcBorders>
              <w:top w:val="nil"/>
              <w:left w:val="nil"/>
              <w:bottom w:val="single" w:sz="4" w:space="0" w:color="000000"/>
              <w:right w:val="single" w:sz="4" w:space="0" w:color="000000"/>
            </w:tcBorders>
            <w:shd w:val="clear" w:color="auto" w:fill="auto"/>
            <w:noWrap/>
            <w:vAlign w:val="center"/>
            <w:hideMark/>
          </w:tcPr>
          <w:p w14:paraId="1A8339F0" w14:textId="1C886787" w:rsidR="00DE517E" w:rsidRPr="00620B71" w:rsidRDefault="00DE517E" w:rsidP="00DE517E">
            <w:pPr>
              <w:spacing w:before="0" w:after="0"/>
              <w:jc w:val="center"/>
              <w:rPr>
                <w:rFonts w:eastAsia="Times New Roman" w:cs="Times New Roman"/>
                <w:color w:val="000000"/>
                <w:sz w:val="24"/>
                <w:lang w:eastAsia="en-GB"/>
              </w:rPr>
            </w:pPr>
            <w:r>
              <w:rPr>
                <w:color w:val="000000"/>
              </w:rPr>
              <w:t>1.30,1.98</w:t>
            </w:r>
          </w:p>
        </w:tc>
      </w:tr>
      <w:tr w:rsidR="00DE517E" w:rsidRPr="00620B71" w14:paraId="05AEE8CA" w14:textId="77777777" w:rsidTr="00F24CBC">
        <w:trPr>
          <w:trHeight w:val="320"/>
          <w:jc w:val="center"/>
        </w:trPr>
        <w:tc>
          <w:tcPr>
            <w:tcW w:w="127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18B27A1" w14:textId="77777777" w:rsidR="00DE517E" w:rsidRPr="00620B71" w:rsidRDefault="00DE517E" w:rsidP="00DE517E">
            <w:pPr>
              <w:spacing w:before="0" w:after="0"/>
              <w:jc w:val="center"/>
              <w:rPr>
                <w:rFonts w:eastAsia="Times New Roman" w:cs="Times New Roman"/>
                <w:b/>
                <w:bCs/>
                <w:color w:val="000000"/>
                <w:szCs w:val="22"/>
                <w:lang w:eastAsia="en-GB"/>
              </w:rPr>
            </w:pPr>
            <w:r w:rsidRPr="00620B71">
              <w:rPr>
                <w:rFonts w:eastAsia="Times New Roman" w:cs="Times New Roman"/>
                <w:b/>
                <w:bCs/>
                <w:color w:val="000000"/>
                <w:szCs w:val="22"/>
                <w:lang w:eastAsia="en-GB"/>
              </w:rPr>
              <w:t>Alcohol</w:t>
            </w:r>
          </w:p>
        </w:tc>
        <w:tc>
          <w:tcPr>
            <w:tcW w:w="2021" w:type="dxa"/>
            <w:tcBorders>
              <w:top w:val="nil"/>
              <w:left w:val="nil"/>
              <w:bottom w:val="nil"/>
              <w:right w:val="single" w:sz="4" w:space="0" w:color="000000"/>
            </w:tcBorders>
            <w:shd w:val="clear" w:color="auto" w:fill="auto"/>
            <w:noWrap/>
            <w:vAlign w:val="center"/>
            <w:hideMark/>
          </w:tcPr>
          <w:p w14:paraId="027C428E" w14:textId="77777777" w:rsidR="00DE517E" w:rsidRPr="00620B71" w:rsidRDefault="00DE517E" w:rsidP="00DE517E">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Deployed</w:t>
            </w:r>
          </w:p>
        </w:tc>
        <w:tc>
          <w:tcPr>
            <w:tcW w:w="1175" w:type="dxa"/>
            <w:tcBorders>
              <w:top w:val="nil"/>
              <w:left w:val="nil"/>
              <w:bottom w:val="nil"/>
              <w:right w:val="nil"/>
            </w:tcBorders>
            <w:shd w:val="clear" w:color="auto" w:fill="auto"/>
            <w:noWrap/>
            <w:vAlign w:val="center"/>
            <w:hideMark/>
          </w:tcPr>
          <w:p w14:paraId="7411E6D3"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183</w:t>
            </w:r>
          </w:p>
        </w:tc>
        <w:tc>
          <w:tcPr>
            <w:tcW w:w="1559" w:type="dxa"/>
            <w:tcBorders>
              <w:top w:val="nil"/>
              <w:left w:val="nil"/>
              <w:bottom w:val="nil"/>
              <w:right w:val="nil"/>
            </w:tcBorders>
            <w:shd w:val="clear" w:color="auto" w:fill="auto"/>
            <w:noWrap/>
            <w:vAlign w:val="center"/>
            <w:hideMark/>
          </w:tcPr>
          <w:p w14:paraId="6DD1110E"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12.80%</w:t>
            </w:r>
          </w:p>
        </w:tc>
        <w:tc>
          <w:tcPr>
            <w:tcW w:w="1196" w:type="dxa"/>
            <w:tcBorders>
              <w:top w:val="nil"/>
              <w:left w:val="single" w:sz="4" w:space="0" w:color="000000"/>
              <w:bottom w:val="nil"/>
              <w:right w:val="nil"/>
            </w:tcBorders>
            <w:shd w:val="clear" w:color="auto" w:fill="auto"/>
            <w:noWrap/>
            <w:vAlign w:val="center"/>
            <w:hideMark/>
          </w:tcPr>
          <w:p w14:paraId="0888464B"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106</w:t>
            </w:r>
          </w:p>
        </w:tc>
        <w:tc>
          <w:tcPr>
            <w:tcW w:w="1559" w:type="dxa"/>
            <w:tcBorders>
              <w:top w:val="nil"/>
              <w:left w:val="nil"/>
              <w:bottom w:val="nil"/>
              <w:right w:val="single" w:sz="4" w:space="0" w:color="000000"/>
            </w:tcBorders>
            <w:shd w:val="clear" w:color="auto" w:fill="auto"/>
            <w:noWrap/>
            <w:vAlign w:val="center"/>
            <w:hideMark/>
          </w:tcPr>
          <w:p w14:paraId="6EFD56A1"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6.20%</w:t>
            </w:r>
          </w:p>
        </w:tc>
        <w:tc>
          <w:tcPr>
            <w:tcW w:w="1013" w:type="dxa"/>
            <w:tcBorders>
              <w:top w:val="nil"/>
              <w:left w:val="nil"/>
              <w:bottom w:val="nil"/>
              <w:right w:val="nil"/>
            </w:tcBorders>
            <w:shd w:val="clear" w:color="auto" w:fill="auto"/>
            <w:noWrap/>
            <w:vAlign w:val="bottom"/>
            <w:hideMark/>
          </w:tcPr>
          <w:p w14:paraId="07F13EDA" w14:textId="4B7E567B" w:rsidR="00DE517E" w:rsidRPr="00620B71" w:rsidRDefault="00DE517E" w:rsidP="00DE517E">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2.21</w:t>
            </w:r>
          </w:p>
        </w:tc>
        <w:tc>
          <w:tcPr>
            <w:tcW w:w="1923" w:type="dxa"/>
            <w:tcBorders>
              <w:top w:val="nil"/>
              <w:left w:val="single" w:sz="4" w:space="0" w:color="000000"/>
              <w:bottom w:val="nil"/>
              <w:right w:val="nil"/>
            </w:tcBorders>
            <w:shd w:val="clear" w:color="auto" w:fill="auto"/>
            <w:noWrap/>
            <w:vAlign w:val="center"/>
            <w:hideMark/>
          </w:tcPr>
          <w:p w14:paraId="4D04D516" w14:textId="77777777" w:rsidR="00DE517E" w:rsidRPr="00620B71" w:rsidRDefault="00DE517E" w:rsidP="00DE517E">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1.64,2.99</w:t>
            </w:r>
          </w:p>
        </w:tc>
        <w:tc>
          <w:tcPr>
            <w:tcW w:w="1013" w:type="dxa"/>
            <w:tcBorders>
              <w:top w:val="nil"/>
              <w:left w:val="single" w:sz="4" w:space="0" w:color="000000"/>
              <w:bottom w:val="nil"/>
              <w:right w:val="nil"/>
            </w:tcBorders>
            <w:shd w:val="clear" w:color="auto" w:fill="auto"/>
            <w:noWrap/>
            <w:vAlign w:val="center"/>
            <w:hideMark/>
          </w:tcPr>
          <w:p w14:paraId="4D6F870E" w14:textId="4F55408E" w:rsidR="00DE517E" w:rsidRPr="00620B71" w:rsidRDefault="00DE517E" w:rsidP="00DE517E">
            <w:pPr>
              <w:spacing w:before="0" w:after="0"/>
              <w:jc w:val="center"/>
              <w:rPr>
                <w:rFonts w:eastAsia="Times New Roman" w:cs="Times New Roman"/>
                <w:color w:val="000000"/>
                <w:sz w:val="24"/>
                <w:lang w:eastAsia="en-GB"/>
              </w:rPr>
            </w:pPr>
            <w:r>
              <w:rPr>
                <w:color w:val="000000"/>
              </w:rPr>
              <w:t>2.62</w:t>
            </w:r>
          </w:p>
        </w:tc>
        <w:tc>
          <w:tcPr>
            <w:tcW w:w="2291" w:type="dxa"/>
            <w:tcBorders>
              <w:top w:val="nil"/>
              <w:left w:val="single" w:sz="4" w:space="0" w:color="000000"/>
              <w:bottom w:val="nil"/>
              <w:right w:val="single" w:sz="4" w:space="0" w:color="000000"/>
            </w:tcBorders>
            <w:shd w:val="clear" w:color="auto" w:fill="auto"/>
            <w:noWrap/>
            <w:vAlign w:val="center"/>
            <w:hideMark/>
          </w:tcPr>
          <w:p w14:paraId="4A9D0AAA" w14:textId="01AF633D" w:rsidR="00DE517E" w:rsidRPr="00620B71" w:rsidRDefault="00DE517E" w:rsidP="00DE517E">
            <w:pPr>
              <w:spacing w:before="0" w:after="0"/>
              <w:jc w:val="center"/>
              <w:rPr>
                <w:rFonts w:eastAsia="Times New Roman" w:cs="Times New Roman"/>
                <w:color w:val="000000"/>
                <w:sz w:val="24"/>
                <w:lang w:eastAsia="en-GB"/>
              </w:rPr>
            </w:pPr>
            <w:r>
              <w:rPr>
                <w:color w:val="000000"/>
              </w:rPr>
              <w:t>1.91,3.60</w:t>
            </w:r>
          </w:p>
        </w:tc>
      </w:tr>
      <w:tr w:rsidR="00DE517E" w:rsidRPr="00620B71" w14:paraId="11070C37" w14:textId="77777777" w:rsidTr="00F24CBC">
        <w:trPr>
          <w:trHeight w:val="320"/>
          <w:jc w:val="center"/>
        </w:trPr>
        <w:tc>
          <w:tcPr>
            <w:tcW w:w="1271" w:type="dxa"/>
            <w:vMerge/>
            <w:tcBorders>
              <w:top w:val="nil"/>
              <w:left w:val="single" w:sz="4" w:space="0" w:color="000000"/>
              <w:bottom w:val="single" w:sz="4" w:space="0" w:color="000000"/>
              <w:right w:val="single" w:sz="4" w:space="0" w:color="000000"/>
            </w:tcBorders>
            <w:vAlign w:val="center"/>
            <w:hideMark/>
          </w:tcPr>
          <w:p w14:paraId="2225365F" w14:textId="77777777" w:rsidR="00DE517E" w:rsidRPr="00620B71" w:rsidRDefault="00DE517E" w:rsidP="00DE517E">
            <w:pPr>
              <w:spacing w:before="0" w:after="0"/>
              <w:rPr>
                <w:rFonts w:eastAsia="Times New Roman" w:cs="Times New Roman"/>
                <w:b/>
                <w:bCs/>
                <w:color w:val="000000"/>
                <w:szCs w:val="22"/>
                <w:lang w:eastAsia="en-GB"/>
              </w:rPr>
            </w:pPr>
          </w:p>
        </w:tc>
        <w:tc>
          <w:tcPr>
            <w:tcW w:w="2021" w:type="dxa"/>
            <w:tcBorders>
              <w:top w:val="nil"/>
              <w:left w:val="nil"/>
              <w:bottom w:val="single" w:sz="4" w:space="0" w:color="000000"/>
              <w:right w:val="single" w:sz="4" w:space="0" w:color="000000"/>
            </w:tcBorders>
            <w:shd w:val="clear" w:color="auto" w:fill="auto"/>
            <w:noWrap/>
            <w:vAlign w:val="center"/>
            <w:hideMark/>
          </w:tcPr>
          <w:p w14:paraId="08A39BB4" w14:textId="77777777" w:rsidR="00DE517E" w:rsidRPr="00620B71" w:rsidRDefault="00DE517E" w:rsidP="00DE517E">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Not-deployed</w:t>
            </w:r>
          </w:p>
        </w:tc>
        <w:tc>
          <w:tcPr>
            <w:tcW w:w="1175" w:type="dxa"/>
            <w:tcBorders>
              <w:top w:val="nil"/>
              <w:left w:val="nil"/>
              <w:bottom w:val="single" w:sz="4" w:space="0" w:color="000000"/>
              <w:right w:val="nil"/>
            </w:tcBorders>
            <w:shd w:val="clear" w:color="auto" w:fill="auto"/>
            <w:noWrap/>
            <w:vAlign w:val="center"/>
            <w:hideMark/>
          </w:tcPr>
          <w:p w14:paraId="0798FCEB"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70</w:t>
            </w:r>
          </w:p>
        </w:tc>
        <w:tc>
          <w:tcPr>
            <w:tcW w:w="1559" w:type="dxa"/>
            <w:tcBorders>
              <w:top w:val="nil"/>
              <w:left w:val="nil"/>
              <w:bottom w:val="single" w:sz="4" w:space="0" w:color="000000"/>
              <w:right w:val="nil"/>
            </w:tcBorders>
            <w:shd w:val="clear" w:color="auto" w:fill="auto"/>
            <w:noWrap/>
            <w:vAlign w:val="center"/>
            <w:hideMark/>
          </w:tcPr>
          <w:p w14:paraId="132B8383"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8.30%</w:t>
            </w:r>
          </w:p>
        </w:tc>
        <w:tc>
          <w:tcPr>
            <w:tcW w:w="1196" w:type="dxa"/>
            <w:tcBorders>
              <w:top w:val="nil"/>
              <w:left w:val="single" w:sz="4" w:space="0" w:color="000000"/>
              <w:bottom w:val="single" w:sz="4" w:space="0" w:color="000000"/>
              <w:right w:val="nil"/>
            </w:tcBorders>
            <w:shd w:val="clear" w:color="auto" w:fill="auto"/>
            <w:noWrap/>
            <w:vAlign w:val="center"/>
            <w:hideMark/>
          </w:tcPr>
          <w:p w14:paraId="0760FEA7"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106</w:t>
            </w:r>
          </w:p>
        </w:tc>
        <w:tc>
          <w:tcPr>
            <w:tcW w:w="1559" w:type="dxa"/>
            <w:tcBorders>
              <w:top w:val="nil"/>
              <w:left w:val="nil"/>
              <w:bottom w:val="single" w:sz="4" w:space="0" w:color="000000"/>
              <w:right w:val="single" w:sz="4" w:space="0" w:color="000000"/>
            </w:tcBorders>
            <w:shd w:val="clear" w:color="auto" w:fill="auto"/>
            <w:noWrap/>
            <w:vAlign w:val="center"/>
            <w:hideMark/>
          </w:tcPr>
          <w:p w14:paraId="2F15F9C7"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5.80%</w:t>
            </w:r>
          </w:p>
        </w:tc>
        <w:tc>
          <w:tcPr>
            <w:tcW w:w="1013" w:type="dxa"/>
            <w:tcBorders>
              <w:top w:val="nil"/>
              <w:left w:val="nil"/>
              <w:bottom w:val="single" w:sz="4" w:space="0" w:color="000000"/>
              <w:right w:val="nil"/>
            </w:tcBorders>
            <w:shd w:val="clear" w:color="auto" w:fill="auto"/>
            <w:noWrap/>
            <w:vAlign w:val="bottom"/>
            <w:hideMark/>
          </w:tcPr>
          <w:p w14:paraId="791C081A" w14:textId="7F57199B" w:rsidR="00DE517E" w:rsidRPr="00620B71" w:rsidRDefault="00DE517E" w:rsidP="00DE517E">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1.47</w:t>
            </w:r>
          </w:p>
        </w:tc>
        <w:tc>
          <w:tcPr>
            <w:tcW w:w="1923" w:type="dxa"/>
            <w:tcBorders>
              <w:top w:val="nil"/>
              <w:left w:val="single" w:sz="4" w:space="0" w:color="000000"/>
              <w:bottom w:val="single" w:sz="4" w:space="0" w:color="000000"/>
              <w:right w:val="nil"/>
            </w:tcBorders>
            <w:shd w:val="clear" w:color="auto" w:fill="auto"/>
            <w:noWrap/>
            <w:vAlign w:val="center"/>
            <w:hideMark/>
          </w:tcPr>
          <w:p w14:paraId="436FD238" w14:textId="77777777" w:rsidR="00DE517E" w:rsidRPr="00620B71" w:rsidRDefault="00DE517E" w:rsidP="00DE517E">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1.01,2.14</w:t>
            </w:r>
          </w:p>
        </w:tc>
        <w:tc>
          <w:tcPr>
            <w:tcW w:w="1013" w:type="dxa"/>
            <w:tcBorders>
              <w:top w:val="nil"/>
              <w:left w:val="single" w:sz="4" w:space="0" w:color="000000"/>
              <w:bottom w:val="single" w:sz="4" w:space="0" w:color="000000"/>
              <w:right w:val="single" w:sz="4" w:space="0" w:color="000000"/>
            </w:tcBorders>
            <w:shd w:val="clear" w:color="auto" w:fill="auto"/>
            <w:noWrap/>
            <w:vAlign w:val="center"/>
            <w:hideMark/>
          </w:tcPr>
          <w:p w14:paraId="33E08317" w14:textId="5C87CC5A" w:rsidR="00DE517E" w:rsidRPr="00620B71" w:rsidRDefault="00DE517E" w:rsidP="00DE517E">
            <w:pPr>
              <w:spacing w:before="0" w:after="0"/>
              <w:jc w:val="center"/>
              <w:rPr>
                <w:rFonts w:eastAsia="Times New Roman" w:cs="Times New Roman"/>
                <w:color w:val="000000"/>
                <w:sz w:val="24"/>
                <w:lang w:eastAsia="en-GB"/>
              </w:rPr>
            </w:pPr>
            <w:r>
              <w:rPr>
                <w:color w:val="000000"/>
              </w:rPr>
              <w:t>1.84</w:t>
            </w:r>
          </w:p>
        </w:tc>
        <w:tc>
          <w:tcPr>
            <w:tcW w:w="2291" w:type="dxa"/>
            <w:tcBorders>
              <w:top w:val="nil"/>
              <w:left w:val="nil"/>
              <w:bottom w:val="single" w:sz="4" w:space="0" w:color="000000"/>
              <w:right w:val="single" w:sz="4" w:space="0" w:color="000000"/>
            </w:tcBorders>
            <w:shd w:val="clear" w:color="auto" w:fill="auto"/>
            <w:noWrap/>
            <w:vAlign w:val="center"/>
            <w:hideMark/>
          </w:tcPr>
          <w:p w14:paraId="4711CD8A" w14:textId="7B8EC276" w:rsidR="00DE517E" w:rsidRPr="00620B71" w:rsidRDefault="00DE517E" w:rsidP="00DE517E">
            <w:pPr>
              <w:spacing w:before="0" w:after="0"/>
              <w:jc w:val="center"/>
              <w:rPr>
                <w:rFonts w:eastAsia="Times New Roman" w:cs="Times New Roman"/>
                <w:color w:val="000000"/>
                <w:sz w:val="24"/>
                <w:lang w:eastAsia="en-GB"/>
              </w:rPr>
            </w:pPr>
            <w:r>
              <w:rPr>
                <w:color w:val="000000"/>
              </w:rPr>
              <w:t>1.22,2.76</w:t>
            </w:r>
          </w:p>
        </w:tc>
      </w:tr>
      <w:tr w:rsidR="00DE517E" w:rsidRPr="00620B71" w14:paraId="577607EE" w14:textId="77777777" w:rsidTr="00F24CBC">
        <w:trPr>
          <w:trHeight w:val="91"/>
          <w:jc w:val="center"/>
        </w:trPr>
        <w:tc>
          <w:tcPr>
            <w:tcW w:w="1271" w:type="dxa"/>
            <w:vMerge/>
            <w:tcBorders>
              <w:top w:val="nil"/>
              <w:left w:val="single" w:sz="4" w:space="0" w:color="000000"/>
              <w:bottom w:val="single" w:sz="4" w:space="0" w:color="000000"/>
              <w:right w:val="single" w:sz="4" w:space="0" w:color="000000"/>
            </w:tcBorders>
            <w:vAlign w:val="center"/>
            <w:hideMark/>
          </w:tcPr>
          <w:p w14:paraId="566C4EBB" w14:textId="77777777" w:rsidR="00DE517E" w:rsidRPr="00620B71" w:rsidRDefault="00DE517E" w:rsidP="00DE517E">
            <w:pPr>
              <w:spacing w:before="0" w:after="0"/>
              <w:rPr>
                <w:rFonts w:eastAsia="Times New Roman" w:cs="Times New Roman"/>
                <w:b/>
                <w:bCs/>
                <w:color w:val="000000"/>
                <w:szCs w:val="22"/>
                <w:lang w:eastAsia="en-GB"/>
              </w:rPr>
            </w:pPr>
          </w:p>
        </w:tc>
        <w:tc>
          <w:tcPr>
            <w:tcW w:w="2021" w:type="dxa"/>
            <w:tcBorders>
              <w:top w:val="nil"/>
              <w:left w:val="nil"/>
              <w:bottom w:val="nil"/>
              <w:right w:val="single" w:sz="4" w:space="0" w:color="000000"/>
            </w:tcBorders>
            <w:shd w:val="clear" w:color="auto" w:fill="auto"/>
            <w:noWrap/>
            <w:vAlign w:val="center"/>
            <w:hideMark/>
          </w:tcPr>
          <w:p w14:paraId="141530FB" w14:textId="77777777" w:rsidR="00DE517E" w:rsidRPr="00620B71" w:rsidRDefault="00DE517E" w:rsidP="00DE517E">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Combat role</w:t>
            </w:r>
          </w:p>
        </w:tc>
        <w:tc>
          <w:tcPr>
            <w:tcW w:w="1175" w:type="dxa"/>
            <w:tcBorders>
              <w:top w:val="nil"/>
              <w:left w:val="nil"/>
              <w:bottom w:val="nil"/>
              <w:right w:val="nil"/>
            </w:tcBorders>
            <w:shd w:val="clear" w:color="auto" w:fill="auto"/>
            <w:noWrap/>
            <w:vAlign w:val="center"/>
            <w:hideMark/>
          </w:tcPr>
          <w:p w14:paraId="0C04C6E2"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76</w:t>
            </w:r>
          </w:p>
        </w:tc>
        <w:tc>
          <w:tcPr>
            <w:tcW w:w="1559" w:type="dxa"/>
            <w:tcBorders>
              <w:top w:val="nil"/>
              <w:left w:val="nil"/>
              <w:bottom w:val="nil"/>
              <w:right w:val="nil"/>
            </w:tcBorders>
            <w:shd w:val="clear" w:color="auto" w:fill="auto"/>
            <w:noWrap/>
            <w:vAlign w:val="center"/>
            <w:hideMark/>
          </w:tcPr>
          <w:p w14:paraId="2E4E7A55"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14.50%</w:t>
            </w:r>
          </w:p>
        </w:tc>
        <w:tc>
          <w:tcPr>
            <w:tcW w:w="1196" w:type="dxa"/>
            <w:tcBorders>
              <w:top w:val="nil"/>
              <w:left w:val="single" w:sz="4" w:space="0" w:color="000000"/>
              <w:bottom w:val="nil"/>
              <w:right w:val="nil"/>
            </w:tcBorders>
            <w:shd w:val="clear" w:color="auto" w:fill="auto"/>
            <w:noWrap/>
            <w:vAlign w:val="center"/>
            <w:hideMark/>
          </w:tcPr>
          <w:p w14:paraId="13B7EB7E"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106</w:t>
            </w:r>
          </w:p>
        </w:tc>
        <w:tc>
          <w:tcPr>
            <w:tcW w:w="1559" w:type="dxa"/>
            <w:tcBorders>
              <w:top w:val="nil"/>
              <w:left w:val="nil"/>
              <w:bottom w:val="nil"/>
              <w:right w:val="single" w:sz="4" w:space="0" w:color="000000"/>
            </w:tcBorders>
            <w:shd w:val="clear" w:color="auto" w:fill="auto"/>
            <w:noWrap/>
            <w:vAlign w:val="center"/>
            <w:hideMark/>
          </w:tcPr>
          <w:p w14:paraId="11D207BC" w14:textId="77777777" w:rsidR="00DE517E" w:rsidRPr="00620B71" w:rsidRDefault="00DE517E" w:rsidP="00DE517E">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6.50%</w:t>
            </w:r>
          </w:p>
        </w:tc>
        <w:tc>
          <w:tcPr>
            <w:tcW w:w="1013" w:type="dxa"/>
            <w:tcBorders>
              <w:top w:val="nil"/>
              <w:left w:val="nil"/>
              <w:bottom w:val="nil"/>
              <w:right w:val="nil"/>
            </w:tcBorders>
            <w:shd w:val="clear" w:color="auto" w:fill="auto"/>
            <w:noWrap/>
            <w:vAlign w:val="bottom"/>
            <w:hideMark/>
          </w:tcPr>
          <w:p w14:paraId="417F6B4C" w14:textId="3E59351B" w:rsidR="00DE517E" w:rsidRPr="00620B71" w:rsidRDefault="00DE517E" w:rsidP="00DE517E">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2.44</w:t>
            </w:r>
          </w:p>
        </w:tc>
        <w:tc>
          <w:tcPr>
            <w:tcW w:w="1923" w:type="dxa"/>
            <w:tcBorders>
              <w:top w:val="nil"/>
              <w:left w:val="single" w:sz="4" w:space="0" w:color="000000"/>
              <w:bottom w:val="nil"/>
              <w:right w:val="nil"/>
            </w:tcBorders>
            <w:shd w:val="clear" w:color="auto" w:fill="auto"/>
            <w:noWrap/>
            <w:vAlign w:val="center"/>
            <w:hideMark/>
          </w:tcPr>
          <w:p w14:paraId="50441EB2" w14:textId="77777777" w:rsidR="00DE517E" w:rsidRPr="00620B71" w:rsidRDefault="00DE517E" w:rsidP="00DE517E">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1.65,3.62</w:t>
            </w:r>
          </w:p>
        </w:tc>
        <w:tc>
          <w:tcPr>
            <w:tcW w:w="1013" w:type="dxa"/>
            <w:tcBorders>
              <w:top w:val="nil"/>
              <w:left w:val="single" w:sz="4" w:space="0" w:color="000000"/>
              <w:bottom w:val="nil"/>
              <w:right w:val="single" w:sz="4" w:space="0" w:color="000000"/>
            </w:tcBorders>
            <w:shd w:val="clear" w:color="auto" w:fill="auto"/>
            <w:noWrap/>
            <w:vAlign w:val="center"/>
            <w:hideMark/>
          </w:tcPr>
          <w:p w14:paraId="605A7591" w14:textId="272C63FC" w:rsidR="00DE517E" w:rsidRPr="00620B71" w:rsidRDefault="00DE517E" w:rsidP="00DE517E">
            <w:pPr>
              <w:spacing w:before="0" w:after="0"/>
              <w:jc w:val="center"/>
              <w:rPr>
                <w:rFonts w:eastAsia="Times New Roman" w:cs="Times New Roman"/>
                <w:color w:val="000000"/>
                <w:sz w:val="24"/>
                <w:lang w:eastAsia="en-GB"/>
              </w:rPr>
            </w:pPr>
            <w:r>
              <w:rPr>
                <w:color w:val="000000"/>
              </w:rPr>
              <w:t>2.91</w:t>
            </w:r>
          </w:p>
        </w:tc>
        <w:tc>
          <w:tcPr>
            <w:tcW w:w="2291" w:type="dxa"/>
            <w:tcBorders>
              <w:top w:val="nil"/>
              <w:left w:val="nil"/>
              <w:bottom w:val="nil"/>
              <w:right w:val="single" w:sz="4" w:space="0" w:color="000000"/>
            </w:tcBorders>
            <w:shd w:val="clear" w:color="auto" w:fill="auto"/>
            <w:noWrap/>
            <w:vAlign w:val="center"/>
            <w:hideMark/>
          </w:tcPr>
          <w:p w14:paraId="095D32E4" w14:textId="5F483EFA" w:rsidR="00DE517E" w:rsidRPr="00620B71" w:rsidRDefault="00DE517E" w:rsidP="00DE517E">
            <w:pPr>
              <w:spacing w:before="0" w:after="0"/>
              <w:jc w:val="center"/>
              <w:rPr>
                <w:rFonts w:eastAsia="Times New Roman" w:cs="Times New Roman"/>
                <w:color w:val="000000"/>
                <w:sz w:val="24"/>
                <w:lang w:eastAsia="en-GB"/>
              </w:rPr>
            </w:pPr>
            <w:r>
              <w:rPr>
                <w:color w:val="000000"/>
              </w:rPr>
              <w:t>1.91,4.42</w:t>
            </w:r>
          </w:p>
        </w:tc>
      </w:tr>
      <w:tr w:rsidR="00DE517E" w:rsidRPr="00620B71" w14:paraId="0F8B1A0B" w14:textId="77777777" w:rsidTr="00F24CBC">
        <w:trPr>
          <w:trHeight w:val="320"/>
          <w:jc w:val="center"/>
        </w:trPr>
        <w:tc>
          <w:tcPr>
            <w:tcW w:w="1271" w:type="dxa"/>
            <w:vMerge/>
            <w:tcBorders>
              <w:top w:val="nil"/>
              <w:left w:val="single" w:sz="4" w:space="0" w:color="000000"/>
              <w:bottom w:val="single" w:sz="4" w:space="0" w:color="000000"/>
              <w:right w:val="single" w:sz="4" w:space="0" w:color="000000"/>
            </w:tcBorders>
            <w:vAlign w:val="center"/>
            <w:hideMark/>
          </w:tcPr>
          <w:p w14:paraId="661B0AA7" w14:textId="77777777" w:rsidR="00DE517E" w:rsidRPr="00620B71" w:rsidRDefault="00DE517E" w:rsidP="00DE517E">
            <w:pPr>
              <w:spacing w:before="0" w:after="0"/>
              <w:rPr>
                <w:rFonts w:eastAsia="Times New Roman" w:cs="Times New Roman"/>
                <w:b/>
                <w:bCs/>
                <w:color w:val="000000"/>
                <w:szCs w:val="22"/>
                <w:lang w:eastAsia="en-GB"/>
              </w:rPr>
            </w:pPr>
          </w:p>
        </w:tc>
        <w:tc>
          <w:tcPr>
            <w:tcW w:w="2021" w:type="dxa"/>
            <w:tcBorders>
              <w:top w:val="nil"/>
              <w:left w:val="nil"/>
              <w:bottom w:val="single" w:sz="4" w:space="0" w:color="000000"/>
              <w:right w:val="single" w:sz="4" w:space="0" w:color="000000"/>
            </w:tcBorders>
            <w:shd w:val="clear" w:color="auto" w:fill="auto"/>
            <w:noWrap/>
            <w:vAlign w:val="center"/>
            <w:hideMark/>
          </w:tcPr>
          <w:p w14:paraId="367496AA" w14:textId="77777777" w:rsidR="00DE517E" w:rsidRPr="00620B71" w:rsidRDefault="00DE517E" w:rsidP="00DE517E">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Non-combat role</w:t>
            </w:r>
          </w:p>
        </w:tc>
        <w:tc>
          <w:tcPr>
            <w:tcW w:w="1175" w:type="dxa"/>
            <w:tcBorders>
              <w:top w:val="nil"/>
              <w:left w:val="nil"/>
              <w:bottom w:val="single" w:sz="4" w:space="0" w:color="000000"/>
              <w:right w:val="nil"/>
            </w:tcBorders>
            <w:shd w:val="clear" w:color="auto" w:fill="auto"/>
            <w:noWrap/>
            <w:vAlign w:val="center"/>
            <w:hideMark/>
          </w:tcPr>
          <w:p w14:paraId="31C4C41C" w14:textId="325D8821"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107</w:t>
            </w:r>
          </w:p>
        </w:tc>
        <w:tc>
          <w:tcPr>
            <w:tcW w:w="1559" w:type="dxa"/>
            <w:tcBorders>
              <w:top w:val="nil"/>
              <w:left w:val="nil"/>
              <w:bottom w:val="single" w:sz="4" w:space="0" w:color="000000"/>
              <w:right w:val="nil"/>
            </w:tcBorders>
            <w:shd w:val="clear" w:color="auto" w:fill="auto"/>
            <w:noWrap/>
            <w:vAlign w:val="center"/>
            <w:hideMark/>
          </w:tcPr>
          <w:p w14:paraId="64A44388" w14:textId="493C2EF5"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11.63%</w:t>
            </w:r>
          </w:p>
        </w:tc>
        <w:tc>
          <w:tcPr>
            <w:tcW w:w="1196" w:type="dxa"/>
            <w:tcBorders>
              <w:top w:val="nil"/>
              <w:left w:val="single" w:sz="4" w:space="0" w:color="000000"/>
              <w:bottom w:val="single" w:sz="4" w:space="0" w:color="000000"/>
              <w:right w:val="nil"/>
            </w:tcBorders>
            <w:shd w:val="clear" w:color="auto" w:fill="auto"/>
            <w:noWrap/>
            <w:vAlign w:val="center"/>
            <w:hideMark/>
          </w:tcPr>
          <w:p w14:paraId="0CBF9EB0" w14:textId="24E24618"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106</w:t>
            </w:r>
          </w:p>
        </w:tc>
        <w:tc>
          <w:tcPr>
            <w:tcW w:w="1559" w:type="dxa"/>
            <w:tcBorders>
              <w:top w:val="nil"/>
              <w:left w:val="nil"/>
              <w:bottom w:val="single" w:sz="4" w:space="0" w:color="000000"/>
              <w:right w:val="single" w:sz="4" w:space="0" w:color="000000"/>
            </w:tcBorders>
            <w:shd w:val="clear" w:color="auto" w:fill="auto"/>
            <w:noWrap/>
            <w:vAlign w:val="center"/>
            <w:hideMark/>
          </w:tcPr>
          <w:p w14:paraId="2E377718" w14:textId="17A7DF70" w:rsidR="00DE517E" w:rsidRPr="00620B71" w:rsidRDefault="00DE517E" w:rsidP="00DE517E">
            <w:pPr>
              <w:spacing w:before="0" w:after="0"/>
              <w:jc w:val="center"/>
              <w:rPr>
                <w:rFonts w:eastAsia="Times New Roman" w:cs="Times New Roman"/>
                <w:color w:val="000000"/>
                <w:szCs w:val="22"/>
                <w:lang w:eastAsia="en-GB"/>
              </w:rPr>
            </w:pPr>
            <w:r>
              <w:rPr>
                <w:color w:val="000000"/>
                <w:szCs w:val="22"/>
              </w:rPr>
              <w:t>4.89%</w:t>
            </w:r>
          </w:p>
        </w:tc>
        <w:tc>
          <w:tcPr>
            <w:tcW w:w="1013" w:type="dxa"/>
            <w:tcBorders>
              <w:top w:val="nil"/>
              <w:left w:val="nil"/>
              <w:bottom w:val="single" w:sz="4" w:space="0" w:color="000000"/>
              <w:right w:val="nil"/>
            </w:tcBorders>
            <w:shd w:val="clear" w:color="auto" w:fill="auto"/>
            <w:noWrap/>
            <w:vAlign w:val="bottom"/>
            <w:hideMark/>
          </w:tcPr>
          <w:p w14:paraId="20E08D31" w14:textId="1E338190" w:rsidR="00DE517E" w:rsidRPr="00620B71" w:rsidRDefault="00DE517E" w:rsidP="00DE517E">
            <w:pPr>
              <w:spacing w:before="0" w:after="0"/>
              <w:jc w:val="center"/>
              <w:rPr>
                <w:rFonts w:eastAsia="Times New Roman" w:cs="Times New Roman"/>
                <w:color w:val="000000"/>
                <w:sz w:val="24"/>
                <w:lang w:eastAsia="en-GB"/>
              </w:rPr>
            </w:pPr>
            <w:r>
              <w:rPr>
                <w:color w:val="000000"/>
              </w:rPr>
              <w:t>2.06</w:t>
            </w:r>
          </w:p>
        </w:tc>
        <w:tc>
          <w:tcPr>
            <w:tcW w:w="1923" w:type="dxa"/>
            <w:tcBorders>
              <w:top w:val="nil"/>
              <w:left w:val="single" w:sz="4" w:space="0" w:color="000000"/>
              <w:bottom w:val="single" w:sz="4" w:space="0" w:color="000000"/>
              <w:right w:val="nil"/>
            </w:tcBorders>
            <w:shd w:val="clear" w:color="auto" w:fill="auto"/>
            <w:noWrap/>
            <w:vAlign w:val="center"/>
            <w:hideMark/>
          </w:tcPr>
          <w:p w14:paraId="6195507D" w14:textId="38FE3BCB" w:rsidR="00DE517E" w:rsidRPr="00620B71" w:rsidRDefault="00DE517E" w:rsidP="00DE517E">
            <w:pPr>
              <w:spacing w:before="0" w:after="0"/>
              <w:jc w:val="center"/>
              <w:rPr>
                <w:rFonts w:eastAsia="Times New Roman" w:cs="Times New Roman"/>
                <w:color w:val="000000"/>
                <w:sz w:val="24"/>
                <w:lang w:eastAsia="en-GB"/>
              </w:rPr>
            </w:pPr>
            <w:r>
              <w:rPr>
                <w:color w:val="000000"/>
              </w:rPr>
              <w:t>1.47,2.88</w:t>
            </w:r>
          </w:p>
        </w:tc>
        <w:tc>
          <w:tcPr>
            <w:tcW w:w="1013" w:type="dxa"/>
            <w:tcBorders>
              <w:top w:val="nil"/>
              <w:left w:val="single" w:sz="4" w:space="0" w:color="000000"/>
              <w:bottom w:val="single" w:sz="4" w:space="0" w:color="000000"/>
              <w:right w:val="single" w:sz="4" w:space="0" w:color="000000"/>
            </w:tcBorders>
            <w:shd w:val="clear" w:color="auto" w:fill="auto"/>
            <w:noWrap/>
            <w:vAlign w:val="center"/>
            <w:hideMark/>
          </w:tcPr>
          <w:p w14:paraId="383DB463" w14:textId="5F74F8E8" w:rsidR="00DE517E" w:rsidRPr="00620B71" w:rsidRDefault="00DE517E" w:rsidP="00DE517E">
            <w:pPr>
              <w:spacing w:before="0" w:after="0"/>
              <w:jc w:val="center"/>
              <w:rPr>
                <w:rFonts w:eastAsia="Times New Roman" w:cs="Times New Roman"/>
                <w:color w:val="000000"/>
                <w:sz w:val="24"/>
                <w:lang w:eastAsia="en-GB"/>
              </w:rPr>
            </w:pPr>
            <w:r>
              <w:rPr>
                <w:color w:val="000000"/>
              </w:rPr>
              <w:t>2.33</w:t>
            </w:r>
          </w:p>
        </w:tc>
        <w:tc>
          <w:tcPr>
            <w:tcW w:w="2291" w:type="dxa"/>
            <w:tcBorders>
              <w:top w:val="nil"/>
              <w:left w:val="nil"/>
              <w:bottom w:val="single" w:sz="4" w:space="0" w:color="000000"/>
              <w:right w:val="single" w:sz="4" w:space="0" w:color="000000"/>
            </w:tcBorders>
            <w:shd w:val="clear" w:color="auto" w:fill="auto"/>
            <w:noWrap/>
            <w:vAlign w:val="center"/>
            <w:hideMark/>
          </w:tcPr>
          <w:p w14:paraId="323DFFCD" w14:textId="62929700" w:rsidR="00DE517E" w:rsidRPr="00620B71" w:rsidRDefault="00DE517E" w:rsidP="00DE517E">
            <w:pPr>
              <w:spacing w:before="0" w:after="0"/>
              <w:jc w:val="center"/>
              <w:rPr>
                <w:rFonts w:eastAsia="Times New Roman" w:cs="Times New Roman"/>
                <w:color w:val="000000"/>
                <w:sz w:val="24"/>
                <w:lang w:eastAsia="en-GB"/>
              </w:rPr>
            </w:pPr>
            <w:r>
              <w:rPr>
                <w:color w:val="000000"/>
              </w:rPr>
              <w:t>1.65,3.30</w:t>
            </w:r>
          </w:p>
        </w:tc>
      </w:tr>
      <w:tr w:rsidR="00585D2E" w:rsidRPr="00620B71" w14:paraId="46CED86D" w14:textId="77777777" w:rsidTr="00F24CBC">
        <w:trPr>
          <w:trHeight w:val="320"/>
          <w:jc w:val="center"/>
        </w:trPr>
        <w:tc>
          <w:tcPr>
            <w:tcW w:w="1271" w:type="dxa"/>
            <w:tcBorders>
              <w:top w:val="nil"/>
              <w:left w:val="single" w:sz="4" w:space="0" w:color="000000"/>
              <w:bottom w:val="single" w:sz="4" w:space="0" w:color="000000"/>
              <w:right w:val="nil"/>
            </w:tcBorders>
            <w:shd w:val="clear" w:color="000000" w:fill="D9D9D9"/>
            <w:noWrap/>
            <w:vAlign w:val="bottom"/>
            <w:hideMark/>
          </w:tcPr>
          <w:p w14:paraId="6672BECF" w14:textId="77777777" w:rsidR="00620B71" w:rsidRPr="00620B71" w:rsidRDefault="00620B71" w:rsidP="006A7761">
            <w:pPr>
              <w:spacing w:before="0" w:after="0"/>
              <w:rPr>
                <w:rFonts w:eastAsia="Times New Roman" w:cs="Times New Roman"/>
                <w:b/>
                <w:bCs/>
                <w:color w:val="000000"/>
                <w:sz w:val="24"/>
                <w:lang w:eastAsia="en-GB"/>
              </w:rPr>
            </w:pPr>
            <w:r w:rsidRPr="00620B71">
              <w:rPr>
                <w:rFonts w:eastAsia="Times New Roman" w:cs="Times New Roman"/>
                <w:b/>
                <w:bCs/>
                <w:color w:val="000000"/>
                <w:sz w:val="24"/>
                <w:lang w:eastAsia="en-GB"/>
              </w:rPr>
              <w:t xml:space="preserve">Women </w:t>
            </w:r>
          </w:p>
        </w:tc>
        <w:tc>
          <w:tcPr>
            <w:tcW w:w="2021" w:type="dxa"/>
            <w:tcBorders>
              <w:top w:val="nil"/>
              <w:left w:val="nil"/>
              <w:bottom w:val="single" w:sz="4" w:space="0" w:color="000000"/>
              <w:right w:val="nil"/>
            </w:tcBorders>
            <w:shd w:val="clear" w:color="000000" w:fill="D9D9D9"/>
            <w:noWrap/>
            <w:vAlign w:val="bottom"/>
            <w:hideMark/>
          </w:tcPr>
          <w:p w14:paraId="5B0EE87C" w14:textId="77777777" w:rsidR="00620B71" w:rsidRPr="00620B71" w:rsidRDefault="00620B71" w:rsidP="006A7761">
            <w:pPr>
              <w:spacing w:before="0" w:after="0"/>
              <w:rPr>
                <w:rFonts w:ascii="Calibri" w:eastAsia="Times New Roman" w:hAnsi="Calibri" w:cs="Calibri"/>
                <w:color w:val="000000"/>
                <w:sz w:val="24"/>
                <w:lang w:eastAsia="en-GB"/>
              </w:rPr>
            </w:pPr>
            <w:r w:rsidRPr="00620B71">
              <w:rPr>
                <w:rFonts w:ascii="Calibri" w:eastAsia="Times New Roman" w:hAnsi="Calibri" w:cs="Calibri"/>
                <w:color w:val="000000"/>
                <w:sz w:val="24"/>
                <w:lang w:eastAsia="en-GB"/>
              </w:rPr>
              <w:t> </w:t>
            </w:r>
          </w:p>
        </w:tc>
        <w:tc>
          <w:tcPr>
            <w:tcW w:w="1175" w:type="dxa"/>
            <w:tcBorders>
              <w:top w:val="nil"/>
              <w:left w:val="nil"/>
              <w:bottom w:val="nil"/>
              <w:right w:val="nil"/>
            </w:tcBorders>
            <w:shd w:val="clear" w:color="000000" w:fill="D9D9D9"/>
            <w:noWrap/>
            <w:vAlign w:val="bottom"/>
            <w:hideMark/>
          </w:tcPr>
          <w:p w14:paraId="65F9BC5B" w14:textId="77777777" w:rsidR="00620B71" w:rsidRPr="00620B71" w:rsidRDefault="00620B71" w:rsidP="006A7761">
            <w:pPr>
              <w:spacing w:before="0" w:after="0"/>
              <w:rPr>
                <w:rFonts w:ascii="Calibri" w:eastAsia="Times New Roman" w:hAnsi="Calibri" w:cs="Calibri"/>
                <w:color w:val="000000"/>
                <w:sz w:val="24"/>
                <w:lang w:eastAsia="en-GB"/>
              </w:rPr>
            </w:pPr>
            <w:r w:rsidRPr="00620B71">
              <w:rPr>
                <w:rFonts w:ascii="Calibri" w:eastAsia="Times New Roman" w:hAnsi="Calibri" w:cs="Calibri"/>
                <w:color w:val="000000"/>
                <w:sz w:val="24"/>
                <w:lang w:eastAsia="en-GB"/>
              </w:rPr>
              <w:t> </w:t>
            </w:r>
          </w:p>
        </w:tc>
        <w:tc>
          <w:tcPr>
            <w:tcW w:w="1559" w:type="dxa"/>
            <w:tcBorders>
              <w:top w:val="nil"/>
              <w:left w:val="nil"/>
              <w:bottom w:val="nil"/>
              <w:right w:val="nil"/>
            </w:tcBorders>
            <w:shd w:val="clear" w:color="000000" w:fill="D9D9D9"/>
            <w:noWrap/>
            <w:vAlign w:val="bottom"/>
            <w:hideMark/>
          </w:tcPr>
          <w:p w14:paraId="38BBCAB2" w14:textId="77777777" w:rsidR="00620B71" w:rsidRPr="00620B71" w:rsidRDefault="00620B71" w:rsidP="006A7761">
            <w:pPr>
              <w:spacing w:before="0" w:after="0"/>
              <w:rPr>
                <w:rFonts w:ascii="Calibri" w:eastAsia="Times New Roman" w:hAnsi="Calibri" w:cs="Calibri"/>
                <w:color w:val="000000"/>
                <w:sz w:val="24"/>
                <w:lang w:eastAsia="en-GB"/>
              </w:rPr>
            </w:pPr>
            <w:r w:rsidRPr="00620B71">
              <w:rPr>
                <w:rFonts w:ascii="Calibri" w:eastAsia="Times New Roman" w:hAnsi="Calibri" w:cs="Calibri"/>
                <w:color w:val="000000"/>
                <w:sz w:val="24"/>
                <w:lang w:eastAsia="en-GB"/>
              </w:rPr>
              <w:t> </w:t>
            </w:r>
          </w:p>
        </w:tc>
        <w:tc>
          <w:tcPr>
            <w:tcW w:w="1196" w:type="dxa"/>
            <w:tcBorders>
              <w:top w:val="nil"/>
              <w:left w:val="nil"/>
              <w:bottom w:val="nil"/>
              <w:right w:val="nil"/>
            </w:tcBorders>
            <w:shd w:val="clear" w:color="000000" w:fill="D9D9D9"/>
            <w:noWrap/>
            <w:vAlign w:val="bottom"/>
            <w:hideMark/>
          </w:tcPr>
          <w:p w14:paraId="175BEE20" w14:textId="77777777" w:rsidR="00620B71" w:rsidRPr="00620B71" w:rsidRDefault="00620B71" w:rsidP="006A7761">
            <w:pPr>
              <w:spacing w:before="0" w:after="0"/>
              <w:rPr>
                <w:rFonts w:ascii="Calibri" w:eastAsia="Times New Roman" w:hAnsi="Calibri" w:cs="Calibri"/>
                <w:color w:val="000000"/>
                <w:sz w:val="24"/>
                <w:lang w:eastAsia="en-GB"/>
              </w:rPr>
            </w:pPr>
            <w:r w:rsidRPr="00620B71">
              <w:rPr>
                <w:rFonts w:ascii="Calibri" w:eastAsia="Times New Roman" w:hAnsi="Calibri" w:cs="Calibri"/>
                <w:color w:val="000000"/>
                <w:sz w:val="24"/>
                <w:lang w:eastAsia="en-GB"/>
              </w:rPr>
              <w:t> </w:t>
            </w:r>
          </w:p>
        </w:tc>
        <w:tc>
          <w:tcPr>
            <w:tcW w:w="1559" w:type="dxa"/>
            <w:tcBorders>
              <w:top w:val="nil"/>
              <w:left w:val="nil"/>
              <w:bottom w:val="nil"/>
              <w:right w:val="nil"/>
            </w:tcBorders>
            <w:shd w:val="clear" w:color="000000" w:fill="D9D9D9"/>
            <w:noWrap/>
            <w:vAlign w:val="bottom"/>
            <w:hideMark/>
          </w:tcPr>
          <w:p w14:paraId="3CCB04D6" w14:textId="77777777" w:rsidR="00620B71" w:rsidRPr="00620B71" w:rsidRDefault="00620B71" w:rsidP="006A7761">
            <w:pPr>
              <w:spacing w:before="0" w:after="0"/>
              <w:rPr>
                <w:rFonts w:ascii="Calibri" w:eastAsia="Times New Roman" w:hAnsi="Calibri" w:cs="Calibri"/>
                <w:color w:val="000000"/>
                <w:sz w:val="24"/>
                <w:lang w:eastAsia="en-GB"/>
              </w:rPr>
            </w:pPr>
            <w:r w:rsidRPr="00620B71">
              <w:rPr>
                <w:rFonts w:ascii="Calibri" w:eastAsia="Times New Roman" w:hAnsi="Calibri" w:cs="Calibri"/>
                <w:color w:val="000000"/>
                <w:sz w:val="24"/>
                <w:lang w:eastAsia="en-GB"/>
              </w:rPr>
              <w:t> </w:t>
            </w:r>
          </w:p>
        </w:tc>
        <w:tc>
          <w:tcPr>
            <w:tcW w:w="1013" w:type="dxa"/>
            <w:tcBorders>
              <w:top w:val="nil"/>
              <w:left w:val="nil"/>
              <w:bottom w:val="single" w:sz="4" w:space="0" w:color="000000"/>
              <w:right w:val="nil"/>
            </w:tcBorders>
            <w:shd w:val="clear" w:color="000000" w:fill="D9D9D9"/>
            <w:noWrap/>
            <w:vAlign w:val="bottom"/>
            <w:hideMark/>
          </w:tcPr>
          <w:p w14:paraId="53855CF5" w14:textId="77777777" w:rsidR="00620B71" w:rsidRPr="00620B71" w:rsidRDefault="00620B71" w:rsidP="006A7761">
            <w:pPr>
              <w:spacing w:before="0" w:after="0"/>
              <w:rPr>
                <w:rFonts w:ascii="Calibri" w:eastAsia="Times New Roman" w:hAnsi="Calibri" w:cs="Calibri"/>
                <w:color w:val="000000"/>
                <w:sz w:val="24"/>
                <w:lang w:eastAsia="en-GB"/>
              </w:rPr>
            </w:pPr>
            <w:r w:rsidRPr="00620B71">
              <w:rPr>
                <w:rFonts w:ascii="Calibri" w:eastAsia="Times New Roman" w:hAnsi="Calibri" w:cs="Calibri"/>
                <w:color w:val="000000"/>
                <w:sz w:val="24"/>
                <w:lang w:eastAsia="en-GB"/>
              </w:rPr>
              <w:t> </w:t>
            </w:r>
          </w:p>
        </w:tc>
        <w:tc>
          <w:tcPr>
            <w:tcW w:w="1923" w:type="dxa"/>
            <w:tcBorders>
              <w:top w:val="nil"/>
              <w:left w:val="nil"/>
              <w:bottom w:val="single" w:sz="4" w:space="0" w:color="000000"/>
              <w:right w:val="nil"/>
            </w:tcBorders>
            <w:shd w:val="clear" w:color="000000" w:fill="D9D9D9"/>
            <w:noWrap/>
            <w:vAlign w:val="bottom"/>
            <w:hideMark/>
          </w:tcPr>
          <w:p w14:paraId="3E4C0D54" w14:textId="77777777" w:rsidR="00620B71" w:rsidRPr="00620B71" w:rsidRDefault="00620B71" w:rsidP="006A7761">
            <w:pPr>
              <w:spacing w:before="0" w:after="0"/>
              <w:rPr>
                <w:rFonts w:ascii="Calibri" w:eastAsia="Times New Roman" w:hAnsi="Calibri" w:cs="Calibri"/>
                <w:color w:val="000000"/>
                <w:sz w:val="24"/>
                <w:lang w:eastAsia="en-GB"/>
              </w:rPr>
            </w:pPr>
            <w:r w:rsidRPr="00620B71">
              <w:rPr>
                <w:rFonts w:ascii="Calibri" w:eastAsia="Times New Roman" w:hAnsi="Calibri" w:cs="Calibri"/>
                <w:color w:val="000000"/>
                <w:sz w:val="24"/>
                <w:lang w:eastAsia="en-GB"/>
              </w:rPr>
              <w:t> </w:t>
            </w:r>
          </w:p>
        </w:tc>
        <w:tc>
          <w:tcPr>
            <w:tcW w:w="1013" w:type="dxa"/>
            <w:tcBorders>
              <w:top w:val="nil"/>
              <w:left w:val="nil"/>
              <w:bottom w:val="single" w:sz="4" w:space="0" w:color="000000"/>
              <w:right w:val="nil"/>
            </w:tcBorders>
            <w:shd w:val="clear" w:color="000000" w:fill="D9D9D9"/>
            <w:noWrap/>
            <w:vAlign w:val="bottom"/>
            <w:hideMark/>
          </w:tcPr>
          <w:p w14:paraId="06A81FB1" w14:textId="77777777" w:rsidR="00620B71" w:rsidRPr="00620B71" w:rsidRDefault="00620B71" w:rsidP="006A7761">
            <w:pPr>
              <w:spacing w:before="0" w:after="0"/>
              <w:rPr>
                <w:rFonts w:ascii="Calibri" w:eastAsia="Times New Roman" w:hAnsi="Calibri" w:cs="Calibri"/>
                <w:color w:val="000000"/>
                <w:sz w:val="24"/>
                <w:lang w:eastAsia="en-GB"/>
              </w:rPr>
            </w:pPr>
            <w:r w:rsidRPr="00620B71">
              <w:rPr>
                <w:rFonts w:ascii="Calibri" w:eastAsia="Times New Roman" w:hAnsi="Calibri" w:cs="Calibri"/>
                <w:color w:val="000000"/>
                <w:sz w:val="24"/>
                <w:lang w:eastAsia="en-GB"/>
              </w:rPr>
              <w:t> </w:t>
            </w:r>
          </w:p>
        </w:tc>
        <w:tc>
          <w:tcPr>
            <w:tcW w:w="2291" w:type="dxa"/>
            <w:tcBorders>
              <w:top w:val="nil"/>
              <w:left w:val="nil"/>
              <w:bottom w:val="single" w:sz="4" w:space="0" w:color="000000"/>
              <w:right w:val="single" w:sz="4" w:space="0" w:color="000000"/>
            </w:tcBorders>
            <w:shd w:val="clear" w:color="000000" w:fill="D9D9D9"/>
            <w:noWrap/>
            <w:vAlign w:val="bottom"/>
            <w:hideMark/>
          </w:tcPr>
          <w:p w14:paraId="7AD48A69" w14:textId="77777777" w:rsidR="00620B71" w:rsidRPr="00620B71" w:rsidRDefault="00620B71" w:rsidP="006A7761">
            <w:pPr>
              <w:spacing w:before="0" w:after="0"/>
              <w:rPr>
                <w:rFonts w:ascii="Calibri" w:eastAsia="Times New Roman" w:hAnsi="Calibri" w:cs="Calibri"/>
                <w:color w:val="000000"/>
                <w:sz w:val="24"/>
                <w:lang w:eastAsia="en-GB"/>
              </w:rPr>
            </w:pPr>
            <w:r w:rsidRPr="00620B71">
              <w:rPr>
                <w:rFonts w:ascii="Calibri" w:eastAsia="Times New Roman" w:hAnsi="Calibri" w:cs="Calibri"/>
                <w:color w:val="000000"/>
                <w:sz w:val="24"/>
                <w:lang w:eastAsia="en-GB"/>
              </w:rPr>
              <w:t> </w:t>
            </w:r>
          </w:p>
        </w:tc>
      </w:tr>
      <w:tr w:rsidR="00F24CBC" w:rsidRPr="00620B71" w14:paraId="57E46C0E" w14:textId="77777777" w:rsidTr="00F24CBC">
        <w:trPr>
          <w:trHeight w:val="320"/>
          <w:jc w:val="center"/>
        </w:trPr>
        <w:tc>
          <w:tcPr>
            <w:tcW w:w="1271" w:type="dxa"/>
            <w:tcBorders>
              <w:top w:val="nil"/>
              <w:left w:val="single" w:sz="4" w:space="0" w:color="000000"/>
              <w:bottom w:val="nil"/>
              <w:right w:val="single" w:sz="4" w:space="0" w:color="auto"/>
            </w:tcBorders>
            <w:shd w:val="clear" w:color="auto" w:fill="auto"/>
            <w:noWrap/>
            <w:vAlign w:val="center"/>
            <w:hideMark/>
          </w:tcPr>
          <w:p w14:paraId="0851B839" w14:textId="77777777" w:rsidR="00F24CBC" w:rsidRPr="00620B71" w:rsidRDefault="00F24CBC" w:rsidP="00F24CBC">
            <w:pPr>
              <w:spacing w:before="0" w:after="0"/>
              <w:rPr>
                <w:rFonts w:eastAsia="Times New Roman" w:cs="Times New Roman"/>
                <w:b/>
                <w:bCs/>
                <w:color w:val="000000"/>
                <w:szCs w:val="22"/>
                <w:lang w:eastAsia="en-GB"/>
              </w:rPr>
            </w:pPr>
            <w:r w:rsidRPr="00620B71">
              <w:rPr>
                <w:rFonts w:eastAsia="Times New Roman" w:cs="Times New Roman"/>
                <w:b/>
                <w:bCs/>
                <w:color w:val="000000"/>
                <w:szCs w:val="22"/>
                <w:lang w:eastAsia="en-GB"/>
              </w:rPr>
              <w:t>PTSD</w:t>
            </w:r>
          </w:p>
        </w:tc>
        <w:tc>
          <w:tcPr>
            <w:tcW w:w="2021" w:type="dxa"/>
            <w:tcBorders>
              <w:top w:val="nil"/>
              <w:left w:val="nil"/>
              <w:bottom w:val="nil"/>
              <w:right w:val="nil"/>
            </w:tcBorders>
            <w:shd w:val="clear" w:color="auto" w:fill="auto"/>
            <w:noWrap/>
            <w:vAlign w:val="center"/>
            <w:hideMark/>
          </w:tcPr>
          <w:p w14:paraId="42152864" w14:textId="77777777" w:rsidR="00F24CBC" w:rsidRPr="00620B71" w:rsidRDefault="00F24CBC" w:rsidP="00F24CBC">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Deployed</w:t>
            </w:r>
          </w:p>
        </w:tc>
        <w:tc>
          <w:tcPr>
            <w:tcW w:w="1175" w:type="dxa"/>
            <w:tcBorders>
              <w:top w:val="single" w:sz="4" w:space="0" w:color="000000"/>
              <w:left w:val="single" w:sz="4" w:space="0" w:color="000000"/>
              <w:bottom w:val="nil"/>
              <w:right w:val="nil"/>
            </w:tcBorders>
            <w:shd w:val="clear" w:color="auto" w:fill="auto"/>
            <w:noWrap/>
            <w:vAlign w:val="center"/>
            <w:hideMark/>
          </w:tcPr>
          <w:p w14:paraId="40BB5B52"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37</w:t>
            </w:r>
          </w:p>
        </w:tc>
        <w:tc>
          <w:tcPr>
            <w:tcW w:w="1559" w:type="dxa"/>
            <w:tcBorders>
              <w:top w:val="single" w:sz="4" w:space="0" w:color="000000"/>
              <w:left w:val="nil"/>
              <w:bottom w:val="nil"/>
              <w:right w:val="nil"/>
            </w:tcBorders>
            <w:shd w:val="clear" w:color="auto" w:fill="auto"/>
            <w:noWrap/>
            <w:vAlign w:val="center"/>
            <w:hideMark/>
          </w:tcPr>
          <w:p w14:paraId="6EAB2E34"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21.10%</w:t>
            </w:r>
          </w:p>
        </w:tc>
        <w:tc>
          <w:tcPr>
            <w:tcW w:w="1196" w:type="dxa"/>
            <w:tcBorders>
              <w:top w:val="single" w:sz="4" w:space="0" w:color="000000"/>
              <w:left w:val="single" w:sz="4" w:space="0" w:color="000000"/>
              <w:bottom w:val="nil"/>
              <w:right w:val="nil"/>
            </w:tcBorders>
            <w:shd w:val="clear" w:color="auto" w:fill="auto"/>
            <w:noWrap/>
            <w:vAlign w:val="center"/>
            <w:hideMark/>
          </w:tcPr>
          <w:p w14:paraId="381883CB"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2,579</w:t>
            </w:r>
          </w:p>
        </w:tc>
        <w:tc>
          <w:tcPr>
            <w:tcW w:w="1559" w:type="dxa"/>
            <w:tcBorders>
              <w:top w:val="single" w:sz="4" w:space="0" w:color="000000"/>
              <w:left w:val="nil"/>
              <w:bottom w:val="nil"/>
              <w:right w:val="single" w:sz="4" w:space="0" w:color="000000"/>
            </w:tcBorders>
            <w:shd w:val="clear" w:color="auto" w:fill="auto"/>
            <w:noWrap/>
            <w:vAlign w:val="center"/>
            <w:hideMark/>
          </w:tcPr>
          <w:p w14:paraId="1F84C2D0"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21.40%</w:t>
            </w:r>
          </w:p>
        </w:tc>
        <w:tc>
          <w:tcPr>
            <w:tcW w:w="1013" w:type="dxa"/>
            <w:tcBorders>
              <w:top w:val="nil"/>
              <w:left w:val="nil"/>
              <w:bottom w:val="nil"/>
              <w:right w:val="nil"/>
            </w:tcBorders>
            <w:shd w:val="clear" w:color="auto" w:fill="auto"/>
            <w:noWrap/>
            <w:vAlign w:val="center"/>
            <w:hideMark/>
          </w:tcPr>
          <w:p w14:paraId="433264A7"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0.80</w:t>
            </w:r>
          </w:p>
        </w:tc>
        <w:tc>
          <w:tcPr>
            <w:tcW w:w="1923" w:type="dxa"/>
            <w:tcBorders>
              <w:top w:val="nil"/>
              <w:left w:val="single" w:sz="4" w:space="0" w:color="auto"/>
              <w:bottom w:val="nil"/>
              <w:right w:val="nil"/>
            </w:tcBorders>
            <w:shd w:val="clear" w:color="auto" w:fill="auto"/>
            <w:noWrap/>
            <w:vAlign w:val="center"/>
            <w:hideMark/>
          </w:tcPr>
          <w:p w14:paraId="7F4C3241"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0.40,1.63</w:t>
            </w:r>
          </w:p>
        </w:tc>
        <w:tc>
          <w:tcPr>
            <w:tcW w:w="1013" w:type="dxa"/>
            <w:tcBorders>
              <w:top w:val="nil"/>
              <w:left w:val="single" w:sz="4" w:space="0" w:color="000000"/>
              <w:bottom w:val="nil"/>
              <w:right w:val="nil"/>
            </w:tcBorders>
            <w:shd w:val="clear" w:color="auto" w:fill="auto"/>
            <w:noWrap/>
            <w:vAlign w:val="center"/>
            <w:hideMark/>
          </w:tcPr>
          <w:p w14:paraId="2930F4C8" w14:textId="0557D13A" w:rsidR="00F24CBC" w:rsidRPr="00620B71" w:rsidRDefault="00F24CBC" w:rsidP="00F24CBC">
            <w:pPr>
              <w:spacing w:before="0" w:after="0"/>
              <w:jc w:val="center"/>
              <w:rPr>
                <w:rFonts w:eastAsia="Times New Roman" w:cs="Times New Roman"/>
                <w:color w:val="000000"/>
                <w:szCs w:val="22"/>
                <w:lang w:eastAsia="en-GB"/>
              </w:rPr>
            </w:pPr>
            <w:r>
              <w:rPr>
                <w:color w:val="000000"/>
                <w:szCs w:val="22"/>
              </w:rPr>
              <w:t>1.19</w:t>
            </w:r>
          </w:p>
        </w:tc>
        <w:tc>
          <w:tcPr>
            <w:tcW w:w="2291" w:type="dxa"/>
            <w:tcBorders>
              <w:top w:val="nil"/>
              <w:left w:val="single" w:sz="4" w:space="0" w:color="auto"/>
              <w:bottom w:val="nil"/>
              <w:right w:val="single" w:sz="4" w:space="0" w:color="000000"/>
            </w:tcBorders>
            <w:shd w:val="clear" w:color="auto" w:fill="auto"/>
            <w:noWrap/>
            <w:vAlign w:val="center"/>
            <w:hideMark/>
          </w:tcPr>
          <w:p w14:paraId="562B5839" w14:textId="141943E1" w:rsidR="00F24CBC" w:rsidRPr="00620B71" w:rsidRDefault="00F24CBC" w:rsidP="00F24CBC">
            <w:pPr>
              <w:spacing w:before="0" w:after="0"/>
              <w:jc w:val="center"/>
              <w:rPr>
                <w:rFonts w:eastAsia="Times New Roman" w:cs="Times New Roman"/>
                <w:color w:val="000000"/>
                <w:szCs w:val="22"/>
                <w:lang w:eastAsia="en-GB"/>
              </w:rPr>
            </w:pPr>
            <w:r>
              <w:rPr>
                <w:color w:val="000000"/>
                <w:szCs w:val="22"/>
              </w:rPr>
              <w:t>0.58,2.44</w:t>
            </w:r>
          </w:p>
        </w:tc>
      </w:tr>
      <w:tr w:rsidR="00F24CBC" w:rsidRPr="00620B71" w14:paraId="1FC9D783" w14:textId="77777777" w:rsidTr="00F24CBC">
        <w:trPr>
          <w:trHeight w:val="320"/>
          <w:jc w:val="center"/>
        </w:trPr>
        <w:tc>
          <w:tcPr>
            <w:tcW w:w="1271" w:type="dxa"/>
            <w:tcBorders>
              <w:top w:val="nil"/>
              <w:left w:val="single" w:sz="4" w:space="0" w:color="000000"/>
              <w:bottom w:val="nil"/>
              <w:right w:val="single" w:sz="4" w:space="0" w:color="auto"/>
            </w:tcBorders>
            <w:shd w:val="clear" w:color="auto" w:fill="auto"/>
            <w:noWrap/>
            <w:vAlign w:val="center"/>
            <w:hideMark/>
          </w:tcPr>
          <w:p w14:paraId="71123DC2" w14:textId="77777777" w:rsidR="00F24CBC" w:rsidRPr="00620B71" w:rsidRDefault="00F24CBC" w:rsidP="00F24CBC">
            <w:pPr>
              <w:spacing w:before="0" w:after="0"/>
              <w:rPr>
                <w:rFonts w:eastAsia="Times New Roman" w:cs="Times New Roman"/>
                <w:b/>
                <w:bCs/>
                <w:color w:val="000000"/>
                <w:szCs w:val="22"/>
                <w:lang w:eastAsia="en-GB"/>
              </w:rPr>
            </w:pPr>
            <w:r w:rsidRPr="00620B71">
              <w:rPr>
                <w:rFonts w:eastAsia="Times New Roman" w:cs="Times New Roman"/>
                <w:b/>
                <w:bCs/>
                <w:color w:val="000000"/>
                <w:szCs w:val="22"/>
                <w:lang w:eastAsia="en-GB"/>
              </w:rPr>
              <w:t> </w:t>
            </w:r>
          </w:p>
        </w:tc>
        <w:tc>
          <w:tcPr>
            <w:tcW w:w="2021" w:type="dxa"/>
            <w:tcBorders>
              <w:top w:val="nil"/>
              <w:left w:val="nil"/>
              <w:bottom w:val="nil"/>
              <w:right w:val="nil"/>
            </w:tcBorders>
            <w:shd w:val="clear" w:color="auto" w:fill="auto"/>
            <w:noWrap/>
            <w:vAlign w:val="center"/>
            <w:hideMark/>
          </w:tcPr>
          <w:p w14:paraId="63D83229" w14:textId="77777777" w:rsidR="00F24CBC" w:rsidRPr="00620B71" w:rsidRDefault="00F24CBC" w:rsidP="00F24CBC">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Not-deployed</w:t>
            </w:r>
          </w:p>
        </w:tc>
        <w:tc>
          <w:tcPr>
            <w:tcW w:w="1175" w:type="dxa"/>
            <w:tcBorders>
              <w:top w:val="nil"/>
              <w:left w:val="single" w:sz="4" w:space="0" w:color="000000"/>
              <w:bottom w:val="nil"/>
              <w:right w:val="nil"/>
            </w:tcBorders>
            <w:shd w:val="clear" w:color="auto" w:fill="auto"/>
            <w:noWrap/>
            <w:vAlign w:val="center"/>
            <w:hideMark/>
          </w:tcPr>
          <w:p w14:paraId="7809444E"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24</w:t>
            </w:r>
          </w:p>
        </w:tc>
        <w:tc>
          <w:tcPr>
            <w:tcW w:w="1559" w:type="dxa"/>
            <w:tcBorders>
              <w:top w:val="nil"/>
              <w:left w:val="nil"/>
              <w:bottom w:val="nil"/>
              <w:right w:val="nil"/>
            </w:tcBorders>
            <w:shd w:val="clear" w:color="auto" w:fill="auto"/>
            <w:noWrap/>
            <w:vAlign w:val="center"/>
            <w:hideMark/>
          </w:tcPr>
          <w:p w14:paraId="168E5661"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26.10%</w:t>
            </w:r>
          </w:p>
        </w:tc>
        <w:tc>
          <w:tcPr>
            <w:tcW w:w="1196" w:type="dxa"/>
            <w:tcBorders>
              <w:top w:val="nil"/>
              <w:left w:val="single" w:sz="4" w:space="0" w:color="000000"/>
              <w:bottom w:val="nil"/>
              <w:right w:val="nil"/>
            </w:tcBorders>
            <w:shd w:val="clear" w:color="auto" w:fill="auto"/>
            <w:noWrap/>
            <w:vAlign w:val="center"/>
            <w:hideMark/>
          </w:tcPr>
          <w:p w14:paraId="6D948C65"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2,579</w:t>
            </w:r>
          </w:p>
        </w:tc>
        <w:tc>
          <w:tcPr>
            <w:tcW w:w="1559" w:type="dxa"/>
            <w:tcBorders>
              <w:top w:val="nil"/>
              <w:left w:val="nil"/>
              <w:bottom w:val="nil"/>
              <w:right w:val="single" w:sz="4" w:space="0" w:color="000000"/>
            </w:tcBorders>
            <w:shd w:val="clear" w:color="auto" w:fill="auto"/>
            <w:noWrap/>
            <w:vAlign w:val="center"/>
            <w:hideMark/>
          </w:tcPr>
          <w:p w14:paraId="76DAF1A1"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21.00%</w:t>
            </w:r>
          </w:p>
        </w:tc>
        <w:tc>
          <w:tcPr>
            <w:tcW w:w="1013" w:type="dxa"/>
            <w:tcBorders>
              <w:top w:val="nil"/>
              <w:left w:val="nil"/>
              <w:bottom w:val="single" w:sz="4" w:space="0" w:color="auto"/>
              <w:right w:val="nil"/>
            </w:tcBorders>
            <w:shd w:val="clear" w:color="auto" w:fill="auto"/>
            <w:noWrap/>
            <w:vAlign w:val="center"/>
            <w:hideMark/>
          </w:tcPr>
          <w:p w14:paraId="48749FE7"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1.70</w:t>
            </w:r>
          </w:p>
        </w:tc>
        <w:tc>
          <w:tcPr>
            <w:tcW w:w="1923" w:type="dxa"/>
            <w:tcBorders>
              <w:top w:val="nil"/>
              <w:left w:val="single" w:sz="4" w:space="0" w:color="auto"/>
              <w:bottom w:val="single" w:sz="4" w:space="0" w:color="auto"/>
              <w:right w:val="nil"/>
            </w:tcBorders>
            <w:shd w:val="clear" w:color="auto" w:fill="auto"/>
            <w:noWrap/>
            <w:vAlign w:val="center"/>
            <w:hideMark/>
          </w:tcPr>
          <w:p w14:paraId="3D2748D8"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0.72,4.03</w:t>
            </w:r>
          </w:p>
        </w:tc>
        <w:tc>
          <w:tcPr>
            <w:tcW w:w="1013" w:type="dxa"/>
            <w:tcBorders>
              <w:top w:val="nil"/>
              <w:left w:val="single" w:sz="4" w:space="0" w:color="000000"/>
              <w:bottom w:val="single" w:sz="4" w:space="0" w:color="auto"/>
              <w:right w:val="nil"/>
            </w:tcBorders>
            <w:shd w:val="clear" w:color="auto" w:fill="auto"/>
            <w:noWrap/>
            <w:vAlign w:val="center"/>
            <w:hideMark/>
          </w:tcPr>
          <w:p w14:paraId="27225DD6" w14:textId="4D79231D" w:rsidR="00F24CBC" w:rsidRPr="00620B71" w:rsidRDefault="00F24CBC" w:rsidP="00F24CBC">
            <w:pPr>
              <w:spacing w:before="0" w:after="0"/>
              <w:jc w:val="center"/>
              <w:rPr>
                <w:rFonts w:eastAsia="Times New Roman" w:cs="Times New Roman"/>
                <w:color w:val="000000"/>
                <w:szCs w:val="22"/>
                <w:lang w:eastAsia="en-GB"/>
              </w:rPr>
            </w:pPr>
            <w:r>
              <w:rPr>
                <w:color w:val="000000"/>
                <w:szCs w:val="22"/>
              </w:rPr>
              <w:t>1.90</w:t>
            </w:r>
          </w:p>
        </w:tc>
        <w:tc>
          <w:tcPr>
            <w:tcW w:w="2291" w:type="dxa"/>
            <w:tcBorders>
              <w:top w:val="nil"/>
              <w:left w:val="single" w:sz="4" w:space="0" w:color="auto"/>
              <w:bottom w:val="single" w:sz="4" w:space="0" w:color="auto"/>
              <w:right w:val="single" w:sz="4" w:space="0" w:color="000000"/>
            </w:tcBorders>
            <w:shd w:val="clear" w:color="auto" w:fill="auto"/>
            <w:noWrap/>
            <w:vAlign w:val="center"/>
            <w:hideMark/>
          </w:tcPr>
          <w:p w14:paraId="6C76ACA3" w14:textId="5D975B19" w:rsidR="00F24CBC" w:rsidRPr="00620B71" w:rsidRDefault="00F24CBC" w:rsidP="00F24CBC">
            <w:pPr>
              <w:spacing w:before="0" w:after="0"/>
              <w:jc w:val="center"/>
              <w:rPr>
                <w:rFonts w:eastAsia="Times New Roman" w:cs="Times New Roman"/>
                <w:color w:val="000000"/>
                <w:szCs w:val="22"/>
                <w:lang w:eastAsia="en-GB"/>
              </w:rPr>
            </w:pPr>
            <w:r>
              <w:rPr>
                <w:color w:val="000000"/>
                <w:szCs w:val="22"/>
              </w:rPr>
              <w:t>0.78,4.61</w:t>
            </w:r>
          </w:p>
        </w:tc>
      </w:tr>
      <w:tr w:rsidR="00F24CBC" w:rsidRPr="00620B71" w14:paraId="343D7631" w14:textId="77777777" w:rsidTr="00F24CBC">
        <w:trPr>
          <w:trHeight w:val="320"/>
          <w:jc w:val="center"/>
        </w:trPr>
        <w:tc>
          <w:tcPr>
            <w:tcW w:w="1271" w:type="dxa"/>
            <w:tcBorders>
              <w:top w:val="single" w:sz="4" w:space="0" w:color="000000"/>
              <w:left w:val="single" w:sz="4" w:space="0" w:color="000000"/>
              <w:bottom w:val="nil"/>
              <w:right w:val="single" w:sz="4" w:space="0" w:color="000000"/>
            </w:tcBorders>
            <w:shd w:val="clear" w:color="auto" w:fill="auto"/>
            <w:noWrap/>
            <w:vAlign w:val="center"/>
            <w:hideMark/>
          </w:tcPr>
          <w:p w14:paraId="1D5D7E74" w14:textId="77777777" w:rsidR="00F24CBC" w:rsidRPr="00620B71" w:rsidRDefault="00F24CBC" w:rsidP="00F24CBC">
            <w:pPr>
              <w:spacing w:before="0" w:after="0"/>
              <w:rPr>
                <w:rFonts w:eastAsia="Times New Roman" w:cs="Times New Roman"/>
                <w:b/>
                <w:bCs/>
                <w:color w:val="000000"/>
                <w:szCs w:val="22"/>
                <w:lang w:eastAsia="en-GB"/>
              </w:rPr>
            </w:pPr>
            <w:r w:rsidRPr="00620B71">
              <w:rPr>
                <w:rFonts w:eastAsia="Times New Roman" w:cs="Times New Roman"/>
                <w:b/>
                <w:bCs/>
                <w:color w:val="000000"/>
                <w:szCs w:val="22"/>
                <w:lang w:eastAsia="en-GB"/>
              </w:rPr>
              <w:t>CMD</w:t>
            </w:r>
          </w:p>
        </w:tc>
        <w:tc>
          <w:tcPr>
            <w:tcW w:w="2021" w:type="dxa"/>
            <w:tcBorders>
              <w:top w:val="single" w:sz="4" w:space="0" w:color="000000"/>
              <w:left w:val="nil"/>
              <w:bottom w:val="nil"/>
              <w:right w:val="nil"/>
            </w:tcBorders>
            <w:shd w:val="clear" w:color="auto" w:fill="auto"/>
            <w:noWrap/>
            <w:vAlign w:val="center"/>
            <w:hideMark/>
          </w:tcPr>
          <w:p w14:paraId="26C8F505" w14:textId="77777777" w:rsidR="00F24CBC" w:rsidRPr="00620B71" w:rsidRDefault="00F24CBC" w:rsidP="00F24CBC">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Deployed</w:t>
            </w:r>
          </w:p>
        </w:tc>
        <w:tc>
          <w:tcPr>
            <w:tcW w:w="1175" w:type="dxa"/>
            <w:tcBorders>
              <w:top w:val="single" w:sz="4" w:space="0" w:color="000000"/>
              <w:left w:val="single" w:sz="4" w:space="0" w:color="000000"/>
              <w:bottom w:val="nil"/>
              <w:right w:val="nil"/>
            </w:tcBorders>
            <w:shd w:val="clear" w:color="auto" w:fill="auto"/>
            <w:noWrap/>
            <w:vAlign w:val="center"/>
            <w:hideMark/>
          </w:tcPr>
          <w:p w14:paraId="066C823C"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x</w:t>
            </w:r>
          </w:p>
        </w:tc>
        <w:tc>
          <w:tcPr>
            <w:tcW w:w="1559" w:type="dxa"/>
            <w:tcBorders>
              <w:top w:val="single" w:sz="4" w:space="0" w:color="000000"/>
              <w:left w:val="nil"/>
              <w:bottom w:val="nil"/>
              <w:right w:val="nil"/>
            </w:tcBorders>
            <w:shd w:val="clear" w:color="auto" w:fill="auto"/>
            <w:noWrap/>
            <w:vAlign w:val="center"/>
            <w:hideMark/>
          </w:tcPr>
          <w:p w14:paraId="0BCCDADE"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x</w:t>
            </w:r>
          </w:p>
        </w:tc>
        <w:tc>
          <w:tcPr>
            <w:tcW w:w="1196" w:type="dxa"/>
            <w:tcBorders>
              <w:top w:val="single" w:sz="4" w:space="0" w:color="000000"/>
              <w:left w:val="single" w:sz="4" w:space="0" w:color="000000"/>
              <w:bottom w:val="nil"/>
              <w:right w:val="nil"/>
            </w:tcBorders>
            <w:shd w:val="clear" w:color="auto" w:fill="auto"/>
            <w:noWrap/>
            <w:vAlign w:val="center"/>
            <w:hideMark/>
          </w:tcPr>
          <w:p w14:paraId="4CF52A6C"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192</w:t>
            </w:r>
          </w:p>
        </w:tc>
        <w:tc>
          <w:tcPr>
            <w:tcW w:w="1559" w:type="dxa"/>
            <w:tcBorders>
              <w:top w:val="single" w:sz="4" w:space="0" w:color="000000"/>
              <w:left w:val="nil"/>
              <w:bottom w:val="nil"/>
              <w:right w:val="single" w:sz="4" w:space="0" w:color="000000"/>
            </w:tcBorders>
            <w:shd w:val="clear" w:color="auto" w:fill="auto"/>
            <w:noWrap/>
            <w:vAlign w:val="center"/>
            <w:hideMark/>
          </w:tcPr>
          <w:p w14:paraId="74695EC7"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7.00%</w:t>
            </w:r>
          </w:p>
        </w:tc>
        <w:tc>
          <w:tcPr>
            <w:tcW w:w="1013" w:type="dxa"/>
            <w:tcBorders>
              <w:top w:val="nil"/>
              <w:left w:val="nil"/>
              <w:bottom w:val="nil"/>
              <w:right w:val="nil"/>
            </w:tcBorders>
            <w:shd w:val="clear" w:color="auto" w:fill="auto"/>
            <w:noWrap/>
            <w:vAlign w:val="bottom"/>
            <w:hideMark/>
          </w:tcPr>
          <w:p w14:paraId="0965E791" w14:textId="77777777" w:rsidR="00F24CBC" w:rsidRPr="00620B71" w:rsidRDefault="00F24CBC" w:rsidP="00F24CBC">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0.98</w:t>
            </w:r>
          </w:p>
        </w:tc>
        <w:tc>
          <w:tcPr>
            <w:tcW w:w="1923" w:type="dxa"/>
            <w:tcBorders>
              <w:top w:val="nil"/>
              <w:left w:val="single" w:sz="4" w:space="0" w:color="000000"/>
              <w:bottom w:val="nil"/>
              <w:right w:val="nil"/>
            </w:tcBorders>
            <w:shd w:val="clear" w:color="auto" w:fill="auto"/>
            <w:noWrap/>
            <w:vAlign w:val="center"/>
            <w:hideMark/>
          </w:tcPr>
          <w:p w14:paraId="25714F1D" w14:textId="77777777" w:rsidR="00F24CBC" w:rsidRPr="00620B71" w:rsidRDefault="00F24CBC" w:rsidP="00F24CBC">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0.65,1.49</w:t>
            </w:r>
          </w:p>
        </w:tc>
        <w:tc>
          <w:tcPr>
            <w:tcW w:w="1013" w:type="dxa"/>
            <w:tcBorders>
              <w:top w:val="nil"/>
              <w:left w:val="single" w:sz="4" w:space="0" w:color="000000"/>
              <w:bottom w:val="nil"/>
              <w:right w:val="single" w:sz="4" w:space="0" w:color="000000"/>
            </w:tcBorders>
            <w:shd w:val="clear" w:color="auto" w:fill="auto"/>
            <w:noWrap/>
            <w:vAlign w:val="center"/>
            <w:hideMark/>
          </w:tcPr>
          <w:p w14:paraId="06F4D02C" w14:textId="0765080C" w:rsidR="00F24CBC" w:rsidRPr="00620B71" w:rsidRDefault="00F24CBC" w:rsidP="00F24CBC">
            <w:pPr>
              <w:spacing w:before="0" w:after="0"/>
              <w:jc w:val="center"/>
              <w:rPr>
                <w:rFonts w:eastAsia="Times New Roman" w:cs="Times New Roman"/>
                <w:color w:val="000000"/>
                <w:sz w:val="24"/>
                <w:lang w:eastAsia="en-GB"/>
              </w:rPr>
            </w:pPr>
            <w:r>
              <w:rPr>
                <w:color w:val="000000"/>
              </w:rPr>
              <w:t>1.01</w:t>
            </w:r>
          </w:p>
        </w:tc>
        <w:tc>
          <w:tcPr>
            <w:tcW w:w="2291" w:type="dxa"/>
            <w:tcBorders>
              <w:top w:val="nil"/>
              <w:left w:val="nil"/>
              <w:bottom w:val="nil"/>
              <w:right w:val="single" w:sz="4" w:space="0" w:color="000000"/>
            </w:tcBorders>
            <w:shd w:val="clear" w:color="auto" w:fill="auto"/>
            <w:noWrap/>
            <w:vAlign w:val="center"/>
            <w:hideMark/>
          </w:tcPr>
          <w:p w14:paraId="78E2EA25" w14:textId="71FF6000" w:rsidR="00F24CBC" w:rsidRPr="00620B71" w:rsidRDefault="00F24CBC" w:rsidP="00F24CBC">
            <w:pPr>
              <w:spacing w:before="0" w:after="0"/>
              <w:jc w:val="center"/>
              <w:rPr>
                <w:rFonts w:eastAsia="Times New Roman" w:cs="Times New Roman"/>
                <w:color w:val="000000"/>
                <w:sz w:val="24"/>
                <w:lang w:eastAsia="en-GB"/>
              </w:rPr>
            </w:pPr>
            <w:r>
              <w:rPr>
                <w:color w:val="000000"/>
              </w:rPr>
              <w:t>0.67,1.51</w:t>
            </w:r>
          </w:p>
        </w:tc>
      </w:tr>
      <w:tr w:rsidR="00F24CBC" w:rsidRPr="00620B71" w14:paraId="12422439" w14:textId="77777777" w:rsidTr="00F24CBC">
        <w:trPr>
          <w:trHeight w:val="320"/>
          <w:jc w:val="center"/>
        </w:trPr>
        <w:tc>
          <w:tcPr>
            <w:tcW w:w="1271" w:type="dxa"/>
            <w:tcBorders>
              <w:top w:val="nil"/>
              <w:left w:val="single" w:sz="4" w:space="0" w:color="000000"/>
              <w:bottom w:val="single" w:sz="4" w:space="0" w:color="auto"/>
              <w:right w:val="single" w:sz="4" w:space="0" w:color="000000"/>
            </w:tcBorders>
            <w:shd w:val="clear" w:color="auto" w:fill="auto"/>
            <w:noWrap/>
            <w:vAlign w:val="center"/>
            <w:hideMark/>
          </w:tcPr>
          <w:p w14:paraId="34EC0D3E" w14:textId="77777777" w:rsidR="00F24CBC" w:rsidRPr="00620B71" w:rsidRDefault="00F24CBC" w:rsidP="00F24CBC">
            <w:pPr>
              <w:spacing w:before="0" w:after="0"/>
              <w:rPr>
                <w:rFonts w:eastAsia="Times New Roman" w:cs="Times New Roman"/>
                <w:b/>
                <w:bCs/>
                <w:color w:val="000000"/>
                <w:szCs w:val="22"/>
                <w:lang w:eastAsia="en-GB"/>
              </w:rPr>
            </w:pPr>
            <w:r w:rsidRPr="00620B71">
              <w:rPr>
                <w:rFonts w:eastAsia="Times New Roman" w:cs="Times New Roman"/>
                <w:b/>
                <w:bCs/>
                <w:color w:val="000000"/>
                <w:szCs w:val="22"/>
                <w:lang w:eastAsia="en-GB"/>
              </w:rPr>
              <w:t> </w:t>
            </w:r>
          </w:p>
        </w:tc>
        <w:tc>
          <w:tcPr>
            <w:tcW w:w="2021" w:type="dxa"/>
            <w:tcBorders>
              <w:top w:val="nil"/>
              <w:left w:val="nil"/>
              <w:bottom w:val="single" w:sz="4" w:space="0" w:color="auto"/>
              <w:right w:val="nil"/>
            </w:tcBorders>
            <w:shd w:val="clear" w:color="auto" w:fill="auto"/>
            <w:noWrap/>
            <w:vAlign w:val="center"/>
            <w:hideMark/>
          </w:tcPr>
          <w:p w14:paraId="5EC4DC63" w14:textId="77777777" w:rsidR="00F24CBC" w:rsidRPr="00620B71" w:rsidRDefault="00F24CBC" w:rsidP="00F24CBC">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Not-deployed</w:t>
            </w:r>
          </w:p>
        </w:tc>
        <w:tc>
          <w:tcPr>
            <w:tcW w:w="1175" w:type="dxa"/>
            <w:tcBorders>
              <w:top w:val="nil"/>
              <w:left w:val="single" w:sz="4" w:space="0" w:color="000000"/>
              <w:bottom w:val="single" w:sz="4" w:space="0" w:color="auto"/>
              <w:right w:val="nil"/>
            </w:tcBorders>
            <w:shd w:val="clear" w:color="auto" w:fill="auto"/>
            <w:noWrap/>
            <w:vAlign w:val="center"/>
            <w:hideMark/>
          </w:tcPr>
          <w:p w14:paraId="4147AC23"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x</w:t>
            </w:r>
          </w:p>
        </w:tc>
        <w:tc>
          <w:tcPr>
            <w:tcW w:w="1559" w:type="dxa"/>
            <w:tcBorders>
              <w:top w:val="nil"/>
              <w:left w:val="nil"/>
              <w:bottom w:val="single" w:sz="4" w:space="0" w:color="auto"/>
              <w:right w:val="nil"/>
            </w:tcBorders>
            <w:shd w:val="clear" w:color="auto" w:fill="auto"/>
            <w:noWrap/>
            <w:vAlign w:val="center"/>
            <w:hideMark/>
          </w:tcPr>
          <w:p w14:paraId="75A3A350"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x</w:t>
            </w:r>
          </w:p>
        </w:tc>
        <w:tc>
          <w:tcPr>
            <w:tcW w:w="1196" w:type="dxa"/>
            <w:tcBorders>
              <w:top w:val="nil"/>
              <w:left w:val="single" w:sz="4" w:space="0" w:color="000000"/>
              <w:bottom w:val="single" w:sz="4" w:space="0" w:color="auto"/>
              <w:right w:val="nil"/>
            </w:tcBorders>
            <w:shd w:val="clear" w:color="auto" w:fill="auto"/>
            <w:noWrap/>
            <w:vAlign w:val="center"/>
            <w:hideMark/>
          </w:tcPr>
          <w:p w14:paraId="21BD23C8"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192</w:t>
            </w:r>
          </w:p>
        </w:tc>
        <w:tc>
          <w:tcPr>
            <w:tcW w:w="1559" w:type="dxa"/>
            <w:tcBorders>
              <w:top w:val="nil"/>
              <w:left w:val="nil"/>
              <w:bottom w:val="single" w:sz="4" w:space="0" w:color="auto"/>
              <w:right w:val="single" w:sz="4" w:space="0" w:color="000000"/>
            </w:tcBorders>
            <w:shd w:val="clear" w:color="auto" w:fill="auto"/>
            <w:noWrap/>
            <w:vAlign w:val="center"/>
            <w:hideMark/>
          </w:tcPr>
          <w:p w14:paraId="701282E6"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6.50%</w:t>
            </w:r>
          </w:p>
        </w:tc>
        <w:tc>
          <w:tcPr>
            <w:tcW w:w="1013" w:type="dxa"/>
            <w:tcBorders>
              <w:top w:val="nil"/>
              <w:left w:val="nil"/>
              <w:bottom w:val="single" w:sz="4" w:space="0" w:color="auto"/>
              <w:right w:val="nil"/>
            </w:tcBorders>
            <w:shd w:val="clear" w:color="auto" w:fill="auto"/>
            <w:noWrap/>
            <w:vAlign w:val="bottom"/>
            <w:hideMark/>
          </w:tcPr>
          <w:p w14:paraId="1134AA31" w14:textId="77777777" w:rsidR="00F24CBC" w:rsidRPr="00620B71" w:rsidRDefault="00F24CBC" w:rsidP="00F24CBC">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1.33</w:t>
            </w:r>
          </w:p>
        </w:tc>
        <w:tc>
          <w:tcPr>
            <w:tcW w:w="1923" w:type="dxa"/>
            <w:tcBorders>
              <w:top w:val="nil"/>
              <w:left w:val="single" w:sz="4" w:space="0" w:color="000000"/>
              <w:bottom w:val="single" w:sz="4" w:space="0" w:color="auto"/>
              <w:right w:val="nil"/>
            </w:tcBorders>
            <w:shd w:val="clear" w:color="auto" w:fill="auto"/>
            <w:noWrap/>
            <w:vAlign w:val="center"/>
            <w:hideMark/>
          </w:tcPr>
          <w:p w14:paraId="2C71DE5D" w14:textId="77777777" w:rsidR="00F24CBC" w:rsidRPr="00620B71" w:rsidRDefault="00F24CBC" w:rsidP="00F24CBC">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0.77,2.31</w:t>
            </w:r>
          </w:p>
        </w:tc>
        <w:tc>
          <w:tcPr>
            <w:tcW w:w="1013" w:type="dxa"/>
            <w:tcBorders>
              <w:top w:val="nil"/>
              <w:left w:val="single" w:sz="4" w:space="0" w:color="000000"/>
              <w:bottom w:val="single" w:sz="4" w:space="0" w:color="auto"/>
              <w:right w:val="single" w:sz="4" w:space="0" w:color="000000"/>
            </w:tcBorders>
            <w:shd w:val="clear" w:color="auto" w:fill="auto"/>
            <w:noWrap/>
            <w:vAlign w:val="center"/>
            <w:hideMark/>
          </w:tcPr>
          <w:p w14:paraId="276C50FB" w14:textId="05DFD748" w:rsidR="00F24CBC" w:rsidRPr="00620B71" w:rsidRDefault="00F24CBC" w:rsidP="00F24CBC">
            <w:pPr>
              <w:spacing w:before="0" w:after="0"/>
              <w:jc w:val="center"/>
              <w:rPr>
                <w:rFonts w:eastAsia="Times New Roman" w:cs="Times New Roman"/>
                <w:color w:val="000000"/>
                <w:sz w:val="24"/>
                <w:lang w:eastAsia="en-GB"/>
              </w:rPr>
            </w:pPr>
            <w:r>
              <w:rPr>
                <w:color w:val="000000"/>
              </w:rPr>
              <w:t>1.74</w:t>
            </w:r>
          </w:p>
        </w:tc>
        <w:tc>
          <w:tcPr>
            <w:tcW w:w="2291" w:type="dxa"/>
            <w:tcBorders>
              <w:top w:val="nil"/>
              <w:left w:val="nil"/>
              <w:bottom w:val="single" w:sz="4" w:space="0" w:color="auto"/>
              <w:right w:val="single" w:sz="4" w:space="0" w:color="000000"/>
            </w:tcBorders>
            <w:shd w:val="clear" w:color="auto" w:fill="auto"/>
            <w:noWrap/>
            <w:vAlign w:val="center"/>
            <w:hideMark/>
          </w:tcPr>
          <w:p w14:paraId="016B73B2" w14:textId="3870FC9C" w:rsidR="00F24CBC" w:rsidRPr="00620B71" w:rsidRDefault="00F24CBC" w:rsidP="00F24CBC">
            <w:pPr>
              <w:spacing w:before="0" w:after="0"/>
              <w:jc w:val="center"/>
              <w:rPr>
                <w:rFonts w:eastAsia="Times New Roman" w:cs="Times New Roman"/>
                <w:color w:val="000000"/>
                <w:sz w:val="24"/>
                <w:lang w:eastAsia="en-GB"/>
              </w:rPr>
            </w:pPr>
            <w:r>
              <w:rPr>
                <w:color w:val="000000"/>
              </w:rPr>
              <w:t>0.96,3.18</w:t>
            </w:r>
          </w:p>
        </w:tc>
      </w:tr>
      <w:tr w:rsidR="00F24CBC" w:rsidRPr="00620B71" w14:paraId="55877F14" w14:textId="77777777" w:rsidTr="00F24CBC">
        <w:trPr>
          <w:trHeight w:val="320"/>
          <w:jc w:val="center"/>
        </w:trPr>
        <w:tc>
          <w:tcPr>
            <w:tcW w:w="1271" w:type="dxa"/>
            <w:tcBorders>
              <w:top w:val="single" w:sz="4" w:space="0" w:color="auto"/>
              <w:left w:val="single" w:sz="4" w:space="0" w:color="auto"/>
              <w:bottom w:val="nil"/>
              <w:right w:val="single" w:sz="4" w:space="0" w:color="000000"/>
            </w:tcBorders>
            <w:shd w:val="clear" w:color="auto" w:fill="auto"/>
            <w:noWrap/>
            <w:vAlign w:val="center"/>
            <w:hideMark/>
          </w:tcPr>
          <w:p w14:paraId="0E7446CC" w14:textId="77777777" w:rsidR="00F24CBC" w:rsidRPr="00620B71" w:rsidRDefault="00F24CBC" w:rsidP="00F24CBC">
            <w:pPr>
              <w:spacing w:before="0" w:after="0"/>
              <w:rPr>
                <w:rFonts w:eastAsia="Times New Roman" w:cs="Times New Roman"/>
                <w:b/>
                <w:bCs/>
                <w:color w:val="000000"/>
                <w:szCs w:val="22"/>
                <w:lang w:eastAsia="en-GB"/>
              </w:rPr>
            </w:pPr>
            <w:r w:rsidRPr="00620B71">
              <w:rPr>
                <w:rFonts w:eastAsia="Times New Roman" w:cs="Times New Roman"/>
                <w:b/>
                <w:bCs/>
                <w:color w:val="000000"/>
                <w:szCs w:val="22"/>
                <w:lang w:eastAsia="en-GB"/>
              </w:rPr>
              <w:t>Alcohol</w:t>
            </w:r>
          </w:p>
        </w:tc>
        <w:tc>
          <w:tcPr>
            <w:tcW w:w="2021" w:type="dxa"/>
            <w:tcBorders>
              <w:top w:val="single" w:sz="4" w:space="0" w:color="auto"/>
              <w:left w:val="nil"/>
              <w:bottom w:val="nil"/>
              <w:right w:val="nil"/>
            </w:tcBorders>
            <w:shd w:val="clear" w:color="auto" w:fill="auto"/>
            <w:noWrap/>
            <w:vAlign w:val="center"/>
            <w:hideMark/>
          </w:tcPr>
          <w:p w14:paraId="1DCCC5E8" w14:textId="77777777" w:rsidR="00F24CBC" w:rsidRPr="00620B71" w:rsidRDefault="00F24CBC" w:rsidP="00F24CBC">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Deployed</w:t>
            </w:r>
          </w:p>
        </w:tc>
        <w:tc>
          <w:tcPr>
            <w:tcW w:w="1175" w:type="dxa"/>
            <w:tcBorders>
              <w:top w:val="single" w:sz="4" w:space="0" w:color="auto"/>
              <w:left w:val="single" w:sz="4" w:space="0" w:color="000000"/>
              <w:bottom w:val="nil"/>
              <w:right w:val="nil"/>
            </w:tcBorders>
            <w:shd w:val="clear" w:color="auto" w:fill="auto"/>
            <w:noWrap/>
            <w:vAlign w:val="center"/>
            <w:hideMark/>
          </w:tcPr>
          <w:p w14:paraId="53D1238B"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x</w:t>
            </w:r>
          </w:p>
        </w:tc>
        <w:tc>
          <w:tcPr>
            <w:tcW w:w="1559" w:type="dxa"/>
            <w:tcBorders>
              <w:top w:val="single" w:sz="4" w:space="0" w:color="auto"/>
              <w:left w:val="nil"/>
              <w:bottom w:val="nil"/>
              <w:right w:val="nil"/>
            </w:tcBorders>
            <w:shd w:val="clear" w:color="auto" w:fill="auto"/>
            <w:noWrap/>
            <w:vAlign w:val="center"/>
            <w:hideMark/>
          </w:tcPr>
          <w:p w14:paraId="194D6DEB"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x</w:t>
            </w:r>
          </w:p>
        </w:tc>
        <w:tc>
          <w:tcPr>
            <w:tcW w:w="1196" w:type="dxa"/>
            <w:tcBorders>
              <w:top w:val="single" w:sz="4" w:space="0" w:color="auto"/>
              <w:left w:val="single" w:sz="4" w:space="0" w:color="000000"/>
              <w:bottom w:val="nil"/>
              <w:right w:val="nil"/>
            </w:tcBorders>
            <w:shd w:val="clear" w:color="auto" w:fill="auto"/>
            <w:noWrap/>
            <w:vAlign w:val="center"/>
            <w:hideMark/>
          </w:tcPr>
          <w:p w14:paraId="4A7E8712"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69</w:t>
            </w:r>
          </w:p>
        </w:tc>
        <w:tc>
          <w:tcPr>
            <w:tcW w:w="1559" w:type="dxa"/>
            <w:tcBorders>
              <w:top w:val="single" w:sz="4" w:space="0" w:color="auto"/>
              <w:left w:val="nil"/>
              <w:bottom w:val="nil"/>
              <w:right w:val="single" w:sz="4" w:space="0" w:color="000000"/>
            </w:tcBorders>
            <w:shd w:val="clear" w:color="auto" w:fill="auto"/>
            <w:noWrap/>
            <w:vAlign w:val="center"/>
            <w:hideMark/>
          </w:tcPr>
          <w:p w14:paraId="731087F1"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2.30%</w:t>
            </w:r>
          </w:p>
        </w:tc>
        <w:tc>
          <w:tcPr>
            <w:tcW w:w="1013" w:type="dxa"/>
            <w:tcBorders>
              <w:top w:val="single" w:sz="4" w:space="0" w:color="auto"/>
              <w:left w:val="nil"/>
              <w:bottom w:val="nil"/>
              <w:right w:val="nil"/>
            </w:tcBorders>
            <w:shd w:val="clear" w:color="auto" w:fill="auto"/>
            <w:noWrap/>
            <w:vAlign w:val="bottom"/>
            <w:hideMark/>
          </w:tcPr>
          <w:p w14:paraId="5C3C108D" w14:textId="77777777" w:rsidR="00F24CBC" w:rsidRPr="00620B71" w:rsidRDefault="00F24CBC" w:rsidP="00F24CBC">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1.66</w:t>
            </w:r>
          </w:p>
        </w:tc>
        <w:tc>
          <w:tcPr>
            <w:tcW w:w="1923" w:type="dxa"/>
            <w:tcBorders>
              <w:top w:val="single" w:sz="4" w:space="0" w:color="auto"/>
              <w:left w:val="single" w:sz="4" w:space="0" w:color="000000"/>
              <w:bottom w:val="nil"/>
              <w:right w:val="nil"/>
            </w:tcBorders>
            <w:shd w:val="clear" w:color="auto" w:fill="auto"/>
            <w:noWrap/>
            <w:vAlign w:val="center"/>
            <w:hideMark/>
          </w:tcPr>
          <w:p w14:paraId="0753CF90" w14:textId="77777777" w:rsidR="00F24CBC" w:rsidRPr="00620B71" w:rsidRDefault="00F24CBC" w:rsidP="00F24CBC">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0.71,3.89</w:t>
            </w:r>
          </w:p>
        </w:tc>
        <w:tc>
          <w:tcPr>
            <w:tcW w:w="1013" w:type="dxa"/>
            <w:tcBorders>
              <w:top w:val="single" w:sz="4" w:space="0" w:color="auto"/>
              <w:left w:val="single" w:sz="4" w:space="0" w:color="000000"/>
              <w:bottom w:val="nil"/>
              <w:right w:val="nil"/>
            </w:tcBorders>
            <w:shd w:val="clear" w:color="auto" w:fill="auto"/>
            <w:noWrap/>
            <w:vAlign w:val="center"/>
            <w:hideMark/>
          </w:tcPr>
          <w:p w14:paraId="354E6EBA" w14:textId="137705FE" w:rsidR="00F24CBC" w:rsidRPr="00620B71" w:rsidRDefault="00F24CBC" w:rsidP="00F24CBC">
            <w:pPr>
              <w:spacing w:before="0" w:after="0"/>
              <w:jc w:val="center"/>
              <w:rPr>
                <w:rFonts w:eastAsia="Times New Roman" w:cs="Times New Roman"/>
                <w:color w:val="000000"/>
                <w:sz w:val="24"/>
                <w:lang w:eastAsia="en-GB"/>
              </w:rPr>
            </w:pPr>
            <w:r>
              <w:rPr>
                <w:color w:val="000000"/>
              </w:rPr>
              <w:t>2.12</w:t>
            </w:r>
          </w:p>
        </w:tc>
        <w:tc>
          <w:tcPr>
            <w:tcW w:w="2291" w:type="dxa"/>
            <w:tcBorders>
              <w:top w:val="single" w:sz="4" w:space="0" w:color="auto"/>
              <w:left w:val="single" w:sz="4" w:space="0" w:color="000000"/>
              <w:bottom w:val="nil"/>
              <w:right w:val="single" w:sz="4" w:space="0" w:color="auto"/>
            </w:tcBorders>
            <w:shd w:val="clear" w:color="auto" w:fill="auto"/>
            <w:noWrap/>
            <w:vAlign w:val="center"/>
            <w:hideMark/>
          </w:tcPr>
          <w:p w14:paraId="1CFA9DE1" w14:textId="6A8A7A92" w:rsidR="00F24CBC" w:rsidRPr="00620B71" w:rsidRDefault="00F24CBC" w:rsidP="00F24CBC">
            <w:pPr>
              <w:spacing w:before="0" w:after="0"/>
              <w:jc w:val="center"/>
              <w:rPr>
                <w:rFonts w:eastAsia="Times New Roman" w:cs="Times New Roman"/>
                <w:color w:val="000000"/>
                <w:sz w:val="24"/>
                <w:lang w:eastAsia="en-GB"/>
              </w:rPr>
            </w:pPr>
            <w:r>
              <w:rPr>
                <w:color w:val="000000"/>
              </w:rPr>
              <w:t>0.88,5.09</w:t>
            </w:r>
          </w:p>
        </w:tc>
      </w:tr>
      <w:tr w:rsidR="00F24CBC" w:rsidRPr="00620B71" w14:paraId="167BFDC9" w14:textId="77777777" w:rsidTr="00F24CBC">
        <w:trPr>
          <w:trHeight w:val="320"/>
          <w:jc w:val="center"/>
        </w:trPr>
        <w:tc>
          <w:tcPr>
            <w:tcW w:w="1271" w:type="dxa"/>
            <w:tcBorders>
              <w:top w:val="nil"/>
              <w:left w:val="single" w:sz="4" w:space="0" w:color="auto"/>
              <w:bottom w:val="single" w:sz="4" w:space="0" w:color="auto"/>
              <w:right w:val="single" w:sz="4" w:space="0" w:color="000000"/>
            </w:tcBorders>
            <w:shd w:val="clear" w:color="auto" w:fill="auto"/>
            <w:noWrap/>
            <w:vAlign w:val="center"/>
            <w:hideMark/>
          </w:tcPr>
          <w:p w14:paraId="4A2300E6" w14:textId="77777777" w:rsidR="00F24CBC" w:rsidRPr="00620B71" w:rsidRDefault="00F24CBC" w:rsidP="00F24CBC">
            <w:pPr>
              <w:spacing w:before="0" w:after="0"/>
              <w:rPr>
                <w:rFonts w:eastAsia="Times New Roman" w:cs="Times New Roman"/>
                <w:b/>
                <w:bCs/>
                <w:color w:val="000000"/>
                <w:szCs w:val="22"/>
                <w:lang w:eastAsia="en-GB"/>
              </w:rPr>
            </w:pPr>
            <w:r w:rsidRPr="00620B71">
              <w:rPr>
                <w:rFonts w:eastAsia="Times New Roman" w:cs="Times New Roman"/>
                <w:b/>
                <w:bCs/>
                <w:color w:val="000000"/>
                <w:szCs w:val="22"/>
                <w:lang w:eastAsia="en-GB"/>
              </w:rPr>
              <w:t> </w:t>
            </w:r>
          </w:p>
        </w:tc>
        <w:tc>
          <w:tcPr>
            <w:tcW w:w="2021" w:type="dxa"/>
            <w:tcBorders>
              <w:top w:val="nil"/>
              <w:left w:val="nil"/>
              <w:bottom w:val="single" w:sz="4" w:space="0" w:color="auto"/>
              <w:right w:val="nil"/>
            </w:tcBorders>
            <w:shd w:val="clear" w:color="auto" w:fill="auto"/>
            <w:noWrap/>
            <w:vAlign w:val="center"/>
            <w:hideMark/>
          </w:tcPr>
          <w:p w14:paraId="3BE66134" w14:textId="77777777" w:rsidR="00F24CBC" w:rsidRPr="00620B71" w:rsidRDefault="00F24CBC" w:rsidP="00F24CBC">
            <w:pPr>
              <w:spacing w:before="0" w:after="0"/>
              <w:rPr>
                <w:rFonts w:eastAsia="Times New Roman" w:cs="Times New Roman"/>
                <w:i/>
                <w:iCs/>
                <w:color w:val="000000"/>
                <w:szCs w:val="22"/>
                <w:lang w:eastAsia="en-GB"/>
              </w:rPr>
            </w:pPr>
            <w:r w:rsidRPr="00620B71">
              <w:rPr>
                <w:rFonts w:eastAsia="Times New Roman" w:cs="Times New Roman"/>
                <w:i/>
                <w:iCs/>
                <w:color w:val="000000"/>
                <w:szCs w:val="22"/>
                <w:lang w:eastAsia="en-GB"/>
              </w:rPr>
              <w:t>Not-deployed</w:t>
            </w:r>
          </w:p>
        </w:tc>
        <w:tc>
          <w:tcPr>
            <w:tcW w:w="1175" w:type="dxa"/>
            <w:tcBorders>
              <w:top w:val="nil"/>
              <w:left w:val="single" w:sz="4" w:space="0" w:color="000000"/>
              <w:bottom w:val="single" w:sz="4" w:space="0" w:color="auto"/>
              <w:right w:val="nil"/>
            </w:tcBorders>
            <w:shd w:val="clear" w:color="auto" w:fill="auto"/>
            <w:noWrap/>
            <w:vAlign w:val="center"/>
            <w:hideMark/>
          </w:tcPr>
          <w:p w14:paraId="102BE614"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x</w:t>
            </w:r>
          </w:p>
        </w:tc>
        <w:tc>
          <w:tcPr>
            <w:tcW w:w="1559" w:type="dxa"/>
            <w:tcBorders>
              <w:top w:val="nil"/>
              <w:left w:val="nil"/>
              <w:bottom w:val="single" w:sz="4" w:space="0" w:color="auto"/>
              <w:right w:val="nil"/>
            </w:tcBorders>
            <w:shd w:val="clear" w:color="auto" w:fill="auto"/>
            <w:noWrap/>
            <w:vAlign w:val="center"/>
            <w:hideMark/>
          </w:tcPr>
          <w:p w14:paraId="7F264D1A"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x</w:t>
            </w:r>
          </w:p>
        </w:tc>
        <w:tc>
          <w:tcPr>
            <w:tcW w:w="1196" w:type="dxa"/>
            <w:tcBorders>
              <w:top w:val="nil"/>
              <w:left w:val="single" w:sz="4" w:space="0" w:color="000000"/>
              <w:bottom w:val="single" w:sz="4" w:space="0" w:color="auto"/>
              <w:right w:val="nil"/>
            </w:tcBorders>
            <w:shd w:val="clear" w:color="auto" w:fill="auto"/>
            <w:noWrap/>
            <w:vAlign w:val="center"/>
            <w:hideMark/>
          </w:tcPr>
          <w:p w14:paraId="7B68D55A"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69</w:t>
            </w:r>
          </w:p>
        </w:tc>
        <w:tc>
          <w:tcPr>
            <w:tcW w:w="1559" w:type="dxa"/>
            <w:tcBorders>
              <w:top w:val="nil"/>
              <w:left w:val="nil"/>
              <w:bottom w:val="single" w:sz="4" w:space="0" w:color="auto"/>
              <w:right w:val="single" w:sz="4" w:space="0" w:color="000000"/>
            </w:tcBorders>
            <w:shd w:val="clear" w:color="auto" w:fill="auto"/>
            <w:noWrap/>
            <w:vAlign w:val="center"/>
            <w:hideMark/>
          </w:tcPr>
          <w:p w14:paraId="7FCDE816" w14:textId="77777777" w:rsidR="00F24CBC" w:rsidRPr="00620B71" w:rsidRDefault="00F24CBC" w:rsidP="00F24CBC">
            <w:pPr>
              <w:spacing w:before="0" w:after="0"/>
              <w:jc w:val="center"/>
              <w:rPr>
                <w:rFonts w:eastAsia="Times New Roman" w:cs="Times New Roman"/>
                <w:color w:val="000000"/>
                <w:szCs w:val="22"/>
                <w:lang w:eastAsia="en-GB"/>
              </w:rPr>
            </w:pPr>
            <w:r w:rsidRPr="00620B71">
              <w:rPr>
                <w:rFonts w:eastAsia="Times New Roman" w:cs="Times New Roman"/>
                <w:color w:val="000000"/>
                <w:szCs w:val="22"/>
                <w:lang w:eastAsia="en-GB"/>
              </w:rPr>
              <w:t>2.20%</w:t>
            </w:r>
          </w:p>
        </w:tc>
        <w:tc>
          <w:tcPr>
            <w:tcW w:w="1013" w:type="dxa"/>
            <w:tcBorders>
              <w:top w:val="nil"/>
              <w:left w:val="nil"/>
              <w:bottom w:val="single" w:sz="4" w:space="0" w:color="auto"/>
              <w:right w:val="nil"/>
            </w:tcBorders>
            <w:shd w:val="clear" w:color="auto" w:fill="auto"/>
            <w:noWrap/>
            <w:vAlign w:val="bottom"/>
            <w:hideMark/>
          </w:tcPr>
          <w:p w14:paraId="194D80B7" w14:textId="77777777" w:rsidR="00F24CBC" w:rsidRPr="00620B71" w:rsidRDefault="00F24CBC" w:rsidP="00F24CBC">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1.27</w:t>
            </w:r>
          </w:p>
        </w:tc>
        <w:tc>
          <w:tcPr>
            <w:tcW w:w="1923" w:type="dxa"/>
            <w:tcBorders>
              <w:top w:val="nil"/>
              <w:left w:val="single" w:sz="4" w:space="0" w:color="000000"/>
              <w:bottom w:val="single" w:sz="4" w:space="0" w:color="auto"/>
              <w:right w:val="nil"/>
            </w:tcBorders>
            <w:shd w:val="clear" w:color="auto" w:fill="auto"/>
            <w:noWrap/>
            <w:vAlign w:val="center"/>
            <w:hideMark/>
          </w:tcPr>
          <w:p w14:paraId="4D4FB589" w14:textId="77777777" w:rsidR="00F24CBC" w:rsidRPr="00620B71" w:rsidRDefault="00F24CBC" w:rsidP="00F24CBC">
            <w:pPr>
              <w:spacing w:before="0" w:after="0"/>
              <w:jc w:val="center"/>
              <w:rPr>
                <w:rFonts w:eastAsia="Times New Roman" w:cs="Times New Roman"/>
                <w:color w:val="000000"/>
                <w:sz w:val="24"/>
                <w:lang w:eastAsia="en-GB"/>
              </w:rPr>
            </w:pPr>
            <w:r w:rsidRPr="00620B71">
              <w:rPr>
                <w:rFonts w:eastAsia="Times New Roman" w:cs="Times New Roman"/>
                <w:color w:val="000000"/>
                <w:sz w:val="24"/>
                <w:lang w:eastAsia="en-GB"/>
              </w:rPr>
              <w:t>0.43,3.81</w:t>
            </w:r>
          </w:p>
        </w:tc>
        <w:tc>
          <w:tcPr>
            <w:tcW w:w="1013" w:type="dxa"/>
            <w:tcBorders>
              <w:top w:val="nil"/>
              <w:left w:val="single" w:sz="4" w:space="0" w:color="000000"/>
              <w:bottom w:val="single" w:sz="4" w:space="0" w:color="auto"/>
              <w:right w:val="single" w:sz="4" w:space="0" w:color="000000"/>
            </w:tcBorders>
            <w:shd w:val="clear" w:color="auto" w:fill="auto"/>
            <w:noWrap/>
            <w:vAlign w:val="center"/>
            <w:hideMark/>
          </w:tcPr>
          <w:p w14:paraId="05F4266F" w14:textId="0B3EB6DB" w:rsidR="00F24CBC" w:rsidRPr="00620B71" w:rsidRDefault="00F24CBC" w:rsidP="00F24CBC">
            <w:pPr>
              <w:spacing w:before="0" w:after="0"/>
              <w:jc w:val="center"/>
              <w:rPr>
                <w:rFonts w:eastAsia="Times New Roman" w:cs="Times New Roman"/>
                <w:color w:val="000000"/>
                <w:sz w:val="24"/>
                <w:lang w:eastAsia="en-GB"/>
              </w:rPr>
            </w:pPr>
            <w:r>
              <w:rPr>
                <w:color w:val="000000"/>
              </w:rPr>
              <w:t>1.21</w:t>
            </w:r>
          </w:p>
        </w:tc>
        <w:tc>
          <w:tcPr>
            <w:tcW w:w="2291" w:type="dxa"/>
            <w:tcBorders>
              <w:top w:val="nil"/>
              <w:left w:val="nil"/>
              <w:bottom w:val="single" w:sz="4" w:space="0" w:color="auto"/>
              <w:right w:val="single" w:sz="4" w:space="0" w:color="auto"/>
            </w:tcBorders>
            <w:shd w:val="clear" w:color="auto" w:fill="auto"/>
            <w:noWrap/>
            <w:vAlign w:val="center"/>
            <w:hideMark/>
          </w:tcPr>
          <w:p w14:paraId="027325C1" w14:textId="28C20CFE" w:rsidR="00F24CBC" w:rsidRPr="00620B71" w:rsidRDefault="00F24CBC" w:rsidP="00F24CBC">
            <w:pPr>
              <w:spacing w:before="0" w:after="0"/>
              <w:jc w:val="center"/>
              <w:rPr>
                <w:rFonts w:eastAsia="Times New Roman" w:cs="Times New Roman"/>
                <w:color w:val="000000"/>
                <w:sz w:val="24"/>
                <w:lang w:eastAsia="en-GB"/>
              </w:rPr>
            </w:pPr>
            <w:r>
              <w:rPr>
                <w:color w:val="000000"/>
              </w:rPr>
              <w:t>0.49,2.98</w:t>
            </w:r>
          </w:p>
        </w:tc>
      </w:tr>
      <w:tr w:rsidR="002978E2" w:rsidRPr="00620B71" w14:paraId="33ACE103" w14:textId="77777777" w:rsidTr="00F24CBC">
        <w:trPr>
          <w:trHeight w:val="320"/>
          <w:jc w:val="center"/>
        </w:trPr>
        <w:tc>
          <w:tcPr>
            <w:tcW w:w="4467" w:type="dxa"/>
            <w:gridSpan w:val="3"/>
            <w:tcBorders>
              <w:top w:val="single" w:sz="4" w:space="0" w:color="auto"/>
            </w:tcBorders>
            <w:shd w:val="clear" w:color="auto" w:fill="auto"/>
            <w:noWrap/>
            <w:vAlign w:val="bottom"/>
          </w:tcPr>
          <w:p w14:paraId="2C7824DC" w14:textId="4DF32ED7" w:rsidR="006F7147" w:rsidRPr="00620B71" w:rsidRDefault="006F7147" w:rsidP="00D66637">
            <w:pPr>
              <w:spacing w:before="0" w:after="0"/>
              <w:rPr>
                <w:rFonts w:eastAsia="Times New Roman" w:cs="Times New Roman"/>
                <w:color w:val="000000"/>
                <w:szCs w:val="22"/>
                <w:lang w:eastAsia="en-GB"/>
              </w:rPr>
            </w:pPr>
            <w:r w:rsidRPr="00FD76BD">
              <w:rPr>
                <w:rFonts w:eastAsia="Times New Roman" w:cs="Times New Roman"/>
                <w:color w:val="000000"/>
                <w:sz w:val="20"/>
                <w:szCs w:val="20"/>
                <w:lang w:eastAsia="en-GB"/>
              </w:rPr>
              <w:t>x = Suppressed due to low n</w:t>
            </w:r>
            <w:r>
              <w:rPr>
                <w:rFonts w:eastAsia="Times New Roman" w:cs="Times New Roman"/>
                <w:color w:val="000000"/>
                <w:sz w:val="20"/>
                <w:szCs w:val="20"/>
                <w:lang w:eastAsia="en-GB"/>
              </w:rPr>
              <w:t xml:space="preserve"> (threshold is 10)</w:t>
            </w:r>
            <w:r w:rsidRPr="00FD76BD">
              <w:rPr>
                <w:rFonts w:eastAsia="Times New Roman" w:cs="Times New Roman"/>
                <w:color w:val="000000"/>
                <w:sz w:val="20"/>
                <w:szCs w:val="20"/>
                <w:lang w:eastAsia="en-GB"/>
              </w:rPr>
              <w:t xml:space="preserve">. </w:t>
            </w:r>
          </w:p>
        </w:tc>
        <w:tc>
          <w:tcPr>
            <w:tcW w:w="1559" w:type="dxa"/>
            <w:tcBorders>
              <w:top w:val="single" w:sz="4" w:space="0" w:color="auto"/>
            </w:tcBorders>
            <w:shd w:val="clear" w:color="auto" w:fill="auto"/>
            <w:noWrap/>
            <w:vAlign w:val="center"/>
          </w:tcPr>
          <w:p w14:paraId="182ADA86" w14:textId="77777777" w:rsidR="006F7147" w:rsidRPr="00620B71" w:rsidRDefault="006F7147" w:rsidP="006F7147">
            <w:pPr>
              <w:spacing w:before="0" w:after="0"/>
              <w:jc w:val="center"/>
              <w:rPr>
                <w:rFonts w:eastAsia="Times New Roman" w:cs="Times New Roman"/>
                <w:color w:val="000000"/>
                <w:szCs w:val="22"/>
                <w:lang w:eastAsia="en-GB"/>
              </w:rPr>
            </w:pPr>
          </w:p>
        </w:tc>
        <w:tc>
          <w:tcPr>
            <w:tcW w:w="1196" w:type="dxa"/>
            <w:tcBorders>
              <w:top w:val="single" w:sz="4" w:space="0" w:color="auto"/>
            </w:tcBorders>
            <w:shd w:val="clear" w:color="auto" w:fill="auto"/>
            <w:noWrap/>
            <w:vAlign w:val="center"/>
          </w:tcPr>
          <w:p w14:paraId="3F0E0EE9" w14:textId="77777777" w:rsidR="006F7147" w:rsidRPr="00620B71" w:rsidRDefault="006F7147" w:rsidP="006F7147">
            <w:pPr>
              <w:spacing w:before="0" w:after="0"/>
              <w:jc w:val="center"/>
              <w:rPr>
                <w:rFonts w:eastAsia="Times New Roman" w:cs="Times New Roman"/>
                <w:color w:val="000000"/>
                <w:szCs w:val="22"/>
                <w:lang w:eastAsia="en-GB"/>
              </w:rPr>
            </w:pPr>
          </w:p>
        </w:tc>
        <w:tc>
          <w:tcPr>
            <w:tcW w:w="1559" w:type="dxa"/>
            <w:tcBorders>
              <w:top w:val="single" w:sz="4" w:space="0" w:color="auto"/>
            </w:tcBorders>
            <w:shd w:val="clear" w:color="auto" w:fill="auto"/>
            <w:noWrap/>
            <w:vAlign w:val="center"/>
          </w:tcPr>
          <w:p w14:paraId="195EDE62" w14:textId="77777777" w:rsidR="006F7147" w:rsidRPr="00620B71" w:rsidRDefault="006F7147" w:rsidP="006F7147">
            <w:pPr>
              <w:spacing w:before="0" w:after="0"/>
              <w:jc w:val="center"/>
              <w:rPr>
                <w:rFonts w:eastAsia="Times New Roman" w:cs="Times New Roman"/>
                <w:color w:val="000000"/>
                <w:szCs w:val="22"/>
                <w:lang w:eastAsia="en-GB"/>
              </w:rPr>
            </w:pPr>
          </w:p>
        </w:tc>
        <w:tc>
          <w:tcPr>
            <w:tcW w:w="1013" w:type="dxa"/>
            <w:tcBorders>
              <w:top w:val="single" w:sz="4" w:space="0" w:color="auto"/>
            </w:tcBorders>
            <w:shd w:val="clear" w:color="auto" w:fill="auto"/>
            <w:noWrap/>
            <w:vAlign w:val="bottom"/>
          </w:tcPr>
          <w:p w14:paraId="678611FE" w14:textId="77777777" w:rsidR="006F7147" w:rsidRPr="00620B71" w:rsidRDefault="006F7147" w:rsidP="006F7147">
            <w:pPr>
              <w:spacing w:before="0" w:after="0"/>
              <w:jc w:val="center"/>
              <w:rPr>
                <w:rFonts w:eastAsia="Times New Roman" w:cs="Times New Roman"/>
                <w:color w:val="000000"/>
                <w:sz w:val="24"/>
                <w:lang w:eastAsia="en-GB"/>
              </w:rPr>
            </w:pPr>
          </w:p>
        </w:tc>
        <w:tc>
          <w:tcPr>
            <w:tcW w:w="1923" w:type="dxa"/>
            <w:tcBorders>
              <w:top w:val="single" w:sz="4" w:space="0" w:color="auto"/>
            </w:tcBorders>
            <w:shd w:val="clear" w:color="auto" w:fill="auto"/>
            <w:noWrap/>
            <w:vAlign w:val="center"/>
          </w:tcPr>
          <w:p w14:paraId="1D6D268D" w14:textId="77777777" w:rsidR="006F7147" w:rsidRPr="00620B71" w:rsidRDefault="006F7147" w:rsidP="006F7147">
            <w:pPr>
              <w:spacing w:before="0" w:after="0"/>
              <w:jc w:val="center"/>
              <w:rPr>
                <w:rFonts w:eastAsia="Times New Roman" w:cs="Times New Roman"/>
                <w:color w:val="000000"/>
                <w:sz w:val="24"/>
                <w:lang w:eastAsia="en-GB"/>
              </w:rPr>
            </w:pPr>
          </w:p>
        </w:tc>
        <w:tc>
          <w:tcPr>
            <w:tcW w:w="1013" w:type="dxa"/>
            <w:tcBorders>
              <w:top w:val="single" w:sz="4" w:space="0" w:color="auto"/>
            </w:tcBorders>
            <w:shd w:val="clear" w:color="auto" w:fill="auto"/>
            <w:noWrap/>
            <w:vAlign w:val="center"/>
          </w:tcPr>
          <w:p w14:paraId="7F6CAA90" w14:textId="77777777" w:rsidR="006F7147" w:rsidRPr="00620B71" w:rsidRDefault="006F7147" w:rsidP="006F7147">
            <w:pPr>
              <w:spacing w:before="0" w:after="0"/>
              <w:jc w:val="center"/>
              <w:rPr>
                <w:rFonts w:eastAsia="Times New Roman" w:cs="Times New Roman"/>
                <w:color w:val="000000"/>
                <w:sz w:val="24"/>
                <w:lang w:eastAsia="en-GB"/>
              </w:rPr>
            </w:pPr>
          </w:p>
        </w:tc>
        <w:tc>
          <w:tcPr>
            <w:tcW w:w="2291" w:type="dxa"/>
            <w:tcBorders>
              <w:top w:val="single" w:sz="4" w:space="0" w:color="auto"/>
            </w:tcBorders>
            <w:shd w:val="clear" w:color="auto" w:fill="auto"/>
            <w:noWrap/>
            <w:vAlign w:val="center"/>
          </w:tcPr>
          <w:p w14:paraId="06D85120" w14:textId="77777777" w:rsidR="006F7147" w:rsidRPr="00620B71" w:rsidRDefault="006F7147" w:rsidP="006F7147">
            <w:pPr>
              <w:spacing w:before="0" w:after="0"/>
              <w:jc w:val="center"/>
              <w:rPr>
                <w:rFonts w:eastAsia="Times New Roman" w:cs="Times New Roman"/>
                <w:color w:val="000000"/>
                <w:sz w:val="24"/>
                <w:lang w:eastAsia="en-GB"/>
              </w:rPr>
            </w:pPr>
          </w:p>
        </w:tc>
      </w:tr>
      <w:tr w:rsidR="002978E2" w:rsidRPr="00620B71" w14:paraId="114BE626" w14:textId="77777777" w:rsidTr="00F24CBC">
        <w:trPr>
          <w:trHeight w:val="320"/>
          <w:jc w:val="center"/>
        </w:trPr>
        <w:tc>
          <w:tcPr>
            <w:tcW w:w="7222" w:type="dxa"/>
            <w:gridSpan w:val="5"/>
            <w:shd w:val="clear" w:color="auto" w:fill="auto"/>
            <w:noWrap/>
            <w:vAlign w:val="bottom"/>
          </w:tcPr>
          <w:p w14:paraId="491810FF" w14:textId="49871DF1" w:rsidR="002978E2" w:rsidRPr="00620B71" w:rsidRDefault="002978E2" w:rsidP="00A37D22">
            <w:pPr>
              <w:spacing w:before="0" w:after="0"/>
              <w:rPr>
                <w:rFonts w:eastAsia="Times New Roman" w:cs="Times New Roman"/>
                <w:color w:val="000000"/>
                <w:szCs w:val="22"/>
                <w:lang w:eastAsia="en-GB"/>
              </w:rPr>
            </w:pPr>
            <w:r>
              <w:rPr>
                <w:rFonts w:eastAsia="Times New Roman" w:cs="Times New Roman"/>
                <w:color w:val="000000"/>
                <w:sz w:val="20"/>
                <w:szCs w:val="20"/>
                <w:lang w:eastAsia="en-GB"/>
              </w:rPr>
              <w:t>N and % = Count and proportion of those with the relevan</w:t>
            </w:r>
            <w:r w:rsidR="00773A06">
              <w:rPr>
                <w:rFonts w:eastAsia="Times New Roman" w:cs="Times New Roman"/>
                <w:color w:val="000000"/>
                <w:sz w:val="20"/>
                <w:szCs w:val="20"/>
                <w:lang w:eastAsia="en-GB"/>
              </w:rPr>
              <w:t>t condition</w:t>
            </w:r>
          </w:p>
        </w:tc>
        <w:tc>
          <w:tcPr>
            <w:tcW w:w="1559" w:type="dxa"/>
            <w:shd w:val="clear" w:color="auto" w:fill="auto"/>
            <w:noWrap/>
            <w:vAlign w:val="center"/>
          </w:tcPr>
          <w:p w14:paraId="3B50EF89" w14:textId="77777777" w:rsidR="002978E2" w:rsidRPr="00620B71" w:rsidRDefault="002978E2" w:rsidP="006F7147">
            <w:pPr>
              <w:spacing w:before="0" w:after="0"/>
              <w:jc w:val="center"/>
              <w:rPr>
                <w:rFonts w:eastAsia="Times New Roman" w:cs="Times New Roman"/>
                <w:color w:val="000000"/>
                <w:szCs w:val="22"/>
                <w:lang w:eastAsia="en-GB"/>
              </w:rPr>
            </w:pPr>
          </w:p>
        </w:tc>
        <w:tc>
          <w:tcPr>
            <w:tcW w:w="1013" w:type="dxa"/>
            <w:shd w:val="clear" w:color="auto" w:fill="auto"/>
            <w:noWrap/>
            <w:vAlign w:val="bottom"/>
          </w:tcPr>
          <w:p w14:paraId="2B024000" w14:textId="77777777" w:rsidR="002978E2" w:rsidRPr="00620B71" w:rsidRDefault="002978E2" w:rsidP="006F7147">
            <w:pPr>
              <w:spacing w:before="0" w:after="0"/>
              <w:jc w:val="center"/>
              <w:rPr>
                <w:rFonts w:eastAsia="Times New Roman" w:cs="Times New Roman"/>
                <w:color w:val="000000"/>
                <w:sz w:val="24"/>
                <w:lang w:eastAsia="en-GB"/>
              </w:rPr>
            </w:pPr>
          </w:p>
        </w:tc>
        <w:tc>
          <w:tcPr>
            <w:tcW w:w="1923" w:type="dxa"/>
            <w:shd w:val="clear" w:color="auto" w:fill="auto"/>
            <w:noWrap/>
            <w:vAlign w:val="center"/>
          </w:tcPr>
          <w:p w14:paraId="105E02B0" w14:textId="77777777" w:rsidR="002978E2" w:rsidRPr="00620B71" w:rsidRDefault="002978E2" w:rsidP="006F7147">
            <w:pPr>
              <w:spacing w:before="0" w:after="0"/>
              <w:jc w:val="center"/>
              <w:rPr>
                <w:rFonts w:eastAsia="Times New Roman" w:cs="Times New Roman"/>
                <w:color w:val="000000"/>
                <w:sz w:val="24"/>
                <w:lang w:eastAsia="en-GB"/>
              </w:rPr>
            </w:pPr>
          </w:p>
        </w:tc>
        <w:tc>
          <w:tcPr>
            <w:tcW w:w="1013" w:type="dxa"/>
            <w:shd w:val="clear" w:color="auto" w:fill="auto"/>
            <w:noWrap/>
            <w:vAlign w:val="center"/>
          </w:tcPr>
          <w:p w14:paraId="0199E6BE" w14:textId="77777777" w:rsidR="002978E2" w:rsidRPr="00620B71" w:rsidRDefault="002978E2" w:rsidP="006F7147">
            <w:pPr>
              <w:spacing w:before="0" w:after="0"/>
              <w:jc w:val="center"/>
              <w:rPr>
                <w:rFonts w:eastAsia="Times New Roman" w:cs="Times New Roman"/>
                <w:color w:val="000000"/>
                <w:sz w:val="24"/>
                <w:lang w:eastAsia="en-GB"/>
              </w:rPr>
            </w:pPr>
          </w:p>
        </w:tc>
        <w:tc>
          <w:tcPr>
            <w:tcW w:w="2291" w:type="dxa"/>
            <w:shd w:val="clear" w:color="auto" w:fill="auto"/>
            <w:noWrap/>
            <w:vAlign w:val="center"/>
          </w:tcPr>
          <w:p w14:paraId="0835C179" w14:textId="77777777" w:rsidR="002978E2" w:rsidRPr="00620B71" w:rsidRDefault="002978E2" w:rsidP="006F7147">
            <w:pPr>
              <w:spacing w:before="0" w:after="0"/>
              <w:jc w:val="center"/>
              <w:rPr>
                <w:rFonts w:eastAsia="Times New Roman" w:cs="Times New Roman"/>
                <w:color w:val="000000"/>
                <w:sz w:val="24"/>
                <w:lang w:eastAsia="en-GB"/>
              </w:rPr>
            </w:pPr>
          </w:p>
        </w:tc>
      </w:tr>
    </w:tbl>
    <w:p w14:paraId="33BA1212" w14:textId="33D52572" w:rsidR="00620B71" w:rsidRDefault="00620B71" w:rsidP="001D177F">
      <w:pPr>
        <w:sectPr w:rsidR="00620B71" w:rsidSect="00ED2DBB">
          <w:pgSz w:w="16840" w:h="11900" w:orient="landscape"/>
          <w:pgMar w:top="720" w:right="720" w:bottom="720" w:left="720" w:header="720" w:footer="720" w:gutter="0"/>
          <w:cols w:space="720"/>
          <w:docGrid w:linePitch="360"/>
        </w:sectPr>
      </w:pPr>
    </w:p>
    <w:p w14:paraId="72B30BD0" w14:textId="5FE40A40" w:rsidR="001D4711" w:rsidRDefault="001D4711" w:rsidP="009347B5">
      <w:pPr>
        <w:pStyle w:val="Heading1"/>
      </w:pPr>
      <w:r>
        <w:lastRenderedPageBreak/>
        <w:t>Bibliography</w:t>
      </w:r>
    </w:p>
    <w:p w14:paraId="45191B82" w14:textId="77777777" w:rsidR="0072226B" w:rsidRPr="0072226B" w:rsidRDefault="001D4711" w:rsidP="0072226B">
      <w:pPr>
        <w:pStyle w:val="Bibliography"/>
        <w:rPr>
          <w:rFonts w:cs="Times New Roman"/>
        </w:rPr>
      </w:pPr>
      <w:r w:rsidRPr="00D66683">
        <w:fldChar w:fldCharType="begin"/>
      </w:r>
      <w:r w:rsidR="0072226B">
        <w:instrText xml:space="preserve"> ADDIN ZOTERO_BIBL {"uncited":[],"omitted":[],"custom":[]} CSL_BIBLIOGRAPHY </w:instrText>
      </w:r>
      <w:r w:rsidRPr="00D66683">
        <w:fldChar w:fldCharType="separate"/>
      </w:r>
      <w:r w:rsidR="0072226B" w:rsidRPr="0072226B">
        <w:rPr>
          <w:rFonts w:cs="Times New Roman"/>
        </w:rPr>
        <w:t xml:space="preserve">Babor, T. F., Higgins-Biddle, J. C., Saunders, J. B., Monteiro, M. G., &amp; World Health Organization. (2001). </w:t>
      </w:r>
      <w:r w:rsidR="0072226B" w:rsidRPr="0072226B">
        <w:rPr>
          <w:rFonts w:cs="Times New Roman"/>
          <w:i/>
          <w:iCs/>
        </w:rPr>
        <w:t>AUDIT: The alcohol use disorders identification test: Guidelines for use in primary health care</w:t>
      </w:r>
      <w:r w:rsidR="0072226B" w:rsidRPr="0072226B">
        <w:rPr>
          <w:rFonts w:cs="Times New Roman"/>
        </w:rPr>
        <w:t>.</w:t>
      </w:r>
    </w:p>
    <w:p w14:paraId="6F411A79" w14:textId="77777777" w:rsidR="0072226B" w:rsidRPr="0072226B" w:rsidRDefault="0072226B" w:rsidP="0072226B">
      <w:pPr>
        <w:pStyle w:val="Bibliography"/>
        <w:rPr>
          <w:rFonts w:cs="Times New Roman"/>
        </w:rPr>
      </w:pPr>
      <w:r w:rsidRPr="0072226B">
        <w:rPr>
          <w:rFonts w:cs="Times New Roman"/>
        </w:rPr>
        <w:t xml:space="preserve">Defence Select Committee. (2018). </w:t>
      </w:r>
      <w:r w:rsidRPr="0072226B">
        <w:rPr>
          <w:rFonts w:cs="Times New Roman"/>
          <w:i/>
          <w:iCs/>
        </w:rPr>
        <w:t>Mental health and the Armed Forces, Part One: The Scale of mental health issues: Government Response to the Committee’s Eleventh Report.</w:t>
      </w:r>
      <w:r w:rsidRPr="0072226B">
        <w:rPr>
          <w:rFonts w:cs="Times New Roman"/>
        </w:rPr>
        <w:t xml:space="preserve"> (HC 813).</w:t>
      </w:r>
    </w:p>
    <w:p w14:paraId="2FA18267" w14:textId="77777777" w:rsidR="0072226B" w:rsidRPr="0072226B" w:rsidRDefault="0072226B" w:rsidP="0072226B">
      <w:pPr>
        <w:pStyle w:val="Bibliography"/>
        <w:rPr>
          <w:rFonts w:cs="Times New Roman"/>
        </w:rPr>
      </w:pPr>
      <w:r w:rsidRPr="0072226B">
        <w:rPr>
          <w:rFonts w:cs="Times New Roman"/>
        </w:rPr>
        <w:t xml:space="preserve">Elovainio, M., Hakulinen, C., Pulkki-Råback, L., Virtanen, M., Josefsson, K., Jokela, M., Vahtera, J., &amp; Kivimäki, M. (2017). Contribution of risk factors to excess mortality in isolated and lonely individuals: An analysis of data from the UK Biobank cohort study. </w:t>
      </w:r>
      <w:r w:rsidRPr="0072226B">
        <w:rPr>
          <w:rFonts w:cs="Times New Roman"/>
          <w:i/>
          <w:iCs/>
        </w:rPr>
        <w:t>The Lancet Public Health</w:t>
      </w:r>
      <w:r w:rsidRPr="0072226B">
        <w:rPr>
          <w:rFonts w:cs="Times New Roman"/>
        </w:rPr>
        <w:t xml:space="preserve">, </w:t>
      </w:r>
      <w:r w:rsidRPr="0072226B">
        <w:rPr>
          <w:rFonts w:cs="Times New Roman"/>
          <w:i/>
          <w:iCs/>
        </w:rPr>
        <w:t>2</w:t>
      </w:r>
      <w:r w:rsidRPr="0072226B">
        <w:rPr>
          <w:rFonts w:cs="Times New Roman"/>
        </w:rPr>
        <w:t>(6), e260–e266. https://doi.org/10.1016/S2468-2667(17)30075-0</w:t>
      </w:r>
    </w:p>
    <w:p w14:paraId="6214795D" w14:textId="77777777" w:rsidR="0072226B" w:rsidRPr="0072226B" w:rsidRDefault="0072226B" w:rsidP="0072226B">
      <w:pPr>
        <w:pStyle w:val="Bibliography"/>
        <w:rPr>
          <w:rFonts w:cs="Times New Roman"/>
        </w:rPr>
      </w:pPr>
      <w:r w:rsidRPr="0072226B">
        <w:rPr>
          <w:rFonts w:cs="Times New Roman"/>
        </w:rPr>
        <w:t xml:space="preserve">Erol, A., &amp; Karpyak, V. M. (2015). Sex and gender-related differences in alcohol use and its consequences: Contemporary knowledge and future research considerations. </w:t>
      </w:r>
      <w:r w:rsidRPr="0072226B">
        <w:rPr>
          <w:rFonts w:cs="Times New Roman"/>
          <w:i/>
          <w:iCs/>
        </w:rPr>
        <w:t>Drug and Alcohol Dependence</w:t>
      </w:r>
      <w:r w:rsidRPr="0072226B">
        <w:rPr>
          <w:rFonts w:cs="Times New Roman"/>
        </w:rPr>
        <w:t xml:space="preserve">, </w:t>
      </w:r>
      <w:r w:rsidRPr="0072226B">
        <w:rPr>
          <w:rFonts w:cs="Times New Roman"/>
          <w:i/>
          <w:iCs/>
        </w:rPr>
        <w:t>156</w:t>
      </w:r>
      <w:r w:rsidRPr="0072226B">
        <w:rPr>
          <w:rFonts w:cs="Times New Roman"/>
        </w:rPr>
        <w:t>, 1–13. https://doi.org/10.1016/j.drugalcdep.2015.08.023</w:t>
      </w:r>
    </w:p>
    <w:p w14:paraId="4680DDB8" w14:textId="77777777" w:rsidR="0072226B" w:rsidRPr="0072226B" w:rsidRDefault="0072226B" w:rsidP="0072226B">
      <w:pPr>
        <w:pStyle w:val="Bibliography"/>
        <w:rPr>
          <w:rFonts w:cs="Times New Roman"/>
        </w:rPr>
      </w:pPr>
      <w:r w:rsidRPr="0072226B">
        <w:rPr>
          <w:rFonts w:cs="Times New Roman"/>
        </w:rPr>
        <w:t xml:space="preserve">Fear, N. T., Iversen, A., Meltzer, H., Workman, L., Hull, L., Greenberg, N., Barker, C., Browne, T., Earnshaw, M., Horn, O., Jones, M., Murphy, D., Rona, R. J., Hotopf, M., &amp; Wessely, S. (2007). Patterns of drinking in the UK Armed Forces. </w:t>
      </w:r>
      <w:r w:rsidRPr="0072226B">
        <w:rPr>
          <w:rFonts w:cs="Times New Roman"/>
          <w:i/>
          <w:iCs/>
        </w:rPr>
        <w:t>Addiction</w:t>
      </w:r>
      <w:r w:rsidRPr="0072226B">
        <w:rPr>
          <w:rFonts w:cs="Times New Roman"/>
        </w:rPr>
        <w:t xml:space="preserve">, </w:t>
      </w:r>
      <w:r w:rsidRPr="0072226B">
        <w:rPr>
          <w:rFonts w:cs="Times New Roman"/>
          <w:i/>
          <w:iCs/>
        </w:rPr>
        <w:t>102</w:t>
      </w:r>
      <w:r w:rsidRPr="0072226B">
        <w:rPr>
          <w:rFonts w:cs="Times New Roman"/>
        </w:rPr>
        <w:t>(11), 1749–1759. https://doi.org/10.1111/j.1360-0443.2007.01978.x</w:t>
      </w:r>
    </w:p>
    <w:p w14:paraId="58C6BC20" w14:textId="77777777" w:rsidR="0072226B" w:rsidRPr="0072226B" w:rsidRDefault="0072226B" w:rsidP="0072226B">
      <w:pPr>
        <w:pStyle w:val="Bibliography"/>
        <w:rPr>
          <w:rFonts w:cs="Times New Roman"/>
        </w:rPr>
      </w:pPr>
      <w:r w:rsidRPr="0072226B">
        <w:rPr>
          <w:rFonts w:cs="Times New Roman"/>
        </w:rPr>
        <w:t xml:space="preserve">Fear, N. T., Jones, M., Murphy, D., Hull, L., Iversen, A. C., Coker, B., Machell, L., Sundin, J., Woodhead, C., Jones, N., Greenberg, N., Landau, S., Dandeker, C., Rona, R. J., Hotopf, M., &amp; Wessely, S. (2010). What are the consequences of deployment to Iraq and Afghanistan on the mental health of the UK armed forces? A cohort study. </w:t>
      </w:r>
      <w:r w:rsidRPr="0072226B">
        <w:rPr>
          <w:rFonts w:cs="Times New Roman"/>
          <w:i/>
          <w:iCs/>
        </w:rPr>
        <w:t>The Lancet</w:t>
      </w:r>
      <w:r w:rsidRPr="0072226B">
        <w:rPr>
          <w:rFonts w:cs="Times New Roman"/>
        </w:rPr>
        <w:t xml:space="preserve">, </w:t>
      </w:r>
      <w:r w:rsidRPr="0072226B">
        <w:rPr>
          <w:rFonts w:cs="Times New Roman"/>
          <w:i/>
          <w:iCs/>
        </w:rPr>
        <w:t>375</w:t>
      </w:r>
      <w:r w:rsidRPr="0072226B">
        <w:rPr>
          <w:rFonts w:cs="Times New Roman"/>
        </w:rPr>
        <w:t>(9728), 1783–1797. https://doi.org/10.1016/S0140-6736(10)60672-1</w:t>
      </w:r>
    </w:p>
    <w:p w14:paraId="5B2C011F" w14:textId="77777777" w:rsidR="0072226B" w:rsidRPr="0072226B" w:rsidRDefault="0072226B" w:rsidP="0072226B">
      <w:pPr>
        <w:pStyle w:val="Bibliography"/>
        <w:rPr>
          <w:rFonts w:cs="Times New Roman"/>
        </w:rPr>
      </w:pPr>
      <w:r w:rsidRPr="0072226B">
        <w:rPr>
          <w:rFonts w:cs="Times New Roman"/>
        </w:rPr>
        <w:lastRenderedPageBreak/>
        <w:t xml:space="preserve">Goldberg, D. P., Gater, R., Sartorius, N., Ustun, T. B., Piccinelli, M., Gureje, O., &amp; Rutter, C. (1997). The validity of two versions of the GHQ in the WHO study of mental illness in general health care. </w:t>
      </w:r>
      <w:r w:rsidRPr="0072226B">
        <w:rPr>
          <w:rFonts w:cs="Times New Roman"/>
          <w:i/>
          <w:iCs/>
        </w:rPr>
        <w:t>Psychological Medicine</w:t>
      </w:r>
      <w:r w:rsidRPr="0072226B">
        <w:rPr>
          <w:rFonts w:cs="Times New Roman"/>
        </w:rPr>
        <w:t xml:space="preserve">, </w:t>
      </w:r>
      <w:r w:rsidRPr="0072226B">
        <w:rPr>
          <w:rFonts w:cs="Times New Roman"/>
          <w:i/>
          <w:iCs/>
        </w:rPr>
        <w:t>27</w:t>
      </w:r>
      <w:r w:rsidRPr="0072226B">
        <w:rPr>
          <w:rFonts w:cs="Times New Roman"/>
        </w:rPr>
        <w:t>(1), 191–197.</w:t>
      </w:r>
    </w:p>
    <w:p w14:paraId="4233F8E0" w14:textId="77777777" w:rsidR="0072226B" w:rsidRPr="0072226B" w:rsidRDefault="0072226B" w:rsidP="0072226B">
      <w:pPr>
        <w:pStyle w:val="Bibliography"/>
        <w:rPr>
          <w:rFonts w:cs="Times New Roman"/>
        </w:rPr>
      </w:pPr>
      <w:r w:rsidRPr="0072226B">
        <w:rPr>
          <w:rFonts w:cs="Times New Roman"/>
        </w:rPr>
        <w:t xml:space="preserve">Goodwin, L., Norton, S., Fear, N. T., Jones, M., Hull, L., Wessely, S., &amp; Rona, R. J. (2017). Trajectories of alcohol use in the UK military and associations with mental health. </w:t>
      </w:r>
      <w:r w:rsidRPr="0072226B">
        <w:rPr>
          <w:rFonts w:cs="Times New Roman"/>
          <w:i/>
          <w:iCs/>
        </w:rPr>
        <w:t>Addictive Behaviors</w:t>
      </w:r>
      <w:r w:rsidRPr="0072226B">
        <w:rPr>
          <w:rFonts w:cs="Times New Roman"/>
        </w:rPr>
        <w:t xml:space="preserve">, </w:t>
      </w:r>
      <w:r w:rsidRPr="0072226B">
        <w:rPr>
          <w:rFonts w:cs="Times New Roman"/>
          <w:i/>
          <w:iCs/>
        </w:rPr>
        <w:t>75</w:t>
      </w:r>
      <w:r w:rsidRPr="0072226B">
        <w:rPr>
          <w:rFonts w:cs="Times New Roman"/>
        </w:rPr>
        <w:t>, 130–137. https://doi.org/10.1016/j.addbeh.2017.07.010</w:t>
      </w:r>
    </w:p>
    <w:p w14:paraId="5EDF7174" w14:textId="77777777" w:rsidR="0072226B" w:rsidRPr="0072226B" w:rsidRDefault="0072226B" w:rsidP="0072226B">
      <w:pPr>
        <w:pStyle w:val="Bibliography"/>
        <w:rPr>
          <w:rFonts w:cs="Times New Roman"/>
        </w:rPr>
      </w:pPr>
      <w:r w:rsidRPr="0072226B">
        <w:rPr>
          <w:rFonts w:cs="Times New Roman"/>
        </w:rPr>
        <w:t xml:space="preserve">Goodwin, L., Wessely, S., Hotopf, M., Jones, M., Greenberg, N., Rona, R. J., Hull, L., &amp; Fear, N. T. (2015). Are common mental disorders more prevalent in the UK serving military compared to the general working population? </w:t>
      </w:r>
      <w:r w:rsidRPr="0072226B">
        <w:rPr>
          <w:rFonts w:cs="Times New Roman"/>
          <w:i/>
          <w:iCs/>
        </w:rPr>
        <w:t>Psychological Medicine</w:t>
      </w:r>
      <w:r w:rsidRPr="0072226B">
        <w:rPr>
          <w:rFonts w:cs="Times New Roman"/>
        </w:rPr>
        <w:t xml:space="preserve">, </w:t>
      </w:r>
      <w:r w:rsidRPr="0072226B">
        <w:rPr>
          <w:rFonts w:cs="Times New Roman"/>
          <w:i/>
          <w:iCs/>
        </w:rPr>
        <w:t>45</w:t>
      </w:r>
      <w:r w:rsidRPr="0072226B">
        <w:rPr>
          <w:rFonts w:cs="Times New Roman"/>
        </w:rPr>
        <w:t>(9), 1881–1891. https://doi.org/10.1017/S0033291714002980</w:t>
      </w:r>
    </w:p>
    <w:p w14:paraId="3D10654E" w14:textId="77777777" w:rsidR="0072226B" w:rsidRPr="0072226B" w:rsidRDefault="0072226B" w:rsidP="0072226B">
      <w:pPr>
        <w:pStyle w:val="Bibliography"/>
        <w:rPr>
          <w:rFonts w:cs="Times New Roman"/>
        </w:rPr>
      </w:pPr>
      <w:r w:rsidRPr="0072226B">
        <w:rPr>
          <w:rFonts w:cs="Times New Roman"/>
        </w:rPr>
        <w:t xml:space="preserve">Gribble, R., Goodwin, L., &amp; Fear, N. T. (2019). Mental health outcomes and alcohol use among UK military spouses/partners: A comparison with women in the general population. </w:t>
      </w:r>
      <w:r w:rsidRPr="0072226B">
        <w:rPr>
          <w:rFonts w:cs="Times New Roman"/>
          <w:i/>
          <w:iCs/>
        </w:rPr>
        <w:t>Submitted</w:t>
      </w:r>
      <w:r w:rsidRPr="0072226B">
        <w:rPr>
          <w:rFonts w:cs="Times New Roman"/>
        </w:rPr>
        <w:t>.</w:t>
      </w:r>
    </w:p>
    <w:p w14:paraId="390B25F9" w14:textId="77777777" w:rsidR="0072226B" w:rsidRPr="0072226B" w:rsidRDefault="0072226B" w:rsidP="0072226B">
      <w:pPr>
        <w:pStyle w:val="Bibliography"/>
        <w:rPr>
          <w:rFonts w:cs="Times New Roman"/>
        </w:rPr>
      </w:pPr>
      <w:r w:rsidRPr="0072226B">
        <w:rPr>
          <w:rFonts w:cs="Times New Roman"/>
        </w:rPr>
        <w:t xml:space="preserve">Hainmueller, J. (2012). Entropy balancing for causal effects: A multivariate reweighting method to produce balanced samples in observational studies. </w:t>
      </w:r>
      <w:r w:rsidRPr="0072226B">
        <w:rPr>
          <w:rFonts w:cs="Times New Roman"/>
          <w:i/>
          <w:iCs/>
        </w:rPr>
        <w:t>Political Analysis</w:t>
      </w:r>
      <w:r w:rsidRPr="0072226B">
        <w:rPr>
          <w:rFonts w:cs="Times New Roman"/>
        </w:rPr>
        <w:t xml:space="preserve">, </w:t>
      </w:r>
      <w:r w:rsidRPr="0072226B">
        <w:rPr>
          <w:rFonts w:cs="Times New Roman"/>
          <w:i/>
          <w:iCs/>
        </w:rPr>
        <w:t>20</w:t>
      </w:r>
      <w:r w:rsidRPr="0072226B">
        <w:rPr>
          <w:rFonts w:cs="Times New Roman"/>
        </w:rPr>
        <w:t>(1), 25–46.</w:t>
      </w:r>
    </w:p>
    <w:p w14:paraId="7BBC839E" w14:textId="77777777" w:rsidR="0072226B" w:rsidRPr="0072226B" w:rsidRDefault="0072226B" w:rsidP="0072226B">
      <w:pPr>
        <w:pStyle w:val="Bibliography"/>
        <w:rPr>
          <w:rFonts w:cs="Times New Roman"/>
        </w:rPr>
      </w:pPr>
      <w:r w:rsidRPr="0072226B">
        <w:rPr>
          <w:rFonts w:cs="Times New Roman"/>
        </w:rPr>
        <w:t xml:space="preserve">Hamilton, A. B., Williams, L., &amp; Washington, D. L. (2015). Military and Mental Health Correlates of Unemployment in a National Sample of Women Veterans. </w:t>
      </w:r>
      <w:r w:rsidRPr="0072226B">
        <w:rPr>
          <w:rFonts w:cs="Times New Roman"/>
          <w:i/>
          <w:iCs/>
        </w:rPr>
        <w:t>Medical Care</w:t>
      </w:r>
      <w:r w:rsidRPr="0072226B">
        <w:rPr>
          <w:rFonts w:cs="Times New Roman"/>
        </w:rPr>
        <w:t xml:space="preserve">, </w:t>
      </w:r>
      <w:r w:rsidRPr="0072226B">
        <w:rPr>
          <w:rFonts w:cs="Times New Roman"/>
          <w:i/>
          <w:iCs/>
        </w:rPr>
        <w:t>53</w:t>
      </w:r>
      <w:r w:rsidRPr="0072226B">
        <w:rPr>
          <w:rFonts w:cs="Times New Roman"/>
        </w:rPr>
        <w:t>, S32. https://doi.org/10.1097/MLR.0000000000000297</w:t>
      </w:r>
    </w:p>
    <w:p w14:paraId="0A122D27" w14:textId="77777777" w:rsidR="0072226B" w:rsidRPr="0072226B" w:rsidRDefault="0072226B" w:rsidP="0072226B">
      <w:pPr>
        <w:pStyle w:val="Bibliography"/>
        <w:rPr>
          <w:rFonts w:cs="Times New Roman"/>
        </w:rPr>
      </w:pPr>
      <w:r w:rsidRPr="0072226B">
        <w:rPr>
          <w:rFonts w:cs="Times New Roman"/>
        </w:rPr>
        <w:t xml:space="preserve">Harden, L., &amp; Murphy, D. (2018). Risk factors of suicidal ideation in a population of UK military veterans seeking support for mental health difficulties. </w:t>
      </w:r>
      <w:r w:rsidRPr="0072226B">
        <w:rPr>
          <w:rFonts w:cs="Times New Roman"/>
          <w:i/>
          <w:iCs/>
        </w:rPr>
        <w:t>Journal of the Royal Army Medical Corps</w:t>
      </w:r>
      <w:r w:rsidRPr="0072226B">
        <w:rPr>
          <w:rFonts w:cs="Times New Roman"/>
        </w:rPr>
        <w:t xml:space="preserve">, </w:t>
      </w:r>
      <w:r w:rsidRPr="0072226B">
        <w:rPr>
          <w:rFonts w:cs="Times New Roman"/>
          <w:i/>
          <w:iCs/>
        </w:rPr>
        <w:t>164</w:t>
      </w:r>
      <w:r w:rsidRPr="0072226B">
        <w:rPr>
          <w:rFonts w:cs="Times New Roman"/>
        </w:rPr>
        <w:t>(5), 352–356. https://doi.org/10.1136/jramc-2018-000921</w:t>
      </w:r>
    </w:p>
    <w:p w14:paraId="765AE23E" w14:textId="77777777" w:rsidR="0072226B" w:rsidRPr="0072226B" w:rsidRDefault="0072226B" w:rsidP="0072226B">
      <w:pPr>
        <w:pStyle w:val="Bibliography"/>
        <w:rPr>
          <w:rFonts w:cs="Times New Roman"/>
        </w:rPr>
      </w:pPr>
      <w:r w:rsidRPr="0072226B">
        <w:rPr>
          <w:rFonts w:cs="Times New Roman"/>
        </w:rPr>
        <w:t xml:space="preserve">Haskell, S. G., Gordon, K. S., Mattocks, K., Duggal, M., Erdos, J., Justice, A., &amp; Brandt, C. A. (2010). Gender differences in rates of depression, PTSD, pain, obesity, and military sexual trauma among Connecticut War Veterans of Iraq and Afghanistan. </w:t>
      </w:r>
      <w:r w:rsidRPr="0072226B">
        <w:rPr>
          <w:rFonts w:cs="Times New Roman"/>
          <w:i/>
          <w:iCs/>
        </w:rPr>
        <w:t>Journal of Women’s Health (2002)</w:t>
      </w:r>
      <w:r w:rsidRPr="0072226B">
        <w:rPr>
          <w:rFonts w:cs="Times New Roman"/>
        </w:rPr>
        <w:t xml:space="preserve">, </w:t>
      </w:r>
      <w:r w:rsidRPr="0072226B">
        <w:rPr>
          <w:rFonts w:cs="Times New Roman"/>
          <w:i/>
          <w:iCs/>
        </w:rPr>
        <w:t>19</w:t>
      </w:r>
      <w:r w:rsidRPr="0072226B">
        <w:rPr>
          <w:rFonts w:cs="Times New Roman"/>
        </w:rPr>
        <w:t>(2), 267–271. https://doi.org/10.1089/jwh.2008.1262</w:t>
      </w:r>
    </w:p>
    <w:p w14:paraId="17A663C1" w14:textId="77777777" w:rsidR="0072226B" w:rsidRPr="0072226B" w:rsidRDefault="0072226B" w:rsidP="0072226B">
      <w:pPr>
        <w:pStyle w:val="Bibliography"/>
        <w:rPr>
          <w:rFonts w:cs="Times New Roman"/>
        </w:rPr>
      </w:pPr>
      <w:r w:rsidRPr="0072226B">
        <w:rPr>
          <w:rFonts w:cs="Times New Roman"/>
        </w:rPr>
        <w:lastRenderedPageBreak/>
        <w:t xml:space="preserve">Hatch, S. L., Harvey, S. B., Dandeker, C., Burdett, H., Greenberg, N., Fear, N. T., &amp; Wessely, S. (2013). Life in and after the Armed Forces: Social networks and mental health in the UK military. </w:t>
      </w:r>
      <w:r w:rsidRPr="0072226B">
        <w:rPr>
          <w:rFonts w:cs="Times New Roman"/>
          <w:i/>
          <w:iCs/>
        </w:rPr>
        <w:t>Sociology of Health &amp; Illness</w:t>
      </w:r>
      <w:r w:rsidRPr="0072226B">
        <w:rPr>
          <w:rFonts w:cs="Times New Roman"/>
        </w:rPr>
        <w:t xml:space="preserve">, </w:t>
      </w:r>
      <w:r w:rsidRPr="0072226B">
        <w:rPr>
          <w:rFonts w:cs="Times New Roman"/>
          <w:i/>
          <w:iCs/>
        </w:rPr>
        <w:t>35</w:t>
      </w:r>
      <w:r w:rsidRPr="0072226B">
        <w:rPr>
          <w:rFonts w:cs="Times New Roman"/>
        </w:rPr>
        <w:t>(7), 1045–1064. https://doi.org/10.1111/1467-9566.12022</w:t>
      </w:r>
    </w:p>
    <w:p w14:paraId="654DA712" w14:textId="77777777" w:rsidR="0072226B" w:rsidRPr="0072226B" w:rsidRDefault="0072226B" w:rsidP="0072226B">
      <w:pPr>
        <w:pStyle w:val="Bibliography"/>
        <w:rPr>
          <w:rFonts w:cs="Times New Roman"/>
        </w:rPr>
      </w:pPr>
      <w:r w:rsidRPr="0072226B">
        <w:rPr>
          <w:rFonts w:cs="Times New Roman"/>
        </w:rPr>
        <w:t xml:space="preserve">Hoerster, K. D., Lehavot, K., Simpson, T., McFall, M., Reiber, G., &amp; Nelson, K. M. (2012). Health and Health Behavior Differences: U.S. Military, Veteran, and Civilian Men. </w:t>
      </w:r>
      <w:r w:rsidRPr="0072226B">
        <w:rPr>
          <w:rFonts w:cs="Times New Roman"/>
          <w:i/>
          <w:iCs/>
        </w:rPr>
        <w:t>American Journal of Preventive Medicine</w:t>
      </w:r>
      <w:r w:rsidRPr="0072226B">
        <w:rPr>
          <w:rFonts w:cs="Times New Roman"/>
        </w:rPr>
        <w:t xml:space="preserve">, </w:t>
      </w:r>
      <w:r w:rsidRPr="0072226B">
        <w:rPr>
          <w:rFonts w:cs="Times New Roman"/>
          <w:i/>
          <w:iCs/>
        </w:rPr>
        <w:t>43</w:t>
      </w:r>
      <w:r w:rsidRPr="0072226B">
        <w:rPr>
          <w:rFonts w:cs="Times New Roman"/>
        </w:rPr>
        <w:t>(5), 483–489. https://doi.org/10.1016/j.amepre.2012.07.029</w:t>
      </w:r>
    </w:p>
    <w:p w14:paraId="6F0F5413" w14:textId="77777777" w:rsidR="0072226B" w:rsidRPr="0072226B" w:rsidRDefault="0072226B" w:rsidP="0072226B">
      <w:pPr>
        <w:pStyle w:val="Bibliography"/>
        <w:rPr>
          <w:rFonts w:cs="Times New Roman"/>
        </w:rPr>
      </w:pPr>
      <w:r w:rsidRPr="0072226B">
        <w:rPr>
          <w:rFonts w:cs="Times New Roman"/>
        </w:rPr>
        <w:t xml:space="preserve">Hooff, M. V., McFarlane, A. C., Davies, C. E., Searle, A. K., Fairweather-Schmidt, A. K., Verhagen, A., Benassi, H., &amp; Hodson, S. E. (2014). The Australian Defence Force Mental Health Prevalence and Wellbeing Study: Design and methods. </w:t>
      </w:r>
      <w:r w:rsidRPr="0072226B">
        <w:rPr>
          <w:rFonts w:cs="Times New Roman"/>
          <w:i/>
          <w:iCs/>
        </w:rPr>
        <w:t>European Journal of Psychotraumatology</w:t>
      </w:r>
      <w:r w:rsidRPr="0072226B">
        <w:rPr>
          <w:rFonts w:cs="Times New Roman"/>
        </w:rPr>
        <w:t xml:space="preserve">, </w:t>
      </w:r>
      <w:r w:rsidRPr="0072226B">
        <w:rPr>
          <w:rFonts w:cs="Times New Roman"/>
          <w:i/>
          <w:iCs/>
        </w:rPr>
        <w:t>5</w:t>
      </w:r>
      <w:r w:rsidRPr="0072226B">
        <w:rPr>
          <w:rFonts w:cs="Times New Roman"/>
        </w:rPr>
        <w:t>(1), 23950. https://doi.org/10.3402/ejpt.v5.23950</w:t>
      </w:r>
    </w:p>
    <w:p w14:paraId="3A194461" w14:textId="77777777" w:rsidR="0072226B" w:rsidRPr="0072226B" w:rsidRDefault="0072226B" w:rsidP="0072226B">
      <w:pPr>
        <w:pStyle w:val="Bibliography"/>
        <w:rPr>
          <w:rFonts w:cs="Times New Roman"/>
        </w:rPr>
      </w:pPr>
      <w:r w:rsidRPr="0072226B">
        <w:rPr>
          <w:rFonts w:cs="Times New Roman"/>
        </w:rPr>
        <w:t xml:space="preserve">Hotopf, M., Hull, L., Fear, N. T., Browne, T., Horn, O., Iversen, A., Jones, M., Murphy, D., Bland, D., Earnshaw, M., Greenberg, N., Hughes, J. H., Tate, A. R., Dandeker, C., Rona, R., &amp; Wessely, S. (2006). The health of UK military personnel who deployed to the 2003 Iraq war: A cohort study. </w:t>
      </w:r>
      <w:r w:rsidRPr="0072226B">
        <w:rPr>
          <w:rFonts w:cs="Times New Roman"/>
          <w:i/>
          <w:iCs/>
        </w:rPr>
        <w:t>Lancet (London, England)</w:t>
      </w:r>
      <w:r w:rsidRPr="0072226B">
        <w:rPr>
          <w:rFonts w:cs="Times New Roman"/>
        </w:rPr>
        <w:t xml:space="preserve">, </w:t>
      </w:r>
      <w:r w:rsidRPr="0072226B">
        <w:rPr>
          <w:rFonts w:cs="Times New Roman"/>
          <w:i/>
          <w:iCs/>
        </w:rPr>
        <w:t>367</w:t>
      </w:r>
      <w:r w:rsidRPr="0072226B">
        <w:rPr>
          <w:rFonts w:cs="Times New Roman"/>
        </w:rPr>
        <w:t>(9524), 1731–1741. https://doi.org/10.1016/S0140-6736(06)68662-5</w:t>
      </w:r>
    </w:p>
    <w:p w14:paraId="7661113B" w14:textId="77777777" w:rsidR="0072226B" w:rsidRPr="0072226B" w:rsidRDefault="0072226B" w:rsidP="0072226B">
      <w:pPr>
        <w:pStyle w:val="Bibliography"/>
        <w:rPr>
          <w:rFonts w:cs="Times New Roman"/>
        </w:rPr>
      </w:pPr>
      <w:r w:rsidRPr="0072226B">
        <w:rPr>
          <w:rFonts w:cs="Times New Roman"/>
        </w:rPr>
        <w:t xml:space="preserve">Iversen, A. C., Fear, N. T., Simonoff, E., Hull, L., Horn, O., Greenberg, N., Hotopf, M., Rona, R., &amp; Wessely, S. (2007). Influence of childhood adversity on health among male UK military personnel. </w:t>
      </w:r>
      <w:r w:rsidRPr="0072226B">
        <w:rPr>
          <w:rFonts w:cs="Times New Roman"/>
          <w:i/>
          <w:iCs/>
        </w:rPr>
        <w:t>The British Journal of Psychiatry</w:t>
      </w:r>
      <w:r w:rsidRPr="0072226B">
        <w:rPr>
          <w:rFonts w:cs="Times New Roman"/>
        </w:rPr>
        <w:t xml:space="preserve">, </w:t>
      </w:r>
      <w:r w:rsidRPr="0072226B">
        <w:rPr>
          <w:rFonts w:cs="Times New Roman"/>
          <w:i/>
          <w:iCs/>
        </w:rPr>
        <w:t>191</w:t>
      </w:r>
      <w:r w:rsidRPr="0072226B">
        <w:rPr>
          <w:rFonts w:cs="Times New Roman"/>
        </w:rPr>
        <w:t>(6), 506–511. https://doi.org/10.1192/bjp.bp.107.039818</w:t>
      </w:r>
    </w:p>
    <w:p w14:paraId="04DEF607" w14:textId="77777777" w:rsidR="0072226B" w:rsidRPr="0072226B" w:rsidRDefault="0072226B" w:rsidP="0072226B">
      <w:pPr>
        <w:pStyle w:val="Bibliography"/>
        <w:rPr>
          <w:rFonts w:cs="Times New Roman"/>
        </w:rPr>
      </w:pPr>
      <w:r w:rsidRPr="0072226B">
        <w:rPr>
          <w:rFonts w:cs="Times New Roman"/>
        </w:rPr>
        <w:t xml:space="preserve">Iversen, A. C., &amp; Greenberg, N. (2009). Mental health of regular and reserve military veterans. </w:t>
      </w:r>
      <w:r w:rsidRPr="0072226B">
        <w:rPr>
          <w:rFonts w:cs="Times New Roman"/>
          <w:i/>
          <w:iCs/>
        </w:rPr>
        <w:t>Advances in Psychiatric Treatment</w:t>
      </w:r>
      <w:r w:rsidRPr="0072226B">
        <w:rPr>
          <w:rFonts w:cs="Times New Roman"/>
        </w:rPr>
        <w:t xml:space="preserve">, </w:t>
      </w:r>
      <w:r w:rsidRPr="0072226B">
        <w:rPr>
          <w:rFonts w:cs="Times New Roman"/>
          <w:i/>
          <w:iCs/>
        </w:rPr>
        <w:t>15</w:t>
      </w:r>
      <w:r w:rsidRPr="0072226B">
        <w:rPr>
          <w:rFonts w:cs="Times New Roman"/>
        </w:rPr>
        <w:t>(2), 100–106. https://doi.org/10.1192/apt.bp.107.004713</w:t>
      </w:r>
    </w:p>
    <w:p w14:paraId="78912C1A" w14:textId="77777777" w:rsidR="0072226B" w:rsidRPr="0072226B" w:rsidRDefault="0072226B" w:rsidP="0072226B">
      <w:pPr>
        <w:pStyle w:val="Bibliography"/>
        <w:rPr>
          <w:rFonts w:cs="Times New Roman"/>
        </w:rPr>
      </w:pPr>
      <w:r w:rsidRPr="0072226B">
        <w:rPr>
          <w:rFonts w:cs="Times New Roman"/>
        </w:rPr>
        <w:lastRenderedPageBreak/>
        <w:t xml:space="preserve">Lee, J. E., Sudom, K. A., &amp; Zamorski, M. A. (2013). Longitudinal analysis of psychological resilience and mental health in Canadian military personnel returning from overseas deployment. </w:t>
      </w:r>
      <w:r w:rsidRPr="0072226B">
        <w:rPr>
          <w:rFonts w:cs="Times New Roman"/>
          <w:i/>
          <w:iCs/>
        </w:rPr>
        <w:t>Journal of Occupational Health Psychology</w:t>
      </w:r>
      <w:r w:rsidRPr="0072226B">
        <w:rPr>
          <w:rFonts w:cs="Times New Roman"/>
        </w:rPr>
        <w:t xml:space="preserve">, </w:t>
      </w:r>
      <w:r w:rsidRPr="0072226B">
        <w:rPr>
          <w:rFonts w:cs="Times New Roman"/>
          <w:i/>
          <w:iCs/>
        </w:rPr>
        <w:t>18</w:t>
      </w:r>
      <w:r w:rsidRPr="0072226B">
        <w:rPr>
          <w:rFonts w:cs="Times New Roman"/>
        </w:rPr>
        <w:t>(3), 327.</w:t>
      </w:r>
    </w:p>
    <w:p w14:paraId="7455DF2C" w14:textId="77777777" w:rsidR="0072226B" w:rsidRPr="0072226B" w:rsidRDefault="0072226B" w:rsidP="0072226B">
      <w:pPr>
        <w:pStyle w:val="Bibliography"/>
        <w:rPr>
          <w:rFonts w:cs="Times New Roman"/>
        </w:rPr>
      </w:pPr>
      <w:r w:rsidRPr="0072226B">
        <w:rPr>
          <w:rFonts w:cs="Times New Roman"/>
        </w:rPr>
        <w:t xml:space="preserve">Leightley, D., Puddephatt, J.-A., Goodwin, L., Rona, R., &amp; Fear, N. T. (2018). InDEx: Open Source iOS and Android Software for Self-Reporting and Monitoring of Alcohol Consumption. </w:t>
      </w:r>
      <w:r w:rsidRPr="0072226B">
        <w:rPr>
          <w:rFonts w:cs="Times New Roman"/>
          <w:i/>
          <w:iCs/>
        </w:rPr>
        <w:t>Journal of Open Research Software</w:t>
      </w:r>
      <w:r w:rsidRPr="0072226B">
        <w:rPr>
          <w:rFonts w:cs="Times New Roman"/>
        </w:rPr>
        <w:t xml:space="preserve">, </w:t>
      </w:r>
      <w:r w:rsidRPr="0072226B">
        <w:rPr>
          <w:rFonts w:cs="Times New Roman"/>
          <w:i/>
          <w:iCs/>
        </w:rPr>
        <w:t>6</w:t>
      </w:r>
      <w:r w:rsidRPr="0072226B">
        <w:rPr>
          <w:rFonts w:cs="Times New Roman"/>
        </w:rPr>
        <w:t>. https://doi.org/10.5334/jors.207</w:t>
      </w:r>
    </w:p>
    <w:p w14:paraId="1D5F9366" w14:textId="77777777" w:rsidR="0072226B" w:rsidRPr="0072226B" w:rsidRDefault="0072226B" w:rsidP="0072226B">
      <w:pPr>
        <w:pStyle w:val="Bibliography"/>
        <w:rPr>
          <w:rFonts w:cs="Times New Roman"/>
        </w:rPr>
      </w:pPr>
      <w:r w:rsidRPr="0072226B">
        <w:rPr>
          <w:rFonts w:cs="Times New Roman"/>
        </w:rPr>
        <w:t xml:space="preserve">Lynn, P. (2006). Quality Profile: BHPS Version 2.0: Waves 1 to 13 1991-2003. University of Essex. </w:t>
      </w:r>
      <w:r w:rsidRPr="0072226B">
        <w:rPr>
          <w:rFonts w:cs="Times New Roman"/>
          <w:i/>
          <w:iCs/>
        </w:rPr>
        <w:t>Institute for Social Research</w:t>
      </w:r>
      <w:r w:rsidRPr="0072226B">
        <w:rPr>
          <w:rFonts w:cs="Times New Roman"/>
        </w:rPr>
        <w:t>.</w:t>
      </w:r>
    </w:p>
    <w:p w14:paraId="76A65FA2" w14:textId="77777777" w:rsidR="0072226B" w:rsidRPr="0072226B" w:rsidRDefault="0072226B" w:rsidP="0072226B">
      <w:pPr>
        <w:pStyle w:val="Bibliography"/>
        <w:rPr>
          <w:rFonts w:cs="Times New Roman"/>
        </w:rPr>
      </w:pPr>
      <w:r w:rsidRPr="0072226B">
        <w:rPr>
          <w:rFonts w:cs="Times New Roman"/>
        </w:rPr>
        <w:t xml:space="preserve">McManus, S., Bebbington, P., Jenkins, R., &amp; Brugha, T. (2016). </w:t>
      </w:r>
      <w:r w:rsidRPr="0072226B">
        <w:rPr>
          <w:rFonts w:cs="Times New Roman"/>
          <w:i/>
          <w:iCs/>
        </w:rPr>
        <w:t>Mental Health and Wellbeing in England: Adult Psychiatric Morbidity Survey 2014: A Survey Carried Out for NHS Digital by NatCen Social Research and the Department of Health Sciences, University of Leicester</w:t>
      </w:r>
      <w:r w:rsidRPr="0072226B">
        <w:rPr>
          <w:rFonts w:cs="Times New Roman"/>
        </w:rPr>
        <w:t>. NHS Digital.</w:t>
      </w:r>
    </w:p>
    <w:p w14:paraId="67AFB0CD" w14:textId="77777777" w:rsidR="0072226B" w:rsidRPr="0072226B" w:rsidRDefault="0072226B" w:rsidP="0072226B">
      <w:pPr>
        <w:pStyle w:val="Bibliography"/>
        <w:rPr>
          <w:rFonts w:cs="Times New Roman"/>
        </w:rPr>
      </w:pPr>
      <w:r w:rsidRPr="0072226B">
        <w:rPr>
          <w:rFonts w:cs="Times New Roman"/>
        </w:rPr>
        <w:t xml:space="preserve">Murphy, D., Palmer, E., Westwood, G., Busuttil, W., &amp; Greenberg, N. (2016). Do Alcohol Misuse, Service Utilisation, and Demographic Characteristics Differ between UK Veterans and Members of the General Public Attending an NHS General Hospital? </w:t>
      </w:r>
      <w:r w:rsidRPr="0072226B">
        <w:rPr>
          <w:rFonts w:cs="Times New Roman"/>
          <w:i/>
          <w:iCs/>
        </w:rPr>
        <w:t>Journal of Clinical Medicine</w:t>
      </w:r>
      <w:r w:rsidRPr="0072226B">
        <w:rPr>
          <w:rFonts w:cs="Times New Roman"/>
        </w:rPr>
        <w:t xml:space="preserve">, </w:t>
      </w:r>
      <w:r w:rsidRPr="0072226B">
        <w:rPr>
          <w:rFonts w:cs="Times New Roman"/>
          <w:i/>
          <w:iCs/>
        </w:rPr>
        <w:t>5</w:t>
      </w:r>
      <w:r w:rsidRPr="0072226B">
        <w:rPr>
          <w:rFonts w:cs="Times New Roman"/>
        </w:rPr>
        <w:t>(11). https://doi.org/10.3390/jcm5110095</w:t>
      </w:r>
    </w:p>
    <w:p w14:paraId="5A1E987D" w14:textId="77777777" w:rsidR="0072226B" w:rsidRPr="0072226B" w:rsidRDefault="0072226B" w:rsidP="0072226B">
      <w:pPr>
        <w:pStyle w:val="Bibliography"/>
        <w:rPr>
          <w:rFonts w:cs="Times New Roman"/>
        </w:rPr>
      </w:pPr>
      <w:r w:rsidRPr="0072226B">
        <w:rPr>
          <w:rFonts w:cs="Times New Roman"/>
        </w:rPr>
        <w:t xml:space="preserve">Office for National Statistics. (n.d.). </w:t>
      </w:r>
      <w:r w:rsidRPr="0072226B">
        <w:rPr>
          <w:rFonts w:cs="Times New Roman"/>
          <w:i/>
          <w:iCs/>
        </w:rPr>
        <w:t>NS-SEC</w:t>
      </w:r>
      <w:r w:rsidRPr="0072226B">
        <w:rPr>
          <w:rFonts w:cs="Times New Roman"/>
        </w:rPr>
        <w:t>. The National Statistics Socio-Economic Classification (NS-SEC) - Office for National Statistics. Retrieved 6 March 2018, from https://www.ons.gov.uk/methodology/classificationsandstandards/otherclassifications/thenationalstatisticssocioeconomicclassificationnssecrebasedonsoc2010</w:t>
      </w:r>
    </w:p>
    <w:p w14:paraId="62CCE274" w14:textId="77777777" w:rsidR="0072226B" w:rsidRPr="0072226B" w:rsidRDefault="0072226B" w:rsidP="0072226B">
      <w:pPr>
        <w:pStyle w:val="Bibliography"/>
        <w:rPr>
          <w:rFonts w:cs="Times New Roman"/>
        </w:rPr>
      </w:pPr>
      <w:r w:rsidRPr="0072226B">
        <w:rPr>
          <w:rFonts w:cs="Times New Roman"/>
        </w:rPr>
        <w:t xml:space="preserve">Oster, C., Morello, A., Venning, A., Redpath, P., &amp; Lawn, S. (2017). The health and wellbeing needs of veterans: A rapid review. </w:t>
      </w:r>
      <w:r w:rsidRPr="0072226B">
        <w:rPr>
          <w:rFonts w:cs="Times New Roman"/>
          <w:i/>
          <w:iCs/>
        </w:rPr>
        <w:t>BMC Psychiatry</w:t>
      </w:r>
      <w:r w:rsidRPr="0072226B">
        <w:rPr>
          <w:rFonts w:cs="Times New Roman"/>
        </w:rPr>
        <w:t xml:space="preserve">, </w:t>
      </w:r>
      <w:r w:rsidRPr="0072226B">
        <w:rPr>
          <w:rFonts w:cs="Times New Roman"/>
          <w:i/>
          <w:iCs/>
        </w:rPr>
        <w:t>17</w:t>
      </w:r>
      <w:r w:rsidRPr="0072226B">
        <w:rPr>
          <w:rFonts w:cs="Times New Roman"/>
        </w:rPr>
        <w:t>. https://doi.org/10.1186/s12888-017-1547-0</w:t>
      </w:r>
    </w:p>
    <w:p w14:paraId="69185D52" w14:textId="77777777" w:rsidR="0072226B" w:rsidRPr="0072226B" w:rsidRDefault="0072226B" w:rsidP="0072226B">
      <w:pPr>
        <w:pStyle w:val="Bibliography"/>
        <w:rPr>
          <w:rFonts w:cs="Times New Roman"/>
        </w:rPr>
      </w:pPr>
      <w:r w:rsidRPr="0072226B">
        <w:rPr>
          <w:rFonts w:cs="Times New Roman"/>
        </w:rPr>
        <w:t xml:space="preserve">Ostler, K., Thompson, C., Kinmonth, A.-L. K., Peveler, R. C., Stevens, L., &amp; Stevens, A. (2001). Influence of socio-economic deprivation on the prevalence and outcome of depression in </w:t>
      </w:r>
      <w:r w:rsidRPr="0072226B">
        <w:rPr>
          <w:rFonts w:cs="Times New Roman"/>
        </w:rPr>
        <w:lastRenderedPageBreak/>
        <w:t xml:space="preserve">primary care: The Hampshire Depression Project. </w:t>
      </w:r>
      <w:r w:rsidRPr="0072226B">
        <w:rPr>
          <w:rFonts w:cs="Times New Roman"/>
          <w:i/>
          <w:iCs/>
        </w:rPr>
        <w:t>The British Journal of Psychiatry</w:t>
      </w:r>
      <w:r w:rsidRPr="0072226B">
        <w:rPr>
          <w:rFonts w:cs="Times New Roman"/>
        </w:rPr>
        <w:t xml:space="preserve">, </w:t>
      </w:r>
      <w:r w:rsidRPr="0072226B">
        <w:rPr>
          <w:rFonts w:cs="Times New Roman"/>
          <w:i/>
          <w:iCs/>
        </w:rPr>
        <w:t>178</w:t>
      </w:r>
      <w:r w:rsidRPr="0072226B">
        <w:rPr>
          <w:rFonts w:cs="Times New Roman"/>
        </w:rPr>
        <w:t>(1), 12–17. https://doi.org/10.1192/bjp.178.1.12</w:t>
      </w:r>
    </w:p>
    <w:p w14:paraId="66C1032E" w14:textId="77777777" w:rsidR="0072226B" w:rsidRPr="0072226B" w:rsidRDefault="0072226B" w:rsidP="0072226B">
      <w:pPr>
        <w:pStyle w:val="Bibliography"/>
        <w:rPr>
          <w:rFonts w:cs="Times New Roman"/>
        </w:rPr>
      </w:pPr>
      <w:r w:rsidRPr="0072226B">
        <w:rPr>
          <w:rFonts w:cs="Times New Roman"/>
        </w:rPr>
        <w:t xml:space="preserve">Pole, N., Best, S. R., Weiss, D. S., Metzler, T., Liberman, A. M., Fagan, J., &amp; Marmar, C. R. (2001). Effects of Gender and Ethnicity on Duty-related Posttraumatic Stress Symptoms among Urban Police Officers. </w:t>
      </w:r>
      <w:r w:rsidRPr="0072226B">
        <w:rPr>
          <w:rFonts w:cs="Times New Roman"/>
          <w:i/>
          <w:iCs/>
        </w:rPr>
        <w:t>The Journal of Nervous and Mental Disease</w:t>
      </w:r>
      <w:r w:rsidRPr="0072226B">
        <w:rPr>
          <w:rFonts w:cs="Times New Roman"/>
        </w:rPr>
        <w:t xml:space="preserve">, </w:t>
      </w:r>
      <w:r w:rsidRPr="0072226B">
        <w:rPr>
          <w:rFonts w:cs="Times New Roman"/>
          <w:i/>
          <w:iCs/>
        </w:rPr>
        <w:t>189</w:t>
      </w:r>
      <w:r w:rsidRPr="0072226B">
        <w:rPr>
          <w:rFonts w:cs="Times New Roman"/>
        </w:rPr>
        <w:t>(7), 442–448.</w:t>
      </w:r>
    </w:p>
    <w:p w14:paraId="15A3E73C" w14:textId="77777777" w:rsidR="0072226B" w:rsidRPr="0072226B" w:rsidRDefault="0072226B" w:rsidP="0072226B">
      <w:pPr>
        <w:pStyle w:val="Bibliography"/>
        <w:rPr>
          <w:rFonts w:cs="Times New Roman"/>
        </w:rPr>
      </w:pPr>
      <w:r w:rsidRPr="0072226B">
        <w:rPr>
          <w:rFonts w:cs="Times New Roman"/>
        </w:rPr>
        <w:t xml:space="preserve">Royal British Legion. (2014). </w:t>
      </w:r>
      <w:r w:rsidRPr="0072226B">
        <w:rPr>
          <w:rFonts w:cs="Times New Roman"/>
          <w:i/>
          <w:iCs/>
        </w:rPr>
        <w:t>A UK household survey of the ex-service community</w:t>
      </w:r>
      <w:r w:rsidRPr="0072226B">
        <w:rPr>
          <w:rFonts w:cs="Times New Roman"/>
        </w:rPr>
        <w:t>.</w:t>
      </w:r>
    </w:p>
    <w:p w14:paraId="4BEAB560" w14:textId="77777777" w:rsidR="0072226B" w:rsidRPr="0072226B" w:rsidRDefault="0072226B" w:rsidP="0072226B">
      <w:pPr>
        <w:pStyle w:val="Bibliography"/>
        <w:rPr>
          <w:rFonts w:cs="Times New Roman"/>
        </w:rPr>
      </w:pPr>
      <w:r w:rsidRPr="0072226B">
        <w:rPr>
          <w:rFonts w:cs="Times New Roman"/>
        </w:rPr>
        <w:t xml:space="preserve">Stansfeld, S. A., Rasul, F. R., Head, J., &amp; Singleton, N. (2011). Occupation and mental health in a national UK survey. </w:t>
      </w:r>
      <w:r w:rsidRPr="0072226B">
        <w:rPr>
          <w:rFonts w:cs="Times New Roman"/>
          <w:i/>
          <w:iCs/>
        </w:rPr>
        <w:t>Social Psychiatry and Psychiatric Epidemiology</w:t>
      </w:r>
      <w:r w:rsidRPr="0072226B">
        <w:rPr>
          <w:rFonts w:cs="Times New Roman"/>
        </w:rPr>
        <w:t xml:space="preserve">, </w:t>
      </w:r>
      <w:r w:rsidRPr="0072226B">
        <w:rPr>
          <w:rFonts w:cs="Times New Roman"/>
          <w:i/>
          <w:iCs/>
        </w:rPr>
        <w:t>46</w:t>
      </w:r>
      <w:r w:rsidRPr="0072226B">
        <w:rPr>
          <w:rFonts w:cs="Times New Roman"/>
        </w:rPr>
        <w:t>(2), 101–110. https://doi.org/10.1007/s00127-009-0173-7</w:t>
      </w:r>
    </w:p>
    <w:p w14:paraId="063CEFC8" w14:textId="77777777" w:rsidR="0072226B" w:rsidRPr="0072226B" w:rsidRDefault="0072226B" w:rsidP="0072226B">
      <w:pPr>
        <w:pStyle w:val="Bibliography"/>
        <w:rPr>
          <w:rFonts w:cs="Times New Roman"/>
        </w:rPr>
      </w:pPr>
      <w:r w:rsidRPr="0072226B">
        <w:rPr>
          <w:rFonts w:cs="Times New Roman"/>
        </w:rPr>
        <w:t xml:space="preserve">Stevelink, S., Jones, M., Hull, L., Pernet, D., MacCrimmon, S., Goodwin, L., MacManus, D., Murphy, D., Jones, N., Greenberg, N., Rona, R. J., Fear, N. T., &amp; Wessely, S. (2018). Mental health outcomes at the end of the British involvement in the Iraq and Afghanistan conflicts: A cohort study. </w:t>
      </w:r>
      <w:r w:rsidRPr="0072226B">
        <w:rPr>
          <w:rFonts w:cs="Times New Roman"/>
          <w:i/>
          <w:iCs/>
        </w:rPr>
        <w:t>The British Journal of Psychiatry: The Journal of Mental Science</w:t>
      </w:r>
      <w:r w:rsidRPr="0072226B">
        <w:rPr>
          <w:rFonts w:cs="Times New Roman"/>
        </w:rPr>
        <w:t>, 1–8. https://doi.org/10.1192/bjp.2018.175</w:t>
      </w:r>
    </w:p>
    <w:p w14:paraId="6AC77F34" w14:textId="77777777" w:rsidR="0072226B" w:rsidRPr="0072226B" w:rsidRDefault="0072226B" w:rsidP="0072226B">
      <w:pPr>
        <w:pStyle w:val="Bibliography"/>
        <w:rPr>
          <w:rFonts w:cs="Times New Roman"/>
        </w:rPr>
      </w:pPr>
      <w:r w:rsidRPr="0072226B">
        <w:rPr>
          <w:rFonts w:cs="Times New Roman"/>
        </w:rPr>
        <w:t xml:space="preserve">Stevelink, S., Malcolm, E. M., Mason, C., Jenkins, S., Sundin, J., &amp; Fear, N. T. (2015). The prevalence of mental health disorders in (ex-)military personnel with a physical impairment: A systematic review. </w:t>
      </w:r>
      <w:r w:rsidRPr="0072226B">
        <w:rPr>
          <w:rFonts w:cs="Times New Roman"/>
          <w:i/>
          <w:iCs/>
        </w:rPr>
        <w:t>Occup Environ Med</w:t>
      </w:r>
      <w:r w:rsidRPr="0072226B">
        <w:rPr>
          <w:rFonts w:cs="Times New Roman"/>
        </w:rPr>
        <w:t xml:space="preserve">, </w:t>
      </w:r>
      <w:r w:rsidRPr="0072226B">
        <w:rPr>
          <w:rFonts w:cs="Times New Roman"/>
          <w:i/>
          <w:iCs/>
        </w:rPr>
        <w:t>72</w:t>
      </w:r>
      <w:r w:rsidRPr="0072226B">
        <w:rPr>
          <w:rFonts w:cs="Times New Roman"/>
        </w:rPr>
        <w:t>(4), 243–251. https://doi.org/10.1136/oemed-2014-102207</w:t>
      </w:r>
    </w:p>
    <w:p w14:paraId="0267ECE6" w14:textId="77777777" w:rsidR="0072226B" w:rsidRPr="0072226B" w:rsidRDefault="0072226B" w:rsidP="0072226B">
      <w:pPr>
        <w:pStyle w:val="Bibliography"/>
        <w:rPr>
          <w:rFonts w:cs="Times New Roman"/>
        </w:rPr>
      </w:pPr>
      <w:r w:rsidRPr="0072226B">
        <w:rPr>
          <w:rFonts w:cs="Times New Roman"/>
        </w:rPr>
        <w:t xml:space="preserve">Sundin, J., Herrell, R. K., Hoge, C. W., Fear, N. T., Adler, A. B., Greenberg, N., Riviere, L. A., Thomas, J. L., Wessely, S., &amp; Bliese, P. D. (2014). Mental health outcomes in US and UK military personnel returning from Iraq. </w:t>
      </w:r>
      <w:r w:rsidRPr="0072226B">
        <w:rPr>
          <w:rFonts w:cs="Times New Roman"/>
          <w:i/>
          <w:iCs/>
        </w:rPr>
        <w:t>The British Journal of Psychiatry</w:t>
      </w:r>
      <w:r w:rsidRPr="0072226B">
        <w:rPr>
          <w:rFonts w:cs="Times New Roman"/>
        </w:rPr>
        <w:t xml:space="preserve">, </w:t>
      </w:r>
      <w:r w:rsidRPr="0072226B">
        <w:rPr>
          <w:rFonts w:cs="Times New Roman"/>
          <w:i/>
          <w:iCs/>
        </w:rPr>
        <w:t>204</w:t>
      </w:r>
      <w:r w:rsidRPr="0072226B">
        <w:rPr>
          <w:rFonts w:cs="Times New Roman"/>
        </w:rPr>
        <w:t>(3), 200–207. https://doi.org/10.1192/bjp.bp.113.129569</w:t>
      </w:r>
    </w:p>
    <w:p w14:paraId="67F7E288" w14:textId="77777777" w:rsidR="0072226B" w:rsidRPr="0072226B" w:rsidRDefault="0072226B" w:rsidP="0072226B">
      <w:pPr>
        <w:pStyle w:val="Bibliography"/>
        <w:rPr>
          <w:rFonts w:cs="Times New Roman"/>
        </w:rPr>
      </w:pPr>
      <w:r w:rsidRPr="0072226B">
        <w:rPr>
          <w:rFonts w:cs="Times New Roman"/>
        </w:rPr>
        <w:lastRenderedPageBreak/>
        <w:t xml:space="preserve">Sutker, P. B., Davis, J. M., Uddo, M., &amp; Ditta, S. R. (1995). Assessment of psychological distress in Persian Gulf troops: Ethnicity and gender comparisons. </w:t>
      </w:r>
      <w:r w:rsidRPr="0072226B">
        <w:rPr>
          <w:rFonts w:cs="Times New Roman"/>
          <w:i/>
          <w:iCs/>
        </w:rPr>
        <w:t>Journal of Personality Assessment</w:t>
      </w:r>
      <w:r w:rsidRPr="0072226B">
        <w:rPr>
          <w:rFonts w:cs="Times New Roman"/>
        </w:rPr>
        <w:t xml:space="preserve">, </w:t>
      </w:r>
      <w:r w:rsidRPr="0072226B">
        <w:rPr>
          <w:rFonts w:cs="Times New Roman"/>
          <w:i/>
          <w:iCs/>
        </w:rPr>
        <w:t>64</w:t>
      </w:r>
      <w:r w:rsidRPr="0072226B">
        <w:rPr>
          <w:rFonts w:cs="Times New Roman"/>
        </w:rPr>
        <w:t>(3), 415–427. https://doi.org/10.1207/s15327752jpa6403_2</w:t>
      </w:r>
    </w:p>
    <w:p w14:paraId="2BBA7757" w14:textId="77777777" w:rsidR="0072226B" w:rsidRPr="0072226B" w:rsidRDefault="0072226B" w:rsidP="0072226B">
      <w:pPr>
        <w:pStyle w:val="Bibliography"/>
        <w:rPr>
          <w:rFonts w:cs="Times New Roman"/>
        </w:rPr>
      </w:pPr>
      <w:r w:rsidRPr="0072226B">
        <w:rPr>
          <w:rFonts w:cs="Times New Roman"/>
        </w:rPr>
        <w:t xml:space="preserve">Taylor, C. (2011). </w:t>
      </w:r>
      <w:r w:rsidRPr="0072226B">
        <w:rPr>
          <w:rFonts w:cs="Times New Roman"/>
          <w:i/>
          <w:iCs/>
        </w:rPr>
        <w:t>Armed Forces Covenant</w:t>
      </w:r>
      <w:r w:rsidRPr="0072226B">
        <w:rPr>
          <w:rFonts w:cs="Times New Roman"/>
        </w:rPr>
        <w:t>. Standard note SN/IA/5979. London: Government Publication.</w:t>
      </w:r>
    </w:p>
    <w:p w14:paraId="2B811FB8" w14:textId="77777777" w:rsidR="0072226B" w:rsidRPr="0072226B" w:rsidRDefault="0072226B" w:rsidP="0072226B">
      <w:pPr>
        <w:pStyle w:val="Bibliography"/>
        <w:rPr>
          <w:rFonts w:cs="Times New Roman"/>
        </w:rPr>
      </w:pPr>
      <w:r w:rsidRPr="0072226B">
        <w:rPr>
          <w:rFonts w:cs="Times New Roman"/>
        </w:rPr>
        <w:t xml:space="preserve">Taylor, S., Koch, W. J., Kuch, K., Crockett, D. J., &amp; Passey, G. (1998). The structure of posttraumatic stress symptoms. </w:t>
      </w:r>
      <w:r w:rsidRPr="0072226B">
        <w:rPr>
          <w:rFonts w:cs="Times New Roman"/>
          <w:i/>
          <w:iCs/>
        </w:rPr>
        <w:t>Journal of Abnormal Psychology</w:t>
      </w:r>
      <w:r w:rsidRPr="0072226B">
        <w:rPr>
          <w:rFonts w:cs="Times New Roman"/>
        </w:rPr>
        <w:t xml:space="preserve">, </w:t>
      </w:r>
      <w:r w:rsidRPr="0072226B">
        <w:rPr>
          <w:rFonts w:cs="Times New Roman"/>
          <w:i/>
          <w:iCs/>
        </w:rPr>
        <w:t>107</w:t>
      </w:r>
      <w:r w:rsidRPr="0072226B">
        <w:rPr>
          <w:rFonts w:cs="Times New Roman"/>
        </w:rPr>
        <w:t>(1), 154–160. Scopus. https://doi.org/10.1037/0021-843X.107.1.154</w:t>
      </w:r>
    </w:p>
    <w:p w14:paraId="13AAAAE4" w14:textId="77777777" w:rsidR="0072226B" w:rsidRPr="0072226B" w:rsidRDefault="0072226B" w:rsidP="0072226B">
      <w:pPr>
        <w:pStyle w:val="Bibliography"/>
        <w:rPr>
          <w:rFonts w:cs="Times New Roman"/>
        </w:rPr>
      </w:pPr>
      <w:r w:rsidRPr="0072226B">
        <w:rPr>
          <w:rFonts w:cs="Times New Roman"/>
        </w:rPr>
        <w:t xml:space="preserve">Thandi, G., Sundin, J., Ng-Knight, T., Jones, M., Hull, L., Jones, N., Greenberg, N., Rona, R. J., Wessely, S., &amp; Fear, N. T. (2015). Alcohol misuse in the United Kingdom Armed Forces: A longitudinal study. </w:t>
      </w:r>
      <w:r w:rsidRPr="0072226B">
        <w:rPr>
          <w:rFonts w:cs="Times New Roman"/>
          <w:i/>
          <w:iCs/>
        </w:rPr>
        <w:t>Drug and Alcohol Dependence</w:t>
      </w:r>
      <w:r w:rsidRPr="0072226B">
        <w:rPr>
          <w:rFonts w:cs="Times New Roman"/>
        </w:rPr>
        <w:t xml:space="preserve">, </w:t>
      </w:r>
      <w:r w:rsidRPr="0072226B">
        <w:rPr>
          <w:rFonts w:cs="Times New Roman"/>
          <w:i/>
          <w:iCs/>
        </w:rPr>
        <w:t>156</w:t>
      </w:r>
      <w:r w:rsidRPr="0072226B">
        <w:rPr>
          <w:rFonts w:cs="Times New Roman"/>
        </w:rPr>
        <w:t>, 78–83. https://doi.org/10.1016/j.drugalcdep.2015.08.033</w:t>
      </w:r>
    </w:p>
    <w:p w14:paraId="156AA687" w14:textId="77777777" w:rsidR="0072226B" w:rsidRPr="0072226B" w:rsidRDefault="0072226B" w:rsidP="0072226B">
      <w:pPr>
        <w:pStyle w:val="Bibliography"/>
        <w:rPr>
          <w:rFonts w:cs="Times New Roman"/>
        </w:rPr>
      </w:pPr>
      <w:r w:rsidRPr="0072226B">
        <w:rPr>
          <w:rFonts w:cs="Times New Roman"/>
        </w:rPr>
        <w:t xml:space="preserve">Vasterling, J. J., Proctor, S. P., Friedman, M. J., Hoge, C. W., Heeren, T., King, L. A., &amp; King, D. W. (2010). PTSD symptom increases in Iraq-deployed soldiers: Comparison with nondeployed soldiers and associations with baseline symptoms, deployment experiences, and postdeployment stress. </w:t>
      </w:r>
      <w:r w:rsidRPr="0072226B">
        <w:rPr>
          <w:rFonts w:cs="Times New Roman"/>
          <w:i/>
          <w:iCs/>
        </w:rPr>
        <w:t>Journal of Traumatic Stress</w:t>
      </w:r>
      <w:r w:rsidRPr="0072226B">
        <w:rPr>
          <w:rFonts w:cs="Times New Roman"/>
        </w:rPr>
        <w:t xml:space="preserve">, </w:t>
      </w:r>
      <w:r w:rsidRPr="0072226B">
        <w:rPr>
          <w:rFonts w:cs="Times New Roman"/>
          <w:i/>
          <w:iCs/>
        </w:rPr>
        <w:t>23</w:t>
      </w:r>
      <w:r w:rsidRPr="0072226B">
        <w:rPr>
          <w:rFonts w:cs="Times New Roman"/>
        </w:rPr>
        <w:t>(1), 41–51. https://doi.org/10.1002/jts.20487</w:t>
      </w:r>
    </w:p>
    <w:p w14:paraId="37833746" w14:textId="77777777" w:rsidR="0072226B" w:rsidRPr="0072226B" w:rsidRDefault="0072226B" w:rsidP="0072226B">
      <w:pPr>
        <w:pStyle w:val="Bibliography"/>
        <w:rPr>
          <w:rFonts w:cs="Times New Roman"/>
        </w:rPr>
      </w:pPr>
      <w:r w:rsidRPr="0072226B">
        <w:rPr>
          <w:rFonts w:cs="Times New Roman"/>
        </w:rPr>
        <w:t xml:space="preserve">Weathers, F. W., Litz, B. T., Herman, D., Huska, J., &amp; Keane, T. (1994). The PTSD checklist-civilian version (PCL-C). </w:t>
      </w:r>
      <w:r w:rsidRPr="0072226B">
        <w:rPr>
          <w:rFonts w:cs="Times New Roman"/>
          <w:i/>
          <w:iCs/>
        </w:rPr>
        <w:t>Boston, MA: National Center for PTSD</w:t>
      </w:r>
      <w:r w:rsidRPr="0072226B">
        <w:rPr>
          <w:rFonts w:cs="Times New Roman"/>
        </w:rPr>
        <w:t>.</w:t>
      </w:r>
    </w:p>
    <w:p w14:paraId="3FEC550B" w14:textId="77777777" w:rsidR="0072226B" w:rsidRPr="0072226B" w:rsidRDefault="0072226B" w:rsidP="0072226B">
      <w:pPr>
        <w:pStyle w:val="Bibliography"/>
        <w:rPr>
          <w:rFonts w:cs="Times New Roman"/>
        </w:rPr>
      </w:pPr>
      <w:r w:rsidRPr="0072226B">
        <w:rPr>
          <w:rFonts w:cs="Times New Roman"/>
        </w:rPr>
        <w:t xml:space="preserve">Wilkins, K. C., Lang, A. J., &amp; Norman, S. B. (2011). Synthesis of the psychometric properties of the PTSD checklist (PCL) military, civilian, and specific versions. </w:t>
      </w:r>
      <w:r w:rsidRPr="0072226B">
        <w:rPr>
          <w:rFonts w:cs="Times New Roman"/>
          <w:i/>
          <w:iCs/>
        </w:rPr>
        <w:t>Depression and Anxiety</w:t>
      </w:r>
      <w:r w:rsidRPr="0072226B">
        <w:rPr>
          <w:rFonts w:cs="Times New Roman"/>
        </w:rPr>
        <w:t xml:space="preserve">, </w:t>
      </w:r>
      <w:r w:rsidRPr="0072226B">
        <w:rPr>
          <w:rFonts w:cs="Times New Roman"/>
          <w:i/>
          <w:iCs/>
        </w:rPr>
        <w:t>28</w:t>
      </w:r>
      <w:r w:rsidRPr="0072226B">
        <w:rPr>
          <w:rFonts w:cs="Times New Roman"/>
        </w:rPr>
        <w:t>(7), 596–606. https://doi.org/10.1002/da.20837</w:t>
      </w:r>
    </w:p>
    <w:p w14:paraId="68874DF3" w14:textId="77777777" w:rsidR="0072226B" w:rsidRPr="0072226B" w:rsidRDefault="0072226B" w:rsidP="0072226B">
      <w:pPr>
        <w:pStyle w:val="Bibliography"/>
        <w:rPr>
          <w:rFonts w:cs="Times New Roman"/>
        </w:rPr>
      </w:pPr>
      <w:r w:rsidRPr="0072226B">
        <w:rPr>
          <w:rFonts w:cs="Times New Roman"/>
        </w:rPr>
        <w:t xml:space="preserve">Woodhead, C., Rona, R. J., Iversen, A. C., MacManus, D., Hotopf, M., Dean, K., McManus, S., Meltzer, H., Brugha, T., Jenkins, R., Wessely, S., &amp; Fear, N. T. (2011a). Health of national </w:t>
      </w:r>
      <w:r w:rsidRPr="0072226B">
        <w:rPr>
          <w:rFonts w:cs="Times New Roman"/>
        </w:rPr>
        <w:lastRenderedPageBreak/>
        <w:t xml:space="preserve">service veterans: An analysis of a community-based sample using data from the 2007 Adult Psychiatric Morbidity Survey of England. </w:t>
      </w:r>
      <w:r w:rsidRPr="0072226B">
        <w:rPr>
          <w:rFonts w:cs="Times New Roman"/>
          <w:i/>
          <w:iCs/>
        </w:rPr>
        <w:t>Social Psychiatry and Psychiatric Epidemiology</w:t>
      </w:r>
      <w:r w:rsidRPr="0072226B">
        <w:rPr>
          <w:rFonts w:cs="Times New Roman"/>
        </w:rPr>
        <w:t xml:space="preserve">, </w:t>
      </w:r>
      <w:r w:rsidRPr="0072226B">
        <w:rPr>
          <w:rFonts w:cs="Times New Roman"/>
          <w:i/>
          <w:iCs/>
        </w:rPr>
        <w:t>46</w:t>
      </w:r>
      <w:r w:rsidRPr="0072226B">
        <w:rPr>
          <w:rFonts w:cs="Times New Roman"/>
        </w:rPr>
        <w:t>(7), 559–566. https://doi.org/10.1007/s00127-010-0232-0</w:t>
      </w:r>
    </w:p>
    <w:p w14:paraId="29C66401" w14:textId="77777777" w:rsidR="0072226B" w:rsidRPr="0072226B" w:rsidRDefault="0072226B" w:rsidP="0072226B">
      <w:pPr>
        <w:pStyle w:val="Bibliography"/>
        <w:rPr>
          <w:rFonts w:cs="Times New Roman"/>
        </w:rPr>
      </w:pPr>
      <w:r w:rsidRPr="0072226B">
        <w:rPr>
          <w:rFonts w:cs="Times New Roman"/>
        </w:rPr>
        <w:t xml:space="preserve">Woodhead, C., Rona, R. J., Iversen, A., MacManus, D., Hotopf, M., Dean, K., McManus, S., Meltzer, H., Brugha, T., Jenkins, R., Wessely, S., &amp; Fear, N. T. (2011b). Mental health and health service use among post-national service veterans: Results from the 2007 Adult Psychiatric Morbidity Survey of England. </w:t>
      </w:r>
      <w:r w:rsidRPr="0072226B">
        <w:rPr>
          <w:rFonts w:cs="Times New Roman"/>
          <w:i/>
          <w:iCs/>
        </w:rPr>
        <w:t>Psychological Medicine</w:t>
      </w:r>
      <w:r w:rsidRPr="0072226B">
        <w:rPr>
          <w:rFonts w:cs="Times New Roman"/>
        </w:rPr>
        <w:t xml:space="preserve">, </w:t>
      </w:r>
      <w:r w:rsidRPr="0072226B">
        <w:rPr>
          <w:rFonts w:cs="Times New Roman"/>
          <w:i/>
          <w:iCs/>
        </w:rPr>
        <w:t>41</w:t>
      </w:r>
      <w:r w:rsidRPr="0072226B">
        <w:rPr>
          <w:rFonts w:cs="Times New Roman"/>
        </w:rPr>
        <w:t>(2), 363–372. https://doi.org/10.1017/S0033291710000759</w:t>
      </w:r>
    </w:p>
    <w:p w14:paraId="59D92884" w14:textId="3AD74CCE" w:rsidR="001D4711" w:rsidRPr="001D4711" w:rsidRDefault="001D4711" w:rsidP="001D4711">
      <w:r w:rsidRPr="00D66683">
        <w:rPr>
          <w:sz w:val="20"/>
          <w:szCs w:val="20"/>
        </w:rPr>
        <w:fldChar w:fldCharType="end"/>
      </w:r>
    </w:p>
    <w:sectPr w:rsidR="001D4711" w:rsidRPr="001D4711" w:rsidSect="007A663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012A7" w14:textId="77777777" w:rsidR="00C7511B" w:rsidRDefault="00C7511B" w:rsidP="00694C4E">
      <w:pPr>
        <w:spacing w:before="0" w:after="0"/>
      </w:pPr>
      <w:r>
        <w:separator/>
      </w:r>
    </w:p>
  </w:endnote>
  <w:endnote w:type="continuationSeparator" w:id="0">
    <w:p w14:paraId="6F5F0D46" w14:textId="77777777" w:rsidR="00C7511B" w:rsidRDefault="00C7511B" w:rsidP="00694C4E">
      <w:pPr>
        <w:spacing w:before="0" w:after="0"/>
      </w:pPr>
      <w:r>
        <w:continuationSeparator/>
      </w:r>
    </w:p>
  </w:endnote>
  <w:endnote w:type="continuationNotice" w:id="1">
    <w:p w14:paraId="3E2B50FB" w14:textId="77777777" w:rsidR="00C7511B" w:rsidRDefault="00C751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998602"/>
      <w:docPartObj>
        <w:docPartGallery w:val="Page Numbers (Bottom of Page)"/>
        <w:docPartUnique/>
      </w:docPartObj>
    </w:sdtPr>
    <w:sdtEndPr>
      <w:rPr>
        <w:noProof/>
      </w:rPr>
    </w:sdtEndPr>
    <w:sdtContent>
      <w:p w14:paraId="72E37660" w14:textId="07CA6EA0" w:rsidR="00E165ED" w:rsidRDefault="00E165ED">
        <w:pPr>
          <w:pStyle w:val="Header"/>
          <w:jc w:val="right"/>
        </w:pPr>
        <w:r>
          <w:fldChar w:fldCharType="begin"/>
        </w:r>
        <w:r>
          <w:instrText xml:space="preserve"> PAGE   \* MERGEFORMAT </w:instrText>
        </w:r>
        <w:r>
          <w:fldChar w:fldCharType="separate"/>
        </w:r>
        <w:r w:rsidR="002003E4">
          <w:rPr>
            <w:noProof/>
          </w:rPr>
          <w:t>21</w:t>
        </w:r>
        <w:r>
          <w:rPr>
            <w:noProof/>
          </w:rPr>
          <w:fldChar w:fldCharType="end"/>
        </w:r>
      </w:p>
    </w:sdtContent>
  </w:sdt>
  <w:p w14:paraId="00B8796D" w14:textId="77777777" w:rsidR="00E165ED" w:rsidRDefault="00E165ED">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0A43C" w14:textId="77777777" w:rsidR="00C7511B" w:rsidRDefault="00C7511B" w:rsidP="00694C4E">
      <w:pPr>
        <w:spacing w:before="0" w:after="0"/>
      </w:pPr>
      <w:r>
        <w:separator/>
      </w:r>
    </w:p>
  </w:footnote>
  <w:footnote w:type="continuationSeparator" w:id="0">
    <w:p w14:paraId="574BB318" w14:textId="77777777" w:rsidR="00C7511B" w:rsidRDefault="00C7511B" w:rsidP="00694C4E">
      <w:pPr>
        <w:spacing w:before="0" w:after="0"/>
      </w:pPr>
      <w:r>
        <w:continuationSeparator/>
      </w:r>
    </w:p>
  </w:footnote>
  <w:footnote w:type="continuationNotice" w:id="1">
    <w:p w14:paraId="5F1F0C45" w14:textId="77777777" w:rsidR="00C7511B" w:rsidRDefault="00C7511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46C7" w14:textId="77777777" w:rsidR="00E165ED" w:rsidRDefault="00E16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7F37"/>
    <w:multiLevelType w:val="hybridMultilevel"/>
    <w:tmpl w:val="4FF245F0"/>
    <w:lvl w:ilvl="0" w:tplc="748CA69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21D99"/>
    <w:multiLevelType w:val="hybridMultilevel"/>
    <w:tmpl w:val="54B2A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A5DDA"/>
    <w:multiLevelType w:val="hybridMultilevel"/>
    <w:tmpl w:val="B512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71DCB"/>
    <w:multiLevelType w:val="hybridMultilevel"/>
    <w:tmpl w:val="59E64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D506B"/>
    <w:multiLevelType w:val="hybridMultilevel"/>
    <w:tmpl w:val="A7002F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1169C"/>
    <w:multiLevelType w:val="hybridMultilevel"/>
    <w:tmpl w:val="15DAD42E"/>
    <w:lvl w:ilvl="0" w:tplc="F33E2440">
      <w:start w:val="1"/>
      <w:numFmt w:val="decimal"/>
      <w:lvlText w:val="%1."/>
      <w:lvlJc w:val="left"/>
      <w:pPr>
        <w:ind w:left="510" w:hanging="51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30"/>
    <w:multiLevelType w:val="hybridMultilevel"/>
    <w:tmpl w:val="DE004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F1462"/>
    <w:multiLevelType w:val="hybridMultilevel"/>
    <w:tmpl w:val="367E0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B3ED3"/>
    <w:multiLevelType w:val="hybridMultilevel"/>
    <w:tmpl w:val="EC0C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91823"/>
    <w:multiLevelType w:val="hybridMultilevel"/>
    <w:tmpl w:val="3588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D2D60"/>
    <w:multiLevelType w:val="hybridMultilevel"/>
    <w:tmpl w:val="677CA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218A8"/>
    <w:multiLevelType w:val="hybridMultilevel"/>
    <w:tmpl w:val="AE4070EE"/>
    <w:lvl w:ilvl="0" w:tplc="08090011">
      <w:start w:val="1"/>
      <w:numFmt w:val="decimal"/>
      <w:lvlText w:val="%1)"/>
      <w:lvlJc w:val="left"/>
      <w:pPr>
        <w:ind w:left="720" w:hanging="360"/>
      </w:pPr>
    </w:lvl>
    <w:lvl w:ilvl="1" w:tplc="83783A16">
      <w:start w:val="9"/>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87153"/>
    <w:multiLevelType w:val="hybridMultilevel"/>
    <w:tmpl w:val="A4F02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71F48"/>
    <w:multiLevelType w:val="hybridMultilevel"/>
    <w:tmpl w:val="645C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F42F3"/>
    <w:multiLevelType w:val="hybridMultilevel"/>
    <w:tmpl w:val="2D9628F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CA2E51"/>
    <w:multiLevelType w:val="hybridMultilevel"/>
    <w:tmpl w:val="79A4F69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2D28010F"/>
    <w:multiLevelType w:val="hybridMultilevel"/>
    <w:tmpl w:val="82EE5DC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1E1CF0"/>
    <w:multiLevelType w:val="hybridMultilevel"/>
    <w:tmpl w:val="BD38A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94BBB"/>
    <w:multiLevelType w:val="hybridMultilevel"/>
    <w:tmpl w:val="91E232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93A63"/>
    <w:multiLevelType w:val="hybridMultilevel"/>
    <w:tmpl w:val="35E84CE4"/>
    <w:lvl w:ilvl="0" w:tplc="83783A16">
      <w:start w:val="9"/>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4A6DB7"/>
    <w:multiLevelType w:val="hybridMultilevel"/>
    <w:tmpl w:val="C206E282"/>
    <w:lvl w:ilvl="0" w:tplc="83783A16">
      <w:start w:val="9"/>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963592"/>
    <w:multiLevelType w:val="hybridMultilevel"/>
    <w:tmpl w:val="E64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CF40AB"/>
    <w:multiLevelType w:val="hybridMultilevel"/>
    <w:tmpl w:val="3422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77E09"/>
    <w:multiLevelType w:val="hybridMultilevel"/>
    <w:tmpl w:val="CA3AC4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8006CA"/>
    <w:multiLevelType w:val="hybridMultilevel"/>
    <w:tmpl w:val="22B25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394B1B"/>
    <w:multiLevelType w:val="hybridMultilevel"/>
    <w:tmpl w:val="036A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8F6512"/>
    <w:multiLevelType w:val="hybridMultilevel"/>
    <w:tmpl w:val="700AA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BB61E5"/>
    <w:multiLevelType w:val="hybridMultilevel"/>
    <w:tmpl w:val="B060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0158C"/>
    <w:multiLevelType w:val="hybridMultilevel"/>
    <w:tmpl w:val="9CF6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E37BA9"/>
    <w:multiLevelType w:val="hybridMultilevel"/>
    <w:tmpl w:val="CA7A2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9D695A"/>
    <w:multiLevelType w:val="hybridMultilevel"/>
    <w:tmpl w:val="D8DC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D561F"/>
    <w:multiLevelType w:val="hybridMultilevel"/>
    <w:tmpl w:val="85AA3A80"/>
    <w:lvl w:ilvl="0" w:tplc="F33E2440">
      <w:start w:val="1"/>
      <w:numFmt w:val="decimal"/>
      <w:lvlText w:val="%1."/>
      <w:lvlJc w:val="left"/>
      <w:pPr>
        <w:ind w:left="510" w:hanging="51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805D50"/>
    <w:multiLevelType w:val="hybridMultilevel"/>
    <w:tmpl w:val="30E8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
  </w:num>
  <w:num w:numId="4">
    <w:abstractNumId w:val="22"/>
  </w:num>
  <w:num w:numId="5">
    <w:abstractNumId w:val="23"/>
  </w:num>
  <w:num w:numId="6">
    <w:abstractNumId w:val="11"/>
  </w:num>
  <w:num w:numId="7">
    <w:abstractNumId w:val="28"/>
  </w:num>
  <w:num w:numId="8">
    <w:abstractNumId w:val="21"/>
  </w:num>
  <w:num w:numId="9">
    <w:abstractNumId w:val="12"/>
  </w:num>
  <w:num w:numId="10">
    <w:abstractNumId w:val="25"/>
  </w:num>
  <w:num w:numId="11">
    <w:abstractNumId w:val="6"/>
  </w:num>
  <w:num w:numId="12">
    <w:abstractNumId w:val="1"/>
  </w:num>
  <w:num w:numId="13">
    <w:abstractNumId w:val="2"/>
  </w:num>
  <w:num w:numId="14">
    <w:abstractNumId w:val="17"/>
  </w:num>
  <w:num w:numId="15">
    <w:abstractNumId w:val="24"/>
  </w:num>
  <w:num w:numId="16">
    <w:abstractNumId w:val="10"/>
  </w:num>
  <w:num w:numId="17">
    <w:abstractNumId w:val="20"/>
  </w:num>
  <w:num w:numId="18">
    <w:abstractNumId w:val="19"/>
  </w:num>
  <w:num w:numId="19">
    <w:abstractNumId w:val="26"/>
  </w:num>
  <w:num w:numId="20">
    <w:abstractNumId w:val="3"/>
  </w:num>
  <w:num w:numId="21">
    <w:abstractNumId w:val="13"/>
  </w:num>
  <w:num w:numId="22">
    <w:abstractNumId w:val="30"/>
  </w:num>
  <w:num w:numId="23">
    <w:abstractNumId w:val="8"/>
  </w:num>
  <w:num w:numId="24">
    <w:abstractNumId w:val="27"/>
  </w:num>
  <w:num w:numId="25">
    <w:abstractNumId w:val="9"/>
  </w:num>
  <w:num w:numId="26">
    <w:abstractNumId w:val="7"/>
  </w:num>
  <w:num w:numId="27">
    <w:abstractNumId w:val="16"/>
  </w:num>
  <w:num w:numId="28">
    <w:abstractNumId w:val="29"/>
  </w:num>
  <w:num w:numId="29">
    <w:abstractNumId w:val="32"/>
  </w:num>
  <w:num w:numId="30">
    <w:abstractNumId w:val="31"/>
  </w:num>
  <w:num w:numId="31">
    <w:abstractNumId w:val="0"/>
  </w:num>
  <w:num w:numId="32">
    <w:abstractNumId w:val="5"/>
  </w:num>
  <w:num w:numId="3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D8B"/>
    <w:rsid w:val="00000635"/>
    <w:rsid w:val="000016BD"/>
    <w:rsid w:val="00003937"/>
    <w:rsid w:val="00004286"/>
    <w:rsid w:val="00004D62"/>
    <w:rsid w:val="00006ADE"/>
    <w:rsid w:val="00006BBB"/>
    <w:rsid w:val="00007A55"/>
    <w:rsid w:val="00010162"/>
    <w:rsid w:val="000106E0"/>
    <w:rsid w:val="00010AC6"/>
    <w:rsid w:val="00011665"/>
    <w:rsid w:val="00011B50"/>
    <w:rsid w:val="00011F9C"/>
    <w:rsid w:val="00013069"/>
    <w:rsid w:val="000132AC"/>
    <w:rsid w:val="000140A2"/>
    <w:rsid w:val="00014F78"/>
    <w:rsid w:val="000170A3"/>
    <w:rsid w:val="0001782E"/>
    <w:rsid w:val="00017A45"/>
    <w:rsid w:val="00017C46"/>
    <w:rsid w:val="00020DAB"/>
    <w:rsid w:val="00021053"/>
    <w:rsid w:val="0002164C"/>
    <w:rsid w:val="000227CD"/>
    <w:rsid w:val="00022BC6"/>
    <w:rsid w:val="00023C8A"/>
    <w:rsid w:val="00024BD7"/>
    <w:rsid w:val="0002536F"/>
    <w:rsid w:val="00026085"/>
    <w:rsid w:val="00026307"/>
    <w:rsid w:val="00027877"/>
    <w:rsid w:val="0002798A"/>
    <w:rsid w:val="0003041C"/>
    <w:rsid w:val="000304C0"/>
    <w:rsid w:val="00031AD3"/>
    <w:rsid w:val="00033B20"/>
    <w:rsid w:val="00033D12"/>
    <w:rsid w:val="000348D8"/>
    <w:rsid w:val="00035563"/>
    <w:rsid w:val="0003559B"/>
    <w:rsid w:val="00037809"/>
    <w:rsid w:val="00040465"/>
    <w:rsid w:val="00040803"/>
    <w:rsid w:val="00041639"/>
    <w:rsid w:val="0004168A"/>
    <w:rsid w:val="00041B28"/>
    <w:rsid w:val="00041D76"/>
    <w:rsid w:val="000421CE"/>
    <w:rsid w:val="00042A43"/>
    <w:rsid w:val="00043180"/>
    <w:rsid w:val="00044798"/>
    <w:rsid w:val="000452C0"/>
    <w:rsid w:val="00045434"/>
    <w:rsid w:val="00047EE1"/>
    <w:rsid w:val="0005104E"/>
    <w:rsid w:val="000510FC"/>
    <w:rsid w:val="00051E65"/>
    <w:rsid w:val="000524EC"/>
    <w:rsid w:val="00052687"/>
    <w:rsid w:val="000528AF"/>
    <w:rsid w:val="00052C13"/>
    <w:rsid w:val="00053303"/>
    <w:rsid w:val="00054A72"/>
    <w:rsid w:val="00055A18"/>
    <w:rsid w:val="00056A2B"/>
    <w:rsid w:val="00056AAC"/>
    <w:rsid w:val="0006052D"/>
    <w:rsid w:val="000609C2"/>
    <w:rsid w:val="00060F8E"/>
    <w:rsid w:val="00061967"/>
    <w:rsid w:val="00062518"/>
    <w:rsid w:val="00063136"/>
    <w:rsid w:val="00063D0B"/>
    <w:rsid w:val="00064C93"/>
    <w:rsid w:val="000651BD"/>
    <w:rsid w:val="000653DE"/>
    <w:rsid w:val="00066582"/>
    <w:rsid w:val="00067137"/>
    <w:rsid w:val="000673BB"/>
    <w:rsid w:val="00070418"/>
    <w:rsid w:val="00070E62"/>
    <w:rsid w:val="00071E13"/>
    <w:rsid w:val="000724D4"/>
    <w:rsid w:val="0007254E"/>
    <w:rsid w:val="00073458"/>
    <w:rsid w:val="00073A9E"/>
    <w:rsid w:val="00074411"/>
    <w:rsid w:val="00074C74"/>
    <w:rsid w:val="0007596F"/>
    <w:rsid w:val="00075A9F"/>
    <w:rsid w:val="00075BFD"/>
    <w:rsid w:val="00075F5D"/>
    <w:rsid w:val="000767D5"/>
    <w:rsid w:val="00077021"/>
    <w:rsid w:val="000771A0"/>
    <w:rsid w:val="00080800"/>
    <w:rsid w:val="000814F5"/>
    <w:rsid w:val="00081AF4"/>
    <w:rsid w:val="00082A71"/>
    <w:rsid w:val="00082C19"/>
    <w:rsid w:val="000834DE"/>
    <w:rsid w:val="000851AE"/>
    <w:rsid w:val="0008556D"/>
    <w:rsid w:val="0008628C"/>
    <w:rsid w:val="00086B43"/>
    <w:rsid w:val="000916AC"/>
    <w:rsid w:val="00091E64"/>
    <w:rsid w:val="0009232F"/>
    <w:rsid w:val="00092F06"/>
    <w:rsid w:val="00093815"/>
    <w:rsid w:val="0009396E"/>
    <w:rsid w:val="00093CB5"/>
    <w:rsid w:val="00094869"/>
    <w:rsid w:val="00094E6D"/>
    <w:rsid w:val="00096A6A"/>
    <w:rsid w:val="0009758B"/>
    <w:rsid w:val="00097B15"/>
    <w:rsid w:val="000A01CF"/>
    <w:rsid w:val="000A062B"/>
    <w:rsid w:val="000A096E"/>
    <w:rsid w:val="000A11AE"/>
    <w:rsid w:val="000A229D"/>
    <w:rsid w:val="000A27F8"/>
    <w:rsid w:val="000A33E3"/>
    <w:rsid w:val="000A346C"/>
    <w:rsid w:val="000A3BFB"/>
    <w:rsid w:val="000A5333"/>
    <w:rsid w:val="000A53B4"/>
    <w:rsid w:val="000A6096"/>
    <w:rsid w:val="000A6876"/>
    <w:rsid w:val="000A6DB9"/>
    <w:rsid w:val="000A747A"/>
    <w:rsid w:val="000B0B48"/>
    <w:rsid w:val="000B22E9"/>
    <w:rsid w:val="000B2E42"/>
    <w:rsid w:val="000B2F08"/>
    <w:rsid w:val="000B2FA4"/>
    <w:rsid w:val="000B41B3"/>
    <w:rsid w:val="000C0B07"/>
    <w:rsid w:val="000C0E44"/>
    <w:rsid w:val="000C126B"/>
    <w:rsid w:val="000C1709"/>
    <w:rsid w:val="000C2647"/>
    <w:rsid w:val="000C3DC2"/>
    <w:rsid w:val="000C4A61"/>
    <w:rsid w:val="000C6DE2"/>
    <w:rsid w:val="000C6EED"/>
    <w:rsid w:val="000C7D08"/>
    <w:rsid w:val="000D096D"/>
    <w:rsid w:val="000D0A10"/>
    <w:rsid w:val="000D163B"/>
    <w:rsid w:val="000D3080"/>
    <w:rsid w:val="000D3D05"/>
    <w:rsid w:val="000D4C86"/>
    <w:rsid w:val="000D4E29"/>
    <w:rsid w:val="000D558A"/>
    <w:rsid w:val="000E0BB6"/>
    <w:rsid w:val="000E12BC"/>
    <w:rsid w:val="000E30CA"/>
    <w:rsid w:val="000E449F"/>
    <w:rsid w:val="000E56A1"/>
    <w:rsid w:val="000E58D0"/>
    <w:rsid w:val="000E6374"/>
    <w:rsid w:val="000E6725"/>
    <w:rsid w:val="000F093F"/>
    <w:rsid w:val="000F153D"/>
    <w:rsid w:val="000F1BB8"/>
    <w:rsid w:val="000F2C02"/>
    <w:rsid w:val="000F2D18"/>
    <w:rsid w:val="000F2D99"/>
    <w:rsid w:val="000F33A2"/>
    <w:rsid w:val="000F3473"/>
    <w:rsid w:val="000F3516"/>
    <w:rsid w:val="000F3F06"/>
    <w:rsid w:val="000F3FB8"/>
    <w:rsid w:val="000F3FE5"/>
    <w:rsid w:val="000F4A4C"/>
    <w:rsid w:val="000F5C04"/>
    <w:rsid w:val="000F5E27"/>
    <w:rsid w:val="000F64EE"/>
    <w:rsid w:val="000F6646"/>
    <w:rsid w:val="000F6DAD"/>
    <w:rsid w:val="000F7181"/>
    <w:rsid w:val="000F774A"/>
    <w:rsid w:val="000F7D72"/>
    <w:rsid w:val="0010037C"/>
    <w:rsid w:val="0010048B"/>
    <w:rsid w:val="00101DB3"/>
    <w:rsid w:val="00102EEB"/>
    <w:rsid w:val="001034A4"/>
    <w:rsid w:val="001037D1"/>
    <w:rsid w:val="001041AB"/>
    <w:rsid w:val="00105579"/>
    <w:rsid w:val="001056C5"/>
    <w:rsid w:val="00105F55"/>
    <w:rsid w:val="00110ED2"/>
    <w:rsid w:val="00110F52"/>
    <w:rsid w:val="0011186B"/>
    <w:rsid w:val="001121FC"/>
    <w:rsid w:val="00112E49"/>
    <w:rsid w:val="00113753"/>
    <w:rsid w:val="00113A15"/>
    <w:rsid w:val="00114770"/>
    <w:rsid w:val="00114EAE"/>
    <w:rsid w:val="00114FF3"/>
    <w:rsid w:val="001153A8"/>
    <w:rsid w:val="001159F3"/>
    <w:rsid w:val="0011657F"/>
    <w:rsid w:val="0011744B"/>
    <w:rsid w:val="0012009A"/>
    <w:rsid w:val="0012055B"/>
    <w:rsid w:val="00120C8F"/>
    <w:rsid w:val="00120E32"/>
    <w:rsid w:val="00121311"/>
    <w:rsid w:val="00122671"/>
    <w:rsid w:val="0012302F"/>
    <w:rsid w:val="0012354D"/>
    <w:rsid w:val="00124BAC"/>
    <w:rsid w:val="00125566"/>
    <w:rsid w:val="00125758"/>
    <w:rsid w:val="00125C66"/>
    <w:rsid w:val="001279B3"/>
    <w:rsid w:val="001302E2"/>
    <w:rsid w:val="001305AE"/>
    <w:rsid w:val="00130732"/>
    <w:rsid w:val="00130854"/>
    <w:rsid w:val="00131426"/>
    <w:rsid w:val="00131665"/>
    <w:rsid w:val="0013199C"/>
    <w:rsid w:val="00131CDD"/>
    <w:rsid w:val="00131EB7"/>
    <w:rsid w:val="00132E97"/>
    <w:rsid w:val="00132F5C"/>
    <w:rsid w:val="0013350E"/>
    <w:rsid w:val="00134F8A"/>
    <w:rsid w:val="0013531D"/>
    <w:rsid w:val="0013536C"/>
    <w:rsid w:val="0013580C"/>
    <w:rsid w:val="0013589E"/>
    <w:rsid w:val="00137B53"/>
    <w:rsid w:val="00140454"/>
    <w:rsid w:val="0014097F"/>
    <w:rsid w:val="00140CB2"/>
    <w:rsid w:val="00141229"/>
    <w:rsid w:val="0014136F"/>
    <w:rsid w:val="001415FC"/>
    <w:rsid w:val="00141713"/>
    <w:rsid w:val="0014318E"/>
    <w:rsid w:val="0014447D"/>
    <w:rsid w:val="00144565"/>
    <w:rsid w:val="0014528A"/>
    <w:rsid w:val="00146284"/>
    <w:rsid w:val="001465E1"/>
    <w:rsid w:val="0014762D"/>
    <w:rsid w:val="0014770C"/>
    <w:rsid w:val="00147F9A"/>
    <w:rsid w:val="001503C5"/>
    <w:rsid w:val="0015065E"/>
    <w:rsid w:val="00150841"/>
    <w:rsid w:val="0015145A"/>
    <w:rsid w:val="0015220F"/>
    <w:rsid w:val="001527AF"/>
    <w:rsid w:val="00153848"/>
    <w:rsid w:val="00153C0C"/>
    <w:rsid w:val="00153FD1"/>
    <w:rsid w:val="001544A6"/>
    <w:rsid w:val="00155100"/>
    <w:rsid w:val="001559F2"/>
    <w:rsid w:val="00156F44"/>
    <w:rsid w:val="00157030"/>
    <w:rsid w:val="00157ADF"/>
    <w:rsid w:val="00157FD4"/>
    <w:rsid w:val="00160547"/>
    <w:rsid w:val="00160C2F"/>
    <w:rsid w:val="0016105E"/>
    <w:rsid w:val="00161BBB"/>
    <w:rsid w:val="00161E82"/>
    <w:rsid w:val="00162408"/>
    <w:rsid w:val="00163B0A"/>
    <w:rsid w:val="00163DAB"/>
    <w:rsid w:val="001642DC"/>
    <w:rsid w:val="00164560"/>
    <w:rsid w:val="00164A36"/>
    <w:rsid w:val="00167925"/>
    <w:rsid w:val="00167A09"/>
    <w:rsid w:val="00167D53"/>
    <w:rsid w:val="0017024F"/>
    <w:rsid w:val="00170266"/>
    <w:rsid w:val="0017027A"/>
    <w:rsid w:val="00170828"/>
    <w:rsid w:val="00171829"/>
    <w:rsid w:val="001729BB"/>
    <w:rsid w:val="00173BFC"/>
    <w:rsid w:val="00175074"/>
    <w:rsid w:val="001752DB"/>
    <w:rsid w:val="0017615C"/>
    <w:rsid w:val="001806A9"/>
    <w:rsid w:val="00180A0E"/>
    <w:rsid w:val="00180AE2"/>
    <w:rsid w:val="001819C5"/>
    <w:rsid w:val="001829B3"/>
    <w:rsid w:val="00183189"/>
    <w:rsid w:val="00183B4D"/>
    <w:rsid w:val="0018436D"/>
    <w:rsid w:val="00184632"/>
    <w:rsid w:val="0018478F"/>
    <w:rsid w:val="00184A7C"/>
    <w:rsid w:val="00184EDB"/>
    <w:rsid w:val="001851B6"/>
    <w:rsid w:val="001859C3"/>
    <w:rsid w:val="00185CC4"/>
    <w:rsid w:val="001863E8"/>
    <w:rsid w:val="00187E77"/>
    <w:rsid w:val="00190F9C"/>
    <w:rsid w:val="00191D40"/>
    <w:rsid w:val="00192A4E"/>
    <w:rsid w:val="00196628"/>
    <w:rsid w:val="00196C46"/>
    <w:rsid w:val="00196FE8"/>
    <w:rsid w:val="0019734B"/>
    <w:rsid w:val="001A0100"/>
    <w:rsid w:val="001A1984"/>
    <w:rsid w:val="001A1FD6"/>
    <w:rsid w:val="001A35F2"/>
    <w:rsid w:val="001A371F"/>
    <w:rsid w:val="001A399A"/>
    <w:rsid w:val="001A5124"/>
    <w:rsid w:val="001A6B14"/>
    <w:rsid w:val="001B06DF"/>
    <w:rsid w:val="001B0C64"/>
    <w:rsid w:val="001B152B"/>
    <w:rsid w:val="001B1847"/>
    <w:rsid w:val="001B1EEE"/>
    <w:rsid w:val="001B23C0"/>
    <w:rsid w:val="001B45AC"/>
    <w:rsid w:val="001B5965"/>
    <w:rsid w:val="001B5A92"/>
    <w:rsid w:val="001B5D3D"/>
    <w:rsid w:val="001B629E"/>
    <w:rsid w:val="001B6ADD"/>
    <w:rsid w:val="001B6AFF"/>
    <w:rsid w:val="001B77FA"/>
    <w:rsid w:val="001B7A17"/>
    <w:rsid w:val="001C01CF"/>
    <w:rsid w:val="001C0C28"/>
    <w:rsid w:val="001C1456"/>
    <w:rsid w:val="001C3081"/>
    <w:rsid w:val="001C343F"/>
    <w:rsid w:val="001C4184"/>
    <w:rsid w:val="001C569A"/>
    <w:rsid w:val="001C58C8"/>
    <w:rsid w:val="001C651C"/>
    <w:rsid w:val="001C6E9D"/>
    <w:rsid w:val="001C75E4"/>
    <w:rsid w:val="001D0056"/>
    <w:rsid w:val="001D07B2"/>
    <w:rsid w:val="001D0A46"/>
    <w:rsid w:val="001D177F"/>
    <w:rsid w:val="001D17A8"/>
    <w:rsid w:val="001D1D23"/>
    <w:rsid w:val="001D2C28"/>
    <w:rsid w:val="001D2D6F"/>
    <w:rsid w:val="001D3D3A"/>
    <w:rsid w:val="001D3D72"/>
    <w:rsid w:val="001D4007"/>
    <w:rsid w:val="001D41F9"/>
    <w:rsid w:val="001D420D"/>
    <w:rsid w:val="001D4411"/>
    <w:rsid w:val="001D4711"/>
    <w:rsid w:val="001D4DAF"/>
    <w:rsid w:val="001D4EC8"/>
    <w:rsid w:val="001D4F8B"/>
    <w:rsid w:val="001D64B6"/>
    <w:rsid w:val="001D6739"/>
    <w:rsid w:val="001D6BC9"/>
    <w:rsid w:val="001D7426"/>
    <w:rsid w:val="001E149C"/>
    <w:rsid w:val="001E1776"/>
    <w:rsid w:val="001E212E"/>
    <w:rsid w:val="001E38D5"/>
    <w:rsid w:val="001E3B1B"/>
    <w:rsid w:val="001E6D38"/>
    <w:rsid w:val="001F06E5"/>
    <w:rsid w:val="001F0A96"/>
    <w:rsid w:val="001F17C8"/>
    <w:rsid w:val="001F2357"/>
    <w:rsid w:val="001F238F"/>
    <w:rsid w:val="001F2B90"/>
    <w:rsid w:val="001F3E96"/>
    <w:rsid w:val="001F44D4"/>
    <w:rsid w:val="001F56BC"/>
    <w:rsid w:val="001F5EE1"/>
    <w:rsid w:val="002003E4"/>
    <w:rsid w:val="00200FFE"/>
    <w:rsid w:val="00202133"/>
    <w:rsid w:val="00202C8A"/>
    <w:rsid w:val="00202F6E"/>
    <w:rsid w:val="002030E6"/>
    <w:rsid w:val="00203E9C"/>
    <w:rsid w:val="00206134"/>
    <w:rsid w:val="00206DD4"/>
    <w:rsid w:val="0020729C"/>
    <w:rsid w:val="00207488"/>
    <w:rsid w:val="00210FF9"/>
    <w:rsid w:val="0021357F"/>
    <w:rsid w:val="002144BB"/>
    <w:rsid w:val="00214A98"/>
    <w:rsid w:val="00214D82"/>
    <w:rsid w:val="0021510D"/>
    <w:rsid w:val="00217EA4"/>
    <w:rsid w:val="002202AB"/>
    <w:rsid w:val="002203ED"/>
    <w:rsid w:val="00220CED"/>
    <w:rsid w:val="00220DE1"/>
    <w:rsid w:val="00222CA2"/>
    <w:rsid w:val="00223DA5"/>
    <w:rsid w:val="00225565"/>
    <w:rsid w:val="0022642A"/>
    <w:rsid w:val="00226496"/>
    <w:rsid w:val="00226BBE"/>
    <w:rsid w:val="002278E2"/>
    <w:rsid w:val="00227CA5"/>
    <w:rsid w:val="002311F0"/>
    <w:rsid w:val="00231F04"/>
    <w:rsid w:val="00232636"/>
    <w:rsid w:val="00232662"/>
    <w:rsid w:val="00232708"/>
    <w:rsid w:val="0023409C"/>
    <w:rsid w:val="00234C21"/>
    <w:rsid w:val="00234F2E"/>
    <w:rsid w:val="00237866"/>
    <w:rsid w:val="002404F8"/>
    <w:rsid w:val="002406DA"/>
    <w:rsid w:val="002408A7"/>
    <w:rsid w:val="00240F8D"/>
    <w:rsid w:val="00241466"/>
    <w:rsid w:val="00241831"/>
    <w:rsid w:val="002423E3"/>
    <w:rsid w:val="002430FB"/>
    <w:rsid w:val="00245481"/>
    <w:rsid w:val="002455E2"/>
    <w:rsid w:val="00245E4F"/>
    <w:rsid w:val="00246372"/>
    <w:rsid w:val="00246674"/>
    <w:rsid w:val="00246ABC"/>
    <w:rsid w:val="0024793B"/>
    <w:rsid w:val="00251656"/>
    <w:rsid w:val="00251B66"/>
    <w:rsid w:val="00251C6C"/>
    <w:rsid w:val="00252347"/>
    <w:rsid w:val="00253DD5"/>
    <w:rsid w:val="00255B52"/>
    <w:rsid w:val="00255D02"/>
    <w:rsid w:val="002563B4"/>
    <w:rsid w:val="0026011B"/>
    <w:rsid w:val="00260311"/>
    <w:rsid w:val="00260A5A"/>
    <w:rsid w:val="00260F20"/>
    <w:rsid w:val="002611C1"/>
    <w:rsid w:val="00262171"/>
    <w:rsid w:val="00262CAA"/>
    <w:rsid w:val="00263E18"/>
    <w:rsid w:val="00264249"/>
    <w:rsid w:val="002653B7"/>
    <w:rsid w:val="00265854"/>
    <w:rsid w:val="0026672A"/>
    <w:rsid w:val="00266832"/>
    <w:rsid w:val="00266E44"/>
    <w:rsid w:val="002712A3"/>
    <w:rsid w:val="00271BD2"/>
    <w:rsid w:val="00272647"/>
    <w:rsid w:val="00273290"/>
    <w:rsid w:val="00273632"/>
    <w:rsid w:val="00273A13"/>
    <w:rsid w:val="00273B0C"/>
    <w:rsid w:val="00274879"/>
    <w:rsid w:val="002751A7"/>
    <w:rsid w:val="002754DE"/>
    <w:rsid w:val="00275522"/>
    <w:rsid w:val="00275EC9"/>
    <w:rsid w:val="00276B92"/>
    <w:rsid w:val="00277985"/>
    <w:rsid w:val="00277B8B"/>
    <w:rsid w:val="002819C0"/>
    <w:rsid w:val="002819FF"/>
    <w:rsid w:val="00281ED9"/>
    <w:rsid w:val="0028216F"/>
    <w:rsid w:val="00282551"/>
    <w:rsid w:val="002828F7"/>
    <w:rsid w:val="00282E57"/>
    <w:rsid w:val="0028356A"/>
    <w:rsid w:val="00283960"/>
    <w:rsid w:val="002841CB"/>
    <w:rsid w:val="002849CC"/>
    <w:rsid w:val="00285FA2"/>
    <w:rsid w:val="0028719F"/>
    <w:rsid w:val="0029345C"/>
    <w:rsid w:val="00293AA7"/>
    <w:rsid w:val="00294686"/>
    <w:rsid w:val="002947D5"/>
    <w:rsid w:val="002948F4"/>
    <w:rsid w:val="00294A08"/>
    <w:rsid w:val="00295BDA"/>
    <w:rsid w:val="002977DC"/>
    <w:rsid w:val="002978E2"/>
    <w:rsid w:val="002A0522"/>
    <w:rsid w:val="002A0552"/>
    <w:rsid w:val="002A1862"/>
    <w:rsid w:val="002A1FAC"/>
    <w:rsid w:val="002A25FD"/>
    <w:rsid w:val="002A2EA2"/>
    <w:rsid w:val="002A3601"/>
    <w:rsid w:val="002A3717"/>
    <w:rsid w:val="002A470C"/>
    <w:rsid w:val="002B0EA9"/>
    <w:rsid w:val="002B10CD"/>
    <w:rsid w:val="002B1848"/>
    <w:rsid w:val="002B1949"/>
    <w:rsid w:val="002B1A03"/>
    <w:rsid w:val="002B205E"/>
    <w:rsid w:val="002B2C60"/>
    <w:rsid w:val="002B30C2"/>
    <w:rsid w:val="002B3247"/>
    <w:rsid w:val="002B3393"/>
    <w:rsid w:val="002B3433"/>
    <w:rsid w:val="002B48B6"/>
    <w:rsid w:val="002B4FA9"/>
    <w:rsid w:val="002B51AA"/>
    <w:rsid w:val="002B5DC0"/>
    <w:rsid w:val="002B621B"/>
    <w:rsid w:val="002C0601"/>
    <w:rsid w:val="002C0AE6"/>
    <w:rsid w:val="002C246B"/>
    <w:rsid w:val="002C4733"/>
    <w:rsid w:val="002C4BA3"/>
    <w:rsid w:val="002C4F5F"/>
    <w:rsid w:val="002C6200"/>
    <w:rsid w:val="002C62F3"/>
    <w:rsid w:val="002C7838"/>
    <w:rsid w:val="002C7C5F"/>
    <w:rsid w:val="002D036A"/>
    <w:rsid w:val="002D134C"/>
    <w:rsid w:val="002D1A65"/>
    <w:rsid w:val="002D218C"/>
    <w:rsid w:val="002D3144"/>
    <w:rsid w:val="002D4AE6"/>
    <w:rsid w:val="002D51B8"/>
    <w:rsid w:val="002D553E"/>
    <w:rsid w:val="002D7F86"/>
    <w:rsid w:val="002E0724"/>
    <w:rsid w:val="002E07CE"/>
    <w:rsid w:val="002E11C6"/>
    <w:rsid w:val="002E3C6C"/>
    <w:rsid w:val="002E4C70"/>
    <w:rsid w:val="002E4E8A"/>
    <w:rsid w:val="002E728B"/>
    <w:rsid w:val="002F08AD"/>
    <w:rsid w:val="002F0A6F"/>
    <w:rsid w:val="002F40A7"/>
    <w:rsid w:val="002F4FA7"/>
    <w:rsid w:val="002F55E2"/>
    <w:rsid w:val="002F64F1"/>
    <w:rsid w:val="002F6A52"/>
    <w:rsid w:val="002F7D12"/>
    <w:rsid w:val="0030107D"/>
    <w:rsid w:val="00301C75"/>
    <w:rsid w:val="00302D5C"/>
    <w:rsid w:val="00302D67"/>
    <w:rsid w:val="00302F31"/>
    <w:rsid w:val="0030388A"/>
    <w:rsid w:val="003046A3"/>
    <w:rsid w:val="003053DF"/>
    <w:rsid w:val="003069B8"/>
    <w:rsid w:val="003071BB"/>
    <w:rsid w:val="00310285"/>
    <w:rsid w:val="003112E4"/>
    <w:rsid w:val="00311499"/>
    <w:rsid w:val="00314489"/>
    <w:rsid w:val="00314A69"/>
    <w:rsid w:val="00315BCE"/>
    <w:rsid w:val="00316436"/>
    <w:rsid w:val="00316A9F"/>
    <w:rsid w:val="0031719E"/>
    <w:rsid w:val="00320A95"/>
    <w:rsid w:val="00321A2E"/>
    <w:rsid w:val="0032453E"/>
    <w:rsid w:val="0032553F"/>
    <w:rsid w:val="003265E3"/>
    <w:rsid w:val="00330EC2"/>
    <w:rsid w:val="00331B9A"/>
    <w:rsid w:val="00331D5A"/>
    <w:rsid w:val="0033229A"/>
    <w:rsid w:val="003322A8"/>
    <w:rsid w:val="00333453"/>
    <w:rsid w:val="003342AE"/>
    <w:rsid w:val="003342DE"/>
    <w:rsid w:val="00334FF2"/>
    <w:rsid w:val="00335760"/>
    <w:rsid w:val="003403B2"/>
    <w:rsid w:val="00340790"/>
    <w:rsid w:val="00340D5E"/>
    <w:rsid w:val="00342101"/>
    <w:rsid w:val="003422B6"/>
    <w:rsid w:val="00342FED"/>
    <w:rsid w:val="003435CC"/>
    <w:rsid w:val="0034412B"/>
    <w:rsid w:val="003441E9"/>
    <w:rsid w:val="00344614"/>
    <w:rsid w:val="0034467B"/>
    <w:rsid w:val="00346142"/>
    <w:rsid w:val="00346258"/>
    <w:rsid w:val="00347430"/>
    <w:rsid w:val="003510F7"/>
    <w:rsid w:val="00352A0B"/>
    <w:rsid w:val="003531C9"/>
    <w:rsid w:val="003535D5"/>
    <w:rsid w:val="00353F77"/>
    <w:rsid w:val="00354421"/>
    <w:rsid w:val="0035474A"/>
    <w:rsid w:val="003548A7"/>
    <w:rsid w:val="003555D6"/>
    <w:rsid w:val="003556A7"/>
    <w:rsid w:val="003559DC"/>
    <w:rsid w:val="00355F6E"/>
    <w:rsid w:val="00357D4F"/>
    <w:rsid w:val="00360348"/>
    <w:rsid w:val="00360442"/>
    <w:rsid w:val="00360D0D"/>
    <w:rsid w:val="00361001"/>
    <w:rsid w:val="00361154"/>
    <w:rsid w:val="00361A14"/>
    <w:rsid w:val="003625FA"/>
    <w:rsid w:val="00362B06"/>
    <w:rsid w:val="00362DD9"/>
    <w:rsid w:val="00363122"/>
    <w:rsid w:val="003638E5"/>
    <w:rsid w:val="00363F08"/>
    <w:rsid w:val="00364C96"/>
    <w:rsid w:val="0036581E"/>
    <w:rsid w:val="00365E91"/>
    <w:rsid w:val="00366035"/>
    <w:rsid w:val="003660FA"/>
    <w:rsid w:val="00366DB3"/>
    <w:rsid w:val="003672D5"/>
    <w:rsid w:val="0036770A"/>
    <w:rsid w:val="00367979"/>
    <w:rsid w:val="003702F5"/>
    <w:rsid w:val="00370504"/>
    <w:rsid w:val="003706AF"/>
    <w:rsid w:val="00370D8B"/>
    <w:rsid w:val="00371A66"/>
    <w:rsid w:val="003737E1"/>
    <w:rsid w:val="003742D7"/>
    <w:rsid w:val="003748C9"/>
    <w:rsid w:val="00375D3A"/>
    <w:rsid w:val="003760CA"/>
    <w:rsid w:val="00376B11"/>
    <w:rsid w:val="00376ECC"/>
    <w:rsid w:val="0037707A"/>
    <w:rsid w:val="0037742C"/>
    <w:rsid w:val="00377CE3"/>
    <w:rsid w:val="00380B40"/>
    <w:rsid w:val="00381C9A"/>
    <w:rsid w:val="00382884"/>
    <w:rsid w:val="00382B51"/>
    <w:rsid w:val="0038396F"/>
    <w:rsid w:val="00383BCD"/>
    <w:rsid w:val="003845BD"/>
    <w:rsid w:val="00385002"/>
    <w:rsid w:val="00386124"/>
    <w:rsid w:val="003864C9"/>
    <w:rsid w:val="00386896"/>
    <w:rsid w:val="00387C14"/>
    <w:rsid w:val="00391972"/>
    <w:rsid w:val="00392305"/>
    <w:rsid w:val="00393029"/>
    <w:rsid w:val="0039437D"/>
    <w:rsid w:val="00395169"/>
    <w:rsid w:val="00395506"/>
    <w:rsid w:val="00395B06"/>
    <w:rsid w:val="0039798D"/>
    <w:rsid w:val="003A018D"/>
    <w:rsid w:val="003A0268"/>
    <w:rsid w:val="003A0610"/>
    <w:rsid w:val="003A0E1F"/>
    <w:rsid w:val="003A1192"/>
    <w:rsid w:val="003A1243"/>
    <w:rsid w:val="003A148E"/>
    <w:rsid w:val="003A378D"/>
    <w:rsid w:val="003A3A8B"/>
    <w:rsid w:val="003A46A9"/>
    <w:rsid w:val="003A4F61"/>
    <w:rsid w:val="003A64F4"/>
    <w:rsid w:val="003A6874"/>
    <w:rsid w:val="003A7D5E"/>
    <w:rsid w:val="003B0209"/>
    <w:rsid w:val="003B0447"/>
    <w:rsid w:val="003B12B5"/>
    <w:rsid w:val="003B16A4"/>
    <w:rsid w:val="003B1CFD"/>
    <w:rsid w:val="003B2C6C"/>
    <w:rsid w:val="003B3FE9"/>
    <w:rsid w:val="003B47EA"/>
    <w:rsid w:val="003B4917"/>
    <w:rsid w:val="003B54CA"/>
    <w:rsid w:val="003B5AF1"/>
    <w:rsid w:val="003B68FC"/>
    <w:rsid w:val="003B793C"/>
    <w:rsid w:val="003C079A"/>
    <w:rsid w:val="003C079F"/>
    <w:rsid w:val="003C09F0"/>
    <w:rsid w:val="003C0BC1"/>
    <w:rsid w:val="003C229C"/>
    <w:rsid w:val="003C2350"/>
    <w:rsid w:val="003C2492"/>
    <w:rsid w:val="003C25A2"/>
    <w:rsid w:val="003C5D43"/>
    <w:rsid w:val="003C602B"/>
    <w:rsid w:val="003C6256"/>
    <w:rsid w:val="003C6C0F"/>
    <w:rsid w:val="003C6CE2"/>
    <w:rsid w:val="003C6DFD"/>
    <w:rsid w:val="003C74B6"/>
    <w:rsid w:val="003C74CE"/>
    <w:rsid w:val="003C74ED"/>
    <w:rsid w:val="003C777B"/>
    <w:rsid w:val="003C7C04"/>
    <w:rsid w:val="003C7C7C"/>
    <w:rsid w:val="003D0423"/>
    <w:rsid w:val="003D1B8B"/>
    <w:rsid w:val="003D29A2"/>
    <w:rsid w:val="003D2DD8"/>
    <w:rsid w:val="003D390E"/>
    <w:rsid w:val="003D3B82"/>
    <w:rsid w:val="003D3F0D"/>
    <w:rsid w:val="003D4B97"/>
    <w:rsid w:val="003D6E55"/>
    <w:rsid w:val="003D6F15"/>
    <w:rsid w:val="003D772F"/>
    <w:rsid w:val="003E09E9"/>
    <w:rsid w:val="003E0E9B"/>
    <w:rsid w:val="003E14DB"/>
    <w:rsid w:val="003E429E"/>
    <w:rsid w:val="003E4524"/>
    <w:rsid w:val="003E4EA8"/>
    <w:rsid w:val="003E5268"/>
    <w:rsid w:val="003E59E2"/>
    <w:rsid w:val="003E5CCE"/>
    <w:rsid w:val="003E6A0C"/>
    <w:rsid w:val="003E726A"/>
    <w:rsid w:val="003E7CCB"/>
    <w:rsid w:val="003E7D26"/>
    <w:rsid w:val="003F0DEA"/>
    <w:rsid w:val="003F139F"/>
    <w:rsid w:val="003F17C6"/>
    <w:rsid w:val="003F1CE1"/>
    <w:rsid w:val="003F28AF"/>
    <w:rsid w:val="003F2B1E"/>
    <w:rsid w:val="003F4098"/>
    <w:rsid w:val="003F6151"/>
    <w:rsid w:val="003F6C31"/>
    <w:rsid w:val="003F6EDF"/>
    <w:rsid w:val="003F7EB2"/>
    <w:rsid w:val="004011C2"/>
    <w:rsid w:val="0040138C"/>
    <w:rsid w:val="00401EF0"/>
    <w:rsid w:val="00402E06"/>
    <w:rsid w:val="00402FC2"/>
    <w:rsid w:val="00403857"/>
    <w:rsid w:val="00403E2E"/>
    <w:rsid w:val="00404161"/>
    <w:rsid w:val="00406165"/>
    <w:rsid w:val="004066AC"/>
    <w:rsid w:val="00406C8C"/>
    <w:rsid w:val="004070F0"/>
    <w:rsid w:val="00407C26"/>
    <w:rsid w:val="00407CF4"/>
    <w:rsid w:val="0041077B"/>
    <w:rsid w:val="00410820"/>
    <w:rsid w:val="0041138B"/>
    <w:rsid w:val="0041258B"/>
    <w:rsid w:val="00412FE7"/>
    <w:rsid w:val="004132B8"/>
    <w:rsid w:val="00413BC2"/>
    <w:rsid w:val="0041456C"/>
    <w:rsid w:val="00414AAC"/>
    <w:rsid w:val="004157D8"/>
    <w:rsid w:val="00415C98"/>
    <w:rsid w:val="0041669B"/>
    <w:rsid w:val="00416D1C"/>
    <w:rsid w:val="00417082"/>
    <w:rsid w:val="00417F2B"/>
    <w:rsid w:val="004202AF"/>
    <w:rsid w:val="004205FE"/>
    <w:rsid w:val="00421A43"/>
    <w:rsid w:val="004222FF"/>
    <w:rsid w:val="00423479"/>
    <w:rsid w:val="004235EA"/>
    <w:rsid w:val="00423750"/>
    <w:rsid w:val="00423CAB"/>
    <w:rsid w:val="0042466C"/>
    <w:rsid w:val="00424B9E"/>
    <w:rsid w:val="00424CDE"/>
    <w:rsid w:val="00425B24"/>
    <w:rsid w:val="00425D59"/>
    <w:rsid w:val="004263A5"/>
    <w:rsid w:val="004306A9"/>
    <w:rsid w:val="00431CEB"/>
    <w:rsid w:val="0043295C"/>
    <w:rsid w:val="0043296F"/>
    <w:rsid w:val="00432BC1"/>
    <w:rsid w:val="00433543"/>
    <w:rsid w:val="00434330"/>
    <w:rsid w:val="00434DFE"/>
    <w:rsid w:val="00434FEC"/>
    <w:rsid w:val="00435A9D"/>
    <w:rsid w:val="0043670E"/>
    <w:rsid w:val="00436FCC"/>
    <w:rsid w:val="00437111"/>
    <w:rsid w:val="00437E8E"/>
    <w:rsid w:val="004401DB"/>
    <w:rsid w:val="004410B5"/>
    <w:rsid w:val="00441712"/>
    <w:rsid w:val="00442725"/>
    <w:rsid w:val="0044279C"/>
    <w:rsid w:val="004440A2"/>
    <w:rsid w:val="004446CB"/>
    <w:rsid w:val="004447C6"/>
    <w:rsid w:val="00445293"/>
    <w:rsid w:val="004459CD"/>
    <w:rsid w:val="00446336"/>
    <w:rsid w:val="00446E34"/>
    <w:rsid w:val="00447B5F"/>
    <w:rsid w:val="0045034C"/>
    <w:rsid w:val="0045089A"/>
    <w:rsid w:val="00451808"/>
    <w:rsid w:val="004522D4"/>
    <w:rsid w:val="00452F08"/>
    <w:rsid w:val="004536F9"/>
    <w:rsid w:val="00453A68"/>
    <w:rsid w:val="00453CC4"/>
    <w:rsid w:val="00454306"/>
    <w:rsid w:val="00454593"/>
    <w:rsid w:val="00455C2C"/>
    <w:rsid w:val="004637B9"/>
    <w:rsid w:val="00464932"/>
    <w:rsid w:val="004657AD"/>
    <w:rsid w:val="00465B09"/>
    <w:rsid w:val="00465E1C"/>
    <w:rsid w:val="00466F4E"/>
    <w:rsid w:val="00467761"/>
    <w:rsid w:val="00467895"/>
    <w:rsid w:val="00467EFE"/>
    <w:rsid w:val="0047008B"/>
    <w:rsid w:val="00472220"/>
    <w:rsid w:val="00472A74"/>
    <w:rsid w:val="004736EB"/>
    <w:rsid w:val="004751CE"/>
    <w:rsid w:val="00475772"/>
    <w:rsid w:val="0047595D"/>
    <w:rsid w:val="004759BD"/>
    <w:rsid w:val="00475B8E"/>
    <w:rsid w:val="00475F43"/>
    <w:rsid w:val="0047642B"/>
    <w:rsid w:val="00476D38"/>
    <w:rsid w:val="00477830"/>
    <w:rsid w:val="004818C7"/>
    <w:rsid w:val="00483FA1"/>
    <w:rsid w:val="004850D9"/>
    <w:rsid w:val="00485896"/>
    <w:rsid w:val="00487740"/>
    <w:rsid w:val="00487E86"/>
    <w:rsid w:val="00491EFC"/>
    <w:rsid w:val="004922C1"/>
    <w:rsid w:val="004923F7"/>
    <w:rsid w:val="00492976"/>
    <w:rsid w:val="00492A8A"/>
    <w:rsid w:val="00494101"/>
    <w:rsid w:val="00495529"/>
    <w:rsid w:val="00496BE1"/>
    <w:rsid w:val="00496E9C"/>
    <w:rsid w:val="004A0C25"/>
    <w:rsid w:val="004A0E7C"/>
    <w:rsid w:val="004A263D"/>
    <w:rsid w:val="004A2AAF"/>
    <w:rsid w:val="004A2F71"/>
    <w:rsid w:val="004A333A"/>
    <w:rsid w:val="004A3471"/>
    <w:rsid w:val="004A4CD3"/>
    <w:rsid w:val="004A6788"/>
    <w:rsid w:val="004A6D41"/>
    <w:rsid w:val="004A6E5C"/>
    <w:rsid w:val="004A7E7A"/>
    <w:rsid w:val="004B0283"/>
    <w:rsid w:val="004B1031"/>
    <w:rsid w:val="004B14F9"/>
    <w:rsid w:val="004B1D17"/>
    <w:rsid w:val="004B2269"/>
    <w:rsid w:val="004B28E9"/>
    <w:rsid w:val="004B2C4E"/>
    <w:rsid w:val="004B3357"/>
    <w:rsid w:val="004B39F4"/>
    <w:rsid w:val="004B3AB3"/>
    <w:rsid w:val="004B5732"/>
    <w:rsid w:val="004B5B8B"/>
    <w:rsid w:val="004B63EB"/>
    <w:rsid w:val="004B749F"/>
    <w:rsid w:val="004B7B1D"/>
    <w:rsid w:val="004B7D1E"/>
    <w:rsid w:val="004C0475"/>
    <w:rsid w:val="004C0B1F"/>
    <w:rsid w:val="004C0D54"/>
    <w:rsid w:val="004C1323"/>
    <w:rsid w:val="004C1D94"/>
    <w:rsid w:val="004C2C86"/>
    <w:rsid w:val="004C5251"/>
    <w:rsid w:val="004C5A60"/>
    <w:rsid w:val="004C70AB"/>
    <w:rsid w:val="004C7531"/>
    <w:rsid w:val="004C7784"/>
    <w:rsid w:val="004D03FC"/>
    <w:rsid w:val="004D0635"/>
    <w:rsid w:val="004D0B2A"/>
    <w:rsid w:val="004D12D5"/>
    <w:rsid w:val="004D1E27"/>
    <w:rsid w:val="004D3A09"/>
    <w:rsid w:val="004D4F0E"/>
    <w:rsid w:val="004D50A6"/>
    <w:rsid w:val="004D5E72"/>
    <w:rsid w:val="004D6A4C"/>
    <w:rsid w:val="004D728D"/>
    <w:rsid w:val="004E0C85"/>
    <w:rsid w:val="004E0D62"/>
    <w:rsid w:val="004E144F"/>
    <w:rsid w:val="004E1B43"/>
    <w:rsid w:val="004E1CEA"/>
    <w:rsid w:val="004E43B1"/>
    <w:rsid w:val="004E444C"/>
    <w:rsid w:val="004E483B"/>
    <w:rsid w:val="004E517E"/>
    <w:rsid w:val="004E5295"/>
    <w:rsid w:val="004F0195"/>
    <w:rsid w:val="004F297F"/>
    <w:rsid w:val="004F29AC"/>
    <w:rsid w:val="004F2B02"/>
    <w:rsid w:val="004F2D9B"/>
    <w:rsid w:val="004F2F3F"/>
    <w:rsid w:val="004F3EF9"/>
    <w:rsid w:val="004F41BE"/>
    <w:rsid w:val="004F43EC"/>
    <w:rsid w:val="004F5B42"/>
    <w:rsid w:val="004F653C"/>
    <w:rsid w:val="004F7A84"/>
    <w:rsid w:val="004F7C1D"/>
    <w:rsid w:val="004F7D4A"/>
    <w:rsid w:val="0050025A"/>
    <w:rsid w:val="00500504"/>
    <w:rsid w:val="00501981"/>
    <w:rsid w:val="0050287B"/>
    <w:rsid w:val="00502ED1"/>
    <w:rsid w:val="0050545B"/>
    <w:rsid w:val="00505C1A"/>
    <w:rsid w:val="005061DA"/>
    <w:rsid w:val="0050675E"/>
    <w:rsid w:val="0050758E"/>
    <w:rsid w:val="00507674"/>
    <w:rsid w:val="00512020"/>
    <w:rsid w:val="0051243A"/>
    <w:rsid w:val="005125A3"/>
    <w:rsid w:val="00513501"/>
    <w:rsid w:val="005139A2"/>
    <w:rsid w:val="00514889"/>
    <w:rsid w:val="00514C7B"/>
    <w:rsid w:val="005158D4"/>
    <w:rsid w:val="00515DBA"/>
    <w:rsid w:val="00515EB7"/>
    <w:rsid w:val="005161FA"/>
    <w:rsid w:val="0051639F"/>
    <w:rsid w:val="00516785"/>
    <w:rsid w:val="00516DDC"/>
    <w:rsid w:val="00520483"/>
    <w:rsid w:val="005222BD"/>
    <w:rsid w:val="0052314E"/>
    <w:rsid w:val="00523E24"/>
    <w:rsid w:val="005252D6"/>
    <w:rsid w:val="0052589A"/>
    <w:rsid w:val="00526A31"/>
    <w:rsid w:val="00527350"/>
    <w:rsid w:val="0053035D"/>
    <w:rsid w:val="00530893"/>
    <w:rsid w:val="00530D4B"/>
    <w:rsid w:val="0053200B"/>
    <w:rsid w:val="00533178"/>
    <w:rsid w:val="0053398C"/>
    <w:rsid w:val="00533B59"/>
    <w:rsid w:val="00535555"/>
    <w:rsid w:val="005356C3"/>
    <w:rsid w:val="0053720D"/>
    <w:rsid w:val="005405F4"/>
    <w:rsid w:val="005408EE"/>
    <w:rsid w:val="00541B37"/>
    <w:rsid w:val="0054237D"/>
    <w:rsid w:val="00543225"/>
    <w:rsid w:val="005432EE"/>
    <w:rsid w:val="005435D1"/>
    <w:rsid w:val="00544463"/>
    <w:rsid w:val="00544E03"/>
    <w:rsid w:val="0054527C"/>
    <w:rsid w:val="00545A79"/>
    <w:rsid w:val="00545B95"/>
    <w:rsid w:val="00545E7C"/>
    <w:rsid w:val="0054708D"/>
    <w:rsid w:val="005472F2"/>
    <w:rsid w:val="00547BEC"/>
    <w:rsid w:val="005510F2"/>
    <w:rsid w:val="0055152C"/>
    <w:rsid w:val="00551CA2"/>
    <w:rsid w:val="00551DE2"/>
    <w:rsid w:val="0055241C"/>
    <w:rsid w:val="0055408F"/>
    <w:rsid w:val="00554496"/>
    <w:rsid w:val="0055500A"/>
    <w:rsid w:val="0055716B"/>
    <w:rsid w:val="005577A3"/>
    <w:rsid w:val="00557BE9"/>
    <w:rsid w:val="00560FC3"/>
    <w:rsid w:val="00562AB3"/>
    <w:rsid w:val="00562C88"/>
    <w:rsid w:val="00562D7C"/>
    <w:rsid w:val="00563264"/>
    <w:rsid w:val="005637F6"/>
    <w:rsid w:val="00564795"/>
    <w:rsid w:val="0056480B"/>
    <w:rsid w:val="00564831"/>
    <w:rsid w:val="00565AED"/>
    <w:rsid w:val="005669AC"/>
    <w:rsid w:val="00567428"/>
    <w:rsid w:val="00567690"/>
    <w:rsid w:val="005676AF"/>
    <w:rsid w:val="005679A6"/>
    <w:rsid w:val="005679A8"/>
    <w:rsid w:val="0057011E"/>
    <w:rsid w:val="00570365"/>
    <w:rsid w:val="005703D3"/>
    <w:rsid w:val="0057087F"/>
    <w:rsid w:val="00571ADD"/>
    <w:rsid w:val="00571B7D"/>
    <w:rsid w:val="00572D51"/>
    <w:rsid w:val="005738A0"/>
    <w:rsid w:val="00574860"/>
    <w:rsid w:val="0057495B"/>
    <w:rsid w:val="005750C8"/>
    <w:rsid w:val="005757E9"/>
    <w:rsid w:val="00580DBB"/>
    <w:rsid w:val="0058104D"/>
    <w:rsid w:val="00581CAA"/>
    <w:rsid w:val="00582068"/>
    <w:rsid w:val="00582D5A"/>
    <w:rsid w:val="00583369"/>
    <w:rsid w:val="0058342E"/>
    <w:rsid w:val="00583A0D"/>
    <w:rsid w:val="0058516D"/>
    <w:rsid w:val="00585D2E"/>
    <w:rsid w:val="0058610E"/>
    <w:rsid w:val="005862A8"/>
    <w:rsid w:val="00586619"/>
    <w:rsid w:val="005869E1"/>
    <w:rsid w:val="005873C0"/>
    <w:rsid w:val="00587D71"/>
    <w:rsid w:val="00590C5B"/>
    <w:rsid w:val="00590D22"/>
    <w:rsid w:val="0059228E"/>
    <w:rsid w:val="005927DB"/>
    <w:rsid w:val="005938CB"/>
    <w:rsid w:val="005939B7"/>
    <w:rsid w:val="00594297"/>
    <w:rsid w:val="0059462C"/>
    <w:rsid w:val="00594773"/>
    <w:rsid w:val="00594FC6"/>
    <w:rsid w:val="00597B5C"/>
    <w:rsid w:val="00597D16"/>
    <w:rsid w:val="005A0075"/>
    <w:rsid w:val="005A05C9"/>
    <w:rsid w:val="005A0FAF"/>
    <w:rsid w:val="005A2A3C"/>
    <w:rsid w:val="005A3016"/>
    <w:rsid w:val="005A315F"/>
    <w:rsid w:val="005A3FD8"/>
    <w:rsid w:val="005A40E5"/>
    <w:rsid w:val="005A5731"/>
    <w:rsid w:val="005A5D95"/>
    <w:rsid w:val="005A6B85"/>
    <w:rsid w:val="005A6BF5"/>
    <w:rsid w:val="005A6C01"/>
    <w:rsid w:val="005A7D4C"/>
    <w:rsid w:val="005A7E26"/>
    <w:rsid w:val="005A7FA3"/>
    <w:rsid w:val="005B2652"/>
    <w:rsid w:val="005B2BF0"/>
    <w:rsid w:val="005B2CB1"/>
    <w:rsid w:val="005B30E5"/>
    <w:rsid w:val="005B3882"/>
    <w:rsid w:val="005B38A7"/>
    <w:rsid w:val="005B39E2"/>
    <w:rsid w:val="005B3A13"/>
    <w:rsid w:val="005B3E3A"/>
    <w:rsid w:val="005B58AF"/>
    <w:rsid w:val="005B5A55"/>
    <w:rsid w:val="005C0350"/>
    <w:rsid w:val="005C0839"/>
    <w:rsid w:val="005C08D6"/>
    <w:rsid w:val="005C281B"/>
    <w:rsid w:val="005C339B"/>
    <w:rsid w:val="005C4315"/>
    <w:rsid w:val="005C5429"/>
    <w:rsid w:val="005C5756"/>
    <w:rsid w:val="005C5902"/>
    <w:rsid w:val="005C6033"/>
    <w:rsid w:val="005C6946"/>
    <w:rsid w:val="005C7B0A"/>
    <w:rsid w:val="005D0268"/>
    <w:rsid w:val="005D0351"/>
    <w:rsid w:val="005D0BEC"/>
    <w:rsid w:val="005D2606"/>
    <w:rsid w:val="005D3D5B"/>
    <w:rsid w:val="005D4386"/>
    <w:rsid w:val="005D46B0"/>
    <w:rsid w:val="005D46E0"/>
    <w:rsid w:val="005D5C45"/>
    <w:rsid w:val="005D63BB"/>
    <w:rsid w:val="005D64AA"/>
    <w:rsid w:val="005E0BA5"/>
    <w:rsid w:val="005E0CF0"/>
    <w:rsid w:val="005E166C"/>
    <w:rsid w:val="005E18A9"/>
    <w:rsid w:val="005E2E27"/>
    <w:rsid w:val="005E32BD"/>
    <w:rsid w:val="005E49DD"/>
    <w:rsid w:val="005E4BAE"/>
    <w:rsid w:val="005E5D9B"/>
    <w:rsid w:val="005F04F1"/>
    <w:rsid w:val="005F10C9"/>
    <w:rsid w:val="005F15B4"/>
    <w:rsid w:val="005F2458"/>
    <w:rsid w:val="005F2493"/>
    <w:rsid w:val="005F3B6A"/>
    <w:rsid w:val="005F406A"/>
    <w:rsid w:val="005F53E3"/>
    <w:rsid w:val="005F5657"/>
    <w:rsid w:val="005F58AF"/>
    <w:rsid w:val="005F5A34"/>
    <w:rsid w:val="005F5B13"/>
    <w:rsid w:val="005F6B50"/>
    <w:rsid w:val="005F7665"/>
    <w:rsid w:val="00600061"/>
    <w:rsid w:val="00600455"/>
    <w:rsid w:val="00600687"/>
    <w:rsid w:val="00600F59"/>
    <w:rsid w:val="006015E1"/>
    <w:rsid w:val="00602C04"/>
    <w:rsid w:val="00602F28"/>
    <w:rsid w:val="00602F38"/>
    <w:rsid w:val="006038FC"/>
    <w:rsid w:val="00604A48"/>
    <w:rsid w:val="00605263"/>
    <w:rsid w:val="00606338"/>
    <w:rsid w:val="006075FB"/>
    <w:rsid w:val="00607AC6"/>
    <w:rsid w:val="00607C35"/>
    <w:rsid w:val="00611D9A"/>
    <w:rsid w:val="00612E8B"/>
    <w:rsid w:val="00612F74"/>
    <w:rsid w:val="00614031"/>
    <w:rsid w:val="0061445C"/>
    <w:rsid w:val="00615228"/>
    <w:rsid w:val="0061543A"/>
    <w:rsid w:val="00617645"/>
    <w:rsid w:val="00617846"/>
    <w:rsid w:val="00617FA7"/>
    <w:rsid w:val="00620B71"/>
    <w:rsid w:val="00620F2D"/>
    <w:rsid w:val="00622479"/>
    <w:rsid w:val="00622B32"/>
    <w:rsid w:val="00622C0C"/>
    <w:rsid w:val="00623CB0"/>
    <w:rsid w:val="00624597"/>
    <w:rsid w:val="0062548F"/>
    <w:rsid w:val="0062687C"/>
    <w:rsid w:val="00626F2A"/>
    <w:rsid w:val="006311F4"/>
    <w:rsid w:val="0063156D"/>
    <w:rsid w:val="006317B6"/>
    <w:rsid w:val="00631AC0"/>
    <w:rsid w:val="00633719"/>
    <w:rsid w:val="006338FA"/>
    <w:rsid w:val="00633E41"/>
    <w:rsid w:val="00634649"/>
    <w:rsid w:val="00637222"/>
    <w:rsid w:val="006377CE"/>
    <w:rsid w:val="00637A9B"/>
    <w:rsid w:val="00637F27"/>
    <w:rsid w:val="006406AD"/>
    <w:rsid w:val="00640A45"/>
    <w:rsid w:val="006420B1"/>
    <w:rsid w:val="006424A6"/>
    <w:rsid w:val="00642F46"/>
    <w:rsid w:val="00643602"/>
    <w:rsid w:val="0064477E"/>
    <w:rsid w:val="006448AB"/>
    <w:rsid w:val="0064584D"/>
    <w:rsid w:val="00645CEF"/>
    <w:rsid w:val="006464E9"/>
    <w:rsid w:val="00647353"/>
    <w:rsid w:val="00650110"/>
    <w:rsid w:val="00650C36"/>
    <w:rsid w:val="00653048"/>
    <w:rsid w:val="00653690"/>
    <w:rsid w:val="00655CD2"/>
    <w:rsid w:val="0065719D"/>
    <w:rsid w:val="006572BE"/>
    <w:rsid w:val="00657CEA"/>
    <w:rsid w:val="0066178A"/>
    <w:rsid w:val="00662B17"/>
    <w:rsid w:val="0066358E"/>
    <w:rsid w:val="00664614"/>
    <w:rsid w:val="006649C0"/>
    <w:rsid w:val="00665334"/>
    <w:rsid w:val="0066602D"/>
    <w:rsid w:val="006672FA"/>
    <w:rsid w:val="00670106"/>
    <w:rsid w:val="006701FA"/>
    <w:rsid w:val="0067073E"/>
    <w:rsid w:val="00670866"/>
    <w:rsid w:val="0067135F"/>
    <w:rsid w:val="006715D5"/>
    <w:rsid w:val="00671668"/>
    <w:rsid w:val="0067196E"/>
    <w:rsid w:val="00671A97"/>
    <w:rsid w:val="00672B2C"/>
    <w:rsid w:val="00672DD3"/>
    <w:rsid w:val="006732D2"/>
    <w:rsid w:val="006734DD"/>
    <w:rsid w:val="00674B6C"/>
    <w:rsid w:val="00674C88"/>
    <w:rsid w:val="0067506C"/>
    <w:rsid w:val="006755B2"/>
    <w:rsid w:val="006758D3"/>
    <w:rsid w:val="00675F80"/>
    <w:rsid w:val="00676563"/>
    <w:rsid w:val="006776FC"/>
    <w:rsid w:val="00677A4A"/>
    <w:rsid w:val="00680176"/>
    <w:rsid w:val="0068065B"/>
    <w:rsid w:val="00680A41"/>
    <w:rsid w:val="00680DE7"/>
    <w:rsid w:val="00680E1A"/>
    <w:rsid w:val="00681ECC"/>
    <w:rsid w:val="00682559"/>
    <w:rsid w:val="006834CC"/>
    <w:rsid w:val="00683910"/>
    <w:rsid w:val="00683FA1"/>
    <w:rsid w:val="006852A3"/>
    <w:rsid w:val="006857E9"/>
    <w:rsid w:val="00685EC4"/>
    <w:rsid w:val="006864BB"/>
    <w:rsid w:val="006867E9"/>
    <w:rsid w:val="00686852"/>
    <w:rsid w:val="00686A4D"/>
    <w:rsid w:val="00690003"/>
    <w:rsid w:val="00691082"/>
    <w:rsid w:val="00691249"/>
    <w:rsid w:val="00691AC6"/>
    <w:rsid w:val="00691EF3"/>
    <w:rsid w:val="006921E0"/>
    <w:rsid w:val="00692229"/>
    <w:rsid w:val="006938BA"/>
    <w:rsid w:val="0069442E"/>
    <w:rsid w:val="00694C4E"/>
    <w:rsid w:val="006952E0"/>
    <w:rsid w:val="00695CB6"/>
    <w:rsid w:val="00695E6B"/>
    <w:rsid w:val="00696C5F"/>
    <w:rsid w:val="00696FF9"/>
    <w:rsid w:val="006A0201"/>
    <w:rsid w:val="006A02C1"/>
    <w:rsid w:val="006A1D3E"/>
    <w:rsid w:val="006A3131"/>
    <w:rsid w:val="006A52F2"/>
    <w:rsid w:val="006A578C"/>
    <w:rsid w:val="006A7761"/>
    <w:rsid w:val="006A7764"/>
    <w:rsid w:val="006A790D"/>
    <w:rsid w:val="006B1747"/>
    <w:rsid w:val="006B174F"/>
    <w:rsid w:val="006B1AF0"/>
    <w:rsid w:val="006B24CC"/>
    <w:rsid w:val="006B2B4D"/>
    <w:rsid w:val="006B3248"/>
    <w:rsid w:val="006B33C7"/>
    <w:rsid w:val="006B3516"/>
    <w:rsid w:val="006B4391"/>
    <w:rsid w:val="006B4502"/>
    <w:rsid w:val="006B512D"/>
    <w:rsid w:val="006B5970"/>
    <w:rsid w:val="006B5A50"/>
    <w:rsid w:val="006B5DE6"/>
    <w:rsid w:val="006B7D8E"/>
    <w:rsid w:val="006C2200"/>
    <w:rsid w:val="006C3E50"/>
    <w:rsid w:val="006C4CDE"/>
    <w:rsid w:val="006C5456"/>
    <w:rsid w:val="006C62BE"/>
    <w:rsid w:val="006C6C41"/>
    <w:rsid w:val="006D044A"/>
    <w:rsid w:val="006D16BD"/>
    <w:rsid w:val="006D3379"/>
    <w:rsid w:val="006D448C"/>
    <w:rsid w:val="006D4560"/>
    <w:rsid w:val="006D53FD"/>
    <w:rsid w:val="006D55F8"/>
    <w:rsid w:val="006D585D"/>
    <w:rsid w:val="006D5D9A"/>
    <w:rsid w:val="006D60A4"/>
    <w:rsid w:val="006D6290"/>
    <w:rsid w:val="006E1121"/>
    <w:rsid w:val="006E44E1"/>
    <w:rsid w:val="006E4671"/>
    <w:rsid w:val="006E47E7"/>
    <w:rsid w:val="006E4A43"/>
    <w:rsid w:val="006E530E"/>
    <w:rsid w:val="006E5E14"/>
    <w:rsid w:val="006E68E4"/>
    <w:rsid w:val="006E6A97"/>
    <w:rsid w:val="006E6C40"/>
    <w:rsid w:val="006E7AF1"/>
    <w:rsid w:val="006F0D25"/>
    <w:rsid w:val="006F3ADC"/>
    <w:rsid w:val="006F3EE0"/>
    <w:rsid w:val="006F4950"/>
    <w:rsid w:val="006F49E2"/>
    <w:rsid w:val="006F589E"/>
    <w:rsid w:val="006F7147"/>
    <w:rsid w:val="006F75ED"/>
    <w:rsid w:val="006F7B4C"/>
    <w:rsid w:val="007005A8"/>
    <w:rsid w:val="00701875"/>
    <w:rsid w:val="007031B9"/>
    <w:rsid w:val="0070339C"/>
    <w:rsid w:val="00703D20"/>
    <w:rsid w:val="00704C9B"/>
    <w:rsid w:val="00706E8C"/>
    <w:rsid w:val="00707206"/>
    <w:rsid w:val="00707435"/>
    <w:rsid w:val="0070788C"/>
    <w:rsid w:val="00707FAD"/>
    <w:rsid w:val="00710651"/>
    <w:rsid w:val="00710C6E"/>
    <w:rsid w:val="0071165C"/>
    <w:rsid w:val="00712153"/>
    <w:rsid w:val="00713610"/>
    <w:rsid w:val="0071381E"/>
    <w:rsid w:val="00714238"/>
    <w:rsid w:val="007142CF"/>
    <w:rsid w:val="00714429"/>
    <w:rsid w:val="00714DCF"/>
    <w:rsid w:val="007153A1"/>
    <w:rsid w:val="00715770"/>
    <w:rsid w:val="00720271"/>
    <w:rsid w:val="007208FF"/>
    <w:rsid w:val="00720FFB"/>
    <w:rsid w:val="00721A20"/>
    <w:rsid w:val="00721D57"/>
    <w:rsid w:val="0072226B"/>
    <w:rsid w:val="00722301"/>
    <w:rsid w:val="0072262E"/>
    <w:rsid w:val="007231F7"/>
    <w:rsid w:val="0072525D"/>
    <w:rsid w:val="0072575A"/>
    <w:rsid w:val="00726B4A"/>
    <w:rsid w:val="00726CAB"/>
    <w:rsid w:val="007304B9"/>
    <w:rsid w:val="007327D4"/>
    <w:rsid w:val="00733646"/>
    <w:rsid w:val="0073397B"/>
    <w:rsid w:val="007344BB"/>
    <w:rsid w:val="00735749"/>
    <w:rsid w:val="0073584E"/>
    <w:rsid w:val="00735DDC"/>
    <w:rsid w:val="00735DDF"/>
    <w:rsid w:val="007363E8"/>
    <w:rsid w:val="00737AD9"/>
    <w:rsid w:val="00741610"/>
    <w:rsid w:val="0074392E"/>
    <w:rsid w:val="00745A89"/>
    <w:rsid w:val="007476F0"/>
    <w:rsid w:val="007476F4"/>
    <w:rsid w:val="007479AE"/>
    <w:rsid w:val="00747B57"/>
    <w:rsid w:val="007504DB"/>
    <w:rsid w:val="007505C6"/>
    <w:rsid w:val="0075072D"/>
    <w:rsid w:val="007514C7"/>
    <w:rsid w:val="00751C30"/>
    <w:rsid w:val="00752606"/>
    <w:rsid w:val="00752832"/>
    <w:rsid w:val="00753A5C"/>
    <w:rsid w:val="00753AAE"/>
    <w:rsid w:val="00754146"/>
    <w:rsid w:val="0075446E"/>
    <w:rsid w:val="007547C7"/>
    <w:rsid w:val="00754BC0"/>
    <w:rsid w:val="0075595B"/>
    <w:rsid w:val="00755B3A"/>
    <w:rsid w:val="0075600E"/>
    <w:rsid w:val="00756E3C"/>
    <w:rsid w:val="00757141"/>
    <w:rsid w:val="00757726"/>
    <w:rsid w:val="007604C1"/>
    <w:rsid w:val="00760710"/>
    <w:rsid w:val="00763F66"/>
    <w:rsid w:val="00764D98"/>
    <w:rsid w:val="00765A5C"/>
    <w:rsid w:val="00766CF7"/>
    <w:rsid w:val="00766EFE"/>
    <w:rsid w:val="00767608"/>
    <w:rsid w:val="00767725"/>
    <w:rsid w:val="00767ACF"/>
    <w:rsid w:val="00767BB7"/>
    <w:rsid w:val="0077024D"/>
    <w:rsid w:val="00770AB0"/>
    <w:rsid w:val="00770F40"/>
    <w:rsid w:val="00771DB4"/>
    <w:rsid w:val="0077259E"/>
    <w:rsid w:val="007729A7"/>
    <w:rsid w:val="00773A06"/>
    <w:rsid w:val="00774EF1"/>
    <w:rsid w:val="00774FD2"/>
    <w:rsid w:val="00775A40"/>
    <w:rsid w:val="007761F3"/>
    <w:rsid w:val="00776F97"/>
    <w:rsid w:val="007804ED"/>
    <w:rsid w:val="007809B8"/>
    <w:rsid w:val="0078133A"/>
    <w:rsid w:val="007819FE"/>
    <w:rsid w:val="00782B02"/>
    <w:rsid w:val="00782C79"/>
    <w:rsid w:val="00783038"/>
    <w:rsid w:val="00783AC2"/>
    <w:rsid w:val="00784B2E"/>
    <w:rsid w:val="00787C7F"/>
    <w:rsid w:val="00790AFD"/>
    <w:rsid w:val="00790D5B"/>
    <w:rsid w:val="0079249F"/>
    <w:rsid w:val="007928AE"/>
    <w:rsid w:val="00792C80"/>
    <w:rsid w:val="00793B87"/>
    <w:rsid w:val="00794940"/>
    <w:rsid w:val="00794C1E"/>
    <w:rsid w:val="00794EA0"/>
    <w:rsid w:val="00795370"/>
    <w:rsid w:val="007954D7"/>
    <w:rsid w:val="00795653"/>
    <w:rsid w:val="007A00C7"/>
    <w:rsid w:val="007A0831"/>
    <w:rsid w:val="007A1048"/>
    <w:rsid w:val="007A2E80"/>
    <w:rsid w:val="007A3F90"/>
    <w:rsid w:val="007A5537"/>
    <w:rsid w:val="007A663D"/>
    <w:rsid w:val="007A6E3C"/>
    <w:rsid w:val="007A7A62"/>
    <w:rsid w:val="007A7CB2"/>
    <w:rsid w:val="007B0930"/>
    <w:rsid w:val="007B0CFE"/>
    <w:rsid w:val="007B0EDF"/>
    <w:rsid w:val="007B1216"/>
    <w:rsid w:val="007B22EF"/>
    <w:rsid w:val="007B249C"/>
    <w:rsid w:val="007B3CDD"/>
    <w:rsid w:val="007B3F42"/>
    <w:rsid w:val="007B4D5C"/>
    <w:rsid w:val="007B5953"/>
    <w:rsid w:val="007B5A72"/>
    <w:rsid w:val="007C0227"/>
    <w:rsid w:val="007C0B59"/>
    <w:rsid w:val="007C1AF7"/>
    <w:rsid w:val="007C24FF"/>
    <w:rsid w:val="007C29B1"/>
    <w:rsid w:val="007C467A"/>
    <w:rsid w:val="007C62D8"/>
    <w:rsid w:val="007C6388"/>
    <w:rsid w:val="007C76B6"/>
    <w:rsid w:val="007D02DD"/>
    <w:rsid w:val="007D13FE"/>
    <w:rsid w:val="007D1ECB"/>
    <w:rsid w:val="007D24E4"/>
    <w:rsid w:val="007D39CC"/>
    <w:rsid w:val="007D4150"/>
    <w:rsid w:val="007D46FC"/>
    <w:rsid w:val="007D4BEF"/>
    <w:rsid w:val="007D5107"/>
    <w:rsid w:val="007D5974"/>
    <w:rsid w:val="007D605A"/>
    <w:rsid w:val="007D6803"/>
    <w:rsid w:val="007D77FC"/>
    <w:rsid w:val="007E00F4"/>
    <w:rsid w:val="007E0926"/>
    <w:rsid w:val="007E1163"/>
    <w:rsid w:val="007E1769"/>
    <w:rsid w:val="007E18B0"/>
    <w:rsid w:val="007E1E41"/>
    <w:rsid w:val="007E2959"/>
    <w:rsid w:val="007E32B5"/>
    <w:rsid w:val="007E3472"/>
    <w:rsid w:val="007E3BC2"/>
    <w:rsid w:val="007E3CEB"/>
    <w:rsid w:val="007E4B44"/>
    <w:rsid w:val="007E50EC"/>
    <w:rsid w:val="007E5300"/>
    <w:rsid w:val="007E60B9"/>
    <w:rsid w:val="007E7888"/>
    <w:rsid w:val="007E7EAA"/>
    <w:rsid w:val="007F01C7"/>
    <w:rsid w:val="007F1005"/>
    <w:rsid w:val="007F1D31"/>
    <w:rsid w:val="007F1F8E"/>
    <w:rsid w:val="007F31E1"/>
    <w:rsid w:val="007F3E4D"/>
    <w:rsid w:val="007F53FA"/>
    <w:rsid w:val="007F6103"/>
    <w:rsid w:val="007F6496"/>
    <w:rsid w:val="007F6B58"/>
    <w:rsid w:val="007F7399"/>
    <w:rsid w:val="00800108"/>
    <w:rsid w:val="008002FE"/>
    <w:rsid w:val="00800923"/>
    <w:rsid w:val="00802BD8"/>
    <w:rsid w:val="0080373F"/>
    <w:rsid w:val="00804627"/>
    <w:rsid w:val="00804A51"/>
    <w:rsid w:val="0080591A"/>
    <w:rsid w:val="00805D36"/>
    <w:rsid w:val="008062C8"/>
    <w:rsid w:val="008066CD"/>
    <w:rsid w:val="008105B0"/>
    <w:rsid w:val="00810BF6"/>
    <w:rsid w:val="00812C29"/>
    <w:rsid w:val="00815AFA"/>
    <w:rsid w:val="00817307"/>
    <w:rsid w:val="008175F0"/>
    <w:rsid w:val="00821594"/>
    <w:rsid w:val="008234AD"/>
    <w:rsid w:val="00823626"/>
    <w:rsid w:val="00823E0F"/>
    <w:rsid w:val="00824A55"/>
    <w:rsid w:val="008251BF"/>
    <w:rsid w:val="008251F8"/>
    <w:rsid w:val="0082558E"/>
    <w:rsid w:val="008262DF"/>
    <w:rsid w:val="00827906"/>
    <w:rsid w:val="008318AD"/>
    <w:rsid w:val="00832021"/>
    <w:rsid w:val="0083260E"/>
    <w:rsid w:val="008326DC"/>
    <w:rsid w:val="00832C86"/>
    <w:rsid w:val="00837616"/>
    <w:rsid w:val="008401E4"/>
    <w:rsid w:val="00841775"/>
    <w:rsid w:val="008419D1"/>
    <w:rsid w:val="00841D8D"/>
    <w:rsid w:val="00841FF3"/>
    <w:rsid w:val="008425E0"/>
    <w:rsid w:val="00844557"/>
    <w:rsid w:val="0084493F"/>
    <w:rsid w:val="00844AD3"/>
    <w:rsid w:val="00845BAB"/>
    <w:rsid w:val="0084682D"/>
    <w:rsid w:val="00846845"/>
    <w:rsid w:val="00846CE2"/>
    <w:rsid w:val="008473E2"/>
    <w:rsid w:val="008500C2"/>
    <w:rsid w:val="00851640"/>
    <w:rsid w:val="00851768"/>
    <w:rsid w:val="008517B8"/>
    <w:rsid w:val="00852714"/>
    <w:rsid w:val="00852AE4"/>
    <w:rsid w:val="00853F9B"/>
    <w:rsid w:val="00853FF4"/>
    <w:rsid w:val="00854979"/>
    <w:rsid w:val="008553DC"/>
    <w:rsid w:val="00856264"/>
    <w:rsid w:val="0085637E"/>
    <w:rsid w:val="008564BC"/>
    <w:rsid w:val="008569D0"/>
    <w:rsid w:val="008579E1"/>
    <w:rsid w:val="008619D5"/>
    <w:rsid w:val="00862835"/>
    <w:rsid w:val="00863DEE"/>
    <w:rsid w:val="008645D9"/>
    <w:rsid w:val="00865697"/>
    <w:rsid w:val="00865E56"/>
    <w:rsid w:val="00866E8C"/>
    <w:rsid w:val="00867552"/>
    <w:rsid w:val="00867A21"/>
    <w:rsid w:val="00870C46"/>
    <w:rsid w:val="008735C7"/>
    <w:rsid w:val="00873F62"/>
    <w:rsid w:val="00874C96"/>
    <w:rsid w:val="008759AE"/>
    <w:rsid w:val="00875CD4"/>
    <w:rsid w:val="00877C66"/>
    <w:rsid w:val="00877CDB"/>
    <w:rsid w:val="00880686"/>
    <w:rsid w:val="008806A7"/>
    <w:rsid w:val="00881E31"/>
    <w:rsid w:val="00881ECB"/>
    <w:rsid w:val="008820FC"/>
    <w:rsid w:val="008833D0"/>
    <w:rsid w:val="00883BC6"/>
    <w:rsid w:val="00883E8A"/>
    <w:rsid w:val="00884FCC"/>
    <w:rsid w:val="00885A79"/>
    <w:rsid w:val="00886877"/>
    <w:rsid w:val="008901B5"/>
    <w:rsid w:val="0089060B"/>
    <w:rsid w:val="00890D5A"/>
    <w:rsid w:val="00892B11"/>
    <w:rsid w:val="00895914"/>
    <w:rsid w:val="008961CD"/>
    <w:rsid w:val="008A03A8"/>
    <w:rsid w:val="008A0EE2"/>
    <w:rsid w:val="008A10CD"/>
    <w:rsid w:val="008A1463"/>
    <w:rsid w:val="008A1937"/>
    <w:rsid w:val="008A19EA"/>
    <w:rsid w:val="008A20AE"/>
    <w:rsid w:val="008A3322"/>
    <w:rsid w:val="008A352C"/>
    <w:rsid w:val="008A46AD"/>
    <w:rsid w:val="008A4836"/>
    <w:rsid w:val="008A499C"/>
    <w:rsid w:val="008A5CCB"/>
    <w:rsid w:val="008A618C"/>
    <w:rsid w:val="008A6842"/>
    <w:rsid w:val="008A6B43"/>
    <w:rsid w:val="008A70F1"/>
    <w:rsid w:val="008A770B"/>
    <w:rsid w:val="008B0033"/>
    <w:rsid w:val="008B0B04"/>
    <w:rsid w:val="008B12A0"/>
    <w:rsid w:val="008B148C"/>
    <w:rsid w:val="008B1A34"/>
    <w:rsid w:val="008B1D20"/>
    <w:rsid w:val="008B2A0F"/>
    <w:rsid w:val="008B2C94"/>
    <w:rsid w:val="008B35F7"/>
    <w:rsid w:val="008B3F1B"/>
    <w:rsid w:val="008B40A7"/>
    <w:rsid w:val="008B4C76"/>
    <w:rsid w:val="008B5110"/>
    <w:rsid w:val="008B57F7"/>
    <w:rsid w:val="008C0035"/>
    <w:rsid w:val="008C1268"/>
    <w:rsid w:val="008C17C7"/>
    <w:rsid w:val="008C2844"/>
    <w:rsid w:val="008C366F"/>
    <w:rsid w:val="008C378C"/>
    <w:rsid w:val="008C42FB"/>
    <w:rsid w:val="008C504F"/>
    <w:rsid w:val="008C54EB"/>
    <w:rsid w:val="008C6518"/>
    <w:rsid w:val="008C6C7A"/>
    <w:rsid w:val="008C7730"/>
    <w:rsid w:val="008C7BCD"/>
    <w:rsid w:val="008C7C69"/>
    <w:rsid w:val="008D0442"/>
    <w:rsid w:val="008D13E1"/>
    <w:rsid w:val="008D2657"/>
    <w:rsid w:val="008D2EDF"/>
    <w:rsid w:val="008D3036"/>
    <w:rsid w:val="008D36CA"/>
    <w:rsid w:val="008D3B36"/>
    <w:rsid w:val="008D5343"/>
    <w:rsid w:val="008D61EA"/>
    <w:rsid w:val="008D6334"/>
    <w:rsid w:val="008D7DE2"/>
    <w:rsid w:val="008E0315"/>
    <w:rsid w:val="008E0507"/>
    <w:rsid w:val="008E4167"/>
    <w:rsid w:val="008E55F1"/>
    <w:rsid w:val="008E5757"/>
    <w:rsid w:val="008E58DE"/>
    <w:rsid w:val="008E5E0C"/>
    <w:rsid w:val="008E5EC2"/>
    <w:rsid w:val="008E6575"/>
    <w:rsid w:val="008E6582"/>
    <w:rsid w:val="008E70D3"/>
    <w:rsid w:val="008E7149"/>
    <w:rsid w:val="008E77F7"/>
    <w:rsid w:val="008F19CA"/>
    <w:rsid w:val="008F3F0E"/>
    <w:rsid w:val="008F496A"/>
    <w:rsid w:val="008F5780"/>
    <w:rsid w:val="008F5A59"/>
    <w:rsid w:val="008F6B67"/>
    <w:rsid w:val="008F784F"/>
    <w:rsid w:val="008F7DF9"/>
    <w:rsid w:val="008F7E6E"/>
    <w:rsid w:val="00900FEE"/>
    <w:rsid w:val="0090180E"/>
    <w:rsid w:val="00901ECB"/>
    <w:rsid w:val="009028F3"/>
    <w:rsid w:val="00902972"/>
    <w:rsid w:val="00903F7B"/>
    <w:rsid w:val="00904793"/>
    <w:rsid w:val="00904D0A"/>
    <w:rsid w:val="009062B1"/>
    <w:rsid w:val="00907ED2"/>
    <w:rsid w:val="00910296"/>
    <w:rsid w:val="009108FE"/>
    <w:rsid w:val="00910D03"/>
    <w:rsid w:val="00911025"/>
    <w:rsid w:val="00911EA6"/>
    <w:rsid w:val="00911FAB"/>
    <w:rsid w:val="009122FE"/>
    <w:rsid w:val="009127B5"/>
    <w:rsid w:val="00912EFA"/>
    <w:rsid w:val="0091358E"/>
    <w:rsid w:val="0091411A"/>
    <w:rsid w:val="00914EDA"/>
    <w:rsid w:val="009151F6"/>
    <w:rsid w:val="00915603"/>
    <w:rsid w:val="00916747"/>
    <w:rsid w:val="00916EBE"/>
    <w:rsid w:val="00917666"/>
    <w:rsid w:val="00917B80"/>
    <w:rsid w:val="00920903"/>
    <w:rsid w:val="00920A88"/>
    <w:rsid w:val="00921E4A"/>
    <w:rsid w:val="00922517"/>
    <w:rsid w:val="00922A38"/>
    <w:rsid w:val="00922A43"/>
    <w:rsid w:val="00922F73"/>
    <w:rsid w:val="00923DEA"/>
    <w:rsid w:val="00924252"/>
    <w:rsid w:val="00924A6B"/>
    <w:rsid w:val="009252D1"/>
    <w:rsid w:val="0092582F"/>
    <w:rsid w:val="00925BF7"/>
    <w:rsid w:val="00926A23"/>
    <w:rsid w:val="00926CC5"/>
    <w:rsid w:val="009270E6"/>
    <w:rsid w:val="0093038C"/>
    <w:rsid w:val="00930645"/>
    <w:rsid w:val="00931330"/>
    <w:rsid w:val="00931B1F"/>
    <w:rsid w:val="00931CF4"/>
    <w:rsid w:val="009324D0"/>
    <w:rsid w:val="00932CA1"/>
    <w:rsid w:val="009347B5"/>
    <w:rsid w:val="009350A5"/>
    <w:rsid w:val="00935888"/>
    <w:rsid w:val="00936D6C"/>
    <w:rsid w:val="00937BC4"/>
    <w:rsid w:val="00937D6D"/>
    <w:rsid w:val="009401EE"/>
    <w:rsid w:val="009408CC"/>
    <w:rsid w:val="00941A92"/>
    <w:rsid w:val="00941D3E"/>
    <w:rsid w:val="00941E2D"/>
    <w:rsid w:val="00941E43"/>
    <w:rsid w:val="009426DA"/>
    <w:rsid w:val="009428FF"/>
    <w:rsid w:val="009438CA"/>
    <w:rsid w:val="0094497F"/>
    <w:rsid w:val="009457E8"/>
    <w:rsid w:val="00946C7E"/>
    <w:rsid w:val="00947D01"/>
    <w:rsid w:val="00950ED7"/>
    <w:rsid w:val="009521B1"/>
    <w:rsid w:val="00952447"/>
    <w:rsid w:val="0095279E"/>
    <w:rsid w:val="0095348F"/>
    <w:rsid w:val="00953F39"/>
    <w:rsid w:val="009541EF"/>
    <w:rsid w:val="00955C00"/>
    <w:rsid w:val="00957080"/>
    <w:rsid w:val="00961075"/>
    <w:rsid w:val="009620CD"/>
    <w:rsid w:val="009621B6"/>
    <w:rsid w:val="009624BA"/>
    <w:rsid w:val="00962D29"/>
    <w:rsid w:val="009631B7"/>
    <w:rsid w:val="00963B94"/>
    <w:rsid w:val="00963E74"/>
    <w:rsid w:val="00964C86"/>
    <w:rsid w:val="0096582C"/>
    <w:rsid w:val="00965BE4"/>
    <w:rsid w:val="00966AA2"/>
    <w:rsid w:val="009671F6"/>
    <w:rsid w:val="009707B5"/>
    <w:rsid w:val="00971B37"/>
    <w:rsid w:val="0097300F"/>
    <w:rsid w:val="00974072"/>
    <w:rsid w:val="00974B8D"/>
    <w:rsid w:val="00974C68"/>
    <w:rsid w:val="00975304"/>
    <w:rsid w:val="00975764"/>
    <w:rsid w:val="00975C29"/>
    <w:rsid w:val="00977C8F"/>
    <w:rsid w:val="009806ED"/>
    <w:rsid w:val="00981165"/>
    <w:rsid w:val="00981B16"/>
    <w:rsid w:val="00982180"/>
    <w:rsid w:val="0098341F"/>
    <w:rsid w:val="00983A84"/>
    <w:rsid w:val="00984399"/>
    <w:rsid w:val="00984CBD"/>
    <w:rsid w:val="00985F1F"/>
    <w:rsid w:val="009905D3"/>
    <w:rsid w:val="009915F1"/>
    <w:rsid w:val="0099260C"/>
    <w:rsid w:val="00992897"/>
    <w:rsid w:val="0099453F"/>
    <w:rsid w:val="00995842"/>
    <w:rsid w:val="00995E80"/>
    <w:rsid w:val="0099746F"/>
    <w:rsid w:val="00997E8F"/>
    <w:rsid w:val="009A0334"/>
    <w:rsid w:val="009A3308"/>
    <w:rsid w:val="009A33C9"/>
    <w:rsid w:val="009A5366"/>
    <w:rsid w:val="009A6137"/>
    <w:rsid w:val="009A7D20"/>
    <w:rsid w:val="009B2A73"/>
    <w:rsid w:val="009B30FE"/>
    <w:rsid w:val="009B51D1"/>
    <w:rsid w:val="009B547A"/>
    <w:rsid w:val="009B5FC7"/>
    <w:rsid w:val="009B6F68"/>
    <w:rsid w:val="009B77D3"/>
    <w:rsid w:val="009B7DEA"/>
    <w:rsid w:val="009C02D7"/>
    <w:rsid w:val="009C098A"/>
    <w:rsid w:val="009C0E65"/>
    <w:rsid w:val="009C17BA"/>
    <w:rsid w:val="009C236C"/>
    <w:rsid w:val="009C2649"/>
    <w:rsid w:val="009C4343"/>
    <w:rsid w:val="009C46EF"/>
    <w:rsid w:val="009C48C7"/>
    <w:rsid w:val="009C5BD4"/>
    <w:rsid w:val="009C5C84"/>
    <w:rsid w:val="009C6EAC"/>
    <w:rsid w:val="009C6F9F"/>
    <w:rsid w:val="009C7964"/>
    <w:rsid w:val="009D1018"/>
    <w:rsid w:val="009D1BDE"/>
    <w:rsid w:val="009D30A5"/>
    <w:rsid w:val="009D3959"/>
    <w:rsid w:val="009D46E6"/>
    <w:rsid w:val="009D52CA"/>
    <w:rsid w:val="009D5BC7"/>
    <w:rsid w:val="009D6829"/>
    <w:rsid w:val="009D6ACC"/>
    <w:rsid w:val="009D6EB2"/>
    <w:rsid w:val="009D73FA"/>
    <w:rsid w:val="009E0764"/>
    <w:rsid w:val="009E2BFC"/>
    <w:rsid w:val="009E2EFF"/>
    <w:rsid w:val="009E3375"/>
    <w:rsid w:val="009E6005"/>
    <w:rsid w:val="009E62F4"/>
    <w:rsid w:val="009E672D"/>
    <w:rsid w:val="009E76D6"/>
    <w:rsid w:val="009F04A6"/>
    <w:rsid w:val="009F14FC"/>
    <w:rsid w:val="009F17C5"/>
    <w:rsid w:val="009F1AD4"/>
    <w:rsid w:val="009F274D"/>
    <w:rsid w:val="009F3708"/>
    <w:rsid w:val="00A020D7"/>
    <w:rsid w:val="00A02B36"/>
    <w:rsid w:val="00A02F0D"/>
    <w:rsid w:val="00A04B48"/>
    <w:rsid w:val="00A056DB"/>
    <w:rsid w:val="00A05B74"/>
    <w:rsid w:val="00A06EFB"/>
    <w:rsid w:val="00A07464"/>
    <w:rsid w:val="00A0770B"/>
    <w:rsid w:val="00A07F85"/>
    <w:rsid w:val="00A1114A"/>
    <w:rsid w:val="00A111CC"/>
    <w:rsid w:val="00A11612"/>
    <w:rsid w:val="00A11ABE"/>
    <w:rsid w:val="00A11F28"/>
    <w:rsid w:val="00A1211C"/>
    <w:rsid w:val="00A1270C"/>
    <w:rsid w:val="00A13341"/>
    <w:rsid w:val="00A14F73"/>
    <w:rsid w:val="00A15568"/>
    <w:rsid w:val="00A15B1D"/>
    <w:rsid w:val="00A162D2"/>
    <w:rsid w:val="00A16431"/>
    <w:rsid w:val="00A16CE9"/>
    <w:rsid w:val="00A201B2"/>
    <w:rsid w:val="00A204BF"/>
    <w:rsid w:val="00A20AD0"/>
    <w:rsid w:val="00A21BFC"/>
    <w:rsid w:val="00A22ACA"/>
    <w:rsid w:val="00A2491A"/>
    <w:rsid w:val="00A24B24"/>
    <w:rsid w:val="00A24ED4"/>
    <w:rsid w:val="00A26447"/>
    <w:rsid w:val="00A27290"/>
    <w:rsid w:val="00A2769F"/>
    <w:rsid w:val="00A31523"/>
    <w:rsid w:val="00A31624"/>
    <w:rsid w:val="00A32137"/>
    <w:rsid w:val="00A337A6"/>
    <w:rsid w:val="00A340D9"/>
    <w:rsid w:val="00A3445D"/>
    <w:rsid w:val="00A34892"/>
    <w:rsid w:val="00A34BA6"/>
    <w:rsid w:val="00A35C3F"/>
    <w:rsid w:val="00A3675A"/>
    <w:rsid w:val="00A368B9"/>
    <w:rsid w:val="00A37D22"/>
    <w:rsid w:val="00A40183"/>
    <w:rsid w:val="00A4166B"/>
    <w:rsid w:val="00A423A0"/>
    <w:rsid w:val="00A427A6"/>
    <w:rsid w:val="00A43253"/>
    <w:rsid w:val="00A43477"/>
    <w:rsid w:val="00A447B1"/>
    <w:rsid w:val="00A44C82"/>
    <w:rsid w:val="00A44FB6"/>
    <w:rsid w:val="00A4558E"/>
    <w:rsid w:val="00A45CDE"/>
    <w:rsid w:val="00A46622"/>
    <w:rsid w:val="00A4692E"/>
    <w:rsid w:val="00A46D00"/>
    <w:rsid w:val="00A4785A"/>
    <w:rsid w:val="00A4799E"/>
    <w:rsid w:val="00A50066"/>
    <w:rsid w:val="00A501E8"/>
    <w:rsid w:val="00A50BA9"/>
    <w:rsid w:val="00A52B80"/>
    <w:rsid w:val="00A543C3"/>
    <w:rsid w:val="00A54ED9"/>
    <w:rsid w:val="00A556A0"/>
    <w:rsid w:val="00A56D39"/>
    <w:rsid w:val="00A57583"/>
    <w:rsid w:val="00A5759E"/>
    <w:rsid w:val="00A575AD"/>
    <w:rsid w:val="00A604D4"/>
    <w:rsid w:val="00A61676"/>
    <w:rsid w:val="00A61F7B"/>
    <w:rsid w:val="00A61F89"/>
    <w:rsid w:val="00A61FC8"/>
    <w:rsid w:val="00A622BF"/>
    <w:rsid w:val="00A62657"/>
    <w:rsid w:val="00A62915"/>
    <w:rsid w:val="00A633E5"/>
    <w:rsid w:val="00A63436"/>
    <w:rsid w:val="00A63A43"/>
    <w:rsid w:val="00A63A6C"/>
    <w:rsid w:val="00A64FB3"/>
    <w:rsid w:val="00A655B6"/>
    <w:rsid w:val="00A657D4"/>
    <w:rsid w:val="00A6730B"/>
    <w:rsid w:val="00A70440"/>
    <w:rsid w:val="00A71394"/>
    <w:rsid w:val="00A7157F"/>
    <w:rsid w:val="00A71750"/>
    <w:rsid w:val="00A717F2"/>
    <w:rsid w:val="00A7454D"/>
    <w:rsid w:val="00A7488C"/>
    <w:rsid w:val="00A75155"/>
    <w:rsid w:val="00A751DA"/>
    <w:rsid w:val="00A75261"/>
    <w:rsid w:val="00A75B26"/>
    <w:rsid w:val="00A7662E"/>
    <w:rsid w:val="00A7698A"/>
    <w:rsid w:val="00A7719A"/>
    <w:rsid w:val="00A771FD"/>
    <w:rsid w:val="00A77293"/>
    <w:rsid w:val="00A77784"/>
    <w:rsid w:val="00A77920"/>
    <w:rsid w:val="00A801D8"/>
    <w:rsid w:val="00A8097D"/>
    <w:rsid w:val="00A809E3"/>
    <w:rsid w:val="00A81364"/>
    <w:rsid w:val="00A82001"/>
    <w:rsid w:val="00A8221A"/>
    <w:rsid w:val="00A83B35"/>
    <w:rsid w:val="00A844A7"/>
    <w:rsid w:val="00A84727"/>
    <w:rsid w:val="00A853FE"/>
    <w:rsid w:val="00A855BF"/>
    <w:rsid w:val="00A86E95"/>
    <w:rsid w:val="00A872B3"/>
    <w:rsid w:val="00A87E9C"/>
    <w:rsid w:val="00A90E09"/>
    <w:rsid w:val="00A915C4"/>
    <w:rsid w:val="00A92664"/>
    <w:rsid w:val="00A93962"/>
    <w:rsid w:val="00A93C1E"/>
    <w:rsid w:val="00A946C9"/>
    <w:rsid w:val="00A95D44"/>
    <w:rsid w:val="00A964B6"/>
    <w:rsid w:val="00A96646"/>
    <w:rsid w:val="00A96CA1"/>
    <w:rsid w:val="00A96E8E"/>
    <w:rsid w:val="00A97239"/>
    <w:rsid w:val="00A97389"/>
    <w:rsid w:val="00A976A4"/>
    <w:rsid w:val="00A97744"/>
    <w:rsid w:val="00A97760"/>
    <w:rsid w:val="00A978B1"/>
    <w:rsid w:val="00AA11AB"/>
    <w:rsid w:val="00AA2BA4"/>
    <w:rsid w:val="00AA2EB1"/>
    <w:rsid w:val="00AA47DB"/>
    <w:rsid w:val="00AA5AAF"/>
    <w:rsid w:val="00AA5D8A"/>
    <w:rsid w:val="00AA6191"/>
    <w:rsid w:val="00AA68DD"/>
    <w:rsid w:val="00AA71B6"/>
    <w:rsid w:val="00AA7FC5"/>
    <w:rsid w:val="00AB0D36"/>
    <w:rsid w:val="00AB2BA4"/>
    <w:rsid w:val="00AB43C0"/>
    <w:rsid w:val="00AB4D84"/>
    <w:rsid w:val="00AB7163"/>
    <w:rsid w:val="00AB7315"/>
    <w:rsid w:val="00AB768F"/>
    <w:rsid w:val="00AC0DB0"/>
    <w:rsid w:val="00AC0DE6"/>
    <w:rsid w:val="00AC1022"/>
    <w:rsid w:val="00AC14F4"/>
    <w:rsid w:val="00AC175F"/>
    <w:rsid w:val="00AC1E71"/>
    <w:rsid w:val="00AC2A9D"/>
    <w:rsid w:val="00AC47B5"/>
    <w:rsid w:val="00AC4D6D"/>
    <w:rsid w:val="00AC5C50"/>
    <w:rsid w:val="00AC6DE4"/>
    <w:rsid w:val="00AC70FA"/>
    <w:rsid w:val="00AC7F5B"/>
    <w:rsid w:val="00AD125F"/>
    <w:rsid w:val="00AD1DF4"/>
    <w:rsid w:val="00AD24BC"/>
    <w:rsid w:val="00AD25A1"/>
    <w:rsid w:val="00AD3454"/>
    <w:rsid w:val="00AD4EA6"/>
    <w:rsid w:val="00AD5595"/>
    <w:rsid w:val="00AD5DBB"/>
    <w:rsid w:val="00AD60D5"/>
    <w:rsid w:val="00AD6628"/>
    <w:rsid w:val="00AD6B4A"/>
    <w:rsid w:val="00AD714A"/>
    <w:rsid w:val="00AD7FC2"/>
    <w:rsid w:val="00AE0282"/>
    <w:rsid w:val="00AE3132"/>
    <w:rsid w:val="00AE3584"/>
    <w:rsid w:val="00AE3E58"/>
    <w:rsid w:val="00AE4260"/>
    <w:rsid w:val="00AE50B2"/>
    <w:rsid w:val="00AE6541"/>
    <w:rsid w:val="00AE7BCA"/>
    <w:rsid w:val="00AF23F3"/>
    <w:rsid w:val="00AF317C"/>
    <w:rsid w:val="00AF370B"/>
    <w:rsid w:val="00AF3897"/>
    <w:rsid w:val="00AF3BF2"/>
    <w:rsid w:val="00AF481A"/>
    <w:rsid w:val="00AF49AD"/>
    <w:rsid w:val="00AF5454"/>
    <w:rsid w:val="00AF5990"/>
    <w:rsid w:val="00AF6C25"/>
    <w:rsid w:val="00AF71CD"/>
    <w:rsid w:val="00B0071C"/>
    <w:rsid w:val="00B00FCB"/>
    <w:rsid w:val="00B01266"/>
    <w:rsid w:val="00B024D8"/>
    <w:rsid w:val="00B0261A"/>
    <w:rsid w:val="00B04657"/>
    <w:rsid w:val="00B04DF4"/>
    <w:rsid w:val="00B057C6"/>
    <w:rsid w:val="00B06C73"/>
    <w:rsid w:val="00B072FE"/>
    <w:rsid w:val="00B07F9A"/>
    <w:rsid w:val="00B07F9E"/>
    <w:rsid w:val="00B10F7C"/>
    <w:rsid w:val="00B11299"/>
    <w:rsid w:val="00B115F8"/>
    <w:rsid w:val="00B13A86"/>
    <w:rsid w:val="00B14B3B"/>
    <w:rsid w:val="00B14FAA"/>
    <w:rsid w:val="00B16942"/>
    <w:rsid w:val="00B16F38"/>
    <w:rsid w:val="00B1741D"/>
    <w:rsid w:val="00B17B43"/>
    <w:rsid w:val="00B21735"/>
    <w:rsid w:val="00B22162"/>
    <w:rsid w:val="00B22486"/>
    <w:rsid w:val="00B2569F"/>
    <w:rsid w:val="00B2591E"/>
    <w:rsid w:val="00B27191"/>
    <w:rsid w:val="00B2728D"/>
    <w:rsid w:val="00B2786D"/>
    <w:rsid w:val="00B27E51"/>
    <w:rsid w:val="00B31D53"/>
    <w:rsid w:val="00B31F33"/>
    <w:rsid w:val="00B31F49"/>
    <w:rsid w:val="00B338EE"/>
    <w:rsid w:val="00B342FB"/>
    <w:rsid w:val="00B35404"/>
    <w:rsid w:val="00B360FC"/>
    <w:rsid w:val="00B36335"/>
    <w:rsid w:val="00B36652"/>
    <w:rsid w:val="00B36B43"/>
    <w:rsid w:val="00B37087"/>
    <w:rsid w:val="00B372EA"/>
    <w:rsid w:val="00B377AA"/>
    <w:rsid w:val="00B400FE"/>
    <w:rsid w:val="00B42246"/>
    <w:rsid w:val="00B423A8"/>
    <w:rsid w:val="00B42A70"/>
    <w:rsid w:val="00B43D4B"/>
    <w:rsid w:val="00B44EB6"/>
    <w:rsid w:val="00B4503F"/>
    <w:rsid w:val="00B45F98"/>
    <w:rsid w:val="00B46F60"/>
    <w:rsid w:val="00B47847"/>
    <w:rsid w:val="00B479FA"/>
    <w:rsid w:val="00B50270"/>
    <w:rsid w:val="00B50651"/>
    <w:rsid w:val="00B50ADF"/>
    <w:rsid w:val="00B50B88"/>
    <w:rsid w:val="00B50BFB"/>
    <w:rsid w:val="00B50D78"/>
    <w:rsid w:val="00B50EFF"/>
    <w:rsid w:val="00B51E2F"/>
    <w:rsid w:val="00B523D3"/>
    <w:rsid w:val="00B52EA7"/>
    <w:rsid w:val="00B53789"/>
    <w:rsid w:val="00B54210"/>
    <w:rsid w:val="00B55EAE"/>
    <w:rsid w:val="00B56365"/>
    <w:rsid w:val="00B56987"/>
    <w:rsid w:val="00B5722C"/>
    <w:rsid w:val="00B57410"/>
    <w:rsid w:val="00B57D84"/>
    <w:rsid w:val="00B6004D"/>
    <w:rsid w:val="00B600B0"/>
    <w:rsid w:val="00B605E1"/>
    <w:rsid w:val="00B620A8"/>
    <w:rsid w:val="00B62ABC"/>
    <w:rsid w:val="00B62B4A"/>
    <w:rsid w:val="00B635C6"/>
    <w:rsid w:val="00B642BA"/>
    <w:rsid w:val="00B64D66"/>
    <w:rsid w:val="00B654DB"/>
    <w:rsid w:val="00B65A68"/>
    <w:rsid w:val="00B663CC"/>
    <w:rsid w:val="00B66456"/>
    <w:rsid w:val="00B7003E"/>
    <w:rsid w:val="00B70F47"/>
    <w:rsid w:val="00B71699"/>
    <w:rsid w:val="00B71A12"/>
    <w:rsid w:val="00B71BC6"/>
    <w:rsid w:val="00B743D5"/>
    <w:rsid w:val="00B745C0"/>
    <w:rsid w:val="00B748CC"/>
    <w:rsid w:val="00B74C08"/>
    <w:rsid w:val="00B761EA"/>
    <w:rsid w:val="00B779A4"/>
    <w:rsid w:val="00B81241"/>
    <w:rsid w:val="00B81742"/>
    <w:rsid w:val="00B82859"/>
    <w:rsid w:val="00B82A07"/>
    <w:rsid w:val="00B833D2"/>
    <w:rsid w:val="00B83941"/>
    <w:rsid w:val="00B844D5"/>
    <w:rsid w:val="00B85516"/>
    <w:rsid w:val="00B8750E"/>
    <w:rsid w:val="00B87711"/>
    <w:rsid w:val="00B8785A"/>
    <w:rsid w:val="00B87E55"/>
    <w:rsid w:val="00B87FE5"/>
    <w:rsid w:val="00B935BC"/>
    <w:rsid w:val="00B9518D"/>
    <w:rsid w:val="00B952F2"/>
    <w:rsid w:val="00B96808"/>
    <w:rsid w:val="00B977C3"/>
    <w:rsid w:val="00B97975"/>
    <w:rsid w:val="00BA09ED"/>
    <w:rsid w:val="00BA133F"/>
    <w:rsid w:val="00BA18E4"/>
    <w:rsid w:val="00BA3133"/>
    <w:rsid w:val="00BA36F7"/>
    <w:rsid w:val="00BA50CF"/>
    <w:rsid w:val="00BA5BA6"/>
    <w:rsid w:val="00BA6169"/>
    <w:rsid w:val="00BA700E"/>
    <w:rsid w:val="00BA717C"/>
    <w:rsid w:val="00BA7245"/>
    <w:rsid w:val="00BA77B1"/>
    <w:rsid w:val="00BA7D97"/>
    <w:rsid w:val="00BA7DAF"/>
    <w:rsid w:val="00BA7F7F"/>
    <w:rsid w:val="00BB01C3"/>
    <w:rsid w:val="00BB08A3"/>
    <w:rsid w:val="00BB10C6"/>
    <w:rsid w:val="00BB1D19"/>
    <w:rsid w:val="00BB3543"/>
    <w:rsid w:val="00BB4CD5"/>
    <w:rsid w:val="00BB4FA7"/>
    <w:rsid w:val="00BB677E"/>
    <w:rsid w:val="00BB7F8B"/>
    <w:rsid w:val="00BC004E"/>
    <w:rsid w:val="00BC01EF"/>
    <w:rsid w:val="00BC0803"/>
    <w:rsid w:val="00BC1AC0"/>
    <w:rsid w:val="00BC1E04"/>
    <w:rsid w:val="00BC23A6"/>
    <w:rsid w:val="00BC2ABE"/>
    <w:rsid w:val="00BC315E"/>
    <w:rsid w:val="00BC3F91"/>
    <w:rsid w:val="00BC47C4"/>
    <w:rsid w:val="00BC4C1A"/>
    <w:rsid w:val="00BC51F9"/>
    <w:rsid w:val="00BC5D57"/>
    <w:rsid w:val="00BC5EA0"/>
    <w:rsid w:val="00BC5EBD"/>
    <w:rsid w:val="00BC687A"/>
    <w:rsid w:val="00BC6BEE"/>
    <w:rsid w:val="00BC7234"/>
    <w:rsid w:val="00BC7442"/>
    <w:rsid w:val="00BC7C95"/>
    <w:rsid w:val="00BD0114"/>
    <w:rsid w:val="00BD0CA0"/>
    <w:rsid w:val="00BD3676"/>
    <w:rsid w:val="00BD4E32"/>
    <w:rsid w:val="00BD6B83"/>
    <w:rsid w:val="00BD7034"/>
    <w:rsid w:val="00BD7CA6"/>
    <w:rsid w:val="00BE0240"/>
    <w:rsid w:val="00BE1B30"/>
    <w:rsid w:val="00BE43DF"/>
    <w:rsid w:val="00BE46CE"/>
    <w:rsid w:val="00BE480D"/>
    <w:rsid w:val="00BE5659"/>
    <w:rsid w:val="00BE6DC5"/>
    <w:rsid w:val="00BE70F5"/>
    <w:rsid w:val="00BF2363"/>
    <w:rsid w:val="00BF2B41"/>
    <w:rsid w:val="00BF3375"/>
    <w:rsid w:val="00BF36CB"/>
    <w:rsid w:val="00BF3C8B"/>
    <w:rsid w:val="00BF5609"/>
    <w:rsid w:val="00BF5DA4"/>
    <w:rsid w:val="00BF68AC"/>
    <w:rsid w:val="00BF6C17"/>
    <w:rsid w:val="00BF715E"/>
    <w:rsid w:val="00C0094A"/>
    <w:rsid w:val="00C021C6"/>
    <w:rsid w:val="00C02A67"/>
    <w:rsid w:val="00C02CD9"/>
    <w:rsid w:val="00C03059"/>
    <w:rsid w:val="00C03F75"/>
    <w:rsid w:val="00C04480"/>
    <w:rsid w:val="00C05BB8"/>
    <w:rsid w:val="00C067C7"/>
    <w:rsid w:val="00C06A70"/>
    <w:rsid w:val="00C06C08"/>
    <w:rsid w:val="00C0720C"/>
    <w:rsid w:val="00C0727E"/>
    <w:rsid w:val="00C07AFE"/>
    <w:rsid w:val="00C07B7E"/>
    <w:rsid w:val="00C114B7"/>
    <w:rsid w:val="00C12656"/>
    <w:rsid w:val="00C12898"/>
    <w:rsid w:val="00C12BB5"/>
    <w:rsid w:val="00C12C1C"/>
    <w:rsid w:val="00C134DB"/>
    <w:rsid w:val="00C1405F"/>
    <w:rsid w:val="00C14B27"/>
    <w:rsid w:val="00C158EA"/>
    <w:rsid w:val="00C169D4"/>
    <w:rsid w:val="00C17B6C"/>
    <w:rsid w:val="00C203A3"/>
    <w:rsid w:val="00C20507"/>
    <w:rsid w:val="00C22A5D"/>
    <w:rsid w:val="00C23C97"/>
    <w:rsid w:val="00C254DB"/>
    <w:rsid w:val="00C25807"/>
    <w:rsid w:val="00C25997"/>
    <w:rsid w:val="00C2699E"/>
    <w:rsid w:val="00C27734"/>
    <w:rsid w:val="00C304F3"/>
    <w:rsid w:val="00C31A2A"/>
    <w:rsid w:val="00C31D34"/>
    <w:rsid w:val="00C32518"/>
    <w:rsid w:val="00C32EBD"/>
    <w:rsid w:val="00C3320C"/>
    <w:rsid w:val="00C35D14"/>
    <w:rsid w:val="00C37144"/>
    <w:rsid w:val="00C405A8"/>
    <w:rsid w:val="00C4118E"/>
    <w:rsid w:val="00C4345F"/>
    <w:rsid w:val="00C4407F"/>
    <w:rsid w:val="00C44CC1"/>
    <w:rsid w:val="00C45848"/>
    <w:rsid w:val="00C458AE"/>
    <w:rsid w:val="00C45AC5"/>
    <w:rsid w:val="00C45E63"/>
    <w:rsid w:val="00C46D93"/>
    <w:rsid w:val="00C46F9E"/>
    <w:rsid w:val="00C47D02"/>
    <w:rsid w:val="00C509CB"/>
    <w:rsid w:val="00C51B90"/>
    <w:rsid w:val="00C51E05"/>
    <w:rsid w:val="00C5262C"/>
    <w:rsid w:val="00C540BF"/>
    <w:rsid w:val="00C542D1"/>
    <w:rsid w:val="00C61D1B"/>
    <w:rsid w:val="00C6294F"/>
    <w:rsid w:val="00C632F7"/>
    <w:rsid w:val="00C6349D"/>
    <w:rsid w:val="00C63B5E"/>
    <w:rsid w:val="00C63E90"/>
    <w:rsid w:val="00C65842"/>
    <w:rsid w:val="00C65E8F"/>
    <w:rsid w:val="00C671D0"/>
    <w:rsid w:val="00C67821"/>
    <w:rsid w:val="00C67EFD"/>
    <w:rsid w:val="00C7000B"/>
    <w:rsid w:val="00C70636"/>
    <w:rsid w:val="00C7092D"/>
    <w:rsid w:val="00C7124E"/>
    <w:rsid w:val="00C718BF"/>
    <w:rsid w:val="00C728E4"/>
    <w:rsid w:val="00C748F4"/>
    <w:rsid w:val="00C7511B"/>
    <w:rsid w:val="00C75A6C"/>
    <w:rsid w:val="00C75CAE"/>
    <w:rsid w:val="00C75F9E"/>
    <w:rsid w:val="00C76F49"/>
    <w:rsid w:val="00C8085E"/>
    <w:rsid w:val="00C80C94"/>
    <w:rsid w:val="00C816FA"/>
    <w:rsid w:val="00C81AEC"/>
    <w:rsid w:val="00C835C4"/>
    <w:rsid w:val="00C83659"/>
    <w:rsid w:val="00C83912"/>
    <w:rsid w:val="00C83A5E"/>
    <w:rsid w:val="00C85479"/>
    <w:rsid w:val="00C85D77"/>
    <w:rsid w:val="00C85F1B"/>
    <w:rsid w:val="00C8655F"/>
    <w:rsid w:val="00C90DE4"/>
    <w:rsid w:val="00C90E6B"/>
    <w:rsid w:val="00C91C62"/>
    <w:rsid w:val="00C94134"/>
    <w:rsid w:val="00C950A4"/>
    <w:rsid w:val="00C9564A"/>
    <w:rsid w:val="00C95C35"/>
    <w:rsid w:val="00C9653C"/>
    <w:rsid w:val="00C96D32"/>
    <w:rsid w:val="00C97305"/>
    <w:rsid w:val="00C97DAE"/>
    <w:rsid w:val="00CA234A"/>
    <w:rsid w:val="00CA29CD"/>
    <w:rsid w:val="00CA3022"/>
    <w:rsid w:val="00CA3320"/>
    <w:rsid w:val="00CA5532"/>
    <w:rsid w:val="00CA57DB"/>
    <w:rsid w:val="00CA7481"/>
    <w:rsid w:val="00CB0CBC"/>
    <w:rsid w:val="00CB2ACB"/>
    <w:rsid w:val="00CB2CD6"/>
    <w:rsid w:val="00CB36E6"/>
    <w:rsid w:val="00CB3B0D"/>
    <w:rsid w:val="00CB43A4"/>
    <w:rsid w:val="00CB5AD8"/>
    <w:rsid w:val="00CB6D4E"/>
    <w:rsid w:val="00CB7772"/>
    <w:rsid w:val="00CB7F6A"/>
    <w:rsid w:val="00CC0113"/>
    <w:rsid w:val="00CC1298"/>
    <w:rsid w:val="00CC15D2"/>
    <w:rsid w:val="00CC1AFF"/>
    <w:rsid w:val="00CC1D2E"/>
    <w:rsid w:val="00CC1E3B"/>
    <w:rsid w:val="00CC2170"/>
    <w:rsid w:val="00CC25E5"/>
    <w:rsid w:val="00CC3A12"/>
    <w:rsid w:val="00CC400D"/>
    <w:rsid w:val="00CC403A"/>
    <w:rsid w:val="00CC43D0"/>
    <w:rsid w:val="00CC4C1F"/>
    <w:rsid w:val="00CC5501"/>
    <w:rsid w:val="00CC5CF1"/>
    <w:rsid w:val="00CC5EBF"/>
    <w:rsid w:val="00CC60FC"/>
    <w:rsid w:val="00CD1D3D"/>
    <w:rsid w:val="00CD53D4"/>
    <w:rsid w:val="00CD6485"/>
    <w:rsid w:val="00CD6E0D"/>
    <w:rsid w:val="00CD7947"/>
    <w:rsid w:val="00CD7D38"/>
    <w:rsid w:val="00CD7D44"/>
    <w:rsid w:val="00CE0318"/>
    <w:rsid w:val="00CE086F"/>
    <w:rsid w:val="00CE14D2"/>
    <w:rsid w:val="00CE1535"/>
    <w:rsid w:val="00CE1CA7"/>
    <w:rsid w:val="00CE342C"/>
    <w:rsid w:val="00CE456E"/>
    <w:rsid w:val="00CF13AD"/>
    <w:rsid w:val="00CF19B7"/>
    <w:rsid w:val="00CF2371"/>
    <w:rsid w:val="00CF2E89"/>
    <w:rsid w:val="00CF2F13"/>
    <w:rsid w:val="00CF72FD"/>
    <w:rsid w:val="00D015AD"/>
    <w:rsid w:val="00D01DD8"/>
    <w:rsid w:val="00D0277C"/>
    <w:rsid w:val="00D0406B"/>
    <w:rsid w:val="00D0415B"/>
    <w:rsid w:val="00D0457B"/>
    <w:rsid w:val="00D046EF"/>
    <w:rsid w:val="00D049C2"/>
    <w:rsid w:val="00D04DF0"/>
    <w:rsid w:val="00D04EE8"/>
    <w:rsid w:val="00D0539F"/>
    <w:rsid w:val="00D053AC"/>
    <w:rsid w:val="00D05F5F"/>
    <w:rsid w:val="00D06411"/>
    <w:rsid w:val="00D06607"/>
    <w:rsid w:val="00D06C81"/>
    <w:rsid w:val="00D07658"/>
    <w:rsid w:val="00D1155E"/>
    <w:rsid w:val="00D123C1"/>
    <w:rsid w:val="00D14383"/>
    <w:rsid w:val="00D14763"/>
    <w:rsid w:val="00D15F81"/>
    <w:rsid w:val="00D17BD0"/>
    <w:rsid w:val="00D17E0C"/>
    <w:rsid w:val="00D20053"/>
    <w:rsid w:val="00D20C29"/>
    <w:rsid w:val="00D21341"/>
    <w:rsid w:val="00D22184"/>
    <w:rsid w:val="00D23489"/>
    <w:rsid w:val="00D23B58"/>
    <w:rsid w:val="00D2457C"/>
    <w:rsid w:val="00D24F85"/>
    <w:rsid w:val="00D2655D"/>
    <w:rsid w:val="00D2685F"/>
    <w:rsid w:val="00D26D4C"/>
    <w:rsid w:val="00D27D2A"/>
    <w:rsid w:val="00D30C28"/>
    <w:rsid w:val="00D3135B"/>
    <w:rsid w:val="00D32E90"/>
    <w:rsid w:val="00D335B2"/>
    <w:rsid w:val="00D34297"/>
    <w:rsid w:val="00D35152"/>
    <w:rsid w:val="00D35BD0"/>
    <w:rsid w:val="00D374E2"/>
    <w:rsid w:val="00D374F2"/>
    <w:rsid w:val="00D379EB"/>
    <w:rsid w:val="00D37E4F"/>
    <w:rsid w:val="00D37EB6"/>
    <w:rsid w:val="00D4116B"/>
    <w:rsid w:val="00D4212C"/>
    <w:rsid w:val="00D441C2"/>
    <w:rsid w:val="00D45482"/>
    <w:rsid w:val="00D469BB"/>
    <w:rsid w:val="00D46DAE"/>
    <w:rsid w:val="00D477D3"/>
    <w:rsid w:val="00D5048E"/>
    <w:rsid w:val="00D5127E"/>
    <w:rsid w:val="00D514E8"/>
    <w:rsid w:val="00D51627"/>
    <w:rsid w:val="00D5282C"/>
    <w:rsid w:val="00D52912"/>
    <w:rsid w:val="00D54551"/>
    <w:rsid w:val="00D54C96"/>
    <w:rsid w:val="00D55904"/>
    <w:rsid w:val="00D564AD"/>
    <w:rsid w:val="00D56F4B"/>
    <w:rsid w:val="00D56FFC"/>
    <w:rsid w:val="00D57AD0"/>
    <w:rsid w:val="00D57F46"/>
    <w:rsid w:val="00D61833"/>
    <w:rsid w:val="00D6205A"/>
    <w:rsid w:val="00D62556"/>
    <w:rsid w:val="00D639BD"/>
    <w:rsid w:val="00D6554B"/>
    <w:rsid w:val="00D6572B"/>
    <w:rsid w:val="00D65750"/>
    <w:rsid w:val="00D65F97"/>
    <w:rsid w:val="00D66637"/>
    <w:rsid w:val="00D66683"/>
    <w:rsid w:val="00D6703E"/>
    <w:rsid w:val="00D672EB"/>
    <w:rsid w:val="00D71AC3"/>
    <w:rsid w:val="00D71B8C"/>
    <w:rsid w:val="00D72721"/>
    <w:rsid w:val="00D7273A"/>
    <w:rsid w:val="00D72909"/>
    <w:rsid w:val="00D73CAE"/>
    <w:rsid w:val="00D74123"/>
    <w:rsid w:val="00D7469E"/>
    <w:rsid w:val="00D74D6C"/>
    <w:rsid w:val="00D75BF1"/>
    <w:rsid w:val="00D76CF4"/>
    <w:rsid w:val="00D76D68"/>
    <w:rsid w:val="00D77796"/>
    <w:rsid w:val="00D80A6C"/>
    <w:rsid w:val="00D829E1"/>
    <w:rsid w:val="00D83FA8"/>
    <w:rsid w:val="00D842B6"/>
    <w:rsid w:val="00D847F7"/>
    <w:rsid w:val="00D85662"/>
    <w:rsid w:val="00D8766D"/>
    <w:rsid w:val="00D87A5A"/>
    <w:rsid w:val="00D92736"/>
    <w:rsid w:val="00D9291A"/>
    <w:rsid w:val="00D9303E"/>
    <w:rsid w:val="00D953C1"/>
    <w:rsid w:val="00D96FA3"/>
    <w:rsid w:val="00D9742F"/>
    <w:rsid w:val="00DA080C"/>
    <w:rsid w:val="00DA0ECE"/>
    <w:rsid w:val="00DA0FEC"/>
    <w:rsid w:val="00DA1420"/>
    <w:rsid w:val="00DA158D"/>
    <w:rsid w:val="00DA2A70"/>
    <w:rsid w:val="00DA2CDF"/>
    <w:rsid w:val="00DA352E"/>
    <w:rsid w:val="00DA3DC2"/>
    <w:rsid w:val="00DA6DD3"/>
    <w:rsid w:val="00DA6FF6"/>
    <w:rsid w:val="00DA7B3F"/>
    <w:rsid w:val="00DB0CFC"/>
    <w:rsid w:val="00DB0D8E"/>
    <w:rsid w:val="00DB2799"/>
    <w:rsid w:val="00DB2F00"/>
    <w:rsid w:val="00DB47D9"/>
    <w:rsid w:val="00DB6474"/>
    <w:rsid w:val="00DB6528"/>
    <w:rsid w:val="00DC04E7"/>
    <w:rsid w:val="00DC225B"/>
    <w:rsid w:val="00DC29DA"/>
    <w:rsid w:val="00DC31FC"/>
    <w:rsid w:val="00DC39B3"/>
    <w:rsid w:val="00DC41B7"/>
    <w:rsid w:val="00DC6715"/>
    <w:rsid w:val="00DC73CF"/>
    <w:rsid w:val="00DC7494"/>
    <w:rsid w:val="00DC7654"/>
    <w:rsid w:val="00DC7964"/>
    <w:rsid w:val="00DD02C2"/>
    <w:rsid w:val="00DD0BAE"/>
    <w:rsid w:val="00DD16FF"/>
    <w:rsid w:val="00DD17EF"/>
    <w:rsid w:val="00DD2399"/>
    <w:rsid w:val="00DD242B"/>
    <w:rsid w:val="00DD27ED"/>
    <w:rsid w:val="00DD2C76"/>
    <w:rsid w:val="00DD4FA3"/>
    <w:rsid w:val="00DD520C"/>
    <w:rsid w:val="00DD6471"/>
    <w:rsid w:val="00DD64D9"/>
    <w:rsid w:val="00DD6951"/>
    <w:rsid w:val="00DD78CB"/>
    <w:rsid w:val="00DD79C5"/>
    <w:rsid w:val="00DD7D8D"/>
    <w:rsid w:val="00DE0E50"/>
    <w:rsid w:val="00DE16E4"/>
    <w:rsid w:val="00DE335C"/>
    <w:rsid w:val="00DE4461"/>
    <w:rsid w:val="00DE4733"/>
    <w:rsid w:val="00DE517E"/>
    <w:rsid w:val="00DE5786"/>
    <w:rsid w:val="00DE5856"/>
    <w:rsid w:val="00DE7099"/>
    <w:rsid w:val="00DF0250"/>
    <w:rsid w:val="00DF0609"/>
    <w:rsid w:val="00DF096B"/>
    <w:rsid w:val="00DF2005"/>
    <w:rsid w:val="00DF2214"/>
    <w:rsid w:val="00DF24BD"/>
    <w:rsid w:val="00DF2A53"/>
    <w:rsid w:val="00DF3195"/>
    <w:rsid w:val="00DF4274"/>
    <w:rsid w:val="00DF4B88"/>
    <w:rsid w:val="00DF4DDA"/>
    <w:rsid w:val="00DF52E3"/>
    <w:rsid w:val="00DF5D75"/>
    <w:rsid w:val="00DF789C"/>
    <w:rsid w:val="00DF7BCD"/>
    <w:rsid w:val="00E01481"/>
    <w:rsid w:val="00E018D2"/>
    <w:rsid w:val="00E01EF0"/>
    <w:rsid w:val="00E024C6"/>
    <w:rsid w:val="00E02C09"/>
    <w:rsid w:val="00E0408D"/>
    <w:rsid w:val="00E06173"/>
    <w:rsid w:val="00E064CC"/>
    <w:rsid w:val="00E065B2"/>
    <w:rsid w:val="00E06791"/>
    <w:rsid w:val="00E07738"/>
    <w:rsid w:val="00E077C8"/>
    <w:rsid w:val="00E078CA"/>
    <w:rsid w:val="00E079B9"/>
    <w:rsid w:val="00E07EAE"/>
    <w:rsid w:val="00E10033"/>
    <w:rsid w:val="00E1077A"/>
    <w:rsid w:val="00E11743"/>
    <w:rsid w:val="00E119FE"/>
    <w:rsid w:val="00E124B2"/>
    <w:rsid w:val="00E12CBC"/>
    <w:rsid w:val="00E13BA8"/>
    <w:rsid w:val="00E13D0E"/>
    <w:rsid w:val="00E1505F"/>
    <w:rsid w:val="00E15E65"/>
    <w:rsid w:val="00E15E96"/>
    <w:rsid w:val="00E16167"/>
    <w:rsid w:val="00E16336"/>
    <w:rsid w:val="00E165ED"/>
    <w:rsid w:val="00E16D83"/>
    <w:rsid w:val="00E20125"/>
    <w:rsid w:val="00E20F06"/>
    <w:rsid w:val="00E21473"/>
    <w:rsid w:val="00E21F6D"/>
    <w:rsid w:val="00E2214B"/>
    <w:rsid w:val="00E223CE"/>
    <w:rsid w:val="00E23ADD"/>
    <w:rsid w:val="00E2786D"/>
    <w:rsid w:val="00E313B1"/>
    <w:rsid w:val="00E313EA"/>
    <w:rsid w:val="00E31EB8"/>
    <w:rsid w:val="00E323F5"/>
    <w:rsid w:val="00E32851"/>
    <w:rsid w:val="00E333CB"/>
    <w:rsid w:val="00E33B04"/>
    <w:rsid w:val="00E33F82"/>
    <w:rsid w:val="00E347A7"/>
    <w:rsid w:val="00E34DD6"/>
    <w:rsid w:val="00E352D3"/>
    <w:rsid w:val="00E355C3"/>
    <w:rsid w:val="00E36366"/>
    <w:rsid w:val="00E370C1"/>
    <w:rsid w:val="00E40DF8"/>
    <w:rsid w:val="00E41717"/>
    <w:rsid w:val="00E4204E"/>
    <w:rsid w:val="00E42F32"/>
    <w:rsid w:val="00E431AE"/>
    <w:rsid w:val="00E43415"/>
    <w:rsid w:val="00E434A2"/>
    <w:rsid w:val="00E440BF"/>
    <w:rsid w:val="00E44E05"/>
    <w:rsid w:val="00E45B6B"/>
    <w:rsid w:val="00E4602C"/>
    <w:rsid w:val="00E4602F"/>
    <w:rsid w:val="00E4775D"/>
    <w:rsid w:val="00E47AEB"/>
    <w:rsid w:val="00E5059F"/>
    <w:rsid w:val="00E513F4"/>
    <w:rsid w:val="00E519B4"/>
    <w:rsid w:val="00E51BB1"/>
    <w:rsid w:val="00E53C55"/>
    <w:rsid w:val="00E5528E"/>
    <w:rsid w:val="00E55724"/>
    <w:rsid w:val="00E573BB"/>
    <w:rsid w:val="00E57E85"/>
    <w:rsid w:val="00E61204"/>
    <w:rsid w:val="00E615DC"/>
    <w:rsid w:val="00E61F8B"/>
    <w:rsid w:val="00E6269D"/>
    <w:rsid w:val="00E629DA"/>
    <w:rsid w:val="00E62F8F"/>
    <w:rsid w:val="00E6378C"/>
    <w:rsid w:val="00E65C20"/>
    <w:rsid w:val="00E65F2E"/>
    <w:rsid w:val="00E6697B"/>
    <w:rsid w:val="00E66B73"/>
    <w:rsid w:val="00E66D85"/>
    <w:rsid w:val="00E67000"/>
    <w:rsid w:val="00E678A1"/>
    <w:rsid w:val="00E67972"/>
    <w:rsid w:val="00E67DE4"/>
    <w:rsid w:val="00E703A2"/>
    <w:rsid w:val="00E70AAF"/>
    <w:rsid w:val="00E70F2C"/>
    <w:rsid w:val="00E722EF"/>
    <w:rsid w:val="00E73F4A"/>
    <w:rsid w:val="00E74187"/>
    <w:rsid w:val="00E74485"/>
    <w:rsid w:val="00E74DF2"/>
    <w:rsid w:val="00E74FDC"/>
    <w:rsid w:val="00E7519B"/>
    <w:rsid w:val="00E754E5"/>
    <w:rsid w:val="00E758E3"/>
    <w:rsid w:val="00E76FEF"/>
    <w:rsid w:val="00E77708"/>
    <w:rsid w:val="00E77D40"/>
    <w:rsid w:val="00E80AFF"/>
    <w:rsid w:val="00E80FCC"/>
    <w:rsid w:val="00E81562"/>
    <w:rsid w:val="00E81BA1"/>
    <w:rsid w:val="00E82FE4"/>
    <w:rsid w:val="00E83820"/>
    <w:rsid w:val="00E846E3"/>
    <w:rsid w:val="00E84CC8"/>
    <w:rsid w:val="00E8597A"/>
    <w:rsid w:val="00E85A56"/>
    <w:rsid w:val="00E86041"/>
    <w:rsid w:val="00E86E17"/>
    <w:rsid w:val="00E86FA6"/>
    <w:rsid w:val="00E9067C"/>
    <w:rsid w:val="00E90E42"/>
    <w:rsid w:val="00E91A10"/>
    <w:rsid w:val="00E924BE"/>
    <w:rsid w:val="00E92613"/>
    <w:rsid w:val="00E93C79"/>
    <w:rsid w:val="00E943DE"/>
    <w:rsid w:val="00E945D9"/>
    <w:rsid w:val="00E947FD"/>
    <w:rsid w:val="00E94F07"/>
    <w:rsid w:val="00E96360"/>
    <w:rsid w:val="00E96E32"/>
    <w:rsid w:val="00EA0D79"/>
    <w:rsid w:val="00EA0F74"/>
    <w:rsid w:val="00EA2124"/>
    <w:rsid w:val="00EA2AAB"/>
    <w:rsid w:val="00EA2C4E"/>
    <w:rsid w:val="00EA2FFA"/>
    <w:rsid w:val="00EA458F"/>
    <w:rsid w:val="00EA466B"/>
    <w:rsid w:val="00EA4913"/>
    <w:rsid w:val="00EA4B3E"/>
    <w:rsid w:val="00EA5079"/>
    <w:rsid w:val="00EA525B"/>
    <w:rsid w:val="00EA6259"/>
    <w:rsid w:val="00EA685A"/>
    <w:rsid w:val="00EA6B6B"/>
    <w:rsid w:val="00EA7941"/>
    <w:rsid w:val="00EA7BC6"/>
    <w:rsid w:val="00EA7C76"/>
    <w:rsid w:val="00EB00B4"/>
    <w:rsid w:val="00EB2DB0"/>
    <w:rsid w:val="00EB3DA9"/>
    <w:rsid w:val="00EB4DBE"/>
    <w:rsid w:val="00EB66A0"/>
    <w:rsid w:val="00EB6DBD"/>
    <w:rsid w:val="00EC04C3"/>
    <w:rsid w:val="00EC0F51"/>
    <w:rsid w:val="00EC138C"/>
    <w:rsid w:val="00EC1AE1"/>
    <w:rsid w:val="00EC1CA6"/>
    <w:rsid w:val="00EC47BE"/>
    <w:rsid w:val="00EC4EFC"/>
    <w:rsid w:val="00EC502D"/>
    <w:rsid w:val="00EC6646"/>
    <w:rsid w:val="00EC66D8"/>
    <w:rsid w:val="00EC6D9F"/>
    <w:rsid w:val="00EC7BBC"/>
    <w:rsid w:val="00EC7DE9"/>
    <w:rsid w:val="00ED10F3"/>
    <w:rsid w:val="00ED2644"/>
    <w:rsid w:val="00ED2DBB"/>
    <w:rsid w:val="00ED35CE"/>
    <w:rsid w:val="00ED37D0"/>
    <w:rsid w:val="00ED5A3F"/>
    <w:rsid w:val="00ED6302"/>
    <w:rsid w:val="00ED663B"/>
    <w:rsid w:val="00ED6ADD"/>
    <w:rsid w:val="00ED6F73"/>
    <w:rsid w:val="00ED7761"/>
    <w:rsid w:val="00ED7E57"/>
    <w:rsid w:val="00EE02F1"/>
    <w:rsid w:val="00EE035A"/>
    <w:rsid w:val="00EE037C"/>
    <w:rsid w:val="00EE0473"/>
    <w:rsid w:val="00EE05C3"/>
    <w:rsid w:val="00EE07B7"/>
    <w:rsid w:val="00EE14C2"/>
    <w:rsid w:val="00EE16A7"/>
    <w:rsid w:val="00EE20D8"/>
    <w:rsid w:val="00EE2CCB"/>
    <w:rsid w:val="00EE40F8"/>
    <w:rsid w:val="00EE4333"/>
    <w:rsid w:val="00EE4B9F"/>
    <w:rsid w:val="00EE4C37"/>
    <w:rsid w:val="00EE5320"/>
    <w:rsid w:val="00EE56BC"/>
    <w:rsid w:val="00EE6C2E"/>
    <w:rsid w:val="00EF032F"/>
    <w:rsid w:val="00EF1524"/>
    <w:rsid w:val="00EF1B61"/>
    <w:rsid w:val="00EF1CD9"/>
    <w:rsid w:val="00EF2007"/>
    <w:rsid w:val="00EF285E"/>
    <w:rsid w:val="00EF40C1"/>
    <w:rsid w:val="00EF4C2C"/>
    <w:rsid w:val="00EF4D1E"/>
    <w:rsid w:val="00EF5CCC"/>
    <w:rsid w:val="00EF6310"/>
    <w:rsid w:val="00F0136A"/>
    <w:rsid w:val="00F018BB"/>
    <w:rsid w:val="00F02A54"/>
    <w:rsid w:val="00F0380B"/>
    <w:rsid w:val="00F038DE"/>
    <w:rsid w:val="00F03FEA"/>
    <w:rsid w:val="00F04E0E"/>
    <w:rsid w:val="00F05D28"/>
    <w:rsid w:val="00F073F1"/>
    <w:rsid w:val="00F07DD6"/>
    <w:rsid w:val="00F109F6"/>
    <w:rsid w:val="00F10E20"/>
    <w:rsid w:val="00F10EB3"/>
    <w:rsid w:val="00F11A6E"/>
    <w:rsid w:val="00F11B26"/>
    <w:rsid w:val="00F11DA9"/>
    <w:rsid w:val="00F1212B"/>
    <w:rsid w:val="00F12319"/>
    <w:rsid w:val="00F13602"/>
    <w:rsid w:val="00F136A3"/>
    <w:rsid w:val="00F1518F"/>
    <w:rsid w:val="00F15486"/>
    <w:rsid w:val="00F15BDB"/>
    <w:rsid w:val="00F15F0F"/>
    <w:rsid w:val="00F17101"/>
    <w:rsid w:val="00F172F2"/>
    <w:rsid w:val="00F17E19"/>
    <w:rsid w:val="00F20B29"/>
    <w:rsid w:val="00F20E24"/>
    <w:rsid w:val="00F21CD5"/>
    <w:rsid w:val="00F22835"/>
    <w:rsid w:val="00F22AB5"/>
    <w:rsid w:val="00F23324"/>
    <w:rsid w:val="00F237AD"/>
    <w:rsid w:val="00F24CBC"/>
    <w:rsid w:val="00F24ED7"/>
    <w:rsid w:val="00F24EF2"/>
    <w:rsid w:val="00F25F8C"/>
    <w:rsid w:val="00F262BC"/>
    <w:rsid w:val="00F27043"/>
    <w:rsid w:val="00F27057"/>
    <w:rsid w:val="00F2755D"/>
    <w:rsid w:val="00F279FA"/>
    <w:rsid w:val="00F27A10"/>
    <w:rsid w:val="00F27DFF"/>
    <w:rsid w:val="00F27F7B"/>
    <w:rsid w:val="00F30741"/>
    <w:rsid w:val="00F30E1C"/>
    <w:rsid w:val="00F30F44"/>
    <w:rsid w:val="00F311B1"/>
    <w:rsid w:val="00F3238A"/>
    <w:rsid w:val="00F32FE8"/>
    <w:rsid w:val="00F33FA6"/>
    <w:rsid w:val="00F34A1B"/>
    <w:rsid w:val="00F3534D"/>
    <w:rsid w:val="00F3656B"/>
    <w:rsid w:val="00F36D45"/>
    <w:rsid w:val="00F37B1C"/>
    <w:rsid w:val="00F40622"/>
    <w:rsid w:val="00F408A2"/>
    <w:rsid w:val="00F40C76"/>
    <w:rsid w:val="00F4173A"/>
    <w:rsid w:val="00F425C9"/>
    <w:rsid w:val="00F4270B"/>
    <w:rsid w:val="00F4353B"/>
    <w:rsid w:val="00F4382B"/>
    <w:rsid w:val="00F43863"/>
    <w:rsid w:val="00F43E2A"/>
    <w:rsid w:val="00F44A22"/>
    <w:rsid w:val="00F46AC5"/>
    <w:rsid w:val="00F47DF5"/>
    <w:rsid w:val="00F5085C"/>
    <w:rsid w:val="00F50E75"/>
    <w:rsid w:val="00F51C44"/>
    <w:rsid w:val="00F51F76"/>
    <w:rsid w:val="00F528F3"/>
    <w:rsid w:val="00F52C7B"/>
    <w:rsid w:val="00F537D8"/>
    <w:rsid w:val="00F53D3A"/>
    <w:rsid w:val="00F54223"/>
    <w:rsid w:val="00F54A17"/>
    <w:rsid w:val="00F54DD5"/>
    <w:rsid w:val="00F55467"/>
    <w:rsid w:val="00F5552B"/>
    <w:rsid w:val="00F558B8"/>
    <w:rsid w:val="00F559F1"/>
    <w:rsid w:val="00F55EEE"/>
    <w:rsid w:val="00F5709F"/>
    <w:rsid w:val="00F5779D"/>
    <w:rsid w:val="00F60EB4"/>
    <w:rsid w:val="00F61024"/>
    <w:rsid w:val="00F61722"/>
    <w:rsid w:val="00F61E19"/>
    <w:rsid w:val="00F63AA6"/>
    <w:rsid w:val="00F642B2"/>
    <w:rsid w:val="00F64563"/>
    <w:rsid w:val="00F659AC"/>
    <w:rsid w:val="00F66297"/>
    <w:rsid w:val="00F6746C"/>
    <w:rsid w:val="00F67EBE"/>
    <w:rsid w:val="00F716A5"/>
    <w:rsid w:val="00F71B6A"/>
    <w:rsid w:val="00F732AA"/>
    <w:rsid w:val="00F73BA9"/>
    <w:rsid w:val="00F73FE1"/>
    <w:rsid w:val="00F743C5"/>
    <w:rsid w:val="00F749CD"/>
    <w:rsid w:val="00F74E46"/>
    <w:rsid w:val="00F758D4"/>
    <w:rsid w:val="00F75D80"/>
    <w:rsid w:val="00F75F3F"/>
    <w:rsid w:val="00F76C6C"/>
    <w:rsid w:val="00F76D1F"/>
    <w:rsid w:val="00F805A6"/>
    <w:rsid w:val="00F811AC"/>
    <w:rsid w:val="00F8220E"/>
    <w:rsid w:val="00F836CF"/>
    <w:rsid w:val="00F83B6C"/>
    <w:rsid w:val="00F85786"/>
    <w:rsid w:val="00F85CFF"/>
    <w:rsid w:val="00F8733A"/>
    <w:rsid w:val="00F87E1D"/>
    <w:rsid w:val="00F906D8"/>
    <w:rsid w:val="00F91A0B"/>
    <w:rsid w:val="00F925EE"/>
    <w:rsid w:val="00F93F21"/>
    <w:rsid w:val="00F95124"/>
    <w:rsid w:val="00F95A4E"/>
    <w:rsid w:val="00F963C8"/>
    <w:rsid w:val="00F968DD"/>
    <w:rsid w:val="00F96B4A"/>
    <w:rsid w:val="00F97CCD"/>
    <w:rsid w:val="00FA0272"/>
    <w:rsid w:val="00FA0847"/>
    <w:rsid w:val="00FA1004"/>
    <w:rsid w:val="00FA12E5"/>
    <w:rsid w:val="00FA19A5"/>
    <w:rsid w:val="00FA1C01"/>
    <w:rsid w:val="00FA1F75"/>
    <w:rsid w:val="00FA2449"/>
    <w:rsid w:val="00FA2C26"/>
    <w:rsid w:val="00FA2E50"/>
    <w:rsid w:val="00FA2F05"/>
    <w:rsid w:val="00FA345C"/>
    <w:rsid w:val="00FA40FD"/>
    <w:rsid w:val="00FA49AA"/>
    <w:rsid w:val="00FA4DCC"/>
    <w:rsid w:val="00FA582F"/>
    <w:rsid w:val="00FA5D72"/>
    <w:rsid w:val="00FA6AA0"/>
    <w:rsid w:val="00FA6CDE"/>
    <w:rsid w:val="00FA7375"/>
    <w:rsid w:val="00FB000B"/>
    <w:rsid w:val="00FB1A4E"/>
    <w:rsid w:val="00FB1EC9"/>
    <w:rsid w:val="00FB35FC"/>
    <w:rsid w:val="00FB5D0E"/>
    <w:rsid w:val="00FB6E10"/>
    <w:rsid w:val="00FB7D45"/>
    <w:rsid w:val="00FB7FBC"/>
    <w:rsid w:val="00FC02DE"/>
    <w:rsid w:val="00FC4A20"/>
    <w:rsid w:val="00FC50A4"/>
    <w:rsid w:val="00FC55F2"/>
    <w:rsid w:val="00FC5872"/>
    <w:rsid w:val="00FD03FF"/>
    <w:rsid w:val="00FD0739"/>
    <w:rsid w:val="00FD271A"/>
    <w:rsid w:val="00FD3D94"/>
    <w:rsid w:val="00FD4ED2"/>
    <w:rsid w:val="00FD4F7B"/>
    <w:rsid w:val="00FD60FC"/>
    <w:rsid w:val="00FD76BD"/>
    <w:rsid w:val="00FE01DF"/>
    <w:rsid w:val="00FE0DE9"/>
    <w:rsid w:val="00FE1830"/>
    <w:rsid w:val="00FE1CFE"/>
    <w:rsid w:val="00FE2963"/>
    <w:rsid w:val="00FE2EC8"/>
    <w:rsid w:val="00FE31B5"/>
    <w:rsid w:val="00FE3C6D"/>
    <w:rsid w:val="00FE4153"/>
    <w:rsid w:val="00FE5A82"/>
    <w:rsid w:val="00FE6BE1"/>
    <w:rsid w:val="00FE7B25"/>
    <w:rsid w:val="00FF0C5B"/>
    <w:rsid w:val="00FF0CC4"/>
    <w:rsid w:val="00FF178A"/>
    <w:rsid w:val="00FF17AE"/>
    <w:rsid w:val="00FF2E0D"/>
    <w:rsid w:val="00FF2E60"/>
    <w:rsid w:val="00FF33C7"/>
    <w:rsid w:val="00FF6335"/>
    <w:rsid w:val="00FF68B5"/>
    <w:rsid w:val="00FF70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5C6A2"/>
  <w14:defaultImageDpi w14:val="32767"/>
  <w15:docId w15:val="{3E6324E1-AE37-40B6-BC18-B781C3C5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CA1"/>
    <w:pPr>
      <w:spacing w:before="240" w:after="120"/>
    </w:pPr>
    <w:rPr>
      <w:rFonts w:ascii="Times New Roman" w:hAnsi="Times New Roman"/>
      <w:sz w:val="22"/>
    </w:rPr>
  </w:style>
  <w:style w:type="paragraph" w:styleId="Heading1">
    <w:name w:val="heading 1"/>
    <w:basedOn w:val="Normal"/>
    <w:next w:val="Normal"/>
    <w:link w:val="Heading1Char"/>
    <w:uiPriority w:val="9"/>
    <w:qFormat/>
    <w:rsid w:val="009347B5"/>
    <w:pPr>
      <w:outlineLvl w:val="0"/>
    </w:pPr>
    <w:rPr>
      <w:rFonts w:cs="Times New Roman"/>
      <w:b/>
      <w:bCs/>
      <w:color w:val="002060"/>
      <w:sz w:val="28"/>
    </w:rPr>
  </w:style>
  <w:style w:type="paragraph" w:styleId="Heading2">
    <w:name w:val="heading 2"/>
    <w:basedOn w:val="Normal"/>
    <w:next w:val="Normal"/>
    <w:link w:val="Heading2Char"/>
    <w:uiPriority w:val="9"/>
    <w:unhideWhenUsed/>
    <w:qFormat/>
    <w:rsid w:val="00936D6C"/>
    <w:pPr>
      <w:outlineLvl w:val="1"/>
    </w:pPr>
    <w:rPr>
      <w:b/>
      <w:color w:val="4472C4" w:themeColor="accent1"/>
    </w:rPr>
  </w:style>
  <w:style w:type="paragraph" w:styleId="Heading3">
    <w:name w:val="heading 3"/>
    <w:basedOn w:val="Normal"/>
    <w:next w:val="Normal"/>
    <w:link w:val="Heading3Char"/>
    <w:uiPriority w:val="9"/>
    <w:unhideWhenUsed/>
    <w:qFormat/>
    <w:rsid w:val="00EA4B3E"/>
    <w:pPr>
      <w:outlineLvl w:val="2"/>
    </w:pPr>
    <w:rPr>
      <w:i/>
    </w:rPr>
  </w:style>
  <w:style w:type="paragraph" w:styleId="Heading4">
    <w:name w:val="heading 4"/>
    <w:aliases w:val="Table header"/>
    <w:basedOn w:val="Normal"/>
    <w:next w:val="Normal"/>
    <w:link w:val="Heading4Char"/>
    <w:uiPriority w:val="9"/>
    <w:unhideWhenUsed/>
    <w:qFormat/>
    <w:rsid w:val="00D6554B"/>
    <w:pPr>
      <w:ind w:left="567" w:right="567"/>
      <w:outlineLvl w:val="3"/>
    </w:pPr>
    <w:rPr>
      <w:b/>
    </w:rPr>
  </w:style>
  <w:style w:type="paragraph" w:styleId="Heading5">
    <w:name w:val="heading 5"/>
    <w:basedOn w:val="Normal"/>
    <w:next w:val="Normal"/>
    <w:link w:val="Heading5Char"/>
    <w:uiPriority w:val="9"/>
    <w:unhideWhenUsed/>
    <w:qFormat/>
    <w:rsid w:val="00432BC1"/>
    <w:pPr>
      <w:outlineLvl w:val="4"/>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7B5"/>
    <w:rPr>
      <w:rFonts w:ascii="Times New Roman" w:hAnsi="Times New Roman" w:cs="Times New Roman"/>
      <w:b/>
      <w:bCs/>
      <w:color w:val="002060"/>
      <w:sz w:val="28"/>
    </w:rPr>
  </w:style>
  <w:style w:type="character" w:customStyle="1" w:styleId="Heading2Char">
    <w:name w:val="Heading 2 Char"/>
    <w:basedOn w:val="DefaultParagraphFont"/>
    <w:link w:val="Heading2"/>
    <w:uiPriority w:val="9"/>
    <w:rsid w:val="00936D6C"/>
    <w:rPr>
      <w:rFonts w:ascii="Times New Roman" w:hAnsi="Times New Roman"/>
      <w:b/>
      <w:color w:val="4472C4" w:themeColor="accent1"/>
      <w:sz w:val="22"/>
    </w:rPr>
  </w:style>
  <w:style w:type="character" w:customStyle="1" w:styleId="Heading3Char">
    <w:name w:val="Heading 3 Char"/>
    <w:basedOn w:val="DefaultParagraphFont"/>
    <w:link w:val="Heading3"/>
    <w:uiPriority w:val="9"/>
    <w:rsid w:val="00EA4B3E"/>
    <w:rPr>
      <w:rFonts w:ascii="Times New Roman" w:hAnsi="Times New Roman"/>
      <w:i/>
    </w:rPr>
  </w:style>
  <w:style w:type="character" w:customStyle="1" w:styleId="Heading4Char">
    <w:name w:val="Heading 4 Char"/>
    <w:aliases w:val="Table header Char"/>
    <w:basedOn w:val="DefaultParagraphFont"/>
    <w:link w:val="Heading4"/>
    <w:uiPriority w:val="9"/>
    <w:rsid w:val="00D6554B"/>
    <w:rPr>
      <w:rFonts w:ascii="Times New Roman" w:hAnsi="Times New Roman"/>
      <w:b/>
      <w:sz w:val="22"/>
    </w:rPr>
  </w:style>
  <w:style w:type="character" w:customStyle="1" w:styleId="Heading5Char">
    <w:name w:val="Heading 5 Char"/>
    <w:basedOn w:val="DefaultParagraphFont"/>
    <w:link w:val="Heading5"/>
    <w:uiPriority w:val="9"/>
    <w:rsid w:val="00432BC1"/>
    <w:rPr>
      <w:rFonts w:ascii="Times New Roman" w:hAnsi="Times New Roman"/>
      <w:i/>
      <w:sz w:val="22"/>
      <w:u w:val="single"/>
    </w:rPr>
  </w:style>
  <w:style w:type="paragraph" w:styleId="Title">
    <w:name w:val="Title"/>
    <w:basedOn w:val="Normal"/>
    <w:next w:val="Normal"/>
    <w:link w:val="TitleChar"/>
    <w:uiPriority w:val="10"/>
    <w:qFormat/>
    <w:rsid w:val="00721A20"/>
    <w:pPr>
      <w:jc w:val="center"/>
    </w:pPr>
    <w:rPr>
      <w:rFonts w:eastAsia="Calibri" w:cs="Times New Roman"/>
      <w:b/>
      <w:sz w:val="40"/>
      <w:szCs w:val="22"/>
    </w:rPr>
  </w:style>
  <w:style w:type="character" w:customStyle="1" w:styleId="TitleChar">
    <w:name w:val="Title Char"/>
    <w:basedOn w:val="DefaultParagraphFont"/>
    <w:link w:val="Title"/>
    <w:uiPriority w:val="10"/>
    <w:rsid w:val="00721A20"/>
    <w:rPr>
      <w:rFonts w:ascii="Times New Roman" w:eastAsia="Calibri" w:hAnsi="Times New Roman" w:cs="Times New Roman"/>
      <w:b/>
      <w:sz w:val="40"/>
      <w:szCs w:val="22"/>
    </w:rPr>
  </w:style>
  <w:style w:type="paragraph" w:styleId="Subtitle">
    <w:name w:val="Subtitle"/>
    <w:basedOn w:val="Normal"/>
    <w:next w:val="Normal"/>
    <w:link w:val="SubtitleChar"/>
    <w:uiPriority w:val="11"/>
    <w:qFormat/>
    <w:rsid w:val="00721A20"/>
    <w:pPr>
      <w:jc w:val="center"/>
    </w:pPr>
    <w:rPr>
      <w:rFonts w:cs="Times New Roman"/>
      <w:i/>
    </w:rPr>
  </w:style>
  <w:style w:type="character" w:customStyle="1" w:styleId="SubtitleChar">
    <w:name w:val="Subtitle Char"/>
    <w:basedOn w:val="DefaultParagraphFont"/>
    <w:link w:val="Subtitle"/>
    <w:uiPriority w:val="11"/>
    <w:rsid w:val="00721A20"/>
    <w:rPr>
      <w:rFonts w:ascii="Times New Roman" w:hAnsi="Times New Roman" w:cs="Times New Roman"/>
      <w:i/>
      <w:sz w:val="22"/>
    </w:rPr>
  </w:style>
  <w:style w:type="paragraph" w:styleId="ListParagraph">
    <w:name w:val="List Paragraph"/>
    <w:basedOn w:val="Normal"/>
    <w:uiPriority w:val="34"/>
    <w:qFormat/>
    <w:rsid w:val="00721A20"/>
    <w:pPr>
      <w:ind w:left="720"/>
      <w:contextualSpacing/>
    </w:pPr>
  </w:style>
  <w:style w:type="paragraph" w:styleId="NoSpacing">
    <w:name w:val="No Spacing"/>
    <w:uiPriority w:val="1"/>
    <w:qFormat/>
    <w:rsid w:val="00527350"/>
    <w:rPr>
      <w:rFonts w:ascii="Calibri" w:eastAsia="Calibri" w:hAnsi="Calibri" w:cs="Times New Roman"/>
      <w:sz w:val="22"/>
      <w:szCs w:val="22"/>
    </w:rPr>
  </w:style>
  <w:style w:type="paragraph" w:customStyle="1" w:styleId="p1">
    <w:name w:val="p1"/>
    <w:basedOn w:val="Normal"/>
    <w:rsid w:val="009438CA"/>
    <w:pPr>
      <w:spacing w:before="0" w:after="0"/>
    </w:pPr>
    <w:rPr>
      <w:rFonts w:ascii="Times" w:hAnsi="Times" w:cs="Times New Roman"/>
      <w:sz w:val="14"/>
      <w:szCs w:val="14"/>
      <w:lang w:eastAsia="en-GB"/>
    </w:rPr>
  </w:style>
  <w:style w:type="character" w:customStyle="1" w:styleId="s1">
    <w:name w:val="s1"/>
    <w:basedOn w:val="DefaultParagraphFont"/>
    <w:rsid w:val="009438CA"/>
    <w:rPr>
      <w:rFonts w:ascii="Helvetica" w:hAnsi="Helvetica" w:hint="default"/>
      <w:sz w:val="14"/>
      <w:szCs w:val="14"/>
    </w:rPr>
  </w:style>
  <w:style w:type="character" w:customStyle="1" w:styleId="s2">
    <w:name w:val="s2"/>
    <w:basedOn w:val="DefaultParagraphFont"/>
    <w:rsid w:val="009438CA"/>
    <w:rPr>
      <w:color w:val="0433FF"/>
    </w:rPr>
  </w:style>
  <w:style w:type="character" w:customStyle="1" w:styleId="apple-converted-space">
    <w:name w:val="apple-converted-space"/>
    <w:basedOn w:val="DefaultParagraphFont"/>
    <w:rsid w:val="000A062B"/>
  </w:style>
  <w:style w:type="paragraph" w:styleId="Bibliography">
    <w:name w:val="Bibliography"/>
    <w:basedOn w:val="Normal"/>
    <w:next w:val="Normal"/>
    <w:uiPriority w:val="37"/>
    <w:unhideWhenUsed/>
    <w:rsid w:val="001D4711"/>
    <w:pPr>
      <w:spacing w:after="0" w:line="480" w:lineRule="auto"/>
      <w:ind w:left="720" w:hanging="720"/>
    </w:pPr>
  </w:style>
  <w:style w:type="character" w:styleId="CommentReference">
    <w:name w:val="annotation reference"/>
    <w:basedOn w:val="DefaultParagraphFont"/>
    <w:uiPriority w:val="99"/>
    <w:semiHidden/>
    <w:unhideWhenUsed/>
    <w:rsid w:val="00683FA1"/>
    <w:rPr>
      <w:sz w:val="18"/>
      <w:szCs w:val="18"/>
    </w:rPr>
  </w:style>
  <w:style w:type="paragraph" w:styleId="CommentText">
    <w:name w:val="annotation text"/>
    <w:basedOn w:val="Normal"/>
    <w:link w:val="CommentTextChar"/>
    <w:uiPriority w:val="99"/>
    <w:unhideWhenUsed/>
    <w:rsid w:val="00683FA1"/>
  </w:style>
  <w:style w:type="character" w:customStyle="1" w:styleId="CommentTextChar">
    <w:name w:val="Comment Text Char"/>
    <w:basedOn w:val="DefaultParagraphFont"/>
    <w:link w:val="CommentText"/>
    <w:uiPriority w:val="99"/>
    <w:rsid w:val="00683F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83FA1"/>
    <w:rPr>
      <w:b/>
      <w:bCs/>
      <w:sz w:val="20"/>
      <w:szCs w:val="20"/>
    </w:rPr>
  </w:style>
  <w:style w:type="character" w:customStyle="1" w:styleId="CommentSubjectChar">
    <w:name w:val="Comment Subject Char"/>
    <w:basedOn w:val="CommentTextChar"/>
    <w:link w:val="CommentSubject"/>
    <w:uiPriority w:val="99"/>
    <w:semiHidden/>
    <w:rsid w:val="00683FA1"/>
    <w:rPr>
      <w:rFonts w:ascii="Times New Roman" w:hAnsi="Times New Roman"/>
      <w:b/>
      <w:bCs/>
      <w:sz w:val="20"/>
      <w:szCs w:val="20"/>
    </w:rPr>
  </w:style>
  <w:style w:type="paragraph" w:styleId="BalloonText">
    <w:name w:val="Balloon Text"/>
    <w:basedOn w:val="Normal"/>
    <w:link w:val="BalloonTextChar"/>
    <w:uiPriority w:val="99"/>
    <w:semiHidden/>
    <w:unhideWhenUsed/>
    <w:rsid w:val="00683FA1"/>
    <w:pPr>
      <w:spacing w:before="0" w:after="0"/>
    </w:pPr>
    <w:rPr>
      <w:rFonts w:cs="Times New Roman"/>
      <w:sz w:val="18"/>
      <w:szCs w:val="18"/>
    </w:rPr>
  </w:style>
  <w:style w:type="character" w:customStyle="1" w:styleId="BalloonTextChar">
    <w:name w:val="Balloon Text Char"/>
    <w:basedOn w:val="DefaultParagraphFont"/>
    <w:link w:val="BalloonText"/>
    <w:uiPriority w:val="99"/>
    <w:semiHidden/>
    <w:rsid w:val="00683FA1"/>
    <w:rPr>
      <w:rFonts w:ascii="Times New Roman" w:hAnsi="Times New Roman" w:cs="Times New Roman"/>
      <w:sz w:val="18"/>
      <w:szCs w:val="18"/>
    </w:rPr>
  </w:style>
  <w:style w:type="character" w:styleId="Emphasis">
    <w:name w:val="Emphasis"/>
    <w:basedOn w:val="DefaultParagraphFont"/>
    <w:uiPriority w:val="20"/>
    <w:qFormat/>
    <w:rsid w:val="009F1AD4"/>
    <w:rPr>
      <w:i/>
      <w:iCs/>
    </w:rPr>
  </w:style>
  <w:style w:type="paragraph" w:styleId="NormalWeb">
    <w:name w:val="Normal (Web)"/>
    <w:basedOn w:val="Normal"/>
    <w:uiPriority w:val="99"/>
    <w:unhideWhenUsed/>
    <w:rsid w:val="00624597"/>
    <w:pPr>
      <w:spacing w:before="100" w:beforeAutospacing="1" w:after="100" w:afterAutospacing="1"/>
    </w:pPr>
    <w:rPr>
      <w:rFonts w:eastAsia="Times New Roman" w:cs="Times New Roman"/>
      <w:lang w:eastAsia="en-GB"/>
    </w:rPr>
  </w:style>
  <w:style w:type="character" w:styleId="Hyperlink">
    <w:name w:val="Hyperlink"/>
    <w:basedOn w:val="DefaultParagraphFont"/>
    <w:uiPriority w:val="99"/>
    <w:unhideWhenUsed/>
    <w:rsid w:val="00BE0240"/>
    <w:rPr>
      <w:color w:val="0000FF"/>
      <w:u w:val="single"/>
    </w:rPr>
  </w:style>
  <w:style w:type="paragraph" w:styleId="Header">
    <w:name w:val="header"/>
    <w:basedOn w:val="Normal"/>
    <w:link w:val="HeaderChar"/>
    <w:uiPriority w:val="99"/>
    <w:unhideWhenUsed/>
    <w:rsid w:val="00694C4E"/>
    <w:pPr>
      <w:tabs>
        <w:tab w:val="center" w:pos="4513"/>
        <w:tab w:val="right" w:pos="9026"/>
      </w:tabs>
      <w:spacing w:before="0" w:after="0"/>
    </w:pPr>
  </w:style>
  <w:style w:type="character" w:customStyle="1" w:styleId="HeaderChar">
    <w:name w:val="Header Char"/>
    <w:basedOn w:val="DefaultParagraphFont"/>
    <w:link w:val="Header"/>
    <w:uiPriority w:val="99"/>
    <w:rsid w:val="00694C4E"/>
    <w:rPr>
      <w:rFonts w:ascii="Times New Roman" w:hAnsi="Times New Roman"/>
      <w:sz w:val="22"/>
    </w:rPr>
  </w:style>
  <w:style w:type="paragraph" w:styleId="Footer">
    <w:name w:val="footer"/>
    <w:basedOn w:val="Normal"/>
    <w:link w:val="FooterChar"/>
    <w:uiPriority w:val="99"/>
    <w:unhideWhenUsed/>
    <w:rsid w:val="00694C4E"/>
    <w:pPr>
      <w:tabs>
        <w:tab w:val="center" w:pos="4513"/>
        <w:tab w:val="right" w:pos="9026"/>
      </w:tabs>
      <w:spacing w:before="0" w:after="0"/>
    </w:pPr>
  </w:style>
  <w:style w:type="character" w:customStyle="1" w:styleId="FooterChar">
    <w:name w:val="Footer Char"/>
    <w:basedOn w:val="DefaultParagraphFont"/>
    <w:link w:val="Footer"/>
    <w:uiPriority w:val="99"/>
    <w:rsid w:val="00694C4E"/>
    <w:rPr>
      <w:rFonts w:ascii="Times New Roman" w:hAnsi="Times New Roman"/>
      <w:sz w:val="22"/>
    </w:rPr>
  </w:style>
  <w:style w:type="paragraph" w:styleId="Revision">
    <w:name w:val="Revision"/>
    <w:hidden/>
    <w:uiPriority w:val="99"/>
    <w:semiHidden/>
    <w:rsid w:val="00D35BD0"/>
    <w:rPr>
      <w:rFonts w:ascii="Times New Roman" w:hAnsi="Times New Roman"/>
      <w:sz w:val="22"/>
    </w:rPr>
  </w:style>
  <w:style w:type="character" w:styleId="SubtleEmphasis">
    <w:name w:val="Subtle Emphasis"/>
    <w:uiPriority w:val="19"/>
    <w:qFormat/>
    <w:rsid w:val="00686852"/>
    <w:rPr>
      <w:rFonts w:cs="Times New Roman"/>
      <w:sz w:val="20"/>
      <w:szCs w:val="20"/>
      <w:vertAlign w:val="superscript"/>
    </w:rPr>
  </w:style>
  <w:style w:type="paragraph" w:customStyle="1" w:styleId="msonormal0">
    <w:name w:val="msonormal"/>
    <w:basedOn w:val="Normal"/>
    <w:rsid w:val="003A7D5E"/>
    <w:pPr>
      <w:spacing w:before="100" w:beforeAutospacing="1" w:after="100" w:afterAutospacing="1"/>
    </w:pPr>
    <w:rPr>
      <w:rFonts w:eastAsia="Times New Roman" w:cs="Times New Roman"/>
      <w:sz w:val="24"/>
      <w:lang w:eastAsia="en-GB"/>
    </w:rPr>
  </w:style>
  <w:style w:type="paragraph" w:customStyle="1" w:styleId="xl65">
    <w:name w:val="xl65"/>
    <w:basedOn w:val="Normal"/>
    <w:rsid w:val="003A7D5E"/>
    <w:pPr>
      <w:spacing w:before="100" w:beforeAutospacing="1" w:after="100" w:afterAutospacing="1"/>
      <w:jc w:val="center"/>
    </w:pPr>
    <w:rPr>
      <w:rFonts w:eastAsia="Times New Roman" w:cs="Times New Roman"/>
      <w:sz w:val="24"/>
      <w:lang w:eastAsia="en-GB"/>
    </w:rPr>
  </w:style>
  <w:style w:type="paragraph" w:customStyle="1" w:styleId="xl66">
    <w:name w:val="xl66"/>
    <w:basedOn w:val="Normal"/>
    <w:rsid w:val="003A7D5E"/>
    <w:pPr>
      <w:pBdr>
        <w:left w:val="single" w:sz="4" w:space="0" w:color="auto"/>
      </w:pBdr>
      <w:spacing w:before="100" w:beforeAutospacing="1" w:after="100" w:afterAutospacing="1"/>
      <w:jc w:val="center"/>
    </w:pPr>
    <w:rPr>
      <w:rFonts w:eastAsia="Times New Roman" w:cs="Times New Roman"/>
      <w:sz w:val="24"/>
      <w:lang w:eastAsia="en-GB"/>
    </w:rPr>
  </w:style>
  <w:style w:type="paragraph" w:customStyle="1" w:styleId="xl67">
    <w:name w:val="xl67"/>
    <w:basedOn w:val="Normal"/>
    <w:rsid w:val="003A7D5E"/>
    <w:pPr>
      <w:pBdr>
        <w:right w:val="single" w:sz="4" w:space="0" w:color="auto"/>
      </w:pBdr>
      <w:spacing w:before="100" w:beforeAutospacing="1" w:after="100" w:afterAutospacing="1"/>
      <w:jc w:val="center"/>
    </w:pPr>
    <w:rPr>
      <w:rFonts w:eastAsia="Times New Roman" w:cs="Times New Roman"/>
      <w:sz w:val="24"/>
      <w:lang w:eastAsia="en-GB"/>
    </w:rPr>
  </w:style>
  <w:style w:type="paragraph" w:customStyle="1" w:styleId="xl68">
    <w:name w:val="xl68"/>
    <w:basedOn w:val="Normal"/>
    <w:rsid w:val="003A7D5E"/>
    <w:pPr>
      <w:pBdr>
        <w:right w:val="single" w:sz="4" w:space="0" w:color="auto"/>
      </w:pBdr>
      <w:spacing w:before="100" w:beforeAutospacing="1" w:after="100" w:afterAutospacing="1"/>
      <w:jc w:val="center"/>
    </w:pPr>
    <w:rPr>
      <w:rFonts w:eastAsia="Times New Roman" w:cs="Times New Roman"/>
      <w:i/>
      <w:iCs/>
      <w:sz w:val="24"/>
      <w:lang w:eastAsia="en-GB"/>
    </w:rPr>
  </w:style>
  <w:style w:type="paragraph" w:customStyle="1" w:styleId="xl69">
    <w:name w:val="xl69"/>
    <w:basedOn w:val="Normal"/>
    <w:rsid w:val="003A7D5E"/>
    <w:pPr>
      <w:pBdr>
        <w:bottom w:val="single" w:sz="4" w:space="0" w:color="auto"/>
        <w:right w:val="single" w:sz="4" w:space="0" w:color="auto"/>
      </w:pBdr>
      <w:spacing w:before="100" w:beforeAutospacing="1" w:after="100" w:afterAutospacing="1"/>
      <w:jc w:val="center"/>
    </w:pPr>
    <w:rPr>
      <w:rFonts w:eastAsia="Times New Roman" w:cs="Times New Roman"/>
      <w:i/>
      <w:iCs/>
      <w:sz w:val="24"/>
      <w:lang w:eastAsia="en-GB"/>
    </w:rPr>
  </w:style>
  <w:style w:type="paragraph" w:customStyle="1" w:styleId="xl70">
    <w:name w:val="xl70"/>
    <w:basedOn w:val="Normal"/>
    <w:rsid w:val="003A7D5E"/>
    <w:pPr>
      <w:pBdr>
        <w:top w:val="single" w:sz="4" w:space="0" w:color="auto"/>
      </w:pBdr>
      <w:spacing w:before="100" w:beforeAutospacing="1" w:after="100" w:afterAutospacing="1"/>
      <w:jc w:val="center"/>
    </w:pPr>
    <w:rPr>
      <w:rFonts w:eastAsia="Times New Roman" w:cs="Times New Roman"/>
      <w:sz w:val="24"/>
      <w:lang w:eastAsia="en-GB"/>
    </w:rPr>
  </w:style>
  <w:style w:type="paragraph" w:customStyle="1" w:styleId="xl71">
    <w:name w:val="xl71"/>
    <w:basedOn w:val="Normal"/>
    <w:rsid w:val="003A7D5E"/>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sz w:val="24"/>
      <w:lang w:eastAsia="en-GB"/>
    </w:rPr>
  </w:style>
  <w:style w:type="paragraph" w:customStyle="1" w:styleId="xl72">
    <w:name w:val="xl72"/>
    <w:basedOn w:val="Normal"/>
    <w:rsid w:val="003A7D5E"/>
    <w:pPr>
      <w:pBdr>
        <w:left w:val="single" w:sz="4" w:space="0" w:color="auto"/>
        <w:bottom w:val="single" w:sz="4" w:space="0" w:color="auto"/>
      </w:pBdr>
      <w:spacing w:before="100" w:beforeAutospacing="1" w:after="100" w:afterAutospacing="1"/>
      <w:jc w:val="center"/>
    </w:pPr>
    <w:rPr>
      <w:rFonts w:eastAsia="Times New Roman" w:cs="Times New Roman"/>
      <w:sz w:val="24"/>
      <w:lang w:eastAsia="en-GB"/>
    </w:rPr>
  </w:style>
  <w:style w:type="paragraph" w:customStyle="1" w:styleId="xl73">
    <w:name w:val="xl73"/>
    <w:basedOn w:val="Normal"/>
    <w:rsid w:val="003A7D5E"/>
    <w:pPr>
      <w:pBdr>
        <w:left w:val="single" w:sz="4" w:space="0" w:color="auto"/>
      </w:pBdr>
      <w:spacing w:before="100" w:beforeAutospacing="1" w:after="100" w:afterAutospacing="1"/>
      <w:jc w:val="center"/>
    </w:pPr>
    <w:rPr>
      <w:rFonts w:eastAsia="Times New Roman" w:cs="Times New Roman"/>
      <w:sz w:val="24"/>
      <w:lang w:eastAsia="en-GB"/>
    </w:rPr>
  </w:style>
  <w:style w:type="paragraph" w:customStyle="1" w:styleId="xl74">
    <w:name w:val="xl74"/>
    <w:basedOn w:val="Normal"/>
    <w:rsid w:val="003A7D5E"/>
    <w:pPr>
      <w:spacing w:before="100" w:beforeAutospacing="1" w:after="100" w:afterAutospacing="1"/>
      <w:jc w:val="center"/>
    </w:pPr>
    <w:rPr>
      <w:rFonts w:eastAsia="Times New Roman" w:cs="Times New Roman"/>
      <w:sz w:val="24"/>
      <w:lang w:eastAsia="en-GB"/>
    </w:rPr>
  </w:style>
  <w:style w:type="paragraph" w:customStyle="1" w:styleId="xl75">
    <w:name w:val="xl75"/>
    <w:basedOn w:val="Normal"/>
    <w:rsid w:val="003A7D5E"/>
    <w:pPr>
      <w:pBdr>
        <w:bottom w:val="single" w:sz="4" w:space="0" w:color="auto"/>
      </w:pBdr>
      <w:spacing w:before="100" w:beforeAutospacing="1" w:after="100" w:afterAutospacing="1"/>
      <w:jc w:val="center"/>
    </w:pPr>
    <w:rPr>
      <w:rFonts w:eastAsia="Times New Roman" w:cs="Times New Roman"/>
      <w:sz w:val="24"/>
      <w:lang w:eastAsia="en-GB"/>
    </w:rPr>
  </w:style>
  <w:style w:type="paragraph" w:customStyle="1" w:styleId="xl76">
    <w:name w:val="xl76"/>
    <w:basedOn w:val="Normal"/>
    <w:rsid w:val="003A7D5E"/>
    <w:pPr>
      <w:pBdr>
        <w:top w:val="single" w:sz="4" w:space="0" w:color="auto"/>
        <w:left w:val="single" w:sz="4" w:space="0" w:color="auto"/>
      </w:pBdr>
      <w:spacing w:before="100" w:beforeAutospacing="1" w:after="100" w:afterAutospacing="1"/>
      <w:jc w:val="center"/>
    </w:pPr>
    <w:rPr>
      <w:rFonts w:eastAsia="Times New Roman" w:cs="Times New Roman"/>
      <w:sz w:val="24"/>
      <w:lang w:eastAsia="en-GB"/>
    </w:rPr>
  </w:style>
  <w:style w:type="paragraph" w:customStyle="1" w:styleId="xl77">
    <w:name w:val="xl77"/>
    <w:basedOn w:val="Normal"/>
    <w:rsid w:val="003A7D5E"/>
    <w:pPr>
      <w:spacing w:before="100" w:beforeAutospacing="1" w:after="100" w:afterAutospacing="1"/>
      <w:jc w:val="center"/>
    </w:pPr>
    <w:rPr>
      <w:rFonts w:eastAsia="Times New Roman" w:cs="Times New Roman"/>
      <w:sz w:val="24"/>
      <w:lang w:eastAsia="en-GB"/>
    </w:rPr>
  </w:style>
  <w:style w:type="paragraph" w:customStyle="1" w:styleId="xl78">
    <w:name w:val="xl78"/>
    <w:basedOn w:val="Normal"/>
    <w:rsid w:val="003A7D5E"/>
    <w:pPr>
      <w:pBdr>
        <w:left w:val="single" w:sz="4" w:space="0" w:color="auto"/>
        <w:right w:val="single" w:sz="4" w:space="0" w:color="auto"/>
      </w:pBdr>
      <w:spacing w:before="100" w:beforeAutospacing="1" w:after="100" w:afterAutospacing="1"/>
      <w:textAlignment w:val="center"/>
    </w:pPr>
    <w:rPr>
      <w:rFonts w:eastAsia="Times New Roman" w:cs="Times New Roman"/>
      <w:i/>
      <w:iCs/>
      <w:sz w:val="24"/>
      <w:lang w:eastAsia="en-GB"/>
    </w:rPr>
  </w:style>
  <w:style w:type="paragraph" w:customStyle="1" w:styleId="xl79">
    <w:name w:val="xl79"/>
    <w:basedOn w:val="Normal"/>
    <w:rsid w:val="003A7D5E"/>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24"/>
      <w:lang w:eastAsia="en-GB"/>
    </w:rPr>
  </w:style>
  <w:style w:type="paragraph" w:customStyle="1" w:styleId="xl80">
    <w:name w:val="xl80"/>
    <w:basedOn w:val="Normal"/>
    <w:rsid w:val="003A7D5E"/>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24"/>
      <w:lang w:eastAsia="en-GB"/>
    </w:rPr>
  </w:style>
  <w:style w:type="paragraph" w:customStyle="1" w:styleId="xl81">
    <w:name w:val="xl81"/>
    <w:basedOn w:val="Normal"/>
    <w:rsid w:val="003A7D5E"/>
    <w:pPr>
      <w:pBdr>
        <w:top w:val="single" w:sz="4" w:space="0" w:color="auto"/>
      </w:pBdr>
      <w:spacing w:before="100" w:beforeAutospacing="1" w:after="100" w:afterAutospacing="1"/>
      <w:textAlignment w:val="center"/>
    </w:pPr>
    <w:rPr>
      <w:rFonts w:eastAsia="Times New Roman" w:cs="Times New Roman"/>
      <w:i/>
      <w:iCs/>
      <w:sz w:val="24"/>
      <w:lang w:eastAsia="en-GB"/>
    </w:rPr>
  </w:style>
  <w:style w:type="paragraph" w:customStyle="1" w:styleId="xl82">
    <w:name w:val="xl82"/>
    <w:basedOn w:val="Normal"/>
    <w:rsid w:val="003A7D5E"/>
    <w:pPr>
      <w:spacing w:before="100" w:beforeAutospacing="1" w:after="100" w:afterAutospacing="1"/>
      <w:textAlignment w:val="center"/>
    </w:pPr>
    <w:rPr>
      <w:rFonts w:eastAsia="Times New Roman" w:cs="Times New Roman"/>
      <w:i/>
      <w:iCs/>
      <w:sz w:val="24"/>
      <w:lang w:eastAsia="en-GB"/>
    </w:rPr>
  </w:style>
  <w:style w:type="paragraph" w:customStyle="1" w:styleId="xl83">
    <w:name w:val="xl83"/>
    <w:basedOn w:val="Normal"/>
    <w:rsid w:val="003A7D5E"/>
    <w:pPr>
      <w:pBdr>
        <w:left w:val="single" w:sz="4" w:space="0" w:color="auto"/>
        <w:bottom w:val="single" w:sz="4" w:space="0" w:color="auto"/>
      </w:pBdr>
      <w:spacing w:before="100" w:beforeAutospacing="1" w:after="100" w:afterAutospacing="1"/>
      <w:jc w:val="center"/>
    </w:pPr>
    <w:rPr>
      <w:rFonts w:eastAsia="Times New Roman" w:cs="Times New Roman"/>
      <w:sz w:val="24"/>
      <w:lang w:eastAsia="en-GB"/>
    </w:rPr>
  </w:style>
  <w:style w:type="paragraph" w:customStyle="1" w:styleId="xl84">
    <w:name w:val="xl84"/>
    <w:basedOn w:val="Normal"/>
    <w:rsid w:val="003A7D5E"/>
    <w:pPr>
      <w:pBdr>
        <w:top w:val="single" w:sz="4" w:space="0" w:color="auto"/>
        <w:left w:val="single" w:sz="4" w:space="0" w:color="auto"/>
      </w:pBdr>
      <w:spacing w:before="100" w:beforeAutospacing="1" w:after="100" w:afterAutospacing="1"/>
      <w:jc w:val="center"/>
    </w:pPr>
    <w:rPr>
      <w:rFonts w:eastAsia="Times New Roman" w:cs="Times New Roman"/>
      <w:sz w:val="24"/>
      <w:lang w:eastAsia="en-GB"/>
    </w:rPr>
  </w:style>
  <w:style w:type="paragraph" w:customStyle="1" w:styleId="xl85">
    <w:name w:val="xl85"/>
    <w:basedOn w:val="Normal"/>
    <w:rsid w:val="003A7D5E"/>
    <w:pPr>
      <w:pBdr>
        <w:top w:val="single" w:sz="4" w:space="0" w:color="auto"/>
        <w:right w:val="single" w:sz="4" w:space="0" w:color="auto"/>
      </w:pBdr>
      <w:spacing w:before="100" w:beforeAutospacing="1" w:after="100" w:afterAutospacing="1"/>
      <w:jc w:val="center"/>
    </w:pPr>
    <w:rPr>
      <w:rFonts w:eastAsia="Times New Roman" w:cs="Times New Roman"/>
      <w:sz w:val="24"/>
      <w:lang w:eastAsia="en-GB"/>
    </w:rPr>
  </w:style>
  <w:style w:type="paragraph" w:customStyle="1" w:styleId="xl86">
    <w:name w:val="xl86"/>
    <w:basedOn w:val="Normal"/>
    <w:rsid w:val="003A7D5E"/>
    <w:pPr>
      <w:pBdr>
        <w:bottom w:val="single" w:sz="4" w:space="0" w:color="auto"/>
        <w:right w:val="single" w:sz="4" w:space="0" w:color="auto"/>
      </w:pBdr>
      <w:spacing w:before="100" w:beforeAutospacing="1" w:after="100" w:afterAutospacing="1"/>
      <w:jc w:val="center"/>
    </w:pPr>
    <w:rPr>
      <w:rFonts w:eastAsia="Times New Roman" w:cs="Times New Roman"/>
      <w:sz w:val="24"/>
      <w:lang w:eastAsia="en-GB"/>
    </w:rPr>
  </w:style>
  <w:style w:type="paragraph" w:customStyle="1" w:styleId="xl87">
    <w:name w:val="xl87"/>
    <w:basedOn w:val="Normal"/>
    <w:rsid w:val="003A7D5E"/>
    <w:pPr>
      <w:spacing w:before="100" w:beforeAutospacing="1" w:after="100" w:afterAutospacing="1"/>
      <w:jc w:val="center"/>
    </w:pPr>
    <w:rPr>
      <w:rFonts w:eastAsia="Times New Roman" w:cs="Times New Roman"/>
      <w:b/>
      <w:bCs/>
      <w:sz w:val="24"/>
      <w:lang w:eastAsia="en-GB"/>
    </w:rPr>
  </w:style>
  <w:style w:type="paragraph" w:customStyle="1" w:styleId="xl88">
    <w:name w:val="xl88"/>
    <w:basedOn w:val="Normal"/>
    <w:rsid w:val="003A7D5E"/>
    <w:pPr>
      <w:pBdr>
        <w:right w:val="single" w:sz="4" w:space="0" w:color="auto"/>
      </w:pBdr>
      <w:spacing w:before="100" w:beforeAutospacing="1" w:after="100" w:afterAutospacing="1"/>
      <w:jc w:val="center"/>
    </w:pPr>
    <w:rPr>
      <w:rFonts w:eastAsia="Times New Roman" w:cs="Times New Roman"/>
      <w:b/>
      <w:bCs/>
      <w:sz w:val="24"/>
      <w:lang w:eastAsia="en-GB"/>
    </w:rPr>
  </w:style>
  <w:style w:type="paragraph" w:customStyle="1" w:styleId="xl89">
    <w:name w:val="xl89"/>
    <w:basedOn w:val="Normal"/>
    <w:rsid w:val="003A7D5E"/>
    <w:pPr>
      <w:pBdr>
        <w:bottom w:val="single" w:sz="4" w:space="0" w:color="auto"/>
      </w:pBdr>
      <w:spacing w:before="100" w:beforeAutospacing="1" w:after="100" w:afterAutospacing="1"/>
      <w:jc w:val="center"/>
    </w:pPr>
    <w:rPr>
      <w:rFonts w:eastAsia="Times New Roman" w:cs="Times New Roman"/>
      <w:sz w:val="24"/>
      <w:lang w:eastAsia="en-GB"/>
    </w:rPr>
  </w:style>
  <w:style w:type="paragraph" w:customStyle="1" w:styleId="xl90">
    <w:name w:val="xl90"/>
    <w:basedOn w:val="Normal"/>
    <w:rsid w:val="003A7D5E"/>
    <w:pPr>
      <w:pBdr>
        <w:top w:val="single" w:sz="4" w:space="0" w:color="auto"/>
        <w:bottom w:val="single" w:sz="4" w:space="0" w:color="auto"/>
      </w:pBdr>
      <w:shd w:val="clear" w:color="000000" w:fill="E7E6E6"/>
      <w:spacing w:before="100" w:beforeAutospacing="1" w:after="100" w:afterAutospacing="1"/>
    </w:pPr>
    <w:rPr>
      <w:rFonts w:eastAsia="Times New Roman" w:cs="Times New Roman"/>
      <w:b/>
      <w:bCs/>
      <w:sz w:val="32"/>
      <w:szCs w:val="32"/>
      <w:lang w:eastAsia="en-GB"/>
    </w:rPr>
  </w:style>
  <w:style w:type="paragraph" w:customStyle="1" w:styleId="xl91">
    <w:name w:val="xl91"/>
    <w:basedOn w:val="Normal"/>
    <w:rsid w:val="003A7D5E"/>
    <w:pPr>
      <w:pBdr>
        <w:top w:val="single" w:sz="4" w:space="0" w:color="auto"/>
      </w:pBdr>
      <w:spacing w:before="100" w:beforeAutospacing="1" w:after="100" w:afterAutospacing="1"/>
      <w:jc w:val="center"/>
    </w:pPr>
    <w:rPr>
      <w:rFonts w:eastAsia="Times New Roman" w:cs="Times New Roman"/>
      <w:sz w:val="24"/>
      <w:lang w:eastAsia="en-GB"/>
    </w:rPr>
  </w:style>
  <w:style w:type="paragraph" w:customStyle="1" w:styleId="xl92">
    <w:name w:val="xl92"/>
    <w:basedOn w:val="Normal"/>
    <w:rsid w:val="003A7D5E"/>
    <w:pPr>
      <w:pBdr>
        <w:top w:val="single" w:sz="4" w:space="0" w:color="auto"/>
        <w:left w:val="single" w:sz="4" w:space="0" w:color="auto"/>
        <w:bottom w:val="single" w:sz="4" w:space="0" w:color="auto"/>
      </w:pBdr>
      <w:shd w:val="clear" w:color="000000" w:fill="E7E6E6"/>
      <w:spacing w:before="100" w:beforeAutospacing="1" w:after="100" w:afterAutospacing="1"/>
      <w:jc w:val="center"/>
    </w:pPr>
    <w:rPr>
      <w:rFonts w:eastAsia="Times New Roman" w:cs="Times New Roman"/>
      <w:b/>
      <w:bCs/>
      <w:sz w:val="32"/>
      <w:szCs w:val="32"/>
      <w:lang w:eastAsia="en-GB"/>
    </w:rPr>
  </w:style>
  <w:style w:type="paragraph" w:customStyle="1" w:styleId="xl93">
    <w:name w:val="xl93"/>
    <w:basedOn w:val="Normal"/>
    <w:rsid w:val="003A7D5E"/>
    <w:pPr>
      <w:pBdr>
        <w:top w:val="single" w:sz="4" w:space="0" w:color="auto"/>
        <w:bottom w:val="single" w:sz="4" w:space="0" w:color="auto"/>
      </w:pBdr>
      <w:shd w:val="clear" w:color="000000" w:fill="E7E6E6"/>
      <w:spacing w:before="100" w:beforeAutospacing="1" w:after="100" w:afterAutospacing="1"/>
      <w:jc w:val="center"/>
    </w:pPr>
    <w:rPr>
      <w:rFonts w:eastAsia="Times New Roman" w:cs="Times New Roman"/>
      <w:b/>
      <w:bCs/>
      <w:sz w:val="32"/>
      <w:szCs w:val="32"/>
      <w:lang w:eastAsia="en-GB"/>
    </w:rPr>
  </w:style>
  <w:style w:type="paragraph" w:customStyle="1" w:styleId="xl94">
    <w:name w:val="xl94"/>
    <w:basedOn w:val="Normal"/>
    <w:rsid w:val="003A7D5E"/>
    <w:pPr>
      <w:pBdr>
        <w:top w:val="single" w:sz="4" w:space="0" w:color="auto"/>
        <w:bottom w:val="single" w:sz="4" w:space="0" w:color="auto"/>
      </w:pBdr>
      <w:shd w:val="clear" w:color="000000" w:fill="E7E6E6"/>
      <w:spacing w:before="100" w:beforeAutospacing="1" w:after="100" w:afterAutospacing="1"/>
    </w:pPr>
    <w:rPr>
      <w:rFonts w:eastAsia="Times New Roman" w:cs="Times New Roman"/>
      <w:sz w:val="24"/>
      <w:lang w:eastAsia="en-GB"/>
    </w:rPr>
  </w:style>
  <w:style w:type="paragraph" w:customStyle="1" w:styleId="xl95">
    <w:name w:val="xl95"/>
    <w:basedOn w:val="Normal"/>
    <w:rsid w:val="003A7D5E"/>
    <w:pPr>
      <w:pBdr>
        <w:top w:val="single" w:sz="4" w:space="0" w:color="auto"/>
        <w:bottom w:val="single" w:sz="4" w:space="0" w:color="auto"/>
        <w:right w:val="single" w:sz="4" w:space="0" w:color="auto"/>
      </w:pBdr>
      <w:shd w:val="clear" w:color="000000" w:fill="E7E6E6"/>
      <w:spacing w:before="100" w:beforeAutospacing="1" w:after="100" w:afterAutospacing="1"/>
    </w:pPr>
    <w:rPr>
      <w:rFonts w:eastAsia="Times New Roman" w:cs="Times New Roman"/>
      <w:sz w:val="24"/>
      <w:lang w:eastAsia="en-GB"/>
    </w:rPr>
  </w:style>
  <w:style w:type="paragraph" w:customStyle="1" w:styleId="xl96">
    <w:name w:val="xl96"/>
    <w:basedOn w:val="Normal"/>
    <w:rsid w:val="003A7D5E"/>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b/>
      <w:bCs/>
      <w:i/>
      <w:iCs/>
      <w:sz w:val="24"/>
      <w:lang w:eastAsia="en-GB"/>
    </w:rPr>
  </w:style>
  <w:style w:type="paragraph" w:customStyle="1" w:styleId="xl97">
    <w:name w:val="xl97"/>
    <w:basedOn w:val="Normal"/>
    <w:rsid w:val="003A7D5E"/>
    <w:pPr>
      <w:pBdr>
        <w:top w:val="single" w:sz="4" w:space="0" w:color="auto"/>
        <w:left w:val="single" w:sz="4" w:space="0" w:color="auto"/>
      </w:pBdr>
      <w:spacing w:before="100" w:beforeAutospacing="1" w:after="100" w:afterAutospacing="1"/>
      <w:jc w:val="center"/>
    </w:pPr>
    <w:rPr>
      <w:rFonts w:eastAsia="Times New Roman" w:cs="Times New Roman"/>
      <w:b/>
      <w:bCs/>
      <w:sz w:val="24"/>
      <w:lang w:eastAsia="en-GB"/>
    </w:rPr>
  </w:style>
  <w:style w:type="paragraph" w:customStyle="1" w:styleId="xl98">
    <w:name w:val="xl98"/>
    <w:basedOn w:val="Normal"/>
    <w:rsid w:val="003A7D5E"/>
    <w:pPr>
      <w:pBdr>
        <w:top w:val="single" w:sz="4" w:space="0" w:color="auto"/>
        <w:right w:val="single" w:sz="4" w:space="0" w:color="auto"/>
      </w:pBdr>
      <w:spacing w:before="100" w:beforeAutospacing="1" w:after="100" w:afterAutospacing="1"/>
      <w:jc w:val="center"/>
    </w:pPr>
    <w:rPr>
      <w:rFonts w:eastAsia="Times New Roman" w:cs="Times New Roman"/>
      <w:b/>
      <w:bCs/>
      <w:sz w:val="24"/>
      <w:lang w:eastAsia="en-GB"/>
    </w:rPr>
  </w:style>
  <w:style w:type="paragraph" w:customStyle="1" w:styleId="xl99">
    <w:name w:val="xl99"/>
    <w:basedOn w:val="Normal"/>
    <w:rsid w:val="003A7D5E"/>
    <w:pPr>
      <w:pBdr>
        <w:top w:val="single" w:sz="4" w:space="0" w:color="auto"/>
      </w:pBdr>
      <w:spacing w:before="100" w:beforeAutospacing="1" w:after="100" w:afterAutospacing="1"/>
      <w:jc w:val="center"/>
    </w:pPr>
    <w:rPr>
      <w:rFonts w:eastAsia="Times New Roman" w:cs="Times New Roman"/>
      <w:b/>
      <w:bCs/>
      <w:sz w:val="24"/>
      <w:lang w:eastAsia="en-GB"/>
    </w:rPr>
  </w:style>
  <w:style w:type="paragraph" w:customStyle="1" w:styleId="xl100">
    <w:name w:val="xl100"/>
    <w:basedOn w:val="Normal"/>
    <w:rsid w:val="003A7D5E"/>
    <w:pPr>
      <w:spacing w:before="100" w:beforeAutospacing="1" w:after="100" w:afterAutospacing="1"/>
      <w:textAlignment w:val="center"/>
    </w:pPr>
    <w:rPr>
      <w:rFonts w:eastAsia="Times New Roman" w:cs="Times New Roman"/>
      <w:sz w:val="24"/>
      <w:lang w:eastAsia="en-GB"/>
    </w:rPr>
  </w:style>
  <w:style w:type="paragraph" w:customStyle="1" w:styleId="xl101">
    <w:name w:val="xl101"/>
    <w:basedOn w:val="Normal"/>
    <w:rsid w:val="003A7D5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lang w:eastAsia="en-GB"/>
    </w:rPr>
  </w:style>
  <w:style w:type="paragraph" w:customStyle="1" w:styleId="xl102">
    <w:name w:val="xl102"/>
    <w:basedOn w:val="Normal"/>
    <w:rsid w:val="003A7D5E"/>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lang w:eastAsia="en-GB"/>
    </w:rPr>
  </w:style>
  <w:style w:type="paragraph" w:customStyle="1" w:styleId="xl103">
    <w:name w:val="xl103"/>
    <w:basedOn w:val="Normal"/>
    <w:rsid w:val="003A7D5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lang w:eastAsia="en-GB"/>
    </w:rPr>
  </w:style>
  <w:style w:type="paragraph" w:customStyle="1" w:styleId="xl104">
    <w:name w:val="xl104"/>
    <w:basedOn w:val="Normal"/>
    <w:rsid w:val="003A7D5E"/>
    <w:pPr>
      <w:pBdr>
        <w:top w:val="single" w:sz="4" w:space="0" w:color="auto"/>
        <w:left w:val="single" w:sz="4" w:space="0" w:color="auto"/>
      </w:pBdr>
      <w:spacing w:before="100" w:beforeAutospacing="1" w:after="100" w:afterAutospacing="1"/>
      <w:jc w:val="center"/>
      <w:textAlignment w:val="center"/>
    </w:pPr>
    <w:rPr>
      <w:rFonts w:eastAsia="Times New Roman" w:cs="Times New Roman"/>
      <w:b/>
      <w:bCs/>
      <w:sz w:val="24"/>
      <w:lang w:eastAsia="en-GB"/>
    </w:rPr>
  </w:style>
  <w:style w:type="paragraph" w:customStyle="1" w:styleId="xl105">
    <w:name w:val="xl105"/>
    <w:basedOn w:val="Normal"/>
    <w:rsid w:val="003A7D5E"/>
    <w:pPr>
      <w:pBdr>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4"/>
      <w:lang w:eastAsia="en-GB"/>
    </w:rPr>
  </w:style>
  <w:style w:type="paragraph" w:customStyle="1" w:styleId="xl106">
    <w:name w:val="xl106"/>
    <w:basedOn w:val="Normal"/>
    <w:rsid w:val="003A7D5E"/>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24"/>
      <w:lang w:eastAsia="en-GB"/>
    </w:rPr>
  </w:style>
  <w:style w:type="paragraph" w:customStyle="1" w:styleId="xl107">
    <w:name w:val="xl107"/>
    <w:basedOn w:val="Normal"/>
    <w:rsid w:val="003A7D5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lang w:eastAsia="en-GB"/>
    </w:rPr>
  </w:style>
  <w:style w:type="paragraph" w:customStyle="1" w:styleId="xl108">
    <w:name w:val="xl108"/>
    <w:basedOn w:val="Normal"/>
    <w:rsid w:val="003A7D5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4"/>
      <w:lang w:eastAsia="en-GB"/>
    </w:rPr>
  </w:style>
  <w:style w:type="paragraph" w:customStyle="1" w:styleId="xl109">
    <w:name w:val="xl109"/>
    <w:basedOn w:val="Normal"/>
    <w:rsid w:val="003A7D5E"/>
    <w:pPr>
      <w:pBdr>
        <w:top w:val="single" w:sz="4" w:space="0" w:color="auto"/>
      </w:pBdr>
      <w:spacing w:before="100" w:beforeAutospacing="1" w:after="100" w:afterAutospacing="1"/>
    </w:pPr>
    <w:rPr>
      <w:rFonts w:eastAsia="Times New Roman" w:cs="Times New Roman"/>
      <w:sz w:val="24"/>
      <w:lang w:eastAsia="en-GB"/>
    </w:rPr>
  </w:style>
  <w:style w:type="paragraph" w:customStyle="1" w:styleId="xl110">
    <w:name w:val="xl110"/>
    <w:basedOn w:val="Normal"/>
    <w:rsid w:val="003A7D5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lang w:eastAsia="en-GB"/>
    </w:rPr>
  </w:style>
  <w:style w:type="paragraph" w:customStyle="1" w:styleId="xl111">
    <w:name w:val="xl111"/>
    <w:basedOn w:val="Normal"/>
    <w:rsid w:val="003A7D5E"/>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lang w:eastAsia="en-GB"/>
    </w:rPr>
  </w:style>
  <w:style w:type="paragraph" w:customStyle="1" w:styleId="xl112">
    <w:name w:val="xl112"/>
    <w:basedOn w:val="Normal"/>
    <w:rsid w:val="003A7D5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lang w:eastAsia="en-GB"/>
    </w:rPr>
  </w:style>
  <w:style w:type="paragraph" w:customStyle="1" w:styleId="xl113">
    <w:name w:val="xl113"/>
    <w:basedOn w:val="Normal"/>
    <w:rsid w:val="003A7D5E"/>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lang w:eastAsia="en-GB"/>
    </w:rPr>
  </w:style>
  <w:style w:type="paragraph" w:customStyle="1" w:styleId="xl114">
    <w:name w:val="xl114"/>
    <w:basedOn w:val="Normal"/>
    <w:rsid w:val="003A7D5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lang w:eastAsia="en-GB"/>
    </w:rPr>
  </w:style>
  <w:style w:type="paragraph" w:customStyle="1" w:styleId="xl115">
    <w:name w:val="xl115"/>
    <w:basedOn w:val="Normal"/>
    <w:rsid w:val="003A7D5E"/>
    <w:pPr>
      <w:pBdr>
        <w:left w:val="single" w:sz="4" w:space="0" w:color="auto"/>
      </w:pBdr>
      <w:spacing w:before="100" w:beforeAutospacing="1" w:after="100" w:afterAutospacing="1"/>
      <w:jc w:val="center"/>
      <w:textAlignment w:val="center"/>
    </w:pPr>
    <w:rPr>
      <w:rFonts w:eastAsia="Times New Roman" w:cs="Times New Roman"/>
      <w:b/>
      <w:bCs/>
      <w:sz w:val="24"/>
      <w:lang w:eastAsia="en-GB"/>
    </w:rPr>
  </w:style>
  <w:style w:type="paragraph" w:customStyle="1" w:styleId="xl116">
    <w:name w:val="xl116"/>
    <w:basedOn w:val="Normal"/>
    <w:rsid w:val="003A7D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lang w:eastAsia="en-GB"/>
    </w:rPr>
  </w:style>
  <w:style w:type="paragraph" w:customStyle="1" w:styleId="xl117">
    <w:name w:val="xl117"/>
    <w:basedOn w:val="Normal"/>
    <w:rsid w:val="003A7D5E"/>
    <w:pPr>
      <w:spacing w:before="100" w:beforeAutospacing="1" w:after="100" w:afterAutospacing="1"/>
      <w:jc w:val="center"/>
    </w:pPr>
    <w:rPr>
      <w:rFonts w:eastAsia="Times New Roman" w:cs="Times New Roman"/>
      <w:sz w:val="24"/>
      <w:lang w:eastAsia="en-GB"/>
    </w:rPr>
  </w:style>
  <w:style w:type="paragraph" w:customStyle="1" w:styleId="xl118">
    <w:name w:val="xl118"/>
    <w:basedOn w:val="Normal"/>
    <w:rsid w:val="003A7D5E"/>
    <w:pPr>
      <w:pBdr>
        <w:bottom w:val="single" w:sz="4" w:space="0" w:color="auto"/>
      </w:pBdr>
      <w:spacing w:before="100" w:beforeAutospacing="1" w:after="100" w:afterAutospacing="1"/>
      <w:jc w:val="center"/>
    </w:pPr>
    <w:rPr>
      <w:rFonts w:eastAsia="Times New Roman" w:cs="Times New Roman"/>
      <w:sz w:val="24"/>
      <w:lang w:eastAsia="en-GB"/>
    </w:rPr>
  </w:style>
  <w:style w:type="paragraph" w:customStyle="1" w:styleId="xl119">
    <w:name w:val="xl119"/>
    <w:basedOn w:val="Normal"/>
    <w:rsid w:val="003A7D5E"/>
    <w:pPr>
      <w:pBdr>
        <w:right w:val="single" w:sz="4" w:space="0" w:color="auto"/>
      </w:pBdr>
      <w:spacing w:before="100" w:beforeAutospacing="1" w:after="100" w:afterAutospacing="1"/>
      <w:jc w:val="center"/>
    </w:pPr>
    <w:rPr>
      <w:rFonts w:eastAsia="Times New Roman" w:cs="Times New Roman"/>
      <w:sz w:val="24"/>
      <w:lang w:eastAsia="en-GB"/>
    </w:rPr>
  </w:style>
  <w:style w:type="paragraph" w:customStyle="1" w:styleId="xl120">
    <w:name w:val="xl120"/>
    <w:basedOn w:val="Normal"/>
    <w:rsid w:val="003A7D5E"/>
    <w:pPr>
      <w:pBdr>
        <w:bottom w:val="single" w:sz="4" w:space="0" w:color="auto"/>
        <w:right w:val="single" w:sz="4" w:space="0" w:color="auto"/>
      </w:pBdr>
      <w:spacing w:before="100" w:beforeAutospacing="1" w:after="100" w:afterAutospacing="1"/>
      <w:jc w:val="center"/>
    </w:pPr>
    <w:rPr>
      <w:rFonts w:eastAsia="Times New Roman" w:cs="Times New Roman"/>
      <w:sz w:val="24"/>
      <w:lang w:eastAsia="en-GB"/>
    </w:rPr>
  </w:style>
  <w:style w:type="paragraph" w:customStyle="1" w:styleId="xl121">
    <w:name w:val="xl121"/>
    <w:basedOn w:val="Normal"/>
    <w:rsid w:val="003A7D5E"/>
    <w:pPr>
      <w:pBdr>
        <w:right w:val="single" w:sz="4" w:space="0" w:color="auto"/>
      </w:pBdr>
      <w:spacing w:before="100" w:beforeAutospacing="1" w:after="100" w:afterAutospacing="1"/>
      <w:jc w:val="center"/>
    </w:pPr>
    <w:rPr>
      <w:rFonts w:eastAsia="Times New Roman" w:cs="Times New Roman"/>
      <w:sz w:val="24"/>
      <w:lang w:eastAsia="en-GB"/>
    </w:rPr>
  </w:style>
  <w:style w:type="paragraph" w:customStyle="1" w:styleId="xl122">
    <w:name w:val="xl122"/>
    <w:basedOn w:val="Normal"/>
    <w:rsid w:val="003A7D5E"/>
    <w:pPr>
      <w:spacing w:before="100" w:beforeAutospacing="1" w:after="100" w:afterAutospacing="1"/>
      <w:jc w:val="center"/>
    </w:pPr>
    <w:rPr>
      <w:rFonts w:eastAsia="Times New Roman" w:cs="Times New Roman"/>
      <w:sz w:val="24"/>
      <w:lang w:eastAsia="en-GB"/>
    </w:rPr>
  </w:style>
  <w:style w:type="paragraph" w:customStyle="1" w:styleId="xl123">
    <w:name w:val="xl123"/>
    <w:basedOn w:val="Normal"/>
    <w:rsid w:val="003A7D5E"/>
    <w:pPr>
      <w:pBdr>
        <w:bottom w:val="single" w:sz="4" w:space="0" w:color="auto"/>
        <w:right w:val="single" w:sz="4" w:space="0" w:color="auto"/>
      </w:pBdr>
      <w:spacing w:before="100" w:beforeAutospacing="1" w:after="100" w:afterAutospacing="1"/>
      <w:jc w:val="center"/>
    </w:pPr>
    <w:rPr>
      <w:rFonts w:eastAsia="Times New Roman" w:cs="Times New Roman"/>
      <w:sz w:val="24"/>
      <w:lang w:eastAsia="en-GB"/>
    </w:rPr>
  </w:style>
  <w:style w:type="paragraph" w:customStyle="1" w:styleId="xl124">
    <w:name w:val="xl124"/>
    <w:basedOn w:val="Normal"/>
    <w:rsid w:val="003A7D5E"/>
    <w:pPr>
      <w:pBdr>
        <w:top w:val="single" w:sz="4" w:space="0" w:color="auto"/>
        <w:right w:val="single" w:sz="4" w:space="0" w:color="auto"/>
      </w:pBdr>
      <w:spacing w:before="100" w:beforeAutospacing="1" w:after="100" w:afterAutospacing="1"/>
      <w:jc w:val="center"/>
    </w:pPr>
    <w:rPr>
      <w:rFonts w:eastAsia="Times New Roman" w:cs="Times New Roman"/>
      <w:sz w:val="24"/>
      <w:lang w:eastAsia="en-GB"/>
    </w:rPr>
  </w:style>
  <w:style w:type="paragraph" w:customStyle="1" w:styleId="xl125">
    <w:name w:val="xl125"/>
    <w:basedOn w:val="Normal"/>
    <w:rsid w:val="003A7D5E"/>
    <w:pPr>
      <w:pBdr>
        <w:top w:val="single" w:sz="4" w:space="0" w:color="auto"/>
      </w:pBdr>
      <w:spacing w:before="100" w:beforeAutospacing="1" w:after="100" w:afterAutospacing="1"/>
      <w:jc w:val="center"/>
    </w:pPr>
    <w:rPr>
      <w:rFonts w:eastAsia="Times New Roman" w:cs="Times New Roman"/>
      <w:sz w:val="24"/>
      <w:lang w:eastAsia="en-GB"/>
    </w:rPr>
  </w:style>
  <w:style w:type="paragraph" w:customStyle="1" w:styleId="xl126">
    <w:name w:val="xl126"/>
    <w:basedOn w:val="Normal"/>
    <w:rsid w:val="003A7D5E"/>
    <w:pPr>
      <w:pBdr>
        <w:top w:val="single" w:sz="4" w:space="0" w:color="auto"/>
        <w:right w:val="single" w:sz="4" w:space="0" w:color="auto"/>
      </w:pBdr>
      <w:spacing w:before="100" w:beforeAutospacing="1" w:after="100" w:afterAutospacing="1"/>
      <w:jc w:val="center"/>
    </w:pPr>
    <w:rPr>
      <w:rFonts w:eastAsia="Times New Roman" w:cs="Times New Roman"/>
      <w:sz w:val="24"/>
      <w:lang w:eastAsia="en-GB"/>
    </w:rPr>
  </w:style>
  <w:style w:type="paragraph" w:customStyle="1" w:styleId="xl127">
    <w:name w:val="xl127"/>
    <w:basedOn w:val="Normal"/>
    <w:rsid w:val="003A7D5E"/>
    <w:pPr>
      <w:pBdr>
        <w:top w:val="single" w:sz="4" w:space="0" w:color="auto"/>
      </w:pBdr>
      <w:spacing w:before="100" w:beforeAutospacing="1" w:after="100" w:afterAutospacing="1"/>
      <w:jc w:val="center"/>
    </w:pPr>
    <w:rPr>
      <w:rFonts w:eastAsia="Times New Roman" w:cs="Times New Roman"/>
      <w:sz w:val="24"/>
      <w:lang w:eastAsia="en-GB"/>
    </w:rPr>
  </w:style>
  <w:style w:type="paragraph" w:customStyle="1" w:styleId="xl128">
    <w:name w:val="xl128"/>
    <w:basedOn w:val="Normal"/>
    <w:rsid w:val="003A7D5E"/>
    <w:pPr>
      <w:pBdr>
        <w:bottom w:val="single" w:sz="4" w:space="0" w:color="auto"/>
      </w:pBdr>
      <w:spacing w:before="100" w:beforeAutospacing="1" w:after="100" w:afterAutospacing="1"/>
      <w:jc w:val="center"/>
    </w:pPr>
    <w:rPr>
      <w:rFonts w:eastAsia="Times New Roman" w:cs="Times New Roman"/>
      <w:sz w:val="24"/>
      <w:lang w:eastAsia="en-GB"/>
    </w:rPr>
  </w:style>
  <w:style w:type="table" w:styleId="TableGrid">
    <w:name w:val="Table Grid"/>
    <w:basedOn w:val="TableNormal"/>
    <w:uiPriority w:val="39"/>
    <w:rsid w:val="00E3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94101"/>
    <w:pPr>
      <w:spacing w:before="0" w:after="0"/>
    </w:pPr>
    <w:rPr>
      <w:sz w:val="20"/>
      <w:szCs w:val="20"/>
    </w:rPr>
  </w:style>
  <w:style w:type="character" w:customStyle="1" w:styleId="FootnoteTextChar">
    <w:name w:val="Footnote Text Char"/>
    <w:basedOn w:val="DefaultParagraphFont"/>
    <w:link w:val="FootnoteText"/>
    <w:uiPriority w:val="99"/>
    <w:semiHidden/>
    <w:rsid w:val="00494101"/>
    <w:rPr>
      <w:rFonts w:ascii="Times New Roman" w:hAnsi="Times New Roman"/>
      <w:sz w:val="20"/>
      <w:szCs w:val="20"/>
    </w:rPr>
  </w:style>
  <w:style w:type="character" w:styleId="FootnoteReference">
    <w:name w:val="footnote reference"/>
    <w:basedOn w:val="DefaultParagraphFont"/>
    <w:uiPriority w:val="99"/>
    <w:semiHidden/>
    <w:unhideWhenUsed/>
    <w:rsid w:val="00494101"/>
    <w:rPr>
      <w:vertAlign w:val="superscript"/>
    </w:rPr>
  </w:style>
  <w:style w:type="paragraph" w:styleId="Caption">
    <w:name w:val="caption"/>
    <w:basedOn w:val="Normal"/>
    <w:next w:val="Normal"/>
    <w:uiPriority w:val="35"/>
    <w:unhideWhenUsed/>
    <w:qFormat/>
    <w:rsid w:val="003403B2"/>
    <w:pPr>
      <w:spacing w:before="0"/>
      <w:jc w:val="center"/>
    </w:pPr>
    <w:rPr>
      <w:b/>
      <w:sz w:val="20"/>
    </w:rPr>
  </w:style>
  <w:style w:type="character" w:customStyle="1" w:styleId="ej-keyword">
    <w:name w:val="ej-keyword"/>
    <w:basedOn w:val="DefaultParagraphFont"/>
    <w:rsid w:val="00C12BB5"/>
  </w:style>
  <w:style w:type="character" w:styleId="FollowedHyperlink">
    <w:name w:val="FollowedHyperlink"/>
    <w:basedOn w:val="DefaultParagraphFont"/>
    <w:uiPriority w:val="99"/>
    <w:semiHidden/>
    <w:unhideWhenUsed/>
    <w:rsid w:val="00D3135B"/>
    <w:rPr>
      <w:color w:val="954F72" w:themeColor="followedHyperlink"/>
      <w:u w:val="single"/>
    </w:rPr>
  </w:style>
  <w:style w:type="character" w:customStyle="1" w:styleId="st">
    <w:name w:val="st"/>
    <w:basedOn w:val="DefaultParagraphFont"/>
    <w:rsid w:val="007E18B0"/>
  </w:style>
  <w:style w:type="character" w:customStyle="1" w:styleId="UnresolvedMention1">
    <w:name w:val="Unresolved Mention1"/>
    <w:basedOn w:val="DefaultParagraphFont"/>
    <w:uiPriority w:val="99"/>
    <w:semiHidden/>
    <w:unhideWhenUsed/>
    <w:rsid w:val="00637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0622">
      <w:bodyDiv w:val="1"/>
      <w:marLeft w:val="0"/>
      <w:marRight w:val="0"/>
      <w:marTop w:val="0"/>
      <w:marBottom w:val="0"/>
      <w:divBdr>
        <w:top w:val="none" w:sz="0" w:space="0" w:color="auto"/>
        <w:left w:val="none" w:sz="0" w:space="0" w:color="auto"/>
        <w:bottom w:val="none" w:sz="0" w:space="0" w:color="auto"/>
        <w:right w:val="none" w:sz="0" w:space="0" w:color="auto"/>
      </w:divBdr>
    </w:div>
    <w:div w:id="33964401">
      <w:bodyDiv w:val="1"/>
      <w:marLeft w:val="0"/>
      <w:marRight w:val="0"/>
      <w:marTop w:val="0"/>
      <w:marBottom w:val="0"/>
      <w:divBdr>
        <w:top w:val="none" w:sz="0" w:space="0" w:color="auto"/>
        <w:left w:val="none" w:sz="0" w:space="0" w:color="auto"/>
        <w:bottom w:val="none" w:sz="0" w:space="0" w:color="auto"/>
        <w:right w:val="none" w:sz="0" w:space="0" w:color="auto"/>
      </w:divBdr>
    </w:div>
    <w:div w:id="49890179">
      <w:bodyDiv w:val="1"/>
      <w:marLeft w:val="0"/>
      <w:marRight w:val="0"/>
      <w:marTop w:val="0"/>
      <w:marBottom w:val="0"/>
      <w:divBdr>
        <w:top w:val="none" w:sz="0" w:space="0" w:color="auto"/>
        <w:left w:val="none" w:sz="0" w:space="0" w:color="auto"/>
        <w:bottom w:val="none" w:sz="0" w:space="0" w:color="auto"/>
        <w:right w:val="none" w:sz="0" w:space="0" w:color="auto"/>
      </w:divBdr>
    </w:div>
    <w:div w:id="59990069">
      <w:bodyDiv w:val="1"/>
      <w:marLeft w:val="0"/>
      <w:marRight w:val="0"/>
      <w:marTop w:val="0"/>
      <w:marBottom w:val="0"/>
      <w:divBdr>
        <w:top w:val="none" w:sz="0" w:space="0" w:color="auto"/>
        <w:left w:val="none" w:sz="0" w:space="0" w:color="auto"/>
        <w:bottom w:val="none" w:sz="0" w:space="0" w:color="auto"/>
        <w:right w:val="none" w:sz="0" w:space="0" w:color="auto"/>
      </w:divBdr>
    </w:div>
    <w:div w:id="170530503">
      <w:bodyDiv w:val="1"/>
      <w:marLeft w:val="0"/>
      <w:marRight w:val="0"/>
      <w:marTop w:val="0"/>
      <w:marBottom w:val="0"/>
      <w:divBdr>
        <w:top w:val="none" w:sz="0" w:space="0" w:color="auto"/>
        <w:left w:val="none" w:sz="0" w:space="0" w:color="auto"/>
        <w:bottom w:val="none" w:sz="0" w:space="0" w:color="auto"/>
        <w:right w:val="none" w:sz="0" w:space="0" w:color="auto"/>
      </w:divBdr>
    </w:div>
    <w:div w:id="173497718">
      <w:bodyDiv w:val="1"/>
      <w:marLeft w:val="0"/>
      <w:marRight w:val="0"/>
      <w:marTop w:val="0"/>
      <w:marBottom w:val="0"/>
      <w:divBdr>
        <w:top w:val="none" w:sz="0" w:space="0" w:color="auto"/>
        <w:left w:val="none" w:sz="0" w:space="0" w:color="auto"/>
        <w:bottom w:val="none" w:sz="0" w:space="0" w:color="auto"/>
        <w:right w:val="none" w:sz="0" w:space="0" w:color="auto"/>
      </w:divBdr>
    </w:div>
    <w:div w:id="184025291">
      <w:bodyDiv w:val="1"/>
      <w:marLeft w:val="0"/>
      <w:marRight w:val="0"/>
      <w:marTop w:val="0"/>
      <w:marBottom w:val="0"/>
      <w:divBdr>
        <w:top w:val="none" w:sz="0" w:space="0" w:color="auto"/>
        <w:left w:val="none" w:sz="0" w:space="0" w:color="auto"/>
        <w:bottom w:val="none" w:sz="0" w:space="0" w:color="auto"/>
        <w:right w:val="none" w:sz="0" w:space="0" w:color="auto"/>
      </w:divBdr>
    </w:div>
    <w:div w:id="190726347">
      <w:bodyDiv w:val="1"/>
      <w:marLeft w:val="0"/>
      <w:marRight w:val="0"/>
      <w:marTop w:val="0"/>
      <w:marBottom w:val="0"/>
      <w:divBdr>
        <w:top w:val="none" w:sz="0" w:space="0" w:color="auto"/>
        <w:left w:val="none" w:sz="0" w:space="0" w:color="auto"/>
        <w:bottom w:val="none" w:sz="0" w:space="0" w:color="auto"/>
        <w:right w:val="none" w:sz="0" w:space="0" w:color="auto"/>
      </w:divBdr>
    </w:div>
    <w:div w:id="212078385">
      <w:bodyDiv w:val="1"/>
      <w:marLeft w:val="0"/>
      <w:marRight w:val="0"/>
      <w:marTop w:val="0"/>
      <w:marBottom w:val="0"/>
      <w:divBdr>
        <w:top w:val="none" w:sz="0" w:space="0" w:color="auto"/>
        <w:left w:val="none" w:sz="0" w:space="0" w:color="auto"/>
        <w:bottom w:val="none" w:sz="0" w:space="0" w:color="auto"/>
        <w:right w:val="none" w:sz="0" w:space="0" w:color="auto"/>
      </w:divBdr>
      <w:divsChild>
        <w:div w:id="279337994">
          <w:marLeft w:val="0"/>
          <w:marRight w:val="0"/>
          <w:marTop w:val="0"/>
          <w:marBottom w:val="0"/>
          <w:divBdr>
            <w:top w:val="none" w:sz="0" w:space="0" w:color="auto"/>
            <w:left w:val="none" w:sz="0" w:space="0" w:color="auto"/>
            <w:bottom w:val="none" w:sz="0" w:space="0" w:color="auto"/>
            <w:right w:val="none" w:sz="0" w:space="0" w:color="auto"/>
          </w:divBdr>
          <w:divsChild>
            <w:div w:id="1662850123">
              <w:marLeft w:val="0"/>
              <w:marRight w:val="0"/>
              <w:marTop w:val="0"/>
              <w:marBottom w:val="0"/>
              <w:divBdr>
                <w:top w:val="none" w:sz="0" w:space="0" w:color="auto"/>
                <w:left w:val="none" w:sz="0" w:space="0" w:color="auto"/>
                <w:bottom w:val="none" w:sz="0" w:space="0" w:color="auto"/>
                <w:right w:val="none" w:sz="0" w:space="0" w:color="auto"/>
              </w:divBdr>
              <w:divsChild>
                <w:div w:id="14838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466">
      <w:bodyDiv w:val="1"/>
      <w:marLeft w:val="0"/>
      <w:marRight w:val="0"/>
      <w:marTop w:val="0"/>
      <w:marBottom w:val="0"/>
      <w:divBdr>
        <w:top w:val="none" w:sz="0" w:space="0" w:color="auto"/>
        <w:left w:val="none" w:sz="0" w:space="0" w:color="auto"/>
        <w:bottom w:val="none" w:sz="0" w:space="0" w:color="auto"/>
        <w:right w:val="none" w:sz="0" w:space="0" w:color="auto"/>
      </w:divBdr>
    </w:div>
    <w:div w:id="237836137">
      <w:bodyDiv w:val="1"/>
      <w:marLeft w:val="0"/>
      <w:marRight w:val="0"/>
      <w:marTop w:val="0"/>
      <w:marBottom w:val="0"/>
      <w:divBdr>
        <w:top w:val="none" w:sz="0" w:space="0" w:color="auto"/>
        <w:left w:val="none" w:sz="0" w:space="0" w:color="auto"/>
        <w:bottom w:val="none" w:sz="0" w:space="0" w:color="auto"/>
        <w:right w:val="none" w:sz="0" w:space="0" w:color="auto"/>
      </w:divBdr>
    </w:div>
    <w:div w:id="240993502">
      <w:bodyDiv w:val="1"/>
      <w:marLeft w:val="0"/>
      <w:marRight w:val="0"/>
      <w:marTop w:val="0"/>
      <w:marBottom w:val="0"/>
      <w:divBdr>
        <w:top w:val="none" w:sz="0" w:space="0" w:color="auto"/>
        <w:left w:val="none" w:sz="0" w:space="0" w:color="auto"/>
        <w:bottom w:val="none" w:sz="0" w:space="0" w:color="auto"/>
        <w:right w:val="none" w:sz="0" w:space="0" w:color="auto"/>
      </w:divBdr>
    </w:div>
    <w:div w:id="276254924">
      <w:bodyDiv w:val="1"/>
      <w:marLeft w:val="0"/>
      <w:marRight w:val="0"/>
      <w:marTop w:val="0"/>
      <w:marBottom w:val="0"/>
      <w:divBdr>
        <w:top w:val="none" w:sz="0" w:space="0" w:color="auto"/>
        <w:left w:val="none" w:sz="0" w:space="0" w:color="auto"/>
        <w:bottom w:val="none" w:sz="0" w:space="0" w:color="auto"/>
        <w:right w:val="none" w:sz="0" w:space="0" w:color="auto"/>
      </w:divBdr>
    </w:div>
    <w:div w:id="287587123">
      <w:bodyDiv w:val="1"/>
      <w:marLeft w:val="0"/>
      <w:marRight w:val="0"/>
      <w:marTop w:val="0"/>
      <w:marBottom w:val="0"/>
      <w:divBdr>
        <w:top w:val="none" w:sz="0" w:space="0" w:color="auto"/>
        <w:left w:val="none" w:sz="0" w:space="0" w:color="auto"/>
        <w:bottom w:val="none" w:sz="0" w:space="0" w:color="auto"/>
        <w:right w:val="none" w:sz="0" w:space="0" w:color="auto"/>
      </w:divBdr>
    </w:div>
    <w:div w:id="301157978">
      <w:bodyDiv w:val="1"/>
      <w:marLeft w:val="0"/>
      <w:marRight w:val="0"/>
      <w:marTop w:val="0"/>
      <w:marBottom w:val="0"/>
      <w:divBdr>
        <w:top w:val="none" w:sz="0" w:space="0" w:color="auto"/>
        <w:left w:val="none" w:sz="0" w:space="0" w:color="auto"/>
        <w:bottom w:val="none" w:sz="0" w:space="0" w:color="auto"/>
        <w:right w:val="none" w:sz="0" w:space="0" w:color="auto"/>
      </w:divBdr>
    </w:div>
    <w:div w:id="312413857">
      <w:bodyDiv w:val="1"/>
      <w:marLeft w:val="0"/>
      <w:marRight w:val="0"/>
      <w:marTop w:val="0"/>
      <w:marBottom w:val="0"/>
      <w:divBdr>
        <w:top w:val="none" w:sz="0" w:space="0" w:color="auto"/>
        <w:left w:val="none" w:sz="0" w:space="0" w:color="auto"/>
        <w:bottom w:val="none" w:sz="0" w:space="0" w:color="auto"/>
        <w:right w:val="none" w:sz="0" w:space="0" w:color="auto"/>
      </w:divBdr>
      <w:divsChild>
        <w:div w:id="1677032554">
          <w:marLeft w:val="0"/>
          <w:marRight w:val="0"/>
          <w:marTop w:val="0"/>
          <w:marBottom w:val="0"/>
          <w:divBdr>
            <w:top w:val="none" w:sz="0" w:space="0" w:color="auto"/>
            <w:left w:val="none" w:sz="0" w:space="0" w:color="auto"/>
            <w:bottom w:val="none" w:sz="0" w:space="0" w:color="auto"/>
            <w:right w:val="none" w:sz="0" w:space="0" w:color="auto"/>
          </w:divBdr>
          <w:divsChild>
            <w:div w:id="1399673521">
              <w:marLeft w:val="0"/>
              <w:marRight w:val="0"/>
              <w:marTop w:val="0"/>
              <w:marBottom w:val="0"/>
              <w:divBdr>
                <w:top w:val="none" w:sz="0" w:space="0" w:color="auto"/>
                <w:left w:val="none" w:sz="0" w:space="0" w:color="auto"/>
                <w:bottom w:val="none" w:sz="0" w:space="0" w:color="auto"/>
                <w:right w:val="none" w:sz="0" w:space="0" w:color="auto"/>
              </w:divBdr>
              <w:divsChild>
                <w:div w:id="1067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20227">
      <w:bodyDiv w:val="1"/>
      <w:marLeft w:val="0"/>
      <w:marRight w:val="0"/>
      <w:marTop w:val="0"/>
      <w:marBottom w:val="0"/>
      <w:divBdr>
        <w:top w:val="none" w:sz="0" w:space="0" w:color="auto"/>
        <w:left w:val="none" w:sz="0" w:space="0" w:color="auto"/>
        <w:bottom w:val="none" w:sz="0" w:space="0" w:color="auto"/>
        <w:right w:val="none" w:sz="0" w:space="0" w:color="auto"/>
      </w:divBdr>
    </w:div>
    <w:div w:id="337732205">
      <w:bodyDiv w:val="1"/>
      <w:marLeft w:val="0"/>
      <w:marRight w:val="0"/>
      <w:marTop w:val="0"/>
      <w:marBottom w:val="0"/>
      <w:divBdr>
        <w:top w:val="none" w:sz="0" w:space="0" w:color="auto"/>
        <w:left w:val="none" w:sz="0" w:space="0" w:color="auto"/>
        <w:bottom w:val="none" w:sz="0" w:space="0" w:color="auto"/>
        <w:right w:val="none" w:sz="0" w:space="0" w:color="auto"/>
      </w:divBdr>
    </w:div>
    <w:div w:id="353191104">
      <w:bodyDiv w:val="1"/>
      <w:marLeft w:val="0"/>
      <w:marRight w:val="0"/>
      <w:marTop w:val="0"/>
      <w:marBottom w:val="0"/>
      <w:divBdr>
        <w:top w:val="none" w:sz="0" w:space="0" w:color="auto"/>
        <w:left w:val="none" w:sz="0" w:space="0" w:color="auto"/>
        <w:bottom w:val="none" w:sz="0" w:space="0" w:color="auto"/>
        <w:right w:val="none" w:sz="0" w:space="0" w:color="auto"/>
      </w:divBdr>
      <w:divsChild>
        <w:div w:id="257834025">
          <w:marLeft w:val="1080"/>
          <w:marRight w:val="0"/>
          <w:marTop w:val="100"/>
          <w:marBottom w:val="0"/>
          <w:divBdr>
            <w:top w:val="none" w:sz="0" w:space="0" w:color="auto"/>
            <w:left w:val="none" w:sz="0" w:space="0" w:color="auto"/>
            <w:bottom w:val="none" w:sz="0" w:space="0" w:color="auto"/>
            <w:right w:val="none" w:sz="0" w:space="0" w:color="auto"/>
          </w:divBdr>
        </w:div>
      </w:divsChild>
    </w:div>
    <w:div w:id="357199165">
      <w:bodyDiv w:val="1"/>
      <w:marLeft w:val="0"/>
      <w:marRight w:val="0"/>
      <w:marTop w:val="0"/>
      <w:marBottom w:val="0"/>
      <w:divBdr>
        <w:top w:val="none" w:sz="0" w:space="0" w:color="auto"/>
        <w:left w:val="none" w:sz="0" w:space="0" w:color="auto"/>
        <w:bottom w:val="none" w:sz="0" w:space="0" w:color="auto"/>
        <w:right w:val="none" w:sz="0" w:space="0" w:color="auto"/>
      </w:divBdr>
    </w:div>
    <w:div w:id="367679814">
      <w:bodyDiv w:val="1"/>
      <w:marLeft w:val="0"/>
      <w:marRight w:val="0"/>
      <w:marTop w:val="0"/>
      <w:marBottom w:val="0"/>
      <w:divBdr>
        <w:top w:val="none" w:sz="0" w:space="0" w:color="auto"/>
        <w:left w:val="none" w:sz="0" w:space="0" w:color="auto"/>
        <w:bottom w:val="none" w:sz="0" w:space="0" w:color="auto"/>
        <w:right w:val="none" w:sz="0" w:space="0" w:color="auto"/>
      </w:divBdr>
    </w:div>
    <w:div w:id="370542175">
      <w:bodyDiv w:val="1"/>
      <w:marLeft w:val="0"/>
      <w:marRight w:val="0"/>
      <w:marTop w:val="0"/>
      <w:marBottom w:val="0"/>
      <w:divBdr>
        <w:top w:val="none" w:sz="0" w:space="0" w:color="auto"/>
        <w:left w:val="none" w:sz="0" w:space="0" w:color="auto"/>
        <w:bottom w:val="none" w:sz="0" w:space="0" w:color="auto"/>
        <w:right w:val="none" w:sz="0" w:space="0" w:color="auto"/>
      </w:divBdr>
    </w:div>
    <w:div w:id="406270889">
      <w:bodyDiv w:val="1"/>
      <w:marLeft w:val="0"/>
      <w:marRight w:val="0"/>
      <w:marTop w:val="0"/>
      <w:marBottom w:val="0"/>
      <w:divBdr>
        <w:top w:val="none" w:sz="0" w:space="0" w:color="auto"/>
        <w:left w:val="none" w:sz="0" w:space="0" w:color="auto"/>
        <w:bottom w:val="none" w:sz="0" w:space="0" w:color="auto"/>
        <w:right w:val="none" w:sz="0" w:space="0" w:color="auto"/>
      </w:divBdr>
    </w:div>
    <w:div w:id="415900383">
      <w:bodyDiv w:val="1"/>
      <w:marLeft w:val="0"/>
      <w:marRight w:val="0"/>
      <w:marTop w:val="0"/>
      <w:marBottom w:val="0"/>
      <w:divBdr>
        <w:top w:val="none" w:sz="0" w:space="0" w:color="auto"/>
        <w:left w:val="none" w:sz="0" w:space="0" w:color="auto"/>
        <w:bottom w:val="none" w:sz="0" w:space="0" w:color="auto"/>
        <w:right w:val="none" w:sz="0" w:space="0" w:color="auto"/>
      </w:divBdr>
    </w:div>
    <w:div w:id="428237694">
      <w:bodyDiv w:val="1"/>
      <w:marLeft w:val="0"/>
      <w:marRight w:val="0"/>
      <w:marTop w:val="0"/>
      <w:marBottom w:val="0"/>
      <w:divBdr>
        <w:top w:val="none" w:sz="0" w:space="0" w:color="auto"/>
        <w:left w:val="none" w:sz="0" w:space="0" w:color="auto"/>
        <w:bottom w:val="none" w:sz="0" w:space="0" w:color="auto"/>
        <w:right w:val="none" w:sz="0" w:space="0" w:color="auto"/>
      </w:divBdr>
      <w:divsChild>
        <w:div w:id="1168398882">
          <w:marLeft w:val="0"/>
          <w:marRight w:val="0"/>
          <w:marTop w:val="0"/>
          <w:marBottom w:val="0"/>
          <w:divBdr>
            <w:top w:val="none" w:sz="0" w:space="0" w:color="auto"/>
            <w:left w:val="none" w:sz="0" w:space="0" w:color="auto"/>
            <w:bottom w:val="none" w:sz="0" w:space="0" w:color="auto"/>
            <w:right w:val="none" w:sz="0" w:space="0" w:color="auto"/>
          </w:divBdr>
        </w:div>
        <w:div w:id="1753619689">
          <w:marLeft w:val="0"/>
          <w:marRight w:val="0"/>
          <w:marTop w:val="0"/>
          <w:marBottom w:val="0"/>
          <w:divBdr>
            <w:top w:val="none" w:sz="0" w:space="0" w:color="auto"/>
            <w:left w:val="none" w:sz="0" w:space="0" w:color="auto"/>
            <w:bottom w:val="none" w:sz="0" w:space="0" w:color="auto"/>
            <w:right w:val="none" w:sz="0" w:space="0" w:color="auto"/>
          </w:divBdr>
        </w:div>
      </w:divsChild>
    </w:div>
    <w:div w:id="460340777">
      <w:bodyDiv w:val="1"/>
      <w:marLeft w:val="0"/>
      <w:marRight w:val="0"/>
      <w:marTop w:val="0"/>
      <w:marBottom w:val="0"/>
      <w:divBdr>
        <w:top w:val="none" w:sz="0" w:space="0" w:color="auto"/>
        <w:left w:val="none" w:sz="0" w:space="0" w:color="auto"/>
        <w:bottom w:val="none" w:sz="0" w:space="0" w:color="auto"/>
        <w:right w:val="none" w:sz="0" w:space="0" w:color="auto"/>
      </w:divBdr>
      <w:divsChild>
        <w:div w:id="1233660098">
          <w:marLeft w:val="0"/>
          <w:marRight w:val="0"/>
          <w:marTop w:val="0"/>
          <w:marBottom w:val="0"/>
          <w:divBdr>
            <w:top w:val="none" w:sz="0" w:space="0" w:color="auto"/>
            <w:left w:val="none" w:sz="0" w:space="0" w:color="auto"/>
            <w:bottom w:val="none" w:sz="0" w:space="0" w:color="auto"/>
            <w:right w:val="none" w:sz="0" w:space="0" w:color="auto"/>
          </w:divBdr>
          <w:divsChild>
            <w:div w:id="665665682">
              <w:marLeft w:val="0"/>
              <w:marRight w:val="0"/>
              <w:marTop w:val="0"/>
              <w:marBottom w:val="0"/>
              <w:divBdr>
                <w:top w:val="none" w:sz="0" w:space="0" w:color="auto"/>
                <w:left w:val="none" w:sz="0" w:space="0" w:color="auto"/>
                <w:bottom w:val="none" w:sz="0" w:space="0" w:color="auto"/>
                <w:right w:val="none" w:sz="0" w:space="0" w:color="auto"/>
              </w:divBdr>
              <w:divsChild>
                <w:div w:id="5476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7608">
      <w:bodyDiv w:val="1"/>
      <w:marLeft w:val="0"/>
      <w:marRight w:val="0"/>
      <w:marTop w:val="0"/>
      <w:marBottom w:val="0"/>
      <w:divBdr>
        <w:top w:val="none" w:sz="0" w:space="0" w:color="auto"/>
        <w:left w:val="none" w:sz="0" w:space="0" w:color="auto"/>
        <w:bottom w:val="none" w:sz="0" w:space="0" w:color="auto"/>
        <w:right w:val="none" w:sz="0" w:space="0" w:color="auto"/>
      </w:divBdr>
      <w:divsChild>
        <w:div w:id="455220370">
          <w:marLeft w:val="0"/>
          <w:marRight w:val="0"/>
          <w:marTop w:val="0"/>
          <w:marBottom w:val="0"/>
          <w:divBdr>
            <w:top w:val="none" w:sz="0" w:space="0" w:color="auto"/>
            <w:left w:val="none" w:sz="0" w:space="0" w:color="auto"/>
            <w:bottom w:val="none" w:sz="0" w:space="0" w:color="auto"/>
            <w:right w:val="none" w:sz="0" w:space="0" w:color="auto"/>
          </w:divBdr>
          <w:divsChild>
            <w:div w:id="720442864">
              <w:marLeft w:val="0"/>
              <w:marRight w:val="0"/>
              <w:marTop w:val="0"/>
              <w:marBottom w:val="0"/>
              <w:divBdr>
                <w:top w:val="none" w:sz="0" w:space="0" w:color="auto"/>
                <w:left w:val="none" w:sz="0" w:space="0" w:color="auto"/>
                <w:bottom w:val="none" w:sz="0" w:space="0" w:color="auto"/>
                <w:right w:val="none" w:sz="0" w:space="0" w:color="auto"/>
              </w:divBdr>
              <w:divsChild>
                <w:div w:id="10746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9603">
      <w:bodyDiv w:val="1"/>
      <w:marLeft w:val="0"/>
      <w:marRight w:val="0"/>
      <w:marTop w:val="0"/>
      <w:marBottom w:val="0"/>
      <w:divBdr>
        <w:top w:val="none" w:sz="0" w:space="0" w:color="auto"/>
        <w:left w:val="none" w:sz="0" w:space="0" w:color="auto"/>
        <w:bottom w:val="none" w:sz="0" w:space="0" w:color="auto"/>
        <w:right w:val="none" w:sz="0" w:space="0" w:color="auto"/>
      </w:divBdr>
    </w:div>
    <w:div w:id="525557661">
      <w:bodyDiv w:val="1"/>
      <w:marLeft w:val="0"/>
      <w:marRight w:val="0"/>
      <w:marTop w:val="0"/>
      <w:marBottom w:val="0"/>
      <w:divBdr>
        <w:top w:val="none" w:sz="0" w:space="0" w:color="auto"/>
        <w:left w:val="none" w:sz="0" w:space="0" w:color="auto"/>
        <w:bottom w:val="none" w:sz="0" w:space="0" w:color="auto"/>
        <w:right w:val="none" w:sz="0" w:space="0" w:color="auto"/>
      </w:divBdr>
      <w:divsChild>
        <w:div w:id="97677559">
          <w:marLeft w:val="0"/>
          <w:marRight w:val="0"/>
          <w:marTop w:val="0"/>
          <w:marBottom w:val="0"/>
          <w:divBdr>
            <w:top w:val="none" w:sz="0" w:space="0" w:color="auto"/>
            <w:left w:val="none" w:sz="0" w:space="0" w:color="auto"/>
            <w:bottom w:val="none" w:sz="0" w:space="0" w:color="auto"/>
            <w:right w:val="none" w:sz="0" w:space="0" w:color="auto"/>
          </w:divBdr>
        </w:div>
        <w:div w:id="187374906">
          <w:marLeft w:val="0"/>
          <w:marRight w:val="0"/>
          <w:marTop w:val="0"/>
          <w:marBottom w:val="0"/>
          <w:divBdr>
            <w:top w:val="none" w:sz="0" w:space="0" w:color="auto"/>
            <w:left w:val="none" w:sz="0" w:space="0" w:color="auto"/>
            <w:bottom w:val="none" w:sz="0" w:space="0" w:color="auto"/>
            <w:right w:val="none" w:sz="0" w:space="0" w:color="auto"/>
          </w:divBdr>
        </w:div>
        <w:div w:id="542988746">
          <w:marLeft w:val="0"/>
          <w:marRight w:val="0"/>
          <w:marTop w:val="0"/>
          <w:marBottom w:val="0"/>
          <w:divBdr>
            <w:top w:val="none" w:sz="0" w:space="0" w:color="auto"/>
            <w:left w:val="none" w:sz="0" w:space="0" w:color="auto"/>
            <w:bottom w:val="none" w:sz="0" w:space="0" w:color="auto"/>
            <w:right w:val="none" w:sz="0" w:space="0" w:color="auto"/>
          </w:divBdr>
        </w:div>
        <w:div w:id="573391592">
          <w:marLeft w:val="0"/>
          <w:marRight w:val="0"/>
          <w:marTop w:val="0"/>
          <w:marBottom w:val="0"/>
          <w:divBdr>
            <w:top w:val="none" w:sz="0" w:space="0" w:color="auto"/>
            <w:left w:val="none" w:sz="0" w:space="0" w:color="auto"/>
            <w:bottom w:val="none" w:sz="0" w:space="0" w:color="auto"/>
            <w:right w:val="none" w:sz="0" w:space="0" w:color="auto"/>
          </w:divBdr>
        </w:div>
        <w:div w:id="720902200">
          <w:marLeft w:val="0"/>
          <w:marRight w:val="0"/>
          <w:marTop w:val="0"/>
          <w:marBottom w:val="0"/>
          <w:divBdr>
            <w:top w:val="none" w:sz="0" w:space="0" w:color="auto"/>
            <w:left w:val="none" w:sz="0" w:space="0" w:color="auto"/>
            <w:bottom w:val="none" w:sz="0" w:space="0" w:color="auto"/>
            <w:right w:val="none" w:sz="0" w:space="0" w:color="auto"/>
          </w:divBdr>
        </w:div>
        <w:div w:id="780417552">
          <w:marLeft w:val="0"/>
          <w:marRight w:val="0"/>
          <w:marTop w:val="0"/>
          <w:marBottom w:val="0"/>
          <w:divBdr>
            <w:top w:val="none" w:sz="0" w:space="0" w:color="auto"/>
            <w:left w:val="none" w:sz="0" w:space="0" w:color="auto"/>
            <w:bottom w:val="none" w:sz="0" w:space="0" w:color="auto"/>
            <w:right w:val="none" w:sz="0" w:space="0" w:color="auto"/>
          </w:divBdr>
        </w:div>
        <w:div w:id="983897003">
          <w:marLeft w:val="0"/>
          <w:marRight w:val="0"/>
          <w:marTop w:val="0"/>
          <w:marBottom w:val="0"/>
          <w:divBdr>
            <w:top w:val="none" w:sz="0" w:space="0" w:color="auto"/>
            <w:left w:val="none" w:sz="0" w:space="0" w:color="auto"/>
            <w:bottom w:val="none" w:sz="0" w:space="0" w:color="auto"/>
            <w:right w:val="none" w:sz="0" w:space="0" w:color="auto"/>
          </w:divBdr>
        </w:div>
        <w:div w:id="1039818980">
          <w:marLeft w:val="0"/>
          <w:marRight w:val="0"/>
          <w:marTop w:val="0"/>
          <w:marBottom w:val="0"/>
          <w:divBdr>
            <w:top w:val="none" w:sz="0" w:space="0" w:color="auto"/>
            <w:left w:val="none" w:sz="0" w:space="0" w:color="auto"/>
            <w:bottom w:val="none" w:sz="0" w:space="0" w:color="auto"/>
            <w:right w:val="none" w:sz="0" w:space="0" w:color="auto"/>
          </w:divBdr>
        </w:div>
        <w:div w:id="1379091056">
          <w:marLeft w:val="0"/>
          <w:marRight w:val="0"/>
          <w:marTop w:val="0"/>
          <w:marBottom w:val="0"/>
          <w:divBdr>
            <w:top w:val="none" w:sz="0" w:space="0" w:color="auto"/>
            <w:left w:val="none" w:sz="0" w:space="0" w:color="auto"/>
            <w:bottom w:val="none" w:sz="0" w:space="0" w:color="auto"/>
            <w:right w:val="none" w:sz="0" w:space="0" w:color="auto"/>
          </w:divBdr>
        </w:div>
        <w:div w:id="1476024193">
          <w:marLeft w:val="0"/>
          <w:marRight w:val="0"/>
          <w:marTop w:val="0"/>
          <w:marBottom w:val="0"/>
          <w:divBdr>
            <w:top w:val="none" w:sz="0" w:space="0" w:color="auto"/>
            <w:left w:val="none" w:sz="0" w:space="0" w:color="auto"/>
            <w:bottom w:val="none" w:sz="0" w:space="0" w:color="auto"/>
            <w:right w:val="none" w:sz="0" w:space="0" w:color="auto"/>
          </w:divBdr>
        </w:div>
        <w:div w:id="1558321014">
          <w:marLeft w:val="0"/>
          <w:marRight w:val="0"/>
          <w:marTop w:val="0"/>
          <w:marBottom w:val="0"/>
          <w:divBdr>
            <w:top w:val="none" w:sz="0" w:space="0" w:color="auto"/>
            <w:left w:val="none" w:sz="0" w:space="0" w:color="auto"/>
            <w:bottom w:val="none" w:sz="0" w:space="0" w:color="auto"/>
            <w:right w:val="none" w:sz="0" w:space="0" w:color="auto"/>
          </w:divBdr>
        </w:div>
        <w:div w:id="1635138302">
          <w:marLeft w:val="0"/>
          <w:marRight w:val="0"/>
          <w:marTop w:val="0"/>
          <w:marBottom w:val="0"/>
          <w:divBdr>
            <w:top w:val="none" w:sz="0" w:space="0" w:color="auto"/>
            <w:left w:val="none" w:sz="0" w:space="0" w:color="auto"/>
            <w:bottom w:val="none" w:sz="0" w:space="0" w:color="auto"/>
            <w:right w:val="none" w:sz="0" w:space="0" w:color="auto"/>
          </w:divBdr>
        </w:div>
      </w:divsChild>
    </w:div>
    <w:div w:id="526454938">
      <w:bodyDiv w:val="1"/>
      <w:marLeft w:val="0"/>
      <w:marRight w:val="0"/>
      <w:marTop w:val="0"/>
      <w:marBottom w:val="0"/>
      <w:divBdr>
        <w:top w:val="none" w:sz="0" w:space="0" w:color="auto"/>
        <w:left w:val="none" w:sz="0" w:space="0" w:color="auto"/>
        <w:bottom w:val="none" w:sz="0" w:space="0" w:color="auto"/>
        <w:right w:val="none" w:sz="0" w:space="0" w:color="auto"/>
      </w:divBdr>
    </w:div>
    <w:div w:id="574971810">
      <w:bodyDiv w:val="1"/>
      <w:marLeft w:val="0"/>
      <w:marRight w:val="0"/>
      <w:marTop w:val="0"/>
      <w:marBottom w:val="0"/>
      <w:divBdr>
        <w:top w:val="none" w:sz="0" w:space="0" w:color="auto"/>
        <w:left w:val="none" w:sz="0" w:space="0" w:color="auto"/>
        <w:bottom w:val="none" w:sz="0" w:space="0" w:color="auto"/>
        <w:right w:val="none" w:sz="0" w:space="0" w:color="auto"/>
      </w:divBdr>
    </w:div>
    <w:div w:id="603879681">
      <w:bodyDiv w:val="1"/>
      <w:marLeft w:val="0"/>
      <w:marRight w:val="0"/>
      <w:marTop w:val="0"/>
      <w:marBottom w:val="0"/>
      <w:divBdr>
        <w:top w:val="none" w:sz="0" w:space="0" w:color="auto"/>
        <w:left w:val="none" w:sz="0" w:space="0" w:color="auto"/>
        <w:bottom w:val="none" w:sz="0" w:space="0" w:color="auto"/>
        <w:right w:val="none" w:sz="0" w:space="0" w:color="auto"/>
      </w:divBdr>
    </w:div>
    <w:div w:id="633366348">
      <w:bodyDiv w:val="1"/>
      <w:marLeft w:val="0"/>
      <w:marRight w:val="0"/>
      <w:marTop w:val="0"/>
      <w:marBottom w:val="0"/>
      <w:divBdr>
        <w:top w:val="none" w:sz="0" w:space="0" w:color="auto"/>
        <w:left w:val="none" w:sz="0" w:space="0" w:color="auto"/>
        <w:bottom w:val="none" w:sz="0" w:space="0" w:color="auto"/>
        <w:right w:val="none" w:sz="0" w:space="0" w:color="auto"/>
      </w:divBdr>
    </w:div>
    <w:div w:id="642003375">
      <w:bodyDiv w:val="1"/>
      <w:marLeft w:val="0"/>
      <w:marRight w:val="0"/>
      <w:marTop w:val="0"/>
      <w:marBottom w:val="0"/>
      <w:divBdr>
        <w:top w:val="none" w:sz="0" w:space="0" w:color="auto"/>
        <w:left w:val="none" w:sz="0" w:space="0" w:color="auto"/>
        <w:bottom w:val="none" w:sz="0" w:space="0" w:color="auto"/>
        <w:right w:val="none" w:sz="0" w:space="0" w:color="auto"/>
      </w:divBdr>
    </w:div>
    <w:div w:id="679888724">
      <w:bodyDiv w:val="1"/>
      <w:marLeft w:val="0"/>
      <w:marRight w:val="0"/>
      <w:marTop w:val="0"/>
      <w:marBottom w:val="0"/>
      <w:divBdr>
        <w:top w:val="none" w:sz="0" w:space="0" w:color="auto"/>
        <w:left w:val="none" w:sz="0" w:space="0" w:color="auto"/>
        <w:bottom w:val="none" w:sz="0" w:space="0" w:color="auto"/>
        <w:right w:val="none" w:sz="0" w:space="0" w:color="auto"/>
      </w:divBdr>
    </w:div>
    <w:div w:id="682046979">
      <w:bodyDiv w:val="1"/>
      <w:marLeft w:val="0"/>
      <w:marRight w:val="0"/>
      <w:marTop w:val="0"/>
      <w:marBottom w:val="0"/>
      <w:divBdr>
        <w:top w:val="none" w:sz="0" w:space="0" w:color="auto"/>
        <w:left w:val="none" w:sz="0" w:space="0" w:color="auto"/>
        <w:bottom w:val="none" w:sz="0" w:space="0" w:color="auto"/>
        <w:right w:val="none" w:sz="0" w:space="0" w:color="auto"/>
      </w:divBdr>
    </w:div>
    <w:div w:id="735469543">
      <w:bodyDiv w:val="1"/>
      <w:marLeft w:val="0"/>
      <w:marRight w:val="0"/>
      <w:marTop w:val="0"/>
      <w:marBottom w:val="0"/>
      <w:divBdr>
        <w:top w:val="none" w:sz="0" w:space="0" w:color="auto"/>
        <w:left w:val="none" w:sz="0" w:space="0" w:color="auto"/>
        <w:bottom w:val="none" w:sz="0" w:space="0" w:color="auto"/>
        <w:right w:val="none" w:sz="0" w:space="0" w:color="auto"/>
      </w:divBdr>
    </w:div>
    <w:div w:id="758258853">
      <w:bodyDiv w:val="1"/>
      <w:marLeft w:val="0"/>
      <w:marRight w:val="0"/>
      <w:marTop w:val="0"/>
      <w:marBottom w:val="0"/>
      <w:divBdr>
        <w:top w:val="none" w:sz="0" w:space="0" w:color="auto"/>
        <w:left w:val="none" w:sz="0" w:space="0" w:color="auto"/>
        <w:bottom w:val="none" w:sz="0" w:space="0" w:color="auto"/>
        <w:right w:val="none" w:sz="0" w:space="0" w:color="auto"/>
      </w:divBdr>
    </w:div>
    <w:div w:id="772939585">
      <w:bodyDiv w:val="1"/>
      <w:marLeft w:val="0"/>
      <w:marRight w:val="0"/>
      <w:marTop w:val="0"/>
      <w:marBottom w:val="0"/>
      <w:divBdr>
        <w:top w:val="none" w:sz="0" w:space="0" w:color="auto"/>
        <w:left w:val="none" w:sz="0" w:space="0" w:color="auto"/>
        <w:bottom w:val="none" w:sz="0" w:space="0" w:color="auto"/>
        <w:right w:val="none" w:sz="0" w:space="0" w:color="auto"/>
      </w:divBdr>
    </w:div>
    <w:div w:id="773935612">
      <w:bodyDiv w:val="1"/>
      <w:marLeft w:val="0"/>
      <w:marRight w:val="0"/>
      <w:marTop w:val="0"/>
      <w:marBottom w:val="0"/>
      <w:divBdr>
        <w:top w:val="none" w:sz="0" w:space="0" w:color="auto"/>
        <w:left w:val="none" w:sz="0" w:space="0" w:color="auto"/>
        <w:bottom w:val="none" w:sz="0" w:space="0" w:color="auto"/>
        <w:right w:val="none" w:sz="0" w:space="0" w:color="auto"/>
      </w:divBdr>
    </w:div>
    <w:div w:id="775904022">
      <w:bodyDiv w:val="1"/>
      <w:marLeft w:val="0"/>
      <w:marRight w:val="0"/>
      <w:marTop w:val="0"/>
      <w:marBottom w:val="0"/>
      <w:divBdr>
        <w:top w:val="none" w:sz="0" w:space="0" w:color="auto"/>
        <w:left w:val="none" w:sz="0" w:space="0" w:color="auto"/>
        <w:bottom w:val="none" w:sz="0" w:space="0" w:color="auto"/>
        <w:right w:val="none" w:sz="0" w:space="0" w:color="auto"/>
      </w:divBdr>
    </w:div>
    <w:div w:id="782501840">
      <w:bodyDiv w:val="1"/>
      <w:marLeft w:val="0"/>
      <w:marRight w:val="0"/>
      <w:marTop w:val="0"/>
      <w:marBottom w:val="0"/>
      <w:divBdr>
        <w:top w:val="none" w:sz="0" w:space="0" w:color="auto"/>
        <w:left w:val="none" w:sz="0" w:space="0" w:color="auto"/>
        <w:bottom w:val="none" w:sz="0" w:space="0" w:color="auto"/>
        <w:right w:val="none" w:sz="0" w:space="0" w:color="auto"/>
      </w:divBdr>
    </w:div>
    <w:div w:id="789206559">
      <w:bodyDiv w:val="1"/>
      <w:marLeft w:val="0"/>
      <w:marRight w:val="0"/>
      <w:marTop w:val="0"/>
      <w:marBottom w:val="0"/>
      <w:divBdr>
        <w:top w:val="none" w:sz="0" w:space="0" w:color="auto"/>
        <w:left w:val="none" w:sz="0" w:space="0" w:color="auto"/>
        <w:bottom w:val="none" w:sz="0" w:space="0" w:color="auto"/>
        <w:right w:val="none" w:sz="0" w:space="0" w:color="auto"/>
      </w:divBdr>
    </w:div>
    <w:div w:id="795755073">
      <w:bodyDiv w:val="1"/>
      <w:marLeft w:val="0"/>
      <w:marRight w:val="0"/>
      <w:marTop w:val="0"/>
      <w:marBottom w:val="0"/>
      <w:divBdr>
        <w:top w:val="none" w:sz="0" w:space="0" w:color="auto"/>
        <w:left w:val="none" w:sz="0" w:space="0" w:color="auto"/>
        <w:bottom w:val="none" w:sz="0" w:space="0" w:color="auto"/>
        <w:right w:val="none" w:sz="0" w:space="0" w:color="auto"/>
      </w:divBdr>
    </w:div>
    <w:div w:id="797143517">
      <w:bodyDiv w:val="1"/>
      <w:marLeft w:val="0"/>
      <w:marRight w:val="0"/>
      <w:marTop w:val="0"/>
      <w:marBottom w:val="0"/>
      <w:divBdr>
        <w:top w:val="none" w:sz="0" w:space="0" w:color="auto"/>
        <w:left w:val="none" w:sz="0" w:space="0" w:color="auto"/>
        <w:bottom w:val="none" w:sz="0" w:space="0" w:color="auto"/>
        <w:right w:val="none" w:sz="0" w:space="0" w:color="auto"/>
      </w:divBdr>
      <w:divsChild>
        <w:div w:id="16464920">
          <w:marLeft w:val="0"/>
          <w:marRight w:val="0"/>
          <w:marTop w:val="0"/>
          <w:marBottom w:val="0"/>
          <w:divBdr>
            <w:top w:val="none" w:sz="0" w:space="0" w:color="auto"/>
            <w:left w:val="none" w:sz="0" w:space="0" w:color="auto"/>
            <w:bottom w:val="none" w:sz="0" w:space="0" w:color="auto"/>
            <w:right w:val="none" w:sz="0" w:space="0" w:color="auto"/>
          </w:divBdr>
        </w:div>
        <w:div w:id="111827365">
          <w:marLeft w:val="0"/>
          <w:marRight w:val="0"/>
          <w:marTop w:val="0"/>
          <w:marBottom w:val="0"/>
          <w:divBdr>
            <w:top w:val="none" w:sz="0" w:space="0" w:color="auto"/>
            <w:left w:val="none" w:sz="0" w:space="0" w:color="auto"/>
            <w:bottom w:val="none" w:sz="0" w:space="0" w:color="auto"/>
            <w:right w:val="none" w:sz="0" w:space="0" w:color="auto"/>
          </w:divBdr>
        </w:div>
        <w:div w:id="222178237">
          <w:marLeft w:val="0"/>
          <w:marRight w:val="0"/>
          <w:marTop w:val="0"/>
          <w:marBottom w:val="0"/>
          <w:divBdr>
            <w:top w:val="none" w:sz="0" w:space="0" w:color="auto"/>
            <w:left w:val="none" w:sz="0" w:space="0" w:color="auto"/>
            <w:bottom w:val="none" w:sz="0" w:space="0" w:color="auto"/>
            <w:right w:val="none" w:sz="0" w:space="0" w:color="auto"/>
          </w:divBdr>
        </w:div>
        <w:div w:id="268777121">
          <w:marLeft w:val="0"/>
          <w:marRight w:val="0"/>
          <w:marTop w:val="0"/>
          <w:marBottom w:val="0"/>
          <w:divBdr>
            <w:top w:val="none" w:sz="0" w:space="0" w:color="auto"/>
            <w:left w:val="none" w:sz="0" w:space="0" w:color="auto"/>
            <w:bottom w:val="none" w:sz="0" w:space="0" w:color="auto"/>
            <w:right w:val="none" w:sz="0" w:space="0" w:color="auto"/>
          </w:divBdr>
        </w:div>
        <w:div w:id="287325270">
          <w:marLeft w:val="0"/>
          <w:marRight w:val="0"/>
          <w:marTop w:val="0"/>
          <w:marBottom w:val="0"/>
          <w:divBdr>
            <w:top w:val="none" w:sz="0" w:space="0" w:color="auto"/>
            <w:left w:val="none" w:sz="0" w:space="0" w:color="auto"/>
            <w:bottom w:val="none" w:sz="0" w:space="0" w:color="auto"/>
            <w:right w:val="none" w:sz="0" w:space="0" w:color="auto"/>
          </w:divBdr>
        </w:div>
        <w:div w:id="536351321">
          <w:marLeft w:val="0"/>
          <w:marRight w:val="0"/>
          <w:marTop w:val="0"/>
          <w:marBottom w:val="0"/>
          <w:divBdr>
            <w:top w:val="none" w:sz="0" w:space="0" w:color="auto"/>
            <w:left w:val="none" w:sz="0" w:space="0" w:color="auto"/>
            <w:bottom w:val="none" w:sz="0" w:space="0" w:color="auto"/>
            <w:right w:val="none" w:sz="0" w:space="0" w:color="auto"/>
          </w:divBdr>
        </w:div>
        <w:div w:id="579020552">
          <w:marLeft w:val="0"/>
          <w:marRight w:val="0"/>
          <w:marTop w:val="0"/>
          <w:marBottom w:val="0"/>
          <w:divBdr>
            <w:top w:val="none" w:sz="0" w:space="0" w:color="auto"/>
            <w:left w:val="none" w:sz="0" w:space="0" w:color="auto"/>
            <w:bottom w:val="none" w:sz="0" w:space="0" w:color="auto"/>
            <w:right w:val="none" w:sz="0" w:space="0" w:color="auto"/>
          </w:divBdr>
        </w:div>
        <w:div w:id="794565322">
          <w:marLeft w:val="0"/>
          <w:marRight w:val="0"/>
          <w:marTop w:val="0"/>
          <w:marBottom w:val="0"/>
          <w:divBdr>
            <w:top w:val="none" w:sz="0" w:space="0" w:color="auto"/>
            <w:left w:val="none" w:sz="0" w:space="0" w:color="auto"/>
            <w:bottom w:val="none" w:sz="0" w:space="0" w:color="auto"/>
            <w:right w:val="none" w:sz="0" w:space="0" w:color="auto"/>
          </w:divBdr>
        </w:div>
        <w:div w:id="813765438">
          <w:marLeft w:val="0"/>
          <w:marRight w:val="0"/>
          <w:marTop w:val="0"/>
          <w:marBottom w:val="0"/>
          <w:divBdr>
            <w:top w:val="none" w:sz="0" w:space="0" w:color="auto"/>
            <w:left w:val="none" w:sz="0" w:space="0" w:color="auto"/>
            <w:bottom w:val="none" w:sz="0" w:space="0" w:color="auto"/>
            <w:right w:val="none" w:sz="0" w:space="0" w:color="auto"/>
          </w:divBdr>
        </w:div>
        <w:div w:id="848300563">
          <w:marLeft w:val="0"/>
          <w:marRight w:val="0"/>
          <w:marTop w:val="0"/>
          <w:marBottom w:val="0"/>
          <w:divBdr>
            <w:top w:val="none" w:sz="0" w:space="0" w:color="auto"/>
            <w:left w:val="none" w:sz="0" w:space="0" w:color="auto"/>
            <w:bottom w:val="none" w:sz="0" w:space="0" w:color="auto"/>
            <w:right w:val="none" w:sz="0" w:space="0" w:color="auto"/>
          </w:divBdr>
        </w:div>
        <w:div w:id="1001738500">
          <w:marLeft w:val="0"/>
          <w:marRight w:val="0"/>
          <w:marTop w:val="0"/>
          <w:marBottom w:val="0"/>
          <w:divBdr>
            <w:top w:val="none" w:sz="0" w:space="0" w:color="auto"/>
            <w:left w:val="none" w:sz="0" w:space="0" w:color="auto"/>
            <w:bottom w:val="none" w:sz="0" w:space="0" w:color="auto"/>
            <w:right w:val="none" w:sz="0" w:space="0" w:color="auto"/>
          </w:divBdr>
        </w:div>
        <w:div w:id="1201479632">
          <w:marLeft w:val="0"/>
          <w:marRight w:val="0"/>
          <w:marTop w:val="0"/>
          <w:marBottom w:val="0"/>
          <w:divBdr>
            <w:top w:val="none" w:sz="0" w:space="0" w:color="auto"/>
            <w:left w:val="none" w:sz="0" w:space="0" w:color="auto"/>
            <w:bottom w:val="none" w:sz="0" w:space="0" w:color="auto"/>
            <w:right w:val="none" w:sz="0" w:space="0" w:color="auto"/>
          </w:divBdr>
        </w:div>
        <w:div w:id="1254162638">
          <w:marLeft w:val="0"/>
          <w:marRight w:val="0"/>
          <w:marTop w:val="0"/>
          <w:marBottom w:val="0"/>
          <w:divBdr>
            <w:top w:val="none" w:sz="0" w:space="0" w:color="auto"/>
            <w:left w:val="none" w:sz="0" w:space="0" w:color="auto"/>
            <w:bottom w:val="none" w:sz="0" w:space="0" w:color="auto"/>
            <w:right w:val="none" w:sz="0" w:space="0" w:color="auto"/>
          </w:divBdr>
        </w:div>
        <w:div w:id="1310786301">
          <w:marLeft w:val="0"/>
          <w:marRight w:val="0"/>
          <w:marTop w:val="0"/>
          <w:marBottom w:val="0"/>
          <w:divBdr>
            <w:top w:val="none" w:sz="0" w:space="0" w:color="auto"/>
            <w:left w:val="none" w:sz="0" w:space="0" w:color="auto"/>
            <w:bottom w:val="none" w:sz="0" w:space="0" w:color="auto"/>
            <w:right w:val="none" w:sz="0" w:space="0" w:color="auto"/>
          </w:divBdr>
        </w:div>
        <w:div w:id="1333221224">
          <w:marLeft w:val="0"/>
          <w:marRight w:val="0"/>
          <w:marTop w:val="0"/>
          <w:marBottom w:val="0"/>
          <w:divBdr>
            <w:top w:val="none" w:sz="0" w:space="0" w:color="auto"/>
            <w:left w:val="none" w:sz="0" w:space="0" w:color="auto"/>
            <w:bottom w:val="none" w:sz="0" w:space="0" w:color="auto"/>
            <w:right w:val="none" w:sz="0" w:space="0" w:color="auto"/>
          </w:divBdr>
        </w:div>
        <w:div w:id="1429039586">
          <w:marLeft w:val="0"/>
          <w:marRight w:val="0"/>
          <w:marTop w:val="0"/>
          <w:marBottom w:val="0"/>
          <w:divBdr>
            <w:top w:val="none" w:sz="0" w:space="0" w:color="auto"/>
            <w:left w:val="none" w:sz="0" w:space="0" w:color="auto"/>
            <w:bottom w:val="none" w:sz="0" w:space="0" w:color="auto"/>
            <w:right w:val="none" w:sz="0" w:space="0" w:color="auto"/>
          </w:divBdr>
        </w:div>
        <w:div w:id="1537543678">
          <w:marLeft w:val="0"/>
          <w:marRight w:val="0"/>
          <w:marTop w:val="0"/>
          <w:marBottom w:val="0"/>
          <w:divBdr>
            <w:top w:val="none" w:sz="0" w:space="0" w:color="auto"/>
            <w:left w:val="none" w:sz="0" w:space="0" w:color="auto"/>
            <w:bottom w:val="none" w:sz="0" w:space="0" w:color="auto"/>
            <w:right w:val="none" w:sz="0" w:space="0" w:color="auto"/>
          </w:divBdr>
        </w:div>
        <w:div w:id="1615019944">
          <w:marLeft w:val="0"/>
          <w:marRight w:val="0"/>
          <w:marTop w:val="0"/>
          <w:marBottom w:val="0"/>
          <w:divBdr>
            <w:top w:val="none" w:sz="0" w:space="0" w:color="auto"/>
            <w:left w:val="none" w:sz="0" w:space="0" w:color="auto"/>
            <w:bottom w:val="none" w:sz="0" w:space="0" w:color="auto"/>
            <w:right w:val="none" w:sz="0" w:space="0" w:color="auto"/>
          </w:divBdr>
        </w:div>
        <w:div w:id="1617323216">
          <w:marLeft w:val="0"/>
          <w:marRight w:val="0"/>
          <w:marTop w:val="0"/>
          <w:marBottom w:val="0"/>
          <w:divBdr>
            <w:top w:val="none" w:sz="0" w:space="0" w:color="auto"/>
            <w:left w:val="none" w:sz="0" w:space="0" w:color="auto"/>
            <w:bottom w:val="none" w:sz="0" w:space="0" w:color="auto"/>
            <w:right w:val="none" w:sz="0" w:space="0" w:color="auto"/>
          </w:divBdr>
        </w:div>
        <w:div w:id="1818524842">
          <w:marLeft w:val="0"/>
          <w:marRight w:val="0"/>
          <w:marTop w:val="0"/>
          <w:marBottom w:val="0"/>
          <w:divBdr>
            <w:top w:val="none" w:sz="0" w:space="0" w:color="auto"/>
            <w:left w:val="none" w:sz="0" w:space="0" w:color="auto"/>
            <w:bottom w:val="none" w:sz="0" w:space="0" w:color="auto"/>
            <w:right w:val="none" w:sz="0" w:space="0" w:color="auto"/>
          </w:divBdr>
        </w:div>
        <w:div w:id="1889761378">
          <w:marLeft w:val="0"/>
          <w:marRight w:val="0"/>
          <w:marTop w:val="0"/>
          <w:marBottom w:val="0"/>
          <w:divBdr>
            <w:top w:val="none" w:sz="0" w:space="0" w:color="auto"/>
            <w:left w:val="none" w:sz="0" w:space="0" w:color="auto"/>
            <w:bottom w:val="none" w:sz="0" w:space="0" w:color="auto"/>
            <w:right w:val="none" w:sz="0" w:space="0" w:color="auto"/>
          </w:divBdr>
        </w:div>
        <w:div w:id="2033995450">
          <w:marLeft w:val="0"/>
          <w:marRight w:val="0"/>
          <w:marTop w:val="0"/>
          <w:marBottom w:val="0"/>
          <w:divBdr>
            <w:top w:val="none" w:sz="0" w:space="0" w:color="auto"/>
            <w:left w:val="none" w:sz="0" w:space="0" w:color="auto"/>
            <w:bottom w:val="none" w:sz="0" w:space="0" w:color="auto"/>
            <w:right w:val="none" w:sz="0" w:space="0" w:color="auto"/>
          </w:divBdr>
        </w:div>
        <w:div w:id="2037191205">
          <w:marLeft w:val="0"/>
          <w:marRight w:val="0"/>
          <w:marTop w:val="0"/>
          <w:marBottom w:val="0"/>
          <w:divBdr>
            <w:top w:val="none" w:sz="0" w:space="0" w:color="auto"/>
            <w:left w:val="none" w:sz="0" w:space="0" w:color="auto"/>
            <w:bottom w:val="none" w:sz="0" w:space="0" w:color="auto"/>
            <w:right w:val="none" w:sz="0" w:space="0" w:color="auto"/>
          </w:divBdr>
        </w:div>
      </w:divsChild>
    </w:div>
    <w:div w:id="805783958">
      <w:bodyDiv w:val="1"/>
      <w:marLeft w:val="0"/>
      <w:marRight w:val="0"/>
      <w:marTop w:val="0"/>
      <w:marBottom w:val="0"/>
      <w:divBdr>
        <w:top w:val="none" w:sz="0" w:space="0" w:color="auto"/>
        <w:left w:val="none" w:sz="0" w:space="0" w:color="auto"/>
        <w:bottom w:val="none" w:sz="0" w:space="0" w:color="auto"/>
        <w:right w:val="none" w:sz="0" w:space="0" w:color="auto"/>
      </w:divBdr>
      <w:divsChild>
        <w:div w:id="183592842">
          <w:marLeft w:val="0"/>
          <w:marRight w:val="0"/>
          <w:marTop w:val="0"/>
          <w:marBottom w:val="0"/>
          <w:divBdr>
            <w:top w:val="none" w:sz="0" w:space="0" w:color="auto"/>
            <w:left w:val="none" w:sz="0" w:space="0" w:color="auto"/>
            <w:bottom w:val="none" w:sz="0" w:space="0" w:color="auto"/>
            <w:right w:val="none" w:sz="0" w:space="0" w:color="auto"/>
          </w:divBdr>
        </w:div>
        <w:div w:id="576595153">
          <w:marLeft w:val="0"/>
          <w:marRight w:val="0"/>
          <w:marTop w:val="0"/>
          <w:marBottom w:val="0"/>
          <w:divBdr>
            <w:top w:val="none" w:sz="0" w:space="0" w:color="auto"/>
            <w:left w:val="none" w:sz="0" w:space="0" w:color="auto"/>
            <w:bottom w:val="none" w:sz="0" w:space="0" w:color="auto"/>
            <w:right w:val="none" w:sz="0" w:space="0" w:color="auto"/>
          </w:divBdr>
        </w:div>
        <w:div w:id="858929372">
          <w:marLeft w:val="0"/>
          <w:marRight w:val="0"/>
          <w:marTop w:val="0"/>
          <w:marBottom w:val="0"/>
          <w:divBdr>
            <w:top w:val="none" w:sz="0" w:space="0" w:color="auto"/>
            <w:left w:val="none" w:sz="0" w:space="0" w:color="auto"/>
            <w:bottom w:val="none" w:sz="0" w:space="0" w:color="auto"/>
            <w:right w:val="none" w:sz="0" w:space="0" w:color="auto"/>
          </w:divBdr>
        </w:div>
        <w:div w:id="961302303">
          <w:marLeft w:val="0"/>
          <w:marRight w:val="0"/>
          <w:marTop w:val="0"/>
          <w:marBottom w:val="0"/>
          <w:divBdr>
            <w:top w:val="none" w:sz="0" w:space="0" w:color="auto"/>
            <w:left w:val="none" w:sz="0" w:space="0" w:color="auto"/>
            <w:bottom w:val="none" w:sz="0" w:space="0" w:color="auto"/>
            <w:right w:val="none" w:sz="0" w:space="0" w:color="auto"/>
          </w:divBdr>
        </w:div>
        <w:div w:id="1638215511">
          <w:marLeft w:val="0"/>
          <w:marRight w:val="0"/>
          <w:marTop w:val="0"/>
          <w:marBottom w:val="0"/>
          <w:divBdr>
            <w:top w:val="none" w:sz="0" w:space="0" w:color="auto"/>
            <w:left w:val="none" w:sz="0" w:space="0" w:color="auto"/>
            <w:bottom w:val="none" w:sz="0" w:space="0" w:color="auto"/>
            <w:right w:val="none" w:sz="0" w:space="0" w:color="auto"/>
          </w:divBdr>
        </w:div>
        <w:div w:id="1796171454">
          <w:marLeft w:val="0"/>
          <w:marRight w:val="0"/>
          <w:marTop w:val="0"/>
          <w:marBottom w:val="0"/>
          <w:divBdr>
            <w:top w:val="none" w:sz="0" w:space="0" w:color="auto"/>
            <w:left w:val="none" w:sz="0" w:space="0" w:color="auto"/>
            <w:bottom w:val="none" w:sz="0" w:space="0" w:color="auto"/>
            <w:right w:val="none" w:sz="0" w:space="0" w:color="auto"/>
          </w:divBdr>
        </w:div>
        <w:div w:id="1828549089">
          <w:marLeft w:val="0"/>
          <w:marRight w:val="0"/>
          <w:marTop w:val="0"/>
          <w:marBottom w:val="0"/>
          <w:divBdr>
            <w:top w:val="none" w:sz="0" w:space="0" w:color="auto"/>
            <w:left w:val="none" w:sz="0" w:space="0" w:color="auto"/>
            <w:bottom w:val="none" w:sz="0" w:space="0" w:color="auto"/>
            <w:right w:val="none" w:sz="0" w:space="0" w:color="auto"/>
          </w:divBdr>
        </w:div>
      </w:divsChild>
    </w:div>
    <w:div w:id="874081862">
      <w:bodyDiv w:val="1"/>
      <w:marLeft w:val="0"/>
      <w:marRight w:val="0"/>
      <w:marTop w:val="0"/>
      <w:marBottom w:val="0"/>
      <w:divBdr>
        <w:top w:val="none" w:sz="0" w:space="0" w:color="auto"/>
        <w:left w:val="none" w:sz="0" w:space="0" w:color="auto"/>
        <w:bottom w:val="none" w:sz="0" w:space="0" w:color="auto"/>
        <w:right w:val="none" w:sz="0" w:space="0" w:color="auto"/>
      </w:divBdr>
    </w:div>
    <w:div w:id="884872255">
      <w:bodyDiv w:val="1"/>
      <w:marLeft w:val="0"/>
      <w:marRight w:val="0"/>
      <w:marTop w:val="0"/>
      <w:marBottom w:val="0"/>
      <w:divBdr>
        <w:top w:val="none" w:sz="0" w:space="0" w:color="auto"/>
        <w:left w:val="none" w:sz="0" w:space="0" w:color="auto"/>
        <w:bottom w:val="none" w:sz="0" w:space="0" w:color="auto"/>
        <w:right w:val="none" w:sz="0" w:space="0" w:color="auto"/>
      </w:divBdr>
    </w:div>
    <w:div w:id="936140420">
      <w:bodyDiv w:val="1"/>
      <w:marLeft w:val="0"/>
      <w:marRight w:val="0"/>
      <w:marTop w:val="0"/>
      <w:marBottom w:val="0"/>
      <w:divBdr>
        <w:top w:val="none" w:sz="0" w:space="0" w:color="auto"/>
        <w:left w:val="none" w:sz="0" w:space="0" w:color="auto"/>
        <w:bottom w:val="none" w:sz="0" w:space="0" w:color="auto"/>
        <w:right w:val="none" w:sz="0" w:space="0" w:color="auto"/>
      </w:divBdr>
    </w:div>
    <w:div w:id="948662275">
      <w:bodyDiv w:val="1"/>
      <w:marLeft w:val="0"/>
      <w:marRight w:val="0"/>
      <w:marTop w:val="0"/>
      <w:marBottom w:val="0"/>
      <w:divBdr>
        <w:top w:val="none" w:sz="0" w:space="0" w:color="auto"/>
        <w:left w:val="none" w:sz="0" w:space="0" w:color="auto"/>
        <w:bottom w:val="none" w:sz="0" w:space="0" w:color="auto"/>
        <w:right w:val="none" w:sz="0" w:space="0" w:color="auto"/>
      </w:divBdr>
    </w:div>
    <w:div w:id="977536319">
      <w:bodyDiv w:val="1"/>
      <w:marLeft w:val="0"/>
      <w:marRight w:val="0"/>
      <w:marTop w:val="0"/>
      <w:marBottom w:val="0"/>
      <w:divBdr>
        <w:top w:val="none" w:sz="0" w:space="0" w:color="auto"/>
        <w:left w:val="none" w:sz="0" w:space="0" w:color="auto"/>
        <w:bottom w:val="none" w:sz="0" w:space="0" w:color="auto"/>
        <w:right w:val="none" w:sz="0" w:space="0" w:color="auto"/>
      </w:divBdr>
    </w:div>
    <w:div w:id="1022783200">
      <w:bodyDiv w:val="1"/>
      <w:marLeft w:val="0"/>
      <w:marRight w:val="0"/>
      <w:marTop w:val="0"/>
      <w:marBottom w:val="0"/>
      <w:divBdr>
        <w:top w:val="none" w:sz="0" w:space="0" w:color="auto"/>
        <w:left w:val="none" w:sz="0" w:space="0" w:color="auto"/>
        <w:bottom w:val="none" w:sz="0" w:space="0" w:color="auto"/>
        <w:right w:val="none" w:sz="0" w:space="0" w:color="auto"/>
      </w:divBdr>
      <w:divsChild>
        <w:div w:id="1156412219">
          <w:marLeft w:val="0"/>
          <w:marRight w:val="0"/>
          <w:marTop w:val="0"/>
          <w:marBottom w:val="0"/>
          <w:divBdr>
            <w:top w:val="none" w:sz="0" w:space="0" w:color="auto"/>
            <w:left w:val="none" w:sz="0" w:space="0" w:color="auto"/>
            <w:bottom w:val="none" w:sz="0" w:space="0" w:color="auto"/>
            <w:right w:val="none" w:sz="0" w:space="0" w:color="auto"/>
          </w:divBdr>
          <w:divsChild>
            <w:div w:id="1526210994">
              <w:marLeft w:val="0"/>
              <w:marRight w:val="0"/>
              <w:marTop w:val="0"/>
              <w:marBottom w:val="0"/>
              <w:divBdr>
                <w:top w:val="none" w:sz="0" w:space="0" w:color="auto"/>
                <w:left w:val="none" w:sz="0" w:space="0" w:color="auto"/>
                <w:bottom w:val="none" w:sz="0" w:space="0" w:color="auto"/>
                <w:right w:val="none" w:sz="0" w:space="0" w:color="auto"/>
              </w:divBdr>
              <w:divsChild>
                <w:div w:id="9328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3027">
      <w:bodyDiv w:val="1"/>
      <w:marLeft w:val="0"/>
      <w:marRight w:val="0"/>
      <w:marTop w:val="0"/>
      <w:marBottom w:val="0"/>
      <w:divBdr>
        <w:top w:val="none" w:sz="0" w:space="0" w:color="auto"/>
        <w:left w:val="none" w:sz="0" w:space="0" w:color="auto"/>
        <w:bottom w:val="none" w:sz="0" w:space="0" w:color="auto"/>
        <w:right w:val="none" w:sz="0" w:space="0" w:color="auto"/>
      </w:divBdr>
    </w:div>
    <w:div w:id="1056006460">
      <w:bodyDiv w:val="1"/>
      <w:marLeft w:val="0"/>
      <w:marRight w:val="0"/>
      <w:marTop w:val="0"/>
      <w:marBottom w:val="0"/>
      <w:divBdr>
        <w:top w:val="none" w:sz="0" w:space="0" w:color="auto"/>
        <w:left w:val="none" w:sz="0" w:space="0" w:color="auto"/>
        <w:bottom w:val="none" w:sz="0" w:space="0" w:color="auto"/>
        <w:right w:val="none" w:sz="0" w:space="0" w:color="auto"/>
      </w:divBdr>
    </w:div>
    <w:div w:id="1071806852">
      <w:bodyDiv w:val="1"/>
      <w:marLeft w:val="0"/>
      <w:marRight w:val="0"/>
      <w:marTop w:val="0"/>
      <w:marBottom w:val="0"/>
      <w:divBdr>
        <w:top w:val="none" w:sz="0" w:space="0" w:color="auto"/>
        <w:left w:val="none" w:sz="0" w:space="0" w:color="auto"/>
        <w:bottom w:val="none" w:sz="0" w:space="0" w:color="auto"/>
        <w:right w:val="none" w:sz="0" w:space="0" w:color="auto"/>
      </w:divBdr>
    </w:div>
    <w:div w:id="1104879467">
      <w:bodyDiv w:val="1"/>
      <w:marLeft w:val="0"/>
      <w:marRight w:val="0"/>
      <w:marTop w:val="0"/>
      <w:marBottom w:val="0"/>
      <w:divBdr>
        <w:top w:val="none" w:sz="0" w:space="0" w:color="auto"/>
        <w:left w:val="none" w:sz="0" w:space="0" w:color="auto"/>
        <w:bottom w:val="none" w:sz="0" w:space="0" w:color="auto"/>
        <w:right w:val="none" w:sz="0" w:space="0" w:color="auto"/>
      </w:divBdr>
    </w:div>
    <w:div w:id="1119108691">
      <w:bodyDiv w:val="1"/>
      <w:marLeft w:val="0"/>
      <w:marRight w:val="0"/>
      <w:marTop w:val="0"/>
      <w:marBottom w:val="0"/>
      <w:divBdr>
        <w:top w:val="none" w:sz="0" w:space="0" w:color="auto"/>
        <w:left w:val="none" w:sz="0" w:space="0" w:color="auto"/>
        <w:bottom w:val="none" w:sz="0" w:space="0" w:color="auto"/>
        <w:right w:val="none" w:sz="0" w:space="0" w:color="auto"/>
      </w:divBdr>
    </w:div>
    <w:div w:id="1122455291">
      <w:bodyDiv w:val="1"/>
      <w:marLeft w:val="0"/>
      <w:marRight w:val="0"/>
      <w:marTop w:val="0"/>
      <w:marBottom w:val="0"/>
      <w:divBdr>
        <w:top w:val="none" w:sz="0" w:space="0" w:color="auto"/>
        <w:left w:val="none" w:sz="0" w:space="0" w:color="auto"/>
        <w:bottom w:val="none" w:sz="0" w:space="0" w:color="auto"/>
        <w:right w:val="none" w:sz="0" w:space="0" w:color="auto"/>
      </w:divBdr>
    </w:div>
    <w:div w:id="1188299768">
      <w:bodyDiv w:val="1"/>
      <w:marLeft w:val="0"/>
      <w:marRight w:val="0"/>
      <w:marTop w:val="0"/>
      <w:marBottom w:val="0"/>
      <w:divBdr>
        <w:top w:val="none" w:sz="0" w:space="0" w:color="auto"/>
        <w:left w:val="none" w:sz="0" w:space="0" w:color="auto"/>
        <w:bottom w:val="none" w:sz="0" w:space="0" w:color="auto"/>
        <w:right w:val="none" w:sz="0" w:space="0" w:color="auto"/>
      </w:divBdr>
    </w:div>
    <w:div w:id="1202980033">
      <w:bodyDiv w:val="1"/>
      <w:marLeft w:val="0"/>
      <w:marRight w:val="0"/>
      <w:marTop w:val="0"/>
      <w:marBottom w:val="0"/>
      <w:divBdr>
        <w:top w:val="none" w:sz="0" w:space="0" w:color="auto"/>
        <w:left w:val="none" w:sz="0" w:space="0" w:color="auto"/>
        <w:bottom w:val="none" w:sz="0" w:space="0" w:color="auto"/>
        <w:right w:val="none" w:sz="0" w:space="0" w:color="auto"/>
      </w:divBdr>
    </w:div>
    <w:div w:id="1235358186">
      <w:bodyDiv w:val="1"/>
      <w:marLeft w:val="0"/>
      <w:marRight w:val="0"/>
      <w:marTop w:val="0"/>
      <w:marBottom w:val="0"/>
      <w:divBdr>
        <w:top w:val="none" w:sz="0" w:space="0" w:color="auto"/>
        <w:left w:val="none" w:sz="0" w:space="0" w:color="auto"/>
        <w:bottom w:val="none" w:sz="0" w:space="0" w:color="auto"/>
        <w:right w:val="none" w:sz="0" w:space="0" w:color="auto"/>
      </w:divBdr>
    </w:div>
    <w:div w:id="1252815471">
      <w:bodyDiv w:val="1"/>
      <w:marLeft w:val="0"/>
      <w:marRight w:val="0"/>
      <w:marTop w:val="0"/>
      <w:marBottom w:val="0"/>
      <w:divBdr>
        <w:top w:val="none" w:sz="0" w:space="0" w:color="auto"/>
        <w:left w:val="none" w:sz="0" w:space="0" w:color="auto"/>
        <w:bottom w:val="none" w:sz="0" w:space="0" w:color="auto"/>
        <w:right w:val="none" w:sz="0" w:space="0" w:color="auto"/>
      </w:divBdr>
    </w:div>
    <w:div w:id="1254167856">
      <w:bodyDiv w:val="1"/>
      <w:marLeft w:val="0"/>
      <w:marRight w:val="0"/>
      <w:marTop w:val="0"/>
      <w:marBottom w:val="0"/>
      <w:divBdr>
        <w:top w:val="none" w:sz="0" w:space="0" w:color="auto"/>
        <w:left w:val="none" w:sz="0" w:space="0" w:color="auto"/>
        <w:bottom w:val="none" w:sz="0" w:space="0" w:color="auto"/>
        <w:right w:val="none" w:sz="0" w:space="0" w:color="auto"/>
      </w:divBdr>
    </w:div>
    <w:div w:id="1259829388">
      <w:bodyDiv w:val="1"/>
      <w:marLeft w:val="0"/>
      <w:marRight w:val="0"/>
      <w:marTop w:val="0"/>
      <w:marBottom w:val="0"/>
      <w:divBdr>
        <w:top w:val="none" w:sz="0" w:space="0" w:color="auto"/>
        <w:left w:val="none" w:sz="0" w:space="0" w:color="auto"/>
        <w:bottom w:val="none" w:sz="0" w:space="0" w:color="auto"/>
        <w:right w:val="none" w:sz="0" w:space="0" w:color="auto"/>
      </w:divBdr>
      <w:divsChild>
        <w:div w:id="295986494">
          <w:marLeft w:val="0"/>
          <w:marRight w:val="0"/>
          <w:marTop w:val="0"/>
          <w:marBottom w:val="0"/>
          <w:divBdr>
            <w:top w:val="none" w:sz="0" w:space="0" w:color="auto"/>
            <w:left w:val="none" w:sz="0" w:space="0" w:color="auto"/>
            <w:bottom w:val="none" w:sz="0" w:space="0" w:color="auto"/>
            <w:right w:val="none" w:sz="0" w:space="0" w:color="auto"/>
          </w:divBdr>
        </w:div>
        <w:div w:id="760569241">
          <w:marLeft w:val="0"/>
          <w:marRight w:val="0"/>
          <w:marTop w:val="0"/>
          <w:marBottom w:val="0"/>
          <w:divBdr>
            <w:top w:val="none" w:sz="0" w:space="0" w:color="auto"/>
            <w:left w:val="none" w:sz="0" w:space="0" w:color="auto"/>
            <w:bottom w:val="none" w:sz="0" w:space="0" w:color="auto"/>
            <w:right w:val="none" w:sz="0" w:space="0" w:color="auto"/>
          </w:divBdr>
        </w:div>
      </w:divsChild>
    </w:div>
    <w:div w:id="1260717276">
      <w:bodyDiv w:val="1"/>
      <w:marLeft w:val="0"/>
      <w:marRight w:val="0"/>
      <w:marTop w:val="0"/>
      <w:marBottom w:val="0"/>
      <w:divBdr>
        <w:top w:val="none" w:sz="0" w:space="0" w:color="auto"/>
        <w:left w:val="none" w:sz="0" w:space="0" w:color="auto"/>
        <w:bottom w:val="none" w:sz="0" w:space="0" w:color="auto"/>
        <w:right w:val="none" w:sz="0" w:space="0" w:color="auto"/>
      </w:divBdr>
    </w:div>
    <w:div w:id="1303734769">
      <w:bodyDiv w:val="1"/>
      <w:marLeft w:val="0"/>
      <w:marRight w:val="0"/>
      <w:marTop w:val="0"/>
      <w:marBottom w:val="0"/>
      <w:divBdr>
        <w:top w:val="none" w:sz="0" w:space="0" w:color="auto"/>
        <w:left w:val="none" w:sz="0" w:space="0" w:color="auto"/>
        <w:bottom w:val="none" w:sz="0" w:space="0" w:color="auto"/>
        <w:right w:val="none" w:sz="0" w:space="0" w:color="auto"/>
      </w:divBdr>
    </w:div>
    <w:div w:id="1364789704">
      <w:bodyDiv w:val="1"/>
      <w:marLeft w:val="0"/>
      <w:marRight w:val="0"/>
      <w:marTop w:val="0"/>
      <w:marBottom w:val="0"/>
      <w:divBdr>
        <w:top w:val="none" w:sz="0" w:space="0" w:color="auto"/>
        <w:left w:val="none" w:sz="0" w:space="0" w:color="auto"/>
        <w:bottom w:val="none" w:sz="0" w:space="0" w:color="auto"/>
        <w:right w:val="none" w:sz="0" w:space="0" w:color="auto"/>
      </w:divBdr>
      <w:divsChild>
        <w:div w:id="1000817290">
          <w:marLeft w:val="480"/>
          <w:marRight w:val="0"/>
          <w:marTop w:val="0"/>
          <w:marBottom w:val="0"/>
          <w:divBdr>
            <w:top w:val="none" w:sz="0" w:space="0" w:color="auto"/>
            <w:left w:val="none" w:sz="0" w:space="0" w:color="auto"/>
            <w:bottom w:val="none" w:sz="0" w:space="0" w:color="auto"/>
            <w:right w:val="none" w:sz="0" w:space="0" w:color="auto"/>
          </w:divBdr>
          <w:divsChild>
            <w:div w:id="779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506">
      <w:bodyDiv w:val="1"/>
      <w:marLeft w:val="0"/>
      <w:marRight w:val="0"/>
      <w:marTop w:val="0"/>
      <w:marBottom w:val="0"/>
      <w:divBdr>
        <w:top w:val="none" w:sz="0" w:space="0" w:color="auto"/>
        <w:left w:val="none" w:sz="0" w:space="0" w:color="auto"/>
        <w:bottom w:val="none" w:sz="0" w:space="0" w:color="auto"/>
        <w:right w:val="none" w:sz="0" w:space="0" w:color="auto"/>
      </w:divBdr>
    </w:div>
    <w:div w:id="1410420924">
      <w:bodyDiv w:val="1"/>
      <w:marLeft w:val="0"/>
      <w:marRight w:val="0"/>
      <w:marTop w:val="0"/>
      <w:marBottom w:val="0"/>
      <w:divBdr>
        <w:top w:val="none" w:sz="0" w:space="0" w:color="auto"/>
        <w:left w:val="none" w:sz="0" w:space="0" w:color="auto"/>
        <w:bottom w:val="none" w:sz="0" w:space="0" w:color="auto"/>
        <w:right w:val="none" w:sz="0" w:space="0" w:color="auto"/>
      </w:divBdr>
    </w:div>
    <w:div w:id="1465655074">
      <w:bodyDiv w:val="1"/>
      <w:marLeft w:val="0"/>
      <w:marRight w:val="0"/>
      <w:marTop w:val="0"/>
      <w:marBottom w:val="0"/>
      <w:divBdr>
        <w:top w:val="none" w:sz="0" w:space="0" w:color="auto"/>
        <w:left w:val="none" w:sz="0" w:space="0" w:color="auto"/>
        <w:bottom w:val="none" w:sz="0" w:space="0" w:color="auto"/>
        <w:right w:val="none" w:sz="0" w:space="0" w:color="auto"/>
      </w:divBdr>
    </w:div>
    <w:div w:id="1473713982">
      <w:bodyDiv w:val="1"/>
      <w:marLeft w:val="0"/>
      <w:marRight w:val="0"/>
      <w:marTop w:val="0"/>
      <w:marBottom w:val="0"/>
      <w:divBdr>
        <w:top w:val="none" w:sz="0" w:space="0" w:color="auto"/>
        <w:left w:val="none" w:sz="0" w:space="0" w:color="auto"/>
        <w:bottom w:val="none" w:sz="0" w:space="0" w:color="auto"/>
        <w:right w:val="none" w:sz="0" w:space="0" w:color="auto"/>
      </w:divBdr>
    </w:div>
    <w:div w:id="1492985881">
      <w:bodyDiv w:val="1"/>
      <w:marLeft w:val="0"/>
      <w:marRight w:val="0"/>
      <w:marTop w:val="0"/>
      <w:marBottom w:val="0"/>
      <w:divBdr>
        <w:top w:val="none" w:sz="0" w:space="0" w:color="auto"/>
        <w:left w:val="none" w:sz="0" w:space="0" w:color="auto"/>
        <w:bottom w:val="none" w:sz="0" w:space="0" w:color="auto"/>
        <w:right w:val="none" w:sz="0" w:space="0" w:color="auto"/>
      </w:divBdr>
      <w:divsChild>
        <w:div w:id="137764899">
          <w:marLeft w:val="0"/>
          <w:marRight w:val="0"/>
          <w:marTop w:val="0"/>
          <w:marBottom w:val="0"/>
          <w:divBdr>
            <w:top w:val="none" w:sz="0" w:space="0" w:color="auto"/>
            <w:left w:val="none" w:sz="0" w:space="0" w:color="auto"/>
            <w:bottom w:val="none" w:sz="0" w:space="0" w:color="auto"/>
            <w:right w:val="none" w:sz="0" w:space="0" w:color="auto"/>
          </w:divBdr>
        </w:div>
        <w:div w:id="264504546">
          <w:marLeft w:val="0"/>
          <w:marRight w:val="0"/>
          <w:marTop w:val="0"/>
          <w:marBottom w:val="0"/>
          <w:divBdr>
            <w:top w:val="none" w:sz="0" w:space="0" w:color="auto"/>
            <w:left w:val="none" w:sz="0" w:space="0" w:color="auto"/>
            <w:bottom w:val="none" w:sz="0" w:space="0" w:color="auto"/>
            <w:right w:val="none" w:sz="0" w:space="0" w:color="auto"/>
          </w:divBdr>
        </w:div>
        <w:div w:id="307516589">
          <w:marLeft w:val="0"/>
          <w:marRight w:val="0"/>
          <w:marTop w:val="0"/>
          <w:marBottom w:val="0"/>
          <w:divBdr>
            <w:top w:val="none" w:sz="0" w:space="0" w:color="auto"/>
            <w:left w:val="none" w:sz="0" w:space="0" w:color="auto"/>
            <w:bottom w:val="none" w:sz="0" w:space="0" w:color="auto"/>
            <w:right w:val="none" w:sz="0" w:space="0" w:color="auto"/>
          </w:divBdr>
        </w:div>
        <w:div w:id="754127465">
          <w:marLeft w:val="0"/>
          <w:marRight w:val="0"/>
          <w:marTop w:val="0"/>
          <w:marBottom w:val="0"/>
          <w:divBdr>
            <w:top w:val="none" w:sz="0" w:space="0" w:color="auto"/>
            <w:left w:val="none" w:sz="0" w:space="0" w:color="auto"/>
            <w:bottom w:val="none" w:sz="0" w:space="0" w:color="auto"/>
            <w:right w:val="none" w:sz="0" w:space="0" w:color="auto"/>
          </w:divBdr>
        </w:div>
        <w:div w:id="897522095">
          <w:marLeft w:val="0"/>
          <w:marRight w:val="0"/>
          <w:marTop w:val="0"/>
          <w:marBottom w:val="0"/>
          <w:divBdr>
            <w:top w:val="none" w:sz="0" w:space="0" w:color="auto"/>
            <w:left w:val="none" w:sz="0" w:space="0" w:color="auto"/>
            <w:bottom w:val="none" w:sz="0" w:space="0" w:color="auto"/>
            <w:right w:val="none" w:sz="0" w:space="0" w:color="auto"/>
          </w:divBdr>
        </w:div>
        <w:div w:id="1126436154">
          <w:marLeft w:val="0"/>
          <w:marRight w:val="0"/>
          <w:marTop w:val="0"/>
          <w:marBottom w:val="0"/>
          <w:divBdr>
            <w:top w:val="none" w:sz="0" w:space="0" w:color="auto"/>
            <w:left w:val="none" w:sz="0" w:space="0" w:color="auto"/>
            <w:bottom w:val="none" w:sz="0" w:space="0" w:color="auto"/>
            <w:right w:val="none" w:sz="0" w:space="0" w:color="auto"/>
          </w:divBdr>
        </w:div>
        <w:div w:id="1224104401">
          <w:marLeft w:val="0"/>
          <w:marRight w:val="0"/>
          <w:marTop w:val="0"/>
          <w:marBottom w:val="0"/>
          <w:divBdr>
            <w:top w:val="none" w:sz="0" w:space="0" w:color="auto"/>
            <w:left w:val="none" w:sz="0" w:space="0" w:color="auto"/>
            <w:bottom w:val="none" w:sz="0" w:space="0" w:color="auto"/>
            <w:right w:val="none" w:sz="0" w:space="0" w:color="auto"/>
          </w:divBdr>
        </w:div>
        <w:div w:id="1339119557">
          <w:marLeft w:val="0"/>
          <w:marRight w:val="0"/>
          <w:marTop w:val="0"/>
          <w:marBottom w:val="0"/>
          <w:divBdr>
            <w:top w:val="none" w:sz="0" w:space="0" w:color="auto"/>
            <w:left w:val="none" w:sz="0" w:space="0" w:color="auto"/>
            <w:bottom w:val="none" w:sz="0" w:space="0" w:color="auto"/>
            <w:right w:val="none" w:sz="0" w:space="0" w:color="auto"/>
          </w:divBdr>
        </w:div>
        <w:div w:id="1356150940">
          <w:marLeft w:val="0"/>
          <w:marRight w:val="0"/>
          <w:marTop w:val="0"/>
          <w:marBottom w:val="0"/>
          <w:divBdr>
            <w:top w:val="none" w:sz="0" w:space="0" w:color="auto"/>
            <w:left w:val="none" w:sz="0" w:space="0" w:color="auto"/>
            <w:bottom w:val="none" w:sz="0" w:space="0" w:color="auto"/>
            <w:right w:val="none" w:sz="0" w:space="0" w:color="auto"/>
          </w:divBdr>
        </w:div>
        <w:div w:id="1456219199">
          <w:marLeft w:val="0"/>
          <w:marRight w:val="0"/>
          <w:marTop w:val="0"/>
          <w:marBottom w:val="0"/>
          <w:divBdr>
            <w:top w:val="none" w:sz="0" w:space="0" w:color="auto"/>
            <w:left w:val="none" w:sz="0" w:space="0" w:color="auto"/>
            <w:bottom w:val="none" w:sz="0" w:space="0" w:color="auto"/>
            <w:right w:val="none" w:sz="0" w:space="0" w:color="auto"/>
          </w:divBdr>
        </w:div>
        <w:div w:id="1576013642">
          <w:marLeft w:val="0"/>
          <w:marRight w:val="0"/>
          <w:marTop w:val="0"/>
          <w:marBottom w:val="0"/>
          <w:divBdr>
            <w:top w:val="none" w:sz="0" w:space="0" w:color="auto"/>
            <w:left w:val="none" w:sz="0" w:space="0" w:color="auto"/>
            <w:bottom w:val="none" w:sz="0" w:space="0" w:color="auto"/>
            <w:right w:val="none" w:sz="0" w:space="0" w:color="auto"/>
          </w:divBdr>
        </w:div>
        <w:div w:id="1711801037">
          <w:marLeft w:val="0"/>
          <w:marRight w:val="0"/>
          <w:marTop w:val="0"/>
          <w:marBottom w:val="0"/>
          <w:divBdr>
            <w:top w:val="none" w:sz="0" w:space="0" w:color="auto"/>
            <w:left w:val="none" w:sz="0" w:space="0" w:color="auto"/>
            <w:bottom w:val="none" w:sz="0" w:space="0" w:color="auto"/>
            <w:right w:val="none" w:sz="0" w:space="0" w:color="auto"/>
          </w:divBdr>
        </w:div>
        <w:div w:id="1798180392">
          <w:marLeft w:val="0"/>
          <w:marRight w:val="0"/>
          <w:marTop w:val="0"/>
          <w:marBottom w:val="0"/>
          <w:divBdr>
            <w:top w:val="none" w:sz="0" w:space="0" w:color="auto"/>
            <w:left w:val="none" w:sz="0" w:space="0" w:color="auto"/>
            <w:bottom w:val="none" w:sz="0" w:space="0" w:color="auto"/>
            <w:right w:val="none" w:sz="0" w:space="0" w:color="auto"/>
          </w:divBdr>
        </w:div>
        <w:div w:id="1811747823">
          <w:marLeft w:val="0"/>
          <w:marRight w:val="0"/>
          <w:marTop w:val="0"/>
          <w:marBottom w:val="0"/>
          <w:divBdr>
            <w:top w:val="none" w:sz="0" w:space="0" w:color="auto"/>
            <w:left w:val="none" w:sz="0" w:space="0" w:color="auto"/>
            <w:bottom w:val="none" w:sz="0" w:space="0" w:color="auto"/>
            <w:right w:val="none" w:sz="0" w:space="0" w:color="auto"/>
          </w:divBdr>
        </w:div>
        <w:div w:id="1952974864">
          <w:marLeft w:val="0"/>
          <w:marRight w:val="0"/>
          <w:marTop w:val="0"/>
          <w:marBottom w:val="0"/>
          <w:divBdr>
            <w:top w:val="none" w:sz="0" w:space="0" w:color="auto"/>
            <w:left w:val="none" w:sz="0" w:space="0" w:color="auto"/>
            <w:bottom w:val="none" w:sz="0" w:space="0" w:color="auto"/>
            <w:right w:val="none" w:sz="0" w:space="0" w:color="auto"/>
          </w:divBdr>
        </w:div>
        <w:div w:id="1964576978">
          <w:marLeft w:val="0"/>
          <w:marRight w:val="0"/>
          <w:marTop w:val="0"/>
          <w:marBottom w:val="0"/>
          <w:divBdr>
            <w:top w:val="none" w:sz="0" w:space="0" w:color="auto"/>
            <w:left w:val="none" w:sz="0" w:space="0" w:color="auto"/>
            <w:bottom w:val="none" w:sz="0" w:space="0" w:color="auto"/>
            <w:right w:val="none" w:sz="0" w:space="0" w:color="auto"/>
          </w:divBdr>
        </w:div>
      </w:divsChild>
    </w:div>
    <w:div w:id="1503542701">
      <w:bodyDiv w:val="1"/>
      <w:marLeft w:val="0"/>
      <w:marRight w:val="0"/>
      <w:marTop w:val="0"/>
      <w:marBottom w:val="0"/>
      <w:divBdr>
        <w:top w:val="none" w:sz="0" w:space="0" w:color="auto"/>
        <w:left w:val="none" w:sz="0" w:space="0" w:color="auto"/>
        <w:bottom w:val="none" w:sz="0" w:space="0" w:color="auto"/>
        <w:right w:val="none" w:sz="0" w:space="0" w:color="auto"/>
      </w:divBdr>
    </w:div>
    <w:div w:id="1516070166">
      <w:bodyDiv w:val="1"/>
      <w:marLeft w:val="0"/>
      <w:marRight w:val="0"/>
      <w:marTop w:val="0"/>
      <w:marBottom w:val="0"/>
      <w:divBdr>
        <w:top w:val="none" w:sz="0" w:space="0" w:color="auto"/>
        <w:left w:val="none" w:sz="0" w:space="0" w:color="auto"/>
        <w:bottom w:val="none" w:sz="0" w:space="0" w:color="auto"/>
        <w:right w:val="none" w:sz="0" w:space="0" w:color="auto"/>
      </w:divBdr>
    </w:div>
    <w:div w:id="1544174282">
      <w:bodyDiv w:val="1"/>
      <w:marLeft w:val="0"/>
      <w:marRight w:val="0"/>
      <w:marTop w:val="0"/>
      <w:marBottom w:val="0"/>
      <w:divBdr>
        <w:top w:val="none" w:sz="0" w:space="0" w:color="auto"/>
        <w:left w:val="none" w:sz="0" w:space="0" w:color="auto"/>
        <w:bottom w:val="none" w:sz="0" w:space="0" w:color="auto"/>
        <w:right w:val="none" w:sz="0" w:space="0" w:color="auto"/>
      </w:divBdr>
    </w:div>
    <w:div w:id="1557933573">
      <w:bodyDiv w:val="1"/>
      <w:marLeft w:val="0"/>
      <w:marRight w:val="0"/>
      <w:marTop w:val="0"/>
      <w:marBottom w:val="0"/>
      <w:divBdr>
        <w:top w:val="none" w:sz="0" w:space="0" w:color="auto"/>
        <w:left w:val="none" w:sz="0" w:space="0" w:color="auto"/>
        <w:bottom w:val="none" w:sz="0" w:space="0" w:color="auto"/>
        <w:right w:val="none" w:sz="0" w:space="0" w:color="auto"/>
      </w:divBdr>
    </w:div>
    <w:div w:id="1563248245">
      <w:bodyDiv w:val="1"/>
      <w:marLeft w:val="0"/>
      <w:marRight w:val="0"/>
      <w:marTop w:val="0"/>
      <w:marBottom w:val="0"/>
      <w:divBdr>
        <w:top w:val="none" w:sz="0" w:space="0" w:color="auto"/>
        <w:left w:val="none" w:sz="0" w:space="0" w:color="auto"/>
        <w:bottom w:val="none" w:sz="0" w:space="0" w:color="auto"/>
        <w:right w:val="none" w:sz="0" w:space="0" w:color="auto"/>
      </w:divBdr>
    </w:div>
    <w:div w:id="1581333030">
      <w:bodyDiv w:val="1"/>
      <w:marLeft w:val="0"/>
      <w:marRight w:val="0"/>
      <w:marTop w:val="0"/>
      <w:marBottom w:val="0"/>
      <w:divBdr>
        <w:top w:val="none" w:sz="0" w:space="0" w:color="auto"/>
        <w:left w:val="none" w:sz="0" w:space="0" w:color="auto"/>
        <w:bottom w:val="none" w:sz="0" w:space="0" w:color="auto"/>
        <w:right w:val="none" w:sz="0" w:space="0" w:color="auto"/>
      </w:divBdr>
    </w:div>
    <w:div w:id="1625110968">
      <w:bodyDiv w:val="1"/>
      <w:marLeft w:val="0"/>
      <w:marRight w:val="0"/>
      <w:marTop w:val="0"/>
      <w:marBottom w:val="0"/>
      <w:divBdr>
        <w:top w:val="none" w:sz="0" w:space="0" w:color="auto"/>
        <w:left w:val="none" w:sz="0" w:space="0" w:color="auto"/>
        <w:bottom w:val="none" w:sz="0" w:space="0" w:color="auto"/>
        <w:right w:val="none" w:sz="0" w:space="0" w:color="auto"/>
      </w:divBdr>
      <w:divsChild>
        <w:div w:id="1777872164">
          <w:marLeft w:val="0"/>
          <w:marRight w:val="0"/>
          <w:marTop w:val="0"/>
          <w:marBottom w:val="0"/>
          <w:divBdr>
            <w:top w:val="none" w:sz="0" w:space="0" w:color="auto"/>
            <w:left w:val="none" w:sz="0" w:space="0" w:color="auto"/>
            <w:bottom w:val="none" w:sz="0" w:space="0" w:color="auto"/>
            <w:right w:val="none" w:sz="0" w:space="0" w:color="auto"/>
          </w:divBdr>
          <w:divsChild>
            <w:div w:id="1434009490">
              <w:marLeft w:val="0"/>
              <w:marRight w:val="0"/>
              <w:marTop w:val="0"/>
              <w:marBottom w:val="0"/>
              <w:divBdr>
                <w:top w:val="none" w:sz="0" w:space="0" w:color="auto"/>
                <w:left w:val="none" w:sz="0" w:space="0" w:color="auto"/>
                <w:bottom w:val="none" w:sz="0" w:space="0" w:color="auto"/>
                <w:right w:val="none" w:sz="0" w:space="0" w:color="auto"/>
              </w:divBdr>
              <w:divsChild>
                <w:div w:id="662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37">
      <w:bodyDiv w:val="1"/>
      <w:marLeft w:val="0"/>
      <w:marRight w:val="0"/>
      <w:marTop w:val="0"/>
      <w:marBottom w:val="0"/>
      <w:divBdr>
        <w:top w:val="none" w:sz="0" w:space="0" w:color="auto"/>
        <w:left w:val="none" w:sz="0" w:space="0" w:color="auto"/>
        <w:bottom w:val="none" w:sz="0" w:space="0" w:color="auto"/>
        <w:right w:val="none" w:sz="0" w:space="0" w:color="auto"/>
      </w:divBdr>
    </w:div>
    <w:div w:id="1687977955">
      <w:bodyDiv w:val="1"/>
      <w:marLeft w:val="0"/>
      <w:marRight w:val="0"/>
      <w:marTop w:val="0"/>
      <w:marBottom w:val="0"/>
      <w:divBdr>
        <w:top w:val="none" w:sz="0" w:space="0" w:color="auto"/>
        <w:left w:val="none" w:sz="0" w:space="0" w:color="auto"/>
        <w:bottom w:val="none" w:sz="0" w:space="0" w:color="auto"/>
        <w:right w:val="none" w:sz="0" w:space="0" w:color="auto"/>
      </w:divBdr>
    </w:div>
    <w:div w:id="1715035108">
      <w:bodyDiv w:val="1"/>
      <w:marLeft w:val="0"/>
      <w:marRight w:val="0"/>
      <w:marTop w:val="0"/>
      <w:marBottom w:val="0"/>
      <w:divBdr>
        <w:top w:val="none" w:sz="0" w:space="0" w:color="auto"/>
        <w:left w:val="none" w:sz="0" w:space="0" w:color="auto"/>
        <w:bottom w:val="none" w:sz="0" w:space="0" w:color="auto"/>
        <w:right w:val="none" w:sz="0" w:space="0" w:color="auto"/>
      </w:divBdr>
    </w:div>
    <w:div w:id="1720977104">
      <w:bodyDiv w:val="1"/>
      <w:marLeft w:val="0"/>
      <w:marRight w:val="0"/>
      <w:marTop w:val="0"/>
      <w:marBottom w:val="0"/>
      <w:divBdr>
        <w:top w:val="none" w:sz="0" w:space="0" w:color="auto"/>
        <w:left w:val="none" w:sz="0" w:space="0" w:color="auto"/>
        <w:bottom w:val="none" w:sz="0" w:space="0" w:color="auto"/>
        <w:right w:val="none" w:sz="0" w:space="0" w:color="auto"/>
      </w:divBdr>
    </w:div>
    <w:div w:id="1744990711">
      <w:bodyDiv w:val="1"/>
      <w:marLeft w:val="0"/>
      <w:marRight w:val="0"/>
      <w:marTop w:val="0"/>
      <w:marBottom w:val="0"/>
      <w:divBdr>
        <w:top w:val="none" w:sz="0" w:space="0" w:color="auto"/>
        <w:left w:val="none" w:sz="0" w:space="0" w:color="auto"/>
        <w:bottom w:val="none" w:sz="0" w:space="0" w:color="auto"/>
        <w:right w:val="none" w:sz="0" w:space="0" w:color="auto"/>
      </w:divBdr>
    </w:div>
    <w:div w:id="1747612017">
      <w:bodyDiv w:val="1"/>
      <w:marLeft w:val="0"/>
      <w:marRight w:val="0"/>
      <w:marTop w:val="0"/>
      <w:marBottom w:val="0"/>
      <w:divBdr>
        <w:top w:val="none" w:sz="0" w:space="0" w:color="auto"/>
        <w:left w:val="none" w:sz="0" w:space="0" w:color="auto"/>
        <w:bottom w:val="none" w:sz="0" w:space="0" w:color="auto"/>
        <w:right w:val="none" w:sz="0" w:space="0" w:color="auto"/>
      </w:divBdr>
      <w:divsChild>
        <w:div w:id="1804036459">
          <w:marLeft w:val="1080"/>
          <w:marRight w:val="0"/>
          <w:marTop w:val="100"/>
          <w:marBottom w:val="0"/>
          <w:divBdr>
            <w:top w:val="none" w:sz="0" w:space="0" w:color="auto"/>
            <w:left w:val="none" w:sz="0" w:space="0" w:color="auto"/>
            <w:bottom w:val="none" w:sz="0" w:space="0" w:color="auto"/>
            <w:right w:val="none" w:sz="0" w:space="0" w:color="auto"/>
          </w:divBdr>
        </w:div>
      </w:divsChild>
    </w:div>
    <w:div w:id="1754352538">
      <w:bodyDiv w:val="1"/>
      <w:marLeft w:val="0"/>
      <w:marRight w:val="0"/>
      <w:marTop w:val="0"/>
      <w:marBottom w:val="0"/>
      <w:divBdr>
        <w:top w:val="none" w:sz="0" w:space="0" w:color="auto"/>
        <w:left w:val="none" w:sz="0" w:space="0" w:color="auto"/>
        <w:bottom w:val="none" w:sz="0" w:space="0" w:color="auto"/>
        <w:right w:val="none" w:sz="0" w:space="0" w:color="auto"/>
      </w:divBdr>
    </w:div>
    <w:div w:id="1783768996">
      <w:bodyDiv w:val="1"/>
      <w:marLeft w:val="0"/>
      <w:marRight w:val="0"/>
      <w:marTop w:val="0"/>
      <w:marBottom w:val="0"/>
      <w:divBdr>
        <w:top w:val="none" w:sz="0" w:space="0" w:color="auto"/>
        <w:left w:val="none" w:sz="0" w:space="0" w:color="auto"/>
        <w:bottom w:val="none" w:sz="0" w:space="0" w:color="auto"/>
        <w:right w:val="none" w:sz="0" w:space="0" w:color="auto"/>
      </w:divBdr>
      <w:divsChild>
        <w:div w:id="792023966">
          <w:marLeft w:val="0"/>
          <w:marRight w:val="0"/>
          <w:marTop w:val="0"/>
          <w:marBottom w:val="0"/>
          <w:divBdr>
            <w:top w:val="none" w:sz="0" w:space="0" w:color="auto"/>
            <w:left w:val="none" w:sz="0" w:space="0" w:color="auto"/>
            <w:bottom w:val="none" w:sz="0" w:space="0" w:color="auto"/>
            <w:right w:val="none" w:sz="0" w:space="0" w:color="auto"/>
          </w:divBdr>
          <w:divsChild>
            <w:div w:id="782840850">
              <w:marLeft w:val="0"/>
              <w:marRight w:val="0"/>
              <w:marTop w:val="0"/>
              <w:marBottom w:val="0"/>
              <w:divBdr>
                <w:top w:val="none" w:sz="0" w:space="0" w:color="auto"/>
                <w:left w:val="none" w:sz="0" w:space="0" w:color="auto"/>
                <w:bottom w:val="none" w:sz="0" w:space="0" w:color="auto"/>
                <w:right w:val="none" w:sz="0" w:space="0" w:color="auto"/>
              </w:divBdr>
              <w:divsChild>
                <w:div w:id="5518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01387">
      <w:bodyDiv w:val="1"/>
      <w:marLeft w:val="0"/>
      <w:marRight w:val="0"/>
      <w:marTop w:val="0"/>
      <w:marBottom w:val="0"/>
      <w:divBdr>
        <w:top w:val="none" w:sz="0" w:space="0" w:color="auto"/>
        <w:left w:val="none" w:sz="0" w:space="0" w:color="auto"/>
        <w:bottom w:val="none" w:sz="0" w:space="0" w:color="auto"/>
        <w:right w:val="none" w:sz="0" w:space="0" w:color="auto"/>
      </w:divBdr>
    </w:div>
    <w:div w:id="1822498480">
      <w:bodyDiv w:val="1"/>
      <w:marLeft w:val="0"/>
      <w:marRight w:val="0"/>
      <w:marTop w:val="0"/>
      <w:marBottom w:val="0"/>
      <w:divBdr>
        <w:top w:val="none" w:sz="0" w:space="0" w:color="auto"/>
        <w:left w:val="none" w:sz="0" w:space="0" w:color="auto"/>
        <w:bottom w:val="none" w:sz="0" w:space="0" w:color="auto"/>
        <w:right w:val="none" w:sz="0" w:space="0" w:color="auto"/>
      </w:divBdr>
    </w:div>
    <w:div w:id="1859082490">
      <w:bodyDiv w:val="1"/>
      <w:marLeft w:val="0"/>
      <w:marRight w:val="0"/>
      <w:marTop w:val="0"/>
      <w:marBottom w:val="0"/>
      <w:divBdr>
        <w:top w:val="none" w:sz="0" w:space="0" w:color="auto"/>
        <w:left w:val="none" w:sz="0" w:space="0" w:color="auto"/>
        <w:bottom w:val="none" w:sz="0" w:space="0" w:color="auto"/>
        <w:right w:val="none" w:sz="0" w:space="0" w:color="auto"/>
      </w:divBdr>
      <w:divsChild>
        <w:div w:id="302732049">
          <w:marLeft w:val="0"/>
          <w:marRight w:val="0"/>
          <w:marTop w:val="0"/>
          <w:marBottom w:val="0"/>
          <w:divBdr>
            <w:top w:val="none" w:sz="0" w:space="0" w:color="auto"/>
            <w:left w:val="none" w:sz="0" w:space="0" w:color="auto"/>
            <w:bottom w:val="none" w:sz="0" w:space="0" w:color="auto"/>
            <w:right w:val="none" w:sz="0" w:space="0" w:color="auto"/>
          </w:divBdr>
          <w:divsChild>
            <w:div w:id="860316869">
              <w:marLeft w:val="0"/>
              <w:marRight w:val="0"/>
              <w:marTop w:val="0"/>
              <w:marBottom w:val="0"/>
              <w:divBdr>
                <w:top w:val="none" w:sz="0" w:space="0" w:color="auto"/>
                <w:left w:val="none" w:sz="0" w:space="0" w:color="auto"/>
                <w:bottom w:val="none" w:sz="0" w:space="0" w:color="auto"/>
                <w:right w:val="none" w:sz="0" w:space="0" w:color="auto"/>
              </w:divBdr>
              <w:divsChild>
                <w:div w:id="722870856">
                  <w:marLeft w:val="0"/>
                  <w:marRight w:val="0"/>
                  <w:marTop w:val="0"/>
                  <w:marBottom w:val="0"/>
                  <w:divBdr>
                    <w:top w:val="none" w:sz="0" w:space="0" w:color="auto"/>
                    <w:left w:val="none" w:sz="0" w:space="0" w:color="auto"/>
                    <w:bottom w:val="none" w:sz="0" w:space="0" w:color="auto"/>
                    <w:right w:val="none" w:sz="0" w:space="0" w:color="auto"/>
                  </w:divBdr>
                </w:div>
                <w:div w:id="958993214">
                  <w:marLeft w:val="0"/>
                  <w:marRight w:val="0"/>
                  <w:marTop w:val="0"/>
                  <w:marBottom w:val="0"/>
                  <w:divBdr>
                    <w:top w:val="none" w:sz="0" w:space="0" w:color="auto"/>
                    <w:left w:val="none" w:sz="0" w:space="0" w:color="auto"/>
                    <w:bottom w:val="none" w:sz="0" w:space="0" w:color="auto"/>
                    <w:right w:val="none" w:sz="0" w:space="0" w:color="auto"/>
                  </w:divBdr>
                </w:div>
              </w:divsChild>
            </w:div>
            <w:div w:id="1092051451">
              <w:marLeft w:val="0"/>
              <w:marRight w:val="0"/>
              <w:marTop w:val="0"/>
              <w:marBottom w:val="0"/>
              <w:divBdr>
                <w:top w:val="none" w:sz="0" w:space="0" w:color="auto"/>
                <w:left w:val="none" w:sz="0" w:space="0" w:color="auto"/>
                <w:bottom w:val="none" w:sz="0" w:space="0" w:color="auto"/>
                <w:right w:val="none" w:sz="0" w:space="0" w:color="auto"/>
              </w:divBdr>
              <w:divsChild>
                <w:div w:id="161119819">
                  <w:marLeft w:val="0"/>
                  <w:marRight w:val="0"/>
                  <w:marTop w:val="0"/>
                  <w:marBottom w:val="0"/>
                  <w:divBdr>
                    <w:top w:val="none" w:sz="0" w:space="0" w:color="auto"/>
                    <w:left w:val="none" w:sz="0" w:space="0" w:color="auto"/>
                    <w:bottom w:val="none" w:sz="0" w:space="0" w:color="auto"/>
                    <w:right w:val="none" w:sz="0" w:space="0" w:color="auto"/>
                  </w:divBdr>
                </w:div>
                <w:div w:id="1236862850">
                  <w:marLeft w:val="0"/>
                  <w:marRight w:val="0"/>
                  <w:marTop w:val="0"/>
                  <w:marBottom w:val="0"/>
                  <w:divBdr>
                    <w:top w:val="none" w:sz="0" w:space="0" w:color="auto"/>
                    <w:left w:val="none" w:sz="0" w:space="0" w:color="auto"/>
                    <w:bottom w:val="none" w:sz="0" w:space="0" w:color="auto"/>
                    <w:right w:val="none" w:sz="0" w:space="0" w:color="auto"/>
                  </w:divBdr>
                </w:div>
              </w:divsChild>
            </w:div>
            <w:div w:id="1248541041">
              <w:marLeft w:val="0"/>
              <w:marRight w:val="0"/>
              <w:marTop w:val="0"/>
              <w:marBottom w:val="0"/>
              <w:divBdr>
                <w:top w:val="none" w:sz="0" w:space="0" w:color="auto"/>
                <w:left w:val="none" w:sz="0" w:space="0" w:color="auto"/>
                <w:bottom w:val="none" w:sz="0" w:space="0" w:color="auto"/>
                <w:right w:val="none" w:sz="0" w:space="0" w:color="auto"/>
              </w:divBdr>
              <w:divsChild>
                <w:div w:id="1038702113">
                  <w:marLeft w:val="0"/>
                  <w:marRight w:val="0"/>
                  <w:marTop w:val="0"/>
                  <w:marBottom w:val="0"/>
                  <w:divBdr>
                    <w:top w:val="none" w:sz="0" w:space="0" w:color="auto"/>
                    <w:left w:val="none" w:sz="0" w:space="0" w:color="auto"/>
                    <w:bottom w:val="none" w:sz="0" w:space="0" w:color="auto"/>
                    <w:right w:val="none" w:sz="0" w:space="0" w:color="auto"/>
                  </w:divBdr>
                </w:div>
                <w:div w:id="19169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67894">
          <w:marLeft w:val="0"/>
          <w:marRight w:val="0"/>
          <w:marTop w:val="0"/>
          <w:marBottom w:val="0"/>
          <w:divBdr>
            <w:top w:val="none" w:sz="0" w:space="0" w:color="auto"/>
            <w:left w:val="none" w:sz="0" w:space="0" w:color="auto"/>
            <w:bottom w:val="none" w:sz="0" w:space="0" w:color="auto"/>
            <w:right w:val="none" w:sz="0" w:space="0" w:color="auto"/>
          </w:divBdr>
        </w:div>
        <w:div w:id="470556809">
          <w:marLeft w:val="0"/>
          <w:marRight w:val="0"/>
          <w:marTop w:val="0"/>
          <w:marBottom w:val="0"/>
          <w:divBdr>
            <w:top w:val="none" w:sz="0" w:space="0" w:color="auto"/>
            <w:left w:val="none" w:sz="0" w:space="0" w:color="auto"/>
            <w:bottom w:val="none" w:sz="0" w:space="0" w:color="auto"/>
            <w:right w:val="none" w:sz="0" w:space="0" w:color="auto"/>
          </w:divBdr>
        </w:div>
        <w:div w:id="753626632">
          <w:marLeft w:val="0"/>
          <w:marRight w:val="0"/>
          <w:marTop w:val="0"/>
          <w:marBottom w:val="0"/>
          <w:divBdr>
            <w:top w:val="none" w:sz="0" w:space="0" w:color="auto"/>
            <w:left w:val="none" w:sz="0" w:space="0" w:color="auto"/>
            <w:bottom w:val="none" w:sz="0" w:space="0" w:color="auto"/>
            <w:right w:val="none" w:sz="0" w:space="0" w:color="auto"/>
          </w:divBdr>
        </w:div>
        <w:div w:id="1267880720">
          <w:marLeft w:val="0"/>
          <w:marRight w:val="0"/>
          <w:marTop w:val="0"/>
          <w:marBottom w:val="0"/>
          <w:divBdr>
            <w:top w:val="none" w:sz="0" w:space="0" w:color="auto"/>
            <w:left w:val="none" w:sz="0" w:space="0" w:color="auto"/>
            <w:bottom w:val="none" w:sz="0" w:space="0" w:color="auto"/>
            <w:right w:val="none" w:sz="0" w:space="0" w:color="auto"/>
          </w:divBdr>
        </w:div>
        <w:div w:id="1363439051">
          <w:marLeft w:val="0"/>
          <w:marRight w:val="0"/>
          <w:marTop w:val="0"/>
          <w:marBottom w:val="0"/>
          <w:divBdr>
            <w:top w:val="none" w:sz="0" w:space="0" w:color="auto"/>
            <w:left w:val="none" w:sz="0" w:space="0" w:color="auto"/>
            <w:bottom w:val="none" w:sz="0" w:space="0" w:color="auto"/>
            <w:right w:val="none" w:sz="0" w:space="0" w:color="auto"/>
          </w:divBdr>
        </w:div>
        <w:div w:id="1507936577">
          <w:marLeft w:val="0"/>
          <w:marRight w:val="0"/>
          <w:marTop w:val="0"/>
          <w:marBottom w:val="0"/>
          <w:divBdr>
            <w:top w:val="none" w:sz="0" w:space="0" w:color="auto"/>
            <w:left w:val="none" w:sz="0" w:space="0" w:color="auto"/>
            <w:bottom w:val="none" w:sz="0" w:space="0" w:color="auto"/>
            <w:right w:val="none" w:sz="0" w:space="0" w:color="auto"/>
          </w:divBdr>
        </w:div>
      </w:divsChild>
    </w:div>
    <w:div w:id="186031086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7">
          <w:marLeft w:val="0"/>
          <w:marRight w:val="0"/>
          <w:marTop w:val="0"/>
          <w:marBottom w:val="0"/>
          <w:divBdr>
            <w:top w:val="none" w:sz="0" w:space="0" w:color="auto"/>
            <w:left w:val="none" w:sz="0" w:space="0" w:color="auto"/>
            <w:bottom w:val="none" w:sz="0" w:space="0" w:color="auto"/>
            <w:right w:val="none" w:sz="0" w:space="0" w:color="auto"/>
          </w:divBdr>
          <w:divsChild>
            <w:div w:id="1980071193">
              <w:marLeft w:val="0"/>
              <w:marRight w:val="0"/>
              <w:marTop w:val="0"/>
              <w:marBottom w:val="0"/>
              <w:divBdr>
                <w:top w:val="none" w:sz="0" w:space="0" w:color="auto"/>
                <w:left w:val="none" w:sz="0" w:space="0" w:color="auto"/>
                <w:bottom w:val="none" w:sz="0" w:space="0" w:color="auto"/>
                <w:right w:val="none" w:sz="0" w:space="0" w:color="auto"/>
              </w:divBdr>
              <w:divsChild>
                <w:div w:id="7290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02907">
      <w:bodyDiv w:val="1"/>
      <w:marLeft w:val="0"/>
      <w:marRight w:val="0"/>
      <w:marTop w:val="0"/>
      <w:marBottom w:val="0"/>
      <w:divBdr>
        <w:top w:val="none" w:sz="0" w:space="0" w:color="auto"/>
        <w:left w:val="none" w:sz="0" w:space="0" w:color="auto"/>
        <w:bottom w:val="none" w:sz="0" w:space="0" w:color="auto"/>
        <w:right w:val="none" w:sz="0" w:space="0" w:color="auto"/>
      </w:divBdr>
    </w:div>
    <w:div w:id="1950776750">
      <w:bodyDiv w:val="1"/>
      <w:marLeft w:val="0"/>
      <w:marRight w:val="0"/>
      <w:marTop w:val="0"/>
      <w:marBottom w:val="0"/>
      <w:divBdr>
        <w:top w:val="none" w:sz="0" w:space="0" w:color="auto"/>
        <w:left w:val="none" w:sz="0" w:space="0" w:color="auto"/>
        <w:bottom w:val="none" w:sz="0" w:space="0" w:color="auto"/>
        <w:right w:val="none" w:sz="0" w:space="0" w:color="auto"/>
      </w:divBdr>
    </w:div>
    <w:div w:id="1968732175">
      <w:bodyDiv w:val="1"/>
      <w:marLeft w:val="0"/>
      <w:marRight w:val="0"/>
      <w:marTop w:val="0"/>
      <w:marBottom w:val="0"/>
      <w:divBdr>
        <w:top w:val="none" w:sz="0" w:space="0" w:color="auto"/>
        <w:left w:val="none" w:sz="0" w:space="0" w:color="auto"/>
        <w:bottom w:val="none" w:sz="0" w:space="0" w:color="auto"/>
        <w:right w:val="none" w:sz="0" w:space="0" w:color="auto"/>
      </w:divBdr>
    </w:div>
    <w:div w:id="2018458231">
      <w:bodyDiv w:val="1"/>
      <w:marLeft w:val="0"/>
      <w:marRight w:val="0"/>
      <w:marTop w:val="0"/>
      <w:marBottom w:val="0"/>
      <w:divBdr>
        <w:top w:val="none" w:sz="0" w:space="0" w:color="auto"/>
        <w:left w:val="none" w:sz="0" w:space="0" w:color="auto"/>
        <w:bottom w:val="none" w:sz="0" w:space="0" w:color="auto"/>
        <w:right w:val="none" w:sz="0" w:space="0" w:color="auto"/>
      </w:divBdr>
    </w:div>
    <w:div w:id="2035374481">
      <w:bodyDiv w:val="1"/>
      <w:marLeft w:val="0"/>
      <w:marRight w:val="0"/>
      <w:marTop w:val="0"/>
      <w:marBottom w:val="0"/>
      <w:divBdr>
        <w:top w:val="none" w:sz="0" w:space="0" w:color="auto"/>
        <w:left w:val="none" w:sz="0" w:space="0" w:color="auto"/>
        <w:bottom w:val="none" w:sz="0" w:space="0" w:color="auto"/>
        <w:right w:val="none" w:sz="0" w:space="0" w:color="auto"/>
      </w:divBdr>
      <w:divsChild>
        <w:div w:id="100533831">
          <w:marLeft w:val="0"/>
          <w:marRight w:val="0"/>
          <w:marTop w:val="0"/>
          <w:marBottom w:val="0"/>
          <w:divBdr>
            <w:top w:val="none" w:sz="0" w:space="0" w:color="auto"/>
            <w:left w:val="none" w:sz="0" w:space="0" w:color="auto"/>
            <w:bottom w:val="none" w:sz="0" w:space="0" w:color="auto"/>
            <w:right w:val="none" w:sz="0" w:space="0" w:color="auto"/>
          </w:divBdr>
        </w:div>
        <w:div w:id="171460264">
          <w:marLeft w:val="0"/>
          <w:marRight w:val="0"/>
          <w:marTop w:val="0"/>
          <w:marBottom w:val="0"/>
          <w:divBdr>
            <w:top w:val="none" w:sz="0" w:space="0" w:color="auto"/>
            <w:left w:val="none" w:sz="0" w:space="0" w:color="auto"/>
            <w:bottom w:val="none" w:sz="0" w:space="0" w:color="auto"/>
            <w:right w:val="none" w:sz="0" w:space="0" w:color="auto"/>
          </w:divBdr>
        </w:div>
        <w:div w:id="220412009">
          <w:marLeft w:val="0"/>
          <w:marRight w:val="0"/>
          <w:marTop w:val="0"/>
          <w:marBottom w:val="0"/>
          <w:divBdr>
            <w:top w:val="none" w:sz="0" w:space="0" w:color="auto"/>
            <w:left w:val="none" w:sz="0" w:space="0" w:color="auto"/>
            <w:bottom w:val="none" w:sz="0" w:space="0" w:color="auto"/>
            <w:right w:val="none" w:sz="0" w:space="0" w:color="auto"/>
          </w:divBdr>
        </w:div>
        <w:div w:id="240797973">
          <w:marLeft w:val="0"/>
          <w:marRight w:val="0"/>
          <w:marTop w:val="0"/>
          <w:marBottom w:val="0"/>
          <w:divBdr>
            <w:top w:val="none" w:sz="0" w:space="0" w:color="auto"/>
            <w:left w:val="none" w:sz="0" w:space="0" w:color="auto"/>
            <w:bottom w:val="none" w:sz="0" w:space="0" w:color="auto"/>
            <w:right w:val="none" w:sz="0" w:space="0" w:color="auto"/>
          </w:divBdr>
        </w:div>
        <w:div w:id="281426197">
          <w:marLeft w:val="0"/>
          <w:marRight w:val="0"/>
          <w:marTop w:val="0"/>
          <w:marBottom w:val="0"/>
          <w:divBdr>
            <w:top w:val="none" w:sz="0" w:space="0" w:color="auto"/>
            <w:left w:val="none" w:sz="0" w:space="0" w:color="auto"/>
            <w:bottom w:val="none" w:sz="0" w:space="0" w:color="auto"/>
            <w:right w:val="none" w:sz="0" w:space="0" w:color="auto"/>
          </w:divBdr>
        </w:div>
        <w:div w:id="543248773">
          <w:marLeft w:val="0"/>
          <w:marRight w:val="0"/>
          <w:marTop w:val="0"/>
          <w:marBottom w:val="0"/>
          <w:divBdr>
            <w:top w:val="none" w:sz="0" w:space="0" w:color="auto"/>
            <w:left w:val="none" w:sz="0" w:space="0" w:color="auto"/>
            <w:bottom w:val="none" w:sz="0" w:space="0" w:color="auto"/>
            <w:right w:val="none" w:sz="0" w:space="0" w:color="auto"/>
          </w:divBdr>
        </w:div>
        <w:div w:id="545680985">
          <w:marLeft w:val="0"/>
          <w:marRight w:val="0"/>
          <w:marTop w:val="0"/>
          <w:marBottom w:val="0"/>
          <w:divBdr>
            <w:top w:val="none" w:sz="0" w:space="0" w:color="auto"/>
            <w:left w:val="none" w:sz="0" w:space="0" w:color="auto"/>
            <w:bottom w:val="none" w:sz="0" w:space="0" w:color="auto"/>
            <w:right w:val="none" w:sz="0" w:space="0" w:color="auto"/>
          </w:divBdr>
        </w:div>
        <w:div w:id="649284965">
          <w:marLeft w:val="0"/>
          <w:marRight w:val="0"/>
          <w:marTop w:val="0"/>
          <w:marBottom w:val="0"/>
          <w:divBdr>
            <w:top w:val="none" w:sz="0" w:space="0" w:color="auto"/>
            <w:left w:val="none" w:sz="0" w:space="0" w:color="auto"/>
            <w:bottom w:val="none" w:sz="0" w:space="0" w:color="auto"/>
            <w:right w:val="none" w:sz="0" w:space="0" w:color="auto"/>
          </w:divBdr>
        </w:div>
        <w:div w:id="767122442">
          <w:marLeft w:val="0"/>
          <w:marRight w:val="0"/>
          <w:marTop w:val="0"/>
          <w:marBottom w:val="0"/>
          <w:divBdr>
            <w:top w:val="none" w:sz="0" w:space="0" w:color="auto"/>
            <w:left w:val="none" w:sz="0" w:space="0" w:color="auto"/>
            <w:bottom w:val="none" w:sz="0" w:space="0" w:color="auto"/>
            <w:right w:val="none" w:sz="0" w:space="0" w:color="auto"/>
          </w:divBdr>
        </w:div>
        <w:div w:id="903292528">
          <w:marLeft w:val="0"/>
          <w:marRight w:val="0"/>
          <w:marTop w:val="0"/>
          <w:marBottom w:val="0"/>
          <w:divBdr>
            <w:top w:val="none" w:sz="0" w:space="0" w:color="auto"/>
            <w:left w:val="none" w:sz="0" w:space="0" w:color="auto"/>
            <w:bottom w:val="none" w:sz="0" w:space="0" w:color="auto"/>
            <w:right w:val="none" w:sz="0" w:space="0" w:color="auto"/>
          </w:divBdr>
        </w:div>
        <w:div w:id="915937226">
          <w:marLeft w:val="0"/>
          <w:marRight w:val="0"/>
          <w:marTop w:val="0"/>
          <w:marBottom w:val="0"/>
          <w:divBdr>
            <w:top w:val="none" w:sz="0" w:space="0" w:color="auto"/>
            <w:left w:val="none" w:sz="0" w:space="0" w:color="auto"/>
            <w:bottom w:val="none" w:sz="0" w:space="0" w:color="auto"/>
            <w:right w:val="none" w:sz="0" w:space="0" w:color="auto"/>
          </w:divBdr>
        </w:div>
        <w:div w:id="929240405">
          <w:marLeft w:val="0"/>
          <w:marRight w:val="0"/>
          <w:marTop w:val="0"/>
          <w:marBottom w:val="0"/>
          <w:divBdr>
            <w:top w:val="none" w:sz="0" w:space="0" w:color="auto"/>
            <w:left w:val="none" w:sz="0" w:space="0" w:color="auto"/>
            <w:bottom w:val="none" w:sz="0" w:space="0" w:color="auto"/>
            <w:right w:val="none" w:sz="0" w:space="0" w:color="auto"/>
          </w:divBdr>
        </w:div>
        <w:div w:id="958877011">
          <w:marLeft w:val="0"/>
          <w:marRight w:val="0"/>
          <w:marTop w:val="0"/>
          <w:marBottom w:val="0"/>
          <w:divBdr>
            <w:top w:val="none" w:sz="0" w:space="0" w:color="auto"/>
            <w:left w:val="none" w:sz="0" w:space="0" w:color="auto"/>
            <w:bottom w:val="none" w:sz="0" w:space="0" w:color="auto"/>
            <w:right w:val="none" w:sz="0" w:space="0" w:color="auto"/>
          </w:divBdr>
        </w:div>
        <w:div w:id="989360347">
          <w:marLeft w:val="0"/>
          <w:marRight w:val="0"/>
          <w:marTop w:val="0"/>
          <w:marBottom w:val="0"/>
          <w:divBdr>
            <w:top w:val="none" w:sz="0" w:space="0" w:color="auto"/>
            <w:left w:val="none" w:sz="0" w:space="0" w:color="auto"/>
            <w:bottom w:val="none" w:sz="0" w:space="0" w:color="auto"/>
            <w:right w:val="none" w:sz="0" w:space="0" w:color="auto"/>
          </w:divBdr>
        </w:div>
        <w:div w:id="996612293">
          <w:marLeft w:val="0"/>
          <w:marRight w:val="0"/>
          <w:marTop w:val="0"/>
          <w:marBottom w:val="0"/>
          <w:divBdr>
            <w:top w:val="none" w:sz="0" w:space="0" w:color="auto"/>
            <w:left w:val="none" w:sz="0" w:space="0" w:color="auto"/>
            <w:bottom w:val="none" w:sz="0" w:space="0" w:color="auto"/>
            <w:right w:val="none" w:sz="0" w:space="0" w:color="auto"/>
          </w:divBdr>
        </w:div>
        <w:div w:id="1143884800">
          <w:marLeft w:val="0"/>
          <w:marRight w:val="0"/>
          <w:marTop w:val="0"/>
          <w:marBottom w:val="0"/>
          <w:divBdr>
            <w:top w:val="none" w:sz="0" w:space="0" w:color="auto"/>
            <w:left w:val="none" w:sz="0" w:space="0" w:color="auto"/>
            <w:bottom w:val="none" w:sz="0" w:space="0" w:color="auto"/>
            <w:right w:val="none" w:sz="0" w:space="0" w:color="auto"/>
          </w:divBdr>
        </w:div>
        <w:div w:id="1183010435">
          <w:marLeft w:val="0"/>
          <w:marRight w:val="0"/>
          <w:marTop w:val="0"/>
          <w:marBottom w:val="0"/>
          <w:divBdr>
            <w:top w:val="none" w:sz="0" w:space="0" w:color="auto"/>
            <w:left w:val="none" w:sz="0" w:space="0" w:color="auto"/>
            <w:bottom w:val="none" w:sz="0" w:space="0" w:color="auto"/>
            <w:right w:val="none" w:sz="0" w:space="0" w:color="auto"/>
          </w:divBdr>
        </w:div>
        <w:div w:id="1675494397">
          <w:marLeft w:val="0"/>
          <w:marRight w:val="0"/>
          <w:marTop w:val="0"/>
          <w:marBottom w:val="0"/>
          <w:divBdr>
            <w:top w:val="none" w:sz="0" w:space="0" w:color="auto"/>
            <w:left w:val="none" w:sz="0" w:space="0" w:color="auto"/>
            <w:bottom w:val="none" w:sz="0" w:space="0" w:color="auto"/>
            <w:right w:val="none" w:sz="0" w:space="0" w:color="auto"/>
          </w:divBdr>
        </w:div>
        <w:div w:id="1786191739">
          <w:marLeft w:val="0"/>
          <w:marRight w:val="0"/>
          <w:marTop w:val="0"/>
          <w:marBottom w:val="0"/>
          <w:divBdr>
            <w:top w:val="none" w:sz="0" w:space="0" w:color="auto"/>
            <w:left w:val="none" w:sz="0" w:space="0" w:color="auto"/>
            <w:bottom w:val="none" w:sz="0" w:space="0" w:color="auto"/>
            <w:right w:val="none" w:sz="0" w:space="0" w:color="auto"/>
          </w:divBdr>
        </w:div>
      </w:divsChild>
    </w:div>
    <w:div w:id="2045398074">
      <w:bodyDiv w:val="1"/>
      <w:marLeft w:val="0"/>
      <w:marRight w:val="0"/>
      <w:marTop w:val="0"/>
      <w:marBottom w:val="0"/>
      <w:divBdr>
        <w:top w:val="none" w:sz="0" w:space="0" w:color="auto"/>
        <w:left w:val="none" w:sz="0" w:space="0" w:color="auto"/>
        <w:bottom w:val="none" w:sz="0" w:space="0" w:color="auto"/>
        <w:right w:val="none" w:sz="0" w:space="0" w:color="auto"/>
      </w:divBdr>
      <w:divsChild>
        <w:div w:id="791439901">
          <w:marLeft w:val="0"/>
          <w:marRight w:val="0"/>
          <w:marTop w:val="0"/>
          <w:marBottom w:val="0"/>
          <w:divBdr>
            <w:top w:val="none" w:sz="0" w:space="0" w:color="auto"/>
            <w:left w:val="none" w:sz="0" w:space="0" w:color="auto"/>
            <w:bottom w:val="none" w:sz="0" w:space="0" w:color="auto"/>
            <w:right w:val="none" w:sz="0" w:space="0" w:color="auto"/>
          </w:divBdr>
          <w:divsChild>
            <w:div w:id="288513589">
              <w:marLeft w:val="0"/>
              <w:marRight w:val="0"/>
              <w:marTop w:val="0"/>
              <w:marBottom w:val="0"/>
              <w:divBdr>
                <w:top w:val="none" w:sz="0" w:space="0" w:color="auto"/>
                <w:left w:val="none" w:sz="0" w:space="0" w:color="auto"/>
                <w:bottom w:val="none" w:sz="0" w:space="0" w:color="auto"/>
                <w:right w:val="none" w:sz="0" w:space="0" w:color="auto"/>
              </w:divBdr>
              <w:divsChild>
                <w:div w:id="6173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73600">
      <w:bodyDiv w:val="1"/>
      <w:marLeft w:val="0"/>
      <w:marRight w:val="0"/>
      <w:marTop w:val="0"/>
      <w:marBottom w:val="0"/>
      <w:divBdr>
        <w:top w:val="none" w:sz="0" w:space="0" w:color="auto"/>
        <w:left w:val="none" w:sz="0" w:space="0" w:color="auto"/>
        <w:bottom w:val="none" w:sz="0" w:space="0" w:color="auto"/>
        <w:right w:val="none" w:sz="0" w:space="0" w:color="auto"/>
      </w:divBdr>
    </w:div>
    <w:div w:id="2123988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standingsociety.ac.uk/about/fund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derstandingsociety.ac.uk/sites/default/files/downloads/documentation/mainstage/user-guides/mainstage-user-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D9E48-48F1-9B4C-A269-0F6B6771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29042</Words>
  <Characters>165541</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194195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Rhead, Rebecca</dc:creator>
  <cp:keywords/>
  <dc:description/>
  <cp:lastModifiedBy>Goodwin, Laura</cp:lastModifiedBy>
  <cp:revision>2</cp:revision>
  <cp:lastPrinted>2019-01-08T13:59:00Z</cp:lastPrinted>
  <dcterms:created xsi:type="dcterms:W3CDTF">2020-10-07T12:02:00Z</dcterms:created>
  <dcterms:modified xsi:type="dcterms:W3CDTF">2020-10-07T12:02:00Z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zotero-version="5.0.87-beta.1+ee474e33c"&gt;&lt;session id="skp3nzrN"/&gt;&lt;style id="http://www.zotero.org/styles/apa" locale="en-GB"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value="true"/&gt;&lt;/prefs&gt;&lt;/data&gt;</vt:lpwstr>
  </property>
</Properties>
</file>