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6E64" w14:textId="1EEE327A" w:rsidR="00D53D18" w:rsidRPr="00404BF3" w:rsidRDefault="00803AED" w:rsidP="00404BF3">
      <w:pPr>
        <w:spacing w:line="360" w:lineRule="auto"/>
        <w:jc w:val="center"/>
        <w:rPr>
          <w:rFonts w:cstheme="minorHAnsi"/>
          <w:b/>
          <w:lang w:val="en-GB"/>
        </w:rPr>
      </w:pPr>
      <w:bookmarkStart w:id="0" w:name="_Hlk12526586"/>
      <w:bookmarkStart w:id="1" w:name="_Hlk13400138"/>
      <w:r w:rsidRPr="00404BF3">
        <w:rPr>
          <w:rFonts w:cstheme="minorHAnsi"/>
          <w:b/>
          <w:lang w:val="en-GB"/>
        </w:rPr>
        <w:softHyphen/>
      </w:r>
      <w:r w:rsidRPr="00404BF3">
        <w:rPr>
          <w:rFonts w:cstheme="minorHAnsi"/>
          <w:b/>
          <w:lang w:val="en-GB"/>
        </w:rPr>
        <w:softHyphen/>
      </w:r>
      <w:r w:rsidRPr="00404BF3">
        <w:rPr>
          <w:rFonts w:cstheme="minorHAnsi"/>
          <w:b/>
          <w:lang w:val="en-GB"/>
        </w:rPr>
        <w:softHyphen/>
      </w:r>
      <w:r w:rsidR="00583538" w:rsidRPr="00404BF3">
        <w:rPr>
          <w:rFonts w:cstheme="minorHAnsi"/>
          <w:b/>
          <w:lang w:val="en-GB"/>
        </w:rPr>
        <w:t>Altered patterns of compositional and functional</w:t>
      </w:r>
      <w:r w:rsidR="00D53D18" w:rsidRPr="00404BF3">
        <w:rPr>
          <w:rFonts w:cstheme="minorHAnsi"/>
          <w:b/>
          <w:lang w:val="en-GB"/>
        </w:rPr>
        <w:t xml:space="preserve"> </w:t>
      </w:r>
      <w:r w:rsidR="00B85706" w:rsidRPr="00404BF3">
        <w:rPr>
          <w:rFonts w:cstheme="minorHAnsi"/>
          <w:b/>
          <w:lang w:val="en-GB"/>
        </w:rPr>
        <w:t xml:space="preserve">disruption </w:t>
      </w:r>
      <w:r w:rsidR="00583538" w:rsidRPr="00404BF3">
        <w:rPr>
          <w:rFonts w:cstheme="minorHAnsi"/>
          <w:b/>
          <w:lang w:val="en-GB"/>
        </w:rPr>
        <w:t xml:space="preserve">of the gut microbiota </w:t>
      </w:r>
      <w:r w:rsidR="00D53D18" w:rsidRPr="00404BF3">
        <w:rPr>
          <w:rFonts w:cstheme="minorHAnsi"/>
          <w:b/>
          <w:lang w:val="en-GB"/>
        </w:rPr>
        <w:t>in typhoid fever and non-typhoidal febrile illness</w:t>
      </w:r>
      <w:bookmarkEnd w:id="0"/>
    </w:p>
    <w:p w14:paraId="624DCC16" w14:textId="0F67CD7A" w:rsidR="0007259E" w:rsidRPr="00404BF3" w:rsidRDefault="00583538" w:rsidP="00FB57CF">
      <w:pPr>
        <w:spacing w:line="360" w:lineRule="auto"/>
        <w:jc w:val="both"/>
        <w:rPr>
          <w:rFonts w:cstheme="minorHAnsi"/>
          <w:lang w:val="en-GB"/>
        </w:rPr>
      </w:pPr>
      <w:r w:rsidRPr="00404BF3">
        <w:rPr>
          <w:rFonts w:cstheme="minorHAnsi"/>
          <w:lang w:val="en-GB"/>
        </w:rPr>
        <w:t>B.W. H</w:t>
      </w:r>
      <w:r w:rsidR="0007259E" w:rsidRPr="00404BF3">
        <w:rPr>
          <w:rFonts w:cstheme="minorHAnsi"/>
          <w:lang w:val="en-GB"/>
        </w:rPr>
        <w:t>aak</w:t>
      </w:r>
      <w:r w:rsidR="00D53D18" w:rsidRPr="00404BF3">
        <w:rPr>
          <w:rFonts w:cstheme="minorHAnsi"/>
          <w:vertAlign w:val="superscript"/>
          <w:lang w:val="en-GB"/>
        </w:rPr>
        <w:t>1</w:t>
      </w:r>
      <w:r w:rsidR="0007259E" w:rsidRPr="00404BF3">
        <w:rPr>
          <w:rFonts w:cstheme="minorHAnsi"/>
          <w:lang w:val="en-GB"/>
        </w:rPr>
        <w:t xml:space="preserve">,  </w:t>
      </w:r>
      <w:r w:rsidR="00D53D18" w:rsidRPr="00404BF3">
        <w:rPr>
          <w:rFonts w:cstheme="minorHAnsi"/>
          <w:lang w:val="en-GB"/>
        </w:rPr>
        <w:t>H.K. de Jong</w:t>
      </w:r>
      <w:r w:rsidR="00D53D18" w:rsidRPr="00404BF3">
        <w:rPr>
          <w:rFonts w:cstheme="minorHAnsi"/>
          <w:vertAlign w:val="superscript"/>
          <w:lang w:val="en-GB"/>
        </w:rPr>
        <w:t>2</w:t>
      </w:r>
      <w:r w:rsidR="002327C1" w:rsidRPr="00404BF3">
        <w:rPr>
          <w:rFonts w:cstheme="minorHAnsi"/>
          <w:lang w:val="en-GB"/>
        </w:rPr>
        <w:t>,</w:t>
      </w:r>
      <w:r w:rsidR="007F05D6" w:rsidRPr="00404BF3">
        <w:rPr>
          <w:rFonts w:cstheme="minorHAnsi"/>
          <w:lang w:val="en-GB"/>
        </w:rPr>
        <w:t xml:space="preserve"> </w:t>
      </w:r>
      <w:r w:rsidRPr="00404BF3">
        <w:rPr>
          <w:rFonts w:cstheme="minorHAnsi"/>
          <w:lang w:val="en-GB"/>
        </w:rPr>
        <w:t xml:space="preserve"> </w:t>
      </w:r>
      <w:r w:rsidR="00F56245" w:rsidRPr="00404BF3">
        <w:rPr>
          <w:rFonts w:cstheme="minorHAnsi"/>
          <w:lang w:val="en-GB"/>
        </w:rPr>
        <w:t>S. Kostidis</w:t>
      </w:r>
      <w:r w:rsidR="00480A49" w:rsidRPr="00404BF3">
        <w:rPr>
          <w:rFonts w:cstheme="minorHAnsi"/>
          <w:vertAlign w:val="superscript"/>
          <w:lang w:val="en-GB"/>
        </w:rPr>
        <w:t>3</w:t>
      </w:r>
      <w:r w:rsidR="00F56245" w:rsidRPr="00404BF3">
        <w:rPr>
          <w:rFonts w:cstheme="minorHAnsi"/>
          <w:lang w:val="en-GB"/>
        </w:rPr>
        <w:t xml:space="preserve">, </w:t>
      </w:r>
      <w:r w:rsidR="00342A70" w:rsidRPr="00404BF3">
        <w:rPr>
          <w:rFonts w:cstheme="minorHAnsi"/>
          <w:lang w:val="en-GB"/>
        </w:rPr>
        <w:t>M.A. Giera</w:t>
      </w:r>
      <w:r w:rsidR="00480A49" w:rsidRPr="00404BF3">
        <w:rPr>
          <w:rFonts w:cstheme="minorHAnsi"/>
          <w:vertAlign w:val="superscript"/>
          <w:lang w:val="en-GB"/>
        </w:rPr>
        <w:t>3</w:t>
      </w:r>
      <w:r w:rsidR="00342A70" w:rsidRPr="00404BF3">
        <w:rPr>
          <w:rFonts w:cstheme="minorHAnsi"/>
          <w:lang w:val="en-GB"/>
        </w:rPr>
        <w:t xml:space="preserve">, </w:t>
      </w:r>
      <w:r w:rsidR="00990482" w:rsidRPr="00404BF3">
        <w:rPr>
          <w:rFonts w:cstheme="minorHAnsi"/>
          <w:lang w:val="en-GB"/>
        </w:rPr>
        <w:t>R.R. Maude</w:t>
      </w:r>
      <w:r w:rsidR="00990482" w:rsidRPr="00404BF3">
        <w:rPr>
          <w:rFonts w:cstheme="minorHAnsi"/>
          <w:vertAlign w:val="superscript"/>
          <w:lang w:val="en-GB"/>
        </w:rPr>
        <w:t>4</w:t>
      </w:r>
      <w:r w:rsidR="00AF7045" w:rsidRPr="00404BF3">
        <w:rPr>
          <w:rFonts w:cstheme="minorHAnsi"/>
          <w:lang w:val="en-GB"/>
        </w:rPr>
        <w:t xml:space="preserve">, </w:t>
      </w:r>
      <w:r w:rsidR="00990482" w:rsidRPr="00404BF3">
        <w:rPr>
          <w:rFonts w:cstheme="minorHAnsi"/>
          <w:lang w:val="en-GB"/>
        </w:rPr>
        <w:t>R. Samad</w:t>
      </w:r>
      <w:r w:rsidR="00354849" w:rsidRPr="00404BF3">
        <w:rPr>
          <w:rFonts w:cstheme="minorHAnsi"/>
          <w:vertAlign w:val="superscript"/>
          <w:lang w:val="en-GB"/>
        </w:rPr>
        <w:t>5</w:t>
      </w:r>
      <w:r w:rsidR="00AF7045" w:rsidRPr="00404BF3">
        <w:rPr>
          <w:rFonts w:cstheme="minorHAnsi"/>
          <w:lang w:val="en-GB"/>
        </w:rPr>
        <w:t>, L</w:t>
      </w:r>
      <w:r w:rsidR="00990482" w:rsidRPr="00404BF3">
        <w:rPr>
          <w:rFonts w:cstheme="minorHAnsi"/>
          <w:lang w:val="en-GB"/>
        </w:rPr>
        <w:t>. Wijedoru</w:t>
      </w:r>
      <w:r w:rsidR="00990482" w:rsidRPr="00404BF3">
        <w:rPr>
          <w:rFonts w:cstheme="minorHAnsi"/>
          <w:vertAlign w:val="superscript"/>
          <w:lang w:val="en-GB"/>
        </w:rPr>
        <w:t>4</w:t>
      </w:r>
      <w:r w:rsidR="00AF7045" w:rsidRPr="00404BF3">
        <w:rPr>
          <w:rFonts w:cstheme="minorHAnsi"/>
          <w:lang w:val="en-GB"/>
        </w:rPr>
        <w:t xml:space="preserve">, </w:t>
      </w:r>
      <w:r w:rsidR="00990482" w:rsidRPr="00404BF3">
        <w:rPr>
          <w:rFonts w:cstheme="minorHAnsi"/>
          <w:lang w:val="en-GB"/>
        </w:rPr>
        <w:t>A. Ghose</w:t>
      </w:r>
      <w:r w:rsidR="00354849" w:rsidRPr="00404BF3">
        <w:rPr>
          <w:rFonts w:cstheme="minorHAnsi"/>
          <w:vertAlign w:val="superscript"/>
          <w:lang w:val="en-GB"/>
        </w:rPr>
        <w:t>5</w:t>
      </w:r>
      <w:r w:rsidR="00990482" w:rsidRPr="00404BF3">
        <w:rPr>
          <w:rFonts w:cstheme="minorHAnsi"/>
          <w:lang w:val="en-GB"/>
        </w:rPr>
        <w:t xml:space="preserve">, </w:t>
      </w:r>
      <w:r w:rsidRPr="00404BF3">
        <w:rPr>
          <w:rFonts w:cstheme="minorHAnsi"/>
          <w:lang w:val="en-GB"/>
        </w:rPr>
        <w:t>M</w:t>
      </w:r>
      <w:r w:rsidR="00342A70" w:rsidRPr="00404BF3">
        <w:rPr>
          <w:rFonts w:cstheme="minorHAnsi"/>
          <w:lang w:val="en-GB"/>
        </w:rPr>
        <w:t>.</w:t>
      </w:r>
      <w:r w:rsidRPr="00404BF3">
        <w:rPr>
          <w:rFonts w:cstheme="minorHAnsi"/>
          <w:lang w:val="en-GB"/>
        </w:rPr>
        <w:t>A</w:t>
      </w:r>
      <w:r w:rsidR="00342A70" w:rsidRPr="00404BF3">
        <w:rPr>
          <w:rFonts w:cstheme="minorHAnsi"/>
          <w:lang w:val="en-GB"/>
        </w:rPr>
        <w:t>.</w:t>
      </w:r>
      <w:r w:rsidRPr="00404BF3">
        <w:rPr>
          <w:rFonts w:cstheme="minorHAnsi"/>
          <w:lang w:val="en-GB"/>
        </w:rPr>
        <w:t xml:space="preserve"> Faiz</w:t>
      </w:r>
      <w:r w:rsidR="002B6D34">
        <w:rPr>
          <w:rFonts w:cstheme="minorHAnsi"/>
          <w:vertAlign w:val="superscript"/>
          <w:lang w:val="en-GB"/>
        </w:rPr>
        <w:t>4</w:t>
      </w:r>
      <w:r w:rsidR="00354849" w:rsidRPr="00404BF3">
        <w:rPr>
          <w:rFonts w:cstheme="minorHAnsi"/>
          <w:vertAlign w:val="superscript"/>
          <w:lang w:val="en-GB"/>
        </w:rPr>
        <w:t>,6</w:t>
      </w:r>
      <w:r w:rsidRPr="00404BF3">
        <w:rPr>
          <w:rFonts w:cstheme="minorHAnsi"/>
          <w:lang w:val="en-GB"/>
        </w:rPr>
        <w:t xml:space="preserve">, </w:t>
      </w:r>
      <w:r w:rsidR="00D53D18" w:rsidRPr="00404BF3">
        <w:rPr>
          <w:rFonts w:cstheme="minorHAnsi"/>
          <w:lang w:val="en-GB"/>
        </w:rPr>
        <w:t>C.M. Parry</w:t>
      </w:r>
      <w:r w:rsidR="00354849" w:rsidRPr="00404BF3">
        <w:rPr>
          <w:rFonts w:cstheme="minorHAnsi"/>
          <w:vertAlign w:val="superscript"/>
          <w:lang w:val="en-GB"/>
        </w:rPr>
        <w:t>4,7,8</w:t>
      </w:r>
      <w:r w:rsidR="00587BEE">
        <w:rPr>
          <w:rFonts w:cstheme="minorHAnsi"/>
          <w:vertAlign w:val="superscript"/>
          <w:lang w:val="en-GB"/>
        </w:rPr>
        <w:t>,9</w:t>
      </w:r>
      <w:r w:rsidR="00D53D18" w:rsidRPr="00404BF3">
        <w:rPr>
          <w:rFonts w:cstheme="minorHAnsi"/>
          <w:lang w:val="en-GB"/>
        </w:rPr>
        <w:t xml:space="preserve">, </w:t>
      </w:r>
      <w:r w:rsidR="0007259E" w:rsidRPr="00404BF3">
        <w:rPr>
          <w:rFonts w:cstheme="minorHAnsi"/>
          <w:lang w:val="en-GB"/>
        </w:rPr>
        <w:t>W</w:t>
      </w:r>
      <w:r w:rsidR="002327C1" w:rsidRPr="00404BF3">
        <w:rPr>
          <w:rFonts w:cstheme="minorHAnsi"/>
          <w:lang w:val="en-GB"/>
        </w:rPr>
        <w:t>.J. W</w:t>
      </w:r>
      <w:r w:rsidR="0007259E" w:rsidRPr="00404BF3">
        <w:rPr>
          <w:rFonts w:cstheme="minorHAnsi"/>
          <w:lang w:val="en-GB"/>
        </w:rPr>
        <w:t>iersinga</w:t>
      </w:r>
      <w:r w:rsidR="00D53D18" w:rsidRPr="00404BF3">
        <w:rPr>
          <w:rFonts w:cstheme="minorHAnsi"/>
          <w:vertAlign w:val="superscript"/>
          <w:lang w:val="en-GB"/>
        </w:rPr>
        <w:t>1,2</w:t>
      </w:r>
    </w:p>
    <w:p w14:paraId="749B40D2" w14:textId="7695E5E4" w:rsidR="00F33DAB" w:rsidRPr="00404BF3" w:rsidRDefault="00315DE7" w:rsidP="00EC048C">
      <w:pPr>
        <w:spacing w:line="276" w:lineRule="auto"/>
        <w:jc w:val="both"/>
        <w:rPr>
          <w:rFonts w:cstheme="minorHAnsi"/>
          <w:lang w:val="en-GB"/>
        </w:rPr>
      </w:pPr>
      <w:r w:rsidRPr="00404BF3">
        <w:rPr>
          <w:rFonts w:cstheme="minorHAnsi"/>
          <w:lang w:val="en-GB"/>
        </w:rPr>
        <w:t xml:space="preserve">1. </w:t>
      </w:r>
      <w:proofErr w:type="spellStart"/>
      <w:r w:rsidRPr="00404BF3">
        <w:rPr>
          <w:rFonts w:cstheme="minorHAnsi"/>
          <w:lang w:val="en-GB"/>
        </w:rPr>
        <w:t>Center</w:t>
      </w:r>
      <w:proofErr w:type="spellEnd"/>
      <w:r w:rsidRPr="00404BF3">
        <w:rPr>
          <w:rFonts w:cstheme="minorHAnsi"/>
          <w:lang w:val="en-GB"/>
        </w:rPr>
        <w:t xml:space="preserve"> for Experimental and Molecular Medicine</w:t>
      </w:r>
      <w:r w:rsidR="00097164" w:rsidRPr="00404BF3">
        <w:rPr>
          <w:rFonts w:cstheme="minorHAnsi"/>
          <w:lang w:val="en-GB"/>
        </w:rPr>
        <w:t xml:space="preserve"> (CEMM)</w:t>
      </w:r>
      <w:r w:rsidRPr="00404BF3">
        <w:rPr>
          <w:rFonts w:cstheme="minorHAnsi"/>
          <w:lang w:val="en-GB"/>
        </w:rPr>
        <w:t xml:space="preserve">, Amsterdam University Medical </w:t>
      </w:r>
      <w:proofErr w:type="spellStart"/>
      <w:r w:rsidRPr="00404BF3">
        <w:rPr>
          <w:rFonts w:cstheme="minorHAnsi"/>
          <w:lang w:val="en-GB"/>
        </w:rPr>
        <w:t>Center</w:t>
      </w:r>
      <w:r w:rsidR="00097164" w:rsidRPr="00404BF3">
        <w:rPr>
          <w:rFonts w:cstheme="minorHAnsi"/>
          <w:lang w:val="en-GB"/>
        </w:rPr>
        <w:t>s</w:t>
      </w:r>
      <w:proofErr w:type="spellEnd"/>
      <w:r w:rsidRPr="00404BF3">
        <w:rPr>
          <w:rFonts w:cstheme="minorHAnsi"/>
          <w:lang w:val="en-GB"/>
        </w:rPr>
        <w:t>, Location AMC, Amsterdam, The Netherlands</w:t>
      </w:r>
      <w:r w:rsidR="00F33DAB" w:rsidRPr="00404BF3">
        <w:rPr>
          <w:rFonts w:cstheme="minorHAnsi"/>
          <w:lang w:val="en-GB"/>
        </w:rPr>
        <w:t xml:space="preserve"> </w:t>
      </w:r>
    </w:p>
    <w:p w14:paraId="67C67697" w14:textId="48EDCDCE" w:rsidR="00D25DA8" w:rsidRPr="00404BF3" w:rsidRDefault="00D53D18" w:rsidP="00EC048C">
      <w:pPr>
        <w:spacing w:line="276" w:lineRule="auto"/>
        <w:jc w:val="both"/>
        <w:rPr>
          <w:rFonts w:cstheme="minorHAnsi"/>
          <w:lang w:val="en-GB"/>
        </w:rPr>
      </w:pPr>
      <w:r w:rsidRPr="00404BF3">
        <w:rPr>
          <w:rFonts w:cstheme="minorHAnsi"/>
          <w:lang w:val="en-GB"/>
        </w:rPr>
        <w:t>2</w:t>
      </w:r>
      <w:r w:rsidR="00315DE7" w:rsidRPr="00404BF3">
        <w:rPr>
          <w:rFonts w:cstheme="minorHAnsi"/>
          <w:lang w:val="en-GB"/>
        </w:rPr>
        <w:t xml:space="preserve">. Department of Medicine, Division of Infectious Diseases, Amsterdam University Medical </w:t>
      </w:r>
      <w:proofErr w:type="spellStart"/>
      <w:r w:rsidR="00315DE7" w:rsidRPr="00404BF3">
        <w:rPr>
          <w:rFonts w:cstheme="minorHAnsi"/>
          <w:lang w:val="en-GB"/>
        </w:rPr>
        <w:t>Center</w:t>
      </w:r>
      <w:r w:rsidR="00D42A35" w:rsidRPr="00404BF3">
        <w:rPr>
          <w:rFonts w:cstheme="minorHAnsi"/>
          <w:lang w:val="en-GB"/>
        </w:rPr>
        <w:t>s</w:t>
      </w:r>
      <w:proofErr w:type="spellEnd"/>
      <w:r w:rsidR="00315DE7" w:rsidRPr="00404BF3">
        <w:rPr>
          <w:rFonts w:cstheme="minorHAnsi"/>
          <w:lang w:val="en-GB"/>
        </w:rPr>
        <w:t>, Location AMC, Amsterdam, The Netherlands</w:t>
      </w:r>
    </w:p>
    <w:p w14:paraId="52C86901" w14:textId="577E6D52" w:rsidR="00342A70" w:rsidRPr="00404BF3" w:rsidRDefault="00480A49" w:rsidP="00EC048C">
      <w:pPr>
        <w:spacing w:line="276" w:lineRule="auto"/>
        <w:jc w:val="both"/>
        <w:rPr>
          <w:rFonts w:cstheme="minorHAnsi"/>
          <w:lang w:val="en-GB"/>
        </w:rPr>
      </w:pPr>
      <w:r w:rsidRPr="00404BF3">
        <w:rPr>
          <w:rFonts w:cstheme="minorHAnsi"/>
          <w:lang w:val="en-GB"/>
        </w:rPr>
        <w:t>3</w:t>
      </w:r>
      <w:r w:rsidR="00342A70" w:rsidRPr="00404BF3">
        <w:rPr>
          <w:rFonts w:cstheme="minorHAnsi"/>
          <w:lang w:val="en-GB"/>
        </w:rPr>
        <w:t xml:space="preserve">. </w:t>
      </w:r>
      <w:proofErr w:type="spellStart"/>
      <w:r w:rsidR="00803AED" w:rsidRPr="00404BF3">
        <w:rPr>
          <w:rFonts w:cstheme="minorHAnsi"/>
          <w:lang w:val="en-GB"/>
        </w:rPr>
        <w:t>Center</w:t>
      </w:r>
      <w:proofErr w:type="spellEnd"/>
      <w:r w:rsidR="00803AED" w:rsidRPr="00404BF3">
        <w:rPr>
          <w:rFonts w:cstheme="minorHAnsi"/>
          <w:lang w:val="en-GB"/>
        </w:rPr>
        <w:t xml:space="preserve"> for Proteomics and Metabolomics</w:t>
      </w:r>
      <w:r w:rsidR="00097164" w:rsidRPr="00404BF3">
        <w:rPr>
          <w:rFonts w:cstheme="minorHAnsi"/>
          <w:lang w:val="en-GB"/>
        </w:rPr>
        <w:t>,</w:t>
      </w:r>
      <w:r w:rsidR="00803AED" w:rsidRPr="00404BF3">
        <w:rPr>
          <w:rFonts w:cstheme="minorHAnsi"/>
          <w:lang w:val="en-GB"/>
        </w:rPr>
        <w:t xml:space="preserve"> Leiden University Medical </w:t>
      </w:r>
      <w:proofErr w:type="spellStart"/>
      <w:r w:rsidR="00803AED" w:rsidRPr="00404BF3">
        <w:rPr>
          <w:rFonts w:cstheme="minorHAnsi"/>
          <w:lang w:val="en-GB"/>
        </w:rPr>
        <w:t>Center</w:t>
      </w:r>
      <w:proofErr w:type="spellEnd"/>
      <w:r w:rsidR="00D42A35" w:rsidRPr="00404BF3">
        <w:rPr>
          <w:rFonts w:cstheme="minorHAnsi"/>
          <w:lang w:val="en-GB"/>
        </w:rPr>
        <w:t>,</w:t>
      </w:r>
      <w:r w:rsidR="00803AED" w:rsidRPr="00404BF3">
        <w:rPr>
          <w:rFonts w:cstheme="minorHAnsi"/>
          <w:lang w:val="en-GB"/>
        </w:rPr>
        <w:t xml:space="preserve"> Leiden, The Netherlands</w:t>
      </w:r>
    </w:p>
    <w:p w14:paraId="0ADBF6AA" w14:textId="168FDE82" w:rsidR="00354849" w:rsidRPr="00404BF3" w:rsidRDefault="00354849" w:rsidP="00EC048C">
      <w:pPr>
        <w:spacing w:line="276" w:lineRule="auto"/>
        <w:jc w:val="both"/>
        <w:rPr>
          <w:rFonts w:cstheme="minorHAnsi"/>
          <w:lang w:val="en-GB"/>
        </w:rPr>
      </w:pPr>
      <w:r w:rsidRPr="00404BF3">
        <w:rPr>
          <w:rFonts w:cstheme="minorHAnsi"/>
          <w:lang w:val="en-GB"/>
        </w:rPr>
        <w:t xml:space="preserve">4. Mahidol-Oxford Tropical Medicine Research Unit (MORU), Faculty of Tropical Medicine, Mahidol University, Bangkok, Thailand </w:t>
      </w:r>
    </w:p>
    <w:p w14:paraId="63BDA5C2" w14:textId="1F5AB487" w:rsidR="00354849" w:rsidRPr="00404BF3" w:rsidRDefault="00354849" w:rsidP="00EC048C">
      <w:pPr>
        <w:spacing w:line="276" w:lineRule="auto"/>
        <w:jc w:val="both"/>
        <w:rPr>
          <w:rFonts w:cstheme="minorHAnsi"/>
          <w:bCs/>
          <w:lang w:val="en-GB"/>
        </w:rPr>
      </w:pPr>
      <w:r w:rsidRPr="00404BF3">
        <w:rPr>
          <w:rFonts w:cstheme="minorHAnsi"/>
          <w:bCs/>
          <w:lang w:val="en-GB"/>
        </w:rPr>
        <w:t>5. Chittagong Medical College Hospital, Chittagong, Bangladesh</w:t>
      </w:r>
    </w:p>
    <w:p w14:paraId="7064B4C7" w14:textId="550BA201" w:rsidR="00480A49" w:rsidRPr="00404BF3" w:rsidRDefault="00354849" w:rsidP="00EC048C">
      <w:pPr>
        <w:spacing w:line="276" w:lineRule="auto"/>
        <w:jc w:val="both"/>
        <w:rPr>
          <w:rFonts w:cstheme="minorHAnsi"/>
          <w:lang w:val="en-GB"/>
        </w:rPr>
      </w:pPr>
      <w:r w:rsidRPr="00404BF3">
        <w:rPr>
          <w:rFonts w:cstheme="minorHAnsi"/>
          <w:bCs/>
          <w:lang w:val="en-GB"/>
        </w:rPr>
        <w:t>6. Dev Care Foundation, Dhaka, Bangladesh</w:t>
      </w:r>
    </w:p>
    <w:p w14:paraId="43A3A9B6" w14:textId="3A52E5BE" w:rsidR="00D53D18" w:rsidRPr="00404BF3" w:rsidRDefault="00587BEE" w:rsidP="00EC048C">
      <w:pPr>
        <w:spacing w:line="276" w:lineRule="auto"/>
        <w:jc w:val="both"/>
        <w:rPr>
          <w:rFonts w:cstheme="minorHAnsi"/>
          <w:b/>
          <w:lang w:val="en-GB"/>
        </w:rPr>
      </w:pPr>
      <w:r>
        <w:rPr>
          <w:rFonts w:cstheme="minorHAnsi"/>
          <w:lang w:val="en-GB"/>
        </w:rPr>
        <w:t>7</w:t>
      </w:r>
      <w:r w:rsidR="00D53D18" w:rsidRPr="00404BF3">
        <w:rPr>
          <w:rFonts w:cstheme="minorHAnsi"/>
          <w:lang w:val="en-GB"/>
        </w:rPr>
        <w:t xml:space="preserve">. Liverpool School of Tropical Medicine, Liverpool, United Kingdom </w:t>
      </w:r>
    </w:p>
    <w:p w14:paraId="3413DC5F" w14:textId="77777777" w:rsidR="00587BEE" w:rsidRDefault="00587BEE" w:rsidP="00587BEE">
      <w:pPr>
        <w:spacing w:line="276" w:lineRule="auto"/>
        <w:jc w:val="both"/>
        <w:rPr>
          <w:rFonts w:cstheme="minorHAnsi"/>
          <w:lang w:val="en-GB"/>
        </w:rPr>
      </w:pPr>
      <w:r>
        <w:rPr>
          <w:rFonts w:cstheme="minorHAnsi"/>
          <w:lang w:val="en-GB"/>
        </w:rPr>
        <w:t>8. Institute of Infection and Global Health, University of Liverpool, United Kingdom</w:t>
      </w:r>
    </w:p>
    <w:p w14:paraId="78F9FE87" w14:textId="7B4979B1" w:rsidR="00587BEE" w:rsidRPr="00404BF3" w:rsidRDefault="00587BEE" w:rsidP="00587BEE">
      <w:pPr>
        <w:spacing w:line="276" w:lineRule="auto"/>
        <w:jc w:val="both"/>
        <w:rPr>
          <w:rFonts w:cstheme="minorHAnsi"/>
          <w:b/>
          <w:lang w:val="en-GB"/>
        </w:rPr>
      </w:pPr>
      <w:r>
        <w:rPr>
          <w:rFonts w:cstheme="minorHAnsi"/>
          <w:lang w:val="en-GB"/>
        </w:rPr>
        <w:t xml:space="preserve">9. School </w:t>
      </w:r>
      <w:r w:rsidR="005A573D">
        <w:rPr>
          <w:rFonts w:cstheme="minorHAnsi"/>
          <w:lang w:val="en-GB"/>
        </w:rPr>
        <w:t>o</w:t>
      </w:r>
      <w:r>
        <w:rPr>
          <w:rFonts w:cstheme="minorHAnsi"/>
          <w:lang w:val="en-GB"/>
        </w:rPr>
        <w:t>f Tropical Medicine and Global Health, Nagasaki University, Nagasaki, Japan</w:t>
      </w:r>
    </w:p>
    <w:p w14:paraId="2DA25A87" w14:textId="2AC250A2" w:rsidR="00404BF3" w:rsidRDefault="00404BF3" w:rsidP="00404BF3">
      <w:pPr>
        <w:spacing w:line="360" w:lineRule="auto"/>
        <w:jc w:val="both"/>
        <w:rPr>
          <w:rFonts w:cstheme="minorHAnsi"/>
          <w:b/>
          <w:bCs/>
          <w:lang w:val="en-GB"/>
        </w:rPr>
      </w:pPr>
    </w:p>
    <w:p w14:paraId="7B9C17F6" w14:textId="3954930B" w:rsidR="00404BF3" w:rsidRPr="00404BF3" w:rsidRDefault="00404BF3" w:rsidP="00404BF3">
      <w:pPr>
        <w:spacing w:line="360" w:lineRule="auto"/>
        <w:jc w:val="both"/>
        <w:rPr>
          <w:rFonts w:cstheme="minorHAnsi"/>
          <w:lang w:val="en-GB"/>
        </w:rPr>
      </w:pPr>
      <w:r>
        <w:rPr>
          <w:rFonts w:cstheme="minorHAnsi"/>
          <w:b/>
          <w:bCs/>
          <w:lang w:val="en-GB"/>
        </w:rPr>
        <w:t xml:space="preserve">Word count: </w:t>
      </w:r>
      <w:r>
        <w:rPr>
          <w:rFonts w:cstheme="minorHAnsi"/>
          <w:lang w:val="en-GB"/>
        </w:rPr>
        <w:t>28</w:t>
      </w:r>
      <w:r w:rsidR="004D040B">
        <w:rPr>
          <w:rFonts w:cstheme="minorHAnsi"/>
          <w:lang w:val="en-GB"/>
        </w:rPr>
        <w:t>54</w:t>
      </w:r>
      <w:r>
        <w:rPr>
          <w:rFonts w:cstheme="minorHAnsi"/>
          <w:lang w:val="en-GB"/>
        </w:rPr>
        <w:t xml:space="preserve"> words</w:t>
      </w:r>
    </w:p>
    <w:p w14:paraId="7F2D188F" w14:textId="203F0B54" w:rsidR="00404BF3" w:rsidRPr="00404BF3" w:rsidRDefault="00404BF3" w:rsidP="00404BF3">
      <w:pPr>
        <w:spacing w:line="360" w:lineRule="auto"/>
        <w:jc w:val="both"/>
        <w:rPr>
          <w:rFonts w:cstheme="minorHAnsi"/>
          <w:b/>
          <w:bCs/>
          <w:lang w:val="en-GB"/>
        </w:rPr>
      </w:pPr>
      <w:r w:rsidRPr="00404BF3">
        <w:rPr>
          <w:rFonts w:cstheme="minorHAnsi"/>
          <w:b/>
          <w:bCs/>
          <w:lang w:val="en-GB"/>
        </w:rPr>
        <w:t xml:space="preserve">Key points: </w:t>
      </w:r>
      <w:r w:rsidRPr="00404BF3">
        <w:rPr>
          <w:rFonts w:cstheme="minorHAnsi"/>
          <w:lang w:val="en-GB"/>
        </w:rPr>
        <w:t>microbiota, typhoid fever, colonization resistance, short-chain fatty acids</w:t>
      </w:r>
    </w:p>
    <w:p w14:paraId="1688311E" w14:textId="4345EB91" w:rsidR="00404BF3" w:rsidRPr="00404BF3" w:rsidRDefault="00404BF3" w:rsidP="00404BF3">
      <w:pPr>
        <w:spacing w:line="276" w:lineRule="auto"/>
        <w:jc w:val="both"/>
        <w:rPr>
          <w:rFonts w:cstheme="minorHAnsi"/>
          <w:b/>
          <w:bCs/>
          <w:lang w:val="en-GB"/>
        </w:rPr>
      </w:pPr>
      <w:r w:rsidRPr="00404BF3">
        <w:rPr>
          <w:rFonts w:cstheme="minorHAnsi"/>
          <w:b/>
          <w:bCs/>
          <w:lang w:val="en-GB"/>
        </w:rPr>
        <w:t xml:space="preserve">Running title: </w:t>
      </w:r>
      <w:r w:rsidRPr="00404BF3">
        <w:rPr>
          <w:rFonts w:cstheme="minorHAnsi"/>
          <w:bCs/>
          <w:lang w:val="en-GB"/>
        </w:rPr>
        <w:t>Gut microbiota in typhoid fever</w:t>
      </w:r>
    </w:p>
    <w:p w14:paraId="0355757D" w14:textId="77777777" w:rsidR="00404BF3" w:rsidRDefault="00404BF3" w:rsidP="00EC048C">
      <w:pPr>
        <w:spacing w:line="276" w:lineRule="auto"/>
        <w:jc w:val="both"/>
        <w:rPr>
          <w:rFonts w:cstheme="minorHAnsi"/>
          <w:b/>
          <w:bCs/>
          <w:lang w:val="en-GB"/>
        </w:rPr>
      </w:pPr>
    </w:p>
    <w:p w14:paraId="4E2FD202" w14:textId="2E538FEB" w:rsidR="00ED3D41" w:rsidRPr="00404BF3" w:rsidRDefault="00ED3D41" w:rsidP="00EC048C">
      <w:pPr>
        <w:spacing w:line="276" w:lineRule="auto"/>
        <w:jc w:val="both"/>
        <w:rPr>
          <w:rStyle w:val="Hyperlink"/>
          <w:rFonts w:cstheme="minorHAnsi"/>
          <w:b/>
          <w:bCs/>
          <w:color w:val="auto"/>
          <w:u w:val="none"/>
          <w:lang w:val="en-GB"/>
        </w:rPr>
      </w:pPr>
      <w:r w:rsidRPr="00404BF3">
        <w:rPr>
          <w:rFonts w:cstheme="minorHAnsi"/>
          <w:b/>
          <w:bCs/>
          <w:lang w:val="en-GB"/>
        </w:rPr>
        <w:t>Corresponding author:</w:t>
      </w:r>
      <w:r w:rsidR="00404BF3" w:rsidRPr="00404BF3">
        <w:rPr>
          <w:rFonts w:cstheme="minorHAnsi"/>
          <w:b/>
          <w:bCs/>
          <w:lang w:val="en-GB"/>
        </w:rPr>
        <w:t xml:space="preserve"> </w:t>
      </w:r>
      <w:r w:rsidRPr="00404BF3">
        <w:rPr>
          <w:rFonts w:cstheme="minorHAnsi"/>
          <w:lang w:val="en-GB"/>
        </w:rPr>
        <w:t xml:space="preserve">Bastiaan W. Haak. </w:t>
      </w:r>
      <w:proofErr w:type="spellStart"/>
      <w:r w:rsidRPr="00404BF3">
        <w:rPr>
          <w:rFonts w:cstheme="minorHAnsi"/>
          <w:lang w:val="en-GB"/>
        </w:rPr>
        <w:t>Center</w:t>
      </w:r>
      <w:proofErr w:type="spellEnd"/>
      <w:r w:rsidRPr="00404BF3">
        <w:rPr>
          <w:rFonts w:cstheme="minorHAnsi"/>
          <w:lang w:val="en-GB"/>
        </w:rPr>
        <w:t xml:space="preserve"> for Experimental and Molecular Medicine (CEMM), Amsterdam University Medical </w:t>
      </w:r>
      <w:proofErr w:type="spellStart"/>
      <w:r w:rsidRPr="00404BF3">
        <w:rPr>
          <w:rFonts w:cstheme="minorHAnsi"/>
          <w:lang w:val="en-GB"/>
        </w:rPr>
        <w:t>Centers</w:t>
      </w:r>
      <w:proofErr w:type="spellEnd"/>
      <w:r w:rsidRPr="00404BF3">
        <w:rPr>
          <w:rFonts w:cstheme="minorHAnsi"/>
          <w:lang w:val="en-GB"/>
        </w:rPr>
        <w:t xml:space="preserve">, Location AMC, Room G2-105, </w:t>
      </w:r>
      <w:proofErr w:type="spellStart"/>
      <w:r w:rsidRPr="00404BF3">
        <w:rPr>
          <w:rFonts w:cstheme="minorHAnsi"/>
          <w:lang w:val="en-GB"/>
        </w:rPr>
        <w:t>Meibergdreef</w:t>
      </w:r>
      <w:proofErr w:type="spellEnd"/>
      <w:r w:rsidRPr="00404BF3">
        <w:rPr>
          <w:rFonts w:cstheme="minorHAnsi"/>
          <w:lang w:val="en-GB"/>
        </w:rPr>
        <w:t xml:space="preserve"> 9, 1105 AZ Amsterdam, The Netherlands. </w:t>
      </w:r>
      <w:hyperlink r:id="rId8" w:history="1">
        <w:r w:rsidR="005B1816" w:rsidRPr="003F391E">
          <w:rPr>
            <w:rStyle w:val="Hyperlink"/>
            <w:rFonts w:cstheme="minorHAnsi"/>
            <w:lang w:val="en-GB"/>
          </w:rPr>
          <w:t>b.w.haak@amsterdamumc.nl</w:t>
        </w:r>
      </w:hyperlink>
      <w:r w:rsidR="005B1816">
        <w:rPr>
          <w:rFonts w:cstheme="minorHAnsi"/>
          <w:lang w:val="en-GB"/>
        </w:rPr>
        <w:tab/>
      </w:r>
      <w:hyperlink r:id="rId9" w:history="1"/>
    </w:p>
    <w:p w14:paraId="52D9F324" w14:textId="1CEF37DE" w:rsidR="00EC048C" w:rsidRPr="00404BF3" w:rsidRDefault="00EC048C" w:rsidP="00EC048C">
      <w:pPr>
        <w:spacing w:line="276" w:lineRule="auto"/>
        <w:jc w:val="both"/>
        <w:rPr>
          <w:rFonts w:cstheme="minorHAnsi"/>
          <w:b/>
          <w:bCs/>
          <w:lang w:val="en-GB"/>
        </w:rPr>
      </w:pPr>
      <w:r w:rsidRPr="00404BF3">
        <w:rPr>
          <w:rFonts w:cstheme="minorHAnsi"/>
          <w:b/>
          <w:bCs/>
          <w:lang w:val="en-GB"/>
        </w:rPr>
        <w:t>Alternate corresponding author:</w:t>
      </w:r>
      <w:r w:rsidR="00404BF3" w:rsidRPr="00404BF3">
        <w:rPr>
          <w:rFonts w:cstheme="minorHAnsi"/>
          <w:b/>
          <w:bCs/>
          <w:lang w:val="en-GB"/>
        </w:rPr>
        <w:t xml:space="preserve"> </w:t>
      </w:r>
      <w:r w:rsidRPr="00404BF3">
        <w:rPr>
          <w:rFonts w:cstheme="minorHAnsi"/>
          <w:lang w:val="en-GB"/>
        </w:rPr>
        <w:t xml:space="preserve">W. Joost Wiersinga. </w:t>
      </w:r>
      <w:proofErr w:type="spellStart"/>
      <w:r w:rsidRPr="00404BF3">
        <w:rPr>
          <w:rFonts w:cstheme="minorHAnsi"/>
          <w:lang w:val="en-GB"/>
        </w:rPr>
        <w:t>Center</w:t>
      </w:r>
      <w:proofErr w:type="spellEnd"/>
      <w:r w:rsidRPr="00404BF3">
        <w:rPr>
          <w:rFonts w:cstheme="minorHAnsi"/>
          <w:lang w:val="en-GB"/>
        </w:rPr>
        <w:t xml:space="preserve"> for Experimental and Molecular Medicine (CEMM), Amsterdam University Medical </w:t>
      </w:r>
      <w:proofErr w:type="spellStart"/>
      <w:r w:rsidRPr="00404BF3">
        <w:rPr>
          <w:rFonts w:cstheme="minorHAnsi"/>
          <w:lang w:val="en-GB"/>
        </w:rPr>
        <w:t>Centers</w:t>
      </w:r>
      <w:proofErr w:type="spellEnd"/>
      <w:r w:rsidRPr="00404BF3">
        <w:rPr>
          <w:rFonts w:cstheme="minorHAnsi"/>
          <w:lang w:val="en-GB"/>
        </w:rPr>
        <w:t xml:space="preserve">, Location AMC, </w:t>
      </w:r>
      <w:proofErr w:type="spellStart"/>
      <w:r w:rsidRPr="00404BF3">
        <w:rPr>
          <w:rFonts w:cstheme="minorHAnsi"/>
          <w:lang w:val="en-GB"/>
        </w:rPr>
        <w:t>Meibergdreef</w:t>
      </w:r>
      <w:proofErr w:type="spellEnd"/>
      <w:r w:rsidRPr="00404BF3">
        <w:rPr>
          <w:rFonts w:cstheme="minorHAnsi"/>
          <w:lang w:val="en-GB"/>
        </w:rPr>
        <w:t xml:space="preserve"> 9, 1105 AZ Amsterdam, The Netherlands. </w:t>
      </w:r>
      <w:hyperlink r:id="rId10" w:history="1">
        <w:r w:rsidRPr="00404BF3">
          <w:rPr>
            <w:rStyle w:val="Hyperlink"/>
            <w:rFonts w:cstheme="minorHAnsi"/>
            <w:lang w:val="en-GB"/>
          </w:rPr>
          <w:t>w.j.wiersinga@amsterdamumc.nl</w:t>
        </w:r>
      </w:hyperlink>
    </w:p>
    <w:bookmarkEnd w:id="1"/>
    <w:p w14:paraId="556CCEE3" w14:textId="50E82D31" w:rsidR="00EC048C" w:rsidRPr="00404BF3" w:rsidRDefault="00EC048C" w:rsidP="00FB57CF">
      <w:pPr>
        <w:spacing w:line="360" w:lineRule="auto"/>
        <w:jc w:val="both"/>
        <w:rPr>
          <w:rFonts w:cstheme="minorHAnsi"/>
          <w:b/>
          <w:bCs/>
          <w:lang w:val="en-GB"/>
        </w:rPr>
      </w:pPr>
    </w:p>
    <w:p w14:paraId="1759A8A0" w14:textId="4E8858B7" w:rsidR="00D42A35" w:rsidRPr="00404BF3" w:rsidRDefault="00CF2795" w:rsidP="009F2FCA">
      <w:pPr>
        <w:spacing w:line="360" w:lineRule="auto"/>
        <w:jc w:val="both"/>
        <w:rPr>
          <w:rFonts w:cstheme="minorHAnsi"/>
          <w:bCs/>
          <w:lang w:val="en-GB"/>
        </w:rPr>
      </w:pPr>
      <w:r>
        <w:rPr>
          <w:rFonts w:cstheme="minorHAnsi"/>
          <w:b/>
          <w:bCs/>
          <w:lang w:val="en-GB"/>
        </w:rPr>
        <w:t>Key points</w:t>
      </w:r>
      <w:r w:rsidR="00404BF3" w:rsidRPr="00404BF3">
        <w:rPr>
          <w:rFonts w:cstheme="minorHAnsi"/>
          <w:b/>
          <w:bCs/>
          <w:lang w:val="en-GB"/>
        </w:rPr>
        <w:t xml:space="preserve">: </w:t>
      </w:r>
      <w:r w:rsidR="00D42A35" w:rsidRPr="00404BF3">
        <w:rPr>
          <w:rFonts w:cstheme="minorHAnsi"/>
          <w:bCs/>
          <w:lang w:val="en-GB"/>
        </w:rPr>
        <w:t>In this prospective observational study conducted in Bangladesh, we found that patients with typhoid fever had significantly altered patterns of compositional and functional disruption of the gut microbiota</w:t>
      </w:r>
      <w:r w:rsidR="00EC048C" w:rsidRPr="00404BF3">
        <w:rPr>
          <w:rFonts w:cstheme="minorHAnsi"/>
          <w:bCs/>
          <w:lang w:val="en-GB"/>
        </w:rPr>
        <w:t>,</w:t>
      </w:r>
      <w:r w:rsidR="00D42A35" w:rsidRPr="00404BF3">
        <w:rPr>
          <w:rFonts w:cstheme="minorHAnsi"/>
          <w:bCs/>
          <w:lang w:val="en-GB"/>
        </w:rPr>
        <w:t xml:space="preserve"> compared to patients with non-typhoidal febrile illness and healthy controls.</w:t>
      </w:r>
    </w:p>
    <w:p w14:paraId="69684B94" w14:textId="19FA79CF" w:rsidR="0072506D" w:rsidRPr="005E6B0F" w:rsidRDefault="0099080E" w:rsidP="00EC048C">
      <w:pPr>
        <w:rPr>
          <w:rFonts w:cstheme="minorHAnsi"/>
          <w:b/>
          <w:lang w:val="en-GB"/>
        </w:rPr>
      </w:pPr>
      <w:r>
        <w:rPr>
          <w:rFonts w:cstheme="minorHAnsi"/>
          <w:b/>
          <w:bCs/>
          <w:lang w:val="en-GB"/>
        </w:rPr>
        <w:br w:type="page"/>
      </w:r>
      <w:r w:rsidR="0058783C" w:rsidRPr="005E6B0F">
        <w:rPr>
          <w:rFonts w:cstheme="minorHAnsi"/>
          <w:b/>
          <w:lang w:val="en-GB"/>
        </w:rPr>
        <w:lastRenderedPageBreak/>
        <w:t xml:space="preserve">Abstract </w:t>
      </w:r>
    </w:p>
    <w:p w14:paraId="173F25BE" w14:textId="02E5C6FA" w:rsidR="00446B05" w:rsidRPr="00525969" w:rsidRDefault="00BC1008" w:rsidP="0099080E">
      <w:pPr>
        <w:spacing w:line="360" w:lineRule="auto"/>
        <w:jc w:val="both"/>
        <w:rPr>
          <w:rFonts w:cstheme="minorHAnsi"/>
          <w:bCs/>
          <w:lang w:val="en-GB"/>
        </w:rPr>
      </w:pPr>
      <w:r w:rsidRPr="00BC1008">
        <w:rPr>
          <w:rFonts w:cstheme="minorHAnsi"/>
          <w:b/>
          <w:bCs/>
          <w:lang w:val="en-GB"/>
        </w:rPr>
        <w:t>Background</w:t>
      </w:r>
      <w:r w:rsidR="004A62B9">
        <w:rPr>
          <w:rFonts w:cstheme="minorHAnsi"/>
          <w:b/>
          <w:bCs/>
          <w:lang w:val="en-GB"/>
        </w:rPr>
        <w:t>:</w:t>
      </w:r>
      <w:r w:rsidR="00446B05">
        <w:rPr>
          <w:rFonts w:cstheme="minorHAnsi"/>
          <w:b/>
          <w:bCs/>
          <w:lang w:val="en-GB"/>
        </w:rPr>
        <w:t xml:space="preserve"> </w:t>
      </w:r>
      <w:r w:rsidR="005643F1" w:rsidRPr="00525969">
        <w:rPr>
          <w:rFonts w:cstheme="minorHAnsi"/>
          <w:bCs/>
          <w:lang w:val="en-GB"/>
        </w:rPr>
        <w:t xml:space="preserve">Experimental murine models </w:t>
      </w:r>
      <w:r w:rsidR="00E017B2">
        <w:rPr>
          <w:rFonts w:cstheme="minorHAnsi"/>
          <w:bCs/>
          <w:lang w:val="en-GB"/>
        </w:rPr>
        <w:t>and</w:t>
      </w:r>
      <w:r w:rsidR="005643F1" w:rsidRPr="00525969">
        <w:rPr>
          <w:rFonts w:cstheme="minorHAnsi"/>
          <w:bCs/>
          <w:lang w:val="en-GB"/>
        </w:rPr>
        <w:t xml:space="preserve"> human challenge studies of </w:t>
      </w:r>
      <w:r w:rsidR="005643F1" w:rsidRPr="004A62B9">
        <w:rPr>
          <w:rFonts w:cstheme="minorHAnsi"/>
          <w:bCs/>
          <w:i/>
          <w:iCs/>
          <w:lang w:val="en-GB"/>
        </w:rPr>
        <w:t>Salmonella</w:t>
      </w:r>
      <w:r w:rsidR="005643F1" w:rsidRPr="00525969">
        <w:rPr>
          <w:rFonts w:cstheme="minorHAnsi"/>
          <w:bCs/>
          <w:lang w:val="en-GB"/>
        </w:rPr>
        <w:t xml:space="preserve"> </w:t>
      </w:r>
      <w:r w:rsidR="005643F1" w:rsidRPr="005E2D18">
        <w:rPr>
          <w:rFonts w:cstheme="minorHAnsi"/>
          <w:bCs/>
          <w:lang w:val="en-GB"/>
        </w:rPr>
        <w:t xml:space="preserve">Typhi infection have suggested that the gut microbiome plays an important protective role against </w:t>
      </w:r>
      <w:r w:rsidR="0099080E" w:rsidRPr="00525969">
        <w:rPr>
          <w:rFonts w:cstheme="minorHAnsi"/>
          <w:bCs/>
          <w:lang w:val="en-GB"/>
        </w:rPr>
        <w:t>the development of typhoid fever</w:t>
      </w:r>
      <w:r w:rsidR="005643F1" w:rsidRPr="00525969">
        <w:rPr>
          <w:rFonts w:cstheme="minorHAnsi"/>
          <w:bCs/>
          <w:lang w:val="en-GB"/>
        </w:rPr>
        <w:t>.</w:t>
      </w:r>
      <w:r w:rsidR="0099080E" w:rsidRPr="00525969">
        <w:rPr>
          <w:rFonts w:cstheme="minorHAnsi"/>
          <w:bCs/>
          <w:lang w:val="en-GB"/>
        </w:rPr>
        <w:t xml:space="preserve"> </w:t>
      </w:r>
      <w:r w:rsidR="00E017B2">
        <w:rPr>
          <w:rFonts w:cstheme="minorHAnsi"/>
          <w:bCs/>
          <w:lang w:val="en-GB"/>
        </w:rPr>
        <w:t>Anaerobic bacterial</w:t>
      </w:r>
      <w:r w:rsidR="00525969" w:rsidRPr="00525969">
        <w:rPr>
          <w:rFonts w:cstheme="minorHAnsi"/>
          <w:bCs/>
          <w:lang w:val="en-GB"/>
        </w:rPr>
        <w:t xml:space="preserve"> communities have been hypothesized to mediate </w:t>
      </w:r>
      <w:r w:rsidR="00525969" w:rsidRPr="00525969">
        <w:rPr>
          <w:rFonts w:cstheme="minorHAnsi"/>
          <w:color w:val="000000"/>
          <w:shd w:val="clear" w:color="auto" w:fill="FFFFFF"/>
          <w:lang w:val="en-US"/>
        </w:rPr>
        <w:t xml:space="preserve">colonization resistance against </w:t>
      </w:r>
      <w:r w:rsidR="00525969" w:rsidRPr="004A62B9">
        <w:rPr>
          <w:rFonts w:cstheme="minorHAnsi"/>
          <w:i/>
          <w:iCs/>
          <w:color w:val="000000"/>
          <w:shd w:val="clear" w:color="auto" w:fill="FFFFFF"/>
          <w:lang w:val="en-US"/>
        </w:rPr>
        <w:t>Salmonella</w:t>
      </w:r>
      <w:r w:rsidR="00525969" w:rsidRPr="00525969">
        <w:rPr>
          <w:rFonts w:cstheme="minorHAnsi"/>
          <w:color w:val="000000"/>
          <w:shd w:val="clear" w:color="auto" w:fill="FFFFFF"/>
          <w:lang w:val="en-US"/>
        </w:rPr>
        <w:t xml:space="preserve"> species by producing short-chain </w:t>
      </w:r>
      <w:r w:rsidR="00525969" w:rsidRPr="00525969">
        <w:rPr>
          <w:rStyle w:val="highlight"/>
          <w:rFonts w:cstheme="minorHAnsi"/>
          <w:color w:val="000000"/>
          <w:shd w:val="clear" w:color="auto" w:fill="FFFFFF"/>
          <w:lang w:val="en-US"/>
        </w:rPr>
        <w:t>fatty</w:t>
      </w:r>
      <w:r w:rsidR="00525969" w:rsidRPr="00525969">
        <w:rPr>
          <w:rFonts w:cstheme="minorHAnsi"/>
          <w:color w:val="000000"/>
          <w:shd w:val="clear" w:color="auto" w:fill="FFFFFF"/>
          <w:lang w:val="en-US"/>
        </w:rPr>
        <w:t> acids</w:t>
      </w:r>
      <w:r w:rsidR="00E017B2">
        <w:rPr>
          <w:rFonts w:cstheme="minorHAnsi"/>
          <w:color w:val="000000"/>
          <w:shd w:val="clear" w:color="auto" w:fill="FFFFFF"/>
          <w:lang w:val="en-US"/>
        </w:rPr>
        <w:t>, yet</w:t>
      </w:r>
      <w:r w:rsidR="00ED3D41">
        <w:rPr>
          <w:rFonts w:cstheme="minorHAnsi"/>
          <w:bCs/>
          <w:lang w:val="en-GB"/>
        </w:rPr>
        <w:t xml:space="preserve"> t</w:t>
      </w:r>
      <w:r w:rsidR="00446B05" w:rsidRPr="00525969">
        <w:rPr>
          <w:rFonts w:cstheme="minorHAnsi"/>
          <w:bCs/>
          <w:lang w:val="en-GB"/>
        </w:rPr>
        <w:t xml:space="preserve">he </w:t>
      </w:r>
      <w:r w:rsidR="005643F1" w:rsidRPr="005E2D18">
        <w:rPr>
          <w:rFonts w:cstheme="minorHAnsi"/>
          <w:bCs/>
          <w:lang w:val="en-GB"/>
        </w:rPr>
        <w:t xml:space="preserve">composition </w:t>
      </w:r>
      <w:r w:rsidR="00ED3D41">
        <w:rPr>
          <w:rFonts w:cstheme="minorHAnsi"/>
          <w:bCs/>
          <w:lang w:val="en-GB"/>
        </w:rPr>
        <w:t>and</w:t>
      </w:r>
      <w:r w:rsidR="005643F1" w:rsidRPr="005E2D18">
        <w:rPr>
          <w:rFonts w:cstheme="minorHAnsi"/>
          <w:bCs/>
          <w:lang w:val="en-GB"/>
        </w:rPr>
        <w:t xml:space="preserve"> function </w:t>
      </w:r>
      <w:r w:rsidR="00446B05" w:rsidRPr="005E2D18">
        <w:rPr>
          <w:rFonts w:cstheme="minorHAnsi"/>
          <w:bCs/>
          <w:lang w:val="en-GB"/>
        </w:rPr>
        <w:t xml:space="preserve">of the intestinal microbiota </w:t>
      </w:r>
      <w:r w:rsidR="005643F1" w:rsidRPr="00525969">
        <w:rPr>
          <w:rFonts w:cstheme="minorHAnsi"/>
          <w:bCs/>
          <w:lang w:val="en-GB"/>
        </w:rPr>
        <w:t xml:space="preserve">in </w:t>
      </w:r>
      <w:r w:rsidR="00E017B2">
        <w:rPr>
          <w:rFonts w:cstheme="minorHAnsi"/>
          <w:bCs/>
          <w:lang w:val="en-GB"/>
        </w:rPr>
        <w:t xml:space="preserve">humans </w:t>
      </w:r>
      <w:r w:rsidR="005643F1" w:rsidRPr="00525969">
        <w:rPr>
          <w:rFonts w:cstheme="minorHAnsi"/>
          <w:bCs/>
          <w:lang w:val="en-GB"/>
        </w:rPr>
        <w:t xml:space="preserve">patients with typhoid fever </w:t>
      </w:r>
      <w:r w:rsidR="00446B05" w:rsidRPr="00525969">
        <w:rPr>
          <w:rFonts w:cstheme="minorHAnsi"/>
          <w:bCs/>
          <w:lang w:val="en-GB"/>
        </w:rPr>
        <w:t xml:space="preserve">remain ill-defined. </w:t>
      </w:r>
    </w:p>
    <w:p w14:paraId="622D1D78" w14:textId="505C7709" w:rsidR="00446B05" w:rsidRDefault="00BC1008" w:rsidP="0099080E">
      <w:pPr>
        <w:spacing w:line="360" w:lineRule="auto"/>
        <w:jc w:val="both"/>
        <w:rPr>
          <w:rFonts w:cstheme="minorHAnsi"/>
          <w:bCs/>
          <w:lang w:val="en-GB"/>
        </w:rPr>
      </w:pPr>
      <w:r w:rsidRPr="00525969">
        <w:rPr>
          <w:rFonts w:cstheme="minorHAnsi"/>
          <w:b/>
          <w:bCs/>
          <w:lang w:val="en-GB"/>
        </w:rPr>
        <w:t>Methods</w:t>
      </w:r>
      <w:r w:rsidR="004A62B9">
        <w:rPr>
          <w:rFonts w:cstheme="minorHAnsi"/>
          <w:b/>
          <w:bCs/>
          <w:lang w:val="en-GB"/>
        </w:rPr>
        <w:t>:</w:t>
      </w:r>
      <w:r w:rsidR="00446B05" w:rsidRPr="00525969">
        <w:rPr>
          <w:rFonts w:cstheme="minorHAnsi"/>
          <w:b/>
          <w:bCs/>
          <w:lang w:val="en-GB"/>
        </w:rPr>
        <w:t xml:space="preserve"> </w:t>
      </w:r>
      <w:r w:rsidR="00374B16" w:rsidRPr="00B514B7">
        <w:rPr>
          <w:rFonts w:cstheme="minorHAnsi"/>
          <w:bCs/>
          <w:lang w:val="en-GB"/>
        </w:rPr>
        <w:t xml:space="preserve">We prospectively </w:t>
      </w:r>
      <w:r w:rsidR="00ED3D41">
        <w:rPr>
          <w:rFonts w:cstheme="minorHAnsi"/>
          <w:bCs/>
          <w:lang w:val="en-GB"/>
        </w:rPr>
        <w:t>collected faecal samples</w:t>
      </w:r>
      <w:r w:rsidR="00374B16" w:rsidRPr="00B514B7">
        <w:rPr>
          <w:rFonts w:cstheme="minorHAnsi"/>
          <w:bCs/>
          <w:lang w:val="en-GB"/>
        </w:rPr>
        <w:t xml:space="preserve"> </w:t>
      </w:r>
      <w:r w:rsidR="00E017B2">
        <w:rPr>
          <w:rFonts w:cstheme="minorHAnsi"/>
          <w:bCs/>
          <w:lang w:val="en-GB"/>
        </w:rPr>
        <w:t>from</w:t>
      </w:r>
      <w:r w:rsidR="0099080E" w:rsidRPr="00BF642A">
        <w:rPr>
          <w:rFonts w:cstheme="minorHAnsi"/>
          <w:bCs/>
          <w:lang w:val="en-GB"/>
        </w:rPr>
        <w:t xml:space="preserve"> </w:t>
      </w:r>
      <w:r w:rsidR="006912B4">
        <w:rPr>
          <w:rFonts w:cstheme="minorHAnsi"/>
          <w:bCs/>
          <w:lang w:val="en-GB"/>
        </w:rPr>
        <w:t>60</w:t>
      </w:r>
      <w:r w:rsidR="00E017B2">
        <w:rPr>
          <w:rFonts w:cstheme="minorHAnsi"/>
          <w:bCs/>
          <w:lang w:val="en-GB"/>
        </w:rPr>
        <w:t xml:space="preserve"> febrile</w:t>
      </w:r>
      <w:r w:rsidR="0099080E" w:rsidRPr="00BF642A">
        <w:rPr>
          <w:rFonts w:cstheme="minorHAnsi"/>
          <w:bCs/>
          <w:lang w:val="en-GB"/>
        </w:rPr>
        <w:t xml:space="preserve"> patients </w:t>
      </w:r>
      <w:r w:rsidR="00E017B2">
        <w:rPr>
          <w:rFonts w:cstheme="minorHAnsi"/>
          <w:bCs/>
          <w:lang w:val="en-GB"/>
        </w:rPr>
        <w:t xml:space="preserve">admitted to </w:t>
      </w:r>
      <w:r w:rsidR="00E017B2" w:rsidRPr="00141EBC">
        <w:rPr>
          <w:rFonts w:cstheme="minorHAnsi"/>
          <w:bCs/>
          <w:lang w:val="en-GB"/>
        </w:rPr>
        <w:t>Chittagong Medical College Hospital</w:t>
      </w:r>
      <w:r w:rsidR="00E017B2">
        <w:rPr>
          <w:rFonts w:cstheme="minorHAnsi"/>
          <w:bCs/>
          <w:lang w:val="en-GB"/>
        </w:rPr>
        <w:t xml:space="preserve">, </w:t>
      </w:r>
      <w:r w:rsidR="00E017B2" w:rsidRPr="00671FEA">
        <w:rPr>
          <w:rFonts w:cstheme="minorHAnsi"/>
          <w:bCs/>
          <w:lang w:val="en-GB"/>
        </w:rPr>
        <w:t>Bangladesh</w:t>
      </w:r>
      <w:r w:rsidR="00E017B2" w:rsidRPr="00BF642A">
        <w:rPr>
          <w:rFonts w:cstheme="minorHAnsi"/>
          <w:bCs/>
          <w:lang w:val="en-GB"/>
        </w:rPr>
        <w:t xml:space="preserve"> </w:t>
      </w:r>
      <w:r w:rsidR="0099080E" w:rsidRPr="00BF642A">
        <w:rPr>
          <w:rFonts w:cstheme="minorHAnsi"/>
          <w:bCs/>
          <w:lang w:val="en-GB"/>
        </w:rPr>
        <w:t>with typhoid fever</w:t>
      </w:r>
      <w:r w:rsidR="00D42A35" w:rsidRPr="00BF642A">
        <w:rPr>
          <w:rFonts w:cstheme="minorHAnsi"/>
          <w:bCs/>
          <w:lang w:val="en-GB"/>
        </w:rPr>
        <w:t xml:space="preserve"> or</w:t>
      </w:r>
      <w:r w:rsidR="0099080E" w:rsidRPr="00BF642A">
        <w:rPr>
          <w:rFonts w:cstheme="minorHAnsi"/>
          <w:bCs/>
          <w:lang w:val="en-GB"/>
        </w:rPr>
        <w:t xml:space="preserve"> non-typhoidal febrile illness</w:t>
      </w:r>
      <w:r w:rsidR="00ED3D41">
        <w:rPr>
          <w:rFonts w:cstheme="minorHAnsi"/>
          <w:bCs/>
          <w:lang w:val="en-GB"/>
        </w:rPr>
        <w:t>,</w:t>
      </w:r>
      <w:r w:rsidR="00B514B7" w:rsidRPr="00BF642A">
        <w:rPr>
          <w:rFonts w:cstheme="minorHAnsi"/>
          <w:bCs/>
          <w:lang w:val="en-GB"/>
        </w:rPr>
        <w:t xml:space="preserve"> </w:t>
      </w:r>
      <w:r w:rsidR="00ED3D41">
        <w:rPr>
          <w:rFonts w:cstheme="minorHAnsi"/>
          <w:bCs/>
          <w:lang w:val="en-GB"/>
        </w:rPr>
        <w:t>and</w:t>
      </w:r>
      <w:r w:rsidR="00E017B2">
        <w:rPr>
          <w:rFonts w:cstheme="minorHAnsi"/>
          <w:bCs/>
          <w:lang w:val="en-GB"/>
        </w:rPr>
        <w:t xml:space="preserve"> from</w:t>
      </w:r>
      <w:r w:rsidR="00B514B7">
        <w:rPr>
          <w:rFonts w:cstheme="minorHAnsi"/>
          <w:bCs/>
          <w:lang w:val="en-GB"/>
        </w:rPr>
        <w:t xml:space="preserve"> </w:t>
      </w:r>
      <w:r w:rsidR="0099080E" w:rsidRPr="00BF642A">
        <w:rPr>
          <w:rFonts w:cstheme="minorHAnsi"/>
          <w:bCs/>
          <w:lang w:val="en-GB"/>
        </w:rPr>
        <w:t>36 healthy age-matched controls</w:t>
      </w:r>
      <w:r w:rsidR="00ED3D41">
        <w:rPr>
          <w:rFonts w:cstheme="minorHAnsi"/>
          <w:bCs/>
          <w:lang w:val="en-GB"/>
        </w:rPr>
        <w:t>. The collected faecal samples</w:t>
      </w:r>
      <w:r w:rsidR="00DF4DBC">
        <w:rPr>
          <w:rFonts w:cstheme="minorHAnsi"/>
          <w:bCs/>
          <w:lang w:val="en-GB"/>
        </w:rPr>
        <w:t xml:space="preserve"> </w:t>
      </w:r>
      <w:r w:rsidR="00446B05">
        <w:rPr>
          <w:rFonts w:cstheme="minorHAnsi"/>
          <w:bCs/>
          <w:lang w:val="en-GB"/>
        </w:rPr>
        <w:t>were subjected to 16s rRNA sequencing</w:t>
      </w:r>
      <w:r w:rsidR="00DF4DBC">
        <w:rPr>
          <w:rFonts w:cstheme="minorHAnsi"/>
          <w:bCs/>
          <w:lang w:val="en-GB"/>
        </w:rPr>
        <w:t xml:space="preserve"> </w:t>
      </w:r>
      <w:r w:rsidR="00BF642A">
        <w:rPr>
          <w:rFonts w:cstheme="minorHAnsi"/>
          <w:bCs/>
          <w:lang w:val="en-GB"/>
        </w:rPr>
        <w:t xml:space="preserve">followed by </w:t>
      </w:r>
      <w:r w:rsidR="0001581B" w:rsidRPr="0001581B">
        <w:rPr>
          <w:rFonts w:cstheme="minorHAnsi"/>
          <w:bCs/>
          <w:lang w:val="en-GB"/>
        </w:rPr>
        <w:t>targeted metabolomics analysis</w:t>
      </w:r>
      <w:r w:rsidR="0001581B" w:rsidRPr="00525969">
        <w:rPr>
          <w:rFonts w:cstheme="minorHAnsi"/>
          <w:bCs/>
          <w:lang w:val="en-GB"/>
        </w:rPr>
        <w:t>.</w:t>
      </w:r>
    </w:p>
    <w:p w14:paraId="516C0AC0" w14:textId="218DE7BB" w:rsidR="00BF642A" w:rsidRPr="00E017B2" w:rsidRDefault="00BC1008" w:rsidP="0099080E">
      <w:pPr>
        <w:spacing w:line="360" w:lineRule="auto"/>
        <w:jc w:val="both"/>
        <w:rPr>
          <w:rFonts w:cstheme="minorHAnsi"/>
          <w:color w:val="000000"/>
          <w:lang w:val="en-GB"/>
        </w:rPr>
      </w:pPr>
      <w:r w:rsidRPr="00BC1008">
        <w:rPr>
          <w:rFonts w:cstheme="minorHAnsi"/>
          <w:b/>
          <w:bCs/>
          <w:lang w:val="en-GB"/>
        </w:rPr>
        <w:t>Results</w:t>
      </w:r>
      <w:r w:rsidR="004A62B9">
        <w:rPr>
          <w:rFonts w:cstheme="minorHAnsi"/>
          <w:b/>
          <w:bCs/>
          <w:lang w:val="en-GB"/>
        </w:rPr>
        <w:t>:</w:t>
      </w:r>
      <w:r w:rsidRPr="00BC1008">
        <w:rPr>
          <w:rFonts w:cstheme="minorHAnsi"/>
          <w:b/>
          <w:bCs/>
          <w:lang w:val="en-GB"/>
        </w:rPr>
        <w:t xml:space="preserve"> </w:t>
      </w:r>
      <w:r w:rsidR="00C65AC6">
        <w:rPr>
          <w:rFonts w:cstheme="minorHAnsi"/>
          <w:bCs/>
          <w:lang w:val="en-GB"/>
        </w:rPr>
        <w:t>P</w:t>
      </w:r>
      <w:r w:rsidR="00446B05" w:rsidRPr="00446B05">
        <w:rPr>
          <w:rFonts w:cstheme="minorHAnsi"/>
          <w:bCs/>
          <w:lang w:val="en-GB"/>
        </w:rPr>
        <w:t xml:space="preserve">atients with typhoid fever </w:t>
      </w:r>
      <w:r w:rsidR="00E017B2">
        <w:rPr>
          <w:rFonts w:cstheme="minorHAnsi"/>
          <w:bCs/>
          <w:lang w:val="en-GB"/>
        </w:rPr>
        <w:t>displayed</w:t>
      </w:r>
      <w:r w:rsidR="00446B05" w:rsidRPr="00446B05">
        <w:rPr>
          <w:rFonts w:cstheme="minorHAnsi"/>
          <w:bCs/>
          <w:lang w:val="en-GB"/>
        </w:rPr>
        <w:t xml:space="preserve"> compositional and functional disruption of the gut microbiota </w:t>
      </w:r>
      <w:r w:rsidR="00D35B10">
        <w:rPr>
          <w:rFonts w:cstheme="minorHAnsi"/>
          <w:bCs/>
          <w:lang w:val="en-GB"/>
        </w:rPr>
        <w:t xml:space="preserve">compared </w:t>
      </w:r>
      <w:r w:rsidR="0071698A">
        <w:rPr>
          <w:rFonts w:cstheme="minorHAnsi"/>
          <w:bCs/>
          <w:lang w:val="en-GB"/>
        </w:rPr>
        <w:t>to</w:t>
      </w:r>
      <w:r w:rsidR="00D35B10">
        <w:rPr>
          <w:rFonts w:cstheme="minorHAnsi"/>
          <w:bCs/>
          <w:lang w:val="en-GB"/>
        </w:rPr>
        <w:t xml:space="preserve"> </w:t>
      </w:r>
      <w:r w:rsidR="00BF25DC" w:rsidRPr="00404BF3">
        <w:rPr>
          <w:rFonts w:cstheme="minorHAnsi"/>
          <w:bCs/>
          <w:lang w:val="en-GB"/>
        </w:rPr>
        <w:t xml:space="preserve">patients with non-typhoidal febrile illness </w:t>
      </w:r>
      <w:r w:rsidR="00BF25DC">
        <w:rPr>
          <w:rFonts w:cstheme="minorHAnsi"/>
          <w:bCs/>
          <w:lang w:val="en-GB"/>
        </w:rPr>
        <w:t xml:space="preserve">and healthy </w:t>
      </w:r>
      <w:r w:rsidR="00D35B10">
        <w:rPr>
          <w:rFonts w:cstheme="minorHAnsi"/>
          <w:bCs/>
          <w:lang w:val="en-GB"/>
        </w:rPr>
        <w:t>controls</w:t>
      </w:r>
      <w:r w:rsidR="00BF25DC">
        <w:rPr>
          <w:rFonts w:cstheme="minorHAnsi"/>
          <w:bCs/>
          <w:lang w:val="en-GB"/>
        </w:rPr>
        <w:t xml:space="preserve">. Specifically, typhoid fever patients </w:t>
      </w:r>
      <w:r w:rsidR="00E017B2">
        <w:rPr>
          <w:rFonts w:cstheme="minorHAnsi"/>
          <w:bCs/>
          <w:lang w:val="en-GB"/>
        </w:rPr>
        <w:t>had</w:t>
      </w:r>
      <w:r w:rsidR="00BF25DC">
        <w:rPr>
          <w:rFonts w:cstheme="minorHAnsi"/>
          <w:bCs/>
          <w:lang w:val="en-GB"/>
        </w:rPr>
        <w:t xml:space="preserve"> </w:t>
      </w:r>
      <w:r w:rsidR="00446B05" w:rsidRPr="00446B05">
        <w:rPr>
          <w:rFonts w:cstheme="minorHAnsi"/>
          <w:bCs/>
          <w:lang w:val="en-GB"/>
        </w:rPr>
        <w:t>lower</w:t>
      </w:r>
      <w:r w:rsidR="005E2D18">
        <w:rPr>
          <w:rFonts w:cstheme="minorHAnsi"/>
          <w:bCs/>
          <w:lang w:val="en-GB"/>
        </w:rPr>
        <w:t xml:space="preserve"> </w:t>
      </w:r>
      <w:r w:rsidR="00446B05" w:rsidRPr="00446B05">
        <w:rPr>
          <w:rFonts w:cstheme="minorHAnsi"/>
          <w:bCs/>
          <w:lang w:val="en-GB"/>
        </w:rPr>
        <w:t>microbiota richness and alpha diversity</w:t>
      </w:r>
      <w:r w:rsidR="00C65AC6">
        <w:rPr>
          <w:rFonts w:cstheme="minorHAnsi"/>
          <w:bCs/>
          <w:lang w:val="en-GB"/>
        </w:rPr>
        <w:t xml:space="preserve"> </w:t>
      </w:r>
      <w:r w:rsidR="00BF25DC">
        <w:rPr>
          <w:rFonts w:cstheme="minorHAnsi"/>
          <w:bCs/>
          <w:lang w:val="en-GB"/>
        </w:rPr>
        <w:t>as well as</w:t>
      </w:r>
      <w:r w:rsidR="00C65AC6">
        <w:rPr>
          <w:rFonts w:cstheme="minorHAnsi"/>
          <w:bCs/>
          <w:lang w:val="en-GB"/>
        </w:rPr>
        <w:t xml:space="preserve"> </w:t>
      </w:r>
      <w:r w:rsidR="00446B05" w:rsidRPr="00446B05">
        <w:rPr>
          <w:rFonts w:cstheme="minorHAnsi"/>
          <w:bCs/>
          <w:lang w:val="en-GB"/>
        </w:rPr>
        <w:t xml:space="preserve">a higher prevalence of potentially pathogenic bacterial taxa. </w:t>
      </w:r>
      <w:r w:rsidR="00ED3D41">
        <w:rPr>
          <w:rFonts w:cstheme="minorHAnsi"/>
          <w:bCs/>
          <w:lang w:val="en-GB"/>
        </w:rPr>
        <w:t>In addition</w:t>
      </w:r>
      <w:r w:rsidR="005E2D18" w:rsidRPr="00C150B4">
        <w:rPr>
          <w:rFonts w:cstheme="minorHAnsi"/>
          <w:bCs/>
          <w:lang w:val="en-GB"/>
        </w:rPr>
        <w:t xml:space="preserve">, a lower abundance of </w:t>
      </w:r>
      <w:r w:rsidR="005E2D18" w:rsidRPr="00C150B4">
        <w:rPr>
          <w:rStyle w:val="fontstyle01"/>
          <w:rFonts w:asciiTheme="minorHAnsi" w:hAnsiTheme="minorHAnsi" w:cstheme="minorHAnsi"/>
          <w:sz w:val="22"/>
          <w:szCs w:val="22"/>
          <w:lang w:val="en-GB"/>
        </w:rPr>
        <w:t>short-chain fatty acid</w:t>
      </w:r>
      <w:r w:rsidR="00E017B2">
        <w:rPr>
          <w:rStyle w:val="fontstyle01"/>
          <w:rFonts w:asciiTheme="minorHAnsi" w:hAnsiTheme="minorHAnsi" w:cstheme="minorHAnsi"/>
          <w:sz w:val="22"/>
          <w:szCs w:val="22"/>
          <w:lang w:val="en-GB"/>
        </w:rPr>
        <w:t>-</w:t>
      </w:r>
      <w:r w:rsidR="005E2D18" w:rsidRPr="00C150B4">
        <w:rPr>
          <w:rFonts w:cstheme="minorHAnsi"/>
          <w:bCs/>
          <w:lang w:val="en-GB"/>
        </w:rPr>
        <w:t>producing taxa</w:t>
      </w:r>
      <w:r w:rsidR="00BF25DC">
        <w:rPr>
          <w:rFonts w:cstheme="minorHAnsi"/>
          <w:bCs/>
          <w:lang w:val="en-GB"/>
        </w:rPr>
        <w:t xml:space="preserve"> was</w:t>
      </w:r>
      <w:r w:rsidR="005E2D18" w:rsidRPr="00C150B4">
        <w:rPr>
          <w:rFonts w:cstheme="minorHAnsi"/>
          <w:bCs/>
          <w:lang w:val="en-GB"/>
        </w:rPr>
        <w:t xml:space="preserve"> seen in typhoid fever</w:t>
      </w:r>
      <w:r w:rsidR="00D35B10">
        <w:rPr>
          <w:rFonts w:cstheme="minorHAnsi"/>
          <w:bCs/>
          <w:lang w:val="en-GB"/>
        </w:rPr>
        <w:t xml:space="preserve"> patients</w:t>
      </w:r>
      <w:r w:rsidR="005E2D18" w:rsidRPr="00C150B4">
        <w:rPr>
          <w:rFonts w:cstheme="minorHAnsi"/>
          <w:bCs/>
          <w:lang w:val="en-GB"/>
        </w:rPr>
        <w:t>.</w:t>
      </w:r>
      <w:r w:rsidR="005E2D18">
        <w:rPr>
          <w:rFonts w:cstheme="minorHAnsi"/>
          <w:b/>
          <w:bCs/>
          <w:lang w:val="en-GB"/>
        </w:rPr>
        <w:t xml:space="preserve"> </w:t>
      </w:r>
      <w:r w:rsidR="00446B05" w:rsidRPr="00446B05">
        <w:rPr>
          <w:rFonts w:cstheme="minorHAnsi"/>
          <w:bCs/>
          <w:lang w:val="en-GB"/>
        </w:rPr>
        <w:t xml:space="preserve">The differences between </w:t>
      </w:r>
      <w:r w:rsidR="0099080E">
        <w:rPr>
          <w:rFonts w:cstheme="minorHAnsi"/>
          <w:bCs/>
          <w:lang w:val="en-GB"/>
        </w:rPr>
        <w:t xml:space="preserve">typhoid fever </w:t>
      </w:r>
      <w:r w:rsidR="00446B05" w:rsidRPr="00446B05">
        <w:rPr>
          <w:rFonts w:cstheme="minorHAnsi"/>
          <w:bCs/>
          <w:lang w:val="en-GB"/>
        </w:rPr>
        <w:t xml:space="preserve">and </w:t>
      </w:r>
      <w:r w:rsidR="0099080E" w:rsidRPr="00446B05">
        <w:rPr>
          <w:rFonts w:cstheme="minorHAnsi"/>
          <w:bCs/>
          <w:lang w:val="en-GB"/>
        </w:rPr>
        <w:t xml:space="preserve">non-typhoidal </w:t>
      </w:r>
      <w:r w:rsidR="0099080E" w:rsidRPr="00BF642A">
        <w:rPr>
          <w:rFonts w:cstheme="minorHAnsi"/>
          <w:bCs/>
          <w:lang w:val="en-GB"/>
        </w:rPr>
        <w:t xml:space="preserve">febrile illness </w:t>
      </w:r>
      <w:r w:rsidR="00BF642A" w:rsidRPr="00BF642A">
        <w:rPr>
          <w:rFonts w:cstheme="minorHAnsi"/>
          <w:bCs/>
          <w:lang w:val="en-GB"/>
        </w:rPr>
        <w:t xml:space="preserve">could not </w:t>
      </w:r>
      <w:r w:rsidR="00446B05" w:rsidRPr="00BF642A">
        <w:rPr>
          <w:rFonts w:cstheme="minorHAnsi"/>
          <w:bCs/>
          <w:lang w:val="en-GB"/>
        </w:rPr>
        <w:t xml:space="preserve">be explained by a </w:t>
      </w:r>
      <w:r w:rsidR="00BF642A" w:rsidRPr="00BF642A">
        <w:rPr>
          <w:rFonts w:cstheme="minorHAnsi"/>
          <w:color w:val="000000"/>
          <w:shd w:val="clear" w:color="auto" w:fill="FFFFFF"/>
          <w:lang w:val="en-US"/>
        </w:rPr>
        <w:t>loss of colonization resistance after antibiotic treatment</w:t>
      </w:r>
      <w:r w:rsidR="00BF25DC">
        <w:rPr>
          <w:rFonts w:cstheme="minorHAnsi"/>
          <w:color w:val="000000"/>
          <w:shd w:val="clear" w:color="auto" w:fill="FFFFFF"/>
          <w:lang w:val="en-US"/>
        </w:rPr>
        <w:t>,</w:t>
      </w:r>
      <w:r w:rsidR="00BF642A" w:rsidRPr="00BF642A">
        <w:rPr>
          <w:rFonts w:cstheme="minorHAnsi"/>
          <w:color w:val="000000"/>
          <w:shd w:val="clear" w:color="auto" w:fill="FFFFFF"/>
          <w:lang w:val="en-US"/>
        </w:rPr>
        <w:t> since antibiotic exposure in both groups was similar.</w:t>
      </w:r>
      <w:r w:rsidR="00BF642A">
        <w:rPr>
          <w:rFonts w:ascii="Arial" w:hAnsi="Arial" w:cs="Arial"/>
          <w:color w:val="000000"/>
          <w:sz w:val="20"/>
          <w:szCs w:val="20"/>
          <w:shd w:val="clear" w:color="auto" w:fill="FFFFFF"/>
          <w:lang w:val="en-US"/>
        </w:rPr>
        <w:t xml:space="preserve"> </w:t>
      </w:r>
    </w:p>
    <w:p w14:paraId="2C7E31AD" w14:textId="0924B77C" w:rsidR="00ED3D41" w:rsidRPr="00E017B2" w:rsidRDefault="00BC1008" w:rsidP="00E017B2">
      <w:pPr>
        <w:spacing w:line="360" w:lineRule="auto"/>
        <w:jc w:val="both"/>
        <w:rPr>
          <w:rFonts w:cstheme="minorHAnsi"/>
          <w:bCs/>
          <w:lang w:val="en-GB"/>
        </w:rPr>
      </w:pPr>
      <w:r w:rsidRPr="00BC1008">
        <w:rPr>
          <w:rFonts w:cstheme="minorHAnsi"/>
          <w:b/>
          <w:bCs/>
          <w:lang w:val="en-GB"/>
        </w:rPr>
        <w:t>Conclusions</w:t>
      </w:r>
      <w:r w:rsidR="004A62B9">
        <w:rPr>
          <w:rFonts w:cstheme="minorHAnsi"/>
          <w:b/>
          <w:bCs/>
          <w:lang w:val="en-GB"/>
        </w:rPr>
        <w:t>:</w:t>
      </w:r>
      <w:r w:rsidRPr="00BC1008">
        <w:rPr>
          <w:rFonts w:cstheme="minorHAnsi"/>
          <w:bCs/>
          <w:lang w:val="en-GB"/>
        </w:rPr>
        <w:t xml:space="preserve"> </w:t>
      </w:r>
      <w:r w:rsidR="005E2D18" w:rsidRPr="00C150B4">
        <w:rPr>
          <w:lang w:val="en-US"/>
        </w:rPr>
        <w:t>This first report o</w:t>
      </w:r>
      <w:r w:rsidR="00ED3D41">
        <w:rPr>
          <w:lang w:val="en-US"/>
        </w:rPr>
        <w:t>n</w:t>
      </w:r>
      <w:r w:rsidR="005E2D18" w:rsidRPr="00C150B4">
        <w:rPr>
          <w:lang w:val="en-US"/>
        </w:rPr>
        <w:t xml:space="preserve"> the </w:t>
      </w:r>
      <w:r w:rsidR="00ED3D41">
        <w:rPr>
          <w:lang w:val="en-US"/>
        </w:rPr>
        <w:t xml:space="preserve">composition and function of the </w:t>
      </w:r>
      <w:r w:rsidR="005E2D18" w:rsidRPr="00C150B4">
        <w:rPr>
          <w:lang w:val="en-US"/>
        </w:rPr>
        <w:t xml:space="preserve">gut microbiota in patients with </w:t>
      </w:r>
      <w:r w:rsidR="005E2D18">
        <w:rPr>
          <w:lang w:val="en-US"/>
        </w:rPr>
        <w:t>typhoid fever</w:t>
      </w:r>
      <w:r w:rsidR="00C65AC6">
        <w:rPr>
          <w:lang w:val="en-US"/>
        </w:rPr>
        <w:t xml:space="preserve"> </w:t>
      </w:r>
      <w:r w:rsidR="00E017B2">
        <w:rPr>
          <w:lang w:val="en-US"/>
        </w:rPr>
        <w:t>suggests</w:t>
      </w:r>
      <w:r w:rsidR="00ED3D41">
        <w:rPr>
          <w:lang w:val="en-US"/>
        </w:rPr>
        <w:t xml:space="preserve"> that</w:t>
      </w:r>
      <w:r w:rsidR="00BF25DC">
        <w:rPr>
          <w:lang w:val="en-US"/>
        </w:rPr>
        <w:t xml:space="preserve"> </w:t>
      </w:r>
      <w:r w:rsidR="00E017B2">
        <w:rPr>
          <w:lang w:val="en-US"/>
        </w:rPr>
        <w:t xml:space="preserve">the restoration of </w:t>
      </w:r>
      <w:r w:rsidR="00BF25DC">
        <w:rPr>
          <w:lang w:val="en-US"/>
        </w:rPr>
        <w:t>these</w:t>
      </w:r>
      <w:r w:rsidR="009F2FCA">
        <w:rPr>
          <w:lang w:val="en-US"/>
        </w:rPr>
        <w:t xml:space="preserve"> </w:t>
      </w:r>
      <w:r w:rsidR="00BF25DC">
        <w:rPr>
          <w:lang w:val="en-US"/>
        </w:rPr>
        <w:t xml:space="preserve">intestinal commensal </w:t>
      </w:r>
      <w:r w:rsidR="00ED3D41">
        <w:rPr>
          <w:lang w:val="en-US"/>
        </w:rPr>
        <w:t xml:space="preserve">micro-organisms could be </w:t>
      </w:r>
      <w:r w:rsidR="00E017B2">
        <w:rPr>
          <w:lang w:val="en-US"/>
        </w:rPr>
        <w:t>targeted</w:t>
      </w:r>
      <w:r w:rsidR="00ED3D41">
        <w:rPr>
          <w:lang w:val="en-US"/>
        </w:rPr>
        <w:t xml:space="preserve"> </w:t>
      </w:r>
      <w:r w:rsidR="00E017B2">
        <w:rPr>
          <w:lang w:val="en-US"/>
        </w:rPr>
        <w:t>using</w:t>
      </w:r>
      <w:r w:rsidR="005E2D18" w:rsidRPr="00C150B4">
        <w:rPr>
          <w:lang w:val="en-US"/>
        </w:rPr>
        <w:t xml:space="preserve"> adjunctive</w:t>
      </w:r>
      <w:r w:rsidR="00ED3D41">
        <w:rPr>
          <w:lang w:val="en-US"/>
        </w:rPr>
        <w:t>,</w:t>
      </w:r>
      <w:r w:rsidR="005E2D18">
        <w:rPr>
          <w:lang w:val="en-US"/>
        </w:rPr>
        <w:t xml:space="preserve"> preventive or</w:t>
      </w:r>
      <w:r w:rsidR="005E2D18" w:rsidRPr="005E2D18">
        <w:rPr>
          <w:lang w:val="en-US"/>
        </w:rPr>
        <w:t xml:space="preserve"> therapeutic strategies</w:t>
      </w:r>
      <w:r w:rsidR="005E2D18" w:rsidRPr="00C150B4">
        <w:rPr>
          <w:lang w:val="en-US"/>
        </w:rPr>
        <w:t xml:space="preserve">.  </w:t>
      </w:r>
      <w:r w:rsidR="00ED3D41">
        <w:rPr>
          <w:rFonts w:cstheme="minorHAnsi"/>
          <w:b/>
          <w:lang w:val="en-GB"/>
        </w:rPr>
        <w:br w:type="page"/>
      </w:r>
    </w:p>
    <w:p w14:paraId="3D6A072B" w14:textId="6004A015" w:rsidR="00992B6C" w:rsidRPr="00B514B7" w:rsidRDefault="00A33892" w:rsidP="00A7030C">
      <w:pPr>
        <w:spacing w:line="360" w:lineRule="auto"/>
        <w:jc w:val="both"/>
        <w:rPr>
          <w:rFonts w:cstheme="minorHAnsi"/>
          <w:bCs/>
          <w:lang w:val="en-GB"/>
        </w:rPr>
      </w:pPr>
      <w:r w:rsidRPr="005E6B0F">
        <w:rPr>
          <w:rFonts w:cstheme="minorHAnsi"/>
          <w:b/>
          <w:lang w:val="en-GB"/>
        </w:rPr>
        <w:lastRenderedPageBreak/>
        <w:t>Background</w:t>
      </w:r>
    </w:p>
    <w:p w14:paraId="3C8B9A6A" w14:textId="5B1FEA5D" w:rsidR="0058783C" w:rsidRPr="00734400" w:rsidRDefault="0058783C" w:rsidP="00A7030C">
      <w:pPr>
        <w:spacing w:line="360" w:lineRule="auto"/>
        <w:jc w:val="both"/>
        <w:rPr>
          <w:rFonts w:cstheme="minorHAnsi"/>
          <w:b/>
          <w:lang w:val="en-GB"/>
        </w:rPr>
      </w:pPr>
      <w:r w:rsidRPr="005E6B0F">
        <w:rPr>
          <w:rFonts w:cstheme="minorHAnsi"/>
          <w:bCs/>
          <w:lang w:val="en-GB"/>
        </w:rPr>
        <w:t xml:space="preserve">Typhoid fever </w:t>
      </w:r>
      <w:r w:rsidR="00482F82" w:rsidRPr="005E6B0F">
        <w:rPr>
          <w:rFonts w:cstheme="minorHAnsi"/>
          <w:bCs/>
          <w:lang w:val="en-GB"/>
        </w:rPr>
        <w:t>(TF</w:t>
      </w:r>
      <w:r w:rsidR="00482F82" w:rsidRPr="00734400">
        <w:rPr>
          <w:rFonts w:cstheme="minorHAnsi"/>
          <w:bCs/>
          <w:lang w:val="en-GB"/>
        </w:rPr>
        <w:t xml:space="preserve">) </w:t>
      </w:r>
      <w:r w:rsidRPr="00734400">
        <w:rPr>
          <w:rFonts w:cstheme="minorHAnsi"/>
          <w:bCs/>
          <w:lang w:val="en-GB"/>
        </w:rPr>
        <w:t>is a</w:t>
      </w:r>
      <w:r w:rsidR="00FB2164" w:rsidRPr="00734400">
        <w:rPr>
          <w:rFonts w:cstheme="minorHAnsi"/>
          <w:bCs/>
          <w:lang w:val="en-GB"/>
        </w:rPr>
        <w:t xml:space="preserve"> systemic infection caused by the Gram-negative bacteria </w:t>
      </w:r>
      <w:r w:rsidR="00FB2164" w:rsidRPr="009447D5">
        <w:rPr>
          <w:rFonts w:cstheme="minorHAnsi"/>
          <w:bCs/>
          <w:i/>
          <w:iCs/>
          <w:lang w:val="en-GB"/>
        </w:rPr>
        <w:t>Salmonella enterica</w:t>
      </w:r>
      <w:r w:rsidR="00FB2164" w:rsidRPr="00734400">
        <w:rPr>
          <w:rFonts w:cstheme="minorHAnsi"/>
          <w:bCs/>
          <w:lang w:val="en-GB"/>
        </w:rPr>
        <w:t xml:space="preserve"> serovar Typhi (</w:t>
      </w:r>
      <w:r w:rsidR="00FB2164" w:rsidRPr="009447D5">
        <w:rPr>
          <w:rFonts w:cstheme="minorHAnsi"/>
          <w:bCs/>
          <w:i/>
          <w:iCs/>
          <w:lang w:val="en-GB"/>
        </w:rPr>
        <w:t>S.</w:t>
      </w:r>
      <w:r w:rsidR="00FB2164" w:rsidRPr="00734400">
        <w:rPr>
          <w:rFonts w:cstheme="minorHAnsi"/>
          <w:bCs/>
          <w:lang w:val="en-GB"/>
        </w:rPr>
        <w:t xml:space="preserve"> Typhi). This debilitating condition</w:t>
      </w:r>
      <w:r w:rsidR="00797F1A" w:rsidRPr="00734400">
        <w:rPr>
          <w:rFonts w:cstheme="minorHAnsi"/>
          <w:bCs/>
          <w:lang w:val="en-GB"/>
        </w:rPr>
        <w:t xml:space="preserve">, characterized by prolonged fever and </w:t>
      </w:r>
      <w:r w:rsidR="00FA2AC8" w:rsidRPr="00734400">
        <w:rPr>
          <w:rFonts w:cstheme="minorHAnsi"/>
          <w:bCs/>
          <w:lang w:val="en-GB"/>
        </w:rPr>
        <w:t xml:space="preserve">a wide range of </w:t>
      </w:r>
      <w:r w:rsidR="00797F1A" w:rsidRPr="00734400">
        <w:rPr>
          <w:rFonts w:cstheme="minorHAnsi"/>
          <w:bCs/>
          <w:lang w:val="en-GB"/>
        </w:rPr>
        <w:t>other non-specific clinical signs,</w:t>
      </w:r>
      <w:r w:rsidR="00FB2164" w:rsidRPr="00734400">
        <w:rPr>
          <w:rFonts w:cstheme="minorHAnsi"/>
          <w:bCs/>
          <w:lang w:val="en-GB"/>
        </w:rPr>
        <w:t xml:space="preserve"> </w:t>
      </w:r>
      <w:r w:rsidR="00797F1A" w:rsidRPr="00734400">
        <w:rPr>
          <w:rFonts w:cstheme="minorHAnsi"/>
          <w:bCs/>
          <w:lang w:val="en-GB"/>
        </w:rPr>
        <w:t>is common in</w:t>
      </w:r>
      <w:r w:rsidR="00FB2164" w:rsidRPr="00734400">
        <w:rPr>
          <w:rFonts w:cstheme="minorHAnsi"/>
          <w:bCs/>
          <w:lang w:val="en-GB"/>
        </w:rPr>
        <w:t xml:space="preserve"> areas of Asia and Africa that lack clean water and sanitation</w:t>
      </w:r>
      <w:r w:rsidR="00797F1A" w:rsidRPr="00734400">
        <w:rPr>
          <w:rFonts w:cstheme="minorHAnsi"/>
          <w:bCs/>
          <w:lang w:val="en-GB"/>
        </w:rPr>
        <w:t>.</w:t>
      </w:r>
      <w:r w:rsidR="00FA2AC8" w:rsidRPr="00734400">
        <w:rPr>
          <w:rFonts w:cstheme="minorHAnsi"/>
          <w:bCs/>
          <w:lang w:val="en-GB"/>
        </w:rPr>
        <w:t xml:space="preserve"> [</w:t>
      </w:r>
      <w:r w:rsidR="00030BED" w:rsidRPr="00734400">
        <w:rPr>
          <w:rFonts w:cstheme="minorHAnsi"/>
          <w:bCs/>
          <w:lang w:val="en-GB"/>
        </w:rPr>
        <w:t xml:space="preserve">1, </w:t>
      </w:r>
      <w:r w:rsidR="00D631CB" w:rsidRPr="00734400">
        <w:rPr>
          <w:rFonts w:cstheme="minorHAnsi"/>
          <w:bCs/>
          <w:lang w:val="en-GB"/>
        </w:rPr>
        <w:t>2</w:t>
      </w:r>
      <w:r w:rsidR="00FA2AC8" w:rsidRPr="00734400">
        <w:rPr>
          <w:rFonts w:cstheme="minorHAnsi"/>
          <w:bCs/>
          <w:lang w:val="en-GB"/>
        </w:rPr>
        <w:t xml:space="preserve">] </w:t>
      </w:r>
      <w:r w:rsidR="00030BED" w:rsidRPr="00734400">
        <w:rPr>
          <w:rFonts w:cstheme="minorHAnsi"/>
          <w:bCs/>
          <w:lang w:val="en-GB"/>
        </w:rPr>
        <w:t xml:space="preserve">Recent </w:t>
      </w:r>
      <w:r w:rsidR="000A09DB">
        <w:rPr>
          <w:rFonts w:cstheme="minorHAnsi"/>
          <w:bCs/>
          <w:lang w:val="en-GB"/>
        </w:rPr>
        <w:t>increases</w:t>
      </w:r>
      <w:r w:rsidR="00030BED" w:rsidRPr="00734400">
        <w:rPr>
          <w:rFonts w:cstheme="minorHAnsi"/>
          <w:bCs/>
          <w:lang w:val="en-GB"/>
        </w:rPr>
        <w:t xml:space="preserve"> </w:t>
      </w:r>
      <w:r w:rsidR="000A09DB">
        <w:rPr>
          <w:rFonts w:cstheme="minorHAnsi"/>
          <w:bCs/>
          <w:lang w:val="en-GB"/>
        </w:rPr>
        <w:t>in</w:t>
      </w:r>
      <w:r w:rsidR="000A09DB" w:rsidRPr="00734400">
        <w:rPr>
          <w:rFonts w:cstheme="minorHAnsi"/>
          <w:bCs/>
          <w:lang w:val="en-GB"/>
        </w:rPr>
        <w:t xml:space="preserve"> </w:t>
      </w:r>
      <w:r w:rsidR="00030BED" w:rsidRPr="00734400">
        <w:rPr>
          <w:rFonts w:cstheme="minorHAnsi"/>
          <w:bCs/>
          <w:lang w:val="en-GB"/>
        </w:rPr>
        <w:t xml:space="preserve">antimicrobial-resistance among several </w:t>
      </w:r>
      <w:r w:rsidR="00030BED" w:rsidRPr="000A514E">
        <w:rPr>
          <w:rFonts w:cstheme="minorHAnsi"/>
          <w:bCs/>
          <w:i/>
          <w:lang w:val="en-GB"/>
        </w:rPr>
        <w:t>S.</w:t>
      </w:r>
      <w:r w:rsidR="00030BED" w:rsidRPr="00734400">
        <w:rPr>
          <w:rFonts w:cstheme="minorHAnsi"/>
          <w:bCs/>
          <w:lang w:val="en-GB"/>
        </w:rPr>
        <w:t xml:space="preserve"> Typhi haplotypes </w:t>
      </w:r>
      <w:r w:rsidR="008F58EF" w:rsidRPr="00734400">
        <w:rPr>
          <w:rFonts w:cstheme="minorHAnsi"/>
          <w:bCs/>
          <w:lang w:val="en-GB"/>
        </w:rPr>
        <w:t>ha</w:t>
      </w:r>
      <w:r w:rsidR="008F58EF">
        <w:rPr>
          <w:rFonts w:cstheme="minorHAnsi"/>
          <w:bCs/>
          <w:lang w:val="en-GB"/>
        </w:rPr>
        <w:t>ve</w:t>
      </w:r>
      <w:r w:rsidR="008F58EF" w:rsidRPr="00734400">
        <w:rPr>
          <w:rFonts w:cstheme="minorHAnsi"/>
          <w:bCs/>
          <w:lang w:val="en-GB"/>
        </w:rPr>
        <w:t xml:space="preserve"> </w:t>
      </w:r>
      <w:r w:rsidR="000A09DB">
        <w:rPr>
          <w:rFonts w:cstheme="minorHAnsi"/>
          <w:bCs/>
          <w:lang w:val="en-GB"/>
        </w:rPr>
        <w:t>complicated treatment</w:t>
      </w:r>
      <w:r w:rsidR="000A09DB" w:rsidRPr="00734400">
        <w:rPr>
          <w:rFonts w:cstheme="minorHAnsi"/>
          <w:bCs/>
          <w:lang w:val="en-GB"/>
        </w:rPr>
        <w:t xml:space="preserve"> </w:t>
      </w:r>
      <w:r w:rsidR="00030BED" w:rsidRPr="00734400">
        <w:rPr>
          <w:rFonts w:cstheme="minorHAnsi"/>
          <w:bCs/>
          <w:lang w:val="en-GB"/>
        </w:rPr>
        <w:t xml:space="preserve">options, </w:t>
      </w:r>
      <w:r w:rsidR="000A09DB">
        <w:rPr>
          <w:rFonts w:cstheme="minorHAnsi"/>
          <w:bCs/>
          <w:lang w:val="en-GB"/>
        </w:rPr>
        <w:t>and</w:t>
      </w:r>
      <w:r w:rsidR="00030BED" w:rsidRPr="00734400">
        <w:rPr>
          <w:rFonts w:cstheme="minorHAnsi"/>
          <w:b/>
          <w:lang w:val="en-GB"/>
        </w:rPr>
        <w:t xml:space="preserve"> </w:t>
      </w:r>
      <w:r w:rsidR="00030BED" w:rsidRPr="00734400">
        <w:rPr>
          <w:rFonts w:cstheme="minorHAnsi"/>
          <w:bCs/>
          <w:lang w:val="en-GB"/>
        </w:rPr>
        <w:t xml:space="preserve">mortality rates </w:t>
      </w:r>
      <w:r w:rsidR="000A09DB">
        <w:rPr>
          <w:rFonts w:cstheme="minorHAnsi"/>
          <w:bCs/>
          <w:lang w:val="en-GB"/>
        </w:rPr>
        <w:t xml:space="preserve">are estimated to </w:t>
      </w:r>
      <w:r w:rsidR="000A09DB" w:rsidRPr="00734400">
        <w:rPr>
          <w:rFonts w:cstheme="minorHAnsi"/>
          <w:bCs/>
          <w:lang w:val="en-GB"/>
        </w:rPr>
        <w:t>rang</w:t>
      </w:r>
      <w:r w:rsidR="000A09DB">
        <w:rPr>
          <w:rFonts w:cstheme="minorHAnsi"/>
          <w:bCs/>
          <w:lang w:val="en-GB"/>
        </w:rPr>
        <w:t>e</w:t>
      </w:r>
      <w:r w:rsidR="000A09DB" w:rsidRPr="00734400">
        <w:rPr>
          <w:rFonts w:cstheme="minorHAnsi"/>
          <w:bCs/>
          <w:lang w:val="en-GB"/>
        </w:rPr>
        <w:t xml:space="preserve"> </w:t>
      </w:r>
      <w:r w:rsidR="00030BED" w:rsidRPr="00734400">
        <w:rPr>
          <w:rFonts w:cstheme="minorHAnsi"/>
          <w:bCs/>
          <w:lang w:val="en-GB"/>
        </w:rPr>
        <w:t>between 128.000 to 161.000 deaths a year. [</w:t>
      </w:r>
      <w:r w:rsidR="00D631CB" w:rsidRPr="00734400">
        <w:rPr>
          <w:rFonts w:cstheme="minorHAnsi"/>
          <w:bCs/>
          <w:lang w:val="en-GB"/>
        </w:rPr>
        <w:t>3</w:t>
      </w:r>
      <w:r w:rsidR="00445811">
        <w:rPr>
          <w:rFonts w:cstheme="minorHAnsi"/>
          <w:bCs/>
          <w:lang w:val="en-GB"/>
        </w:rPr>
        <w:t>, 4</w:t>
      </w:r>
      <w:r w:rsidR="00D631CB" w:rsidRPr="00734400">
        <w:rPr>
          <w:rFonts w:cstheme="minorHAnsi"/>
          <w:bCs/>
          <w:lang w:val="en-GB"/>
        </w:rPr>
        <w:t>]</w:t>
      </w:r>
      <w:r w:rsidR="00030BED" w:rsidRPr="00734400">
        <w:rPr>
          <w:rFonts w:cstheme="minorHAnsi"/>
          <w:b/>
          <w:lang w:val="en-GB"/>
        </w:rPr>
        <w:t xml:space="preserve"> </w:t>
      </w:r>
      <w:r w:rsidR="00030BED" w:rsidRPr="00734400">
        <w:rPr>
          <w:rFonts w:cstheme="minorHAnsi"/>
          <w:bCs/>
          <w:lang w:val="en-GB"/>
        </w:rPr>
        <w:t>Causes for t</w:t>
      </w:r>
      <w:r w:rsidR="000C243C" w:rsidRPr="00734400">
        <w:rPr>
          <w:rFonts w:cstheme="minorHAnsi"/>
          <w:bCs/>
          <w:lang w:val="en-GB"/>
        </w:rPr>
        <w:t xml:space="preserve">he wide variety </w:t>
      </w:r>
      <w:r w:rsidR="005F0E29" w:rsidRPr="00734400">
        <w:rPr>
          <w:rFonts w:cstheme="minorHAnsi"/>
          <w:bCs/>
          <w:lang w:val="en-GB"/>
        </w:rPr>
        <w:t>of</w:t>
      </w:r>
      <w:r w:rsidR="000C243C" w:rsidRPr="00734400">
        <w:rPr>
          <w:rFonts w:cstheme="minorHAnsi"/>
          <w:bCs/>
          <w:lang w:val="en-GB"/>
        </w:rPr>
        <w:t xml:space="preserve"> </w:t>
      </w:r>
      <w:r w:rsidR="00FA2AC8" w:rsidRPr="00734400">
        <w:rPr>
          <w:rFonts w:cstheme="minorHAnsi"/>
          <w:bCs/>
          <w:lang w:val="en-GB"/>
        </w:rPr>
        <w:t xml:space="preserve">clinical </w:t>
      </w:r>
      <w:r w:rsidR="000C243C" w:rsidRPr="00734400">
        <w:rPr>
          <w:rFonts w:cstheme="minorHAnsi"/>
          <w:bCs/>
          <w:lang w:val="en-GB"/>
        </w:rPr>
        <w:t>presentation</w:t>
      </w:r>
      <w:r w:rsidR="00030BED" w:rsidRPr="00734400">
        <w:rPr>
          <w:rFonts w:cstheme="minorHAnsi"/>
          <w:bCs/>
          <w:lang w:val="en-GB"/>
        </w:rPr>
        <w:t>s</w:t>
      </w:r>
      <w:r w:rsidR="00FA2AC8" w:rsidRPr="00734400">
        <w:rPr>
          <w:rFonts w:cstheme="minorHAnsi"/>
          <w:bCs/>
          <w:lang w:val="en-GB"/>
        </w:rPr>
        <w:t xml:space="preserve"> </w:t>
      </w:r>
      <w:r w:rsidR="000C243C" w:rsidRPr="00734400">
        <w:rPr>
          <w:rFonts w:cstheme="minorHAnsi"/>
          <w:bCs/>
          <w:lang w:val="en-GB"/>
        </w:rPr>
        <w:t>as well as the</w:t>
      </w:r>
      <w:r w:rsidR="00FA2AC8" w:rsidRPr="00734400">
        <w:rPr>
          <w:rFonts w:cstheme="minorHAnsi"/>
          <w:bCs/>
          <w:lang w:val="en-GB"/>
        </w:rPr>
        <w:t xml:space="preserve"> severity of infection</w:t>
      </w:r>
      <w:r w:rsidR="000A09DB">
        <w:rPr>
          <w:rFonts w:cstheme="minorHAnsi"/>
          <w:bCs/>
          <w:lang w:val="en-GB"/>
        </w:rPr>
        <w:t xml:space="preserve"> </w:t>
      </w:r>
      <w:r w:rsidR="00803AED" w:rsidRPr="00734400">
        <w:rPr>
          <w:rFonts w:cstheme="minorHAnsi"/>
          <w:bCs/>
          <w:lang w:val="en-GB"/>
        </w:rPr>
        <w:t>are not understood</w:t>
      </w:r>
      <w:r w:rsidR="00FA2AC8" w:rsidRPr="00734400">
        <w:rPr>
          <w:rFonts w:cstheme="minorHAnsi"/>
          <w:bCs/>
          <w:lang w:val="en-GB"/>
        </w:rPr>
        <w:t xml:space="preserve">, but </w:t>
      </w:r>
      <w:r w:rsidR="00030BED" w:rsidRPr="00734400">
        <w:rPr>
          <w:rFonts w:cstheme="minorHAnsi"/>
          <w:bCs/>
          <w:lang w:val="en-GB"/>
        </w:rPr>
        <w:t>are hypothesised</w:t>
      </w:r>
      <w:r w:rsidR="000C243C" w:rsidRPr="00734400">
        <w:rPr>
          <w:rFonts w:cstheme="minorHAnsi"/>
          <w:bCs/>
          <w:lang w:val="en-GB"/>
        </w:rPr>
        <w:t xml:space="preserve"> to be driven by altered </w:t>
      </w:r>
      <w:r w:rsidR="00FA2AC8" w:rsidRPr="00734400">
        <w:rPr>
          <w:rFonts w:cstheme="minorHAnsi"/>
          <w:bCs/>
          <w:lang w:val="en-GB"/>
        </w:rPr>
        <w:t>interaction</w:t>
      </w:r>
      <w:r w:rsidR="000C243C" w:rsidRPr="00734400">
        <w:rPr>
          <w:rFonts w:cstheme="minorHAnsi"/>
          <w:bCs/>
          <w:lang w:val="en-GB"/>
        </w:rPr>
        <w:t>s</w:t>
      </w:r>
      <w:r w:rsidR="00FA2AC8" w:rsidRPr="00734400">
        <w:rPr>
          <w:rFonts w:cstheme="minorHAnsi"/>
          <w:bCs/>
          <w:lang w:val="en-GB"/>
        </w:rPr>
        <w:t xml:space="preserve"> between </w:t>
      </w:r>
      <w:r w:rsidR="00FA2AC8" w:rsidRPr="000A514E">
        <w:rPr>
          <w:rFonts w:cstheme="minorHAnsi"/>
          <w:bCs/>
          <w:i/>
          <w:lang w:val="en-GB"/>
        </w:rPr>
        <w:t>Salmonella</w:t>
      </w:r>
      <w:r w:rsidR="00FA2AC8" w:rsidRPr="00734400">
        <w:rPr>
          <w:rFonts w:cstheme="minorHAnsi"/>
          <w:bCs/>
          <w:lang w:val="en-GB"/>
        </w:rPr>
        <w:t xml:space="preserve"> serovars and the host</w:t>
      </w:r>
      <w:r w:rsidR="000C243C" w:rsidRPr="00734400">
        <w:rPr>
          <w:rFonts w:cstheme="minorHAnsi"/>
          <w:bCs/>
          <w:lang w:val="en-GB"/>
        </w:rPr>
        <w:t xml:space="preserve"> response</w:t>
      </w:r>
      <w:r w:rsidR="00FA2AC8" w:rsidRPr="00734400">
        <w:rPr>
          <w:rFonts w:cstheme="minorHAnsi"/>
          <w:bCs/>
          <w:lang w:val="en-GB"/>
        </w:rPr>
        <w:t>.</w:t>
      </w:r>
      <w:r w:rsidR="00FA2AC8" w:rsidRPr="00734400">
        <w:rPr>
          <w:rFonts w:cstheme="minorHAnsi"/>
          <w:b/>
          <w:lang w:val="en-GB"/>
        </w:rPr>
        <w:t xml:space="preserve"> </w:t>
      </w:r>
      <w:r w:rsidR="00FA2AC8" w:rsidRPr="00734400">
        <w:rPr>
          <w:rFonts w:cstheme="minorHAnsi"/>
          <w:bCs/>
          <w:lang w:val="en-GB"/>
        </w:rPr>
        <w:t>[</w:t>
      </w:r>
      <w:r w:rsidR="00445811">
        <w:rPr>
          <w:rFonts w:cstheme="minorHAnsi"/>
          <w:bCs/>
          <w:lang w:val="en-GB"/>
        </w:rPr>
        <w:t>5</w:t>
      </w:r>
      <w:r w:rsidR="00030BED" w:rsidRPr="00734400">
        <w:rPr>
          <w:rFonts w:cstheme="minorHAnsi"/>
          <w:bCs/>
          <w:lang w:val="en-GB"/>
        </w:rPr>
        <w:t xml:space="preserve">, </w:t>
      </w:r>
      <w:r w:rsidR="00445811">
        <w:rPr>
          <w:rFonts w:cstheme="minorHAnsi"/>
          <w:bCs/>
          <w:lang w:val="en-GB"/>
        </w:rPr>
        <w:t>6</w:t>
      </w:r>
      <w:r w:rsidR="00FA2AC8" w:rsidRPr="00734400">
        <w:rPr>
          <w:rFonts w:cstheme="minorHAnsi"/>
          <w:bCs/>
          <w:lang w:val="en-GB"/>
        </w:rPr>
        <w:t>]</w:t>
      </w:r>
      <w:r w:rsidR="00797F1A" w:rsidRPr="00734400">
        <w:rPr>
          <w:rFonts w:cstheme="minorHAnsi"/>
          <w:bCs/>
          <w:lang w:val="en-GB"/>
        </w:rPr>
        <w:t xml:space="preserve"> </w:t>
      </w:r>
    </w:p>
    <w:p w14:paraId="018C6E43" w14:textId="3D47659D" w:rsidR="002B7D4A" w:rsidRDefault="00DC2730" w:rsidP="00A7030C">
      <w:pPr>
        <w:spacing w:line="360" w:lineRule="auto"/>
        <w:jc w:val="both"/>
        <w:rPr>
          <w:rFonts w:cstheme="minorHAnsi"/>
          <w:b/>
          <w:lang w:val="en-GB"/>
        </w:rPr>
      </w:pPr>
      <w:r w:rsidRPr="00734400">
        <w:rPr>
          <w:rFonts w:cstheme="minorHAnsi"/>
          <w:bCs/>
          <w:lang w:val="en-GB"/>
        </w:rPr>
        <w:t xml:space="preserve">Research interest into the micro-organisms that reside in </w:t>
      </w:r>
      <w:r w:rsidR="00671FEA">
        <w:rPr>
          <w:rFonts w:cstheme="minorHAnsi"/>
          <w:bCs/>
          <w:lang w:val="en-GB"/>
        </w:rPr>
        <w:t xml:space="preserve">our </w:t>
      </w:r>
      <w:r w:rsidR="00FB57CF">
        <w:rPr>
          <w:rFonts w:cstheme="minorHAnsi"/>
          <w:bCs/>
          <w:lang w:val="en-GB"/>
        </w:rPr>
        <w:t xml:space="preserve">gastrointestinal </w:t>
      </w:r>
      <w:r w:rsidR="00FB57CF" w:rsidRPr="00734400">
        <w:rPr>
          <w:rFonts w:cstheme="minorHAnsi"/>
          <w:bCs/>
          <w:lang w:val="en-GB"/>
        </w:rPr>
        <w:t>tract</w:t>
      </w:r>
      <w:r w:rsidRPr="00734400">
        <w:rPr>
          <w:rFonts w:cstheme="minorHAnsi"/>
          <w:bCs/>
          <w:lang w:val="en-GB"/>
        </w:rPr>
        <w:t xml:space="preserve"> –</w:t>
      </w:r>
      <w:r w:rsidR="0058783C" w:rsidRPr="00734400">
        <w:rPr>
          <w:rFonts w:cstheme="minorHAnsi"/>
          <w:bCs/>
          <w:lang w:val="en-GB"/>
        </w:rPr>
        <w:t xml:space="preserve"> the </w:t>
      </w:r>
      <w:r w:rsidR="00671FEA">
        <w:rPr>
          <w:rFonts w:cstheme="minorHAnsi"/>
          <w:bCs/>
          <w:lang w:val="en-GB"/>
        </w:rPr>
        <w:t xml:space="preserve">gut </w:t>
      </w:r>
      <w:r w:rsidR="0058783C" w:rsidRPr="00734400">
        <w:rPr>
          <w:rFonts w:cstheme="minorHAnsi"/>
          <w:bCs/>
          <w:lang w:val="en-GB"/>
        </w:rPr>
        <w:t>microbiome</w:t>
      </w:r>
      <w:r w:rsidR="009F2FCA">
        <w:rPr>
          <w:rFonts w:cstheme="minorHAnsi"/>
          <w:bCs/>
          <w:lang w:val="en-GB"/>
        </w:rPr>
        <w:t xml:space="preserve"> </w:t>
      </w:r>
      <w:r w:rsidRPr="00734400">
        <w:rPr>
          <w:rFonts w:cstheme="minorHAnsi"/>
          <w:bCs/>
          <w:lang w:val="en-GB"/>
        </w:rPr>
        <w:t xml:space="preserve">– has surged in the last two decades. With the advent and improvement of technical and computational modalities to chart </w:t>
      </w:r>
      <w:r w:rsidR="00FA2AC8" w:rsidRPr="00734400">
        <w:rPr>
          <w:rFonts w:cstheme="minorHAnsi"/>
          <w:bCs/>
          <w:lang w:val="en-GB"/>
        </w:rPr>
        <w:t>the microbio</w:t>
      </w:r>
      <w:r w:rsidR="00030BED" w:rsidRPr="00734400">
        <w:rPr>
          <w:rFonts w:cstheme="minorHAnsi"/>
          <w:bCs/>
          <w:lang w:val="en-GB"/>
        </w:rPr>
        <w:t>me</w:t>
      </w:r>
      <w:r w:rsidRPr="00734400">
        <w:rPr>
          <w:rFonts w:cstheme="minorHAnsi"/>
          <w:bCs/>
          <w:lang w:val="en-GB"/>
        </w:rPr>
        <w:t>, researchers have uncovered that the</w:t>
      </w:r>
      <w:r w:rsidR="00FA2AC8" w:rsidRPr="00734400">
        <w:rPr>
          <w:rFonts w:cstheme="minorHAnsi"/>
          <w:bCs/>
          <w:lang w:val="en-GB"/>
        </w:rPr>
        <w:t xml:space="preserve">se communities </w:t>
      </w:r>
      <w:r w:rsidRPr="00734400">
        <w:rPr>
          <w:rFonts w:cstheme="minorHAnsi"/>
          <w:bCs/>
          <w:lang w:val="en-GB"/>
        </w:rPr>
        <w:t>h</w:t>
      </w:r>
      <w:r w:rsidR="00FA2AC8" w:rsidRPr="00734400">
        <w:rPr>
          <w:rFonts w:cstheme="minorHAnsi"/>
          <w:bCs/>
          <w:lang w:val="en-GB"/>
        </w:rPr>
        <w:t>ave</w:t>
      </w:r>
      <w:r w:rsidRPr="00734400">
        <w:rPr>
          <w:rFonts w:cstheme="minorHAnsi"/>
          <w:bCs/>
          <w:lang w:val="en-GB"/>
        </w:rPr>
        <w:t xml:space="preserve"> </w:t>
      </w:r>
      <w:r w:rsidR="00FA2AC8" w:rsidRPr="00734400">
        <w:rPr>
          <w:rFonts w:cstheme="minorHAnsi"/>
          <w:bCs/>
          <w:lang w:val="en-GB"/>
        </w:rPr>
        <w:t>important</w:t>
      </w:r>
      <w:r w:rsidR="0058783C" w:rsidRPr="00734400">
        <w:rPr>
          <w:rFonts w:cstheme="minorHAnsi"/>
          <w:bCs/>
          <w:lang w:val="en-GB"/>
        </w:rPr>
        <w:t xml:space="preserve"> functions in</w:t>
      </w:r>
      <w:r w:rsidR="0068080B" w:rsidRPr="00734400">
        <w:rPr>
          <w:rFonts w:cstheme="minorHAnsi"/>
          <w:bCs/>
          <w:lang w:val="en-GB"/>
        </w:rPr>
        <w:t xml:space="preserve"> the</w:t>
      </w:r>
      <w:r w:rsidR="0058783C" w:rsidRPr="00734400">
        <w:rPr>
          <w:rFonts w:cstheme="minorHAnsi"/>
          <w:bCs/>
          <w:lang w:val="en-GB"/>
        </w:rPr>
        <w:t xml:space="preserve"> </w:t>
      </w:r>
      <w:r w:rsidRPr="00734400">
        <w:rPr>
          <w:rFonts w:cstheme="minorHAnsi"/>
          <w:bCs/>
          <w:lang w:val="en-GB"/>
        </w:rPr>
        <w:t xml:space="preserve">protection against </w:t>
      </w:r>
      <w:r w:rsidR="00FA2AC8" w:rsidRPr="00734400">
        <w:rPr>
          <w:rFonts w:cstheme="minorHAnsi"/>
          <w:bCs/>
          <w:lang w:val="en-GB"/>
        </w:rPr>
        <w:t xml:space="preserve">enteric and systemic </w:t>
      </w:r>
      <w:r w:rsidRPr="00734400">
        <w:rPr>
          <w:rFonts w:cstheme="minorHAnsi"/>
          <w:bCs/>
          <w:lang w:val="en-GB"/>
        </w:rPr>
        <w:t>infectious diseases.</w:t>
      </w:r>
      <w:r w:rsidR="0058783C" w:rsidRPr="00734400">
        <w:rPr>
          <w:rFonts w:cstheme="minorHAnsi"/>
          <w:bCs/>
          <w:lang w:val="en-GB"/>
        </w:rPr>
        <w:t xml:space="preserve"> </w:t>
      </w:r>
      <w:r w:rsidR="00FA2AC8" w:rsidRPr="00734400">
        <w:rPr>
          <w:rFonts w:cstheme="minorHAnsi"/>
          <w:bCs/>
          <w:lang w:val="en-GB"/>
        </w:rPr>
        <w:t>[</w:t>
      </w:r>
      <w:r w:rsidR="00445811">
        <w:rPr>
          <w:rFonts w:cstheme="minorHAnsi"/>
          <w:bCs/>
          <w:lang w:val="en-GB"/>
        </w:rPr>
        <w:t>7–9</w:t>
      </w:r>
      <w:r w:rsidR="00FA2AC8" w:rsidRPr="00734400">
        <w:rPr>
          <w:rFonts w:cstheme="minorHAnsi"/>
          <w:bCs/>
          <w:lang w:val="en-GB"/>
        </w:rPr>
        <w:t xml:space="preserve">] </w:t>
      </w:r>
      <w:r w:rsidR="00457AE5" w:rsidRPr="00734400">
        <w:rPr>
          <w:rFonts w:cstheme="minorHAnsi"/>
          <w:bCs/>
          <w:lang w:val="en-GB"/>
        </w:rPr>
        <w:t xml:space="preserve">In homeostasis, </w:t>
      </w:r>
      <w:r w:rsidRPr="00734400">
        <w:rPr>
          <w:rFonts w:cstheme="minorHAnsi"/>
          <w:bCs/>
          <w:lang w:val="en-GB"/>
        </w:rPr>
        <w:t>bacteria</w:t>
      </w:r>
      <w:r w:rsidR="0068080B" w:rsidRPr="00734400">
        <w:rPr>
          <w:rFonts w:cstheme="minorHAnsi"/>
          <w:bCs/>
          <w:lang w:val="en-GB"/>
        </w:rPr>
        <w:t>l communities</w:t>
      </w:r>
      <w:r w:rsidRPr="00734400">
        <w:rPr>
          <w:rFonts w:cstheme="minorHAnsi"/>
          <w:bCs/>
          <w:lang w:val="en-GB"/>
        </w:rPr>
        <w:t xml:space="preserve"> residing in the gut</w:t>
      </w:r>
      <w:r w:rsidR="0058783C" w:rsidRPr="00734400">
        <w:rPr>
          <w:rFonts w:cstheme="minorHAnsi"/>
          <w:bCs/>
          <w:lang w:val="en-GB"/>
        </w:rPr>
        <w:t xml:space="preserve"> </w:t>
      </w:r>
      <w:r w:rsidRPr="00734400">
        <w:rPr>
          <w:rFonts w:cstheme="minorHAnsi"/>
          <w:bCs/>
          <w:lang w:val="en-GB"/>
        </w:rPr>
        <w:t>are able to</w:t>
      </w:r>
      <w:r w:rsidR="0058783C" w:rsidRPr="00734400">
        <w:rPr>
          <w:rFonts w:cstheme="minorHAnsi"/>
          <w:bCs/>
          <w:lang w:val="en-GB"/>
        </w:rPr>
        <w:t xml:space="preserve"> </w:t>
      </w:r>
      <w:r w:rsidR="00030BED" w:rsidRPr="00734400">
        <w:rPr>
          <w:rFonts w:cstheme="minorHAnsi"/>
          <w:bCs/>
          <w:lang w:val="en-GB"/>
        </w:rPr>
        <w:t>impair the growth of opportunistic and</w:t>
      </w:r>
      <w:r w:rsidRPr="00734400">
        <w:rPr>
          <w:rFonts w:cstheme="minorHAnsi"/>
          <w:bCs/>
          <w:lang w:val="en-GB"/>
        </w:rPr>
        <w:t xml:space="preserve"> enteric pathogens</w:t>
      </w:r>
      <w:r w:rsidR="00BC569F" w:rsidRPr="00734400">
        <w:rPr>
          <w:rFonts w:cstheme="minorHAnsi"/>
          <w:bCs/>
          <w:lang w:val="en-GB"/>
        </w:rPr>
        <w:t>, a process termed colonization resistance</w:t>
      </w:r>
      <w:r w:rsidR="00457AE5" w:rsidRPr="00734400">
        <w:rPr>
          <w:rFonts w:cstheme="minorHAnsi"/>
          <w:bCs/>
          <w:lang w:val="en-GB"/>
        </w:rPr>
        <w:t xml:space="preserve">. </w:t>
      </w:r>
      <w:r w:rsidR="00803AED" w:rsidRPr="00734400">
        <w:rPr>
          <w:rFonts w:cstheme="minorHAnsi"/>
          <w:bCs/>
          <w:lang w:val="en-GB"/>
        </w:rPr>
        <w:t>[</w:t>
      </w:r>
      <w:r w:rsidR="00445811">
        <w:rPr>
          <w:rFonts w:cstheme="minorHAnsi"/>
          <w:bCs/>
          <w:lang w:val="en-GB"/>
        </w:rPr>
        <w:t>7</w:t>
      </w:r>
      <w:r w:rsidR="00803AED" w:rsidRPr="00734400">
        <w:rPr>
          <w:rFonts w:cstheme="minorHAnsi"/>
          <w:bCs/>
          <w:lang w:val="en-GB"/>
        </w:rPr>
        <w:t>]</w:t>
      </w:r>
      <w:r w:rsidR="00BC569F" w:rsidRPr="00734400">
        <w:rPr>
          <w:rFonts w:cstheme="minorHAnsi"/>
          <w:bCs/>
          <w:lang w:val="en-GB"/>
        </w:rPr>
        <w:t xml:space="preserve"> </w:t>
      </w:r>
      <w:r w:rsidR="00FD62B6" w:rsidRPr="00734400">
        <w:rPr>
          <w:rFonts w:cstheme="minorHAnsi"/>
          <w:bCs/>
          <w:lang w:val="en-GB"/>
        </w:rPr>
        <w:t xml:space="preserve">As an </w:t>
      </w:r>
      <w:r w:rsidR="00BC569F" w:rsidRPr="00734400">
        <w:rPr>
          <w:rFonts w:cstheme="minorHAnsi"/>
          <w:bCs/>
          <w:lang w:val="en-GB"/>
        </w:rPr>
        <w:t xml:space="preserve">example, </w:t>
      </w:r>
      <w:r w:rsidR="00917AFF" w:rsidRPr="00734400">
        <w:rPr>
          <w:rFonts w:cstheme="minorHAnsi"/>
          <w:bCs/>
          <w:lang w:val="en-GB"/>
        </w:rPr>
        <w:t xml:space="preserve">bacterial species and their products </w:t>
      </w:r>
      <w:r w:rsidR="00FD62B6" w:rsidRPr="00734400">
        <w:rPr>
          <w:rFonts w:cstheme="minorHAnsi"/>
          <w:bCs/>
          <w:lang w:val="en-GB"/>
        </w:rPr>
        <w:t xml:space="preserve">can </w:t>
      </w:r>
      <w:r w:rsidR="00917AFF" w:rsidRPr="00734400">
        <w:rPr>
          <w:rFonts w:cstheme="minorHAnsi"/>
          <w:bCs/>
          <w:lang w:val="en-GB"/>
        </w:rPr>
        <w:t>provide direct colonization resistance by</w:t>
      </w:r>
      <w:r w:rsidR="000C243C" w:rsidRPr="00734400">
        <w:rPr>
          <w:rFonts w:cstheme="minorHAnsi"/>
          <w:bCs/>
          <w:lang w:val="en-GB"/>
        </w:rPr>
        <w:t xml:space="preserve"> nutrient depletion and antimicrobial peptide production</w:t>
      </w:r>
      <w:r w:rsidR="00030BED" w:rsidRPr="00734400">
        <w:rPr>
          <w:rFonts w:cstheme="minorHAnsi"/>
          <w:bCs/>
          <w:lang w:val="en-GB"/>
        </w:rPr>
        <w:t xml:space="preserve"> within the intestine</w:t>
      </w:r>
      <w:r w:rsidR="00917AFF" w:rsidRPr="00734400">
        <w:rPr>
          <w:rFonts w:cstheme="minorHAnsi"/>
          <w:bCs/>
          <w:lang w:val="en-GB"/>
        </w:rPr>
        <w:t>,</w:t>
      </w:r>
      <w:r w:rsidR="000C243C" w:rsidRPr="00734400">
        <w:rPr>
          <w:rFonts w:cstheme="minorHAnsi"/>
          <w:bCs/>
          <w:lang w:val="en-GB"/>
        </w:rPr>
        <w:t xml:space="preserve"> </w:t>
      </w:r>
      <w:r w:rsidR="00030BED" w:rsidRPr="00734400">
        <w:rPr>
          <w:rFonts w:cstheme="minorHAnsi"/>
          <w:bCs/>
          <w:lang w:val="en-GB"/>
        </w:rPr>
        <w:t>as well as indirectly by enhancement</w:t>
      </w:r>
      <w:r w:rsidR="0091709E" w:rsidRPr="00734400">
        <w:rPr>
          <w:rFonts w:cstheme="minorHAnsi"/>
          <w:bCs/>
          <w:lang w:val="en-GB"/>
        </w:rPr>
        <w:t xml:space="preserve"> of the intestinal epithelial barrier </w:t>
      </w:r>
      <w:r w:rsidR="00030BED" w:rsidRPr="00734400">
        <w:rPr>
          <w:rFonts w:cstheme="minorHAnsi"/>
          <w:bCs/>
          <w:lang w:val="en-GB"/>
        </w:rPr>
        <w:t>and</w:t>
      </w:r>
      <w:r w:rsidR="0091709E" w:rsidRPr="00734400">
        <w:rPr>
          <w:rFonts w:cstheme="minorHAnsi"/>
          <w:bCs/>
          <w:lang w:val="en-GB"/>
        </w:rPr>
        <w:t xml:space="preserve"> </w:t>
      </w:r>
      <w:r w:rsidR="00030BED" w:rsidRPr="00734400">
        <w:rPr>
          <w:rFonts w:cstheme="minorHAnsi"/>
          <w:bCs/>
          <w:lang w:val="en-GB"/>
        </w:rPr>
        <w:t>the</w:t>
      </w:r>
      <w:r w:rsidR="0091709E" w:rsidRPr="00734400">
        <w:rPr>
          <w:rFonts w:cstheme="minorHAnsi"/>
          <w:bCs/>
          <w:lang w:val="en-GB"/>
        </w:rPr>
        <w:t xml:space="preserve"> upregulation</w:t>
      </w:r>
      <w:r w:rsidR="000C243C" w:rsidRPr="00734400">
        <w:rPr>
          <w:rFonts w:cstheme="minorHAnsi"/>
          <w:bCs/>
          <w:lang w:val="en-GB"/>
        </w:rPr>
        <w:t xml:space="preserve"> o</w:t>
      </w:r>
      <w:r w:rsidR="0091709E" w:rsidRPr="00734400">
        <w:rPr>
          <w:rFonts w:cstheme="minorHAnsi"/>
          <w:bCs/>
          <w:lang w:val="en-GB"/>
        </w:rPr>
        <w:t>f mucosal</w:t>
      </w:r>
      <w:r w:rsidR="000C243C" w:rsidRPr="00734400">
        <w:rPr>
          <w:rFonts w:cstheme="minorHAnsi"/>
          <w:bCs/>
          <w:lang w:val="en-GB"/>
        </w:rPr>
        <w:t xml:space="preserve"> T helper 17</w:t>
      </w:r>
      <w:r w:rsidR="0091709E" w:rsidRPr="00734400">
        <w:rPr>
          <w:rFonts w:cstheme="minorHAnsi"/>
          <w:bCs/>
          <w:lang w:val="en-GB"/>
        </w:rPr>
        <w:t xml:space="preserve"> </w:t>
      </w:r>
      <w:r w:rsidR="00030BED" w:rsidRPr="00734400">
        <w:rPr>
          <w:rFonts w:cstheme="minorHAnsi"/>
          <w:bCs/>
          <w:lang w:val="en-GB"/>
        </w:rPr>
        <w:t xml:space="preserve">(Th17) </w:t>
      </w:r>
      <w:r w:rsidR="0091709E" w:rsidRPr="00734400">
        <w:rPr>
          <w:rFonts w:cstheme="minorHAnsi"/>
          <w:bCs/>
          <w:lang w:val="en-GB"/>
        </w:rPr>
        <w:t>cell</w:t>
      </w:r>
      <w:r w:rsidR="00030BED" w:rsidRPr="00734400">
        <w:rPr>
          <w:rFonts w:cstheme="minorHAnsi"/>
          <w:bCs/>
          <w:lang w:val="en-GB"/>
        </w:rPr>
        <w:t xml:space="preserve">s, </w:t>
      </w:r>
      <w:r w:rsidR="0094584F" w:rsidRPr="0094584F">
        <w:rPr>
          <w:rFonts w:cstheme="minorHAnsi"/>
          <w:color w:val="000000"/>
          <w:lang w:val="en-US"/>
        </w:rPr>
        <w:t xml:space="preserve">group 3 innate lymphoid cells </w:t>
      </w:r>
      <w:r w:rsidR="000C243C" w:rsidRPr="00734400">
        <w:rPr>
          <w:rFonts w:cstheme="minorHAnsi"/>
          <w:bCs/>
          <w:lang w:val="en-GB"/>
        </w:rPr>
        <w:t xml:space="preserve">and regulatory T </w:t>
      </w:r>
      <w:r w:rsidR="000C243C" w:rsidRPr="00141EBC">
        <w:rPr>
          <w:rFonts w:cstheme="minorHAnsi"/>
          <w:bCs/>
          <w:lang w:val="en-GB"/>
        </w:rPr>
        <w:t>cell</w:t>
      </w:r>
      <w:r w:rsidR="0091709E" w:rsidRPr="00141EBC">
        <w:rPr>
          <w:rFonts w:cstheme="minorHAnsi"/>
          <w:bCs/>
          <w:lang w:val="en-GB"/>
        </w:rPr>
        <w:t>s</w:t>
      </w:r>
      <w:r w:rsidR="000C243C" w:rsidRPr="00141EBC">
        <w:rPr>
          <w:rFonts w:cstheme="minorHAnsi"/>
          <w:bCs/>
          <w:lang w:val="en-GB"/>
        </w:rPr>
        <w:t xml:space="preserve"> </w:t>
      </w:r>
      <w:r w:rsidR="00803AED" w:rsidRPr="00141EBC">
        <w:rPr>
          <w:rFonts w:cstheme="minorHAnsi"/>
          <w:bCs/>
          <w:lang w:val="en-GB"/>
        </w:rPr>
        <w:t>[</w:t>
      </w:r>
      <w:r w:rsidR="00445811">
        <w:rPr>
          <w:rFonts w:cstheme="minorHAnsi"/>
          <w:bCs/>
          <w:lang w:val="en-GB"/>
        </w:rPr>
        <w:t>10</w:t>
      </w:r>
      <w:r w:rsidR="00803AED" w:rsidRPr="00141EBC">
        <w:rPr>
          <w:rFonts w:cstheme="minorHAnsi"/>
          <w:bCs/>
          <w:lang w:val="en-GB"/>
        </w:rPr>
        <w:t>]</w:t>
      </w:r>
      <w:r w:rsidR="00917AFF" w:rsidRPr="00141EBC">
        <w:rPr>
          <w:rFonts w:cstheme="minorHAnsi"/>
          <w:bCs/>
          <w:lang w:val="en-GB"/>
        </w:rPr>
        <w:t>.</w:t>
      </w:r>
      <w:r w:rsidR="00917AFF" w:rsidRPr="00141EBC">
        <w:rPr>
          <w:rFonts w:cstheme="minorHAnsi"/>
          <w:b/>
          <w:lang w:val="en-GB"/>
        </w:rPr>
        <w:t xml:space="preserve"> </w:t>
      </w:r>
    </w:p>
    <w:p w14:paraId="7A7C290F" w14:textId="0F04E1AC" w:rsidR="009552AB" w:rsidRPr="00141EBC" w:rsidRDefault="000B2F47" w:rsidP="00A7030C">
      <w:pPr>
        <w:spacing w:line="360" w:lineRule="auto"/>
        <w:jc w:val="both"/>
        <w:rPr>
          <w:rFonts w:cstheme="minorHAnsi"/>
          <w:b/>
          <w:lang w:val="en-GB"/>
        </w:rPr>
      </w:pPr>
      <w:r w:rsidRPr="00141EBC">
        <w:rPr>
          <w:rFonts w:cstheme="minorHAnsi"/>
          <w:bCs/>
          <w:lang w:val="en-GB"/>
        </w:rPr>
        <w:t xml:space="preserve">Murine typhoid models with </w:t>
      </w:r>
      <w:r w:rsidR="009447D5" w:rsidRPr="009447D5">
        <w:rPr>
          <w:rFonts w:cstheme="minorHAnsi"/>
          <w:bCs/>
          <w:i/>
          <w:iCs/>
          <w:lang w:val="en-GB"/>
        </w:rPr>
        <w:t>S. Typhi</w:t>
      </w:r>
      <w:r w:rsidR="0058783C" w:rsidRPr="009447D5">
        <w:rPr>
          <w:rFonts w:cstheme="minorHAnsi"/>
          <w:bCs/>
          <w:i/>
          <w:iCs/>
          <w:lang w:val="en-GB"/>
        </w:rPr>
        <w:t>murium</w:t>
      </w:r>
      <w:r w:rsidRPr="00141EBC">
        <w:rPr>
          <w:rFonts w:cstheme="minorHAnsi"/>
          <w:bCs/>
          <w:lang w:val="en-GB"/>
        </w:rPr>
        <w:t xml:space="preserve"> </w:t>
      </w:r>
      <w:r w:rsidR="002053F0" w:rsidRPr="00141EBC">
        <w:rPr>
          <w:rFonts w:cstheme="minorHAnsi"/>
          <w:bCs/>
          <w:lang w:val="en-GB"/>
        </w:rPr>
        <w:t>underscore the</w:t>
      </w:r>
      <w:r w:rsidR="00030BED" w:rsidRPr="00141EBC">
        <w:rPr>
          <w:rFonts w:cstheme="minorHAnsi"/>
          <w:bCs/>
          <w:lang w:val="en-GB"/>
        </w:rPr>
        <w:t xml:space="preserve"> protective</w:t>
      </w:r>
      <w:r w:rsidR="002053F0" w:rsidRPr="00141EBC">
        <w:rPr>
          <w:rFonts w:cstheme="minorHAnsi"/>
          <w:bCs/>
          <w:lang w:val="en-GB"/>
        </w:rPr>
        <w:t xml:space="preserve"> </w:t>
      </w:r>
      <w:r w:rsidR="00030BED" w:rsidRPr="00141EBC">
        <w:rPr>
          <w:rFonts w:cstheme="minorHAnsi"/>
          <w:bCs/>
          <w:lang w:val="en-GB"/>
        </w:rPr>
        <w:t>role</w:t>
      </w:r>
      <w:r w:rsidR="002053F0" w:rsidRPr="00141EBC">
        <w:rPr>
          <w:rFonts w:cstheme="minorHAnsi"/>
          <w:bCs/>
          <w:lang w:val="en-GB"/>
        </w:rPr>
        <w:t xml:space="preserve"> of gut commensals, as</w:t>
      </w:r>
      <w:r w:rsidRPr="00141EBC">
        <w:rPr>
          <w:rFonts w:cstheme="minorHAnsi"/>
          <w:bCs/>
          <w:lang w:val="en-GB"/>
        </w:rPr>
        <w:t xml:space="preserve"> it has been shown that the presence of </w:t>
      </w:r>
      <w:r w:rsidR="001120FE" w:rsidRPr="00141EBC">
        <w:rPr>
          <w:rFonts w:cstheme="minorHAnsi"/>
          <w:bCs/>
          <w:lang w:val="en-GB"/>
        </w:rPr>
        <w:t xml:space="preserve">anaerobic microbiota-derived </w:t>
      </w:r>
      <w:r w:rsidR="00D23842">
        <w:rPr>
          <w:rFonts w:cstheme="minorHAnsi"/>
          <w:bCs/>
          <w:lang w:val="en-GB"/>
        </w:rPr>
        <w:t xml:space="preserve">short-chain fatty acids, such as </w:t>
      </w:r>
      <w:r w:rsidRPr="00141EBC">
        <w:rPr>
          <w:rFonts w:cstheme="minorHAnsi"/>
          <w:bCs/>
          <w:lang w:val="en-GB"/>
        </w:rPr>
        <w:t xml:space="preserve">butyrate </w:t>
      </w:r>
      <w:r w:rsidRPr="00B514B7">
        <w:rPr>
          <w:rFonts w:cstheme="minorHAnsi"/>
          <w:bCs/>
          <w:lang w:val="en-GB"/>
        </w:rPr>
        <w:t>and propionate</w:t>
      </w:r>
      <w:r w:rsidR="00D23842">
        <w:rPr>
          <w:rFonts w:cstheme="minorHAnsi"/>
          <w:bCs/>
          <w:lang w:val="en-GB"/>
        </w:rPr>
        <w:t xml:space="preserve">, </w:t>
      </w:r>
      <w:r w:rsidR="001120FE" w:rsidRPr="00B514B7">
        <w:rPr>
          <w:rFonts w:cstheme="minorHAnsi"/>
          <w:bCs/>
          <w:lang w:val="en-GB"/>
        </w:rPr>
        <w:t xml:space="preserve">reduces the growth of the pathogen by </w:t>
      </w:r>
      <w:r w:rsidRPr="00B514B7">
        <w:rPr>
          <w:rFonts w:cstheme="minorHAnsi"/>
          <w:bCs/>
          <w:lang w:val="en-GB"/>
        </w:rPr>
        <w:t>reducing</w:t>
      </w:r>
      <w:r w:rsidR="001120FE" w:rsidRPr="00B514B7">
        <w:rPr>
          <w:rFonts w:cstheme="minorHAnsi"/>
          <w:bCs/>
          <w:lang w:val="en-GB"/>
        </w:rPr>
        <w:t xml:space="preserve"> both the</w:t>
      </w:r>
      <w:r w:rsidRPr="00B514B7">
        <w:rPr>
          <w:rFonts w:cstheme="minorHAnsi"/>
          <w:bCs/>
          <w:lang w:val="en-GB"/>
        </w:rPr>
        <w:t xml:space="preserve"> oxygen </w:t>
      </w:r>
      <w:r w:rsidR="00DE62FE" w:rsidRPr="002B7D4A">
        <w:rPr>
          <w:rFonts w:cstheme="minorHAnsi"/>
          <w:bCs/>
          <w:lang w:val="en-GB"/>
        </w:rPr>
        <w:t>availability</w:t>
      </w:r>
      <w:r w:rsidRPr="002B7D4A">
        <w:rPr>
          <w:rFonts w:cstheme="minorHAnsi"/>
          <w:bCs/>
          <w:lang w:val="en-GB"/>
        </w:rPr>
        <w:t xml:space="preserve"> and </w:t>
      </w:r>
      <w:r w:rsidR="001120FE" w:rsidRPr="002B7D4A">
        <w:rPr>
          <w:rFonts w:cstheme="minorHAnsi"/>
          <w:bCs/>
          <w:lang w:val="en-GB"/>
        </w:rPr>
        <w:t>pH levels</w:t>
      </w:r>
      <w:r w:rsidRPr="002B7D4A">
        <w:rPr>
          <w:rFonts w:cstheme="minorHAnsi"/>
          <w:bCs/>
          <w:lang w:val="en-GB"/>
        </w:rPr>
        <w:t xml:space="preserve"> of the gut environment</w:t>
      </w:r>
      <w:r w:rsidR="00803AED" w:rsidRPr="00B514B7">
        <w:rPr>
          <w:rFonts w:cstheme="minorHAnsi"/>
          <w:bCs/>
          <w:lang w:val="en-GB"/>
        </w:rPr>
        <w:t xml:space="preserve"> </w:t>
      </w:r>
      <w:r w:rsidR="0058783C" w:rsidRPr="00B514B7">
        <w:rPr>
          <w:rFonts w:cstheme="minorHAnsi"/>
          <w:bCs/>
          <w:lang w:val="en-GB"/>
        </w:rPr>
        <w:t>[</w:t>
      </w:r>
      <w:r w:rsidR="00445811" w:rsidRPr="00B514B7">
        <w:rPr>
          <w:rFonts w:cstheme="minorHAnsi"/>
          <w:bCs/>
          <w:lang w:val="en-GB"/>
        </w:rPr>
        <w:t>11</w:t>
      </w:r>
      <w:r w:rsidR="001A2AD0" w:rsidRPr="00B514B7">
        <w:rPr>
          <w:rFonts w:cstheme="minorHAnsi"/>
          <w:bCs/>
          <w:lang w:val="en-GB"/>
        </w:rPr>
        <w:t>–1</w:t>
      </w:r>
      <w:r w:rsidR="00445811" w:rsidRPr="00B514B7">
        <w:rPr>
          <w:rFonts w:cstheme="minorHAnsi"/>
          <w:bCs/>
          <w:lang w:val="en-GB"/>
        </w:rPr>
        <w:t>3</w:t>
      </w:r>
      <w:r w:rsidR="0058783C" w:rsidRPr="00B514B7">
        <w:rPr>
          <w:rFonts w:cstheme="minorHAnsi"/>
          <w:bCs/>
          <w:lang w:val="en-GB"/>
        </w:rPr>
        <w:t>].</w:t>
      </w:r>
      <w:r w:rsidR="00D23842">
        <w:rPr>
          <w:rFonts w:cstheme="minorHAnsi"/>
          <w:bCs/>
          <w:lang w:val="en-GB"/>
        </w:rPr>
        <w:t xml:space="preserve"> </w:t>
      </w:r>
      <w:r w:rsidR="00B514B7" w:rsidRPr="00B514B7">
        <w:rPr>
          <w:rFonts w:cstheme="minorHAnsi"/>
          <w:bCs/>
          <w:lang w:val="en-GB"/>
        </w:rPr>
        <w:t>In addition,</w:t>
      </w:r>
      <w:r w:rsidR="00386D5A" w:rsidRPr="00B514B7">
        <w:rPr>
          <w:rFonts w:cstheme="minorHAnsi"/>
          <w:bCs/>
          <w:lang w:val="en-GB"/>
        </w:rPr>
        <w:t xml:space="preserve"> </w:t>
      </w:r>
      <w:r w:rsidR="00386D5A" w:rsidRPr="009447D5">
        <w:rPr>
          <w:rFonts w:cstheme="minorHAnsi"/>
          <w:bCs/>
          <w:i/>
          <w:iCs/>
          <w:lang w:val="en-GB"/>
        </w:rPr>
        <w:t>S. Typhimurium</w:t>
      </w:r>
      <w:r w:rsidR="00386D5A" w:rsidRPr="00B514B7">
        <w:rPr>
          <w:rFonts w:cstheme="minorHAnsi"/>
          <w:bCs/>
          <w:lang w:val="en-GB"/>
        </w:rPr>
        <w:t xml:space="preserve"> </w:t>
      </w:r>
      <w:r w:rsidR="0091709E" w:rsidRPr="00B514B7">
        <w:rPr>
          <w:rFonts w:cstheme="minorHAnsi"/>
          <w:bCs/>
          <w:lang w:val="en-GB"/>
        </w:rPr>
        <w:t>has shown to be cap</w:t>
      </w:r>
      <w:r w:rsidR="00386D5A" w:rsidRPr="00B514B7">
        <w:rPr>
          <w:rFonts w:cstheme="minorHAnsi"/>
          <w:bCs/>
          <w:lang w:val="en-GB"/>
        </w:rPr>
        <w:t xml:space="preserve">able </w:t>
      </w:r>
      <w:r w:rsidR="0091709E" w:rsidRPr="00B514B7">
        <w:rPr>
          <w:rFonts w:cstheme="minorHAnsi"/>
          <w:bCs/>
          <w:lang w:val="en-GB"/>
        </w:rPr>
        <w:t>of exploiting</w:t>
      </w:r>
      <w:r w:rsidRPr="00B514B7">
        <w:rPr>
          <w:rFonts w:cstheme="minorHAnsi"/>
          <w:bCs/>
          <w:lang w:val="en-GB"/>
        </w:rPr>
        <w:t xml:space="preserve"> </w:t>
      </w:r>
      <w:r w:rsidR="00386D5A" w:rsidRPr="002B7D4A">
        <w:rPr>
          <w:rFonts w:cstheme="minorHAnsi"/>
          <w:bCs/>
          <w:lang w:val="en-GB"/>
        </w:rPr>
        <w:t>microbiome-derived nutrient</w:t>
      </w:r>
      <w:r w:rsidR="00964B16" w:rsidRPr="002B7D4A">
        <w:rPr>
          <w:rFonts w:cstheme="minorHAnsi"/>
          <w:bCs/>
          <w:lang w:val="en-GB"/>
        </w:rPr>
        <w:t>s and oli</w:t>
      </w:r>
      <w:r w:rsidR="00DE62FE" w:rsidRPr="002B7D4A">
        <w:rPr>
          <w:rFonts w:cstheme="minorHAnsi"/>
          <w:bCs/>
          <w:lang w:val="en-GB"/>
        </w:rPr>
        <w:t>g</w:t>
      </w:r>
      <w:r w:rsidR="00964B16" w:rsidRPr="002B7D4A">
        <w:rPr>
          <w:rFonts w:cstheme="minorHAnsi"/>
          <w:bCs/>
          <w:lang w:val="en-GB"/>
        </w:rPr>
        <w:t>osaccharid</w:t>
      </w:r>
      <w:r w:rsidR="00DE62FE" w:rsidRPr="00B514B7">
        <w:rPr>
          <w:rFonts w:cstheme="minorHAnsi"/>
          <w:bCs/>
          <w:lang w:val="en-GB"/>
        </w:rPr>
        <w:t>e</w:t>
      </w:r>
      <w:r w:rsidR="00964B16" w:rsidRPr="00B514B7">
        <w:rPr>
          <w:rFonts w:cstheme="minorHAnsi"/>
          <w:bCs/>
          <w:lang w:val="en-GB"/>
        </w:rPr>
        <w:t>s</w:t>
      </w:r>
      <w:r w:rsidR="00386D5A" w:rsidRPr="00B514B7">
        <w:rPr>
          <w:rFonts w:cstheme="minorHAnsi"/>
          <w:bCs/>
          <w:lang w:val="en-GB"/>
        </w:rPr>
        <w:t>,</w:t>
      </w:r>
      <w:r w:rsidR="00964B16" w:rsidRPr="00B514B7">
        <w:rPr>
          <w:rFonts w:cstheme="minorHAnsi"/>
          <w:bCs/>
          <w:lang w:val="en-GB"/>
        </w:rPr>
        <w:t xml:space="preserve"> which allows for </w:t>
      </w:r>
      <w:r w:rsidR="0091709E" w:rsidRPr="00B514B7">
        <w:rPr>
          <w:rFonts w:cstheme="minorHAnsi"/>
          <w:bCs/>
          <w:lang w:val="en-GB"/>
        </w:rPr>
        <w:t xml:space="preserve">a </w:t>
      </w:r>
      <w:r w:rsidR="00386D5A" w:rsidRPr="00B514B7">
        <w:rPr>
          <w:rFonts w:cstheme="minorHAnsi"/>
          <w:bCs/>
          <w:lang w:val="en-GB"/>
        </w:rPr>
        <w:t>growth advantage in the intestine over other potential pathogens</w:t>
      </w:r>
      <w:r w:rsidR="0091709E" w:rsidRPr="00141EBC">
        <w:rPr>
          <w:rFonts w:cstheme="minorHAnsi"/>
          <w:bCs/>
          <w:lang w:val="en-GB"/>
        </w:rPr>
        <w:t xml:space="preserve">, </w:t>
      </w:r>
      <w:r w:rsidR="001120FE" w:rsidRPr="00141EBC">
        <w:rPr>
          <w:rFonts w:cstheme="minorHAnsi"/>
          <w:bCs/>
          <w:lang w:val="en-GB"/>
        </w:rPr>
        <w:t xml:space="preserve">underscoring how these microbes are involved in an ongoing </w:t>
      </w:r>
      <w:r w:rsidR="00681086">
        <w:rPr>
          <w:rFonts w:cstheme="minorHAnsi"/>
          <w:bCs/>
          <w:lang w:val="en-GB"/>
        </w:rPr>
        <w:t>competition</w:t>
      </w:r>
      <w:r w:rsidR="0091709E" w:rsidRPr="00141EBC">
        <w:rPr>
          <w:rFonts w:cstheme="minorHAnsi"/>
          <w:bCs/>
          <w:lang w:val="en-GB"/>
        </w:rPr>
        <w:t xml:space="preserve"> colonization of the intestinal tract.</w:t>
      </w:r>
      <w:r w:rsidR="00386D5A" w:rsidRPr="00141EBC">
        <w:rPr>
          <w:rFonts w:cstheme="minorHAnsi"/>
          <w:bCs/>
          <w:lang w:val="en-GB"/>
        </w:rPr>
        <w:t xml:space="preserve"> [</w:t>
      </w:r>
      <w:r w:rsidR="00445811">
        <w:rPr>
          <w:rFonts w:cstheme="minorHAnsi"/>
          <w:bCs/>
          <w:lang w:val="en-GB"/>
        </w:rPr>
        <w:t>14</w:t>
      </w:r>
      <w:r w:rsidR="00D23842">
        <w:rPr>
          <w:rFonts w:cstheme="minorHAnsi"/>
          <w:bCs/>
          <w:lang w:val="en-GB"/>
        </w:rPr>
        <w:t>, 15</w:t>
      </w:r>
      <w:r w:rsidR="00386D5A" w:rsidRPr="00141EBC">
        <w:rPr>
          <w:rFonts w:cstheme="minorHAnsi"/>
          <w:bCs/>
          <w:lang w:val="en-GB"/>
        </w:rPr>
        <w:t>].</w:t>
      </w:r>
      <w:r w:rsidR="009552AB" w:rsidRPr="00141EBC">
        <w:rPr>
          <w:rFonts w:cstheme="minorHAnsi"/>
          <w:b/>
          <w:lang w:val="en-GB"/>
        </w:rPr>
        <w:t xml:space="preserve"> </w:t>
      </w:r>
      <w:r w:rsidR="009552AB" w:rsidRPr="00141EBC">
        <w:rPr>
          <w:rFonts w:cstheme="minorHAnsi"/>
          <w:bCs/>
          <w:lang w:val="en-GB"/>
        </w:rPr>
        <w:t xml:space="preserve">The notion that the gut microbiota could be of importance in protection against </w:t>
      </w:r>
      <w:r w:rsidR="00991916">
        <w:rPr>
          <w:rFonts w:cstheme="minorHAnsi"/>
          <w:bCs/>
          <w:lang w:val="en-GB"/>
        </w:rPr>
        <w:t>typhoid fever</w:t>
      </w:r>
      <w:r w:rsidR="009552AB" w:rsidRPr="00141EBC">
        <w:rPr>
          <w:rFonts w:cstheme="minorHAnsi"/>
          <w:bCs/>
          <w:lang w:val="en-GB"/>
        </w:rPr>
        <w:t xml:space="preserve"> has recently been observed in</w:t>
      </w:r>
      <w:r w:rsidR="0091709E" w:rsidRPr="00141EBC">
        <w:rPr>
          <w:rFonts w:cstheme="minorHAnsi"/>
          <w:bCs/>
          <w:lang w:val="en-GB"/>
        </w:rPr>
        <w:t xml:space="preserve"> </w:t>
      </w:r>
      <w:r w:rsidR="009552AB" w:rsidRPr="00141EBC">
        <w:rPr>
          <w:rFonts w:cstheme="minorHAnsi"/>
          <w:bCs/>
          <w:lang w:val="en-GB"/>
        </w:rPr>
        <w:t>humans. A</w:t>
      </w:r>
      <w:r w:rsidR="00E5132B" w:rsidRPr="00141EBC">
        <w:rPr>
          <w:rFonts w:cstheme="minorHAnsi"/>
          <w:bCs/>
          <w:lang w:val="en-GB"/>
        </w:rPr>
        <w:t xml:space="preserve"> typhoid vaccine trial </w:t>
      </w:r>
      <w:r w:rsidR="001120FE" w:rsidRPr="00141EBC">
        <w:rPr>
          <w:rFonts w:cstheme="minorHAnsi"/>
          <w:bCs/>
          <w:lang w:val="en-GB"/>
        </w:rPr>
        <w:t xml:space="preserve">by Zhang and colleagues </w:t>
      </w:r>
      <w:r w:rsidR="00E5132B" w:rsidRPr="00141EBC">
        <w:rPr>
          <w:rFonts w:cstheme="minorHAnsi"/>
          <w:bCs/>
          <w:lang w:val="en-GB"/>
        </w:rPr>
        <w:t xml:space="preserve">showed that </w:t>
      </w:r>
      <w:r w:rsidR="00FB2164" w:rsidRPr="00141EBC">
        <w:rPr>
          <w:rFonts w:cstheme="minorHAnsi"/>
          <w:bCs/>
          <w:lang w:val="en-GB"/>
        </w:rPr>
        <w:t xml:space="preserve">differences in the composition and function of the gut microbiota in healthy adult volunteers </w:t>
      </w:r>
      <w:r w:rsidR="00E5132B" w:rsidRPr="00141EBC">
        <w:rPr>
          <w:rFonts w:cstheme="minorHAnsi"/>
          <w:bCs/>
          <w:lang w:val="en-GB"/>
        </w:rPr>
        <w:t>w</w:t>
      </w:r>
      <w:r w:rsidR="001120FE" w:rsidRPr="00141EBC">
        <w:rPr>
          <w:rFonts w:cstheme="minorHAnsi"/>
          <w:bCs/>
          <w:lang w:val="en-GB"/>
        </w:rPr>
        <w:t>as</w:t>
      </w:r>
      <w:r w:rsidR="00FB2164" w:rsidRPr="00141EBC">
        <w:rPr>
          <w:rFonts w:cstheme="minorHAnsi"/>
          <w:bCs/>
          <w:lang w:val="en-GB"/>
        </w:rPr>
        <w:t xml:space="preserve"> associated with</w:t>
      </w:r>
      <w:r w:rsidR="00E5132B" w:rsidRPr="00141EBC">
        <w:rPr>
          <w:rFonts w:cstheme="minorHAnsi"/>
          <w:bCs/>
          <w:lang w:val="en-GB"/>
        </w:rPr>
        <w:t xml:space="preserve"> </w:t>
      </w:r>
      <w:r w:rsidR="001120FE" w:rsidRPr="00141EBC">
        <w:rPr>
          <w:rFonts w:cstheme="minorHAnsi"/>
          <w:bCs/>
          <w:lang w:val="en-GB"/>
        </w:rPr>
        <w:t xml:space="preserve">an </w:t>
      </w:r>
      <w:r w:rsidR="00E5132B" w:rsidRPr="00141EBC">
        <w:rPr>
          <w:rFonts w:cstheme="minorHAnsi"/>
          <w:bCs/>
          <w:lang w:val="en-GB"/>
        </w:rPr>
        <w:t>altered</w:t>
      </w:r>
      <w:r w:rsidR="00FB2164" w:rsidRPr="00141EBC">
        <w:rPr>
          <w:rFonts w:cstheme="minorHAnsi"/>
          <w:bCs/>
          <w:lang w:val="en-GB"/>
        </w:rPr>
        <w:t xml:space="preserve"> host susceptibility to typhoid after challenge with wild-type </w:t>
      </w:r>
      <w:r w:rsidR="00FB2164" w:rsidRPr="009447D5">
        <w:rPr>
          <w:rFonts w:cstheme="minorHAnsi"/>
          <w:bCs/>
          <w:i/>
          <w:iCs/>
          <w:lang w:val="en-GB"/>
        </w:rPr>
        <w:t>S</w:t>
      </w:r>
      <w:r w:rsidR="0091709E" w:rsidRPr="009447D5">
        <w:rPr>
          <w:rFonts w:cstheme="minorHAnsi"/>
          <w:bCs/>
          <w:i/>
          <w:iCs/>
          <w:lang w:val="en-GB"/>
        </w:rPr>
        <w:t>.</w:t>
      </w:r>
      <w:r w:rsidR="005643F1">
        <w:rPr>
          <w:rFonts w:cstheme="minorHAnsi"/>
          <w:bCs/>
          <w:lang w:val="en-GB"/>
        </w:rPr>
        <w:t xml:space="preserve"> Typhi</w:t>
      </w:r>
      <w:r w:rsidR="0058783C" w:rsidRPr="00141EBC">
        <w:rPr>
          <w:rFonts w:cstheme="minorHAnsi"/>
          <w:bCs/>
          <w:lang w:val="en-GB"/>
        </w:rPr>
        <w:t xml:space="preserve"> </w:t>
      </w:r>
      <w:r w:rsidR="00E5132B" w:rsidRPr="00141EBC">
        <w:rPr>
          <w:rFonts w:cstheme="minorHAnsi"/>
          <w:bCs/>
          <w:lang w:val="en-GB"/>
        </w:rPr>
        <w:t>[</w:t>
      </w:r>
      <w:r w:rsidR="00445811">
        <w:rPr>
          <w:rFonts w:cstheme="minorHAnsi"/>
          <w:bCs/>
          <w:lang w:val="en-GB"/>
        </w:rPr>
        <w:t>1</w:t>
      </w:r>
      <w:r w:rsidR="009B410C">
        <w:rPr>
          <w:rFonts w:cstheme="minorHAnsi"/>
          <w:bCs/>
          <w:lang w:val="en-GB"/>
        </w:rPr>
        <w:t>6</w:t>
      </w:r>
      <w:r w:rsidR="00E5132B" w:rsidRPr="00141EBC">
        <w:rPr>
          <w:rFonts w:cstheme="minorHAnsi"/>
          <w:bCs/>
          <w:lang w:val="en-GB"/>
        </w:rPr>
        <w:t>]</w:t>
      </w:r>
      <w:r w:rsidR="006F1973">
        <w:rPr>
          <w:rFonts w:cstheme="minorHAnsi"/>
          <w:bCs/>
          <w:lang w:val="en-GB"/>
        </w:rPr>
        <w:t>.</w:t>
      </w:r>
      <w:r w:rsidR="009552AB" w:rsidRPr="00141EBC">
        <w:rPr>
          <w:rFonts w:cstheme="minorHAnsi"/>
          <w:bCs/>
          <w:lang w:val="en-GB"/>
        </w:rPr>
        <w:t xml:space="preserve"> </w:t>
      </w:r>
    </w:p>
    <w:p w14:paraId="51D3175A" w14:textId="70E29ABF" w:rsidR="0068080B" w:rsidRPr="00141EBC" w:rsidRDefault="009552AB" w:rsidP="00A7030C">
      <w:pPr>
        <w:spacing w:line="360" w:lineRule="auto"/>
        <w:jc w:val="both"/>
        <w:rPr>
          <w:rFonts w:cstheme="minorHAnsi"/>
          <w:b/>
          <w:lang w:val="en-GB"/>
        </w:rPr>
      </w:pPr>
      <w:r w:rsidRPr="00141EBC">
        <w:rPr>
          <w:rFonts w:cstheme="minorHAnsi"/>
          <w:bCs/>
          <w:lang w:val="en-GB"/>
        </w:rPr>
        <w:t xml:space="preserve">Despite </w:t>
      </w:r>
      <w:r w:rsidR="00FB7C5E">
        <w:rPr>
          <w:rFonts w:cstheme="minorHAnsi"/>
          <w:bCs/>
          <w:lang w:val="en-GB"/>
        </w:rPr>
        <w:t xml:space="preserve">this </w:t>
      </w:r>
      <w:r w:rsidRPr="00141EBC">
        <w:rPr>
          <w:rFonts w:cstheme="minorHAnsi"/>
          <w:bCs/>
          <w:lang w:val="en-GB"/>
        </w:rPr>
        <w:t xml:space="preserve">evidence of </w:t>
      </w:r>
      <w:r w:rsidR="00FB7C5E">
        <w:rPr>
          <w:rFonts w:cstheme="minorHAnsi"/>
          <w:bCs/>
          <w:lang w:val="en-GB"/>
        </w:rPr>
        <w:t>a</w:t>
      </w:r>
      <w:r w:rsidR="00FB7C5E" w:rsidRPr="00141EBC">
        <w:rPr>
          <w:rFonts w:cstheme="minorHAnsi"/>
          <w:bCs/>
          <w:lang w:val="en-GB"/>
        </w:rPr>
        <w:t xml:space="preserve"> </w:t>
      </w:r>
      <w:r w:rsidRPr="00141EBC">
        <w:rPr>
          <w:rFonts w:cstheme="minorHAnsi"/>
          <w:bCs/>
          <w:lang w:val="en-GB"/>
        </w:rPr>
        <w:t xml:space="preserve">close relationship between </w:t>
      </w:r>
      <w:r w:rsidRPr="009447D5">
        <w:rPr>
          <w:rFonts w:cstheme="minorHAnsi"/>
          <w:bCs/>
          <w:i/>
          <w:iCs/>
          <w:lang w:val="en-GB"/>
        </w:rPr>
        <w:t>S.</w:t>
      </w:r>
      <w:r w:rsidRPr="00141EBC">
        <w:rPr>
          <w:rFonts w:cstheme="minorHAnsi"/>
          <w:bCs/>
          <w:lang w:val="en-GB"/>
        </w:rPr>
        <w:t xml:space="preserve"> Typhi and the microbiome, </w:t>
      </w:r>
      <w:r w:rsidR="0068080B" w:rsidRPr="00141EBC">
        <w:rPr>
          <w:rFonts w:cstheme="minorHAnsi"/>
          <w:bCs/>
          <w:lang w:val="en-GB"/>
        </w:rPr>
        <w:t>there</w:t>
      </w:r>
      <w:r w:rsidR="0091709E" w:rsidRPr="00141EBC">
        <w:rPr>
          <w:rFonts w:cstheme="minorHAnsi"/>
          <w:bCs/>
          <w:lang w:val="en-GB"/>
        </w:rPr>
        <w:t xml:space="preserve"> remains a </w:t>
      </w:r>
      <w:r w:rsidR="0068080B" w:rsidRPr="00141EBC">
        <w:rPr>
          <w:rFonts w:cstheme="minorHAnsi"/>
          <w:bCs/>
          <w:lang w:val="en-GB"/>
        </w:rPr>
        <w:t xml:space="preserve">significant knowledge gap </w:t>
      </w:r>
      <w:r w:rsidR="00DE64BF">
        <w:rPr>
          <w:rFonts w:cstheme="minorHAnsi"/>
          <w:bCs/>
          <w:lang w:val="en-GB"/>
        </w:rPr>
        <w:t>concerning</w:t>
      </w:r>
      <w:r w:rsidR="00DE64BF" w:rsidRPr="00141EBC">
        <w:rPr>
          <w:rFonts w:cstheme="minorHAnsi"/>
          <w:bCs/>
          <w:lang w:val="en-GB"/>
        </w:rPr>
        <w:t xml:space="preserve"> </w:t>
      </w:r>
      <w:r w:rsidR="00AD5763" w:rsidRPr="00141EBC">
        <w:rPr>
          <w:rFonts w:cstheme="minorHAnsi"/>
          <w:bCs/>
          <w:lang w:val="en-GB"/>
        </w:rPr>
        <w:t xml:space="preserve">the association between </w:t>
      </w:r>
      <w:r w:rsidR="00991916">
        <w:rPr>
          <w:rFonts w:cstheme="minorHAnsi"/>
          <w:bCs/>
          <w:lang w:val="en-GB"/>
        </w:rPr>
        <w:t>t</w:t>
      </w:r>
      <w:r w:rsidR="0068080B" w:rsidRPr="00141EBC">
        <w:rPr>
          <w:rFonts w:cstheme="minorHAnsi"/>
          <w:bCs/>
          <w:lang w:val="en-GB"/>
        </w:rPr>
        <w:t xml:space="preserve">yphoid fever infection </w:t>
      </w:r>
      <w:r w:rsidR="00AD5763" w:rsidRPr="00141EBC">
        <w:rPr>
          <w:rFonts w:cstheme="minorHAnsi"/>
          <w:bCs/>
          <w:lang w:val="en-GB"/>
        </w:rPr>
        <w:t>and</w:t>
      </w:r>
      <w:r w:rsidR="002053F0" w:rsidRPr="00141EBC">
        <w:rPr>
          <w:rFonts w:cstheme="minorHAnsi"/>
          <w:bCs/>
          <w:lang w:val="en-GB"/>
        </w:rPr>
        <w:t xml:space="preserve"> </w:t>
      </w:r>
      <w:r w:rsidRPr="00141EBC">
        <w:rPr>
          <w:rFonts w:cstheme="minorHAnsi"/>
          <w:bCs/>
          <w:lang w:val="en-GB"/>
        </w:rPr>
        <w:t xml:space="preserve">human </w:t>
      </w:r>
      <w:r w:rsidR="0068080B" w:rsidRPr="00141EBC">
        <w:rPr>
          <w:rFonts w:cstheme="minorHAnsi"/>
          <w:bCs/>
          <w:lang w:val="en-GB"/>
        </w:rPr>
        <w:t>gut microbio</w:t>
      </w:r>
      <w:r w:rsidR="00AD5763" w:rsidRPr="00141EBC">
        <w:rPr>
          <w:rFonts w:cstheme="minorHAnsi"/>
          <w:bCs/>
          <w:lang w:val="en-GB"/>
        </w:rPr>
        <w:t>me composition</w:t>
      </w:r>
      <w:r w:rsidRPr="00141EBC">
        <w:rPr>
          <w:rFonts w:cstheme="minorHAnsi"/>
          <w:bCs/>
          <w:lang w:val="en-GB"/>
        </w:rPr>
        <w:t xml:space="preserve">. </w:t>
      </w:r>
      <w:r w:rsidR="0068080B" w:rsidRPr="00141EBC">
        <w:rPr>
          <w:rFonts w:cstheme="minorHAnsi"/>
          <w:bCs/>
          <w:lang w:val="en-GB"/>
        </w:rPr>
        <w:t>T</w:t>
      </w:r>
      <w:r w:rsidR="00503307" w:rsidRPr="00141EBC">
        <w:rPr>
          <w:rFonts w:cstheme="minorHAnsi"/>
          <w:bCs/>
          <w:lang w:val="en-GB"/>
        </w:rPr>
        <w:t>his study aimed to</w:t>
      </w:r>
      <w:r w:rsidR="00E5132B" w:rsidRPr="00141EBC">
        <w:rPr>
          <w:rFonts w:cstheme="minorHAnsi"/>
          <w:bCs/>
          <w:lang w:val="en-GB"/>
        </w:rPr>
        <w:t xml:space="preserve"> </w:t>
      </w:r>
      <w:r w:rsidR="00503307" w:rsidRPr="00141EBC">
        <w:rPr>
          <w:rFonts w:cstheme="minorHAnsi"/>
          <w:bCs/>
          <w:lang w:val="en-GB"/>
        </w:rPr>
        <w:t>investigate</w:t>
      </w:r>
      <w:r w:rsidR="00E5132B" w:rsidRPr="00141EBC">
        <w:rPr>
          <w:rFonts w:cstheme="minorHAnsi"/>
          <w:bCs/>
          <w:lang w:val="en-GB"/>
        </w:rPr>
        <w:t xml:space="preserve"> how</w:t>
      </w:r>
      <w:r w:rsidR="00503307" w:rsidRPr="00141EBC">
        <w:rPr>
          <w:rFonts w:cstheme="minorHAnsi"/>
          <w:bCs/>
          <w:lang w:val="en-GB"/>
        </w:rPr>
        <w:t xml:space="preserve"> </w:t>
      </w:r>
      <w:r w:rsidR="002D1C65">
        <w:rPr>
          <w:rFonts w:cstheme="minorHAnsi"/>
          <w:bCs/>
          <w:lang w:val="en-GB"/>
        </w:rPr>
        <w:t xml:space="preserve">the </w:t>
      </w:r>
      <w:r w:rsidR="00503307" w:rsidRPr="00141EBC">
        <w:rPr>
          <w:rFonts w:cstheme="minorHAnsi"/>
          <w:bCs/>
          <w:lang w:val="en-GB"/>
        </w:rPr>
        <w:t>gut bacterial</w:t>
      </w:r>
      <w:r w:rsidR="00E5132B" w:rsidRPr="00141EBC">
        <w:rPr>
          <w:rFonts w:cstheme="minorHAnsi"/>
          <w:bCs/>
          <w:lang w:val="en-GB"/>
        </w:rPr>
        <w:t xml:space="preserve"> </w:t>
      </w:r>
      <w:r w:rsidR="002053F0" w:rsidRPr="00141EBC">
        <w:rPr>
          <w:rFonts w:cstheme="minorHAnsi"/>
          <w:bCs/>
          <w:lang w:val="en-GB"/>
        </w:rPr>
        <w:t xml:space="preserve">composition and </w:t>
      </w:r>
      <w:r w:rsidR="002053F0" w:rsidRPr="00141EBC">
        <w:rPr>
          <w:rFonts w:cstheme="minorHAnsi"/>
          <w:bCs/>
          <w:lang w:val="en-GB"/>
        </w:rPr>
        <w:lastRenderedPageBreak/>
        <w:t>function</w:t>
      </w:r>
      <w:r w:rsidR="00E5132B" w:rsidRPr="00141EBC">
        <w:rPr>
          <w:rFonts w:cstheme="minorHAnsi"/>
          <w:bCs/>
          <w:lang w:val="en-GB"/>
        </w:rPr>
        <w:t xml:space="preserve"> </w:t>
      </w:r>
      <w:r w:rsidR="00503307" w:rsidRPr="00141EBC">
        <w:rPr>
          <w:rFonts w:cstheme="minorHAnsi"/>
          <w:bCs/>
          <w:lang w:val="en-GB"/>
        </w:rPr>
        <w:t xml:space="preserve">of patients with </w:t>
      </w:r>
      <w:r w:rsidR="00482F82" w:rsidRPr="00141EBC">
        <w:rPr>
          <w:rFonts w:cstheme="minorHAnsi"/>
          <w:bCs/>
          <w:lang w:val="en-GB"/>
        </w:rPr>
        <w:t>t</w:t>
      </w:r>
      <w:r w:rsidR="0091709E" w:rsidRPr="00141EBC">
        <w:rPr>
          <w:rFonts w:cstheme="minorHAnsi"/>
          <w:bCs/>
          <w:lang w:val="en-GB"/>
        </w:rPr>
        <w:t>yphoid</w:t>
      </w:r>
      <w:r w:rsidR="00503307" w:rsidRPr="00141EBC">
        <w:rPr>
          <w:rFonts w:cstheme="minorHAnsi"/>
          <w:bCs/>
          <w:lang w:val="en-GB"/>
        </w:rPr>
        <w:t xml:space="preserve"> fever </w:t>
      </w:r>
      <w:r w:rsidR="00E5132B" w:rsidRPr="00141EBC">
        <w:rPr>
          <w:rFonts w:cstheme="minorHAnsi"/>
          <w:bCs/>
          <w:lang w:val="en-GB"/>
        </w:rPr>
        <w:t>might differ from patients with other febrile illnesses</w:t>
      </w:r>
      <w:r w:rsidR="002053F0" w:rsidRPr="00141EBC">
        <w:rPr>
          <w:rFonts w:cstheme="minorHAnsi"/>
          <w:bCs/>
          <w:lang w:val="en-GB"/>
        </w:rPr>
        <w:t xml:space="preserve"> or healthy controls</w:t>
      </w:r>
      <w:r w:rsidR="00E5132B" w:rsidRPr="00141EBC">
        <w:rPr>
          <w:rFonts w:cstheme="minorHAnsi"/>
          <w:bCs/>
          <w:lang w:val="en-GB"/>
        </w:rPr>
        <w:t xml:space="preserve">, and how these differences might be correlated with </w:t>
      </w:r>
      <w:r w:rsidRPr="00141EBC">
        <w:rPr>
          <w:rFonts w:cstheme="minorHAnsi"/>
          <w:bCs/>
          <w:lang w:val="en-GB"/>
        </w:rPr>
        <w:t xml:space="preserve">short-term </w:t>
      </w:r>
      <w:r w:rsidR="00E5132B" w:rsidRPr="00141EBC">
        <w:rPr>
          <w:rFonts w:cstheme="minorHAnsi"/>
          <w:bCs/>
          <w:lang w:val="en-GB"/>
        </w:rPr>
        <w:t xml:space="preserve">outcome </w:t>
      </w:r>
      <w:r w:rsidR="0068080B" w:rsidRPr="00141EBC">
        <w:rPr>
          <w:rFonts w:cstheme="minorHAnsi"/>
          <w:bCs/>
          <w:lang w:val="en-GB"/>
        </w:rPr>
        <w:t xml:space="preserve">in a </w:t>
      </w:r>
      <w:r w:rsidR="00CA5D1E">
        <w:rPr>
          <w:rFonts w:cstheme="minorHAnsi"/>
          <w:bCs/>
          <w:lang w:val="en-GB"/>
        </w:rPr>
        <w:t xml:space="preserve">prospective </w:t>
      </w:r>
      <w:r w:rsidR="0068080B" w:rsidRPr="00141EBC">
        <w:rPr>
          <w:rFonts w:cstheme="minorHAnsi"/>
          <w:bCs/>
          <w:lang w:val="en-GB"/>
        </w:rPr>
        <w:t>cohort of patients admitted to Chittagong Medical College Hospital</w:t>
      </w:r>
      <w:r w:rsidR="00671FEA">
        <w:rPr>
          <w:rFonts w:cstheme="minorHAnsi"/>
          <w:bCs/>
          <w:lang w:val="en-GB"/>
        </w:rPr>
        <w:t xml:space="preserve"> (CMCH),</w:t>
      </w:r>
      <w:r w:rsidR="00671FEA" w:rsidRPr="00671FEA">
        <w:rPr>
          <w:lang w:val="en-US"/>
        </w:rPr>
        <w:t xml:space="preserve"> </w:t>
      </w:r>
      <w:r w:rsidR="00671FEA" w:rsidRPr="00671FEA">
        <w:rPr>
          <w:rFonts w:cstheme="minorHAnsi"/>
          <w:bCs/>
          <w:lang w:val="en-GB"/>
        </w:rPr>
        <w:t>a 1000-bed teaching hospital in Chittagong Division of Bangladesh.</w:t>
      </w:r>
    </w:p>
    <w:p w14:paraId="102C0E1C" w14:textId="10641DBA" w:rsidR="008F58EF" w:rsidRDefault="008F58EF">
      <w:pPr>
        <w:rPr>
          <w:rFonts w:cstheme="minorHAnsi"/>
          <w:b/>
          <w:lang w:val="en-GB"/>
        </w:rPr>
      </w:pPr>
    </w:p>
    <w:p w14:paraId="260DB9FB" w14:textId="0C6B6C72" w:rsidR="00CA7073" w:rsidRPr="00141EBC" w:rsidRDefault="00CA7073" w:rsidP="00671FEA">
      <w:pPr>
        <w:rPr>
          <w:rFonts w:cstheme="minorHAnsi"/>
          <w:b/>
          <w:lang w:val="en-GB"/>
        </w:rPr>
      </w:pPr>
      <w:r w:rsidRPr="00141EBC">
        <w:rPr>
          <w:rFonts w:cstheme="minorHAnsi"/>
          <w:b/>
          <w:lang w:val="en-GB"/>
        </w:rPr>
        <w:t>Methods</w:t>
      </w:r>
    </w:p>
    <w:p w14:paraId="3ED1BFCD" w14:textId="6526BC14" w:rsidR="00222DFC" w:rsidRPr="005E6B0F" w:rsidRDefault="00F54C04" w:rsidP="00222DFC">
      <w:pPr>
        <w:spacing w:line="360" w:lineRule="auto"/>
        <w:jc w:val="both"/>
        <w:rPr>
          <w:rFonts w:cstheme="minorHAnsi"/>
          <w:b/>
          <w:lang w:val="en-GB"/>
        </w:rPr>
      </w:pPr>
      <w:r w:rsidRPr="00141EBC">
        <w:rPr>
          <w:rFonts w:cstheme="minorHAnsi"/>
          <w:b/>
          <w:lang w:val="en-GB"/>
        </w:rPr>
        <w:t xml:space="preserve">Study design and participants </w:t>
      </w:r>
    </w:p>
    <w:p w14:paraId="380CDBE8" w14:textId="4C072BED" w:rsidR="00671FEA" w:rsidRDefault="00222DFC" w:rsidP="00222DFC">
      <w:pPr>
        <w:spacing w:line="360" w:lineRule="auto"/>
        <w:jc w:val="both"/>
        <w:rPr>
          <w:rFonts w:cstheme="minorHAnsi"/>
          <w:bCs/>
          <w:lang w:val="en-GB"/>
        </w:rPr>
      </w:pPr>
      <w:r w:rsidRPr="005E6B0F">
        <w:rPr>
          <w:rFonts w:cstheme="minorHAnsi"/>
          <w:bCs/>
          <w:lang w:val="en-GB"/>
        </w:rPr>
        <w:t>Patients admitted to CMCH between 15th January 2012 and 5th July 2012 were considered for enrolment, as desc</w:t>
      </w:r>
      <w:r w:rsidR="00671FEA">
        <w:rPr>
          <w:rFonts w:cstheme="minorHAnsi"/>
          <w:bCs/>
          <w:lang w:val="en-GB"/>
        </w:rPr>
        <w:t xml:space="preserve">ribed in previous </w:t>
      </w:r>
      <w:r w:rsidR="00671FEA" w:rsidRPr="003E0111">
        <w:rPr>
          <w:rFonts w:cstheme="minorHAnsi"/>
          <w:bCs/>
          <w:lang w:val="en-GB"/>
        </w:rPr>
        <w:t>studies conducted in this cohort. [1</w:t>
      </w:r>
      <w:r w:rsidR="00A23935">
        <w:rPr>
          <w:rFonts w:cstheme="minorHAnsi"/>
          <w:bCs/>
          <w:lang w:val="en-GB"/>
        </w:rPr>
        <w:t>7–19</w:t>
      </w:r>
      <w:r w:rsidRPr="003E0111">
        <w:rPr>
          <w:rFonts w:cstheme="minorHAnsi"/>
          <w:bCs/>
          <w:lang w:val="en-GB"/>
        </w:rPr>
        <w:t xml:space="preserve">] </w:t>
      </w:r>
      <w:r w:rsidR="003E0111" w:rsidRPr="003E0111">
        <w:rPr>
          <w:rFonts w:cstheme="minorHAnsi"/>
          <w:lang w:val="en-US"/>
        </w:rPr>
        <w:t xml:space="preserve"> Consecutive patients (≥16 years of age) who were admitted with an acute febrile illness (documented fever ≥ 38°C axillary, up to 48 hours after admission, history of fever less than 2 weeks) were recruited after giving informed written consent</w:t>
      </w:r>
      <w:r w:rsidRPr="005E6B0F">
        <w:rPr>
          <w:rFonts w:cstheme="minorHAnsi"/>
          <w:bCs/>
          <w:lang w:val="en-GB"/>
        </w:rPr>
        <w:t xml:space="preserve">. Each study day all the patients admitted to the wards were reviewed and those with a history of fever of the appropriate duration had their temperature measured on at least one occasion. Eligible patients were then asked if they consented to participate in the study. Demographic and clinical information was recorded on a case record form at the time of admission and during the course of hospitalization. </w:t>
      </w:r>
    </w:p>
    <w:p w14:paraId="7A96708F" w14:textId="0392E7F1" w:rsidR="00671FEA" w:rsidRPr="00CD4625" w:rsidRDefault="00222DFC" w:rsidP="00671FEA">
      <w:pPr>
        <w:spacing w:line="360" w:lineRule="auto"/>
        <w:jc w:val="both"/>
        <w:rPr>
          <w:rFonts w:cstheme="minorHAnsi"/>
          <w:b/>
          <w:lang w:val="en-US"/>
        </w:rPr>
      </w:pPr>
      <w:r w:rsidRPr="005E6B0F">
        <w:rPr>
          <w:rFonts w:cstheme="minorHAnsi"/>
          <w:bCs/>
          <w:lang w:val="en-GB"/>
        </w:rPr>
        <w:t>A final diagnosis was made by the study team based on clinical presentation, basic laboratory results and microbiology results</w:t>
      </w:r>
      <w:r w:rsidR="00671FEA">
        <w:rPr>
          <w:rFonts w:cstheme="minorHAnsi"/>
          <w:bCs/>
          <w:lang w:val="en-GB"/>
        </w:rPr>
        <w:t xml:space="preserve">, as described earlier </w:t>
      </w:r>
      <w:r w:rsidR="00D45462">
        <w:rPr>
          <w:rFonts w:cstheme="minorHAnsi"/>
          <w:bCs/>
          <w:lang w:val="en-GB"/>
        </w:rPr>
        <w:t>[17</w:t>
      </w:r>
      <w:r w:rsidR="008628FB">
        <w:rPr>
          <w:rFonts w:cstheme="minorHAnsi"/>
          <w:bCs/>
          <w:lang w:val="en-GB"/>
        </w:rPr>
        <w:t>–19</w:t>
      </w:r>
      <w:r w:rsidR="00D45462" w:rsidRPr="005E6B0F">
        <w:rPr>
          <w:rFonts w:cstheme="minorHAnsi"/>
          <w:bCs/>
          <w:lang w:val="en-GB"/>
        </w:rPr>
        <w:t>]</w:t>
      </w:r>
      <w:r w:rsidRPr="005E6B0F">
        <w:rPr>
          <w:rFonts w:cstheme="minorHAnsi"/>
          <w:bCs/>
          <w:lang w:val="en-GB"/>
        </w:rPr>
        <w:t xml:space="preserve">. </w:t>
      </w:r>
      <w:r w:rsidR="008F640D">
        <w:rPr>
          <w:rFonts w:cstheme="minorHAnsi"/>
          <w:bCs/>
          <w:lang w:val="en-GB"/>
        </w:rPr>
        <w:t>F</w:t>
      </w:r>
      <w:r w:rsidR="00671FEA" w:rsidRPr="005E6B0F">
        <w:rPr>
          <w:rFonts w:cstheme="minorHAnsi"/>
          <w:bCs/>
          <w:lang w:val="en-GB"/>
        </w:rPr>
        <w:t>aecal samples were collected in plastic containers and were stored at −80°C within 24 hours.</w:t>
      </w:r>
      <w:r w:rsidR="00F72996">
        <w:rPr>
          <w:rFonts w:cstheme="minorHAnsi"/>
          <w:bCs/>
          <w:lang w:val="en-GB"/>
        </w:rPr>
        <w:t xml:space="preserve"> [20, 21]</w:t>
      </w:r>
      <w:r w:rsidR="00671FEA" w:rsidRPr="005E6B0F">
        <w:rPr>
          <w:rFonts w:cstheme="minorHAnsi"/>
          <w:bCs/>
          <w:lang w:val="en-GB"/>
        </w:rPr>
        <w:t xml:space="preserve"> A group of </w:t>
      </w:r>
      <w:r w:rsidR="003E0111" w:rsidRPr="00CD4625">
        <w:rPr>
          <w:rFonts w:cstheme="minorHAnsi"/>
          <w:bCs/>
          <w:lang w:val="en-GB"/>
        </w:rPr>
        <w:t xml:space="preserve">local </w:t>
      </w:r>
      <w:r w:rsidR="00CD4625" w:rsidRPr="00CD4625">
        <w:rPr>
          <w:rFonts w:cstheme="minorHAnsi"/>
          <w:lang w:val="en-US"/>
        </w:rPr>
        <w:t>Bangladeshi</w:t>
      </w:r>
      <w:r w:rsidR="00CD4625" w:rsidRPr="005E6B0F">
        <w:rPr>
          <w:rFonts w:cstheme="minorHAnsi"/>
          <w:bCs/>
          <w:lang w:val="en-GB"/>
        </w:rPr>
        <w:t xml:space="preserve"> </w:t>
      </w:r>
      <w:r w:rsidR="00671FEA" w:rsidRPr="005E6B0F">
        <w:rPr>
          <w:rFonts w:cstheme="minorHAnsi"/>
          <w:bCs/>
          <w:lang w:val="en-GB"/>
        </w:rPr>
        <w:t xml:space="preserve">healthy volunteers </w:t>
      </w:r>
      <w:r w:rsidR="00671FEA" w:rsidRPr="00CD4625">
        <w:rPr>
          <w:rFonts w:cstheme="minorHAnsi"/>
          <w:bCs/>
          <w:lang w:val="en-GB"/>
        </w:rPr>
        <w:t xml:space="preserve">were recruited to donate stools, which were stored in a similar manner to the patient population. </w:t>
      </w:r>
      <w:r w:rsidR="00CD4625" w:rsidRPr="00CD4625">
        <w:rPr>
          <w:rFonts w:cstheme="minorHAnsi"/>
          <w:lang w:val="en-US"/>
        </w:rPr>
        <w:t xml:space="preserve"> The study protocol was approved by the National Research Ethics Committee (NREC) of Bangladesh (BMRC/NREC/2010-2013/1543) and the Oxford Tropical Research Ethics committee (OXTREC reference 25-11).</w:t>
      </w:r>
    </w:p>
    <w:p w14:paraId="0D680986" w14:textId="1281730E" w:rsidR="0058783C" w:rsidRDefault="0058783C" w:rsidP="00A7030C">
      <w:pPr>
        <w:spacing w:line="360" w:lineRule="auto"/>
        <w:jc w:val="both"/>
        <w:rPr>
          <w:rFonts w:cstheme="minorHAnsi"/>
          <w:b/>
          <w:lang w:val="en-GB"/>
        </w:rPr>
      </w:pPr>
      <w:r w:rsidRPr="00734400">
        <w:rPr>
          <w:rFonts w:cstheme="minorHAnsi"/>
          <w:b/>
          <w:lang w:val="en-GB"/>
        </w:rPr>
        <w:t>Microbiota analysis</w:t>
      </w:r>
      <w:r w:rsidRPr="005E6B0F">
        <w:rPr>
          <w:rFonts w:cstheme="minorHAnsi"/>
          <w:b/>
          <w:lang w:val="en-GB"/>
        </w:rPr>
        <w:t xml:space="preserve"> </w:t>
      </w:r>
    </w:p>
    <w:p w14:paraId="0B279AE8" w14:textId="2CBE8CCE" w:rsidR="004A62B9" w:rsidRPr="005E6B0F" w:rsidRDefault="004A62B9" w:rsidP="00A7030C">
      <w:pPr>
        <w:spacing w:line="360" w:lineRule="auto"/>
        <w:jc w:val="both"/>
        <w:rPr>
          <w:rFonts w:cstheme="minorHAnsi"/>
          <w:b/>
          <w:lang w:val="en-GB"/>
        </w:rPr>
      </w:pPr>
      <w:r w:rsidRPr="005E6B0F">
        <w:rPr>
          <w:rStyle w:val="fontstyle01"/>
          <w:rFonts w:asciiTheme="minorHAnsi" w:hAnsiTheme="minorHAnsi" w:cstheme="minorHAnsi"/>
          <w:sz w:val="22"/>
          <w:szCs w:val="22"/>
          <w:lang w:val="en-GB"/>
        </w:rPr>
        <w:t xml:space="preserve">Faecal DNA was extracted </w:t>
      </w:r>
      <w:r w:rsidR="00CD514E">
        <w:rPr>
          <w:rStyle w:val="fontstyle01"/>
          <w:rFonts w:asciiTheme="minorHAnsi" w:hAnsiTheme="minorHAnsi" w:cstheme="minorHAnsi"/>
          <w:sz w:val="22"/>
          <w:szCs w:val="22"/>
          <w:lang w:val="en-GB"/>
        </w:rPr>
        <w:t xml:space="preserve">and purified </w:t>
      </w:r>
      <w:r w:rsidRPr="005E6B0F">
        <w:rPr>
          <w:rStyle w:val="fontstyle01"/>
          <w:rFonts w:asciiTheme="minorHAnsi" w:hAnsiTheme="minorHAnsi" w:cstheme="minorHAnsi"/>
          <w:sz w:val="22"/>
          <w:szCs w:val="22"/>
          <w:lang w:val="en-GB"/>
        </w:rPr>
        <w:t>using a combination of bead-beating</w:t>
      </w:r>
      <w:r w:rsidR="00CD514E">
        <w:rPr>
          <w:rStyle w:val="fontstyle01"/>
          <w:rFonts w:asciiTheme="minorHAnsi" w:hAnsiTheme="minorHAnsi" w:cstheme="minorHAnsi"/>
          <w:sz w:val="22"/>
          <w:szCs w:val="22"/>
          <w:lang w:val="en-GB"/>
        </w:rPr>
        <w:t xml:space="preserve"> </w:t>
      </w:r>
      <w:r w:rsidRPr="005E6B0F">
        <w:rPr>
          <w:rStyle w:val="fontstyle01"/>
          <w:rFonts w:asciiTheme="minorHAnsi" w:hAnsiTheme="minorHAnsi" w:cstheme="minorHAnsi"/>
          <w:sz w:val="22"/>
          <w:szCs w:val="22"/>
          <w:lang w:val="en-GB"/>
        </w:rPr>
        <w:t xml:space="preserve"> and the Maxwell 16 Tissue LEV Total RNA Purification Kit</w:t>
      </w:r>
      <w:r w:rsidR="00520235">
        <w:rPr>
          <w:rStyle w:val="fontstyle01"/>
          <w:rFonts w:asciiTheme="minorHAnsi" w:hAnsiTheme="minorHAnsi" w:cstheme="minorHAnsi"/>
          <w:sz w:val="22"/>
          <w:szCs w:val="22"/>
          <w:lang w:val="en-GB"/>
        </w:rPr>
        <w:t xml:space="preserve"> (Promega, Maddison, WI, USA),</w:t>
      </w:r>
      <w:r w:rsidRPr="005E6B0F">
        <w:rPr>
          <w:rStyle w:val="fontstyle01"/>
          <w:rFonts w:asciiTheme="minorHAnsi" w:hAnsiTheme="minorHAnsi" w:cstheme="minorHAnsi"/>
          <w:sz w:val="22"/>
          <w:szCs w:val="22"/>
          <w:lang w:val="en-GB"/>
        </w:rPr>
        <w:t xml:space="preserve"> with STAR (Stool transport and recovery) buffer (Roche, Basel Switzerland</w:t>
      </w:r>
      <w:r w:rsidR="00313590">
        <w:rPr>
          <w:rStyle w:val="fontstyle01"/>
          <w:rFonts w:asciiTheme="minorHAnsi" w:hAnsiTheme="minorHAnsi" w:cstheme="minorHAnsi"/>
          <w:sz w:val="22"/>
          <w:szCs w:val="22"/>
          <w:lang w:val="en-GB"/>
        </w:rPr>
        <w:t>)</w:t>
      </w:r>
      <w:r>
        <w:rPr>
          <w:rStyle w:val="fontstyle01"/>
          <w:rFonts w:asciiTheme="minorHAnsi" w:hAnsiTheme="minorHAnsi" w:cstheme="minorHAnsi"/>
          <w:sz w:val="22"/>
          <w:szCs w:val="22"/>
          <w:lang w:val="en-GB"/>
        </w:rPr>
        <w:t>. [</w:t>
      </w:r>
      <w:r w:rsidR="00F72996">
        <w:rPr>
          <w:rFonts w:cstheme="minorHAnsi"/>
          <w:bCs/>
          <w:lang w:val="en-GB"/>
        </w:rPr>
        <w:t>22</w:t>
      </w:r>
      <w:r>
        <w:rPr>
          <w:rFonts w:cstheme="minorHAnsi"/>
          <w:bCs/>
          <w:lang w:val="en-GB"/>
        </w:rPr>
        <w:t>]</w:t>
      </w:r>
      <w:r w:rsidRPr="004A62B9">
        <w:rPr>
          <w:rFonts w:cstheme="minorHAnsi"/>
          <w:b/>
          <w:lang w:val="en-GB"/>
        </w:rPr>
        <w:t xml:space="preserve"> </w:t>
      </w:r>
      <w:r w:rsidRPr="00CD514E">
        <w:rPr>
          <w:rFonts w:cstheme="minorHAnsi"/>
          <w:bCs/>
          <w:lang w:val="en-GB"/>
        </w:rPr>
        <w:t xml:space="preserve">PCR products were purified using </w:t>
      </w:r>
      <w:proofErr w:type="spellStart"/>
      <w:r w:rsidRPr="00CD514E">
        <w:rPr>
          <w:rFonts w:cstheme="minorHAnsi"/>
          <w:bCs/>
          <w:lang w:val="en-GB"/>
        </w:rPr>
        <w:t>Ampure</w:t>
      </w:r>
      <w:proofErr w:type="spellEnd"/>
      <w:r w:rsidRPr="00CD514E">
        <w:rPr>
          <w:rFonts w:cstheme="minorHAnsi"/>
          <w:bCs/>
          <w:lang w:val="en-GB"/>
        </w:rPr>
        <w:t xml:space="preserve"> XP beads and purified products were equimolar pooled. The libraries were sequenced using a</w:t>
      </w:r>
      <w:r w:rsidR="00CD514E">
        <w:rPr>
          <w:rFonts w:cstheme="minorHAnsi"/>
          <w:bCs/>
          <w:lang w:val="en-GB"/>
        </w:rPr>
        <w:t xml:space="preserve">n Illumina </w:t>
      </w:r>
      <w:r w:rsidRPr="00CD514E">
        <w:rPr>
          <w:rFonts w:cstheme="minorHAnsi"/>
          <w:bCs/>
          <w:lang w:val="en-GB"/>
        </w:rPr>
        <w:t xml:space="preserve">MiSeq platform </w:t>
      </w:r>
      <w:r w:rsidR="00CD514E" w:rsidRPr="005E6B0F">
        <w:rPr>
          <w:rStyle w:val="fontstyle01"/>
          <w:rFonts w:asciiTheme="minorHAnsi" w:hAnsiTheme="minorHAnsi" w:cstheme="minorHAnsi"/>
          <w:sz w:val="22"/>
          <w:szCs w:val="22"/>
          <w:lang w:val="en-GB"/>
        </w:rPr>
        <w:t>(</w:t>
      </w:r>
      <w:proofErr w:type="spellStart"/>
      <w:r w:rsidR="00CD514E" w:rsidRPr="005E6B0F">
        <w:rPr>
          <w:rStyle w:val="fontstyle01"/>
          <w:rFonts w:asciiTheme="minorHAnsi" w:hAnsiTheme="minorHAnsi" w:cstheme="minorHAnsi"/>
          <w:sz w:val="22"/>
          <w:szCs w:val="22"/>
          <w:lang w:val="en-GB"/>
        </w:rPr>
        <w:t>GATCBiotech</w:t>
      </w:r>
      <w:proofErr w:type="spellEnd"/>
      <w:r w:rsidR="00CD514E" w:rsidRPr="005E6B0F">
        <w:rPr>
          <w:rStyle w:val="fontstyle01"/>
          <w:rFonts w:asciiTheme="minorHAnsi" w:hAnsiTheme="minorHAnsi" w:cstheme="minorHAnsi"/>
          <w:sz w:val="22"/>
          <w:szCs w:val="22"/>
          <w:lang w:val="en-GB"/>
        </w:rPr>
        <w:t xml:space="preserve">, Konstanz, Germany) </w:t>
      </w:r>
      <w:r w:rsidRPr="00CD514E">
        <w:rPr>
          <w:rFonts w:cstheme="minorHAnsi"/>
          <w:bCs/>
          <w:lang w:val="en-GB"/>
        </w:rPr>
        <w:t xml:space="preserve">using V3 chemistry with 2x251 cycles. </w:t>
      </w:r>
      <w:r w:rsidR="00313590">
        <w:rPr>
          <w:rFonts w:cstheme="minorHAnsi"/>
          <w:bCs/>
          <w:lang w:val="en-GB"/>
        </w:rPr>
        <w:t>[2</w:t>
      </w:r>
      <w:r w:rsidR="00F72996">
        <w:rPr>
          <w:rFonts w:cstheme="minorHAnsi"/>
          <w:bCs/>
          <w:lang w:val="en-GB"/>
        </w:rPr>
        <w:t>3</w:t>
      </w:r>
      <w:r w:rsidR="00313590">
        <w:rPr>
          <w:rFonts w:cstheme="minorHAnsi"/>
          <w:bCs/>
          <w:lang w:val="en-GB"/>
        </w:rPr>
        <w:t xml:space="preserve">] </w:t>
      </w:r>
      <w:r w:rsidRPr="00CD514E">
        <w:rPr>
          <w:rFonts w:cstheme="minorHAnsi"/>
          <w:bCs/>
          <w:lang w:val="en-GB"/>
        </w:rPr>
        <w:t>Forward and reverse reads were truncated to 240 and 210 bases respectively and merged using USEARCH. [2</w:t>
      </w:r>
      <w:r w:rsidR="00F72996">
        <w:rPr>
          <w:rFonts w:cstheme="minorHAnsi"/>
          <w:bCs/>
          <w:lang w:val="en-GB"/>
        </w:rPr>
        <w:t>4</w:t>
      </w:r>
      <w:r w:rsidRPr="00CD514E">
        <w:rPr>
          <w:rFonts w:cstheme="minorHAnsi"/>
          <w:bCs/>
          <w:lang w:val="en-GB"/>
        </w:rPr>
        <w:t xml:space="preserve">]  Merged reads that did not pass the Illumina chastity filter, had an expected error rate higher than 2, or were shorter than 380 bases were filtered. Amplified Sequence Variants (ASVs) were inferred for each </w:t>
      </w:r>
      <w:r w:rsidRPr="00CD514E">
        <w:rPr>
          <w:rFonts w:cstheme="minorHAnsi"/>
          <w:bCs/>
          <w:lang w:val="en-GB"/>
        </w:rPr>
        <w:lastRenderedPageBreak/>
        <w:t>sample individually with a minimum abundance of 4 reads.</w:t>
      </w:r>
      <w:r w:rsidR="00CD514E" w:rsidRPr="00CD514E">
        <w:rPr>
          <w:rFonts w:cstheme="minorHAnsi"/>
          <w:bCs/>
          <w:lang w:val="en-GB"/>
        </w:rPr>
        <w:t xml:space="preserve"> </w:t>
      </w:r>
      <w:r w:rsidRPr="00CD514E">
        <w:rPr>
          <w:rFonts w:cstheme="minorHAnsi"/>
          <w:bCs/>
          <w:lang w:val="en-GB"/>
        </w:rPr>
        <w:t>Unfiltered reads were than mapped against the collective ASV set to determine the abundances. Taxonomy was assigned using  the RDP classifier</w:t>
      </w:r>
      <w:r w:rsidR="00CD514E" w:rsidRPr="00CD514E">
        <w:rPr>
          <w:rFonts w:cstheme="minorHAnsi"/>
          <w:bCs/>
          <w:lang w:val="en-GB"/>
        </w:rPr>
        <w:t xml:space="preserve"> [</w:t>
      </w:r>
      <w:r w:rsidR="00F72996">
        <w:rPr>
          <w:rFonts w:cstheme="minorHAnsi"/>
          <w:bCs/>
          <w:lang w:val="en-GB"/>
        </w:rPr>
        <w:t>25</w:t>
      </w:r>
      <w:r w:rsidR="00CD514E" w:rsidRPr="00CD514E">
        <w:rPr>
          <w:rFonts w:cstheme="minorHAnsi"/>
          <w:bCs/>
          <w:lang w:val="en-GB"/>
        </w:rPr>
        <w:t>]</w:t>
      </w:r>
      <w:r w:rsidRPr="00CD514E">
        <w:rPr>
          <w:rFonts w:cstheme="minorHAnsi"/>
          <w:bCs/>
          <w:lang w:val="en-GB"/>
        </w:rPr>
        <w:t xml:space="preserve"> and SILVA30 16S ribosomal database V132.</w:t>
      </w:r>
      <w:r w:rsidR="00CD514E">
        <w:rPr>
          <w:rFonts w:cstheme="minorHAnsi"/>
          <w:bCs/>
          <w:lang w:val="en-GB"/>
        </w:rPr>
        <w:t xml:space="preserve"> </w:t>
      </w:r>
      <w:r w:rsidR="00313590">
        <w:rPr>
          <w:rFonts w:cstheme="minorHAnsi"/>
          <w:bCs/>
          <w:lang w:val="en-GB"/>
        </w:rPr>
        <w:t>[</w:t>
      </w:r>
      <w:r w:rsidR="00F72996">
        <w:rPr>
          <w:rFonts w:cstheme="minorHAnsi"/>
          <w:bCs/>
          <w:lang w:val="en-GB"/>
        </w:rPr>
        <w:t>26</w:t>
      </w:r>
      <w:r w:rsidR="00313590">
        <w:rPr>
          <w:rFonts w:cstheme="minorHAnsi"/>
          <w:bCs/>
          <w:lang w:val="en-GB"/>
        </w:rPr>
        <w:t xml:space="preserve">] </w:t>
      </w:r>
      <w:r w:rsidR="00CD514E" w:rsidRPr="005E6B0F">
        <w:rPr>
          <w:rStyle w:val="fontstyle01"/>
          <w:rFonts w:asciiTheme="minorHAnsi" w:hAnsiTheme="minorHAnsi" w:cstheme="minorHAnsi"/>
          <w:sz w:val="22"/>
          <w:szCs w:val="22"/>
          <w:lang w:val="en-GB"/>
        </w:rPr>
        <w:t>Given prior observations demonstrating the potential benefits of butyrate as an</w:t>
      </w:r>
      <w:r w:rsidR="00CD514E" w:rsidRPr="005E6B0F">
        <w:rPr>
          <w:rFonts w:cstheme="minorHAnsi"/>
          <w:color w:val="000000"/>
          <w:lang w:val="en-GB"/>
        </w:rPr>
        <w:t xml:space="preserve"> </w:t>
      </w:r>
      <w:r w:rsidR="00CD514E" w:rsidRPr="005E6B0F">
        <w:rPr>
          <w:rStyle w:val="fontstyle01"/>
          <w:rFonts w:asciiTheme="minorHAnsi" w:hAnsiTheme="minorHAnsi" w:cstheme="minorHAnsi"/>
          <w:sz w:val="22"/>
          <w:szCs w:val="22"/>
          <w:lang w:val="en-GB"/>
        </w:rPr>
        <w:t>immunomodulatory compound</w:t>
      </w:r>
      <w:r w:rsidR="00CD514E">
        <w:rPr>
          <w:rStyle w:val="fontstyle01"/>
          <w:rFonts w:asciiTheme="minorHAnsi" w:hAnsiTheme="minorHAnsi" w:cstheme="minorHAnsi"/>
          <w:sz w:val="22"/>
          <w:szCs w:val="22"/>
          <w:lang w:val="en-GB"/>
        </w:rPr>
        <w:t xml:space="preserve"> [11, 12</w:t>
      </w:r>
      <w:r w:rsidR="00CD514E" w:rsidRPr="005E6B0F">
        <w:rPr>
          <w:rStyle w:val="fontstyle01"/>
          <w:rFonts w:asciiTheme="minorHAnsi" w:hAnsiTheme="minorHAnsi" w:cstheme="minorHAnsi"/>
          <w:sz w:val="22"/>
          <w:szCs w:val="22"/>
          <w:lang w:val="en-GB"/>
        </w:rPr>
        <w:t>], we assessed this</w:t>
      </w:r>
      <w:r w:rsidR="00CD514E" w:rsidRPr="005E6B0F">
        <w:rPr>
          <w:rFonts w:cstheme="minorHAnsi"/>
          <w:color w:val="000000"/>
          <w:lang w:val="en-GB"/>
        </w:rPr>
        <w:t xml:space="preserve"> </w:t>
      </w:r>
      <w:r w:rsidR="00CD514E" w:rsidRPr="005E6B0F">
        <w:rPr>
          <w:rStyle w:val="fontstyle01"/>
          <w:rFonts w:asciiTheme="minorHAnsi" w:hAnsiTheme="minorHAnsi" w:cstheme="minorHAnsi"/>
          <w:sz w:val="22"/>
          <w:szCs w:val="22"/>
          <w:lang w:val="en-GB"/>
        </w:rPr>
        <w:t>feature in our cohort</w:t>
      </w:r>
      <w:r w:rsidR="00CD514E" w:rsidRPr="005E6B0F">
        <w:rPr>
          <w:rFonts w:cstheme="minorHAnsi"/>
          <w:bCs/>
          <w:lang w:val="en-GB"/>
        </w:rPr>
        <w:t xml:space="preserve"> by measuring the abundance of bacterial taxa that are known to be drivers of butyrate production, in accordance with a study that analysed butyrate-producing pathways from 15 publicly available data sets [</w:t>
      </w:r>
      <w:r w:rsidR="00F72996">
        <w:rPr>
          <w:rFonts w:cstheme="minorHAnsi"/>
          <w:bCs/>
          <w:lang w:val="en-GB"/>
        </w:rPr>
        <w:t>27</w:t>
      </w:r>
      <w:r w:rsidR="00CD514E" w:rsidRPr="005E6B0F">
        <w:rPr>
          <w:rFonts w:cstheme="minorHAnsi"/>
          <w:bCs/>
          <w:lang w:val="en-GB"/>
        </w:rPr>
        <w:t>]</w:t>
      </w:r>
    </w:p>
    <w:p w14:paraId="1F8B6279" w14:textId="2776FC5F" w:rsidR="0058783C" w:rsidRDefault="0058783C" w:rsidP="00A7030C">
      <w:pPr>
        <w:spacing w:line="360" w:lineRule="auto"/>
        <w:jc w:val="both"/>
        <w:rPr>
          <w:rFonts w:cstheme="minorHAnsi"/>
          <w:b/>
          <w:lang w:val="en-GB"/>
        </w:rPr>
      </w:pPr>
      <w:r w:rsidRPr="005E6B0F">
        <w:rPr>
          <w:rFonts w:cstheme="minorHAnsi"/>
          <w:b/>
          <w:lang w:val="en-GB"/>
        </w:rPr>
        <w:t xml:space="preserve">Targeted measurement of short-chain fatty acids </w:t>
      </w:r>
    </w:p>
    <w:p w14:paraId="1ABC8701" w14:textId="08525313" w:rsidR="00D45462" w:rsidRPr="00D45462" w:rsidRDefault="00D45462" w:rsidP="00A7030C">
      <w:pPr>
        <w:spacing w:line="360" w:lineRule="auto"/>
        <w:jc w:val="both"/>
        <w:rPr>
          <w:rFonts w:cstheme="minorHAnsi"/>
          <w:lang w:val="en-GB"/>
        </w:rPr>
      </w:pPr>
      <w:r w:rsidRPr="00D45462">
        <w:rPr>
          <w:rFonts w:cstheme="minorHAnsi"/>
          <w:lang w:val="en-GB"/>
        </w:rPr>
        <w:t xml:space="preserve">Sample preparation </w:t>
      </w:r>
      <w:r w:rsidRPr="00F7521E">
        <w:rPr>
          <w:rFonts w:cstheme="minorHAnsi"/>
          <w:lang w:val="en-GB"/>
        </w:rPr>
        <w:t xml:space="preserve">of faecal extracts and </w:t>
      </w:r>
      <w:r w:rsidR="00F7521E" w:rsidRPr="00F7521E">
        <w:rPr>
          <w:rFonts w:cstheme="minorHAnsi"/>
          <w:bCs/>
          <w:color w:val="222222"/>
          <w:shd w:val="clear" w:color="auto" w:fill="FFFFFF"/>
          <w:lang w:val="en-US"/>
        </w:rPr>
        <w:t xml:space="preserve">Nuclear </w:t>
      </w:r>
      <w:r w:rsidR="00634226">
        <w:rPr>
          <w:rFonts w:cstheme="minorHAnsi"/>
          <w:bCs/>
          <w:color w:val="222222"/>
          <w:shd w:val="clear" w:color="auto" w:fill="FFFFFF"/>
          <w:lang w:val="en-US"/>
        </w:rPr>
        <w:t>M</w:t>
      </w:r>
      <w:r w:rsidR="00F7521E" w:rsidRPr="00F7521E">
        <w:rPr>
          <w:rFonts w:cstheme="minorHAnsi"/>
          <w:bCs/>
          <w:color w:val="222222"/>
          <w:shd w:val="clear" w:color="auto" w:fill="FFFFFF"/>
          <w:lang w:val="en-US"/>
        </w:rPr>
        <w:t xml:space="preserve">agnetic </w:t>
      </w:r>
      <w:r w:rsidR="00634226">
        <w:rPr>
          <w:rFonts w:cstheme="minorHAnsi"/>
          <w:bCs/>
          <w:color w:val="222222"/>
          <w:shd w:val="clear" w:color="auto" w:fill="FFFFFF"/>
          <w:lang w:val="en-US"/>
        </w:rPr>
        <w:t>R</w:t>
      </w:r>
      <w:r w:rsidR="00F7521E" w:rsidRPr="00F7521E">
        <w:rPr>
          <w:rFonts w:cstheme="minorHAnsi"/>
          <w:bCs/>
          <w:color w:val="222222"/>
          <w:shd w:val="clear" w:color="auto" w:fill="FFFFFF"/>
          <w:lang w:val="en-US"/>
        </w:rPr>
        <w:t>esonance</w:t>
      </w:r>
      <w:r w:rsidR="00F7521E" w:rsidRPr="00D45462">
        <w:rPr>
          <w:rFonts w:cstheme="minorHAnsi"/>
          <w:lang w:val="en-GB"/>
        </w:rPr>
        <w:t xml:space="preserve"> </w:t>
      </w:r>
      <w:r w:rsidR="00F7521E">
        <w:rPr>
          <w:rFonts w:cstheme="minorHAnsi"/>
          <w:lang w:val="en-GB"/>
        </w:rPr>
        <w:t>(</w:t>
      </w:r>
      <w:r w:rsidRPr="00D45462">
        <w:rPr>
          <w:rFonts w:cstheme="minorHAnsi"/>
          <w:lang w:val="en-GB"/>
        </w:rPr>
        <w:t>NMR</w:t>
      </w:r>
      <w:r w:rsidR="00F7521E">
        <w:rPr>
          <w:rFonts w:cstheme="minorHAnsi"/>
          <w:lang w:val="en-GB"/>
        </w:rPr>
        <w:t>)</w:t>
      </w:r>
      <w:r w:rsidRPr="00D45462">
        <w:rPr>
          <w:rFonts w:cstheme="minorHAnsi"/>
          <w:lang w:val="en-GB"/>
        </w:rPr>
        <w:t xml:space="preserve"> spectroscopy for quantification of SCFAs was perform</w:t>
      </w:r>
      <w:r>
        <w:rPr>
          <w:rFonts w:cstheme="minorHAnsi"/>
          <w:lang w:val="en-GB"/>
        </w:rPr>
        <w:t>ed as described in Kim HK et al,</w:t>
      </w:r>
      <w:r w:rsidRPr="00D45462">
        <w:rPr>
          <w:rFonts w:cstheme="minorHAnsi"/>
          <w:lang w:val="en-GB"/>
        </w:rPr>
        <w:t xml:space="preserve"> with some modifications</w:t>
      </w:r>
      <w:r>
        <w:rPr>
          <w:rFonts w:cstheme="minorHAnsi"/>
          <w:lang w:val="en-GB"/>
        </w:rPr>
        <w:t xml:space="preserve"> [</w:t>
      </w:r>
      <w:r w:rsidR="00F72996">
        <w:rPr>
          <w:rFonts w:cstheme="minorHAnsi"/>
          <w:lang w:val="en-GB"/>
        </w:rPr>
        <w:t>28</w:t>
      </w:r>
      <w:r>
        <w:rPr>
          <w:rFonts w:cstheme="minorHAnsi"/>
          <w:lang w:val="en-GB"/>
        </w:rPr>
        <w:t>]</w:t>
      </w:r>
      <w:r w:rsidRPr="00D45462">
        <w:rPr>
          <w:rFonts w:cstheme="minorHAnsi"/>
          <w:lang w:val="en-GB"/>
        </w:rPr>
        <w:t>. Briefly, aqueous extracts of f</w:t>
      </w:r>
      <w:r>
        <w:rPr>
          <w:rFonts w:cstheme="minorHAnsi"/>
          <w:lang w:val="en-GB"/>
        </w:rPr>
        <w:t>a</w:t>
      </w:r>
      <w:r w:rsidRPr="00D45462">
        <w:rPr>
          <w:rFonts w:cstheme="minorHAnsi"/>
          <w:lang w:val="en-GB"/>
        </w:rPr>
        <w:t>eces were prepared by mixing 50-100 mg of f</w:t>
      </w:r>
      <w:r>
        <w:rPr>
          <w:rFonts w:cstheme="minorHAnsi"/>
          <w:lang w:val="en-GB"/>
        </w:rPr>
        <w:t>a</w:t>
      </w:r>
      <w:r w:rsidRPr="00D45462">
        <w:rPr>
          <w:rFonts w:cstheme="minorHAnsi"/>
          <w:lang w:val="en-GB"/>
        </w:rPr>
        <w:t>eces and 0.3 mL of deionized water</w:t>
      </w:r>
      <w:r w:rsidR="006F1973">
        <w:rPr>
          <w:rFonts w:cstheme="minorHAnsi"/>
          <w:lang w:val="en-GB"/>
        </w:rPr>
        <w:t>, followed by</w:t>
      </w:r>
      <w:r w:rsidRPr="00D45462">
        <w:rPr>
          <w:rFonts w:cstheme="minorHAnsi"/>
          <w:lang w:val="en-GB"/>
        </w:rPr>
        <w:t xml:space="preserve"> mechanical homogenization in a Bullet Blender 24 (Next </w:t>
      </w:r>
      <w:proofErr w:type="spellStart"/>
      <w:r w:rsidRPr="00D45462">
        <w:rPr>
          <w:rFonts w:cstheme="minorHAnsi"/>
          <w:lang w:val="en-GB"/>
        </w:rPr>
        <w:t>Avance</w:t>
      </w:r>
      <w:proofErr w:type="spellEnd"/>
      <w:r w:rsidRPr="00D45462">
        <w:rPr>
          <w:rFonts w:cstheme="minorHAnsi"/>
          <w:lang w:val="en-GB"/>
        </w:rPr>
        <w:t xml:space="preserve"> Inc,</w:t>
      </w:r>
      <w:r w:rsidR="00634226">
        <w:rPr>
          <w:rFonts w:cstheme="minorHAnsi"/>
          <w:lang w:val="en-GB"/>
        </w:rPr>
        <w:t xml:space="preserve"> Troy, NY,</w:t>
      </w:r>
      <w:r w:rsidRPr="00D45462">
        <w:rPr>
          <w:rFonts w:cstheme="minorHAnsi"/>
          <w:lang w:val="en-GB"/>
        </w:rPr>
        <w:t xml:space="preserve"> USA). The f</w:t>
      </w:r>
      <w:r>
        <w:rPr>
          <w:rFonts w:cstheme="minorHAnsi"/>
          <w:lang w:val="en-GB"/>
        </w:rPr>
        <w:t>a</w:t>
      </w:r>
      <w:r w:rsidRPr="00D45462">
        <w:rPr>
          <w:rFonts w:cstheme="minorHAnsi"/>
          <w:lang w:val="en-GB"/>
        </w:rPr>
        <w:t xml:space="preserve">ecal slurry was centrifuged twice at 18213 × g for 10 min at 4 °C and 0.225 mL of the supernatant </w:t>
      </w:r>
      <w:r w:rsidR="006F1973">
        <w:rPr>
          <w:rFonts w:cstheme="minorHAnsi"/>
          <w:lang w:val="en-GB"/>
        </w:rPr>
        <w:t>was</w:t>
      </w:r>
      <w:r w:rsidRPr="00D45462">
        <w:rPr>
          <w:rFonts w:cstheme="minorHAnsi"/>
          <w:lang w:val="en-GB"/>
        </w:rPr>
        <w:t xml:space="preserve"> mixed with 0.025 mL 1.5 M potassium phosphate buffer (pH 7.4) containing 2 mM sodium </w:t>
      </w:r>
      <w:proofErr w:type="spellStart"/>
      <w:r w:rsidRPr="00D45462">
        <w:rPr>
          <w:rFonts w:cstheme="minorHAnsi"/>
          <w:lang w:val="en-GB"/>
        </w:rPr>
        <w:t>azide</w:t>
      </w:r>
      <w:proofErr w:type="spellEnd"/>
      <w:r w:rsidRPr="00D45462">
        <w:rPr>
          <w:rFonts w:cstheme="minorHAnsi"/>
          <w:lang w:val="en-GB"/>
        </w:rPr>
        <w:t xml:space="preserve"> and 4 mM sodium trimethylsilyl-propionate-d4 (TSP-d4) in D</w:t>
      </w:r>
      <w:r w:rsidRPr="006F1973">
        <w:rPr>
          <w:rFonts w:cstheme="minorHAnsi"/>
          <w:vertAlign w:val="subscript"/>
          <w:lang w:val="en-GB"/>
        </w:rPr>
        <w:t>2</w:t>
      </w:r>
      <w:r w:rsidRPr="00D45462">
        <w:rPr>
          <w:rFonts w:cstheme="minorHAnsi"/>
          <w:lang w:val="en-GB"/>
        </w:rPr>
        <w:t xml:space="preserve">O. One proton NMR spectrum was acquired for each sample in a 14.1 T </w:t>
      </w:r>
      <w:proofErr w:type="spellStart"/>
      <w:r w:rsidRPr="00D45462">
        <w:rPr>
          <w:rFonts w:cstheme="minorHAnsi"/>
          <w:lang w:val="en-GB"/>
        </w:rPr>
        <w:t>Avance</w:t>
      </w:r>
      <w:proofErr w:type="spellEnd"/>
      <w:r w:rsidRPr="00D45462">
        <w:rPr>
          <w:rFonts w:cstheme="minorHAnsi"/>
          <w:lang w:val="en-GB"/>
        </w:rPr>
        <w:t xml:space="preserve"> II NMR (Bruker </w:t>
      </w:r>
      <w:proofErr w:type="spellStart"/>
      <w:r w:rsidRPr="00D45462">
        <w:rPr>
          <w:rFonts w:cstheme="minorHAnsi"/>
          <w:lang w:val="en-GB"/>
        </w:rPr>
        <w:t>Biospin</w:t>
      </w:r>
      <w:proofErr w:type="spellEnd"/>
      <w:r w:rsidRPr="00D45462">
        <w:rPr>
          <w:rFonts w:cstheme="minorHAnsi"/>
          <w:lang w:val="en-GB"/>
        </w:rPr>
        <w:t xml:space="preserve"> Ltd</w:t>
      </w:r>
      <w:r w:rsidR="00634226">
        <w:rPr>
          <w:rFonts w:cstheme="minorHAnsi"/>
          <w:lang w:val="en-GB"/>
        </w:rPr>
        <w:t>,</w:t>
      </w:r>
      <w:r w:rsidR="00634226" w:rsidRPr="00634226">
        <w:rPr>
          <w:lang w:val="en-US"/>
        </w:rPr>
        <w:t xml:space="preserve"> </w:t>
      </w:r>
      <w:r w:rsidR="00634226" w:rsidRPr="00634226">
        <w:rPr>
          <w:rFonts w:cstheme="minorHAnsi"/>
          <w:lang w:val="en-GB"/>
        </w:rPr>
        <w:t>Billerica, MA</w:t>
      </w:r>
      <w:r w:rsidR="00634226">
        <w:rPr>
          <w:rFonts w:cstheme="minorHAnsi"/>
          <w:lang w:val="en-GB"/>
        </w:rPr>
        <w:t>, USA</w:t>
      </w:r>
      <w:r w:rsidRPr="00D45462">
        <w:rPr>
          <w:rFonts w:cstheme="minorHAnsi"/>
          <w:lang w:val="en-GB"/>
        </w:rPr>
        <w:t xml:space="preserve">). Quantification of SCFAs from the NMR data was performed in </w:t>
      </w:r>
      <w:proofErr w:type="spellStart"/>
      <w:r w:rsidRPr="00D45462">
        <w:rPr>
          <w:rFonts w:cstheme="minorHAnsi"/>
          <w:lang w:val="en-GB"/>
        </w:rPr>
        <w:t>ChenomX</w:t>
      </w:r>
      <w:proofErr w:type="spellEnd"/>
      <w:r w:rsidRPr="00D45462">
        <w:rPr>
          <w:rFonts w:cstheme="minorHAnsi"/>
          <w:lang w:val="en-GB"/>
        </w:rPr>
        <w:t xml:space="preserve"> (</w:t>
      </w:r>
      <w:proofErr w:type="spellStart"/>
      <w:r w:rsidRPr="00D45462">
        <w:rPr>
          <w:rFonts w:cstheme="minorHAnsi"/>
          <w:lang w:val="en-GB"/>
        </w:rPr>
        <w:t>Chenomx</w:t>
      </w:r>
      <w:proofErr w:type="spellEnd"/>
      <w:r w:rsidRPr="00D45462">
        <w:rPr>
          <w:rFonts w:cstheme="minorHAnsi"/>
          <w:lang w:val="en-GB"/>
        </w:rPr>
        <w:t xml:space="preserve"> NMR suite 8.4) using the known concentration of TSP-d4.</w:t>
      </w:r>
    </w:p>
    <w:p w14:paraId="385DFB8A" w14:textId="251A1CE1" w:rsidR="00503307" w:rsidRPr="005E6B0F" w:rsidRDefault="00503307" w:rsidP="00F56245">
      <w:pPr>
        <w:spacing w:line="360" w:lineRule="auto"/>
        <w:jc w:val="both"/>
        <w:rPr>
          <w:rFonts w:cstheme="minorHAnsi"/>
          <w:b/>
          <w:lang w:val="en-GB"/>
        </w:rPr>
      </w:pPr>
      <w:r w:rsidRPr="005E6B0F">
        <w:rPr>
          <w:rFonts w:cstheme="minorHAnsi"/>
          <w:b/>
          <w:lang w:val="en-GB"/>
        </w:rPr>
        <w:t>Statistics</w:t>
      </w:r>
    </w:p>
    <w:p w14:paraId="57ED03F7" w14:textId="3CA0CDD3" w:rsidR="005B1816" w:rsidRDefault="00E8272A" w:rsidP="00A7030C">
      <w:pPr>
        <w:spacing w:line="360" w:lineRule="auto"/>
        <w:jc w:val="both"/>
        <w:rPr>
          <w:rFonts w:cstheme="minorHAnsi"/>
          <w:lang w:val="en-US"/>
        </w:rPr>
      </w:pPr>
      <w:r w:rsidRPr="005E6B0F">
        <w:rPr>
          <w:rFonts w:cstheme="minorHAnsi"/>
          <w:bCs/>
          <w:lang w:val="en-GB"/>
        </w:rPr>
        <w:t>Statistical analysis was performed in the R statistical framework</w:t>
      </w:r>
      <w:r w:rsidR="00874A5E">
        <w:rPr>
          <w:rFonts w:cstheme="minorHAnsi"/>
          <w:bCs/>
          <w:lang w:val="en-GB"/>
        </w:rPr>
        <w:t xml:space="preserve"> (</w:t>
      </w:r>
      <w:r w:rsidR="00874A5E" w:rsidRPr="00874A5E">
        <w:rPr>
          <w:rFonts w:cstheme="minorHAnsi"/>
          <w:bCs/>
          <w:lang w:val="en-GB"/>
        </w:rPr>
        <w:t>Version 3.5</w:t>
      </w:r>
      <w:r w:rsidR="00874A5E">
        <w:rPr>
          <w:rFonts w:cstheme="minorHAnsi"/>
          <w:bCs/>
          <w:lang w:val="en-GB"/>
        </w:rPr>
        <w:t>.</w:t>
      </w:r>
      <w:r w:rsidR="00874A5E" w:rsidRPr="00874A5E">
        <w:rPr>
          <w:rFonts w:cstheme="minorHAnsi"/>
          <w:bCs/>
          <w:lang w:val="en-GB"/>
        </w:rPr>
        <w:t>1</w:t>
      </w:r>
      <w:r w:rsidR="00874A5E">
        <w:rPr>
          <w:rFonts w:cstheme="minorHAnsi"/>
          <w:bCs/>
          <w:lang w:val="en-GB"/>
        </w:rPr>
        <w:t xml:space="preserve">, </w:t>
      </w:r>
      <w:r w:rsidR="00874A5E" w:rsidRPr="00874A5E">
        <w:rPr>
          <w:rFonts w:cstheme="minorHAnsi"/>
          <w:bCs/>
          <w:lang w:val="en-GB"/>
        </w:rPr>
        <w:t>R Foundation for Statistical Computing, Vienna, Austria)</w:t>
      </w:r>
      <w:r w:rsidRPr="005E6B0F">
        <w:rPr>
          <w:rFonts w:cstheme="minorHAnsi"/>
          <w:bCs/>
          <w:lang w:val="en-GB"/>
        </w:rPr>
        <w:t xml:space="preserve">. To assess alpha diversity, we calculated the </w:t>
      </w:r>
      <w:r w:rsidR="009604CC" w:rsidRPr="005E6B0F">
        <w:rPr>
          <w:rFonts w:cstheme="minorHAnsi"/>
          <w:bCs/>
          <w:lang w:val="en-GB"/>
        </w:rPr>
        <w:t>Shannon</w:t>
      </w:r>
      <w:r w:rsidRPr="005E6B0F">
        <w:rPr>
          <w:rFonts w:cstheme="minorHAnsi"/>
          <w:bCs/>
          <w:lang w:val="en-GB"/>
        </w:rPr>
        <w:t xml:space="preserve"> Diversity Index and Observed Taxa Richness index with the R phyloseq package.</w:t>
      </w:r>
      <w:r w:rsidR="00054D52" w:rsidRPr="005E6B0F">
        <w:rPr>
          <w:rFonts w:cstheme="minorHAnsi"/>
          <w:bCs/>
          <w:lang w:val="en-GB"/>
        </w:rPr>
        <w:t xml:space="preserve"> [</w:t>
      </w:r>
      <w:r w:rsidR="00F72996">
        <w:rPr>
          <w:rFonts w:cstheme="minorHAnsi"/>
          <w:bCs/>
          <w:lang w:val="en-GB"/>
        </w:rPr>
        <w:t>29</w:t>
      </w:r>
      <w:r w:rsidR="00054D52" w:rsidRPr="005E6B0F">
        <w:rPr>
          <w:rFonts w:cstheme="minorHAnsi"/>
          <w:bCs/>
          <w:lang w:val="en-GB"/>
        </w:rPr>
        <w:t>]</w:t>
      </w:r>
      <w:r w:rsidRPr="005E6B0F">
        <w:rPr>
          <w:rFonts w:cstheme="minorHAnsi"/>
          <w:bCs/>
          <w:lang w:val="en-GB"/>
        </w:rPr>
        <w:t xml:space="preserve"> Data were not normally distributed and are therefore presented as median [interquartile range, IQR] while data were analysed using a Wilcoxon matched-pairs signed rank test for paired data or a Mann-Whitney test for unpaired data. Beta diversity metrics were calculated using weighted and unweighted UniFrac on a rarefied dataset, after which principal coordinates analysis (PCoA) was performed to highlight the separation of microbiota composition based on antibiotic exposure and sampling time point. Differences in microbiota composition among groups and time points were tested for using permutational multivariate analysis of variance (</w:t>
      </w:r>
      <w:r w:rsidR="00F72996">
        <w:rPr>
          <w:rFonts w:cstheme="minorHAnsi"/>
          <w:bCs/>
          <w:lang w:val="en-GB"/>
        </w:rPr>
        <w:t>PERMANOVA</w:t>
      </w:r>
      <w:r w:rsidRPr="005E6B0F">
        <w:rPr>
          <w:rFonts w:cstheme="minorHAnsi"/>
          <w:bCs/>
          <w:lang w:val="en-GB"/>
        </w:rPr>
        <w:t xml:space="preserve">) on beta diversity matrices, using the vegan R package. False discovery rate was adjusted for with Benjamini-Hochberg. To identify taxa that may be driving the significant differences detected between </w:t>
      </w:r>
      <w:r w:rsidR="00EA1A42" w:rsidRPr="005E6B0F">
        <w:rPr>
          <w:rFonts w:cstheme="minorHAnsi"/>
          <w:bCs/>
          <w:lang w:val="en-GB"/>
        </w:rPr>
        <w:t>groups</w:t>
      </w:r>
      <w:r w:rsidRPr="005E6B0F">
        <w:rPr>
          <w:rFonts w:cstheme="minorHAnsi"/>
          <w:bCs/>
          <w:lang w:val="en-GB"/>
        </w:rPr>
        <w:t>, differential abundance analysis was determined using DESeq2.</w:t>
      </w:r>
      <w:r w:rsidR="00AC7585" w:rsidRPr="005E6B0F">
        <w:rPr>
          <w:rFonts w:cstheme="minorHAnsi"/>
          <w:bCs/>
          <w:lang w:val="en-GB"/>
        </w:rPr>
        <w:t xml:space="preserve"> Finally, </w:t>
      </w:r>
      <w:r w:rsidR="00EA1A42" w:rsidRPr="002F437A">
        <w:rPr>
          <w:rFonts w:cstheme="minorHAnsi"/>
          <w:color w:val="000000"/>
          <w:lang w:val="en-US"/>
        </w:rPr>
        <w:t>potential</w:t>
      </w:r>
      <w:r w:rsidR="00AC7585" w:rsidRPr="002F437A">
        <w:rPr>
          <w:rFonts w:cstheme="minorHAnsi"/>
          <w:color w:val="000000"/>
          <w:lang w:val="en-US"/>
        </w:rPr>
        <w:t xml:space="preserve"> predictors of outcome were assessed using </w:t>
      </w:r>
      <w:r w:rsidR="00363FA8">
        <w:rPr>
          <w:rFonts w:cstheme="minorHAnsi"/>
          <w:color w:val="000000"/>
          <w:lang w:val="en-US"/>
        </w:rPr>
        <w:t xml:space="preserve">linear regression models </w:t>
      </w:r>
      <w:r w:rsidR="00363FA8">
        <w:rPr>
          <w:rFonts w:cstheme="minorHAnsi"/>
          <w:color w:val="000000"/>
          <w:lang w:val="en-US"/>
        </w:rPr>
        <w:lastRenderedPageBreak/>
        <w:t>on log10 transformed relative abundances</w:t>
      </w:r>
      <w:r w:rsidR="00D45462">
        <w:rPr>
          <w:rFonts w:cstheme="minorHAnsi"/>
          <w:color w:val="000000"/>
          <w:lang w:val="en-US"/>
        </w:rPr>
        <w:t>.</w:t>
      </w:r>
      <w:r w:rsidR="00AC7585" w:rsidRPr="00F54C04">
        <w:rPr>
          <w:rFonts w:cstheme="minorHAnsi"/>
          <w:lang w:val="en-US"/>
        </w:rPr>
        <w:t xml:space="preserve"> </w:t>
      </w:r>
      <w:r w:rsidR="00390DC1">
        <w:rPr>
          <w:rFonts w:cstheme="minorHAnsi"/>
          <w:lang w:val="en-US"/>
        </w:rPr>
        <w:t>L</w:t>
      </w:r>
      <w:r w:rsidR="005B1816">
        <w:rPr>
          <w:rFonts w:cstheme="minorHAnsi"/>
          <w:lang w:val="en-US"/>
        </w:rPr>
        <w:t xml:space="preserve">inear terms were </w:t>
      </w:r>
      <w:r w:rsidR="00390DC1">
        <w:rPr>
          <w:rFonts w:cstheme="minorHAnsi"/>
          <w:lang w:val="en-US"/>
        </w:rPr>
        <w:t>confirmed by</w:t>
      </w:r>
      <w:r w:rsidR="005B1816">
        <w:rPr>
          <w:rFonts w:cstheme="minorHAnsi"/>
          <w:lang w:val="en-US"/>
        </w:rPr>
        <w:t xml:space="preserve"> Wald tests</w:t>
      </w:r>
      <w:r w:rsidR="00390DC1">
        <w:rPr>
          <w:rFonts w:cstheme="minorHAnsi"/>
          <w:lang w:val="en-US"/>
        </w:rPr>
        <w:t xml:space="preserve"> in </w:t>
      </w:r>
      <w:r w:rsidR="005B1816">
        <w:rPr>
          <w:rFonts w:cstheme="minorHAnsi"/>
          <w:lang w:val="en-US"/>
        </w:rPr>
        <w:t xml:space="preserve">the rms R package (with p&lt;0.05 indicating nonlinearity). </w:t>
      </w:r>
    </w:p>
    <w:p w14:paraId="55DF4FF5" w14:textId="67F5B350" w:rsidR="003C6D4A" w:rsidRPr="00734400" w:rsidRDefault="003C6D4A" w:rsidP="00A7030C">
      <w:pPr>
        <w:spacing w:line="360" w:lineRule="auto"/>
        <w:jc w:val="both"/>
        <w:rPr>
          <w:rFonts w:cstheme="minorHAnsi"/>
          <w:bCs/>
          <w:lang w:val="en-GB"/>
        </w:rPr>
      </w:pPr>
      <w:r w:rsidRPr="00734400">
        <w:rPr>
          <w:rFonts w:cstheme="minorHAnsi"/>
          <w:b/>
          <w:lang w:val="en-GB"/>
        </w:rPr>
        <w:t>Results</w:t>
      </w:r>
    </w:p>
    <w:p w14:paraId="6F3A53F8" w14:textId="439294F2" w:rsidR="00F54C04" w:rsidRPr="005E6B0F" w:rsidRDefault="00F54C04" w:rsidP="00A7030C">
      <w:pPr>
        <w:spacing w:line="360" w:lineRule="auto"/>
        <w:jc w:val="both"/>
        <w:rPr>
          <w:rFonts w:cstheme="minorHAnsi"/>
          <w:b/>
          <w:bCs/>
          <w:lang w:val="en-US"/>
        </w:rPr>
      </w:pPr>
      <w:r w:rsidRPr="005E6B0F">
        <w:rPr>
          <w:rFonts w:cstheme="minorHAnsi"/>
          <w:b/>
          <w:bCs/>
          <w:lang w:val="en-US"/>
        </w:rPr>
        <w:t>D</w:t>
      </w:r>
      <w:r w:rsidR="00424AE6">
        <w:rPr>
          <w:rFonts w:cstheme="minorHAnsi"/>
          <w:b/>
          <w:bCs/>
          <w:lang w:val="en-US"/>
        </w:rPr>
        <w:t>emographic and c</w:t>
      </w:r>
      <w:r w:rsidRPr="005E6B0F">
        <w:rPr>
          <w:rFonts w:cstheme="minorHAnsi"/>
          <w:b/>
          <w:bCs/>
          <w:lang w:val="en-US"/>
        </w:rPr>
        <w:t xml:space="preserve">linical </w:t>
      </w:r>
      <w:r w:rsidR="00565361">
        <w:rPr>
          <w:rFonts w:cstheme="minorHAnsi"/>
          <w:b/>
          <w:bCs/>
          <w:lang w:val="en-US"/>
        </w:rPr>
        <w:t>d</w:t>
      </w:r>
      <w:r w:rsidRPr="005E6B0F">
        <w:rPr>
          <w:rFonts w:cstheme="minorHAnsi"/>
          <w:b/>
          <w:bCs/>
          <w:lang w:val="en-US"/>
        </w:rPr>
        <w:t>ata</w:t>
      </w:r>
    </w:p>
    <w:p w14:paraId="1D946790" w14:textId="358981FB" w:rsidR="007A29D7" w:rsidRPr="002F437A" w:rsidRDefault="00B37F0C" w:rsidP="007A29D7">
      <w:pPr>
        <w:spacing w:line="360" w:lineRule="auto"/>
        <w:jc w:val="both"/>
        <w:rPr>
          <w:rFonts w:cstheme="minorHAnsi"/>
          <w:bCs/>
          <w:lang w:val="en-GB"/>
        </w:rPr>
      </w:pPr>
      <w:r w:rsidRPr="00734400">
        <w:rPr>
          <w:rFonts w:cstheme="minorHAnsi"/>
          <w:bCs/>
          <w:lang w:val="en-GB"/>
        </w:rPr>
        <w:t>F</w:t>
      </w:r>
      <w:r w:rsidR="00BC569F" w:rsidRPr="00734400">
        <w:rPr>
          <w:rFonts w:cstheme="minorHAnsi"/>
          <w:bCs/>
          <w:lang w:val="en-GB"/>
        </w:rPr>
        <w:t>aecal samples of a total of 6</w:t>
      </w:r>
      <w:r w:rsidR="006912B4">
        <w:rPr>
          <w:rFonts w:cstheme="minorHAnsi"/>
          <w:bCs/>
          <w:lang w:val="en-GB"/>
        </w:rPr>
        <w:t>0</w:t>
      </w:r>
      <w:r w:rsidR="00BC569F" w:rsidRPr="00734400">
        <w:rPr>
          <w:rFonts w:cstheme="minorHAnsi"/>
          <w:bCs/>
          <w:lang w:val="en-GB"/>
        </w:rPr>
        <w:t xml:space="preserve"> patients with </w:t>
      </w:r>
      <w:r w:rsidR="00267B1E">
        <w:rPr>
          <w:rFonts w:cstheme="minorHAnsi"/>
          <w:bCs/>
          <w:lang w:val="en-GB"/>
        </w:rPr>
        <w:t xml:space="preserve">a </w:t>
      </w:r>
      <w:r w:rsidR="00BC569F" w:rsidRPr="00734400">
        <w:rPr>
          <w:rFonts w:cstheme="minorHAnsi"/>
          <w:bCs/>
          <w:lang w:val="en-GB"/>
        </w:rPr>
        <w:t xml:space="preserve">febrile illness </w:t>
      </w:r>
      <w:r w:rsidRPr="00734400">
        <w:rPr>
          <w:rFonts w:cstheme="minorHAnsi"/>
          <w:bCs/>
          <w:lang w:val="en-GB"/>
        </w:rPr>
        <w:t xml:space="preserve">and 36 healthy age-matched controls </w:t>
      </w:r>
      <w:r w:rsidR="00BC569F" w:rsidRPr="00734400">
        <w:rPr>
          <w:rFonts w:cstheme="minorHAnsi"/>
          <w:bCs/>
          <w:lang w:val="en-GB"/>
        </w:rPr>
        <w:t>were collected</w:t>
      </w:r>
      <w:r w:rsidR="005E6B0F">
        <w:rPr>
          <w:rFonts w:cstheme="minorHAnsi"/>
          <w:bCs/>
          <w:lang w:val="en-GB"/>
        </w:rPr>
        <w:t xml:space="preserve">. </w:t>
      </w:r>
      <w:r w:rsidR="00BC569F" w:rsidRPr="008F640D">
        <w:rPr>
          <w:rFonts w:cstheme="minorHAnsi"/>
          <w:bCs/>
          <w:lang w:val="en-GB"/>
        </w:rPr>
        <w:t>1</w:t>
      </w:r>
      <w:r w:rsidR="006912B4">
        <w:rPr>
          <w:rFonts w:cstheme="minorHAnsi"/>
          <w:bCs/>
          <w:lang w:val="en-GB"/>
        </w:rPr>
        <w:t>4</w:t>
      </w:r>
      <w:r w:rsidR="00BC569F" w:rsidRPr="008F640D">
        <w:rPr>
          <w:rFonts w:cstheme="minorHAnsi"/>
          <w:bCs/>
          <w:lang w:val="en-GB"/>
        </w:rPr>
        <w:t xml:space="preserve"> of the 6</w:t>
      </w:r>
      <w:r w:rsidR="006912B4">
        <w:rPr>
          <w:rFonts w:cstheme="minorHAnsi"/>
          <w:bCs/>
          <w:lang w:val="en-GB"/>
        </w:rPr>
        <w:t>0</w:t>
      </w:r>
      <w:r w:rsidR="00BC569F" w:rsidRPr="008F640D">
        <w:rPr>
          <w:rFonts w:cstheme="minorHAnsi"/>
          <w:bCs/>
          <w:lang w:val="en-GB"/>
        </w:rPr>
        <w:t xml:space="preserve"> patients were diagnosed with </w:t>
      </w:r>
      <w:r w:rsidR="00361CC3" w:rsidRPr="00565361">
        <w:rPr>
          <w:rFonts w:cstheme="minorHAnsi"/>
          <w:bCs/>
          <w:lang w:val="en-GB"/>
        </w:rPr>
        <w:t>t</w:t>
      </w:r>
      <w:r w:rsidR="007A29D7" w:rsidRPr="00565361">
        <w:rPr>
          <w:rFonts w:cstheme="minorHAnsi"/>
          <w:bCs/>
          <w:lang w:val="en-GB"/>
        </w:rPr>
        <w:t xml:space="preserve">yphoid fever, either </w:t>
      </w:r>
      <w:r w:rsidRPr="00565361">
        <w:rPr>
          <w:rFonts w:cstheme="minorHAnsi"/>
          <w:bCs/>
          <w:lang w:val="en-GB"/>
        </w:rPr>
        <w:t xml:space="preserve">by </w:t>
      </w:r>
      <w:r w:rsidR="00BC569F" w:rsidRPr="00565361">
        <w:rPr>
          <w:rFonts w:cstheme="minorHAnsi"/>
          <w:bCs/>
          <w:lang w:val="en-GB"/>
        </w:rPr>
        <w:t>positive blood cultures</w:t>
      </w:r>
      <w:r w:rsidR="008F640D" w:rsidRPr="00565361">
        <w:rPr>
          <w:rFonts w:cstheme="minorHAnsi"/>
          <w:bCs/>
          <w:lang w:val="en-GB"/>
        </w:rPr>
        <w:t xml:space="preserve"> for </w:t>
      </w:r>
      <w:r w:rsidR="008F640D" w:rsidRPr="00565361">
        <w:rPr>
          <w:i/>
          <w:lang w:val="en-US"/>
        </w:rPr>
        <w:t>S.</w:t>
      </w:r>
      <w:r w:rsidR="008F640D" w:rsidRPr="00565361">
        <w:rPr>
          <w:lang w:val="en-US"/>
        </w:rPr>
        <w:t xml:space="preserve"> Typhi</w:t>
      </w:r>
      <w:r w:rsidR="00BC569F" w:rsidRPr="00565361">
        <w:rPr>
          <w:rFonts w:cstheme="minorHAnsi"/>
          <w:bCs/>
          <w:lang w:val="en-GB"/>
        </w:rPr>
        <w:t xml:space="preserve"> (</w:t>
      </w:r>
      <w:r w:rsidR="009447D5">
        <w:rPr>
          <w:rFonts w:cstheme="minorHAnsi"/>
          <w:bCs/>
          <w:lang w:val="en-GB"/>
        </w:rPr>
        <w:t>n</w:t>
      </w:r>
      <w:r w:rsidR="00BC569F" w:rsidRPr="00565361">
        <w:rPr>
          <w:rFonts w:cstheme="minorHAnsi"/>
          <w:bCs/>
          <w:lang w:val="en-GB"/>
        </w:rPr>
        <w:t>=</w:t>
      </w:r>
      <w:r w:rsidR="009447D5">
        <w:rPr>
          <w:rFonts w:cstheme="minorHAnsi"/>
          <w:bCs/>
          <w:lang w:val="en-GB"/>
        </w:rPr>
        <w:t>8</w:t>
      </w:r>
      <w:r w:rsidR="00A12BCC" w:rsidRPr="00565361">
        <w:rPr>
          <w:rFonts w:cstheme="minorHAnsi"/>
          <w:bCs/>
          <w:lang w:val="en-GB"/>
        </w:rPr>
        <w:t>;</w:t>
      </w:r>
      <w:r w:rsidR="00BC569F" w:rsidRPr="00565361">
        <w:rPr>
          <w:rFonts w:cstheme="minorHAnsi"/>
          <w:bCs/>
          <w:lang w:val="en-GB"/>
        </w:rPr>
        <w:t xml:space="preserve"> </w:t>
      </w:r>
      <w:r w:rsidR="006912B4">
        <w:rPr>
          <w:rFonts w:cstheme="minorHAnsi"/>
          <w:bCs/>
          <w:lang w:val="en-GB"/>
        </w:rPr>
        <w:t>5</w:t>
      </w:r>
      <w:r w:rsidR="009447D5">
        <w:rPr>
          <w:rFonts w:cstheme="minorHAnsi"/>
          <w:bCs/>
          <w:lang w:val="en-GB"/>
        </w:rPr>
        <w:t>7.1</w:t>
      </w:r>
      <w:r w:rsidR="00BC569F" w:rsidRPr="00565361">
        <w:rPr>
          <w:rFonts w:cstheme="minorHAnsi"/>
          <w:bCs/>
          <w:lang w:val="en-GB"/>
        </w:rPr>
        <w:t>%)</w:t>
      </w:r>
      <w:r w:rsidRPr="00565361">
        <w:rPr>
          <w:rFonts w:cstheme="minorHAnsi"/>
          <w:bCs/>
          <w:lang w:val="en-GB"/>
        </w:rPr>
        <w:t xml:space="preserve">, </w:t>
      </w:r>
      <w:r w:rsidR="006912B4">
        <w:rPr>
          <w:rFonts w:cstheme="minorHAnsi"/>
          <w:bCs/>
          <w:lang w:val="en-GB"/>
        </w:rPr>
        <w:t xml:space="preserve">or </w:t>
      </w:r>
      <w:r w:rsidR="008F640D" w:rsidRPr="00565361">
        <w:rPr>
          <w:lang w:val="en-US"/>
        </w:rPr>
        <w:t xml:space="preserve">positive </w:t>
      </w:r>
      <w:r w:rsidR="008F640D" w:rsidRPr="00565361">
        <w:rPr>
          <w:i/>
          <w:lang w:val="en-US"/>
        </w:rPr>
        <w:t>S.</w:t>
      </w:r>
      <w:r w:rsidR="008F640D" w:rsidRPr="00565361">
        <w:rPr>
          <w:lang w:val="en-US"/>
        </w:rPr>
        <w:t xml:space="preserve"> Typhi </w:t>
      </w:r>
      <w:r w:rsidR="00E8272A" w:rsidRPr="00565361">
        <w:rPr>
          <w:rFonts w:cstheme="minorHAnsi"/>
          <w:bCs/>
          <w:lang w:val="en-GB"/>
        </w:rPr>
        <w:t>PCR</w:t>
      </w:r>
      <w:r w:rsidR="008F640D" w:rsidRPr="008F640D">
        <w:rPr>
          <w:rFonts w:cstheme="minorHAnsi"/>
          <w:bCs/>
          <w:lang w:val="en-GB"/>
        </w:rPr>
        <w:t xml:space="preserve"> </w:t>
      </w:r>
      <w:r w:rsidR="008F640D" w:rsidRPr="008F640D">
        <w:rPr>
          <w:lang w:val="en-US"/>
        </w:rPr>
        <w:t>in blood, urine and/or feces</w:t>
      </w:r>
      <w:r w:rsidR="00E8272A" w:rsidRPr="008F640D">
        <w:rPr>
          <w:rFonts w:cstheme="minorHAnsi"/>
          <w:bCs/>
          <w:lang w:val="en-GB"/>
        </w:rPr>
        <w:t xml:space="preserve"> (</w:t>
      </w:r>
      <w:r w:rsidR="009447D5">
        <w:rPr>
          <w:rFonts w:cstheme="minorHAnsi"/>
          <w:bCs/>
          <w:lang w:val="en-GB"/>
        </w:rPr>
        <w:t>n</w:t>
      </w:r>
      <w:r w:rsidR="00E8272A" w:rsidRPr="008F640D">
        <w:rPr>
          <w:rFonts w:cstheme="minorHAnsi"/>
          <w:bCs/>
          <w:lang w:val="en-GB"/>
        </w:rPr>
        <w:t>=</w:t>
      </w:r>
      <w:r w:rsidR="009447D5">
        <w:rPr>
          <w:rFonts w:cstheme="minorHAnsi"/>
          <w:bCs/>
          <w:lang w:val="en-GB"/>
        </w:rPr>
        <w:t>6</w:t>
      </w:r>
      <w:r w:rsidR="00A12BCC" w:rsidRPr="008F640D">
        <w:rPr>
          <w:rFonts w:cstheme="minorHAnsi"/>
          <w:bCs/>
          <w:lang w:val="en-GB"/>
        </w:rPr>
        <w:t>;</w:t>
      </w:r>
      <w:r w:rsidR="00E8272A" w:rsidRPr="008F640D">
        <w:rPr>
          <w:rFonts w:cstheme="minorHAnsi"/>
          <w:bCs/>
          <w:lang w:val="en-GB"/>
        </w:rPr>
        <w:t xml:space="preserve"> </w:t>
      </w:r>
      <w:r w:rsidR="006912B4">
        <w:rPr>
          <w:rFonts w:cstheme="minorHAnsi"/>
          <w:bCs/>
          <w:lang w:val="en-GB"/>
        </w:rPr>
        <w:t>42.8%).</w:t>
      </w:r>
      <w:r w:rsidR="00B64B1A" w:rsidRPr="00565361">
        <w:rPr>
          <w:rFonts w:cstheme="minorHAnsi"/>
          <w:bCs/>
          <w:lang w:val="en-GB"/>
        </w:rPr>
        <w:t xml:space="preserve"> A total of 46 patients in the cohort were classified as having a non-typhoidal febrile illness (N-TF), of which the majority was</w:t>
      </w:r>
      <w:r w:rsidR="00B64B1A" w:rsidRPr="002F437A">
        <w:rPr>
          <w:rFonts w:cstheme="minorHAnsi"/>
          <w:bCs/>
          <w:lang w:val="en-GB"/>
        </w:rPr>
        <w:t xml:space="preserve"> diagnosed with either a lower respiratory tract infection (36%) or urinary tract infection (27%). </w:t>
      </w:r>
      <w:r w:rsidR="00B154D9" w:rsidRPr="002F437A">
        <w:rPr>
          <w:rFonts w:cstheme="minorHAnsi"/>
          <w:bCs/>
          <w:lang w:val="en-GB"/>
        </w:rPr>
        <w:t>The b</w:t>
      </w:r>
      <w:r w:rsidR="00315223" w:rsidRPr="002F437A">
        <w:rPr>
          <w:rFonts w:cstheme="minorHAnsi"/>
          <w:bCs/>
          <w:lang w:val="en-GB"/>
        </w:rPr>
        <w:t xml:space="preserve">aseline characteristics of </w:t>
      </w:r>
      <w:r w:rsidR="00B64B1A" w:rsidRPr="002F437A">
        <w:rPr>
          <w:rFonts w:cstheme="minorHAnsi"/>
          <w:bCs/>
          <w:lang w:val="en-GB"/>
        </w:rPr>
        <w:t xml:space="preserve">all </w:t>
      </w:r>
      <w:r w:rsidR="00315223" w:rsidRPr="002F437A">
        <w:rPr>
          <w:rFonts w:cstheme="minorHAnsi"/>
          <w:bCs/>
          <w:lang w:val="en-GB"/>
        </w:rPr>
        <w:t xml:space="preserve">study participants are provided in </w:t>
      </w:r>
      <w:r w:rsidR="00315223" w:rsidRPr="002F437A">
        <w:rPr>
          <w:rFonts w:cstheme="minorHAnsi"/>
          <w:b/>
          <w:lang w:val="en-GB"/>
        </w:rPr>
        <w:t xml:space="preserve">Table </w:t>
      </w:r>
      <w:r w:rsidR="007A29D7">
        <w:rPr>
          <w:rFonts w:cstheme="minorHAnsi"/>
          <w:b/>
          <w:lang w:val="en-GB"/>
        </w:rPr>
        <w:t>1</w:t>
      </w:r>
      <w:r w:rsidR="006106A5">
        <w:rPr>
          <w:rFonts w:cstheme="minorHAnsi"/>
          <w:b/>
          <w:lang w:val="en-GB"/>
        </w:rPr>
        <w:t xml:space="preserve">. </w:t>
      </w:r>
      <w:r w:rsidR="007A29D7" w:rsidRPr="00734400">
        <w:rPr>
          <w:rFonts w:cstheme="minorHAnsi"/>
          <w:bCs/>
          <w:lang w:val="en-GB"/>
        </w:rPr>
        <w:t xml:space="preserve">Patients with </w:t>
      </w:r>
      <w:r w:rsidR="00991916">
        <w:rPr>
          <w:rFonts w:cstheme="minorHAnsi"/>
          <w:bCs/>
          <w:lang w:val="en-GB"/>
        </w:rPr>
        <w:t xml:space="preserve">typhoid fever were </w:t>
      </w:r>
      <w:r w:rsidR="007A29D7" w:rsidRPr="00734400">
        <w:rPr>
          <w:rFonts w:cstheme="minorHAnsi"/>
          <w:bCs/>
          <w:lang w:val="en-GB"/>
        </w:rPr>
        <w:t xml:space="preserve">slightly younger compared to </w:t>
      </w:r>
      <w:r w:rsidR="00991916">
        <w:rPr>
          <w:rFonts w:cstheme="minorHAnsi"/>
          <w:bCs/>
          <w:lang w:val="en-GB"/>
        </w:rPr>
        <w:t>non-typhoidal febrile illness</w:t>
      </w:r>
      <w:r w:rsidR="007A29D7" w:rsidRPr="00734400">
        <w:rPr>
          <w:rFonts w:cstheme="minorHAnsi"/>
          <w:bCs/>
          <w:lang w:val="en-GB"/>
        </w:rPr>
        <w:t xml:space="preserve"> </w:t>
      </w:r>
      <w:r w:rsidR="007A29D7" w:rsidRPr="00991916">
        <w:rPr>
          <w:rFonts w:cstheme="minorHAnsi"/>
          <w:bCs/>
          <w:lang w:val="en-GB"/>
        </w:rPr>
        <w:t>patients and healthy controls (median age 2</w:t>
      </w:r>
      <w:r w:rsidR="00991916" w:rsidRPr="00991916">
        <w:rPr>
          <w:rFonts w:cstheme="minorHAnsi"/>
          <w:bCs/>
          <w:lang w:val="en-GB"/>
        </w:rPr>
        <w:t>7</w:t>
      </w:r>
      <w:r w:rsidR="007A29D7" w:rsidRPr="00991916">
        <w:rPr>
          <w:rFonts w:cstheme="minorHAnsi"/>
          <w:bCs/>
          <w:lang w:val="en-GB"/>
        </w:rPr>
        <w:t xml:space="preserve"> versus 35,5 versus 35,0 </w:t>
      </w:r>
      <w:r w:rsidR="008F640D" w:rsidRPr="00991916">
        <w:rPr>
          <w:rFonts w:cstheme="minorHAnsi"/>
          <w:bCs/>
          <w:lang w:val="en-GB"/>
        </w:rPr>
        <w:t xml:space="preserve">years </w:t>
      </w:r>
      <w:r w:rsidR="007A29D7" w:rsidRPr="00991916">
        <w:rPr>
          <w:rFonts w:cstheme="minorHAnsi"/>
          <w:bCs/>
          <w:lang w:val="en-GB"/>
        </w:rPr>
        <w:t>respectively, P=0.0</w:t>
      </w:r>
      <w:r w:rsidR="00B14217">
        <w:rPr>
          <w:rFonts w:cstheme="minorHAnsi"/>
          <w:bCs/>
          <w:lang w:val="en-GB"/>
        </w:rPr>
        <w:t>44</w:t>
      </w:r>
      <w:r w:rsidR="007A29D7" w:rsidRPr="00991916">
        <w:rPr>
          <w:rFonts w:cstheme="minorHAnsi"/>
          <w:bCs/>
          <w:lang w:val="en-GB"/>
        </w:rPr>
        <w:t>),</w:t>
      </w:r>
      <w:r w:rsidR="007A29D7" w:rsidRPr="00734400">
        <w:rPr>
          <w:rFonts w:cstheme="minorHAnsi"/>
          <w:bCs/>
          <w:lang w:val="en-GB"/>
        </w:rPr>
        <w:t xml:space="preserve"> while no differences in past medical history were observed among the three groups.</w:t>
      </w:r>
      <w:r w:rsidR="007A29D7">
        <w:rPr>
          <w:rFonts w:cstheme="minorHAnsi"/>
          <w:bCs/>
          <w:lang w:val="en-GB"/>
        </w:rPr>
        <w:t xml:space="preserve"> </w:t>
      </w:r>
      <w:r w:rsidR="00B154D9" w:rsidRPr="002F437A">
        <w:rPr>
          <w:rFonts w:cstheme="minorHAnsi"/>
          <w:bCs/>
          <w:lang w:val="en-GB"/>
        </w:rPr>
        <w:t xml:space="preserve">A comparison of clinical characteristics </w:t>
      </w:r>
      <w:r w:rsidR="00A33892" w:rsidRPr="002F437A">
        <w:rPr>
          <w:rFonts w:cstheme="minorHAnsi"/>
          <w:bCs/>
          <w:lang w:val="en-GB"/>
        </w:rPr>
        <w:t xml:space="preserve">at admission </w:t>
      </w:r>
      <w:r w:rsidRPr="002F437A">
        <w:rPr>
          <w:rFonts w:cstheme="minorHAnsi"/>
          <w:bCs/>
          <w:lang w:val="en-GB"/>
        </w:rPr>
        <w:t>showed</w:t>
      </w:r>
      <w:r w:rsidR="00B154D9" w:rsidRPr="002F437A">
        <w:rPr>
          <w:rFonts w:cstheme="minorHAnsi"/>
          <w:bCs/>
          <w:lang w:val="en-GB"/>
        </w:rPr>
        <w:t xml:space="preserve"> that </w:t>
      </w:r>
      <w:r w:rsidR="007A29D7">
        <w:rPr>
          <w:rFonts w:cstheme="minorHAnsi"/>
          <w:bCs/>
          <w:lang w:val="en-GB"/>
        </w:rPr>
        <w:t>there were</w:t>
      </w:r>
      <w:r w:rsidR="00B154D9" w:rsidRPr="002F437A">
        <w:rPr>
          <w:rFonts w:cstheme="minorHAnsi"/>
          <w:bCs/>
          <w:lang w:val="en-GB"/>
        </w:rPr>
        <w:t xml:space="preserve"> </w:t>
      </w:r>
      <w:r w:rsidR="007A29D7" w:rsidRPr="00734400">
        <w:rPr>
          <w:rFonts w:cstheme="minorHAnsi"/>
          <w:bCs/>
          <w:lang w:val="en-GB"/>
        </w:rPr>
        <w:t xml:space="preserve">no </w:t>
      </w:r>
      <w:r w:rsidR="00267B1E">
        <w:rPr>
          <w:rFonts w:cstheme="minorHAnsi"/>
          <w:bCs/>
          <w:lang w:val="en-GB"/>
        </w:rPr>
        <w:t xml:space="preserve">apparent </w:t>
      </w:r>
      <w:r w:rsidR="007A29D7" w:rsidRPr="00734400">
        <w:rPr>
          <w:rFonts w:cstheme="minorHAnsi"/>
          <w:bCs/>
          <w:lang w:val="en-GB"/>
        </w:rPr>
        <w:t>differences in clinical severity</w:t>
      </w:r>
      <w:r w:rsidR="00267B1E">
        <w:rPr>
          <w:rFonts w:cstheme="minorHAnsi"/>
          <w:bCs/>
          <w:lang w:val="en-GB"/>
        </w:rPr>
        <w:t xml:space="preserve"> and subsequent</w:t>
      </w:r>
      <w:r w:rsidR="007A29D7" w:rsidRPr="00734400">
        <w:rPr>
          <w:rFonts w:cstheme="minorHAnsi"/>
          <w:bCs/>
          <w:lang w:val="en-GB"/>
        </w:rPr>
        <w:t xml:space="preserve"> length of hospital admission stay or mortality between </w:t>
      </w:r>
      <w:r w:rsidR="007A29D7">
        <w:rPr>
          <w:rFonts w:cstheme="minorHAnsi"/>
          <w:bCs/>
          <w:lang w:val="en-GB"/>
        </w:rPr>
        <w:t>TF and N-TF patients</w:t>
      </w:r>
      <w:r w:rsidR="007A29D7" w:rsidRPr="00734400">
        <w:rPr>
          <w:rFonts w:cstheme="minorHAnsi"/>
          <w:bCs/>
          <w:lang w:val="en-GB"/>
        </w:rPr>
        <w:t xml:space="preserve">. </w:t>
      </w:r>
      <w:r w:rsidR="007A29D7">
        <w:rPr>
          <w:rFonts w:cstheme="minorHAnsi"/>
          <w:bCs/>
          <w:lang w:val="en-GB"/>
        </w:rPr>
        <w:t xml:space="preserve">TF patients </w:t>
      </w:r>
      <w:r w:rsidR="000C243C" w:rsidRPr="002F437A">
        <w:rPr>
          <w:rFonts w:cstheme="minorHAnsi"/>
          <w:bCs/>
          <w:lang w:val="en-GB"/>
        </w:rPr>
        <w:t>had a longer duration of fever prior to admission</w:t>
      </w:r>
      <w:r w:rsidR="00267B1E">
        <w:rPr>
          <w:rFonts w:cstheme="minorHAnsi"/>
          <w:bCs/>
          <w:lang w:val="en-GB"/>
        </w:rPr>
        <w:t>,</w:t>
      </w:r>
      <w:r w:rsidR="000C243C" w:rsidRPr="002F437A">
        <w:rPr>
          <w:rFonts w:cstheme="minorHAnsi"/>
          <w:bCs/>
          <w:lang w:val="en-GB"/>
        </w:rPr>
        <w:t xml:space="preserve"> </w:t>
      </w:r>
      <w:r w:rsidR="002C75AE" w:rsidRPr="002F437A">
        <w:rPr>
          <w:rFonts w:cstheme="minorHAnsi"/>
          <w:bCs/>
          <w:lang w:val="en-GB"/>
        </w:rPr>
        <w:t>with</w:t>
      </w:r>
      <w:r w:rsidR="00B154D9" w:rsidRPr="002F437A">
        <w:rPr>
          <w:rFonts w:cstheme="minorHAnsi"/>
          <w:bCs/>
          <w:lang w:val="en-GB"/>
        </w:rPr>
        <w:t xml:space="preserve"> more</w:t>
      </w:r>
      <w:r w:rsidR="000C243C" w:rsidRPr="002F437A">
        <w:rPr>
          <w:rFonts w:cstheme="minorHAnsi"/>
          <w:bCs/>
          <w:lang w:val="en-GB"/>
        </w:rPr>
        <w:t xml:space="preserve"> </w:t>
      </w:r>
      <w:r w:rsidR="00B154D9" w:rsidRPr="002F437A">
        <w:rPr>
          <w:rFonts w:cstheme="minorHAnsi"/>
          <w:bCs/>
          <w:lang w:val="en-GB"/>
        </w:rPr>
        <w:t>diarrhoea, lower white blood cell count</w:t>
      </w:r>
      <w:r w:rsidR="007A29D7">
        <w:rPr>
          <w:rFonts w:cstheme="minorHAnsi"/>
          <w:bCs/>
          <w:lang w:val="en-GB"/>
        </w:rPr>
        <w:t>s</w:t>
      </w:r>
      <w:r w:rsidR="00512E76">
        <w:rPr>
          <w:rFonts w:cstheme="minorHAnsi"/>
          <w:bCs/>
          <w:lang w:val="en-GB"/>
        </w:rPr>
        <w:t xml:space="preserve"> </w:t>
      </w:r>
      <w:r w:rsidR="00D23842">
        <w:rPr>
          <w:rFonts w:cstheme="minorHAnsi"/>
          <w:bCs/>
          <w:lang w:val="en-GB"/>
        </w:rPr>
        <w:t>and</w:t>
      </w:r>
      <w:r w:rsidR="00B154D9" w:rsidRPr="002F437A">
        <w:rPr>
          <w:rFonts w:cstheme="minorHAnsi"/>
          <w:bCs/>
          <w:lang w:val="en-GB"/>
        </w:rPr>
        <w:t xml:space="preserve"> higher </w:t>
      </w:r>
      <w:r w:rsidR="002C75AE" w:rsidRPr="002F437A">
        <w:rPr>
          <w:rFonts w:cstheme="minorHAnsi"/>
          <w:bCs/>
          <w:lang w:val="en-GB"/>
        </w:rPr>
        <w:t xml:space="preserve">aspartate </w:t>
      </w:r>
      <w:r w:rsidR="00512E76">
        <w:rPr>
          <w:rFonts w:cstheme="minorHAnsi"/>
          <w:bCs/>
          <w:lang w:val="en-GB"/>
        </w:rPr>
        <w:t>transaminase</w:t>
      </w:r>
      <w:r w:rsidR="002C75AE" w:rsidRPr="002F437A">
        <w:rPr>
          <w:rFonts w:cstheme="minorHAnsi"/>
          <w:bCs/>
          <w:lang w:val="en-GB"/>
        </w:rPr>
        <w:t xml:space="preserve"> (</w:t>
      </w:r>
      <w:r w:rsidR="00B154D9" w:rsidRPr="002F437A">
        <w:rPr>
          <w:rFonts w:cstheme="minorHAnsi"/>
          <w:bCs/>
          <w:lang w:val="en-GB"/>
        </w:rPr>
        <w:t>AST</w:t>
      </w:r>
      <w:r w:rsidR="002C75AE" w:rsidRPr="00734400">
        <w:rPr>
          <w:rFonts w:cstheme="minorHAnsi"/>
          <w:bCs/>
          <w:lang w:val="en-GB"/>
        </w:rPr>
        <w:t>)</w:t>
      </w:r>
      <w:r w:rsidR="00B154D9" w:rsidRPr="00734400">
        <w:rPr>
          <w:rFonts w:cstheme="minorHAnsi"/>
          <w:bCs/>
          <w:lang w:val="en-GB"/>
        </w:rPr>
        <w:t xml:space="preserve"> and </w:t>
      </w:r>
      <w:r w:rsidR="002C75AE" w:rsidRPr="00734400">
        <w:rPr>
          <w:rFonts w:cstheme="minorHAnsi"/>
          <w:bCs/>
          <w:lang w:val="en-GB"/>
        </w:rPr>
        <w:t xml:space="preserve">alanine </w:t>
      </w:r>
      <w:r w:rsidR="00512E76">
        <w:rPr>
          <w:rFonts w:cstheme="minorHAnsi"/>
          <w:bCs/>
          <w:lang w:val="en-GB"/>
        </w:rPr>
        <w:t>transaminase</w:t>
      </w:r>
      <w:r w:rsidR="002C75AE" w:rsidRPr="00734400">
        <w:rPr>
          <w:rFonts w:cstheme="minorHAnsi"/>
          <w:bCs/>
          <w:lang w:val="en-GB"/>
        </w:rPr>
        <w:t xml:space="preserve"> (</w:t>
      </w:r>
      <w:r w:rsidR="00B154D9" w:rsidRPr="00734400">
        <w:rPr>
          <w:rFonts w:cstheme="minorHAnsi"/>
          <w:bCs/>
          <w:lang w:val="en-GB"/>
        </w:rPr>
        <w:t>ALT</w:t>
      </w:r>
      <w:r w:rsidR="002C75AE" w:rsidRPr="00734400">
        <w:rPr>
          <w:rFonts w:cstheme="minorHAnsi"/>
          <w:bCs/>
          <w:lang w:val="en-GB"/>
        </w:rPr>
        <w:t>)</w:t>
      </w:r>
      <w:r w:rsidR="00565361">
        <w:rPr>
          <w:rFonts w:cstheme="minorHAnsi"/>
          <w:bCs/>
          <w:lang w:val="en-GB"/>
        </w:rPr>
        <w:t xml:space="preserve"> levels</w:t>
      </w:r>
      <w:r w:rsidR="00B154D9" w:rsidRPr="00734400">
        <w:rPr>
          <w:rFonts w:cstheme="minorHAnsi"/>
          <w:bCs/>
          <w:lang w:val="en-GB"/>
        </w:rPr>
        <w:t xml:space="preserve">. </w:t>
      </w:r>
      <w:r w:rsidR="00267B1E">
        <w:rPr>
          <w:rFonts w:cstheme="minorHAnsi"/>
          <w:bCs/>
          <w:lang w:val="en-GB"/>
        </w:rPr>
        <w:t>There was</w:t>
      </w:r>
      <w:r w:rsidR="00B154D9" w:rsidRPr="00734400">
        <w:rPr>
          <w:rFonts w:cstheme="minorHAnsi"/>
          <w:bCs/>
          <w:lang w:val="en-GB"/>
        </w:rPr>
        <w:t xml:space="preserve"> more fluoroquinolone exposure</w:t>
      </w:r>
      <w:r w:rsidRPr="00734400">
        <w:rPr>
          <w:rFonts w:cstheme="minorHAnsi"/>
          <w:bCs/>
          <w:lang w:val="en-GB"/>
        </w:rPr>
        <w:t xml:space="preserve"> in patients with TF</w:t>
      </w:r>
      <w:r w:rsidR="00267B1E">
        <w:rPr>
          <w:rFonts w:cstheme="minorHAnsi"/>
          <w:bCs/>
          <w:lang w:val="en-GB"/>
        </w:rPr>
        <w:t xml:space="preserve"> </w:t>
      </w:r>
      <w:r w:rsidR="00267B1E" w:rsidRPr="00734400">
        <w:rPr>
          <w:rFonts w:cstheme="minorHAnsi"/>
          <w:bCs/>
          <w:lang w:val="en-GB"/>
        </w:rPr>
        <w:t>prior to faecal sampling</w:t>
      </w:r>
      <w:r w:rsidR="00B154D9" w:rsidRPr="00734400">
        <w:rPr>
          <w:rFonts w:cstheme="minorHAnsi"/>
          <w:bCs/>
          <w:lang w:val="en-GB"/>
        </w:rPr>
        <w:t xml:space="preserve">, </w:t>
      </w:r>
      <w:r w:rsidR="00267B1E">
        <w:rPr>
          <w:rFonts w:cstheme="minorHAnsi"/>
          <w:bCs/>
          <w:lang w:val="en-GB"/>
        </w:rPr>
        <w:t xml:space="preserve">but </w:t>
      </w:r>
      <w:r w:rsidR="00B154D9" w:rsidRPr="00734400">
        <w:rPr>
          <w:rFonts w:cstheme="minorHAnsi"/>
          <w:bCs/>
          <w:lang w:val="en-GB"/>
        </w:rPr>
        <w:t>no differences in</w:t>
      </w:r>
      <w:r w:rsidR="00D24B47">
        <w:rPr>
          <w:rFonts w:cstheme="minorHAnsi"/>
          <w:bCs/>
          <w:lang w:val="en-GB"/>
        </w:rPr>
        <w:t xml:space="preserve"> both</w:t>
      </w:r>
      <w:r w:rsidR="00B154D9" w:rsidRPr="00734400">
        <w:rPr>
          <w:rFonts w:cstheme="minorHAnsi"/>
          <w:bCs/>
          <w:lang w:val="en-GB"/>
        </w:rPr>
        <w:t xml:space="preserve"> exposure </w:t>
      </w:r>
      <w:r w:rsidR="007A29D7">
        <w:rPr>
          <w:rFonts w:cstheme="minorHAnsi"/>
          <w:bCs/>
          <w:lang w:val="en-GB"/>
        </w:rPr>
        <w:t xml:space="preserve">and duration of treatment </w:t>
      </w:r>
      <w:r w:rsidR="00267B1E">
        <w:rPr>
          <w:rFonts w:cstheme="minorHAnsi"/>
          <w:bCs/>
          <w:lang w:val="en-GB"/>
        </w:rPr>
        <w:t>with</w:t>
      </w:r>
      <w:r w:rsidR="007A29D7">
        <w:rPr>
          <w:rFonts w:cstheme="minorHAnsi"/>
          <w:bCs/>
          <w:lang w:val="en-GB"/>
        </w:rPr>
        <w:t xml:space="preserve"> other antibiotic classes</w:t>
      </w:r>
      <w:r w:rsidR="006106A5">
        <w:rPr>
          <w:rFonts w:cstheme="minorHAnsi"/>
          <w:bCs/>
          <w:lang w:val="en-GB"/>
        </w:rPr>
        <w:t>. An o</w:t>
      </w:r>
      <w:r w:rsidR="006106A5" w:rsidRPr="006106A5">
        <w:rPr>
          <w:rFonts w:cstheme="minorHAnsi"/>
          <w:bCs/>
          <w:lang w:val="en-GB"/>
        </w:rPr>
        <w:t>verview of infectious diagnoses, microbiological data and antibiotic exposure prior to faecal sampling</w:t>
      </w:r>
      <w:r w:rsidR="006106A5">
        <w:rPr>
          <w:rFonts w:cstheme="minorHAnsi"/>
          <w:bCs/>
          <w:lang w:val="en-GB"/>
        </w:rPr>
        <w:t xml:space="preserve"> is depicted in </w:t>
      </w:r>
      <w:r w:rsidR="006106A5">
        <w:rPr>
          <w:rFonts w:cstheme="minorHAnsi"/>
          <w:b/>
          <w:lang w:val="en-GB"/>
        </w:rPr>
        <w:t xml:space="preserve">Supplementary </w:t>
      </w:r>
      <w:r w:rsidR="00D37E33">
        <w:rPr>
          <w:rFonts w:cstheme="minorHAnsi"/>
          <w:b/>
          <w:lang w:val="en-GB"/>
        </w:rPr>
        <w:t>T</w:t>
      </w:r>
      <w:r w:rsidR="006106A5">
        <w:rPr>
          <w:rFonts w:cstheme="minorHAnsi"/>
          <w:b/>
          <w:lang w:val="en-GB"/>
        </w:rPr>
        <w:t>able 1</w:t>
      </w:r>
      <w:r w:rsidR="006106A5" w:rsidRPr="002F437A">
        <w:rPr>
          <w:rFonts w:cstheme="minorHAnsi"/>
          <w:bCs/>
          <w:lang w:val="en-GB"/>
        </w:rPr>
        <w:t xml:space="preserve">.  </w:t>
      </w:r>
      <w:r w:rsidR="00B9562C">
        <w:rPr>
          <w:rFonts w:cstheme="minorHAnsi"/>
          <w:bCs/>
          <w:lang w:val="en-GB"/>
        </w:rPr>
        <w:t xml:space="preserve"> </w:t>
      </w:r>
      <w:r w:rsidRPr="00734400">
        <w:rPr>
          <w:rFonts w:cstheme="minorHAnsi"/>
          <w:bCs/>
          <w:lang w:val="en-GB"/>
        </w:rPr>
        <w:t xml:space="preserve"> </w:t>
      </w:r>
    </w:p>
    <w:p w14:paraId="503032F7" w14:textId="2B4B9B63" w:rsidR="008B0E1B" w:rsidRDefault="00687DD7" w:rsidP="00A7030C">
      <w:pPr>
        <w:spacing w:line="360" w:lineRule="auto"/>
        <w:jc w:val="both"/>
        <w:rPr>
          <w:rFonts w:cstheme="minorHAnsi"/>
          <w:b/>
          <w:lang w:val="en-US"/>
        </w:rPr>
      </w:pPr>
      <w:r w:rsidRPr="007A29D7">
        <w:rPr>
          <w:rFonts w:cstheme="minorHAnsi"/>
          <w:b/>
          <w:lang w:val="en-US"/>
        </w:rPr>
        <w:t xml:space="preserve">Typhoid fever </w:t>
      </w:r>
      <w:r w:rsidR="00424AE6">
        <w:rPr>
          <w:rFonts w:cstheme="minorHAnsi"/>
          <w:b/>
          <w:lang w:val="en-US"/>
        </w:rPr>
        <w:t xml:space="preserve">is </w:t>
      </w:r>
      <w:r w:rsidRPr="007A29D7">
        <w:rPr>
          <w:rFonts w:cstheme="minorHAnsi"/>
          <w:b/>
          <w:lang w:val="en-US"/>
        </w:rPr>
        <w:t>characterized b</w:t>
      </w:r>
      <w:r w:rsidR="007A29D7" w:rsidRPr="007A29D7">
        <w:rPr>
          <w:rFonts w:cstheme="minorHAnsi"/>
          <w:b/>
          <w:lang w:val="en-US"/>
        </w:rPr>
        <w:t xml:space="preserve">y significantly altered patterns of microbiota disruption </w:t>
      </w:r>
      <w:r w:rsidRPr="007A29D7">
        <w:rPr>
          <w:rFonts w:cstheme="minorHAnsi"/>
          <w:b/>
          <w:lang w:val="en-US"/>
        </w:rPr>
        <w:t xml:space="preserve"> </w:t>
      </w:r>
    </w:p>
    <w:p w14:paraId="011A8363" w14:textId="2ACC9C3C" w:rsidR="00EE7383" w:rsidRDefault="00EE7383" w:rsidP="00EE7383">
      <w:pPr>
        <w:spacing w:line="360" w:lineRule="auto"/>
        <w:jc w:val="both"/>
        <w:rPr>
          <w:rFonts w:cstheme="minorHAnsi"/>
          <w:color w:val="000000"/>
          <w:lang w:val="en-GB"/>
        </w:rPr>
      </w:pPr>
      <w:r w:rsidRPr="00565361">
        <w:rPr>
          <w:rStyle w:val="fontstyle01"/>
          <w:rFonts w:asciiTheme="minorHAnsi" w:hAnsiTheme="minorHAnsi" w:cstheme="minorHAnsi"/>
          <w:sz w:val="22"/>
          <w:szCs w:val="22"/>
          <w:lang w:val="en-GB"/>
        </w:rPr>
        <w:t xml:space="preserve">Sequencing of faecal samples taken at the time of hospital admission yielded a total </w:t>
      </w:r>
      <w:r w:rsidRPr="004C7FFD">
        <w:rPr>
          <w:rStyle w:val="fontstyle01"/>
          <w:rFonts w:asciiTheme="minorHAnsi" w:hAnsiTheme="minorHAnsi" w:cstheme="minorHAnsi"/>
          <w:sz w:val="22"/>
          <w:szCs w:val="22"/>
          <w:lang w:val="en-GB"/>
        </w:rPr>
        <w:t>of 3,</w:t>
      </w:r>
      <w:r w:rsidR="004C7FFD" w:rsidRPr="004C7FFD">
        <w:rPr>
          <w:rStyle w:val="fontstyle01"/>
          <w:rFonts w:asciiTheme="minorHAnsi" w:hAnsiTheme="minorHAnsi" w:cstheme="minorHAnsi"/>
          <w:sz w:val="22"/>
          <w:szCs w:val="22"/>
          <w:lang w:val="en-GB"/>
        </w:rPr>
        <w:t>552</w:t>
      </w:r>
      <w:r w:rsidRPr="004C7FFD">
        <w:rPr>
          <w:rStyle w:val="fontstyle01"/>
          <w:rFonts w:asciiTheme="minorHAnsi" w:hAnsiTheme="minorHAnsi" w:cstheme="minorHAnsi"/>
          <w:sz w:val="22"/>
          <w:szCs w:val="22"/>
          <w:lang w:val="en-GB"/>
        </w:rPr>
        <w:t>,</w:t>
      </w:r>
      <w:r w:rsidR="004C7FFD" w:rsidRPr="004C7FFD">
        <w:rPr>
          <w:rStyle w:val="fontstyle01"/>
          <w:rFonts w:asciiTheme="minorHAnsi" w:hAnsiTheme="minorHAnsi" w:cstheme="minorHAnsi"/>
          <w:sz w:val="22"/>
          <w:szCs w:val="22"/>
          <w:lang w:val="en-GB"/>
        </w:rPr>
        <w:t>949</w:t>
      </w:r>
      <w:r w:rsidRPr="00565361">
        <w:rPr>
          <w:rStyle w:val="fontstyle01"/>
          <w:rFonts w:asciiTheme="minorHAnsi" w:hAnsiTheme="minorHAnsi" w:cstheme="minorHAnsi"/>
          <w:sz w:val="22"/>
          <w:szCs w:val="22"/>
          <w:lang w:val="en-GB"/>
        </w:rPr>
        <w:t xml:space="preserve"> high-quality 16S</w:t>
      </w:r>
      <w:r>
        <w:rPr>
          <w:rStyle w:val="fontstyle01"/>
          <w:rFonts w:asciiTheme="minorHAnsi" w:hAnsiTheme="minorHAnsi" w:cstheme="minorHAnsi"/>
          <w:sz w:val="22"/>
          <w:szCs w:val="22"/>
          <w:lang w:val="en-GB"/>
        </w:rPr>
        <w:t xml:space="preserve"> rRNA gene </w:t>
      </w:r>
      <w:r w:rsidRPr="004C7FFD">
        <w:rPr>
          <w:rStyle w:val="fontstyle01"/>
          <w:rFonts w:asciiTheme="minorHAnsi" w:hAnsiTheme="minorHAnsi" w:cstheme="minorHAnsi"/>
          <w:sz w:val="22"/>
          <w:szCs w:val="22"/>
          <w:lang w:val="en-GB"/>
        </w:rPr>
        <w:t>sequences (average 37,0</w:t>
      </w:r>
      <w:r w:rsidR="004C7FFD" w:rsidRPr="004C7FFD">
        <w:rPr>
          <w:rStyle w:val="fontstyle01"/>
          <w:rFonts w:asciiTheme="minorHAnsi" w:hAnsiTheme="minorHAnsi" w:cstheme="minorHAnsi"/>
          <w:sz w:val="22"/>
          <w:szCs w:val="22"/>
          <w:lang w:val="en-GB"/>
        </w:rPr>
        <w:t>10</w:t>
      </w:r>
      <w:r w:rsidRPr="004C7FFD">
        <w:rPr>
          <w:rStyle w:val="fontstyle01"/>
          <w:rFonts w:asciiTheme="minorHAnsi" w:hAnsiTheme="minorHAnsi" w:cstheme="minorHAnsi"/>
          <w:sz w:val="22"/>
          <w:szCs w:val="22"/>
          <w:lang w:val="en-GB"/>
        </w:rPr>
        <w:t xml:space="preserve"> per sample).</w:t>
      </w:r>
      <w:r w:rsidRPr="004C7FFD">
        <w:rPr>
          <w:rFonts w:cstheme="minorHAnsi"/>
          <w:bCs/>
          <w:lang w:val="en-GB"/>
        </w:rPr>
        <w:t xml:space="preserve"> </w:t>
      </w:r>
      <w:r w:rsidRPr="004C7FFD">
        <w:rPr>
          <w:rFonts w:cstheme="minorHAnsi"/>
          <w:bCs/>
          <w:color w:val="000000"/>
          <w:lang w:val="en-US"/>
        </w:rPr>
        <w:t>We</w:t>
      </w:r>
      <w:r w:rsidRPr="00424AE6">
        <w:rPr>
          <w:rFonts w:cstheme="minorHAnsi"/>
          <w:bCs/>
          <w:color w:val="000000"/>
          <w:lang w:val="en-US"/>
        </w:rPr>
        <w:t xml:space="preserve"> observed </w:t>
      </w:r>
      <w:r>
        <w:rPr>
          <w:rFonts w:cstheme="minorHAnsi"/>
          <w:bCs/>
          <w:color w:val="000000"/>
          <w:lang w:val="en-US"/>
        </w:rPr>
        <w:t>significantly altered states of gut microbiota composition between TF- and N-TF patients compared to controls.</w:t>
      </w:r>
      <w:r w:rsidRPr="00424AE6">
        <w:rPr>
          <w:rFonts w:cstheme="minorHAnsi"/>
          <w:bCs/>
          <w:color w:val="000000"/>
          <w:lang w:val="en-US"/>
        </w:rPr>
        <w:t xml:space="preserve"> </w:t>
      </w:r>
      <w:r>
        <w:rPr>
          <w:rFonts w:cstheme="minorHAnsi"/>
          <w:bCs/>
          <w:color w:val="000000"/>
          <w:lang w:val="en-US"/>
        </w:rPr>
        <w:t>On microbiota phylum level, TF and N-TF patients</w:t>
      </w:r>
      <w:r w:rsidRPr="00D24B47">
        <w:rPr>
          <w:rFonts w:cstheme="minorHAnsi"/>
          <w:bCs/>
          <w:color w:val="000000"/>
          <w:lang w:val="en-US"/>
        </w:rPr>
        <w:t xml:space="preserve"> sho</w:t>
      </w:r>
      <w:r>
        <w:rPr>
          <w:rFonts w:cstheme="minorHAnsi"/>
          <w:bCs/>
          <w:color w:val="000000"/>
          <w:lang w:val="en-US"/>
        </w:rPr>
        <w:t xml:space="preserve">wed a significant reduction in Actinobacteria (P=0.04), while </w:t>
      </w:r>
      <w:r w:rsidRPr="00D24B47">
        <w:rPr>
          <w:rFonts w:cstheme="minorHAnsi"/>
          <w:bCs/>
          <w:color w:val="000000"/>
          <w:lang w:val="en-US"/>
        </w:rPr>
        <w:t>Proteobacteria</w:t>
      </w:r>
      <w:r>
        <w:rPr>
          <w:rFonts w:cstheme="minorHAnsi"/>
          <w:bCs/>
          <w:color w:val="000000"/>
          <w:lang w:val="en-US"/>
        </w:rPr>
        <w:t xml:space="preserve"> were significantly enriched (P=0.0001). (</w:t>
      </w:r>
      <w:r w:rsidRPr="005E6B0F">
        <w:rPr>
          <w:rFonts w:cstheme="minorHAnsi"/>
          <w:b/>
          <w:bCs/>
          <w:color w:val="000000"/>
          <w:lang w:val="en-US"/>
        </w:rPr>
        <w:t xml:space="preserve">Figure </w:t>
      </w:r>
      <w:r>
        <w:rPr>
          <w:rFonts w:cstheme="minorHAnsi"/>
          <w:b/>
          <w:bCs/>
          <w:color w:val="000000"/>
          <w:lang w:val="en-US"/>
        </w:rPr>
        <w:t>1A)</w:t>
      </w:r>
      <w:r w:rsidRPr="005E6B0F">
        <w:rPr>
          <w:rFonts w:cstheme="minorHAnsi"/>
          <w:b/>
          <w:bCs/>
          <w:color w:val="000000"/>
          <w:lang w:val="en-US"/>
        </w:rPr>
        <w:t xml:space="preserve"> </w:t>
      </w:r>
      <w:r>
        <w:rPr>
          <w:rFonts w:cstheme="minorHAnsi"/>
          <w:bCs/>
          <w:color w:val="000000"/>
          <w:lang w:val="en-US"/>
        </w:rPr>
        <w:t xml:space="preserve"> In addition</w:t>
      </w:r>
      <w:r w:rsidRPr="00D24B47">
        <w:rPr>
          <w:rFonts w:cstheme="minorHAnsi"/>
          <w:bCs/>
          <w:color w:val="000000"/>
          <w:lang w:val="en-US"/>
        </w:rPr>
        <w:t xml:space="preserve">, major differences were observed between </w:t>
      </w:r>
      <w:r>
        <w:rPr>
          <w:rFonts w:cstheme="minorHAnsi"/>
          <w:bCs/>
          <w:color w:val="000000"/>
          <w:lang w:val="en-US"/>
        </w:rPr>
        <w:t>both patient groups</w:t>
      </w:r>
      <w:r w:rsidRPr="00D24B47">
        <w:rPr>
          <w:rFonts w:cstheme="minorHAnsi"/>
          <w:bCs/>
          <w:color w:val="000000"/>
          <w:lang w:val="en-US"/>
        </w:rPr>
        <w:t xml:space="preserve"> and </w:t>
      </w:r>
      <w:r>
        <w:rPr>
          <w:rFonts w:cstheme="minorHAnsi"/>
          <w:bCs/>
          <w:color w:val="000000"/>
          <w:lang w:val="en-US"/>
        </w:rPr>
        <w:t>controls on a microbiota genus level.</w:t>
      </w:r>
      <w:r w:rsidRPr="00D24B47">
        <w:rPr>
          <w:rFonts w:cstheme="minorHAnsi"/>
          <w:bCs/>
          <w:color w:val="000000"/>
          <w:lang w:val="en-US"/>
        </w:rPr>
        <w:t xml:space="preserve"> Importantly, potentially invasive bacterial </w:t>
      </w:r>
      <w:r>
        <w:rPr>
          <w:rFonts w:cstheme="minorHAnsi"/>
          <w:bCs/>
          <w:color w:val="000000"/>
          <w:lang w:val="en-US"/>
        </w:rPr>
        <w:t>genera</w:t>
      </w:r>
      <w:r w:rsidRPr="00D24B47">
        <w:rPr>
          <w:rFonts w:cstheme="minorHAnsi"/>
          <w:bCs/>
          <w:color w:val="000000"/>
          <w:lang w:val="en-US"/>
        </w:rPr>
        <w:t xml:space="preserve"> were</w:t>
      </w:r>
      <w:r>
        <w:rPr>
          <w:rFonts w:cstheme="minorHAnsi"/>
          <w:bCs/>
          <w:color w:val="000000"/>
          <w:lang w:val="en-US"/>
        </w:rPr>
        <w:t xml:space="preserve"> significantly more abundant in patients, including </w:t>
      </w:r>
      <w:r w:rsidRPr="009447D5">
        <w:rPr>
          <w:rFonts w:cstheme="minorHAnsi"/>
          <w:bCs/>
          <w:i/>
          <w:iCs/>
          <w:color w:val="000000"/>
          <w:lang w:val="en-US"/>
        </w:rPr>
        <w:t>Enterococcus</w:t>
      </w:r>
      <w:r w:rsidRPr="00D24B47">
        <w:rPr>
          <w:rFonts w:cstheme="minorHAnsi"/>
          <w:bCs/>
          <w:color w:val="000000"/>
          <w:lang w:val="en-US"/>
        </w:rPr>
        <w:t xml:space="preserve"> </w:t>
      </w:r>
      <w:r>
        <w:rPr>
          <w:rFonts w:cstheme="minorHAnsi"/>
          <w:bCs/>
          <w:color w:val="000000"/>
          <w:lang w:val="en-US"/>
        </w:rPr>
        <w:t>species (P</w:t>
      </w:r>
      <w:r w:rsidRPr="00D24B47">
        <w:rPr>
          <w:rFonts w:cstheme="minorHAnsi"/>
          <w:bCs/>
          <w:color w:val="000000"/>
          <w:lang w:val="en-US"/>
        </w:rPr>
        <w:t>&lt;0.0001)</w:t>
      </w:r>
      <w:r w:rsidR="00657B2C">
        <w:rPr>
          <w:rFonts w:cstheme="minorHAnsi"/>
          <w:bCs/>
          <w:color w:val="000000"/>
          <w:lang w:val="en-US"/>
        </w:rPr>
        <w:t xml:space="preserve"> and </w:t>
      </w:r>
      <w:r w:rsidRPr="009447D5">
        <w:rPr>
          <w:rFonts w:cstheme="minorHAnsi"/>
          <w:bCs/>
          <w:i/>
          <w:iCs/>
          <w:color w:val="000000"/>
          <w:lang w:val="en-US"/>
        </w:rPr>
        <w:t>Escherichia/Shigella</w:t>
      </w:r>
      <w:r>
        <w:rPr>
          <w:rFonts w:cstheme="minorHAnsi"/>
          <w:bCs/>
          <w:color w:val="000000"/>
          <w:lang w:val="en-US"/>
        </w:rPr>
        <w:t xml:space="preserve"> species (P&lt;0.0001; </w:t>
      </w:r>
      <w:r w:rsidRPr="00FB57CF">
        <w:rPr>
          <w:rFonts w:cstheme="minorHAnsi"/>
          <w:b/>
          <w:bCs/>
          <w:color w:val="000000"/>
          <w:lang w:val="en-US"/>
        </w:rPr>
        <w:t>Figure 1</w:t>
      </w:r>
      <w:r>
        <w:rPr>
          <w:rFonts w:cstheme="minorHAnsi"/>
          <w:bCs/>
          <w:color w:val="000000"/>
          <w:lang w:val="en-US"/>
        </w:rPr>
        <w:t>)</w:t>
      </w:r>
      <w:r w:rsidRPr="00610309">
        <w:rPr>
          <w:rFonts w:cstheme="minorHAnsi"/>
          <w:bCs/>
          <w:color w:val="000000"/>
          <w:lang w:val="en-US"/>
        </w:rPr>
        <w:t xml:space="preserve">. </w:t>
      </w:r>
    </w:p>
    <w:p w14:paraId="712F2A8E" w14:textId="069272C8" w:rsidR="00EE7383" w:rsidRDefault="00EE7383" w:rsidP="00EE7383">
      <w:pPr>
        <w:spacing w:line="360" w:lineRule="auto"/>
        <w:jc w:val="both"/>
        <w:rPr>
          <w:rFonts w:cstheme="minorHAnsi"/>
          <w:color w:val="000000"/>
          <w:lang w:val="en-GB"/>
        </w:rPr>
      </w:pPr>
      <w:r>
        <w:rPr>
          <w:rFonts w:cstheme="minorHAnsi"/>
          <w:b/>
          <w:bCs/>
          <w:color w:val="000000"/>
          <w:lang w:val="en-US"/>
        </w:rPr>
        <w:t xml:space="preserve">Supplementary </w:t>
      </w:r>
      <w:r w:rsidR="00D37E33">
        <w:rPr>
          <w:rFonts w:cstheme="minorHAnsi"/>
          <w:b/>
          <w:bCs/>
          <w:color w:val="000000"/>
          <w:lang w:val="en-US"/>
        </w:rPr>
        <w:t>F</w:t>
      </w:r>
      <w:r>
        <w:rPr>
          <w:rFonts w:cstheme="minorHAnsi"/>
          <w:b/>
          <w:bCs/>
          <w:color w:val="000000"/>
          <w:lang w:val="en-US"/>
        </w:rPr>
        <w:t>igure 1</w:t>
      </w:r>
      <w:r w:rsidRPr="005E6B0F">
        <w:rPr>
          <w:rFonts w:cstheme="minorHAnsi"/>
          <w:b/>
          <w:bCs/>
          <w:color w:val="000000"/>
          <w:lang w:val="en-US"/>
        </w:rPr>
        <w:t xml:space="preserve"> </w:t>
      </w:r>
      <w:r w:rsidRPr="005E6B0F">
        <w:rPr>
          <w:rFonts w:cstheme="minorHAnsi"/>
          <w:color w:val="000000"/>
          <w:lang w:val="en-US"/>
        </w:rPr>
        <w:t>show</w:t>
      </w:r>
      <w:r w:rsidRPr="00734400">
        <w:rPr>
          <w:rFonts w:cstheme="minorHAnsi"/>
          <w:color w:val="000000"/>
          <w:lang w:val="en-GB"/>
        </w:rPr>
        <w:t xml:space="preserve">s an overview of microbiota composition linked to a timeline of hospital </w:t>
      </w:r>
      <w:r>
        <w:rPr>
          <w:rFonts w:cstheme="minorHAnsi"/>
          <w:color w:val="000000"/>
          <w:lang w:val="en-GB"/>
        </w:rPr>
        <w:t>stay</w:t>
      </w:r>
      <w:r w:rsidRPr="00734400">
        <w:rPr>
          <w:rFonts w:cstheme="minorHAnsi"/>
          <w:color w:val="000000"/>
          <w:lang w:val="en-GB"/>
        </w:rPr>
        <w:t xml:space="preserve"> and antibiotic exposure for each TF and N-TF patient. </w:t>
      </w:r>
      <w:r w:rsidRPr="00D24B47">
        <w:rPr>
          <w:rFonts w:cstheme="minorHAnsi"/>
          <w:bCs/>
          <w:color w:val="000000"/>
          <w:lang w:val="en-US"/>
        </w:rPr>
        <w:t>An unbiased comparison of microbial taxa in g</w:t>
      </w:r>
      <w:r>
        <w:rPr>
          <w:rFonts w:cstheme="minorHAnsi"/>
          <w:bCs/>
          <w:color w:val="000000"/>
          <w:lang w:val="en-US"/>
        </w:rPr>
        <w:t xml:space="preserve">ut communities showed that </w:t>
      </w:r>
      <w:r>
        <w:rPr>
          <w:rFonts w:cstheme="minorHAnsi"/>
          <w:lang w:val="en-US"/>
        </w:rPr>
        <w:t>t</w:t>
      </w:r>
      <w:r w:rsidRPr="0075250F">
        <w:rPr>
          <w:rFonts w:cstheme="minorHAnsi"/>
          <w:lang w:val="en-US"/>
        </w:rPr>
        <w:t>yphoid fever is characterized by</w:t>
      </w:r>
      <w:r>
        <w:rPr>
          <w:rFonts w:cstheme="minorHAnsi"/>
          <w:lang w:val="en-US"/>
        </w:rPr>
        <w:t xml:space="preserve"> a distinct composition of the </w:t>
      </w:r>
      <w:r>
        <w:rPr>
          <w:rFonts w:cstheme="minorHAnsi"/>
          <w:lang w:val="en-US"/>
        </w:rPr>
        <w:lastRenderedPageBreak/>
        <w:t xml:space="preserve">microbiome when compared to patients with a non-typhoidal febrile illness. </w:t>
      </w:r>
      <w:r w:rsidRPr="0075250F">
        <w:rPr>
          <w:rFonts w:cstheme="minorHAnsi"/>
          <w:lang w:val="en-US"/>
        </w:rPr>
        <w:t xml:space="preserve"> </w:t>
      </w:r>
      <w:r>
        <w:rPr>
          <w:rFonts w:cstheme="minorHAnsi"/>
          <w:bCs/>
          <w:color w:val="000000"/>
          <w:lang w:val="en-US"/>
        </w:rPr>
        <w:t>O</w:t>
      </w:r>
      <w:r w:rsidRPr="00D24B47">
        <w:rPr>
          <w:rFonts w:cstheme="minorHAnsi"/>
          <w:bCs/>
          <w:color w:val="000000"/>
          <w:lang w:val="en-US"/>
        </w:rPr>
        <w:t xml:space="preserve">n a genus level, TF subjects were shown to be significantly more colonized by </w:t>
      </w:r>
      <w:r w:rsidRPr="009447D5">
        <w:rPr>
          <w:rFonts w:cstheme="minorHAnsi"/>
          <w:bCs/>
          <w:i/>
          <w:iCs/>
          <w:color w:val="000000"/>
          <w:lang w:val="en-US"/>
        </w:rPr>
        <w:t>Streptococcus</w:t>
      </w:r>
      <w:r>
        <w:rPr>
          <w:rFonts w:cstheme="minorHAnsi"/>
          <w:bCs/>
          <w:color w:val="000000"/>
          <w:lang w:val="en-US"/>
        </w:rPr>
        <w:t xml:space="preserve">, with a decrease in ‘beneficial’ obligate </w:t>
      </w:r>
      <w:r w:rsidRPr="00D24B47">
        <w:rPr>
          <w:rFonts w:cstheme="minorHAnsi"/>
          <w:bCs/>
          <w:color w:val="000000"/>
          <w:lang w:val="en-US"/>
        </w:rPr>
        <w:t xml:space="preserve">anaerobic taxa, such as </w:t>
      </w:r>
      <w:proofErr w:type="spellStart"/>
      <w:r w:rsidRPr="009447D5">
        <w:rPr>
          <w:rFonts w:cstheme="minorHAnsi"/>
          <w:bCs/>
          <w:i/>
          <w:iCs/>
          <w:color w:val="000000"/>
          <w:lang w:val="en-US"/>
        </w:rPr>
        <w:t>Ruminococcus</w:t>
      </w:r>
      <w:proofErr w:type="spellEnd"/>
      <w:r>
        <w:rPr>
          <w:rFonts w:cstheme="minorHAnsi"/>
          <w:bCs/>
          <w:color w:val="000000"/>
          <w:lang w:val="en-US"/>
        </w:rPr>
        <w:t xml:space="preserve"> species</w:t>
      </w:r>
      <w:r w:rsidRPr="00D24B47">
        <w:rPr>
          <w:rFonts w:cstheme="minorHAnsi"/>
          <w:bCs/>
          <w:color w:val="000000"/>
          <w:lang w:val="en-US"/>
        </w:rPr>
        <w:t xml:space="preserve">, </w:t>
      </w:r>
      <w:proofErr w:type="spellStart"/>
      <w:r w:rsidRPr="009447D5">
        <w:rPr>
          <w:rFonts w:cstheme="minorHAnsi"/>
          <w:bCs/>
          <w:i/>
          <w:iCs/>
          <w:color w:val="000000"/>
          <w:lang w:val="en-US"/>
        </w:rPr>
        <w:t>Faecalibacterium</w:t>
      </w:r>
      <w:proofErr w:type="spellEnd"/>
      <w:r>
        <w:rPr>
          <w:rFonts w:cstheme="minorHAnsi"/>
          <w:bCs/>
          <w:color w:val="000000"/>
          <w:lang w:val="en-US"/>
        </w:rPr>
        <w:t xml:space="preserve"> species</w:t>
      </w:r>
      <w:r w:rsidRPr="00D24B47">
        <w:rPr>
          <w:rFonts w:cstheme="minorHAnsi"/>
          <w:bCs/>
          <w:color w:val="000000"/>
          <w:lang w:val="en-US"/>
        </w:rPr>
        <w:t xml:space="preserve"> and other Lachnospiraceae</w:t>
      </w:r>
      <w:r>
        <w:rPr>
          <w:rFonts w:cstheme="minorHAnsi"/>
          <w:bCs/>
          <w:color w:val="000000"/>
          <w:lang w:val="en-US"/>
        </w:rPr>
        <w:t xml:space="preserve"> when compared to N-TF patients</w:t>
      </w:r>
      <w:r w:rsidRPr="00D24B47">
        <w:rPr>
          <w:rFonts w:cstheme="minorHAnsi"/>
          <w:bCs/>
          <w:color w:val="000000"/>
          <w:lang w:val="en-US"/>
        </w:rPr>
        <w:t xml:space="preserve"> </w:t>
      </w:r>
      <w:r>
        <w:rPr>
          <w:rFonts w:cstheme="minorHAnsi"/>
          <w:b/>
          <w:bCs/>
          <w:color w:val="000000"/>
          <w:lang w:val="en-US"/>
        </w:rPr>
        <w:t>(</w:t>
      </w:r>
      <w:r w:rsidRPr="00424AE6">
        <w:rPr>
          <w:rFonts w:cstheme="minorHAnsi"/>
          <w:b/>
          <w:bCs/>
          <w:color w:val="000000"/>
          <w:lang w:val="en-US"/>
        </w:rPr>
        <w:t xml:space="preserve">Supplementary Figure </w:t>
      </w:r>
      <w:r>
        <w:rPr>
          <w:rFonts w:cstheme="minorHAnsi"/>
          <w:b/>
          <w:bCs/>
          <w:color w:val="000000"/>
          <w:lang w:val="en-US"/>
        </w:rPr>
        <w:t>2</w:t>
      </w:r>
      <w:r w:rsidRPr="00424AE6">
        <w:rPr>
          <w:rFonts w:cstheme="minorHAnsi"/>
          <w:b/>
          <w:bCs/>
          <w:color w:val="000000"/>
          <w:lang w:val="en-US"/>
        </w:rPr>
        <w:t>)</w:t>
      </w:r>
      <w:r w:rsidRPr="00874A5E">
        <w:rPr>
          <w:rFonts w:cstheme="minorHAnsi"/>
          <w:b/>
          <w:color w:val="000000"/>
          <w:lang w:val="en-US"/>
        </w:rPr>
        <w:t>.</w:t>
      </w:r>
      <w:r w:rsidRPr="00610309">
        <w:rPr>
          <w:rFonts w:cstheme="minorHAnsi"/>
          <w:bCs/>
          <w:color w:val="000000"/>
          <w:lang w:val="en-US"/>
        </w:rPr>
        <w:t xml:space="preserve"> </w:t>
      </w:r>
    </w:p>
    <w:p w14:paraId="39806F44" w14:textId="28A2B5FA" w:rsidR="00EE7383" w:rsidRDefault="00EE7383" w:rsidP="00EE7383">
      <w:pPr>
        <w:spacing w:line="360" w:lineRule="auto"/>
        <w:jc w:val="both"/>
        <w:rPr>
          <w:rFonts w:cstheme="minorHAnsi"/>
          <w:color w:val="000000"/>
          <w:lang w:val="en-GB"/>
        </w:rPr>
      </w:pPr>
      <w:r>
        <w:rPr>
          <w:rFonts w:cstheme="minorHAnsi"/>
          <w:bCs/>
          <w:lang w:val="en-GB"/>
        </w:rPr>
        <w:t xml:space="preserve">In tandem with the differences in community composition, </w:t>
      </w:r>
      <w:r w:rsidRPr="00734400">
        <w:rPr>
          <w:rFonts w:cstheme="minorHAnsi"/>
          <w:bCs/>
          <w:lang w:val="en-GB"/>
        </w:rPr>
        <w:t xml:space="preserve">strong </w:t>
      </w:r>
      <w:r>
        <w:rPr>
          <w:rFonts w:cstheme="minorHAnsi"/>
          <w:bCs/>
          <w:lang w:val="en-GB"/>
        </w:rPr>
        <w:t>alterations were observed</w:t>
      </w:r>
      <w:r w:rsidRPr="00734400">
        <w:rPr>
          <w:rFonts w:cstheme="minorHAnsi"/>
          <w:bCs/>
          <w:lang w:val="en-GB"/>
        </w:rPr>
        <w:t xml:space="preserve"> in</w:t>
      </w:r>
      <w:r w:rsidR="00262932">
        <w:rPr>
          <w:rFonts w:cstheme="minorHAnsi"/>
          <w:bCs/>
          <w:lang w:val="en-GB"/>
        </w:rPr>
        <w:t xml:space="preserve"> microbiota </w:t>
      </w:r>
      <w:r w:rsidRPr="00734400">
        <w:rPr>
          <w:rFonts w:cstheme="minorHAnsi"/>
          <w:bCs/>
          <w:lang w:val="en-GB"/>
        </w:rPr>
        <w:t>alpha diversity and richness</w:t>
      </w:r>
      <w:r w:rsidRPr="00734400">
        <w:rPr>
          <w:rFonts w:cstheme="minorHAnsi"/>
          <w:b/>
          <w:lang w:val="en-GB"/>
        </w:rPr>
        <w:t xml:space="preserve"> </w:t>
      </w:r>
      <w:r w:rsidR="00262932" w:rsidRPr="00262932">
        <w:rPr>
          <w:rFonts w:cstheme="minorHAnsi"/>
          <w:lang w:val="en-GB"/>
        </w:rPr>
        <w:t>between patients with typhoid fever and non-typhoidal febrile illness</w:t>
      </w:r>
      <w:r w:rsidR="00262932">
        <w:rPr>
          <w:rFonts w:cstheme="minorHAnsi"/>
          <w:b/>
          <w:lang w:val="en-GB"/>
        </w:rPr>
        <w:t xml:space="preserve"> </w:t>
      </w:r>
      <w:r w:rsidRPr="00734400">
        <w:rPr>
          <w:rFonts w:cstheme="minorHAnsi"/>
          <w:bCs/>
          <w:lang w:val="en-GB"/>
        </w:rPr>
        <w:t xml:space="preserve">(N-TF vs control vs TF: median </w:t>
      </w:r>
      <w:r w:rsidRPr="004C7FFD">
        <w:rPr>
          <w:rFonts w:cstheme="minorHAnsi"/>
          <w:bCs/>
          <w:lang w:val="en-GB"/>
        </w:rPr>
        <w:t>Shannon: 3.71 vs 3.96 vs 3.</w:t>
      </w:r>
      <w:r w:rsidR="004C7FFD" w:rsidRPr="004C7FFD">
        <w:rPr>
          <w:rFonts w:cstheme="minorHAnsi"/>
          <w:bCs/>
          <w:lang w:val="en-GB"/>
        </w:rPr>
        <w:t>31</w:t>
      </w:r>
      <w:r w:rsidRPr="004C7FFD">
        <w:rPr>
          <w:rFonts w:cstheme="minorHAnsi"/>
          <w:bCs/>
          <w:lang w:val="en-GB"/>
        </w:rPr>
        <w:t xml:space="preserve"> Wilcoxon P=0.04</w:t>
      </w:r>
      <w:r w:rsidR="00874A5E">
        <w:rPr>
          <w:rFonts w:cstheme="minorHAnsi"/>
          <w:bCs/>
          <w:lang w:val="en-GB"/>
        </w:rPr>
        <w:t>8</w:t>
      </w:r>
      <w:r w:rsidRPr="004C7FFD">
        <w:rPr>
          <w:rFonts w:cstheme="minorHAnsi"/>
          <w:bCs/>
          <w:lang w:val="en-GB"/>
        </w:rPr>
        <w:t xml:space="preserve"> and P=0.00</w:t>
      </w:r>
      <w:r w:rsidR="00874A5E">
        <w:rPr>
          <w:rFonts w:cstheme="minorHAnsi"/>
          <w:bCs/>
          <w:lang w:val="en-GB"/>
        </w:rPr>
        <w:t>4</w:t>
      </w:r>
      <w:r w:rsidRPr="004C7FFD">
        <w:rPr>
          <w:rFonts w:cstheme="minorHAnsi"/>
          <w:bCs/>
          <w:lang w:val="en-GB"/>
        </w:rPr>
        <w:t>, respectively; median OT: 3</w:t>
      </w:r>
      <w:r w:rsidR="004C7FFD" w:rsidRPr="004C7FFD">
        <w:rPr>
          <w:rFonts w:cstheme="minorHAnsi"/>
          <w:bCs/>
          <w:lang w:val="en-GB"/>
        </w:rPr>
        <w:t>90</w:t>
      </w:r>
      <w:r w:rsidRPr="004C7FFD">
        <w:rPr>
          <w:rFonts w:cstheme="minorHAnsi"/>
          <w:bCs/>
          <w:lang w:val="en-GB"/>
        </w:rPr>
        <w:t xml:space="preserve"> vs 4</w:t>
      </w:r>
      <w:r w:rsidR="004C7FFD" w:rsidRPr="004C7FFD">
        <w:rPr>
          <w:rFonts w:cstheme="minorHAnsi"/>
          <w:bCs/>
          <w:lang w:val="en-GB"/>
        </w:rPr>
        <w:t>68</w:t>
      </w:r>
      <w:r w:rsidRPr="004C7FFD">
        <w:rPr>
          <w:rFonts w:cstheme="minorHAnsi"/>
          <w:bCs/>
          <w:lang w:val="en-GB"/>
        </w:rPr>
        <w:t xml:space="preserve"> vs 3</w:t>
      </w:r>
      <w:r w:rsidR="004C7FFD" w:rsidRPr="004C7FFD">
        <w:rPr>
          <w:rFonts w:cstheme="minorHAnsi"/>
          <w:bCs/>
          <w:lang w:val="en-GB"/>
        </w:rPr>
        <w:t>08</w:t>
      </w:r>
      <w:r w:rsidRPr="004C7FFD">
        <w:rPr>
          <w:rFonts w:cstheme="minorHAnsi"/>
          <w:bCs/>
          <w:lang w:val="en-GB"/>
        </w:rPr>
        <w:t>; Wilcoxon P=0.00</w:t>
      </w:r>
      <w:r w:rsidR="00874A5E">
        <w:rPr>
          <w:rFonts w:cstheme="minorHAnsi"/>
          <w:bCs/>
          <w:lang w:val="en-GB"/>
        </w:rPr>
        <w:t>8</w:t>
      </w:r>
      <w:r w:rsidRPr="004C7FFD">
        <w:rPr>
          <w:rFonts w:cstheme="minorHAnsi"/>
          <w:bCs/>
          <w:lang w:val="en-GB"/>
        </w:rPr>
        <w:t xml:space="preserve"> and P&lt;0.001,</w:t>
      </w:r>
      <w:r>
        <w:rPr>
          <w:rFonts w:cstheme="minorHAnsi"/>
          <w:bCs/>
          <w:lang w:val="en-GB"/>
        </w:rPr>
        <w:t xml:space="preserve"> respectively, </w:t>
      </w:r>
      <w:r w:rsidRPr="00734400">
        <w:rPr>
          <w:rFonts w:cstheme="minorHAnsi"/>
          <w:b/>
          <w:lang w:val="en-GB"/>
        </w:rPr>
        <w:t xml:space="preserve">Figure </w:t>
      </w:r>
      <w:r>
        <w:rPr>
          <w:rFonts w:cstheme="minorHAnsi"/>
          <w:b/>
          <w:lang w:val="en-GB"/>
        </w:rPr>
        <w:t>2</w:t>
      </w:r>
      <w:r w:rsidRPr="00734400">
        <w:rPr>
          <w:rFonts w:cstheme="minorHAnsi"/>
          <w:b/>
          <w:lang w:val="en-GB"/>
        </w:rPr>
        <w:t xml:space="preserve">A and </w:t>
      </w:r>
      <w:r>
        <w:rPr>
          <w:rFonts w:cstheme="minorHAnsi"/>
          <w:b/>
          <w:lang w:val="en-GB"/>
        </w:rPr>
        <w:t>2</w:t>
      </w:r>
      <w:r w:rsidRPr="00734400">
        <w:rPr>
          <w:rFonts w:cstheme="minorHAnsi"/>
          <w:b/>
          <w:lang w:val="en-GB"/>
        </w:rPr>
        <w:t>B</w:t>
      </w:r>
      <w:r w:rsidRPr="00734400">
        <w:rPr>
          <w:rFonts w:cstheme="minorHAnsi"/>
          <w:bCs/>
          <w:lang w:val="en-GB"/>
        </w:rPr>
        <w:t xml:space="preserve">). In addition, community richness was significantly lower in TF patients compared to N-TF patients </w:t>
      </w:r>
      <w:r w:rsidRPr="004C7FFD">
        <w:rPr>
          <w:rFonts w:cstheme="minorHAnsi"/>
          <w:bCs/>
          <w:lang w:val="en-GB"/>
        </w:rPr>
        <w:t>(Wilcoxon P=0.0</w:t>
      </w:r>
      <w:r w:rsidR="00874A5E">
        <w:rPr>
          <w:rFonts w:cstheme="minorHAnsi"/>
          <w:bCs/>
          <w:lang w:val="en-GB"/>
        </w:rPr>
        <w:t>40</w:t>
      </w:r>
      <w:r w:rsidRPr="004C7FFD">
        <w:rPr>
          <w:rFonts w:cstheme="minorHAnsi"/>
          <w:bCs/>
          <w:lang w:val="en-GB"/>
        </w:rPr>
        <w:t>). Similar</w:t>
      </w:r>
      <w:r w:rsidRPr="00734400">
        <w:rPr>
          <w:rFonts w:cstheme="minorHAnsi"/>
          <w:bCs/>
          <w:lang w:val="en-GB"/>
        </w:rPr>
        <w:t xml:space="preserve"> patterns were observed in beta diversity metrics of the microbiota (</w:t>
      </w:r>
      <w:r w:rsidRPr="00734400">
        <w:rPr>
          <w:rFonts w:cstheme="minorHAnsi"/>
          <w:b/>
          <w:lang w:val="en-GB"/>
        </w:rPr>
        <w:t xml:space="preserve">Figure </w:t>
      </w:r>
      <w:r>
        <w:rPr>
          <w:rFonts w:cstheme="minorHAnsi"/>
          <w:b/>
          <w:lang w:val="en-GB"/>
        </w:rPr>
        <w:t>2</w:t>
      </w:r>
      <w:r w:rsidRPr="00734400">
        <w:rPr>
          <w:rFonts w:cstheme="minorHAnsi"/>
          <w:b/>
          <w:lang w:val="en-GB"/>
        </w:rPr>
        <w:t xml:space="preserve">C and </w:t>
      </w:r>
      <w:r>
        <w:rPr>
          <w:rFonts w:cstheme="minorHAnsi"/>
          <w:b/>
          <w:lang w:val="en-GB"/>
        </w:rPr>
        <w:t>2</w:t>
      </w:r>
      <w:r w:rsidRPr="00734400">
        <w:rPr>
          <w:rFonts w:cstheme="minorHAnsi"/>
          <w:b/>
          <w:lang w:val="en-GB"/>
        </w:rPr>
        <w:t>D</w:t>
      </w:r>
      <w:r w:rsidRPr="00734400">
        <w:rPr>
          <w:rFonts w:cstheme="minorHAnsi"/>
          <w:bCs/>
          <w:lang w:val="en-GB"/>
        </w:rPr>
        <w:t>) as samples that were collected from TF and N-TF patients differed from controls in both weighted and unweighted UniFrac analyses (</w:t>
      </w:r>
      <w:r w:rsidR="00F72996">
        <w:rPr>
          <w:rFonts w:cstheme="minorHAnsi"/>
          <w:bCs/>
          <w:lang w:val="en-GB"/>
        </w:rPr>
        <w:t>PERMANOVA</w:t>
      </w:r>
      <w:r w:rsidRPr="00734400">
        <w:rPr>
          <w:rFonts w:cstheme="minorHAnsi"/>
          <w:bCs/>
          <w:lang w:val="en-GB"/>
        </w:rPr>
        <w:t>, P&lt;0.00</w:t>
      </w:r>
      <w:r>
        <w:rPr>
          <w:rFonts w:cstheme="minorHAnsi"/>
          <w:bCs/>
          <w:lang w:val="en-GB"/>
        </w:rPr>
        <w:t>0</w:t>
      </w:r>
      <w:r w:rsidRPr="00734400">
        <w:rPr>
          <w:rFonts w:cstheme="minorHAnsi"/>
          <w:bCs/>
          <w:lang w:val="en-GB"/>
        </w:rPr>
        <w:t>1 and P&lt;0.00</w:t>
      </w:r>
      <w:r>
        <w:rPr>
          <w:rFonts w:cstheme="minorHAnsi"/>
          <w:bCs/>
          <w:lang w:val="en-GB"/>
        </w:rPr>
        <w:t>0</w:t>
      </w:r>
      <w:r w:rsidRPr="00734400">
        <w:rPr>
          <w:rFonts w:cstheme="minorHAnsi"/>
          <w:bCs/>
          <w:lang w:val="en-GB"/>
        </w:rPr>
        <w:t xml:space="preserve">1,  </w:t>
      </w:r>
      <w:r w:rsidR="009A5045" w:rsidRPr="008512C9">
        <w:rPr>
          <w:rStyle w:val="fontstyle01"/>
          <w:rFonts w:asciiTheme="minorHAnsi" w:hAnsiTheme="minorHAnsi" w:cstheme="minorHAnsi"/>
          <w:b/>
          <w:bCs/>
          <w:sz w:val="22"/>
          <w:szCs w:val="22"/>
          <w:lang w:val="en-GB"/>
        </w:rPr>
        <w:t>Supplementary</w:t>
      </w:r>
      <w:r w:rsidR="009A5045">
        <w:rPr>
          <w:rStyle w:val="fontstyle01"/>
          <w:rFonts w:asciiTheme="minorHAnsi" w:hAnsiTheme="minorHAnsi" w:cstheme="minorHAnsi"/>
          <w:sz w:val="22"/>
          <w:szCs w:val="22"/>
          <w:lang w:val="en-GB"/>
        </w:rPr>
        <w:t xml:space="preserve"> </w:t>
      </w:r>
      <w:r w:rsidR="009A5045" w:rsidRPr="00734400">
        <w:rPr>
          <w:rFonts w:cstheme="minorHAnsi"/>
          <w:b/>
          <w:lang w:val="en-GB"/>
        </w:rPr>
        <w:t xml:space="preserve">Table </w:t>
      </w:r>
      <w:r w:rsidR="009A5045">
        <w:rPr>
          <w:rFonts w:cstheme="minorHAnsi"/>
          <w:b/>
          <w:lang w:val="en-GB"/>
        </w:rPr>
        <w:t>2</w:t>
      </w:r>
      <w:r w:rsidRPr="00734400">
        <w:rPr>
          <w:rFonts w:cstheme="minorHAnsi"/>
          <w:bCs/>
          <w:lang w:val="en-GB"/>
        </w:rPr>
        <w:t xml:space="preserve">). </w:t>
      </w:r>
      <w:r w:rsidR="009A5045">
        <w:rPr>
          <w:rFonts w:cstheme="minorHAnsi"/>
          <w:bCs/>
          <w:lang w:val="en-GB"/>
        </w:rPr>
        <w:t>Notably</w:t>
      </w:r>
      <w:r w:rsidRPr="00734400">
        <w:rPr>
          <w:rFonts w:cstheme="minorHAnsi"/>
          <w:bCs/>
          <w:lang w:val="en-GB"/>
        </w:rPr>
        <w:t>, beta diversity between TF and N-TF patients was comparable in the weighted UniFrac model, but were significantly altered with an unweighted UniFrac approach (</w:t>
      </w:r>
      <w:r w:rsidR="00F72996">
        <w:rPr>
          <w:rFonts w:cstheme="minorHAnsi"/>
          <w:bCs/>
          <w:lang w:val="en-GB"/>
        </w:rPr>
        <w:t>PERMANOVA</w:t>
      </w:r>
      <w:r w:rsidRPr="00734400">
        <w:rPr>
          <w:rFonts w:cstheme="minorHAnsi"/>
          <w:bCs/>
          <w:lang w:val="en-GB"/>
        </w:rPr>
        <w:t>, P=0.0</w:t>
      </w:r>
      <w:r w:rsidR="009A5045">
        <w:rPr>
          <w:rFonts w:cstheme="minorHAnsi"/>
          <w:bCs/>
          <w:lang w:val="en-GB"/>
        </w:rPr>
        <w:t>14</w:t>
      </w:r>
      <w:r w:rsidRPr="00734400">
        <w:rPr>
          <w:rFonts w:cstheme="minorHAnsi"/>
          <w:bCs/>
          <w:lang w:val="en-GB"/>
        </w:rPr>
        <w:t xml:space="preserve">, </w:t>
      </w:r>
      <w:r w:rsidR="008512C9" w:rsidRPr="008512C9">
        <w:rPr>
          <w:rStyle w:val="fontstyle01"/>
          <w:rFonts w:asciiTheme="minorHAnsi" w:hAnsiTheme="minorHAnsi" w:cstheme="minorHAnsi"/>
          <w:b/>
          <w:bCs/>
          <w:sz w:val="22"/>
          <w:szCs w:val="22"/>
          <w:lang w:val="en-GB"/>
        </w:rPr>
        <w:t>Supplementary</w:t>
      </w:r>
      <w:r w:rsidR="008512C9">
        <w:rPr>
          <w:rStyle w:val="fontstyle01"/>
          <w:rFonts w:asciiTheme="minorHAnsi" w:hAnsiTheme="minorHAnsi" w:cstheme="minorHAnsi"/>
          <w:sz w:val="22"/>
          <w:szCs w:val="22"/>
          <w:lang w:val="en-GB"/>
        </w:rPr>
        <w:t xml:space="preserve"> </w:t>
      </w:r>
      <w:r w:rsidRPr="00734400">
        <w:rPr>
          <w:rFonts w:cstheme="minorHAnsi"/>
          <w:b/>
          <w:lang w:val="en-GB"/>
        </w:rPr>
        <w:t xml:space="preserve">Table </w:t>
      </w:r>
      <w:r w:rsidR="00262932">
        <w:rPr>
          <w:rFonts w:cstheme="minorHAnsi"/>
          <w:b/>
          <w:lang w:val="en-GB"/>
        </w:rPr>
        <w:t>2</w:t>
      </w:r>
      <w:r w:rsidRPr="00734400">
        <w:rPr>
          <w:rFonts w:cstheme="minorHAnsi"/>
          <w:bCs/>
          <w:lang w:val="en-GB"/>
        </w:rPr>
        <w:t>)</w:t>
      </w:r>
      <w:r w:rsidR="009A5045">
        <w:rPr>
          <w:rFonts w:cstheme="minorHAnsi"/>
          <w:bCs/>
          <w:lang w:val="en-GB"/>
        </w:rPr>
        <w:t xml:space="preserve">, which </w:t>
      </w:r>
      <w:r w:rsidR="009A5045" w:rsidRPr="009A5045">
        <w:rPr>
          <w:rFonts w:cstheme="minorHAnsi"/>
          <w:bCs/>
          <w:lang w:val="en-GB"/>
        </w:rPr>
        <w:t>suggest</w:t>
      </w:r>
      <w:r w:rsidR="009A5045">
        <w:rPr>
          <w:rFonts w:cstheme="minorHAnsi"/>
          <w:bCs/>
          <w:lang w:val="en-GB"/>
        </w:rPr>
        <w:t>s</w:t>
      </w:r>
      <w:r w:rsidR="009A5045" w:rsidRPr="009A5045">
        <w:rPr>
          <w:rFonts w:cstheme="minorHAnsi"/>
          <w:bCs/>
          <w:lang w:val="en-GB"/>
        </w:rPr>
        <w:t xml:space="preserve"> that th</w:t>
      </w:r>
      <w:r w:rsidR="009A5045">
        <w:rPr>
          <w:rFonts w:cstheme="minorHAnsi"/>
          <w:bCs/>
          <w:lang w:val="en-GB"/>
        </w:rPr>
        <w:t>e</w:t>
      </w:r>
      <w:r w:rsidR="009A5045" w:rsidRPr="009A5045">
        <w:rPr>
          <w:rFonts w:cstheme="minorHAnsi"/>
          <w:bCs/>
          <w:lang w:val="en-GB"/>
        </w:rPr>
        <w:t xml:space="preserve"> taxa that drive the separation </w:t>
      </w:r>
      <w:r w:rsidR="009A5045">
        <w:rPr>
          <w:rFonts w:cstheme="minorHAnsi"/>
          <w:bCs/>
          <w:lang w:val="en-GB"/>
        </w:rPr>
        <w:t>between TF and N-TF patients</w:t>
      </w:r>
      <w:r w:rsidR="009A5045" w:rsidRPr="009A5045">
        <w:rPr>
          <w:rFonts w:cstheme="minorHAnsi"/>
          <w:bCs/>
          <w:lang w:val="en-GB"/>
        </w:rPr>
        <w:t xml:space="preserve"> are of </w:t>
      </w:r>
      <w:r w:rsidR="009A5045">
        <w:rPr>
          <w:rFonts w:cstheme="minorHAnsi"/>
          <w:bCs/>
          <w:lang w:val="en-GB"/>
        </w:rPr>
        <w:t xml:space="preserve">relatively </w:t>
      </w:r>
      <w:r w:rsidR="009A5045" w:rsidRPr="009A5045">
        <w:rPr>
          <w:rFonts w:cstheme="minorHAnsi"/>
          <w:bCs/>
          <w:lang w:val="en-GB"/>
        </w:rPr>
        <w:t>low abundance</w:t>
      </w:r>
      <w:r w:rsidR="009A5045">
        <w:rPr>
          <w:rFonts w:cstheme="minorHAnsi"/>
          <w:bCs/>
          <w:lang w:val="en-GB"/>
        </w:rPr>
        <w:t>.</w:t>
      </w:r>
    </w:p>
    <w:p w14:paraId="0F395574" w14:textId="77777777" w:rsidR="00EE7383" w:rsidRPr="00734400" w:rsidRDefault="00EE7383" w:rsidP="00EE7383">
      <w:pPr>
        <w:spacing w:line="360" w:lineRule="auto"/>
        <w:jc w:val="both"/>
        <w:rPr>
          <w:rFonts w:cstheme="minorHAnsi"/>
          <w:b/>
          <w:bCs/>
          <w:lang w:val="en-GB"/>
        </w:rPr>
      </w:pPr>
      <w:r w:rsidRPr="00734400">
        <w:rPr>
          <w:rFonts w:cstheme="minorHAnsi"/>
          <w:b/>
          <w:bCs/>
          <w:lang w:val="en-GB"/>
        </w:rPr>
        <w:t xml:space="preserve">Lower abundance of </w:t>
      </w:r>
      <w:r w:rsidRPr="00734400">
        <w:rPr>
          <w:rStyle w:val="fontstyle01"/>
          <w:rFonts w:asciiTheme="minorHAnsi" w:hAnsiTheme="minorHAnsi" w:cstheme="minorHAnsi"/>
          <w:b/>
          <w:sz w:val="22"/>
          <w:szCs w:val="22"/>
          <w:lang w:val="en-GB"/>
        </w:rPr>
        <w:t xml:space="preserve">short-chain fatty acids </w:t>
      </w:r>
      <w:r w:rsidRPr="00734400">
        <w:rPr>
          <w:rFonts w:cstheme="minorHAnsi"/>
          <w:b/>
          <w:bCs/>
          <w:lang w:val="en-GB"/>
        </w:rPr>
        <w:t xml:space="preserve">producing </w:t>
      </w:r>
      <w:r>
        <w:rPr>
          <w:rFonts w:cstheme="minorHAnsi"/>
          <w:b/>
          <w:bCs/>
          <w:lang w:val="en-GB"/>
        </w:rPr>
        <w:t>taxa</w:t>
      </w:r>
      <w:r w:rsidRPr="00734400">
        <w:rPr>
          <w:rFonts w:cstheme="minorHAnsi"/>
          <w:b/>
          <w:bCs/>
          <w:lang w:val="en-GB"/>
        </w:rPr>
        <w:t xml:space="preserve"> in typhoid fever</w:t>
      </w:r>
      <w:r>
        <w:rPr>
          <w:rFonts w:cstheme="minorHAnsi"/>
          <w:b/>
          <w:bCs/>
          <w:lang w:val="en-GB"/>
        </w:rPr>
        <w:t>,</w:t>
      </w:r>
      <w:r w:rsidRPr="00734400">
        <w:rPr>
          <w:rFonts w:cstheme="minorHAnsi"/>
          <w:b/>
          <w:bCs/>
          <w:lang w:val="en-GB"/>
        </w:rPr>
        <w:t xml:space="preserve"> with diminished faecal butyrate, acetate and propionate levels</w:t>
      </w:r>
    </w:p>
    <w:p w14:paraId="67FC9A07" w14:textId="60D26D5F" w:rsidR="00262932" w:rsidRPr="00B54148" w:rsidRDefault="00EE7383" w:rsidP="00B54148">
      <w:pPr>
        <w:spacing w:line="360" w:lineRule="auto"/>
        <w:jc w:val="both"/>
        <w:rPr>
          <w:rFonts w:cstheme="minorHAnsi"/>
          <w:color w:val="000000"/>
          <w:lang w:val="en-GB"/>
        </w:rPr>
      </w:pPr>
      <w:r w:rsidRPr="00734400">
        <w:rPr>
          <w:rFonts w:cstheme="minorHAnsi"/>
          <w:bCs/>
          <w:lang w:val="en-GB"/>
        </w:rPr>
        <w:t xml:space="preserve">TF patients had a profoundly lowered abundance of butyrate-producing genera, compared to both N-TF patients and </w:t>
      </w:r>
      <w:r w:rsidR="00F7521E">
        <w:rPr>
          <w:rFonts w:cstheme="minorHAnsi"/>
          <w:bCs/>
          <w:lang w:val="en-GB"/>
        </w:rPr>
        <w:t xml:space="preserve">healthy </w:t>
      </w:r>
      <w:r w:rsidRPr="00734400">
        <w:rPr>
          <w:rFonts w:cstheme="minorHAnsi"/>
          <w:bCs/>
          <w:lang w:val="en-GB"/>
        </w:rPr>
        <w:t>controls</w:t>
      </w:r>
      <w:r w:rsidRPr="00734400">
        <w:rPr>
          <w:rFonts w:cstheme="minorHAnsi"/>
          <w:b/>
          <w:lang w:val="en-GB"/>
        </w:rPr>
        <w:t xml:space="preserve"> </w:t>
      </w:r>
      <w:r w:rsidRPr="00734400">
        <w:rPr>
          <w:rFonts w:cstheme="minorHAnsi"/>
          <w:bCs/>
          <w:lang w:val="en-GB"/>
        </w:rPr>
        <w:t xml:space="preserve">(N-TF vs TF </w:t>
      </w:r>
      <w:r>
        <w:rPr>
          <w:rFonts w:cstheme="minorHAnsi"/>
          <w:bCs/>
          <w:lang w:val="en-GB"/>
        </w:rPr>
        <w:t xml:space="preserve">vs </w:t>
      </w:r>
      <w:r w:rsidRPr="00734400">
        <w:rPr>
          <w:rFonts w:cstheme="minorHAnsi"/>
          <w:bCs/>
          <w:lang w:val="en-GB"/>
        </w:rPr>
        <w:t>control</w:t>
      </w:r>
      <w:r>
        <w:rPr>
          <w:rFonts w:cstheme="minorHAnsi"/>
          <w:bCs/>
          <w:lang w:val="en-GB"/>
        </w:rPr>
        <w:t>;</w:t>
      </w:r>
      <w:r w:rsidRPr="00734400">
        <w:rPr>
          <w:rFonts w:cstheme="minorHAnsi"/>
          <w:bCs/>
          <w:lang w:val="en-GB"/>
        </w:rPr>
        <w:t xml:space="preserve"> median </w:t>
      </w:r>
      <w:r>
        <w:rPr>
          <w:rFonts w:cstheme="minorHAnsi"/>
          <w:bCs/>
          <w:lang w:val="en-GB"/>
        </w:rPr>
        <w:t>% of total sequences</w:t>
      </w:r>
      <w:r w:rsidRPr="00734400">
        <w:rPr>
          <w:rFonts w:cstheme="minorHAnsi"/>
          <w:bCs/>
          <w:lang w:val="en-GB"/>
        </w:rPr>
        <w:t>:</w:t>
      </w:r>
      <w:r>
        <w:rPr>
          <w:rFonts w:cstheme="minorHAnsi"/>
          <w:bCs/>
          <w:lang w:val="en-GB"/>
        </w:rPr>
        <w:t xml:space="preserve"> 12.</w:t>
      </w:r>
      <w:r w:rsidR="00DC4A46">
        <w:rPr>
          <w:rFonts w:cstheme="minorHAnsi"/>
          <w:bCs/>
          <w:lang w:val="en-GB"/>
        </w:rPr>
        <w:t>0</w:t>
      </w:r>
      <w:r w:rsidRPr="00734400">
        <w:rPr>
          <w:rFonts w:cstheme="minorHAnsi"/>
          <w:bCs/>
          <w:lang w:val="en-GB"/>
        </w:rPr>
        <w:t xml:space="preserve"> versus</w:t>
      </w:r>
      <w:r>
        <w:rPr>
          <w:rFonts w:cstheme="minorHAnsi"/>
          <w:bCs/>
          <w:lang w:val="en-GB"/>
        </w:rPr>
        <w:t xml:space="preserve"> </w:t>
      </w:r>
      <w:r w:rsidR="00DC4A46">
        <w:rPr>
          <w:rFonts w:cstheme="minorHAnsi"/>
          <w:bCs/>
          <w:lang w:val="en-GB"/>
        </w:rPr>
        <w:t>6.9</w:t>
      </w:r>
      <w:r w:rsidRPr="00734400">
        <w:rPr>
          <w:rFonts w:cstheme="minorHAnsi"/>
          <w:bCs/>
          <w:lang w:val="en-GB"/>
        </w:rPr>
        <w:t xml:space="preserve"> versus </w:t>
      </w:r>
      <w:r w:rsidR="00DC4A46">
        <w:rPr>
          <w:rFonts w:cstheme="minorHAnsi"/>
          <w:bCs/>
          <w:lang w:val="en-GB"/>
        </w:rPr>
        <w:t>12.4</w:t>
      </w:r>
      <w:r w:rsidRPr="00734400">
        <w:rPr>
          <w:rFonts w:cstheme="minorHAnsi"/>
          <w:bCs/>
          <w:lang w:val="en-GB"/>
        </w:rPr>
        <w:t>, Wilcoxon P=0.0</w:t>
      </w:r>
      <w:r w:rsidR="00874A5E">
        <w:rPr>
          <w:rFonts w:cstheme="minorHAnsi"/>
          <w:bCs/>
          <w:lang w:val="en-GB"/>
        </w:rPr>
        <w:t>20</w:t>
      </w:r>
      <w:r w:rsidRPr="00734400">
        <w:rPr>
          <w:rFonts w:cstheme="minorHAnsi"/>
          <w:bCs/>
          <w:lang w:val="en-GB"/>
        </w:rPr>
        <w:t xml:space="preserve"> and P=0.0</w:t>
      </w:r>
      <w:r w:rsidR="00CF2795">
        <w:rPr>
          <w:rFonts w:cstheme="minorHAnsi"/>
          <w:bCs/>
          <w:lang w:val="en-GB"/>
        </w:rPr>
        <w:t>0</w:t>
      </w:r>
      <w:r w:rsidR="00874A5E">
        <w:rPr>
          <w:rFonts w:cstheme="minorHAnsi"/>
          <w:bCs/>
          <w:lang w:val="en-GB"/>
        </w:rPr>
        <w:t>9</w:t>
      </w:r>
      <w:r w:rsidRPr="00734400">
        <w:rPr>
          <w:rFonts w:cstheme="minorHAnsi"/>
          <w:bCs/>
          <w:lang w:val="en-GB"/>
        </w:rPr>
        <w:t xml:space="preserve"> respectively</w:t>
      </w:r>
      <w:r>
        <w:rPr>
          <w:rFonts w:cstheme="minorHAnsi"/>
          <w:bCs/>
          <w:lang w:val="en-GB"/>
        </w:rPr>
        <w:t xml:space="preserve">; </w:t>
      </w:r>
      <w:r w:rsidRPr="00734400">
        <w:rPr>
          <w:rFonts w:cstheme="minorHAnsi"/>
          <w:b/>
          <w:lang w:val="en-GB"/>
        </w:rPr>
        <w:t xml:space="preserve">Figure </w:t>
      </w:r>
      <w:r>
        <w:rPr>
          <w:rFonts w:cstheme="minorHAnsi"/>
          <w:b/>
          <w:lang w:val="en-GB"/>
        </w:rPr>
        <w:t>3</w:t>
      </w:r>
      <w:r w:rsidRPr="00734400">
        <w:rPr>
          <w:rFonts w:cstheme="minorHAnsi"/>
          <w:b/>
          <w:lang w:val="en-GB"/>
        </w:rPr>
        <w:t>A</w:t>
      </w:r>
      <w:r>
        <w:rPr>
          <w:rFonts w:cstheme="minorHAnsi"/>
          <w:bCs/>
          <w:lang w:val="en-GB"/>
        </w:rPr>
        <w:t>).</w:t>
      </w:r>
      <w:r w:rsidRPr="00734400">
        <w:rPr>
          <w:rFonts w:cstheme="minorHAnsi"/>
          <w:bCs/>
          <w:lang w:val="en-GB"/>
        </w:rPr>
        <w:t xml:space="preserve"> </w:t>
      </w:r>
      <w:r w:rsidRPr="008F4E1E">
        <w:rPr>
          <w:rFonts w:cstheme="minorHAnsi"/>
          <w:lang w:val="en-GB"/>
        </w:rPr>
        <w:t>W</w:t>
      </w:r>
      <w:r w:rsidRPr="00734400">
        <w:rPr>
          <w:rStyle w:val="fontstyle01"/>
          <w:rFonts w:asciiTheme="minorHAnsi" w:hAnsiTheme="minorHAnsi" w:cstheme="minorHAnsi"/>
          <w:sz w:val="22"/>
          <w:szCs w:val="22"/>
          <w:lang w:val="en-GB"/>
        </w:rPr>
        <w:t xml:space="preserve">e subsequently performed targeted </w:t>
      </w:r>
      <w:r>
        <w:rPr>
          <w:rStyle w:val="fontstyle01"/>
          <w:rFonts w:asciiTheme="minorHAnsi" w:hAnsiTheme="minorHAnsi" w:cstheme="minorHAnsi"/>
          <w:sz w:val="22"/>
          <w:szCs w:val="22"/>
          <w:lang w:val="en-GB"/>
        </w:rPr>
        <w:t>NMR analysis to measure</w:t>
      </w:r>
      <w:r w:rsidRPr="00734400">
        <w:rPr>
          <w:rStyle w:val="fontstyle01"/>
          <w:rFonts w:asciiTheme="minorHAnsi" w:hAnsiTheme="minorHAnsi" w:cstheme="minorHAnsi"/>
          <w:sz w:val="22"/>
          <w:szCs w:val="22"/>
          <w:lang w:val="en-GB"/>
        </w:rPr>
        <w:t xml:space="preserve"> </w:t>
      </w:r>
      <w:r>
        <w:rPr>
          <w:rStyle w:val="fontstyle01"/>
          <w:rFonts w:asciiTheme="minorHAnsi" w:hAnsiTheme="minorHAnsi" w:cstheme="minorHAnsi"/>
          <w:sz w:val="22"/>
          <w:szCs w:val="22"/>
          <w:lang w:val="en-GB"/>
        </w:rPr>
        <w:t>volatile short-chain fatty acids</w:t>
      </w:r>
      <w:r w:rsidRPr="00734400">
        <w:rPr>
          <w:rStyle w:val="fontstyle01"/>
          <w:rFonts w:asciiTheme="minorHAnsi" w:hAnsiTheme="minorHAnsi" w:cstheme="minorHAnsi"/>
          <w:sz w:val="22"/>
          <w:szCs w:val="22"/>
          <w:lang w:val="en-GB"/>
        </w:rPr>
        <w:t xml:space="preserve"> on a different aliquot of the same faecal samples, and found that the measured faecal concentration of butyrate</w:t>
      </w:r>
      <w:r>
        <w:rPr>
          <w:rStyle w:val="fontstyle01"/>
          <w:rFonts w:asciiTheme="minorHAnsi" w:hAnsiTheme="minorHAnsi" w:cstheme="minorHAnsi"/>
          <w:sz w:val="22"/>
          <w:szCs w:val="22"/>
          <w:lang w:val="en-GB"/>
        </w:rPr>
        <w:t xml:space="preserve">, acetate and propionate were significantly diminished in TF patients compared to controls </w:t>
      </w:r>
      <w:r w:rsidRPr="00687DD7">
        <w:rPr>
          <w:rStyle w:val="fontstyle01"/>
          <w:rFonts w:asciiTheme="minorHAnsi" w:hAnsiTheme="minorHAnsi" w:cstheme="minorHAnsi"/>
          <w:sz w:val="22"/>
          <w:szCs w:val="22"/>
          <w:lang w:val="en-GB"/>
        </w:rPr>
        <w:t>(</w:t>
      </w:r>
      <w:r>
        <w:rPr>
          <w:rStyle w:val="fontstyle01"/>
          <w:rFonts w:asciiTheme="minorHAnsi" w:hAnsiTheme="minorHAnsi" w:cstheme="minorHAnsi"/>
          <w:b/>
          <w:bCs/>
          <w:sz w:val="22"/>
          <w:szCs w:val="22"/>
          <w:lang w:val="en-GB"/>
        </w:rPr>
        <w:t>Figure 3B–</w:t>
      </w:r>
      <w:r w:rsidRPr="00687DD7">
        <w:rPr>
          <w:rStyle w:val="fontstyle01"/>
          <w:rFonts w:asciiTheme="minorHAnsi" w:hAnsiTheme="minorHAnsi" w:cstheme="minorHAnsi"/>
          <w:b/>
          <w:bCs/>
          <w:sz w:val="22"/>
          <w:szCs w:val="22"/>
          <w:lang w:val="en-GB"/>
        </w:rPr>
        <w:t>D</w:t>
      </w:r>
      <w:r w:rsidRPr="00687DD7">
        <w:rPr>
          <w:rStyle w:val="fontstyle01"/>
          <w:rFonts w:asciiTheme="minorHAnsi" w:hAnsiTheme="minorHAnsi" w:cstheme="minorHAnsi"/>
          <w:sz w:val="22"/>
          <w:szCs w:val="22"/>
          <w:lang w:val="en-GB"/>
        </w:rPr>
        <w:t>)</w:t>
      </w:r>
      <w:r>
        <w:rPr>
          <w:rStyle w:val="fontstyle01"/>
          <w:rFonts w:asciiTheme="minorHAnsi" w:hAnsiTheme="minorHAnsi" w:cstheme="minorHAnsi"/>
          <w:sz w:val="22"/>
          <w:szCs w:val="22"/>
          <w:lang w:val="en-GB"/>
        </w:rPr>
        <w:t>.</w:t>
      </w:r>
      <w:r w:rsidRPr="00687DD7">
        <w:rPr>
          <w:rStyle w:val="fontstyle01"/>
          <w:rFonts w:asciiTheme="minorHAnsi" w:hAnsiTheme="minorHAnsi" w:cstheme="minorHAnsi"/>
          <w:sz w:val="22"/>
          <w:szCs w:val="22"/>
          <w:lang w:val="en-GB"/>
        </w:rPr>
        <w:t xml:space="preserve"> </w:t>
      </w:r>
      <w:r>
        <w:rPr>
          <w:rStyle w:val="fontstyle01"/>
          <w:rFonts w:asciiTheme="minorHAnsi" w:hAnsiTheme="minorHAnsi" w:cstheme="minorHAnsi"/>
          <w:sz w:val="22"/>
          <w:szCs w:val="22"/>
          <w:lang w:val="en-GB"/>
        </w:rPr>
        <w:t xml:space="preserve">Of note, faecal concentration of butyrate </w:t>
      </w:r>
      <w:r w:rsidRPr="00734400">
        <w:rPr>
          <w:rStyle w:val="fontstyle01"/>
          <w:rFonts w:asciiTheme="minorHAnsi" w:hAnsiTheme="minorHAnsi" w:cstheme="minorHAnsi"/>
          <w:sz w:val="22"/>
          <w:szCs w:val="22"/>
          <w:lang w:val="en-GB"/>
        </w:rPr>
        <w:t>strongly correlated with the abundance of butyrate-producing bacteria (</w:t>
      </w:r>
      <w:r w:rsidR="00B825A0">
        <w:rPr>
          <w:rStyle w:val="fontstyle01"/>
          <w:rFonts w:asciiTheme="minorHAnsi" w:hAnsiTheme="minorHAnsi" w:cstheme="minorHAnsi"/>
          <w:sz w:val="22"/>
          <w:szCs w:val="22"/>
          <w:lang w:val="en-GB"/>
        </w:rPr>
        <w:t>R</w:t>
      </w:r>
      <w:r w:rsidRPr="00734400">
        <w:rPr>
          <w:rStyle w:val="fontstyle01"/>
          <w:rFonts w:asciiTheme="minorHAnsi" w:hAnsiTheme="minorHAnsi" w:cstheme="minorHAnsi"/>
          <w:sz w:val="22"/>
          <w:szCs w:val="22"/>
          <w:lang w:val="en-GB"/>
        </w:rPr>
        <w:t>=</w:t>
      </w:r>
      <w:r w:rsidR="004C68F6">
        <w:rPr>
          <w:rStyle w:val="fontstyle01"/>
          <w:rFonts w:asciiTheme="minorHAnsi" w:hAnsiTheme="minorHAnsi" w:cstheme="minorHAnsi"/>
          <w:sz w:val="22"/>
          <w:szCs w:val="22"/>
          <w:lang w:val="en-GB"/>
        </w:rPr>
        <w:t>0.76</w:t>
      </w:r>
      <w:r w:rsidRPr="00734400">
        <w:rPr>
          <w:rStyle w:val="fontstyle01"/>
          <w:rFonts w:asciiTheme="minorHAnsi" w:hAnsiTheme="minorHAnsi" w:cstheme="minorHAnsi"/>
          <w:sz w:val="22"/>
          <w:szCs w:val="22"/>
          <w:lang w:val="en-GB"/>
        </w:rPr>
        <w:t>, p &lt;0.00</w:t>
      </w:r>
      <w:r w:rsidR="00DC4A46">
        <w:rPr>
          <w:rStyle w:val="fontstyle01"/>
          <w:rFonts w:asciiTheme="minorHAnsi" w:hAnsiTheme="minorHAnsi" w:cstheme="minorHAnsi"/>
          <w:sz w:val="22"/>
          <w:szCs w:val="22"/>
          <w:lang w:val="en-GB"/>
        </w:rPr>
        <w:t>0</w:t>
      </w:r>
      <w:r w:rsidRPr="00734400">
        <w:rPr>
          <w:rStyle w:val="fontstyle01"/>
          <w:rFonts w:asciiTheme="minorHAnsi" w:hAnsiTheme="minorHAnsi" w:cstheme="minorHAnsi"/>
          <w:sz w:val="22"/>
          <w:szCs w:val="22"/>
          <w:lang w:val="en-GB"/>
        </w:rPr>
        <w:t>1</w:t>
      </w:r>
      <w:r>
        <w:rPr>
          <w:rStyle w:val="fontstyle01"/>
          <w:rFonts w:asciiTheme="minorHAnsi" w:hAnsiTheme="minorHAnsi" w:cstheme="minorHAnsi"/>
          <w:sz w:val="22"/>
          <w:szCs w:val="22"/>
          <w:lang w:val="en-GB"/>
        </w:rPr>
        <w:t xml:space="preserve">; </w:t>
      </w:r>
      <w:r w:rsidR="008512C9" w:rsidRPr="008512C9">
        <w:rPr>
          <w:rStyle w:val="fontstyle01"/>
          <w:rFonts w:asciiTheme="minorHAnsi" w:hAnsiTheme="minorHAnsi" w:cstheme="minorHAnsi"/>
          <w:b/>
          <w:bCs/>
          <w:sz w:val="22"/>
          <w:szCs w:val="22"/>
          <w:lang w:val="en-GB"/>
        </w:rPr>
        <w:t>Supplementary</w:t>
      </w:r>
      <w:r w:rsidR="008512C9">
        <w:rPr>
          <w:rStyle w:val="fontstyle01"/>
          <w:rFonts w:asciiTheme="minorHAnsi" w:hAnsiTheme="minorHAnsi" w:cstheme="minorHAnsi"/>
          <w:sz w:val="22"/>
          <w:szCs w:val="22"/>
          <w:lang w:val="en-GB"/>
        </w:rPr>
        <w:t xml:space="preserve"> </w:t>
      </w:r>
      <w:r>
        <w:rPr>
          <w:rStyle w:val="fontstyle01"/>
          <w:rFonts w:asciiTheme="minorHAnsi" w:hAnsiTheme="minorHAnsi" w:cstheme="minorHAnsi"/>
          <w:b/>
          <w:sz w:val="22"/>
          <w:szCs w:val="22"/>
          <w:lang w:val="en-GB"/>
        </w:rPr>
        <w:t xml:space="preserve">Figure </w:t>
      </w:r>
      <w:r w:rsidR="00EC048C">
        <w:rPr>
          <w:rStyle w:val="fontstyle01"/>
          <w:rFonts w:asciiTheme="minorHAnsi" w:hAnsiTheme="minorHAnsi" w:cstheme="minorHAnsi"/>
          <w:b/>
          <w:bCs/>
          <w:sz w:val="22"/>
          <w:szCs w:val="22"/>
          <w:lang w:val="en-GB"/>
        </w:rPr>
        <w:t>3</w:t>
      </w:r>
      <w:r w:rsidRPr="00734400">
        <w:rPr>
          <w:rStyle w:val="fontstyle01"/>
          <w:rFonts w:asciiTheme="minorHAnsi" w:hAnsiTheme="minorHAnsi" w:cstheme="minorHAnsi"/>
          <w:sz w:val="22"/>
          <w:szCs w:val="22"/>
          <w:lang w:val="en-GB"/>
        </w:rPr>
        <w:t>)</w:t>
      </w:r>
      <w:r>
        <w:rPr>
          <w:rStyle w:val="fontstyle01"/>
          <w:rFonts w:asciiTheme="minorHAnsi" w:hAnsiTheme="minorHAnsi" w:cstheme="minorHAnsi"/>
          <w:sz w:val="22"/>
          <w:szCs w:val="22"/>
          <w:lang w:val="en-GB"/>
        </w:rPr>
        <w:t>.</w:t>
      </w:r>
      <w:r w:rsidRPr="00734400">
        <w:rPr>
          <w:rStyle w:val="fontstyle01"/>
          <w:rFonts w:asciiTheme="minorHAnsi" w:hAnsiTheme="minorHAnsi" w:cstheme="minorHAnsi"/>
          <w:sz w:val="22"/>
          <w:szCs w:val="22"/>
          <w:lang w:val="en-GB"/>
        </w:rPr>
        <w:t xml:space="preserve"> </w:t>
      </w:r>
      <w:r w:rsidRPr="00336AAF">
        <w:rPr>
          <w:rStyle w:val="fontstyle01"/>
          <w:rFonts w:asciiTheme="minorHAnsi" w:hAnsiTheme="minorHAnsi" w:cstheme="minorHAnsi"/>
          <w:sz w:val="22"/>
          <w:szCs w:val="22"/>
          <w:lang w:val="en-GB"/>
        </w:rPr>
        <w:t>Finally, linear regression analysis indicated that low diversity and low abundance of butyrate producing bacteria were not associated with length of hospitalisation stay in both TF and N-TF patients (</w:t>
      </w:r>
      <w:r w:rsidR="008512C9" w:rsidRPr="008512C9">
        <w:rPr>
          <w:rStyle w:val="fontstyle01"/>
          <w:rFonts w:asciiTheme="minorHAnsi" w:hAnsiTheme="minorHAnsi" w:cstheme="minorHAnsi"/>
          <w:b/>
          <w:bCs/>
          <w:sz w:val="22"/>
          <w:szCs w:val="22"/>
          <w:lang w:val="en-GB"/>
        </w:rPr>
        <w:t>Supplementary</w:t>
      </w:r>
      <w:r w:rsidR="008512C9">
        <w:rPr>
          <w:rStyle w:val="fontstyle01"/>
          <w:rFonts w:asciiTheme="minorHAnsi" w:hAnsiTheme="minorHAnsi" w:cstheme="minorHAnsi"/>
          <w:sz w:val="22"/>
          <w:szCs w:val="22"/>
          <w:lang w:val="en-GB"/>
        </w:rPr>
        <w:t xml:space="preserve"> </w:t>
      </w:r>
      <w:r w:rsidR="00EC048C">
        <w:rPr>
          <w:rStyle w:val="fontstyle01"/>
          <w:rFonts w:asciiTheme="minorHAnsi" w:hAnsiTheme="minorHAnsi" w:cstheme="minorHAnsi"/>
          <w:b/>
          <w:sz w:val="22"/>
          <w:szCs w:val="22"/>
          <w:lang w:val="en-GB"/>
        </w:rPr>
        <w:t xml:space="preserve">Figure </w:t>
      </w:r>
      <w:r w:rsidRPr="00336AAF">
        <w:rPr>
          <w:rStyle w:val="fontstyle01"/>
          <w:rFonts w:asciiTheme="minorHAnsi" w:hAnsiTheme="minorHAnsi" w:cstheme="minorHAnsi"/>
          <w:b/>
          <w:bCs/>
          <w:sz w:val="22"/>
          <w:szCs w:val="22"/>
          <w:lang w:val="en-GB"/>
        </w:rPr>
        <w:t>4A–B</w:t>
      </w:r>
      <w:r w:rsidRPr="00336AAF">
        <w:rPr>
          <w:rStyle w:val="fontstyle01"/>
          <w:rFonts w:asciiTheme="minorHAnsi" w:hAnsiTheme="minorHAnsi" w:cstheme="minorHAnsi"/>
          <w:sz w:val="22"/>
          <w:szCs w:val="22"/>
          <w:lang w:val="en-GB"/>
        </w:rPr>
        <w:t>)</w:t>
      </w:r>
      <w:r>
        <w:rPr>
          <w:rStyle w:val="fontstyle01"/>
          <w:rFonts w:asciiTheme="minorHAnsi" w:hAnsiTheme="minorHAnsi" w:cstheme="minorHAnsi"/>
          <w:sz w:val="22"/>
          <w:szCs w:val="22"/>
          <w:lang w:val="en-GB"/>
        </w:rPr>
        <w:t>.</w:t>
      </w:r>
      <w:r w:rsidRPr="00687DD7">
        <w:rPr>
          <w:rStyle w:val="fontstyle01"/>
          <w:rFonts w:asciiTheme="minorHAnsi" w:hAnsiTheme="minorHAnsi" w:cstheme="minorHAnsi"/>
          <w:sz w:val="22"/>
          <w:szCs w:val="22"/>
          <w:lang w:val="en-GB"/>
        </w:rPr>
        <w:t xml:space="preserve"> </w:t>
      </w:r>
      <w:r w:rsidR="00262932">
        <w:rPr>
          <w:rFonts w:cstheme="minorHAnsi"/>
          <w:b/>
          <w:lang w:val="en-GB"/>
        </w:rPr>
        <w:br w:type="page"/>
      </w:r>
    </w:p>
    <w:p w14:paraId="567BC9D4" w14:textId="56431EAC" w:rsidR="00947F48" w:rsidRPr="00681414" w:rsidRDefault="00947F48" w:rsidP="00A7030C">
      <w:pPr>
        <w:spacing w:line="360" w:lineRule="auto"/>
        <w:jc w:val="both"/>
        <w:rPr>
          <w:rFonts w:cstheme="minorHAnsi"/>
          <w:b/>
          <w:lang w:val="en-GB"/>
        </w:rPr>
      </w:pPr>
      <w:r w:rsidRPr="00681414">
        <w:rPr>
          <w:rFonts w:cstheme="minorHAnsi"/>
          <w:b/>
          <w:lang w:val="en-GB"/>
        </w:rPr>
        <w:lastRenderedPageBreak/>
        <w:t>Discussion</w:t>
      </w:r>
    </w:p>
    <w:p w14:paraId="5B8E01D7" w14:textId="3A7C90F3" w:rsidR="002B2E19" w:rsidRDefault="00A33892" w:rsidP="00A7030C">
      <w:pPr>
        <w:spacing w:line="360" w:lineRule="auto"/>
        <w:jc w:val="both"/>
        <w:rPr>
          <w:rFonts w:cstheme="minorHAnsi"/>
          <w:bCs/>
          <w:lang w:val="en-GB"/>
        </w:rPr>
      </w:pPr>
      <w:r w:rsidRPr="00681414">
        <w:rPr>
          <w:rFonts w:cstheme="minorHAnsi"/>
          <w:bCs/>
          <w:lang w:val="en-GB"/>
        </w:rPr>
        <w:t xml:space="preserve">In this </w:t>
      </w:r>
      <w:r w:rsidR="00681414">
        <w:rPr>
          <w:rFonts w:cstheme="minorHAnsi"/>
          <w:bCs/>
          <w:lang w:val="en-GB"/>
        </w:rPr>
        <w:t xml:space="preserve">prospective </w:t>
      </w:r>
      <w:r w:rsidRPr="00681414">
        <w:rPr>
          <w:rFonts w:cstheme="minorHAnsi"/>
          <w:bCs/>
          <w:lang w:val="en-GB"/>
        </w:rPr>
        <w:t>observational study conducted in Chittagong Medical College Hospital, Bangladesh</w:t>
      </w:r>
      <w:r w:rsidR="003575D0" w:rsidRPr="00681414">
        <w:rPr>
          <w:rFonts w:cstheme="minorHAnsi"/>
          <w:bCs/>
          <w:lang w:val="en-GB"/>
        </w:rPr>
        <w:t xml:space="preserve">, we </w:t>
      </w:r>
      <w:r w:rsidR="00681414">
        <w:rPr>
          <w:rFonts w:cstheme="minorHAnsi"/>
          <w:bCs/>
          <w:lang w:val="en-GB"/>
        </w:rPr>
        <w:t>found</w:t>
      </w:r>
      <w:r w:rsidR="00681414" w:rsidRPr="00681414">
        <w:rPr>
          <w:rFonts w:cstheme="minorHAnsi"/>
          <w:bCs/>
          <w:lang w:val="en-GB"/>
        </w:rPr>
        <w:t xml:space="preserve"> </w:t>
      </w:r>
      <w:r w:rsidR="003575D0" w:rsidRPr="00681414">
        <w:rPr>
          <w:rFonts w:cstheme="minorHAnsi"/>
          <w:bCs/>
          <w:lang w:val="en-GB"/>
        </w:rPr>
        <w:t xml:space="preserve">that patients with typhoid fever had significantly altered patterns of compositional and functional disruption of the gut microbiota compared to patients with non-typhoidal febrile illness </w:t>
      </w:r>
      <w:r w:rsidR="00A123E6">
        <w:rPr>
          <w:rFonts w:cstheme="minorHAnsi"/>
          <w:bCs/>
          <w:lang w:val="en-GB"/>
        </w:rPr>
        <w:t xml:space="preserve">as well as </w:t>
      </w:r>
      <w:r w:rsidR="003575D0" w:rsidRPr="00681414">
        <w:rPr>
          <w:rFonts w:cstheme="minorHAnsi"/>
          <w:bCs/>
          <w:lang w:val="en-GB"/>
        </w:rPr>
        <w:t xml:space="preserve">healthy </w:t>
      </w:r>
      <w:r w:rsidR="00A123E6">
        <w:rPr>
          <w:rFonts w:cstheme="minorHAnsi"/>
          <w:bCs/>
          <w:lang w:val="en-GB"/>
        </w:rPr>
        <w:t xml:space="preserve">local </w:t>
      </w:r>
      <w:r w:rsidR="003575D0" w:rsidRPr="00681414">
        <w:rPr>
          <w:rFonts w:cstheme="minorHAnsi"/>
          <w:bCs/>
          <w:lang w:val="en-GB"/>
        </w:rPr>
        <w:t>controls. Specifically, TF patients had lower microbiota richness and alpha diversity, lower amounts of obligately anaerobic bacteria and faecal short-chain fatty acids, as well as a higher prevalence of potentially pathogenic bacterial taxa in the gut</w:t>
      </w:r>
      <w:r w:rsidR="00A123E6">
        <w:rPr>
          <w:rFonts w:cstheme="minorHAnsi"/>
          <w:bCs/>
          <w:lang w:val="en-GB"/>
        </w:rPr>
        <w:t xml:space="preserve"> when compared to </w:t>
      </w:r>
      <w:r w:rsidR="00A123E6" w:rsidRPr="00681414">
        <w:rPr>
          <w:rFonts w:cstheme="minorHAnsi"/>
          <w:bCs/>
          <w:lang w:val="en-GB"/>
        </w:rPr>
        <w:t>non-typhoidal</w:t>
      </w:r>
      <w:r w:rsidR="00A123E6">
        <w:rPr>
          <w:rFonts w:cstheme="minorHAnsi"/>
          <w:bCs/>
          <w:lang w:val="en-GB"/>
        </w:rPr>
        <w:t xml:space="preserve"> febrile patients</w:t>
      </w:r>
      <w:r w:rsidR="003575D0" w:rsidRPr="00681414">
        <w:rPr>
          <w:rFonts w:cstheme="minorHAnsi"/>
          <w:bCs/>
          <w:lang w:val="en-GB"/>
        </w:rPr>
        <w:t xml:space="preserve">. </w:t>
      </w:r>
      <w:r w:rsidR="00F56245" w:rsidRPr="00681414">
        <w:rPr>
          <w:rFonts w:cstheme="minorHAnsi"/>
          <w:bCs/>
          <w:lang w:val="en-GB"/>
        </w:rPr>
        <w:t xml:space="preserve">The </w:t>
      </w:r>
      <w:r w:rsidR="008877BD">
        <w:rPr>
          <w:rFonts w:cstheme="minorHAnsi"/>
          <w:bCs/>
          <w:lang w:val="en-GB"/>
        </w:rPr>
        <w:t xml:space="preserve">marked </w:t>
      </w:r>
      <w:r w:rsidR="00F56245" w:rsidRPr="00681414">
        <w:rPr>
          <w:rFonts w:cstheme="minorHAnsi"/>
          <w:bCs/>
          <w:lang w:val="en-GB"/>
        </w:rPr>
        <w:t>d</w:t>
      </w:r>
      <w:r w:rsidR="003575D0" w:rsidRPr="00681414">
        <w:rPr>
          <w:rFonts w:cstheme="minorHAnsi"/>
          <w:bCs/>
          <w:lang w:val="en-GB"/>
        </w:rPr>
        <w:t xml:space="preserve">ifferences </w:t>
      </w:r>
      <w:r w:rsidR="00F56245" w:rsidRPr="00681414">
        <w:rPr>
          <w:rFonts w:cstheme="minorHAnsi"/>
          <w:bCs/>
          <w:lang w:val="en-GB"/>
        </w:rPr>
        <w:t xml:space="preserve">we observed between TF – and N-TF patients </w:t>
      </w:r>
      <w:r w:rsidR="003575D0" w:rsidRPr="00681414">
        <w:rPr>
          <w:rFonts w:cstheme="minorHAnsi"/>
          <w:bCs/>
          <w:lang w:val="en-GB"/>
        </w:rPr>
        <w:t xml:space="preserve">cannot be </w:t>
      </w:r>
      <w:r w:rsidR="00F56245" w:rsidRPr="00681414">
        <w:rPr>
          <w:rFonts w:cstheme="minorHAnsi"/>
          <w:bCs/>
          <w:lang w:val="en-GB"/>
        </w:rPr>
        <w:t xml:space="preserve">fully </w:t>
      </w:r>
      <w:r w:rsidR="003575D0" w:rsidRPr="00681414">
        <w:rPr>
          <w:rFonts w:cstheme="minorHAnsi"/>
          <w:bCs/>
          <w:lang w:val="en-GB"/>
        </w:rPr>
        <w:t xml:space="preserve">explained by </w:t>
      </w:r>
      <w:r w:rsidR="00F56245" w:rsidRPr="00681414">
        <w:rPr>
          <w:rFonts w:cstheme="minorHAnsi"/>
          <w:bCs/>
          <w:lang w:val="en-GB"/>
        </w:rPr>
        <w:t xml:space="preserve">an </w:t>
      </w:r>
      <w:r w:rsidR="003575D0" w:rsidRPr="00681414">
        <w:rPr>
          <w:rFonts w:cstheme="minorHAnsi"/>
          <w:bCs/>
          <w:lang w:val="en-GB"/>
        </w:rPr>
        <w:t>altered exposure to antibiotics</w:t>
      </w:r>
      <w:r w:rsidR="00F56245" w:rsidRPr="00681414">
        <w:rPr>
          <w:rFonts w:cstheme="minorHAnsi"/>
          <w:bCs/>
          <w:lang w:val="en-GB"/>
        </w:rPr>
        <w:t xml:space="preserve">. </w:t>
      </w:r>
      <w:r w:rsidR="003575D0" w:rsidRPr="00681414">
        <w:rPr>
          <w:rFonts w:cstheme="minorHAnsi"/>
          <w:bCs/>
          <w:lang w:val="en-GB"/>
        </w:rPr>
        <w:t>Typhoid fever patients</w:t>
      </w:r>
      <w:r w:rsidR="00F56245" w:rsidRPr="00681414">
        <w:rPr>
          <w:rFonts w:cstheme="minorHAnsi"/>
          <w:bCs/>
          <w:lang w:val="en-GB"/>
        </w:rPr>
        <w:t xml:space="preserve"> were exposed to</w:t>
      </w:r>
      <w:r w:rsidR="00794EB5" w:rsidRPr="00681414">
        <w:rPr>
          <w:rFonts w:cstheme="minorHAnsi"/>
          <w:bCs/>
          <w:lang w:val="en-GB"/>
        </w:rPr>
        <w:t xml:space="preserve"> more</w:t>
      </w:r>
      <w:r w:rsidR="00F56245" w:rsidRPr="00681414">
        <w:rPr>
          <w:rFonts w:cstheme="minorHAnsi"/>
          <w:bCs/>
          <w:lang w:val="en-GB"/>
        </w:rPr>
        <w:t xml:space="preserve"> fluoroquinolones</w:t>
      </w:r>
      <w:r w:rsidR="003575D0" w:rsidRPr="00681414">
        <w:rPr>
          <w:rFonts w:cstheme="minorHAnsi"/>
          <w:bCs/>
          <w:lang w:val="en-GB"/>
        </w:rPr>
        <w:t xml:space="preserve">, </w:t>
      </w:r>
      <w:r w:rsidR="00F56245" w:rsidRPr="00681414">
        <w:rPr>
          <w:rFonts w:cstheme="minorHAnsi"/>
          <w:bCs/>
          <w:lang w:val="en-GB"/>
        </w:rPr>
        <w:t>which are known to have</w:t>
      </w:r>
      <w:r w:rsidR="003575D0" w:rsidRPr="00681414">
        <w:rPr>
          <w:rFonts w:cstheme="minorHAnsi"/>
          <w:bCs/>
          <w:lang w:val="en-GB"/>
        </w:rPr>
        <w:t xml:space="preserve"> little effect on the </w:t>
      </w:r>
      <w:r w:rsidR="00787F53">
        <w:rPr>
          <w:rFonts w:cstheme="minorHAnsi"/>
          <w:bCs/>
          <w:lang w:val="en-GB"/>
        </w:rPr>
        <w:t xml:space="preserve">butyrate-producing </w:t>
      </w:r>
      <w:r w:rsidR="003575D0" w:rsidRPr="00681414">
        <w:rPr>
          <w:rFonts w:cstheme="minorHAnsi"/>
          <w:bCs/>
          <w:lang w:val="en-GB"/>
        </w:rPr>
        <w:t>compartment of the microbiota</w:t>
      </w:r>
      <w:r w:rsidR="00F56245" w:rsidRPr="00681414">
        <w:rPr>
          <w:rFonts w:cstheme="minorHAnsi"/>
          <w:bCs/>
          <w:lang w:val="en-GB"/>
        </w:rPr>
        <w:t>,</w:t>
      </w:r>
      <w:r w:rsidR="00663FD7" w:rsidRPr="00681414">
        <w:rPr>
          <w:rFonts w:cstheme="minorHAnsi"/>
          <w:bCs/>
          <w:lang w:val="en-GB"/>
        </w:rPr>
        <w:t xml:space="preserve"> [</w:t>
      </w:r>
      <w:r w:rsidR="00F72996">
        <w:rPr>
          <w:rFonts w:cstheme="minorHAnsi"/>
          <w:bCs/>
          <w:lang w:val="en-GB"/>
        </w:rPr>
        <w:t>30, 31</w:t>
      </w:r>
      <w:r w:rsidR="00663FD7" w:rsidRPr="00681414">
        <w:rPr>
          <w:rFonts w:cstheme="minorHAnsi"/>
          <w:bCs/>
          <w:lang w:val="en-GB"/>
        </w:rPr>
        <w:t>]</w:t>
      </w:r>
      <w:r w:rsidR="00F56245" w:rsidRPr="00681414">
        <w:rPr>
          <w:rFonts w:cstheme="minorHAnsi"/>
          <w:bCs/>
          <w:lang w:val="en-GB"/>
        </w:rPr>
        <w:t xml:space="preserve"> whereas exposure to beta-lactam antibiotics and metronidazole</w:t>
      </w:r>
      <w:r w:rsidR="00EE67BD">
        <w:rPr>
          <w:rFonts w:cstheme="minorHAnsi"/>
          <w:bCs/>
          <w:lang w:val="en-GB"/>
        </w:rPr>
        <w:t xml:space="preserve"> </w:t>
      </w:r>
      <w:r w:rsidR="00F56245" w:rsidRPr="00681414">
        <w:rPr>
          <w:rFonts w:cstheme="minorHAnsi"/>
          <w:bCs/>
          <w:lang w:val="en-GB"/>
        </w:rPr>
        <w:t>was comparable between groups</w:t>
      </w:r>
      <w:r w:rsidR="008407FD" w:rsidRPr="00681414">
        <w:rPr>
          <w:rFonts w:cstheme="minorHAnsi"/>
          <w:bCs/>
          <w:lang w:val="en-GB"/>
        </w:rPr>
        <w:t>.</w:t>
      </w:r>
      <w:r w:rsidR="00794EB5" w:rsidRPr="00681414">
        <w:rPr>
          <w:rFonts w:cstheme="minorHAnsi"/>
          <w:bCs/>
          <w:lang w:val="en-GB"/>
        </w:rPr>
        <w:t xml:space="preserve"> </w:t>
      </w:r>
      <w:r w:rsidR="00734400">
        <w:rPr>
          <w:rFonts w:cstheme="minorHAnsi"/>
          <w:bCs/>
          <w:lang w:val="en-GB"/>
        </w:rPr>
        <w:t>In addition, the total amount of antibiotic</w:t>
      </w:r>
      <w:r w:rsidR="005106FC">
        <w:rPr>
          <w:rFonts w:cstheme="minorHAnsi"/>
          <w:bCs/>
          <w:lang w:val="en-GB"/>
        </w:rPr>
        <w:t xml:space="preserve"> exposure</w:t>
      </w:r>
      <w:r w:rsidR="00734400">
        <w:rPr>
          <w:rFonts w:cstheme="minorHAnsi"/>
          <w:bCs/>
          <w:lang w:val="en-GB"/>
        </w:rPr>
        <w:t xml:space="preserve"> between groups prior to hospital admission did not differ. </w:t>
      </w:r>
    </w:p>
    <w:p w14:paraId="6B7D1046" w14:textId="54E5EF65" w:rsidR="008407FD" w:rsidRPr="002B2E19" w:rsidRDefault="00794EB5" w:rsidP="00A7030C">
      <w:pPr>
        <w:spacing w:line="360" w:lineRule="auto"/>
        <w:jc w:val="both"/>
        <w:rPr>
          <w:rFonts w:cstheme="minorHAnsi"/>
          <w:b/>
          <w:lang w:val="en-GB"/>
        </w:rPr>
      </w:pPr>
      <w:r w:rsidRPr="00681414">
        <w:rPr>
          <w:rFonts w:cstheme="minorHAnsi"/>
          <w:bCs/>
          <w:lang w:val="en-GB"/>
        </w:rPr>
        <w:t>W</w:t>
      </w:r>
      <w:r w:rsidR="00F56245" w:rsidRPr="00681414">
        <w:rPr>
          <w:rFonts w:cstheme="minorHAnsi"/>
          <w:bCs/>
          <w:lang w:val="en-GB"/>
        </w:rPr>
        <w:t>e identify t</w:t>
      </w:r>
      <w:r w:rsidR="008407FD" w:rsidRPr="00681414">
        <w:rPr>
          <w:rFonts w:cstheme="minorHAnsi"/>
          <w:bCs/>
          <w:lang w:val="en-GB"/>
        </w:rPr>
        <w:t xml:space="preserve">wo potential reasons </w:t>
      </w:r>
      <w:r w:rsidR="009F49DB">
        <w:rPr>
          <w:rFonts w:cstheme="minorHAnsi"/>
          <w:bCs/>
          <w:lang w:val="en-GB"/>
        </w:rPr>
        <w:t>that</w:t>
      </w:r>
      <w:r w:rsidR="00F56245" w:rsidRPr="00681414">
        <w:rPr>
          <w:rFonts w:cstheme="minorHAnsi"/>
          <w:bCs/>
          <w:lang w:val="en-GB"/>
        </w:rPr>
        <w:t xml:space="preserve"> could</w:t>
      </w:r>
      <w:r w:rsidR="008407FD" w:rsidRPr="00681414">
        <w:rPr>
          <w:rFonts w:cstheme="minorHAnsi"/>
          <w:bCs/>
          <w:lang w:val="en-GB"/>
        </w:rPr>
        <w:t xml:space="preserve"> explain </w:t>
      </w:r>
      <w:r w:rsidR="00FE573A">
        <w:rPr>
          <w:rFonts w:cstheme="minorHAnsi"/>
          <w:bCs/>
          <w:lang w:val="en-GB"/>
        </w:rPr>
        <w:t xml:space="preserve">typical characteristics of the typhoid fever microbiome as </w:t>
      </w:r>
      <w:r w:rsidR="008407FD" w:rsidRPr="00681414">
        <w:rPr>
          <w:rFonts w:cstheme="minorHAnsi"/>
          <w:bCs/>
          <w:lang w:val="en-GB"/>
        </w:rPr>
        <w:t xml:space="preserve">observed in our </w:t>
      </w:r>
      <w:r w:rsidR="00F56245" w:rsidRPr="00681414">
        <w:rPr>
          <w:rFonts w:cstheme="minorHAnsi"/>
          <w:bCs/>
          <w:lang w:val="en-GB"/>
        </w:rPr>
        <w:t>c</w:t>
      </w:r>
      <w:r w:rsidR="008407FD" w:rsidRPr="00681414">
        <w:rPr>
          <w:rFonts w:cstheme="minorHAnsi"/>
          <w:bCs/>
          <w:lang w:val="en-GB"/>
        </w:rPr>
        <w:t>ohort</w:t>
      </w:r>
      <w:r w:rsidR="003E5B18" w:rsidRPr="00681414">
        <w:rPr>
          <w:rFonts w:cstheme="minorHAnsi"/>
          <w:bCs/>
          <w:lang w:val="en-GB"/>
        </w:rPr>
        <w:t xml:space="preserve"> of patients</w:t>
      </w:r>
      <w:r w:rsidR="008407FD" w:rsidRPr="00681414">
        <w:rPr>
          <w:rFonts w:cstheme="minorHAnsi"/>
          <w:bCs/>
          <w:lang w:val="en-GB"/>
        </w:rPr>
        <w:t xml:space="preserve">. First, </w:t>
      </w:r>
      <w:r w:rsidR="008407FD" w:rsidRPr="00787F53">
        <w:rPr>
          <w:rFonts w:cstheme="minorHAnsi"/>
          <w:bCs/>
          <w:i/>
          <w:lang w:val="en-GB"/>
        </w:rPr>
        <w:t>S.</w:t>
      </w:r>
      <w:r w:rsidR="008407FD" w:rsidRPr="00681414">
        <w:rPr>
          <w:rFonts w:cstheme="minorHAnsi"/>
          <w:bCs/>
          <w:lang w:val="en-GB"/>
        </w:rPr>
        <w:t xml:space="preserve"> Typhi infection itself </w:t>
      </w:r>
      <w:r w:rsidR="00734400">
        <w:rPr>
          <w:rFonts w:cstheme="minorHAnsi"/>
          <w:bCs/>
          <w:lang w:val="en-GB"/>
        </w:rPr>
        <w:t xml:space="preserve">will most likely </w:t>
      </w:r>
      <w:r w:rsidR="008407FD" w:rsidRPr="00681414">
        <w:rPr>
          <w:rFonts w:cstheme="minorHAnsi"/>
          <w:bCs/>
          <w:lang w:val="en-GB"/>
        </w:rPr>
        <w:t xml:space="preserve">alter the intestinal environment, leading to </w:t>
      </w:r>
      <w:r w:rsidRPr="00681414">
        <w:rPr>
          <w:rFonts w:cstheme="minorHAnsi"/>
          <w:bCs/>
          <w:lang w:val="en-GB"/>
        </w:rPr>
        <w:t xml:space="preserve">an </w:t>
      </w:r>
      <w:r w:rsidR="008407FD" w:rsidRPr="00681414">
        <w:rPr>
          <w:rFonts w:cstheme="minorHAnsi"/>
          <w:bCs/>
          <w:lang w:val="en-GB"/>
        </w:rPr>
        <w:t>aerobic expansion and</w:t>
      </w:r>
      <w:r w:rsidR="002B2E19">
        <w:rPr>
          <w:rFonts w:cstheme="minorHAnsi"/>
          <w:bCs/>
          <w:lang w:val="en-GB"/>
        </w:rPr>
        <w:t xml:space="preserve"> a</w:t>
      </w:r>
      <w:r w:rsidR="008407FD" w:rsidRPr="00681414">
        <w:rPr>
          <w:rFonts w:cstheme="minorHAnsi"/>
          <w:bCs/>
          <w:lang w:val="en-GB"/>
        </w:rPr>
        <w:t xml:space="preserve"> loss of obligate anaerobic bacteria</w:t>
      </w:r>
      <w:r w:rsidR="005106FC">
        <w:rPr>
          <w:rFonts w:cstheme="minorHAnsi"/>
          <w:bCs/>
          <w:lang w:val="en-GB"/>
        </w:rPr>
        <w:t>.</w:t>
      </w:r>
      <w:r w:rsidR="003B220D">
        <w:rPr>
          <w:rFonts w:cstheme="minorHAnsi"/>
          <w:bCs/>
          <w:lang w:val="en-GB"/>
        </w:rPr>
        <w:t xml:space="preserve"> </w:t>
      </w:r>
      <w:r w:rsidR="005106FC">
        <w:rPr>
          <w:rFonts w:cstheme="minorHAnsi"/>
          <w:bCs/>
          <w:lang w:val="en-GB"/>
        </w:rPr>
        <w:t>This</w:t>
      </w:r>
      <w:r w:rsidR="005106FC" w:rsidRPr="00681414">
        <w:rPr>
          <w:rFonts w:cstheme="minorHAnsi"/>
          <w:bCs/>
          <w:lang w:val="en-GB"/>
        </w:rPr>
        <w:t xml:space="preserve"> </w:t>
      </w:r>
      <w:r w:rsidR="008407FD" w:rsidRPr="00681414">
        <w:rPr>
          <w:rFonts w:cstheme="minorHAnsi"/>
          <w:bCs/>
          <w:lang w:val="en-GB"/>
        </w:rPr>
        <w:t xml:space="preserve">has been observed </w:t>
      </w:r>
      <w:r w:rsidR="00F56245" w:rsidRPr="00681414">
        <w:rPr>
          <w:rFonts w:cstheme="minorHAnsi"/>
          <w:bCs/>
          <w:lang w:val="en-GB"/>
        </w:rPr>
        <w:t>in preclinical models</w:t>
      </w:r>
      <w:r w:rsidR="003B220D">
        <w:rPr>
          <w:rFonts w:cstheme="minorHAnsi"/>
          <w:bCs/>
          <w:lang w:val="en-GB"/>
        </w:rPr>
        <w:t xml:space="preserve"> with </w:t>
      </w:r>
      <w:r w:rsidR="003B220D" w:rsidRPr="00787F53">
        <w:rPr>
          <w:rFonts w:cstheme="minorHAnsi"/>
          <w:bCs/>
          <w:i/>
          <w:lang w:val="en-GB"/>
        </w:rPr>
        <w:t xml:space="preserve">S. </w:t>
      </w:r>
      <w:r w:rsidR="000A514E">
        <w:rPr>
          <w:rFonts w:cstheme="minorHAnsi"/>
          <w:bCs/>
          <w:i/>
          <w:lang w:val="en-GB"/>
        </w:rPr>
        <w:t>T</w:t>
      </w:r>
      <w:proofErr w:type="spellStart"/>
      <w:r w:rsidR="003B220D" w:rsidRPr="00787F53">
        <w:rPr>
          <w:i/>
          <w:lang w:val="en-US"/>
        </w:rPr>
        <w:t>yphimurium</w:t>
      </w:r>
      <w:proofErr w:type="spellEnd"/>
      <w:r w:rsidR="002B2E19">
        <w:rPr>
          <w:lang w:val="en-US"/>
        </w:rPr>
        <w:t xml:space="preserve"> by </w:t>
      </w:r>
      <w:r w:rsidR="00FE573A">
        <w:rPr>
          <w:lang w:val="en-US"/>
        </w:rPr>
        <w:t xml:space="preserve">the </w:t>
      </w:r>
      <w:proofErr w:type="spellStart"/>
      <w:r w:rsidR="002B2E19">
        <w:rPr>
          <w:lang w:val="en-US"/>
        </w:rPr>
        <w:t>B</w:t>
      </w:r>
      <w:r w:rsidR="00FE573A">
        <w:rPr>
          <w:rFonts w:cstheme="minorHAnsi"/>
          <w:lang w:val="en-US"/>
        </w:rPr>
        <w:t>ä</w:t>
      </w:r>
      <w:r w:rsidR="002B2E19">
        <w:rPr>
          <w:lang w:val="en-US"/>
        </w:rPr>
        <w:t>umler</w:t>
      </w:r>
      <w:proofErr w:type="spellEnd"/>
      <w:r w:rsidR="002B2E19">
        <w:rPr>
          <w:lang w:val="en-US"/>
        </w:rPr>
        <w:t xml:space="preserve"> </w:t>
      </w:r>
      <w:r w:rsidR="00FE573A">
        <w:rPr>
          <w:lang w:val="en-US"/>
        </w:rPr>
        <w:t>lab</w:t>
      </w:r>
      <w:r w:rsidR="008407FD" w:rsidRPr="00681414">
        <w:rPr>
          <w:rFonts w:cstheme="minorHAnsi"/>
          <w:bCs/>
          <w:lang w:val="en-GB"/>
        </w:rPr>
        <w:t xml:space="preserve"> </w:t>
      </w:r>
      <w:r w:rsidR="003E5B18" w:rsidRPr="00681414">
        <w:rPr>
          <w:rFonts w:cstheme="minorHAnsi"/>
          <w:bCs/>
          <w:lang w:val="en-GB"/>
        </w:rPr>
        <w:t>[</w:t>
      </w:r>
      <w:r w:rsidR="003B220D">
        <w:rPr>
          <w:rFonts w:cstheme="minorHAnsi"/>
          <w:bCs/>
          <w:lang w:val="en-GB"/>
        </w:rPr>
        <w:t>11</w:t>
      </w:r>
      <w:r w:rsidR="003E5B18" w:rsidRPr="00681414">
        <w:rPr>
          <w:rFonts w:cstheme="minorHAnsi"/>
          <w:bCs/>
          <w:lang w:val="en-GB"/>
        </w:rPr>
        <w:t>, 1</w:t>
      </w:r>
      <w:r w:rsidR="003B220D">
        <w:rPr>
          <w:rFonts w:cstheme="minorHAnsi"/>
          <w:bCs/>
          <w:lang w:val="en-GB"/>
        </w:rPr>
        <w:t>2</w:t>
      </w:r>
      <w:r w:rsidR="003E5B18" w:rsidRPr="00681414">
        <w:rPr>
          <w:rFonts w:cstheme="minorHAnsi"/>
          <w:bCs/>
          <w:lang w:val="en-GB"/>
        </w:rPr>
        <w:t>]</w:t>
      </w:r>
      <w:r w:rsidR="008407FD" w:rsidRPr="00681414">
        <w:rPr>
          <w:rFonts w:cstheme="minorHAnsi"/>
          <w:bCs/>
          <w:lang w:val="en-GB"/>
        </w:rPr>
        <w:t>.</w:t>
      </w:r>
      <w:r w:rsidRPr="00681414">
        <w:rPr>
          <w:rFonts w:cstheme="minorHAnsi"/>
          <w:bCs/>
          <w:lang w:val="en-GB"/>
        </w:rPr>
        <w:t xml:space="preserve"> </w:t>
      </w:r>
      <w:r w:rsidR="008407FD" w:rsidRPr="00681414">
        <w:rPr>
          <w:rFonts w:cstheme="minorHAnsi"/>
          <w:bCs/>
          <w:lang w:val="en-GB"/>
        </w:rPr>
        <w:t xml:space="preserve">Secondly, patients with TF could have a disrupted microbiome prior to the development of TF, </w:t>
      </w:r>
      <w:r w:rsidRPr="00681414">
        <w:rPr>
          <w:rFonts w:cstheme="minorHAnsi"/>
          <w:bCs/>
          <w:lang w:val="en-GB"/>
        </w:rPr>
        <w:t xml:space="preserve">potentially </w:t>
      </w:r>
      <w:r w:rsidR="008407FD" w:rsidRPr="00681414">
        <w:rPr>
          <w:rFonts w:cstheme="minorHAnsi"/>
          <w:bCs/>
          <w:lang w:val="en-GB"/>
        </w:rPr>
        <w:t>increasing their risk of initial infection</w:t>
      </w:r>
      <w:r w:rsidR="003E5B18" w:rsidRPr="00681414">
        <w:rPr>
          <w:rFonts w:cstheme="minorHAnsi"/>
          <w:bCs/>
          <w:lang w:val="en-GB"/>
        </w:rPr>
        <w:t xml:space="preserve"> by reduced colonization resistance</w:t>
      </w:r>
      <w:r w:rsidR="008407FD" w:rsidRPr="00681414">
        <w:rPr>
          <w:rFonts w:cstheme="minorHAnsi"/>
          <w:bCs/>
          <w:lang w:val="en-GB"/>
        </w:rPr>
        <w:t xml:space="preserve">. </w:t>
      </w:r>
      <w:r w:rsidRPr="00681414">
        <w:rPr>
          <w:rFonts w:cstheme="minorHAnsi"/>
          <w:bCs/>
          <w:lang w:val="en-GB"/>
        </w:rPr>
        <w:t xml:space="preserve">For example, the </w:t>
      </w:r>
      <w:r w:rsidR="00FE573A">
        <w:rPr>
          <w:rFonts w:cstheme="minorHAnsi"/>
          <w:bCs/>
          <w:lang w:val="en-GB"/>
        </w:rPr>
        <w:t>ultra-</w:t>
      </w:r>
      <w:r w:rsidRPr="00681414">
        <w:rPr>
          <w:rFonts w:cstheme="minorHAnsi"/>
          <w:bCs/>
          <w:lang w:val="en-GB"/>
        </w:rPr>
        <w:t xml:space="preserve">low amounts of short-chain fatty acids </w:t>
      </w:r>
      <w:r w:rsidR="003E5B18" w:rsidRPr="00681414">
        <w:rPr>
          <w:rFonts w:cstheme="minorHAnsi"/>
          <w:bCs/>
          <w:lang w:val="en-GB"/>
        </w:rPr>
        <w:t xml:space="preserve">observed in this cohort </w:t>
      </w:r>
      <w:r w:rsidR="0094584F">
        <w:rPr>
          <w:rFonts w:cstheme="minorHAnsi"/>
          <w:bCs/>
          <w:lang w:val="en-GB"/>
        </w:rPr>
        <w:t>with TF</w:t>
      </w:r>
      <w:r w:rsidR="009F49DB">
        <w:rPr>
          <w:rFonts w:cstheme="minorHAnsi"/>
          <w:bCs/>
          <w:lang w:val="en-GB"/>
        </w:rPr>
        <w:t xml:space="preserve"> –</w:t>
      </w:r>
      <w:r w:rsidRPr="00681414">
        <w:rPr>
          <w:rFonts w:cstheme="minorHAnsi"/>
          <w:bCs/>
          <w:lang w:val="en-GB"/>
        </w:rPr>
        <w:t xml:space="preserve">and its potential relationship with </w:t>
      </w:r>
      <w:r w:rsidR="009F49DB">
        <w:rPr>
          <w:rFonts w:cstheme="minorHAnsi"/>
          <w:bCs/>
          <w:lang w:val="en-GB"/>
        </w:rPr>
        <w:t>acidification-mediated resistance</w:t>
      </w:r>
      <w:r w:rsidRPr="00681414">
        <w:rPr>
          <w:rFonts w:cstheme="minorHAnsi"/>
          <w:bCs/>
          <w:lang w:val="en-GB"/>
        </w:rPr>
        <w:t xml:space="preserve"> in the gut environment</w:t>
      </w:r>
      <w:r w:rsidR="003B220D">
        <w:rPr>
          <w:rFonts w:cstheme="minorHAnsi"/>
          <w:bCs/>
          <w:lang w:val="en-GB"/>
        </w:rPr>
        <w:t xml:space="preserve"> [13]</w:t>
      </w:r>
      <w:r w:rsidR="009F49DB">
        <w:rPr>
          <w:rFonts w:cstheme="minorHAnsi"/>
          <w:bCs/>
          <w:lang w:val="en-GB"/>
        </w:rPr>
        <w:t>–</w:t>
      </w:r>
      <w:r w:rsidRPr="00681414">
        <w:rPr>
          <w:rFonts w:cstheme="minorHAnsi"/>
          <w:bCs/>
          <w:lang w:val="en-GB"/>
        </w:rPr>
        <w:t xml:space="preserve"> could benefit expansion of </w:t>
      </w:r>
      <w:r w:rsidRPr="00787F53">
        <w:rPr>
          <w:rFonts w:cstheme="minorHAnsi"/>
          <w:bCs/>
          <w:i/>
          <w:lang w:val="en-GB"/>
        </w:rPr>
        <w:t>S.</w:t>
      </w:r>
      <w:r w:rsidRPr="00681414">
        <w:rPr>
          <w:rFonts w:cstheme="minorHAnsi"/>
          <w:bCs/>
          <w:lang w:val="en-GB"/>
        </w:rPr>
        <w:t xml:space="preserve"> Typhi bacteria in the intestine, and increase the </w:t>
      </w:r>
      <w:r w:rsidR="0094584F">
        <w:rPr>
          <w:rFonts w:cstheme="minorHAnsi"/>
          <w:bCs/>
          <w:lang w:val="en-GB"/>
        </w:rPr>
        <w:t xml:space="preserve">a-priori </w:t>
      </w:r>
      <w:r w:rsidRPr="00681414">
        <w:rPr>
          <w:rFonts w:cstheme="minorHAnsi"/>
          <w:bCs/>
          <w:lang w:val="en-GB"/>
        </w:rPr>
        <w:t xml:space="preserve">risk of developing TF. </w:t>
      </w:r>
    </w:p>
    <w:p w14:paraId="736A8042" w14:textId="6F581EFA" w:rsidR="004C1C27" w:rsidRDefault="00EE67BD" w:rsidP="004D0BDE">
      <w:pPr>
        <w:spacing w:line="360" w:lineRule="auto"/>
        <w:jc w:val="both"/>
        <w:rPr>
          <w:rFonts w:cstheme="minorHAnsi"/>
          <w:color w:val="000000"/>
          <w:lang w:val="en-US"/>
        </w:rPr>
      </w:pPr>
      <w:r>
        <w:rPr>
          <w:rFonts w:cstheme="minorHAnsi"/>
          <w:bCs/>
          <w:lang w:val="en-GB"/>
        </w:rPr>
        <w:t xml:space="preserve">An important limitation of this cohort study is the </w:t>
      </w:r>
      <w:r w:rsidR="00C834A4" w:rsidRPr="00681414">
        <w:rPr>
          <w:rFonts w:cstheme="minorHAnsi"/>
          <w:bCs/>
          <w:lang w:val="en-GB"/>
        </w:rPr>
        <w:t xml:space="preserve">small </w:t>
      </w:r>
      <w:r>
        <w:rPr>
          <w:rFonts w:cstheme="minorHAnsi"/>
          <w:bCs/>
          <w:lang w:val="en-GB"/>
        </w:rPr>
        <w:t>sample size and</w:t>
      </w:r>
      <w:r w:rsidR="00C834A4" w:rsidRPr="00681414">
        <w:rPr>
          <w:rFonts w:cstheme="minorHAnsi"/>
          <w:bCs/>
          <w:lang w:val="en-GB"/>
        </w:rPr>
        <w:t xml:space="preserve"> limited follow up</w:t>
      </w:r>
      <w:r>
        <w:rPr>
          <w:rFonts w:cstheme="minorHAnsi"/>
          <w:bCs/>
          <w:lang w:val="en-GB"/>
        </w:rPr>
        <w:t>. Given these limitations,</w:t>
      </w:r>
      <w:r w:rsidR="00C834A4" w:rsidRPr="00681414">
        <w:rPr>
          <w:rFonts w:cstheme="minorHAnsi"/>
          <w:bCs/>
          <w:lang w:val="en-GB"/>
        </w:rPr>
        <w:t xml:space="preserve"> no </w:t>
      </w:r>
      <w:r w:rsidR="00DA00C0" w:rsidRPr="00681414">
        <w:rPr>
          <w:rFonts w:cstheme="minorHAnsi"/>
          <w:bCs/>
          <w:lang w:val="en-GB"/>
        </w:rPr>
        <w:t>significant association</w:t>
      </w:r>
      <w:r w:rsidR="00C834A4" w:rsidRPr="00681414">
        <w:rPr>
          <w:rFonts w:cstheme="minorHAnsi"/>
          <w:bCs/>
          <w:lang w:val="en-GB"/>
        </w:rPr>
        <w:t xml:space="preserve"> was detected between either low diversity or low abundance of butyrate-producing bacteria</w:t>
      </w:r>
      <w:r w:rsidR="00FE4B5D" w:rsidRPr="00681414">
        <w:rPr>
          <w:rFonts w:cstheme="minorHAnsi"/>
          <w:bCs/>
          <w:lang w:val="en-GB"/>
        </w:rPr>
        <w:t xml:space="preserve"> and</w:t>
      </w:r>
      <w:r w:rsidR="00C834A4" w:rsidRPr="00681414">
        <w:rPr>
          <w:rFonts w:cstheme="minorHAnsi"/>
          <w:bCs/>
          <w:lang w:val="en-GB"/>
        </w:rPr>
        <w:t xml:space="preserve"> length of hospital admission. However, </w:t>
      </w:r>
      <w:r w:rsidR="004165BD" w:rsidRPr="00681414">
        <w:rPr>
          <w:rFonts w:cstheme="minorHAnsi"/>
          <w:bCs/>
          <w:lang w:val="en-GB"/>
        </w:rPr>
        <w:t>there is evidence that</w:t>
      </w:r>
      <w:r w:rsidR="00C834A4" w:rsidRPr="00681414">
        <w:rPr>
          <w:rFonts w:cstheme="minorHAnsi"/>
          <w:bCs/>
          <w:lang w:val="en-GB"/>
        </w:rPr>
        <w:t xml:space="preserve"> dysbiosis could</w:t>
      </w:r>
      <w:r w:rsidR="000E2312">
        <w:rPr>
          <w:rFonts w:cstheme="minorHAnsi"/>
          <w:bCs/>
          <w:lang w:val="en-GB"/>
        </w:rPr>
        <w:t xml:space="preserve"> have a negative</w:t>
      </w:r>
      <w:r w:rsidR="00C834A4" w:rsidRPr="00681414">
        <w:rPr>
          <w:rFonts w:cstheme="minorHAnsi"/>
          <w:bCs/>
          <w:lang w:val="en-GB"/>
        </w:rPr>
        <w:t xml:space="preserve"> impact </w:t>
      </w:r>
      <w:r w:rsidR="000E2312">
        <w:rPr>
          <w:rFonts w:cstheme="minorHAnsi"/>
          <w:bCs/>
          <w:lang w:val="en-GB"/>
        </w:rPr>
        <w:t xml:space="preserve">on long-term </w:t>
      </w:r>
      <w:r w:rsidR="00C834A4" w:rsidRPr="00681414">
        <w:rPr>
          <w:rFonts w:cstheme="minorHAnsi"/>
          <w:bCs/>
          <w:lang w:val="en-GB"/>
        </w:rPr>
        <w:t>outcomes</w:t>
      </w:r>
      <w:r w:rsidR="009F49DB">
        <w:rPr>
          <w:rFonts w:cstheme="minorHAnsi"/>
          <w:bCs/>
          <w:lang w:val="en-GB"/>
        </w:rPr>
        <w:t xml:space="preserve"> as </w:t>
      </w:r>
      <w:proofErr w:type="spellStart"/>
      <w:r w:rsidR="009F49DB">
        <w:rPr>
          <w:rFonts w:cstheme="minorHAnsi"/>
          <w:bCs/>
          <w:lang w:val="en-GB"/>
        </w:rPr>
        <w:t>i</w:t>
      </w:r>
      <w:proofErr w:type="spellEnd"/>
      <w:r w:rsidR="00C834A4" w:rsidRPr="000D4BFF">
        <w:rPr>
          <w:rFonts w:cstheme="minorHAnsi"/>
          <w:color w:val="000000"/>
          <w:lang w:val="en-US"/>
        </w:rPr>
        <w:t xml:space="preserve">t has been shown that some of the bacterial species constituting the intestinal microbiota contribute to protection against </w:t>
      </w:r>
      <w:r w:rsidR="00141EBC">
        <w:rPr>
          <w:rFonts w:cstheme="minorHAnsi"/>
          <w:color w:val="000000"/>
          <w:lang w:val="en-US"/>
        </w:rPr>
        <w:t xml:space="preserve">both enteric as well as systemic </w:t>
      </w:r>
      <w:r w:rsidR="009F49DB">
        <w:rPr>
          <w:rFonts w:cstheme="minorHAnsi"/>
          <w:color w:val="000000"/>
          <w:lang w:val="en-US"/>
        </w:rPr>
        <w:t xml:space="preserve">infections. </w:t>
      </w:r>
      <w:r w:rsidR="0094584F" w:rsidRPr="0094584F">
        <w:rPr>
          <w:rFonts w:cstheme="minorHAnsi"/>
          <w:color w:val="000000"/>
          <w:lang w:val="en-US"/>
        </w:rPr>
        <w:t>For example, systemic exposure of microbiota-derived ligands</w:t>
      </w:r>
      <w:r w:rsidR="0094584F">
        <w:rPr>
          <w:rFonts w:cstheme="minorHAnsi"/>
          <w:color w:val="000000"/>
          <w:lang w:val="en-US"/>
        </w:rPr>
        <w:t>, such as flagellin and lipopolysaccharide,</w:t>
      </w:r>
      <w:r w:rsidR="0094584F" w:rsidRPr="0094584F">
        <w:rPr>
          <w:rFonts w:cstheme="minorHAnsi"/>
          <w:color w:val="000000"/>
          <w:lang w:val="en-US"/>
        </w:rPr>
        <w:t xml:space="preserve"> increases the activity of alveolar macrophages and bone marrow derived neutrophils, which enhances the killing of Gram-positive and Gram-negati</w:t>
      </w:r>
      <w:r w:rsidR="0094584F">
        <w:rPr>
          <w:rFonts w:cstheme="minorHAnsi"/>
          <w:color w:val="000000"/>
          <w:lang w:val="en-US"/>
        </w:rPr>
        <w:t>ve pathogens in the lung [</w:t>
      </w:r>
      <w:r w:rsidR="00F72996">
        <w:rPr>
          <w:rFonts w:cstheme="minorHAnsi"/>
          <w:color w:val="000000"/>
          <w:lang w:val="en-US"/>
        </w:rPr>
        <w:t>32</w:t>
      </w:r>
      <w:r w:rsidR="0094584F">
        <w:rPr>
          <w:rFonts w:cstheme="minorHAnsi"/>
          <w:color w:val="000000"/>
          <w:lang w:val="en-US"/>
        </w:rPr>
        <w:t>–</w:t>
      </w:r>
      <w:r w:rsidR="00F72996">
        <w:rPr>
          <w:rFonts w:cstheme="minorHAnsi"/>
          <w:color w:val="000000"/>
          <w:lang w:val="en-US"/>
        </w:rPr>
        <w:t>36</w:t>
      </w:r>
      <w:r w:rsidR="0094584F">
        <w:rPr>
          <w:rFonts w:cstheme="minorHAnsi"/>
          <w:color w:val="000000"/>
          <w:lang w:val="en-US"/>
        </w:rPr>
        <w:t>]</w:t>
      </w:r>
      <w:r w:rsidR="0094584F" w:rsidRPr="0094584F">
        <w:rPr>
          <w:rFonts w:cstheme="minorHAnsi"/>
          <w:color w:val="000000"/>
          <w:lang w:val="en-US"/>
        </w:rPr>
        <w:t>.</w:t>
      </w:r>
      <w:r w:rsidR="0094584F">
        <w:rPr>
          <w:rFonts w:cstheme="minorHAnsi"/>
          <w:color w:val="000000"/>
          <w:lang w:val="en-US"/>
        </w:rPr>
        <w:t xml:space="preserve"> In addition, </w:t>
      </w:r>
      <w:r w:rsidR="00132416" w:rsidRPr="000D4BFF">
        <w:rPr>
          <w:rFonts w:cstheme="minorHAnsi"/>
          <w:color w:val="000000"/>
          <w:lang w:val="en-US"/>
        </w:rPr>
        <w:t xml:space="preserve">studies in mice have implicated that microbiota-derived butyrate restores IL-10 levels in the lung </w:t>
      </w:r>
      <w:r w:rsidR="0072506D" w:rsidRPr="000D4BFF">
        <w:rPr>
          <w:rFonts w:cstheme="minorHAnsi"/>
          <w:color w:val="000000"/>
          <w:lang w:val="en-US"/>
        </w:rPr>
        <w:t>and</w:t>
      </w:r>
      <w:r w:rsidR="00132416" w:rsidRPr="000D4BFF">
        <w:rPr>
          <w:rFonts w:cstheme="minorHAnsi"/>
          <w:color w:val="000000"/>
          <w:lang w:val="en-US"/>
        </w:rPr>
        <w:t xml:space="preserve"> the intestine by inhibiting histone deacetylase 3 (HDAC3), </w:t>
      </w:r>
      <w:r w:rsidR="0094584F">
        <w:rPr>
          <w:rFonts w:cstheme="minorHAnsi"/>
          <w:color w:val="000000"/>
          <w:lang w:val="en-US"/>
        </w:rPr>
        <w:t>which contributes to</w:t>
      </w:r>
      <w:r w:rsidR="00132416" w:rsidRPr="000D4BFF">
        <w:rPr>
          <w:rFonts w:cstheme="minorHAnsi"/>
          <w:color w:val="000000"/>
          <w:lang w:val="en-US"/>
        </w:rPr>
        <w:t xml:space="preserve"> microbiota-</w:t>
      </w:r>
      <w:r w:rsidR="0094584F">
        <w:rPr>
          <w:rFonts w:cstheme="minorHAnsi"/>
          <w:color w:val="000000"/>
          <w:lang w:val="en-US"/>
        </w:rPr>
        <w:t>induced</w:t>
      </w:r>
      <w:r w:rsidR="00132416" w:rsidRPr="000D4BFF">
        <w:rPr>
          <w:rFonts w:cstheme="minorHAnsi"/>
          <w:color w:val="000000"/>
          <w:lang w:val="en-US"/>
        </w:rPr>
        <w:t xml:space="preserve"> </w:t>
      </w:r>
      <w:r w:rsidR="0094584F">
        <w:rPr>
          <w:rFonts w:cstheme="minorHAnsi"/>
          <w:color w:val="000000"/>
          <w:lang w:val="en-US"/>
        </w:rPr>
        <w:t>immunomodulation</w:t>
      </w:r>
      <w:r w:rsidR="00132416" w:rsidRPr="000D4BFF">
        <w:rPr>
          <w:rFonts w:cstheme="minorHAnsi"/>
          <w:color w:val="000000"/>
          <w:lang w:val="en-US"/>
        </w:rPr>
        <w:t xml:space="preserve">. </w:t>
      </w:r>
      <w:r w:rsidR="0072506D" w:rsidRPr="000D4BFF">
        <w:rPr>
          <w:rFonts w:cstheme="minorHAnsi"/>
          <w:color w:val="000000"/>
          <w:lang w:val="en-US"/>
        </w:rPr>
        <w:t>[</w:t>
      </w:r>
      <w:r w:rsidR="00F72996">
        <w:rPr>
          <w:rFonts w:cstheme="minorHAnsi"/>
          <w:color w:val="000000"/>
          <w:lang w:val="en-US"/>
        </w:rPr>
        <w:t>37</w:t>
      </w:r>
      <w:r w:rsidR="0072506D" w:rsidRPr="000D4BFF">
        <w:rPr>
          <w:rFonts w:cstheme="minorHAnsi"/>
          <w:color w:val="000000"/>
          <w:lang w:val="en-US"/>
        </w:rPr>
        <w:t>,</w:t>
      </w:r>
      <w:r w:rsidR="00F72996">
        <w:rPr>
          <w:rFonts w:cstheme="minorHAnsi"/>
          <w:color w:val="000000"/>
          <w:lang w:val="en-US"/>
        </w:rPr>
        <w:t xml:space="preserve"> 38</w:t>
      </w:r>
      <w:r w:rsidR="0072506D" w:rsidRPr="000D4BFF">
        <w:rPr>
          <w:rFonts w:cstheme="minorHAnsi"/>
          <w:color w:val="000000"/>
          <w:lang w:val="en-US"/>
        </w:rPr>
        <w:t xml:space="preserve">] </w:t>
      </w:r>
      <w:r w:rsidR="0094584F">
        <w:rPr>
          <w:rFonts w:cstheme="minorHAnsi"/>
          <w:color w:val="000000"/>
          <w:lang w:val="en-US"/>
        </w:rPr>
        <w:t>W</w:t>
      </w:r>
      <w:r w:rsidR="000D4BFF">
        <w:rPr>
          <w:rFonts w:cstheme="minorHAnsi"/>
          <w:color w:val="000000"/>
          <w:lang w:val="en-US"/>
        </w:rPr>
        <w:t xml:space="preserve">e observed </w:t>
      </w:r>
      <w:r w:rsidR="0094584F">
        <w:rPr>
          <w:rFonts w:cstheme="minorHAnsi"/>
          <w:color w:val="000000"/>
          <w:lang w:val="en-US"/>
        </w:rPr>
        <w:t>a</w:t>
      </w:r>
      <w:r w:rsidR="00132416" w:rsidRPr="000D4BFF">
        <w:rPr>
          <w:rFonts w:cstheme="minorHAnsi"/>
          <w:color w:val="000000"/>
          <w:lang w:val="en-US"/>
        </w:rPr>
        <w:t xml:space="preserve"> </w:t>
      </w:r>
      <w:r w:rsidR="0094584F">
        <w:rPr>
          <w:rFonts w:cstheme="minorHAnsi"/>
          <w:color w:val="000000"/>
          <w:lang w:val="en-US"/>
        </w:rPr>
        <w:t>similar importance of the</w:t>
      </w:r>
      <w:r w:rsidR="009F49DB">
        <w:rPr>
          <w:rFonts w:cstheme="minorHAnsi"/>
          <w:color w:val="000000"/>
          <w:lang w:val="en-US"/>
        </w:rPr>
        <w:t>se</w:t>
      </w:r>
      <w:r w:rsidR="0094584F">
        <w:rPr>
          <w:rFonts w:cstheme="minorHAnsi"/>
          <w:color w:val="000000"/>
          <w:lang w:val="en-US"/>
        </w:rPr>
        <w:t xml:space="preserve"> </w:t>
      </w:r>
      <w:r w:rsidR="0094584F">
        <w:rPr>
          <w:rFonts w:cstheme="minorHAnsi"/>
          <w:color w:val="000000"/>
          <w:lang w:val="en-US"/>
        </w:rPr>
        <w:lastRenderedPageBreak/>
        <w:t xml:space="preserve">microbial communities </w:t>
      </w:r>
      <w:r w:rsidR="00132416" w:rsidRPr="000D4BFF">
        <w:rPr>
          <w:rFonts w:cstheme="minorHAnsi"/>
          <w:color w:val="000000"/>
          <w:lang w:val="en-US"/>
        </w:rPr>
        <w:t xml:space="preserve">in </w:t>
      </w:r>
      <w:r w:rsidR="0094584F">
        <w:rPr>
          <w:rFonts w:cstheme="minorHAnsi"/>
          <w:color w:val="000000"/>
          <w:lang w:val="en-US"/>
        </w:rPr>
        <w:t xml:space="preserve">a </w:t>
      </w:r>
      <w:r w:rsidR="00132416" w:rsidRPr="000D4BFF">
        <w:rPr>
          <w:rFonts w:cstheme="minorHAnsi"/>
          <w:color w:val="000000"/>
          <w:lang w:val="en-US"/>
        </w:rPr>
        <w:t xml:space="preserve">cohort study </w:t>
      </w:r>
      <w:r w:rsidR="000D4BFF">
        <w:rPr>
          <w:rFonts w:cstheme="minorHAnsi"/>
          <w:color w:val="000000"/>
          <w:lang w:val="en-US"/>
        </w:rPr>
        <w:t xml:space="preserve">of </w:t>
      </w:r>
      <w:r w:rsidR="00132416" w:rsidRPr="000D4BFF">
        <w:rPr>
          <w:rFonts w:cstheme="minorHAnsi"/>
          <w:color w:val="000000"/>
          <w:lang w:val="en-US"/>
        </w:rPr>
        <w:t>patients receiving allogeneic hematopoietic stem cell transplant</w:t>
      </w:r>
      <w:r w:rsidR="009F49DB">
        <w:rPr>
          <w:rFonts w:cstheme="minorHAnsi"/>
          <w:color w:val="000000"/>
          <w:lang w:val="en-US"/>
        </w:rPr>
        <w:t>, as p</w:t>
      </w:r>
      <w:r w:rsidR="0094584F">
        <w:rPr>
          <w:rFonts w:cstheme="minorHAnsi"/>
          <w:color w:val="000000"/>
          <w:lang w:val="en-US"/>
        </w:rPr>
        <w:t>atients</w:t>
      </w:r>
      <w:r w:rsidR="00132416" w:rsidRPr="000D4BFF">
        <w:rPr>
          <w:rFonts w:cstheme="minorHAnsi"/>
          <w:color w:val="000000"/>
          <w:lang w:val="en-US"/>
        </w:rPr>
        <w:t xml:space="preserve"> </w:t>
      </w:r>
      <w:r w:rsidR="0094584F">
        <w:rPr>
          <w:rFonts w:cstheme="minorHAnsi"/>
          <w:color w:val="000000"/>
          <w:lang w:val="en-US"/>
        </w:rPr>
        <w:t xml:space="preserve">that </w:t>
      </w:r>
      <w:r w:rsidR="00132416" w:rsidRPr="000D4BFF">
        <w:rPr>
          <w:rFonts w:cstheme="minorHAnsi"/>
          <w:color w:val="000000"/>
          <w:lang w:val="en-US"/>
        </w:rPr>
        <w:t xml:space="preserve">harbored a high abundance of butyrate-producing bacteria were less likely to develop viral lower respiratory tract infections compared to those patients who lost these bacterial species. </w:t>
      </w:r>
      <w:r w:rsidR="009F49DB">
        <w:rPr>
          <w:rFonts w:cstheme="minorHAnsi"/>
          <w:color w:val="000000"/>
          <w:lang w:val="en-US"/>
        </w:rPr>
        <w:t>[</w:t>
      </w:r>
      <w:r w:rsidR="00F72996">
        <w:rPr>
          <w:rFonts w:cstheme="minorHAnsi"/>
          <w:color w:val="000000"/>
          <w:lang w:val="en-US"/>
        </w:rPr>
        <w:t>30</w:t>
      </w:r>
      <w:r w:rsidR="003E5B18" w:rsidRPr="000D4BFF">
        <w:rPr>
          <w:rFonts w:cstheme="minorHAnsi"/>
          <w:color w:val="000000"/>
          <w:lang w:val="en-US"/>
        </w:rPr>
        <w:t xml:space="preserve">] </w:t>
      </w:r>
      <w:r w:rsidR="00C834A4" w:rsidRPr="000D4BFF">
        <w:rPr>
          <w:rFonts w:cstheme="minorHAnsi"/>
          <w:color w:val="000000"/>
          <w:lang w:val="en-US"/>
        </w:rPr>
        <w:t xml:space="preserve"> </w:t>
      </w:r>
    </w:p>
    <w:p w14:paraId="7E28DB9D" w14:textId="23ACA401" w:rsidR="009F49DB" w:rsidRPr="00996730" w:rsidRDefault="004C1C27" w:rsidP="004D0BDE">
      <w:pPr>
        <w:spacing w:line="360" w:lineRule="auto"/>
        <w:jc w:val="both"/>
        <w:rPr>
          <w:rFonts w:cstheme="minorHAnsi"/>
          <w:color w:val="000000"/>
          <w:lang w:val="en-US"/>
        </w:rPr>
      </w:pPr>
      <w:r>
        <w:rPr>
          <w:rFonts w:cstheme="minorHAnsi"/>
          <w:color w:val="000000"/>
          <w:lang w:val="en-US"/>
        </w:rPr>
        <w:t xml:space="preserve">The consequences of </w:t>
      </w:r>
      <w:r w:rsidR="00EE67BD">
        <w:rPr>
          <w:rFonts w:cstheme="minorHAnsi"/>
          <w:color w:val="000000"/>
          <w:lang w:val="en-US"/>
        </w:rPr>
        <w:t>typhoid fever</w:t>
      </w:r>
      <w:r>
        <w:rPr>
          <w:rFonts w:cstheme="minorHAnsi"/>
          <w:color w:val="000000"/>
          <w:lang w:val="en-US"/>
        </w:rPr>
        <w:t xml:space="preserve"> infection on altered immunomodulation </w:t>
      </w:r>
      <w:r w:rsidR="009F49DB">
        <w:rPr>
          <w:rFonts w:cstheme="minorHAnsi"/>
          <w:color w:val="000000"/>
          <w:lang w:val="en-US"/>
        </w:rPr>
        <w:t>has also</w:t>
      </w:r>
      <w:r>
        <w:rPr>
          <w:rFonts w:cstheme="minorHAnsi"/>
          <w:color w:val="000000"/>
          <w:lang w:val="en-US"/>
        </w:rPr>
        <w:t xml:space="preserve"> been described previously</w:t>
      </w:r>
      <w:r w:rsidR="00B768C3">
        <w:rPr>
          <w:rFonts w:cstheme="minorHAnsi"/>
          <w:color w:val="000000"/>
          <w:lang w:val="en-US"/>
        </w:rPr>
        <w:t>;</w:t>
      </w:r>
      <w:r w:rsidR="00996730">
        <w:rPr>
          <w:rFonts w:cstheme="minorHAnsi"/>
          <w:color w:val="000000"/>
          <w:lang w:val="en-US"/>
        </w:rPr>
        <w:t xml:space="preserve"> </w:t>
      </w:r>
      <w:r w:rsidR="00B768C3">
        <w:rPr>
          <w:rFonts w:cstheme="minorHAnsi"/>
          <w:bCs/>
          <w:lang w:val="en-US"/>
        </w:rPr>
        <w:t>t</w:t>
      </w:r>
      <w:r w:rsidR="00996730">
        <w:rPr>
          <w:rFonts w:cstheme="minorHAnsi"/>
          <w:bCs/>
          <w:lang w:val="en-US"/>
        </w:rPr>
        <w:t>ranscriptional</w:t>
      </w:r>
      <w:r w:rsidRPr="005E6B0F">
        <w:rPr>
          <w:rFonts w:cstheme="minorHAnsi"/>
          <w:bCs/>
          <w:lang w:val="en-GB"/>
        </w:rPr>
        <w:t xml:space="preserve"> </w:t>
      </w:r>
      <w:r w:rsidR="00803AED" w:rsidRPr="005E6B0F">
        <w:rPr>
          <w:rFonts w:cstheme="minorHAnsi"/>
          <w:bCs/>
          <w:lang w:val="en-GB"/>
        </w:rPr>
        <w:t xml:space="preserve">profiling of peripheral blood to investigate the host response of 29 individuals who contracted </w:t>
      </w:r>
      <w:r w:rsidR="00EE67BD">
        <w:rPr>
          <w:rFonts w:cstheme="minorHAnsi"/>
          <w:bCs/>
          <w:lang w:val="en-GB"/>
        </w:rPr>
        <w:t>the disease</w:t>
      </w:r>
      <w:r w:rsidR="00803AED" w:rsidRPr="005E6B0F">
        <w:rPr>
          <w:rFonts w:cstheme="minorHAnsi"/>
          <w:bCs/>
          <w:lang w:val="en-GB"/>
        </w:rPr>
        <w:t xml:space="preserve"> in </w:t>
      </w:r>
      <w:r w:rsidR="00132416" w:rsidRPr="005E6B0F">
        <w:rPr>
          <w:rFonts w:cstheme="minorHAnsi"/>
          <w:bCs/>
          <w:lang w:val="en-GB"/>
        </w:rPr>
        <w:t>Vietnam showed</w:t>
      </w:r>
      <w:r w:rsidR="00803AED" w:rsidRPr="005E6B0F">
        <w:rPr>
          <w:rFonts w:cstheme="minorHAnsi"/>
          <w:bCs/>
          <w:lang w:val="en-GB"/>
        </w:rPr>
        <w:t xml:space="preserve"> that </w:t>
      </w:r>
      <w:r>
        <w:rPr>
          <w:rFonts w:cstheme="minorHAnsi"/>
          <w:bCs/>
          <w:lang w:val="en-GB"/>
        </w:rPr>
        <w:t>the infection</w:t>
      </w:r>
      <w:r w:rsidR="00803AED" w:rsidRPr="005E6B0F">
        <w:rPr>
          <w:rFonts w:cstheme="minorHAnsi"/>
          <w:bCs/>
          <w:lang w:val="en-GB"/>
        </w:rPr>
        <w:t xml:space="preserve"> induced a distinct </w:t>
      </w:r>
      <w:r w:rsidR="00132416" w:rsidRPr="005E6B0F">
        <w:rPr>
          <w:rFonts w:cstheme="minorHAnsi"/>
          <w:bCs/>
          <w:lang w:val="en-GB"/>
        </w:rPr>
        <w:t xml:space="preserve">immunosuppressive </w:t>
      </w:r>
      <w:r w:rsidR="00803AED" w:rsidRPr="005E6B0F">
        <w:rPr>
          <w:rFonts w:cstheme="minorHAnsi"/>
          <w:bCs/>
          <w:lang w:val="en-GB"/>
        </w:rPr>
        <w:t xml:space="preserve">signature in peripheral blood that </w:t>
      </w:r>
      <w:r w:rsidR="00FC2068" w:rsidRPr="005E6B0F">
        <w:rPr>
          <w:rFonts w:cstheme="minorHAnsi"/>
          <w:bCs/>
          <w:lang w:val="en-GB"/>
        </w:rPr>
        <w:t>persisted</w:t>
      </w:r>
      <w:r w:rsidR="00803AED" w:rsidRPr="005E6B0F">
        <w:rPr>
          <w:rFonts w:cstheme="minorHAnsi"/>
          <w:bCs/>
          <w:lang w:val="en-GB"/>
        </w:rPr>
        <w:t xml:space="preserve"> </w:t>
      </w:r>
      <w:r w:rsidR="00FC2068" w:rsidRPr="005E6B0F">
        <w:rPr>
          <w:rFonts w:cstheme="minorHAnsi"/>
          <w:bCs/>
          <w:lang w:val="en-GB"/>
        </w:rPr>
        <w:t xml:space="preserve">for </w:t>
      </w:r>
      <w:r w:rsidR="00803AED" w:rsidRPr="005E6B0F">
        <w:rPr>
          <w:rFonts w:cstheme="minorHAnsi"/>
          <w:bCs/>
          <w:lang w:val="en-GB"/>
        </w:rPr>
        <w:t xml:space="preserve">one </w:t>
      </w:r>
      <w:r w:rsidR="00FC2068" w:rsidRPr="005E6B0F">
        <w:rPr>
          <w:rFonts w:cstheme="minorHAnsi"/>
          <w:bCs/>
          <w:lang w:val="en-GB"/>
        </w:rPr>
        <w:t xml:space="preserve">to nine </w:t>
      </w:r>
      <w:r w:rsidR="00803AED" w:rsidRPr="005E6B0F">
        <w:rPr>
          <w:rFonts w:cstheme="minorHAnsi"/>
          <w:bCs/>
          <w:lang w:val="en-GB"/>
        </w:rPr>
        <w:t>month</w:t>
      </w:r>
      <w:r w:rsidR="00FC2068" w:rsidRPr="005E6B0F">
        <w:rPr>
          <w:rFonts w:cstheme="minorHAnsi"/>
          <w:bCs/>
          <w:lang w:val="en-GB"/>
        </w:rPr>
        <w:t>s</w:t>
      </w:r>
      <w:r w:rsidR="00803AED" w:rsidRPr="005E6B0F">
        <w:rPr>
          <w:rFonts w:cstheme="minorHAnsi"/>
          <w:bCs/>
          <w:lang w:val="en-GB"/>
        </w:rPr>
        <w:t xml:space="preserve"> after acute infection. </w:t>
      </w:r>
      <w:r w:rsidR="009F49DB">
        <w:rPr>
          <w:rFonts w:cstheme="minorHAnsi"/>
          <w:bCs/>
          <w:lang w:val="en-GB"/>
        </w:rPr>
        <w:t>[</w:t>
      </w:r>
      <w:r w:rsidR="00F72996">
        <w:rPr>
          <w:rFonts w:cstheme="minorHAnsi"/>
          <w:bCs/>
          <w:lang w:val="en-GB"/>
        </w:rPr>
        <w:t>39</w:t>
      </w:r>
      <w:r w:rsidR="0072506D" w:rsidRPr="005E6B0F">
        <w:rPr>
          <w:rFonts w:cstheme="minorHAnsi"/>
          <w:bCs/>
          <w:lang w:val="en-GB"/>
        </w:rPr>
        <w:t xml:space="preserve">] </w:t>
      </w:r>
      <w:r w:rsidR="00132416" w:rsidRPr="005E6B0F">
        <w:rPr>
          <w:rFonts w:cstheme="minorHAnsi"/>
          <w:bCs/>
          <w:lang w:val="en-GB"/>
        </w:rPr>
        <w:t xml:space="preserve">Patients that retained this immunosuppressive signature were thought to </w:t>
      </w:r>
      <w:r w:rsidR="00803AED" w:rsidRPr="005E6B0F">
        <w:rPr>
          <w:rFonts w:cstheme="minorHAnsi"/>
          <w:bCs/>
          <w:lang w:val="en-GB"/>
        </w:rPr>
        <w:t>be more susceptible to re</w:t>
      </w:r>
      <w:r w:rsidR="009F49DB">
        <w:rPr>
          <w:rFonts w:cstheme="minorHAnsi"/>
          <w:bCs/>
          <w:lang w:val="en-GB"/>
        </w:rPr>
        <w:t>infection or</w:t>
      </w:r>
      <w:r w:rsidR="00803AED" w:rsidRPr="005E6B0F">
        <w:rPr>
          <w:rFonts w:cstheme="minorHAnsi"/>
          <w:bCs/>
          <w:lang w:val="en-GB"/>
        </w:rPr>
        <w:t xml:space="preserve"> relapse</w:t>
      </w:r>
      <w:r w:rsidR="00FD2512">
        <w:rPr>
          <w:rFonts w:cstheme="minorHAnsi"/>
          <w:bCs/>
          <w:lang w:val="en-GB"/>
        </w:rPr>
        <w:t xml:space="preserve"> [</w:t>
      </w:r>
      <w:r w:rsidR="00F72996">
        <w:rPr>
          <w:rFonts w:cstheme="minorHAnsi"/>
          <w:bCs/>
          <w:lang w:val="en-GB"/>
        </w:rPr>
        <w:t>40, 41</w:t>
      </w:r>
      <w:r w:rsidR="00FD2512" w:rsidRPr="005E6B0F">
        <w:rPr>
          <w:rFonts w:cstheme="minorHAnsi"/>
          <w:bCs/>
          <w:lang w:val="en-GB"/>
        </w:rPr>
        <w:t>]</w:t>
      </w:r>
      <w:r w:rsidR="00803AED" w:rsidRPr="005E6B0F">
        <w:rPr>
          <w:rFonts w:cstheme="minorHAnsi"/>
          <w:bCs/>
          <w:lang w:val="en-GB"/>
        </w:rPr>
        <w:t>,</w:t>
      </w:r>
      <w:r w:rsidR="00FD2512">
        <w:rPr>
          <w:rFonts w:cstheme="minorHAnsi"/>
          <w:bCs/>
          <w:lang w:val="en-GB"/>
        </w:rPr>
        <w:t xml:space="preserve"> </w:t>
      </w:r>
      <w:r w:rsidR="007B737A">
        <w:rPr>
          <w:rFonts w:cstheme="minorHAnsi"/>
          <w:bCs/>
          <w:lang w:val="en-GB"/>
        </w:rPr>
        <w:t xml:space="preserve">and one could hypothesize </w:t>
      </w:r>
      <w:r w:rsidR="00FD2512">
        <w:rPr>
          <w:rFonts w:cstheme="minorHAnsi"/>
          <w:bCs/>
          <w:lang w:val="en-GB"/>
        </w:rPr>
        <w:t xml:space="preserve">that </w:t>
      </w:r>
      <w:r w:rsidR="007B737A">
        <w:rPr>
          <w:rFonts w:cstheme="minorHAnsi"/>
          <w:bCs/>
          <w:lang w:val="en-GB"/>
        </w:rPr>
        <w:t>TF-induced dysbiosis could potentially play a role in</w:t>
      </w:r>
      <w:r w:rsidR="00FD2512">
        <w:rPr>
          <w:rFonts w:cstheme="minorHAnsi"/>
          <w:bCs/>
          <w:lang w:val="en-GB"/>
        </w:rPr>
        <w:t xml:space="preserve"> this phenomenon</w:t>
      </w:r>
      <w:r w:rsidR="008877BD">
        <w:rPr>
          <w:rFonts w:cstheme="minorHAnsi"/>
          <w:bCs/>
          <w:lang w:val="en-GB"/>
        </w:rPr>
        <w:t>.</w:t>
      </w:r>
      <w:r w:rsidR="00803AED" w:rsidRPr="005E6B0F">
        <w:rPr>
          <w:rFonts w:cstheme="minorHAnsi"/>
          <w:bCs/>
          <w:lang w:val="en-GB"/>
        </w:rPr>
        <w:t xml:space="preserve"> </w:t>
      </w:r>
    </w:p>
    <w:p w14:paraId="1E313CBE" w14:textId="1EE270F0" w:rsidR="00B44EB7" w:rsidRPr="009F49DB" w:rsidRDefault="00132416" w:rsidP="004D0BDE">
      <w:pPr>
        <w:spacing w:line="360" w:lineRule="auto"/>
        <w:jc w:val="both"/>
        <w:rPr>
          <w:rFonts w:cstheme="minorHAnsi"/>
          <w:bCs/>
          <w:lang w:val="en-GB"/>
        </w:rPr>
      </w:pPr>
      <w:r w:rsidRPr="005E6B0F">
        <w:rPr>
          <w:rFonts w:cstheme="minorHAnsi"/>
          <w:bCs/>
          <w:lang w:val="en-GB"/>
        </w:rPr>
        <w:t xml:space="preserve">Given the </w:t>
      </w:r>
      <w:r w:rsidR="005667F6" w:rsidRPr="005E6B0F">
        <w:rPr>
          <w:rFonts w:cstheme="minorHAnsi"/>
          <w:bCs/>
          <w:lang w:val="en-GB"/>
        </w:rPr>
        <w:t>aforementioned</w:t>
      </w:r>
      <w:r w:rsidRPr="005E6B0F">
        <w:rPr>
          <w:rFonts w:cstheme="minorHAnsi"/>
          <w:bCs/>
          <w:lang w:val="en-GB"/>
        </w:rPr>
        <w:t xml:space="preserve"> evidence of the role of the microbiota in systemic priming of immune responses and the extensive amount of </w:t>
      </w:r>
      <w:r w:rsidR="00EE67BD">
        <w:rPr>
          <w:rFonts w:cstheme="minorHAnsi"/>
          <w:bCs/>
          <w:lang w:val="en-GB"/>
        </w:rPr>
        <w:t>disruption of the microbiota</w:t>
      </w:r>
      <w:r w:rsidRPr="005E6B0F">
        <w:rPr>
          <w:rFonts w:cstheme="minorHAnsi"/>
          <w:bCs/>
          <w:lang w:val="en-GB"/>
        </w:rPr>
        <w:t xml:space="preserve"> observed in our cohort, it is </w:t>
      </w:r>
      <w:r w:rsidR="0072506D" w:rsidRPr="005E6B0F">
        <w:rPr>
          <w:rFonts w:cstheme="minorHAnsi"/>
          <w:bCs/>
          <w:lang w:val="en-GB"/>
        </w:rPr>
        <w:t>vital</w:t>
      </w:r>
      <w:r w:rsidRPr="005E6B0F">
        <w:rPr>
          <w:rFonts w:cstheme="minorHAnsi"/>
          <w:bCs/>
          <w:lang w:val="en-GB"/>
        </w:rPr>
        <w:t xml:space="preserve"> to investigate </w:t>
      </w:r>
      <w:r w:rsidR="0072506D" w:rsidRPr="000D4BFF">
        <w:rPr>
          <w:rFonts w:cstheme="minorHAnsi"/>
          <w:color w:val="000000"/>
          <w:lang w:val="en-US"/>
        </w:rPr>
        <w:t>new treatment strategies that preserve these micro-organisms during infection.  For example,</w:t>
      </w:r>
      <w:r w:rsidR="008407FD" w:rsidRPr="000D4BFF">
        <w:rPr>
          <w:rFonts w:cstheme="minorHAnsi"/>
          <w:color w:val="000000"/>
          <w:lang w:val="en-US"/>
        </w:rPr>
        <w:t xml:space="preserve"> </w:t>
      </w:r>
      <w:r w:rsidR="008B0E1B">
        <w:rPr>
          <w:rFonts w:cstheme="minorHAnsi"/>
          <w:color w:val="000000"/>
          <w:lang w:val="en-US"/>
        </w:rPr>
        <w:t xml:space="preserve">overuse of </w:t>
      </w:r>
      <w:r w:rsidR="008407FD" w:rsidRPr="000D4BFF">
        <w:rPr>
          <w:rFonts w:cstheme="minorHAnsi"/>
          <w:color w:val="000000"/>
          <w:lang w:val="en-US"/>
        </w:rPr>
        <w:t>antibiotics</w:t>
      </w:r>
      <w:r w:rsidR="003B220D" w:rsidRPr="003B220D">
        <w:rPr>
          <w:lang w:val="en-US"/>
        </w:rPr>
        <w:t xml:space="preserve"> </w:t>
      </w:r>
      <w:r w:rsidR="003B220D">
        <w:rPr>
          <w:rFonts w:cstheme="minorHAnsi"/>
          <w:color w:val="000000"/>
          <w:lang w:val="en-US"/>
        </w:rPr>
        <w:t>and</w:t>
      </w:r>
      <w:r w:rsidR="003B220D" w:rsidRPr="003B220D">
        <w:rPr>
          <w:rFonts w:cstheme="minorHAnsi"/>
          <w:color w:val="000000"/>
          <w:lang w:val="en-US"/>
        </w:rPr>
        <w:t xml:space="preserve"> </w:t>
      </w:r>
      <w:r w:rsidR="004C1C27">
        <w:rPr>
          <w:rFonts w:cstheme="minorHAnsi"/>
          <w:color w:val="000000"/>
          <w:lang w:val="en-US"/>
        </w:rPr>
        <w:t xml:space="preserve">its associated </w:t>
      </w:r>
      <w:r w:rsidR="003B220D" w:rsidRPr="003B220D">
        <w:rPr>
          <w:rFonts w:cstheme="minorHAnsi"/>
          <w:color w:val="000000"/>
          <w:lang w:val="en-US"/>
        </w:rPr>
        <w:t>transient alteration of the m</w:t>
      </w:r>
      <w:r w:rsidR="004C1C27">
        <w:rPr>
          <w:rFonts w:cstheme="minorHAnsi"/>
          <w:color w:val="000000"/>
          <w:lang w:val="en-US"/>
        </w:rPr>
        <w:t>icrobiota has implications for outcome</w:t>
      </w:r>
      <w:r w:rsidR="009F49DB">
        <w:rPr>
          <w:rFonts w:cstheme="minorHAnsi"/>
          <w:color w:val="000000"/>
          <w:lang w:val="en-US"/>
        </w:rPr>
        <w:t>, which has been supported by</w:t>
      </w:r>
      <w:r w:rsidR="004C1C27">
        <w:rPr>
          <w:rFonts w:cstheme="minorHAnsi"/>
          <w:bCs/>
          <w:lang w:val="en-GB"/>
        </w:rPr>
        <w:t xml:space="preserve"> a recent systematic review that found </w:t>
      </w:r>
      <w:r w:rsidR="004C1C27" w:rsidRPr="00D93327">
        <w:rPr>
          <w:rFonts w:cstheme="minorHAnsi"/>
          <w:bCs/>
          <w:lang w:val="en-GB"/>
        </w:rPr>
        <w:t>a statistically significant association between antibiotic exposure and subsequent risk of community-acquired infection</w:t>
      </w:r>
      <w:r w:rsidR="004C1C27">
        <w:rPr>
          <w:rFonts w:cstheme="minorHAnsi"/>
          <w:bCs/>
          <w:lang w:val="en-GB"/>
        </w:rPr>
        <w:t>s. [</w:t>
      </w:r>
      <w:r w:rsidR="00681086">
        <w:rPr>
          <w:rFonts w:cstheme="minorHAnsi"/>
          <w:bCs/>
          <w:lang w:val="en-GB"/>
        </w:rPr>
        <w:t>4</w:t>
      </w:r>
      <w:r w:rsidR="00F72996">
        <w:rPr>
          <w:rFonts w:cstheme="minorHAnsi"/>
          <w:bCs/>
          <w:lang w:val="en-GB"/>
        </w:rPr>
        <w:t>2</w:t>
      </w:r>
      <w:r w:rsidR="004C1C27">
        <w:rPr>
          <w:rFonts w:cstheme="minorHAnsi"/>
          <w:bCs/>
          <w:lang w:val="en-GB"/>
        </w:rPr>
        <w:t xml:space="preserve">] </w:t>
      </w:r>
      <w:r w:rsidR="00C834A4" w:rsidRPr="000D4BFF">
        <w:rPr>
          <w:rFonts w:cstheme="minorHAnsi"/>
          <w:bCs/>
          <w:lang w:val="en-GB"/>
        </w:rPr>
        <w:t xml:space="preserve"> </w:t>
      </w:r>
      <w:r w:rsidR="00B44EB7" w:rsidRPr="000D4BFF">
        <w:rPr>
          <w:rFonts w:cstheme="minorHAnsi"/>
          <w:color w:val="000000"/>
          <w:lang w:val="en-US"/>
        </w:rPr>
        <w:t xml:space="preserve">In addition, our study highlights a new opportunity for </w:t>
      </w:r>
      <w:r w:rsidR="0072506D" w:rsidRPr="000D4BFF">
        <w:rPr>
          <w:rFonts w:cstheme="minorHAnsi"/>
          <w:color w:val="000000"/>
          <w:lang w:val="en-US"/>
        </w:rPr>
        <w:t xml:space="preserve">the </w:t>
      </w:r>
      <w:r w:rsidR="00B44EB7" w:rsidRPr="000D4BFF">
        <w:rPr>
          <w:rFonts w:cstheme="minorHAnsi"/>
          <w:color w:val="000000"/>
          <w:lang w:val="en-US"/>
        </w:rPr>
        <w:t>development of next-generation pre- or probiotic</w:t>
      </w:r>
      <w:r w:rsidR="00DA00C0" w:rsidRPr="000D4BFF">
        <w:rPr>
          <w:rFonts w:cstheme="minorHAnsi"/>
          <w:color w:val="000000"/>
          <w:lang w:val="en-US"/>
        </w:rPr>
        <w:t>s</w:t>
      </w:r>
      <w:r w:rsidR="00B44EB7" w:rsidRPr="000D4BFF">
        <w:rPr>
          <w:rFonts w:cstheme="minorHAnsi"/>
          <w:color w:val="000000"/>
          <w:lang w:val="en-US"/>
        </w:rPr>
        <w:t xml:space="preserve"> t</w:t>
      </w:r>
      <w:r w:rsidR="00DA00C0" w:rsidRPr="000D4BFF">
        <w:rPr>
          <w:rFonts w:cstheme="minorHAnsi"/>
          <w:color w:val="000000"/>
          <w:lang w:val="en-US"/>
        </w:rPr>
        <w:t>o</w:t>
      </w:r>
      <w:r w:rsidR="00B44EB7" w:rsidRPr="000D4BFF">
        <w:rPr>
          <w:rFonts w:cstheme="minorHAnsi"/>
          <w:color w:val="000000"/>
          <w:lang w:val="en-US"/>
        </w:rPr>
        <w:t xml:space="preserve"> enhance the abundance of obligate anaerobic bacteria as a potential adjuvant therapy during or following the treatment of TF and other infectious diseases.</w:t>
      </w:r>
    </w:p>
    <w:p w14:paraId="0240E7E2" w14:textId="0E055862" w:rsidR="00A12BCF" w:rsidRDefault="00EE67BD" w:rsidP="00B54148">
      <w:pPr>
        <w:spacing w:line="360" w:lineRule="auto"/>
        <w:jc w:val="both"/>
        <w:rPr>
          <w:rFonts w:cstheme="minorHAnsi"/>
          <w:bCs/>
          <w:lang w:val="en-GB"/>
        </w:rPr>
      </w:pPr>
      <w:r>
        <w:rPr>
          <w:rFonts w:cstheme="minorHAnsi"/>
          <w:bCs/>
          <w:lang w:val="en-GB"/>
        </w:rPr>
        <w:t>Other</w:t>
      </w:r>
      <w:r w:rsidR="00C834A4" w:rsidRPr="000D4BFF">
        <w:rPr>
          <w:rFonts w:cstheme="minorHAnsi"/>
          <w:bCs/>
          <w:lang w:val="en-GB"/>
        </w:rPr>
        <w:t xml:space="preserve"> limitation</w:t>
      </w:r>
      <w:r>
        <w:rPr>
          <w:rFonts w:cstheme="minorHAnsi"/>
          <w:bCs/>
          <w:lang w:val="en-GB"/>
        </w:rPr>
        <w:t>s</w:t>
      </w:r>
      <w:r w:rsidR="00C834A4" w:rsidRPr="000D4BFF">
        <w:rPr>
          <w:rFonts w:cstheme="minorHAnsi"/>
          <w:bCs/>
          <w:lang w:val="en-GB"/>
        </w:rPr>
        <w:t xml:space="preserve"> of this study </w:t>
      </w:r>
      <w:r>
        <w:rPr>
          <w:rFonts w:cstheme="minorHAnsi"/>
          <w:bCs/>
          <w:lang w:val="en-GB"/>
        </w:rPr>
        <w:t>include</w:t>
      </w:r>
      <w:r w:rsidR="00C834A4" w:rsidRPr="000D4BFF">
        <w:rPr>
          <w:rFonts w:cstheme="minorHAnsi"/>
          <w:bCs/>
          <w:lang w:val="en-GB"/>
        </w:rPr>
        <w:t xml:space="preserve"> the cross-sectional </w:t>
      </w:r>
      <w:r w:rsidR="008407FD" w:rsidRPr="000D4BFF">
        <w:rPr>
          <w:rFonts w:cstheme="minorHAnsi"/>
          <w:bCs/>
          <w:lang w:val="en-GB"/>
        </w:rPr>
        <w:t>setup</w:t>
      </w:r>
      <w:r w:rsidR="00B44EB7" w:rsidRPr="000D4BFF">
        <w:rPr>
          <w:rFonts w:cstheme="minorHAnsi"/>
          <w:bCs/>
          <w:lang w:val="en-GB"/>
        </w:rPr>
        <w:t>, which</w:t>
      </w:r>
      <w:r w:rsidR="008407FD" w:rsidRPr="000D4BFF">
        <w:rPr>
          <w:rFonts w:cstheme="minorHAnsi"/>
          <w:bCs/>
          <w:lang w:val="en-GB"/>
        </w:rPr>
        <w:t xml:space="preserve"> </w:t>
      </w:r>
      <w:r w:rsidR="00681086">
        <w:rPr>
          <w:rFonts w:cstheme="minorHAnsi"/>
          <w:bCs/>
          <w:lang w:val="en-GB"/>
        </w:rPr>
        <w:t>limited our ability</w:t>
      </w:r>
      <w:r w:rsidR="00DA00C0" w:rsidRPr="000D4BFF">
        <w:rPr>
          <w:rFonts w:cstheme="minorHAnsi"/>
          <w:bCs/>
          <w:lang w:val="en-GB"/>
        </w:rPr>
        <w:t xml:space="preserve"> </w:t>
      </w:r>
      <w:r w:rsidR="008407FD" w:rsidRPr="000D4BFF">
        <w:rPr>
          <w:rFonts w:cstheme="minorHAnsi"/>
          <w:bCs/>
          <w:lang w:val="en-GB"/>
        </w:rPr>
        <w:t>to pro</w:t>
      </w:r>
      <w:r w:rsidR="00C834A4" w:rsidRPr="000D4BFF">
        <w:rPr>
          <w:rFonts w:cstheme="minorHAnsi"/>
          <w:bCs/>
          <w:lang w:val="en-GB"/>
        </w:rPr>
        <w:t>v</w:t>
      </w:r>
      <w:r w:rsidR="008407FD" w:rsidRPr="000D4BFF">
        <w:rPr>
          <w:rFonts w:cstheme="minorHAnsi"/>
          <w:bCs/>
          <w:lang w:val="en-GB"/>
        </w:rPr>
        <w:t xml:space="preserve">ide clear insights on </w:t>
      </w:r>
      <w:r w:rsidR="00B44EB7" w:rsidRPr="000D4BFF">
        <w:rPr>
          <w:rFonts w:cstheme="minorHAnsi"/>
          <w:bCs/>
          <w:lang w:val="en-GB"/>
        </w:rPr>
        <w:t>both the causes and long-term</w:t>
      </w:r>
      <w:r w:rsidR="008407FD" w:rsidRPr="000D4BFF">
        <w:rPr>
          <w:rFonts w:cstheme="minorHAnsi"/>
          <w:bCs/>
          <w:lang w:val="en-GB"/>
        </w:rPr>
        <w:t xml:space="preserve"> consequences of </w:t>
      </w:r>
      <w:r w:rsidR="00DA00C0" w:rsidRPr="000D4BFF">
        <w:rPr>
          <w:rFonts w:cstheme="minorHAnsi"/>
          <w:bCs/>
          <w:lang w:val="en-GB"/>
        </w:rPr>
        <w:t xml:space="preserve">TF-related </w:t>
      </w:r>
      <w:r w:rsidR="008407FD" w:rsidRPr="000D4BFF">
        <w:rPr>
          <w:rFonts w:cstheme="minorHAnsi"/>
          <w:bCs/>
          <w:lang w:val="en-GB"/>
        </w:rPr>
        <w:t>dysbiosis</w:t>
      </w:r>
      <w:r w:rsidR="00B44EB7" w:rsidRPr="000D4BFF">
        <w:rPr>
          <w:rFonts w:cstheme="minorHAnsi"/>
          <w:bCs/>
          <w:lang w:val="en-GB"/>
        </w:rPr>
        <w:t xml:space="preserve">. </w:t>
      </w:r>
      <w:r w:rsidR="00043FB6" w:rsidRPr="000D4BFF">
        <w:rPr>
          <w:rFonts w:cstheme="minorHAnsi"/>
          <w:color w:val="000000"/>
          <w:lang w:val="en-US"/>
        </w:rPr>
        <w:t xml:space="preserve">In addition, this single-center </w:t>
      </w:r>
      <w:r w:rsidR="00BC1008">
        <w:rPr>
          <w:rFonts w:cstheme="minorHAnsi"/>
          <w:color w:val="000000"/>
          <w:lang w:val="en-US"/>
        </w:rPr>
        <w:t>setup</w:t>
      </w:r>
      <w:r w:rsidR="00043FB6" w:rsidRPr="000D4BFF">
        <w:rPr>
          <w:rFonts w:cstheme="minorHAnsi"/>
          <w:color w:val="000000"/>
          <w:lang w:val="en-US"/>
        </w:rPr>
        <w:t xml:space="preserve"> </w:t>
      </w:r>
      <w:r w:rsidR="00BC1008">
        <w:rPr>
          <w:rFonts w:cstheme="minorHAnsi"/>
          <w:color w:val="000000"/>
          <w:lang w:val="en-US"/>
        </w:rPr>
        <w:t xml:space="preserve">of this cohort </w:t>
      </w:r>
      <w:r w:rsidR="00043FB6" w:rsidRPr="000D4BFF">
        <w:rPr>
          <w:rFonts w:cstheme="minorHAnsi"/>
          <w:color w:val="000000"/>
          <w:lang w:val="en-US"/>
        </w:rPr>
        <w:t xml:space="preserve">might not be fully comparable to other study settings, where exposure </w:t>
      </w:r>
      <w:r w:rsidR="00043FB6" w:rsidRPr="00D00413">
        <w:rPr>
          <w:rFonts w:cstheme="minorHAnsi"/>
          <w:color w:val="000000"/>
          <w:lang w:val="en-US"/>
        </w:rPr>
        <w:t xml:space="preserve">to microbial pathogens, antimicrobial treatment and sanitation </w:t>
      </w:r>
      <w:r w:rsidR="002B2E19">
        <w:rPr>
          <w:rFonts w:cstheme="minorHAnsi"/>
          <w:color w:val="000000"/>
          <w:lang w:val="en-US"/>
        </w:rPr>
        <w:t xml:space="preserve">measures </w:t>
      </w:r>
      <w:r w:rsidR="00043FB6" w:rsidRPr="00D00413">
        <w:rPr>
          <w:rFonts w:cstheme="minorHAnsi"/>
          <w:color w:val="000000"/>
          <w:lang w:val="en-US"/>
        </w:rPr>
        <w:t>differ.</w:t>
      </w:r>
      <w:r w:rsidR="00043FB6" w:rsidRPr="00F54C04">
        <w:rPr>
          <w:rFonts w:cstheme="minorHAnsi"/>
          <w:lang w:val="en-US"/>
        </w:rPr>
        <w:t xml:space="preserve"> </w:t>
      </w:r>
      <w:r w:rsidR="00043FB6" w:rsidRPr="00D00413">
        <w:rPr>
          <w:rFonts w:cstheme="minorHAnsi"/>
          <w:bCs/>
          <w:lang w:val="en-GB"/>
        </w:rPr>
        <w:t>The</w:t>
      </w:r>
      <w:r w:rsidR="00663FD7" w:rsidRPr="00D00413">
        <w:rPr>
          <w:rFonts w:cstheme="minorHAnsi"/>
          <w:bCs/>
          <w:lang w:val="en-GB"/>
        </w:rPr>
        <w:t>refore, the</w:t>
      </w:r>
      <w:r w:rsidR="00043FB6" w:rsidRPr="00D00413">
        <w:rPr>
          <w:rFonts w:cstheme="minorHAnsi"/>
          <w:bCs/>
          <w:lang w:val="en-GB"/>
        </w:rPr>
        <w:t xml:space="preserve"> s</w:t>
      </w:r>
      <w:r w:rsidR="00B44EB7" w:rsidRPr="00D00413">
        <w:rPr>
          <w:rFonts w:cstheme="minorHAnsi"/>
          <w:bCs/>
          <w:lang w:val="en-GB"/>
        </w:rPr>
        <w:t xml:space="preserve">etup </w:t>
      </w:r>
      <w:r w:rsidR="00043FB6" w:rsidRPr="00D00413">
        <w:rPr>
          <w:rFonts w:cstheme="minorHAnsi"/>
          <w:bCs/>
          <w:lang w:val="en-GB"/>
        </w:rPr>
        <w:t xml:space="preserve">of </w:t>
      </w:r>
      <w:r w:rsidR="00663FD7" w:rsidRPr="00D00413">
        <w:rPr>
          <w:rFonts w:cstheme="minorHAnsi"/>
          <w:bCs/>
          <w:lang w:val="en-GB"/>
        </w:rPr>
        <w:t xml:space="preserve">both large </w:t>
      </w:r>
      <w:r w:rsidR="00B44EB7" w:rsidRPr="00D00413">
        <w:rPr>
          <w:rFonts w:cstheme="minorHAnsi"/>
          <w:bCs/>
          <w:lang w:val="en-GB"/>
        </w:rPr>
        <w:t xml:space="preserve">longitudinal </w:t>
      </w:r>
      <w:r w:rsidR="00043FB6" w:rsidRPr="00D00413">
        <w:rPr>
          <w:rFonts w:cstheme="minorHAnsi"/>
          <w:bCs/>
          <w:lang w:val="en-GB"/>
        </w:rPr>
        <w:t xml:space="preserve">cohort </w:t>
      </w:r>
      <w:r w:rsidR="00B44EB7" w:rsidRPr="00D00413">
        <w:rPr>
          <w:rFonts w:cstheme="minorHAnsi"/>
          <w:bCs/>
          <w:lang w:val="en-GB"/>
        </w:rPr>
        <w:t>studies</w:t>
      </w:r>
      <w:r w:rsidR="00043FB6" w:rsidRPr="00D00413">
        <w:rPr>
          <w:rFonts w:cstheme="minorHAnsi"/>
          <w:bCs/>
          <w:lang w:val="en-GB"/>
        </w:rPr>
        <w:t xml:space="preserve"> as well as </w:t>
      </w:r>
      <w:r w:rsidR="00FE573A">
        <w:rPr>
          <w:rFonts w:cstheme="minorHAnsi"/>
          <w:bCs/>
          <w:lang w:val="en-GB"/>
        </w:rPr>
        <w:t>additional</w:t>
      </w:r>
      <w:r w:rsidR="00FE573A" w:rsidRPr="00D00413">
        <w:rPr>
          <w:rFonts w:cstheme="minorHAnsi"/>
          <w:bCs/>
          <w:lang w:val="en-GB"/>
        </w:rPr>
        <w:t xml:space="preserve"> </w:t>
      </w:r>
      <w:r w:rsidR="00043FB6" w:rsidRPr="00D00413">
        <w:rPr>
          <w:rFonts w:cstheme="minorHAnsi"/>
          <w:bCs/>
          <w:lang w:val="en-GB"/>
        </w:rPr>
        <w:t xml:space="preserve">human controlled </w:t>
      </w:r>
      <w:r w:rsidR="00663FD7" w:rsidRPr="00787F53">
        <w:rPr>
          <w:rFonts w:cstheme="minorHAnsi"/>
          <w:bCs/>
          <w:i/>
          <w:lang w:val="en-GB"/>
        </w:rPr>
        <w:t>S.</w:t>
      </w:r>
      <w:r w:rsidR="00663FD7" w:rsidRPr="00D00413">
        <w:rPr>
          <w:rFonts w:cstheme="minorHAnsi"/>
          <w:bCs/>
          <w:lang w:val="en-GB"/>
        </w:rPr>
        <w:t xml:space="preserve"> Typhi challenge models are warranted</w:t>
      </w:r>
      <w:r w:rsidR="00B44EB7" w:rsidRPr="00D00413">
        <w:rPr>
          <w:rFonts w:cstheme="minorHAnsi"/>
          <w:bCs/>
          <w:lang w:val="en-GB"/>
        </w:rPr>
        <w:t xml:space="preserve"> to</w:t>
      </w:r>
      <w:r w:rsidR="00663FD7" w:rsidRPr="00D00413">
        <w:rPr>
          <w:rFonts w:cstheme="minorHAnsi"/>
          <w:bCs/>
          <w:lang w:val="en-GB"/>
        </w:rPr>
        <w:t xml:space="preserve"> </w:t>
      </w:r>
      <w:r w:rsidR="001F7E29" w:rsidRPr="00D00413">
        <w:rPr>
          <w:rFonts w:cstheme="minorHAnsi"/>
          <w:bCs/>
          <w:lang w:val="en-GB"/>
        </w:rPr>
        <w:t>further</w:t>
      </w:r>
      <w:r w:rsidR="00DA00C0" w:rsidRPr="00D00413">
        <w:rPr>
          <w:rFonts w:cstheme="minorHAnsi"/>
          <w:bCs/>
          <w:lang w:val="en-GB"/>
        </w:rPr>
        <w:t xml:space="preserve"> uncover</w:t>
      </w:r>
      <w:r w:rsidR="00B44EB7" w:rsidRPr="00D00413">
        <w:rPr>
          <w:rFonts w:cstheme="minorHAnsi"/>
          <w:bCs/>
          <w:lang w:val="en-GB"/>
        </w:rPr>
        <w:t xml:space="preserve"> the intricate </w:t>
      </w:r>
      <w:r w:rsidR="000D040B" w:rsidRPr="00D00413">
        <w:rPr>
          <w:rFonts w:cstheme="minorHAnsi"/>
          <w:bCs/>
          <w:lang w:val="en-GB"/>
        </w:rPr>
        <w:t>crosstalk</w:t>
      </w:r>
      <w:r w:rsidR="00B44EB7" w:rsidRPr="00D00413">
        <w:rPr>
          <w:rFonts w:cstheme="minorHAnsi"/>
          <w:bCs/>
          <w:lang w:val="en-GB"/>
        </w:rPr>
        <w:t xml:space="preserve"> between </w:t>
      </w:r>
      <w:r w:rsidR="00B44EB7" w:rsidRPr="00787F53">
        <w:rPr>
          <w:rFonts w:cstheme="minorHAnsi"/>
          <w:bCs/>
          <w:i/>
          <w:lang w:val="en-GB"/>
        </w:rPr>
        <w:t>S.</w:t>
      </w:r>
      <w:r w:rsidR="00B44EB7" w:rsidRPr="00D00413">
        <w:rPr>
          <w:rFonts w:cstheme="minorHAnsi"/>
          <w:bCs/>
          <w:lang w:val="en-GB"/>
        </w:rPr>
        <w:t xml:space="preserve"> Typhi</w:t>
      </w:r>
      <w:r w:rsidR="00663FD7" w:rsidRPr="00D00413">
        <w:rPr>
          <w:rFonts w:cstheme="minorHAnsi"/>
          <w:bCs/>
          <w:lang w:val="en-GB"/>
        </w:rPr>
        <w:t>, the intestinal microbiota</w:t>
      </w:r>
      <w:r w:rsidR="00B44EB7" w:rsidRPr="00D00413">
        <w:rPr>
          <w:rFonts w:cstheme="minorHAnsi"/>
          <w:bCs/>
          <w:lang w:val="en-GB"/>
        </w:rPr>
        <w:t xml:space="preserve"> </w:t>
      </w:r>
      <w:r w:rsidR="00B44EB7" w:rsidRPr="005E6B0F">
        <w:rPr>
          <w:rFonts w:cstheme="minorHAnsi"/>
          <w:bCs/>
          <w:lang w:val="en-GB"/>
        </w:rPr>
        <w:t xml:space="preserve">and </w:t>
      </w:r>
      <w:r w:rsidR="007B082B">
        <w:rPr>
          <w:rFonts w:cstheme="minorHAnsi"/>
          <w:bCs/>
          <w:lang w:val="en-GB"/>
        </w:rPr>
        <w:t>its</w:t>
      </w:r>
      <w:r w:rsidR="00B44EB7" w:rsidRPr="005E6B0F">
        <w:rPr>
          <w:rFonts w:cstheme="minorHAnsi"/>
          <w:bCs/>
          <w:lang w:val="en-GB"/>
        </w:rPr>
        <w:t xml:space="preserve"> host. </w:t>
      </w:r>
      <w:r w:rsidR="00A12BCF">
        <w:rPr>
          <w:rFonts w:cstheme="minorHAnsi"/>
          <w:bCs/>
          <w:lang w:val="en-GB"/>
        </w:rPr>
        <w:br w:type="page"/>
      </w:r>
    </w:p>
    <w:p w14:paraId="7B0A00A1" w14:textId="77777777" w:rsidR="00A12BCF" w:rsidRPr="00A12BCF" w:rsidRDefault="00A12BCF" w:rsidP="00A12BCF">
      <w:pPr>
        <w:spacing w:line="360" w:lineRule="auto"/>
        <w:jc w:val="both"/>
        <w:rPr>
          <w:rFonts w:cstheme="minorHAnsi"/>
          <w:b/>
          <w:lang w:val="en-US"/>
        </w:rPr>
      </w:pPr>
      <w:r w:rsidRPr="00A12BCF">
        <w:rPr>
          <w:rFonts w:cstheme="minorHAnsi"/>
          <w:b/>
          <w:lang w:val="en-US"/>
        </w:rPr>
        <w:lastRenderedPageBreak/>
        <w:t>Acknowledgments</w:t>
      </w:r>
    </w:p>
    <w:p w14:paraId="575EFBA8" w14:textId="5EF3C732" w:rsidR="00A12BCF" w:rsidRDefault="002B2E19" w:rsidP="00A12BCF">
      <w:pPr>
        <w:autoSpaceDE w:val="0"/>
        <w:autoSpaceDN w:val="0"/>
        <w:adjustRightInd w:val="0"/>
        <w:spacing w:after="0" w:line="360" w:lineRule="auto"/>
        <w:jc w:val="both"/>
        <w:rPr>
          <w:rFonts w:cstheme="minorHAnsi"/>
          <w:lang w:val="en-US"/>
        </w:rPr>
      </w:pPr>
      <w:r w:rsidRPr="002B2E19">
        <w:rPr>
          <w:rFonts w:cstheme="minorHAnsi"/>
          <w:lang w:val="en-US"/>
        </w:rPr>
        <w:t xml:space="preserve">We </w:t>
      </w:r>
      <w:r>
        <w:rPr>
          <w:rFonts w:cstheme="minorHAnsi"/>
          <w:lang w:val="en-US"/>
        </w:rPr>
        <w:t>thank</w:t>
      </w:r>
      <w:r w:rsidRPr="002B2E19">
        <w:rPr>
          <w:rFonts w:cstheme="minorHAnsi"/>
          <w:lang w:val="en-US"/>
        </w:rPr>
        <w:t xml:space="preserve"> all patients and their families who participated in the study</w:t>
      </w:r>
      <w:r>
        <w:rPr>
          <w:rFonts w:cstheme="minorHAnsi"/>
          <w:lang w:val="en-US"/>
        </w:rPr>
        <w:t>, and w</w:t>
      </w:r>
      <w:r w:rsidR="00A12BCF" w:rsidRPr="000C6F2F">
        <w:rPr>
          <w:rFonts w:cstheme="minorHAnsi"/>
          <w:lang w:val="en-US"/>
        </w:rPr>
        <w:t xml:space="preserve">e are grateful to the valuable contributions of past and present group members for their work </w:t>
      </w:r>
      <w:r w:rsidR="00D76253">
        <w:rPr>
          <w:rFonts w:cstheme="minorHAnsi"/>
          <w:lang w:val="en-US"/>
        </w:rPr>
        <w:t xml:space="preserve">on </w:t>
      </w:r>
      <w:r w:rsidR="00A12BCF" w:rsidRPr="000C6F2F">
        <w:rPr>
          <w:rFonts w:cstheme="minorHAnsi"/>
          <w:lang w:val="en-US"/>
        </w:rPr>
        <w:t xml:space="preserve">contributing to the understanding of the </w:t>
      </w:r>
      <w:r w:rsidR="00A12BCF">
        <w:rPr>
          <w:rFonts w:cstheme="minorHAnsi"/>
          <w:lang w:val="en-US"/>
        </w:rPr>
        <w:t>pathogenesis of</w:t>
      </w:r>
      <w:r w:rsidR="00A12BCF" w:rsidRPr="000C6F2F">
        <w:rPr>
          <w:rFonts w:cstheme="minorHAnsi"/>
          <w:lang w:val="en-US"/>
        </w:rPr>
        <w:t xml:space="preserve"> typhoid fever. </w:t>
      </w:r>
      <w:r w:rsidRPr="002B2E19">
        <w:rPr>
          <w:rFonts w:cstheme="minorHAnsi"/>
          <w:lang w:val="en-US"/>
        </w:rPr>
        <w:t xml:space="preserve">We also thank Mark </w:t>
      </w:r>
      <w:proofErr w:type="spellStart"/>
      <w:r w:rsidRPr="002B2E19">
        <w:rPr>
          <w:rFonts w:cstheme="minorHAnsi"/>
          <w:lang w:val="en-US"/>
        </w:rPr>
        <w:t>Davids</w:t>
      </w:r>
      <w:proofErr w:type="spellEnd"/>
      <w:r w:rsidRPr="002B2E19">
        <w:rPr>
          <w:rFonts w:cstheme="minorHAnsi"/>
          <w:lang w:val="en-US"/>
        </w:rPr>
        <w:t xml:space="preserve"> for his aid in </w:t>
      </w:r>
      <w:r>
        <w:rPr>
          <w:rFonts w:cstheme="minorHAnsi"/>
          <w:lang w:val="en-US"/>
        </w:rPr>
        <w:t xml:space="preserve">preprocessing the </w:t>
      </w:r>
      <w:r w:rsidR="00D76253">
        <w:rPr>
          <w:rFonts w:cstheme="minorHAnsi"/>
          <w:lang w:val="en-US"/>
        </w:rPr>
        <w:t xml:space="preserve">16S rRNA </w:t>
      </w:r>
      <w:r>
        <w:rPr>
          <w:rFonts w:cstheme="minorHAnsi"/>
          <w:lang w:val="en-US"/>
        </w:rPr>
        <w:t xml:space="preserve">sequences, </w:t>
      </w:r>
      <w:proofErr w:type="spellStart"/>
      <w:r>
        <w:rPr>
          <w:rFonts w:cstheme="minorHAnsi"/>
          <w:lang w:val="en-US"/>
        </w:rPr>
        <w:t>Jorn</w:t>
      </w:r>
      <w:proofErr w:type="spellEnd"/>
      <w:r>
        <w:rPr>
          <w:rFonts w:cstheme="minorHAnsi"/>
          <w:lang w:val="en-US"/>
        </w:rPr>
        <w:t xml:space="preserve"> Hartman</w:t>
      </w:r>
      <w:r w:rsidRPr="002B2E19">
        <w:rPr>
          <w:rFonts w:cstheme="minorHAnsi"/>
          <w:lang w:val="en-US"/>
        </w:rPr>
        <w:t xml:space="preserve"> for his help with the workup of </w:t>
      </w:r>
      <w:r w:rsidR="00D76253">
        <w:rPr>
          <w:rFonts w:cstheme="minorHAnsi"/>
          <w:lang w:val="en-US"/>
        </w:rPr>
        <w:t xml:space="preserve"> the </w:t>
      </w:r>
      <w:r w:rsidRPr="002B2E19">
        <w:rPr>
          <w:rFonts w:cstheme="minorHAnsi"/>
          <w:lang w:val="en-US"/>
        </w:rPr>
        <w:t>intestinal microbiota samples</w:t>
      </w:r>
      <w:r>
        <w:rPr>
          <w:rFonts w:cstheme="minorHAnsi"/>
          <w:lang w:val="en-US"/>
        </w:rPr>
        <w:t>, an</w:t>
      </w:r>
      <w:r w:rsidR="00D76253">
        <w:rPr>
          <w:rFonts w:cstheme="minorHAnsi"/>
          <w:lang w:val="en-US"/>
        </w:rPr>
        <w:t xml:space="preserve">d Marieke </w:t>
      </w:r>
      <w:proofErr w:type="spellStart"/>
      <w:r w:rsidR="00D76253">
        <w:rPr>
          <w:rFonts w:cstheme="minorHAnsi"/>
          <w:lang w:val="en-US"/>
        </w:rPr>
        <w:t>Heijink</w:t>
      </w:r>
      <w:proofErr w:type="spellEnd"/>
      <w:r w:rsidR="00D76253">
        <w:rPr>
          <w:rFonts w:cstheme="minorHAnsi"/>
          <w:lang w:val="en-US"/>
        </w:rPr>
        <w:t xml:space="preserve"> for her work o</w:t>
      </w:r>
      <w:r>
        <w:rPr>
          <w:rFonts w:cstheme="minorHAnsi"/>
          <w:lang w:val="en-US"/>
        </w:rPr>
        <w:t>n the setup of the targeted SCFA measurements</w:t>
      </w:r>
      <w:r w:rsidRPr="002B2E19">
        <w:rPr>
          <w:rFonts w:cstheme="minorHAnsi"/>
          <w:lang w:val="en-US"/>
        </w:rPr>
        <w:t>.</w:t>
      </w:r>
    </w:p>
    <w:p w14:paraId="578254C9" w14:textId="77777777" w:rsidR="002B2E19" w:rsidRPr="000C6F2F" w:rsidRDefault="002B2E19" w:rsidP="00A12BCF">
      <w:pPr>
        <w:autoSpaceDE w:val="0"/>
        <w:autoSpaceDN w:val="0"/>
        <w:adjustRightInd w:val="0"/>
        <w:spacing w:after="0" w:line="360" w:lineRule="auto"/>
        <w:jc w:val="both"/>
        <w:rPr>
          <w:rFonts w:cstheme="minorHAnsi"/>
          <w:lang w:val="en-US"/>
        </w:rPr>
      </w:pPr>
    </w:p>
    <w:p w14:paraId="71656310" w14:textId="17C7EB0F" w:rsidR="002B2E19" w:rsidRDefault="00A12BCF" w:rsidP="00A12BCF">
      <w:pPr>
        <w:spacing w:line="360" w:lineRule="auto"/>
        <w:jc w:val="both"/>
        <w:rPr>
          <w:rFonts w:cstheme="minorHAnsi"/>
          <w:lang w:val="en-US"/>
        </w:rPr>
      </w:pPr>
      <w:r w:rsidRPr="002B2E19">
        <w:rPr>
          <w:rFonts w:cstheme="minorHAnsi"/>
          <w:b/>
          <w:lang w:val="en-US"/>
        </w:rPr>
        <w:t>Financial support</w:t>
      </w:r>
      <w:r w:rsidRPr="00A12BCF">
        <w:rPr>
          <w:rFonts w:cstheme="minorHAnsi"/>
          <w:lang w:val="en-US"/>
        </w:rPr>
        <w:t xml:space="preserve"> </w:t>
      </w:r>
    </w:p>
    <w:p w14:paraId="6A7A5479" w14:textId="53AE257A" w:rsidR="00DF4DBC" w:rsidRPr="00B54148" w:rsidRDefault="00A12BCF" w:rsidP="00B54148">
      <w:pPr>
        <w:spacing w:line="360" w:lineRule="auto"/>
        <w:jc w:val="both"/>
        <w:rPr>
          <w:lang w:val="en-US"/>
        </w:rPr>
      </w:pPr>
      <w:r w:rsidRPr="00A12BCF">
        <w:rPr>
          <w:rFonts w:cstheme="minorHAnsi"/>
          <w:lang w:val="en-US"/>
        </w:rPr>
        <w:t>This work was supported by the Netherlands Organization for Scientific Research (VIDI grant number 91716475 to WJW</w:t>
      </w:r>
      <w:r w:rsidRPr="002F437A">
        <w:rPr>
          <w:rFonts w:cstheme="minorHAnsi"/>
          <w:lang w:val="en-US"/>
        </w:rPr>
        <w:t>)</w:t>
      </w:r>
      <w:r w:rsidR="00587BEE">
        <w:rPr>
          <w:rFonts w:cstheme="minorHAnsi"/>
          <w:lang w:val="en-US"/>
        </w:rPr>
        <w:t>,</w:t>
      </w:r>
      <w:r w:rsidR="0024248C">
        <w:rPr>
          <w:rFonts w:cstheme="minorHAnsi"/>
          <w:lang w:val="en-US"/>
        </w:rPr>
        <w:t xml:space="preserve"> the </w:t>
      </w:r>
      <w:proofErr w:type="spellStart"/>
      <w:r w:rsidR="0024248C">
        <w:rPr>
          <w:rFonts w:cstheme="minorHAnsi"/>
          <w:lang w:val="en-US"/>
        </w:rPr>
        <w:t>Wellcome</w:t>
      </w:r>
      <w:proofErr w:type="spellEnd"/>
      <w:r w:rsidR="0024248C">
        <w:rPr>
          <w:rFonts w:cstheme="minorHAnsi"/>
          <w:lang w:val="en-US"/>
        </w:rPr>
        <w:t xml:space="preserve"> Trust of Great Britain</w:t>
      </w:r>
      <w:r w:rsidR="003840FF">
        <w:rPr>
          <w:rFonts w:cstheme="minorHAnsi"/>
          <w:lang w:val="en-US"/>
        </w:rPr>
        <w:t xml:space="preserve"> </w:t>
      </w:r>
      <w:r w:rsidR="003840FF" w:rsidRPr="003840FF">
        <w:rPr>
          <w:rFonts w:cstheme="minorHAnsi"/>
          <w:lang w:val="en-US"/>
        </w:rPr>
        <w:t>(106158/Z/14/Z)</w:t>
      </w:r>
      <w:r w:rsidR="00587BEE">
        <w:rPr>
          <w:rFonts w:cstheme="minorHAnsi"/>
          <w:lang w:val="en-US"/>
        </w:rPr>
        <w:t xml:space="preserve"> and the European Society of </w:t>
      </w:r>
      <w:proofErr w:type="spellStart"/>
      <w:r w:rsidR="00587BEE">
        <w:rPr>
          <w:rFonts w:cstheme="minorHAnsi"/>
          <w:lang w:val="en-US"/>
        </w:rPr>
        <w:t>Paediatric</w:t>
      </w:r>
      <w:proofErr w:type="spellEnd"/>
      <w:r w:rsidR="00587BEE">
        <w:rPr>
          <w:rFonts w:cstheme="minorHAnsi"/>
          <w:lang w:val="en-US"/>
        </w:rPr>
        <w:t xml:space="preserve"> Infectious Diseases</w:t>
      </w:r>
      <w:r w:rsidRPr="002F437A">
        <w:rPr>
          <w:rFonts w:cstheme="minorHAnsi"/>
          <w:lang w:val="en-US"/>
        </w:rPr>
        <w:t xml:space="preserve">. </w:t>
      </w:r>
      <w:proofErr w:type="spellStart"/>
      <w:r w:rsidR="00587BEE">
        <w:rPr>
          <w:rFonts w:cstheme="minorHAnsi"/>
          <w:lang w:val="en-US"/>
        </w:rPr>
        <w:t>Rapeephan</w:t>
      </w:r>
      <w:proofErr w:type="spellEnd"/>
      <w:r w:rsidR="00587BEE">
        <w:rPr>
          <w:rFonts w:cstheme="minorHAnsi"/>
          <w:lang w:val="en-US"/>
        </w:rPr>
        <w:t xml:space="preserve"> Maude was a </w:t>
      </w:r>
      <w:proofErr w:type="spellStart"/>
      <w:r w:rsidR="00587BEE">
        <w:rPr>
          <w:rFonts w:cstheme="minorHAnsi"/>
          <w:lang w:val="en-US"/>
        </w:rPr>
        <w:t>Wellcome</w:t>
      </w:r>
      <w:proofErr w:type="spellEnd"/>
      <w:r w:rsidR="00587BEE">
        <w:rPr>
          <w:rFonts w:cstheme="minorHAnsi"/>
          <w:lang w:val="en-US"/>
        </w:rPr>
        <w:t xml:space="preserve"> Trust Masters Fellow in Public Health and Tropical Medicine. </w:t>
      </w:r>
      <w:r w:rsidRPr="002F437A">
        <w:rPr>
          <w:rFonts w:cstheme="minorHAnsi"/>
          <w:lang w:val="en-US"/>
        </w:rPr>
        <w:t>The funders had no role in</w:t>
      </w:r>
      <w:r w:rsidRPr="00A12BCF">
        <w:rPr>
          <w:lang w:val="en-US"/>
        </w:rPr>
        <w:t xml:space="preserve"> study design, data</w:t>
      </w:r>
      <w:r>
        <w:rPr>
          <w:lang w:val="en-US"/>
        </w:rPr>
        <w:t xml:space="preserve"> </w:t>
      </w:r>
      <w:r w:rsidRPr="000C6F2F">
        <w:rPr>
          <w:lang w:val="en-US"/>
        </w:rPr>
        <w:t>collection and analysis, decisio</w:t>
      </w:r>
      <w:r>
        <w:rPr>
          <w:lang w:val="en-US"/>
        </w:rPr>
        <w:t xml:space="preserve">n to publish, </w:t>
      </w:r>
      <w:r w:rsidRPr="00A12BCF">
        <w:rPr>
          <w:lang w:val="en-US"/>
        </w:rPr>
        <w:t>or preparation of</w:t>
      </w:r>
      <w:r>
        <w:rPr>
          <w:lang w:val="en-US"/>
        </w:rPr>
        <w:t xml:space="preserve"> </w:t>
      </w:r>
      <w:r w:rsidRPr="000C6F2F">
        <w:rPr>
          <w:lang w:val="en-US"/>
        </w:rPr>
        <w:t>the manuscript.</w:t>
      </w:r>
      <w:r w:rsidR="00DF4DBC">
        <w:rPr>
          <w:rFonts w:cstheme="minorHAnsi"/>
          <w:b/>
          <w:lang w:val="en-GB"/>
        </w:rPr>
        <w:br w:type="page"/>
      </w:r>
    </w:p>
    <w:p w14:paraId="4FEC7601" w14:textId="7C6FDCE6" w:rsidR="00A02715" w:rsidRPr="005E6B0F" w:rsidRDefault="00503307" w:rsidP="00FB57CF">
      <w:pPr>
        <w:jc w:val="both"/>
        <w:rPr>
          <w:rFonts w:cstheme="minorHAnsi"/>
          <w:bCs/>
          <w:lang w:val="en-GB"/>
        </w:rPr>
      </w:pPr>
      <w:r w:rsidRPr="005E6B0F">
        <w:rPr>
          <w:rFonts w:cstheme="minorHAnsi"/>
          <w:b/>
          <w:lang w:val="en-GB"/>
        </w:rPr>
        <w:lastRenderedPageBreak/>
        <w:t>References</w:t>
      </w:r>
    </w:p>
    <w:p w14:paraId="1984242C" w14:textId="6B4DE673" w:rsidR="00503307" w:rsidRPr="005E6B0F" w:rsidRDefault="00503307" w:rsidP="00FB57CF">
      <w:pPr>
        <w:pStyle w:val="Lijstalinea"/>
        <w:numPr>
          <w:ilvl w:val="0"/>
          <w:numId w:val="12"/>
        </w:numPr>
        <w:spacing w:line="360" w:lineRule="auto"/>
        <w:jc w:val="both"/>
        <w:rPr>
          <w:rStyle w:val="Hyperlink"/>
          <w:rFonts w:cstheme="minorHAnsi"/>
          <w:bCs/>
          <w:color w:val="auto"/>
          <w:u w:val="none"/>
          <w:lang w:val="en-GB"/>
        </w:rPr>
      </w:pPr>
      <w:r w:rsidRPr="005E6B0F">
        <w:rPr>
          <w:rFonts w:cstheme="minorHAnsi"/>
          <w:bCs/>
          <w:lang w:val="en-GB"/>
        </w:rPr>
        <w:t xml:space="preserve">Meiring JE, </w:t>
      </w:r>
      <w:proofErr w:type="spellStart"/>
      <w:r w:rsidRPr="005E6B0F">
        <w:rPr>
          <w:rFonts w:cstheme="minorHAnsi"/>
          <w:bCs/>
          <w:lang w:val="en-GB"/>
        </w:rPr>
        <w:t>Gibani</w:t>
      </w:r>
      <w:proofErr w:type="spellEnd"/>
      <w:r w:rsidRPr="005E6B0F">
        <w:rPr>
          <w:rFonts w:cstheme="minorHAnsi"/>
          <w:bCs/>
          <w:lang w:val="en-GB"/>
        </w:rPr>
        <w:t xml:space="preserve"> M, </w:t>
      </w:r>
      <w:proofErr w:type="spellStart"/>
      <w:r w:rsidRPr="005E6B0F">
        <w:rPr>
          <w:rFonts w:cstheme="minorHAnsi"/>
          <w:bCs/>
          <w:lang w:val="en-GB"/>
        </w:rPr>
        <w:t>TyVAC</w:t>
      </w:r>
      <w:proofErr w:type="spellEnd"/>
      <w:r w:rsidRPr="005E6B0F">
        <w:rPr>
          <w:rFonts w:cstheme="minorHAnsi"/>
          <w:bCs/>
          <w:lang w:val="en-GB"/>
        </w:rPr>
        <w:t xml:space="preserve"> Consortium Meeting Group. The Typhoid Vaccine Acceleration Consortium (</w:t>
      </w:r>
      <w:proofErr w:type="spellStart"/>
      <w:r w:rsidRPr="005E6B0F">
        <w:rPr>
          <w:rFonts w:cstheme="minorHAnsi"/>
          <w:bCs/>
          <w:lang w:val="en-GB"/>
        </w:rPr>
        <w:t>TyVAC</w:t>
      </w:r>
      <w:proofErr w:type="spellEnd"/>
      <w:r w:rsidRPr="005E6B0F">
        <w:rPr>
          <w:rFonts w:cstheme="minorHAnsi"/>
          <w:bCs/>
          <w:lang w:val="en-GB"/>
        </w:rPr>
        <w:t>): vaccine effectiveness study designs: accelerating the introduction of typhoid conjugate vaccines and reducing the global burden of enteric fever. Report from a meeting held on 26 –27 October 2016, Oxford, UK. Vaccine</w:t>
      </w:r>
      <w:r w:rsidR="00264237">
        <w:rPr>
          <w:rFonts w:cstheme="minorHAnsi"/>
          <w:bCs/>
          <w:lang w:val="en-GB"/>
        </w:rPr>
        <w:t xml:space="preserve">, </w:t>
      </w:r>
      <w:r w:rsidR="00264237" w:rsidRPr="00264237">
        <w:rPr>
          <w:rFonts w:cstheme="minorHAnsi"/>
          <w:b/>
          <w:lang w:val="en-GB"/>
        </w:rPr>
        <w:t>2017</w:t>
      </w:r>
      <w:r w:rsidR="00264237">
        <w:rPr>
          <w:rFonts w:cstheme="minorHAnsi"/>
          <w:bCs/>
          <w:lang w:val="en-GB"/>
        </w:rPr>
        <w:t xml:space="preserve">; </w:t>
      </w:r>
      <w:r w:rsidRPr="005E6B0F">
        <w:rPr>
          <w:rFonts w:cstheme="minorHAnsi"/>
          <w:bCs/>
          <w:lang w:val="en-GB"/>
        </w:rPr>
        <w:t xml:space="preserve">35: 5081–5088 </w:t>
      </w:r>
    </w:p>
    <w:p w14:paraId="732D3254" w14:textId="46C5814F" w:rsidR="00445811" w:rsidRDefault="00445811" w:rsidP="00FB57CF">
      <w:pPr>
        <w:pStyle w:val="Lijstalinea"/>
        <w:numPr>
          <w:ilvl w:val="0"/>
          <w:numId w:val="12"/>
        </w:numPr>
        <w:spacing w:line="360" w:lineRule="auto"/>
        <w:jc w:val="both"/>
        <w:rPr>
          <w:rFonts w:cstheme="minorHAnsi"/>
          <w:bCs/>
          <w:lang w:val="en-GB"/>
        </w:rPr>
      </w:pPr>
      <w:r w:rsidRPr="00445811">
        <w:rPr>
          <w:rFonts w:cstheme="minorHAnsi"/>
          <w:bCs/>
          <w:lang w:val="en-GB"/>
        </w:rPr>
        <w:t xml:space="preserve">Wain J, Hendriksen RS, </w:t>
      </w:r>
      <w:proofErr w:type="spellStart"/>
      <w:r w:rsidRPr="00445811">
        <w:rPr>
          <w:rFonts w:cstheme="minorHAnsi"/>
          <w:bCs/>
          <w:lang w:val="en-GB"/>
        </w:rPr>
        <w:t>Mikoleit</w:t>
      </w:r>
      <w:proofErr w:type="spellEnd"/>
      <w:r w:rsidRPr="00445811">
        <w:rPr>
          <w:rFonts w:cstheme="minorHAnsi"/>
          <w:bCs/>
          <w:lang w:val="en-GB"/>
        </w:rPr>
        <w:t xml:space="preserve"> ML, </w:t>
      </w:r>
      <w:proofErr w:type="spellStart"/>
      <w:r w:rsidRPr="00445811">
        <w:rPr>
          <w:rFonts w:cstheme="minorHAnsi"/>
          <w:bCs/>
          <w:lang w:val="en-GB"/>
        </w:rPr>
        <w:t>Keddy</w:t>
      </w:r>
      <w:proofErr w:type="spellEnd"/>
      <w:r w:rsidRPr="00445811">
        <w:rPr>
          <w:rFonts w:cstheme="minorHAnsi"/>
          <w:bCs/>
          <w:lang w:val="en-GB"/>
        </w:rPr>
        <w:t xml:space="preserve"> KH, </w:t>
      </w:r>
      <w:proofErr w:type="spellStart"/>
      <w:r w:rsidRPr="00445811">
        <w:rPr>
          <w:rFonts w:cstheme="minorHAnsi"/>
          <w:bCs/>
          <w:lang w:val="en-GB"/>
        </w:rPr>
        <w:t>Ochiai</w:t>
      </w:r>
      <w:proofErr w:type="spellEnd"/>
      <w:r w:rsidRPr="00445811">
        <w:rPr>
          <w:rFonts w:cstheme="minorHAnsi"/>
          <w:bCs/>
          <w:lang w:val="en-GB"/>
        </w:rPr>
        <w:t xml:space="preserve"> RL. Typhoid fever. Lancet</w:t>
      </w:r>
      <w:r w:rsidR="00264237">
        <w:rPr>
          <w:rFonts w:cstheme="minorHAnsi"/>
          <w:bCs/>
          <w:lang w:val="en-GB"/>
        </w:rPr>
        <w:t>,</w:t>
      </w:r>
      <w:r w:rsidRPr="00445811">
        <w:rPr>
          <w:rFonts w:cstheme="minorHAnsi"/>
          <w:bCs/>
          <w:lang w:val="en-GB"/>
        </w:rPr>
        <w:t xml:space="preserve"> </w:t>
      </w:r>
      <w:r w:rsidRPr="00264237">
        <w:rPr>
          <w:rFonts w:cstheme="minorHAnsi"/>
          <w:b/>
          <w:lang w:val="en-GB"/>
        </w:rPr>
        <w:t>2015</w:t>
      </w:r>
      <w:r w:rsidRPr="00445811">
        <w:rPr>
          <w:rFonts w:cstheme="minorHAnsi"/>
          <w:bCs/>
          <w:lang w:val="en-GB"/>
        </w:rPr>
        <w:t>;</w:t>
      </w:r>
      <w:r w:rsidR="00264237">
        <w:rPr>
          <w:rFonts w:cstheme="minorHAnsi"/>
          <w:bCs/>
          <w:lang w:val="en-GB"/>
        </w:rPr>
        <w:t xml:space="preserve"> </w:t>
      </w:r>
      <w:r w:rsidRPr="00445811">
        <w:rPr>
          <w:rFonts w:cstheme="minorHAnsi"/>
          <w:bCs/>
          <w:lang w:val="en-GB"/>
        </w:rPr>
        <w:t>385:</w:t>
      </w:r>
      <w:r w:rsidR="00264237">
        <w:rPr>
          <w:rFonts w:cstheme="minorHAnsi"/>
          <w:bCs/>
          <w:lang w:val="en-GB"/>
        </w:rPr>
        <w:t xml:space="preserve"> </w:t>
      </w:r>
      <w:r w:rsidRPr="00445811">
        <w:rPr>
          <w:rFonts w:cstheme="minorHAnsi"/>
          <w:bCs/>
          <w:lang w:val="en-GB"/>
        </w:rPr>
        <w:t>1136-45</w:t>
      </w:r>
    </w:p>
    <w:p w14:paraId="441F1AE3" w14:textId="36EE3401" w:rsidR="00D631CB" w:rsidRDefault="00D631CB" w:rsidP="00FB57CF">
      <w:pPr>
        <w:pStyle w:val="Lijstalinea"/>
        <w:numPr>
          <w:ilvl w:val="0"/>
          <w:numId w:val="12"/>
        </w:numPr>
        <w:spacing w:line="360" w:lineRule="auto"/>
        <w:jc w:val="both"/>
        <w:rPr>
          <w:rFonts w:cstheme="minorHAnsi"/>
          <w:bCs/>
          <w:lang w:val="en-GB"/>
        </w:rPr>
      </w:pPr>
      <w:r w:rsidRPr="005E6B0F">
        <w:rPr>
          <w:rFonts w:cstheme="minorHAnsi"/>
          <w:bCs/>
          <w:lang w:val="en-GB"/>
        </w:rPr>
        <w:t>Britto CD, Wong VK, Dougan G, Pollard AJ</w:t>
      </w:r>
      <w:r w:rsidR="00264237">
        <w:rPr>
          <w:rFonts w:cstheme="minorHAnsi"/>
          <w:bCs/>
          <w:lang w:val="en-GB"/>
        </w:rPr>
        <w:t xml:space="preserve">. </w:t>
      </w:r>
      <w:r w:rsidRPr="005E6B0F">
        <w:rPr>
          <w:rFonts w:cstheme="minorHAnsi"/>
          <w:bCs/>
          <w:lang w:val="en-GB"/>
        </w:rPr>
        <w:t xml:space="preserve">A systematic review of antimicrobial resistance in Salmonella enterica serovar Typhi, the etiological agent of typhoid. </w:t>
      </w:r>
      <w:proofErr w:type="spellStart"/>
      <w:r w:rsidRPr="005E6B0F">
        <w:rPr>
          <w:rFonts w:cstheme="minorHAnsi"/>
          <w:bCs/>
          <w:lang w:val="en-GB"/>
        </w:rPr>
        <w:t>PLoS</w:t>
      </w:r>
      <w:proofErr w:type="spellEnd"/>
      <w:r w:rsidRPr="005E6B0F">
        <w:rPr>
          <w:rFonts w:cstheme="minorHAnsi"/>
          <w:bCs/>
          <w:lang w:val="en-GB"/>
        </w:rPr>
        <w:t xml:space="preserve"> </w:t>
      </w:r>
      <w:proofErr w:type="spellStart"/>
      <w:r w:rsidRPr="005E6B0F">
        <w:rPr>
          <w:rFonts w:cstheme="minorHAnsi"/>
          <w:bCs/>
          <w:lang w:val="en-GB"/>
        </w:rPr>
        <w:t>Negl</w:t>
      </w:r>
      <w:proofErr w:type="spellEnd"/>
      <w:r w:rsidRPr="005E6B0F">
        <w:rPr>
          <w:rFonts w:cstheme="minorHAnsi"/>
          <w:bCs/>
          <w:lang w:val="en-GB"/>
        </w:rPr>
        <w:t xml:space="preserve"> Trop Dis</w:t>
      </w:r>
      <w:r w:rsidR="00264237">
        <w:rPr>
          <w:rFonts w:cstheme="minorHAnsi"/>
          <w:bCs/>
          <w:lang w:val="en-GB"/>
        </w:rPr>
        <w:t xml:space="preserve">, </w:t>
      </w:r>
      <w:r w:rsidR="00264237" w:rsidRPr="00264237">
        <w:rPr>
          <w:rFonts w:cstheme="minorHAnsi"/>
          <w:b/>
          <w:lang w:val="en-GB"/>
        </w:rPr>
        <w:t>2018</w:t>
      </w:r>
      <w:r w:rsidR="00264237">
        <w:rPr>
          <w:rFonts w:cstheme="minorHAnsi"/>
          <w:bCs/>
          <w:lang w:val="en-GB"/>
        </w:rPr>
        <w:t>;</w:t>
      </w:r>
      <w:r w:rsidR="00264237" w:rsidRPr="005E6B0F">
        <w:rPr>
          <w:rFonts w:cstheme="minorHAnsi"/>
          <w:bCs/>
          <w:lang w:val="en-GB"/>
        </w:rPr>
        <w:t xml:space="preserve"> </w:t>
      </w:r>
      <w:r w:rsidRPr="005E6B0F">
        <w:rPr>
          <w:rFonts w:cstheme="minorHAnsi"/>
          <w:bCs/>
          <w:lang w:val="en-GB"/>
        </w:rPr>
        <w:t xml:space="preserve"> 12: e0006779</w:t>
      </w:r>
    </w:p>
    <w:p w14:paraId="2C781357" w14:textId="6DAC55BC" w:rsidR="00445811" w:rsidRPr="00445811" w:rsidRDefault="00445811" w:rsidP="00FB57CF">
      <w:pPr>
        <w:pStyle w:val="Lijstalinea"/>
        <w:numPr>
          <w:ilvl w:val="0"/>
          <w:numId w:val="12"/>
        </w:numPr>
        <w:spacing w:line="360" w:lineRule="auto"/>
        <w:jc w:val="both"/>
        <w:rPr>
          <w:rFonts w:cstheme="minorHAnsi"/>
          <w:bCs/>
          <w:lang w:val="en-GB"/>
        </w:rPr>
      </w:pPr>
      <w:r w:rsidRPr="00445811">
        <w:rPr>
          <w:rFonts w:cstheme="minorHAnsi"/>
          <w:bCs/>
          <w:lang w:val="en-GB"/>
        </w:rPr>
        <w:t>Cohen J. 'Frightening' typhoid fever outbreak spreads in Pakistan.</w:t>
      </w:r>
      <w:r>
        <w:rPr>
          <w:rFonts w:cstheme="minorHAnsi"/>
          <w:bCs/>
          <w:lang w:val="en-GB"/>
        </w:rPr>
        <w:t xml:space="preserve"> </w:t>
      </w:r>
      <w:r w:rsidRPr="00445811">
        <w:rPr>
          <w:rFonts w:cstheme="minorHAnsi"/>
          <w:bCs/>
          <w:lang w:val="en-GB"/>
        </w:rPr>
        <w:t>Science</w:t>
      </w:r>
      <w:r w:rsidR="00264237">
        <w:rPr>
          <w:rFonts w:cstheme="minorHAnsi"/>
          <w:bCs/>
          <w:lang w:val="en-GB"/>
        </w:rPr>
        <w:t>,</w:t>
      </w:r>
      <w:r w:rsidRPr="00445811">
        <w:rPr>
          <w:rFonts w:cstheme="minorHAnsi"/>
          <w:bCs/>
          <w:lang w:val="en-GB"/>
        </w:rPr>
        <w:t xml:space="preserve"> </w:t>
      </w:r>
      <w:r w:rsidRPr="00264237">
        <w:rPr>
          <w:rFonts w:cstheme="minorHAnsi"/>
          <w:b/>
          <w:lang w:val="en-GB"/>
        </w:rPr>
        <w:t>2018</w:t>
      </w:r>
      <w:r w:rsidRPr="00445811">
        <w:rPr>
          <w:rFonts w:cstheme="minorHAnsi"/>
          <w:bCs/>
          <w:lang w:val="en-GB"/>
        </w:rPr>
        <w:t>;</w:t>
      </w:r>
      <w:r w:rsidR="00264237">
        <w:rPr>
          <w:rFonts w:cstheme="minorHAnsi"/>
          <w:bCs/>
          <w:lang w:val="en-GB"/>
        </w:rPr>
        <w:t xml:space="preserve"> </w:t>
      </w:r>
      <w:r w:rsidRPr="00445811">
        <w:rPr>
          <w:rFonts w:cstheme="minorHAnsi"/>
          <w:bCs/>
          <w:lang w:val="en-GB"/>
        </w:rPr>
        <w:t>361:</w:t>
      </w:r>
      <w:r w:rsidR="00264237">
        <w:rPr>
          <w:rFonts w:cstheme="minorHAnsi"/>
          <w:bCs/>
          <w:lang w:val="en-GB"/>
        </w:rPr>
        <w:t xml:space="preserve"> </w:t>
      </w:r>
      <w:r w:rsidRPr="00445811">
        <w:rPr>
          <w:rFonts w:cstheme="minorHAnsi"/>
          <w:bCs/>
          <w:lang w:val="en-GB"/>
        </w:rPr>
        <w:t>214</w:t>
      </w:r>
    </w:p>
    <w:p w14:paraId="01840016" w14:textId="43546F5A" w:rsidR="00D631CB" w:rsidRPr="005E6B0F" w:rsidRDefault="00D631CB" w:rsidP="00FB57CF">
      <w:pPr>
        <w:pStyle w:val="Lijstalinea"/>
        <w:numPr>
          <w:ilvl w:val="0"/>
          <w:numId w:val="12"/>
        </w:numPr>
        <w:spacing w:line="360" w:lineRule="auto"/>
        <w:jc w:val="both"/>
        <w:rPr>
          <w:rFonts w:cstheme="minorHAnsi"/>
          <w:bCs/>
          <w:lang w:val="en-GB"/>
        </w:rPr>
      </w:pPr>
      <w:proofErr w:type="spellStart"/>
      <w:r w:rsidRPr="005E6B0F">
        <w:rPr>
          <w:rFonts w:cstheme="minorHAnsi"/>
          <w:bCs/>
          <w:lang w:val="en-GB"/>
        </w:rPr>
        <w:t>Tsolis</w:t>
      </w:r>
      <w:proofErr w:type="spellEnd"/>
      <w:r w:rsidRPr="005E6B0F">
        <w:rPr>
          <w:rFonts w:cstheme="minorHAnsi"/>
          <w:bCs/>
          <w:lang w:val="en-GB"/>
        </w:rPr>
        <w:t xml:space="preserve"> RM, Young GM, </w:t>
      </w:r>
      <w:proofErr w:type="spellStart"/>
      <w:r w:rsidRPr="005E6B0F">
        <w:rPr>
          <w:rFonts w:cstheme="minorHAnsi"/>
          <w:bCs/>
          <w:lang w:val="en-GB"/>
        </w:rPr>
        <w:t>Solnick</w:t>
      </w:r>
      <w:proofErr w:type="spellEnd"/>
      <w:r w:rsidRPr="005E6B0F">
        <w:rPr>
          <w:rFonts w:cstheme="minorHAnsi"/>
          <w:bCs/>
          <w:lang w:val="en-GB"/>
        </w:rPr>
        <w:t xml:space="preserve"> JV, Baumler AJ</w:t>
      </w:r>
      <w:r w:rsidR="00264237">
        <w:rPr>
          <w:rFonts w:cstheme="minorHAnsi"/>
          <w:bCs/>
          <w:lang w:val="en-GB"/>
        </w:rPr>
        <w:t xml:space="preserve">. </w:t>
      </w:r>
      <w:r w:rsidRPr="005E6B0F">
        <w:rPr>
          <w:rFonts w:cstheme="minorHAnsi"/>
          <w:bCs/>
          <w:lang w:val="en-GB"/>
        </w:rPr>
        <w:t xml:space="preserve">From bench to bedside: stealth of </w:t>
      </w:r>
      <w:proofErr w:type="spellStart"/>
      <w:r w:rsidRPr="005E6B0F">
        <w:rPr>
          <w:rFonts w:cstheme="minorHAnsi"/>
          <w:bCs/>
          <w:lang w:val="en-GB"/>
        </w:rPr>
        <w:t>enteroinvasive</w:t>
      </w:r>
      <w:proofErr w:type="spellEnd"/>
      <w:r w:rsidRPr="005E6B0F">
        <w:rPr>
          <w:rFonts w:cstheme="minorHAnsi"/>
          <w:bCs/>
          <w:lang w:val="en-GB"/>
        </w:rPr>
        <w:t xml:space="preserve"> pathogens. Nat Rev </w:t>
      </w:r>
      <w:proofErr w:type="spellStart"/>
      <w:r w:rsidRPr="005E6B0F">
        <w:rPr>
          <w:rFonts w:cstheme="minorHAnsi"/>
          <w:bCs/>
          <w:lang w:val="en-GB"/>
        </w:rPr>
        <w:t>Microbiol</w:t>
      </w:r>
      <w:proofErr w:type="spellEnd"/>
      <w:r w:rsidR="00264237">
        <w:rPr>
          <w:rFonts w:cstheme="minorHAnsi"/>
          <w:bCs/>
          <w:lang w:val="en-GB"/>
        </w:rPr>
        <w:t xml:space="preserve">, </w:t>
      </w:r>
      <w:r w:rsidR="00264237" w:rsidRPr="00264237">
        <w:rPr>
          <w:rFonts w:cstheme="minorHAnsi"/>
          <w:b/>
          <w:lang w:val="en-GB"/>
        </w:rPr>
        <w:t>2008</w:t>
      </w:r>
      <w:r w:rsidR="00264237">
        <w:rPr>
          <w:rFonts w:cstheme="minorHAnsi"/>
          <w:bCs/>
          <w:lang w:val="en-GB"/>
        </w:rPr>
        <w:t>;</w:t>
      </w:r>
      <w:r w:rsidRPr="005E6B0F">
        <w:rPr>
          <w:rFonts w:cstheme="minorHAnsi"/>
          <w:bCs/>
          <w:lang w:val="en-GB"/>
        </w:rPr>
        <w:t xml:space="preserve"> 6: 883–892</w:t>
      </w:r>
    </w:p>
    <w:p w14:paraId="2631E988" w14:textId="2E315DF4" w:rsidR="001A2AD0" w:rsidRPr="005E6B0F" w:rsidRDefault="001A2AD0" w:rsidP="00FB57CF">
      <w:pPr>
        <w:pStyle w:val="Lijstalinea"/>
        <w:numPr>
          <w:ilvl w:val="0"/>
          <w:numId w:val="12"/>
        </w:numPr>
        <w:spacing w:line="360" w:lineRule="auto"/>
        <w:jc w:val="both"/>
        <w:rPr>
          <w:rFonts w:cstheme="minorHAnsi"/>
          <w:bCs/>
          <w:lang w:val="en-US"/>
        </w:rPr>
      </w:pPr>
      <w:r w:rsidRPr="005E6B0F">
        <w:rPr>
          <w:rFonts w:cstheme="minorHAnsi"/>
          <w:bCs/>
        </w:rPr>
        <w:t xml:space="preserve">de Jong HK, Parry CM, van der Poll T, Wiersinga WJ. </w:t>
      </w:r>
      <w:r w:rsidRPr="005E6B0F">
        <w:rPr>
          <w:rFonts w:cstheme="minorHAnsi"/>
          <w:bCs/>
          <w:lang w:val="en-GB"/>
        </w:rPr>
        <w:t xml:space="preserve">Host-pathogen interaction in invasive Salmonellosis. </w:t>
      </w:r>
      <w:proofErr w:type="spellStart"/>
      <w:r w:rsidRPr="005E6B0F">
        <w:rPr>
          <w:rFonts w:cstheme="minorHAnsi"/>
          <w:bCs/>
        </w:rPr>
        <w:t>PLoS</w:t>
      </w:r>
      <w:proofErr w:type="spellEnd"/>
      <w:r w:rsidRPr="005E6B0F">
        <w:rPr>
          <w:rFonts w:cstheme="minorHAnsi"/>
          <w:bCs/>
        </w:rPr>
        <w:t xml:space="preserve"> </w:t>
      </w:r>
      <w:proofErr w:type="spellStart"/>
      <w:r w:rsidRPr="005E6B0F">
        <w:rPr>
          <w:rFonts w:cstheme="minorHAnsi"/>
          <w:bCs/>
        </w:rPr>
        <w:t>Pathog</w:t>
      </w:r>
      <w:proofErr w:type="spellEnd"/>
      <w:r w:rsidR="00264237">
        <w:rPr>
          <w:rFonts w:cstheme="minorHAnsi"/>
          <w:bCs/>
        </w:rPr>
        <w:t>,</w:t>
      </w:r>
      <w:r w:rsidRPr="005E6B0F">
        <w:rPr>
          <w:rFonts w:cstheme="minorHAnsi"/>
          <w:bCs/>
        </w:rPr>
        <w:t xml:space="preserve"> </w:t>
      </w:r>
      <w:r w:rsidRPr="00264237">
        <w:rPr>
          <w:rFonts w:cstheme="minorHAnsi"/>
          <w:b/>
        </w:rPr>
        <w:t>2012</w:t>
      </w:r>
      <w:r w:rsidRPr="005E6B0F">
        <w:rPr>
          <w:rFonts w:cstheme="minorHAnsi"/>
          <w:bCs/>
        </w:rPr>
        <w:t>;</w:t>
      </w:r>
      <w:r w:rsidR="00264237">
        <w:rPr>
          <w:rFonts w:cstheme="minorHAnsi"/>
          <w:bCs/>
        </w:rPr>
        <w:t xml:space="preserve"> </w:t>
      </w:r>
      <w:r w:rsidRPr="005E6B0F">
        <w:rPr>
          <w:rFonts w:cstheme="minorHAnsi"/>
          <w:bCs/>
        </w:rPr>
        <w:t xml:space="preserve">8:e1002933 </w:t>
      </w:r>
    </w:p>
    <w:p w14:paraId="05D08B93" w14:textId="25364787" w:rsidR="001A2AD0" w:rsidRPr="005E6B0F" w:rsidRDefault="001A2AD0" w:rsidP="00FB57CF">
      <w:pPr>
        <w:pStyle w:val="Lijstalinea"/>
        <w:numPr>
          <w:ilvl w:val="0"/>
          <w:numId w:val="12"/>
        </w:numPr>
        <w:spacing w:line="360" w:lineRule="auto"/>
        <w:jc w:val="both"/>
        <w:rPr>
          <w:rFonts w:cstheme="minorHAnsi"/>
          <w:bCs/>
          <w:lang w:val="en-US"/>
        </w:rPr>
      </w:pPr>
      <w:proofErr w:type="spellStart"/>
      <w:r w:rsidRPr="005E6B0F">
        <w:rPr>
          <w:rFonts w:cstheme="minorHAnsi"/>
          <w:bCs/>
          <w:lang w:val="en-US"/>
        </w:rPr>
        <w:t>Pamer</w:t>
      </w:r>
      <w:proofErr w:type="spellEnd"/>
      <w:r w:rsidRPr="005E6B0F">
        <w:rPr>
          <w:rFonts w:cstheme="minorHAnsi"/>
          <w:bCs/>
          <w:lang w:val="en-US"/>
        </w:rPr>
        <w:t xml:space="preserve"> EG. Resurrecting the intestinal microbiota to combat antibiotic-resistant pathogens.</w:t>
      </w:r>
      <w:r w:rsidR="00264237">
        <w:rPr>
          <w:rFonts w:cstheme="minorHAnsi"/>
          <w:bCs/>
          <w:lang w:val="en-US"/>
        </w:rPr>
        <w:t xml:space="preserve"> </w:t>
      </w:r>
      <w:r w:rsidRPr="005E6B0F">
        <w:rPr>
          <w:rFonts w:cstheme="minorHAnsi"/>
          <w:bCs/>
          <w:lang w:val="en-US"/>
        </w:rPr>
        <w:t>Science</w:t>
      </w:r>
      <w:r w:rsidR="00264237">
        <w:rPr>
          <w:rFonts w:cstheme="minorHAnsi"/>
          <w:bCs/>
          <w:lang w:val="en-US"/>
        </w:rPr>
        <w:t>,</w:t>
      </w:r>
      <w:r w:rsidRPr="005E6B0F">
        <w:rPr>
          <w:rFonts w:cstheme="minorHAnsi"/>
          <w:bCs/>
          <w:lang w:val="en-US"/>
        </w:rPr>
        <w:t xml:space="preserve"> </w:t>
      </w:r>
      <w:r w:rsidRPr="00264237">
        <w:rPr>
          <w:rFonts w:cstheme="minorHAnsi"/>
          <w:b/>
          <w:lang w:val="en-US"/>
        </w:rPr>
        <w:t>2016</w:t>
      </w:r>
      <w:r w:rsidRPr="005E6B0F">
        <w:rPr>
          <w:rFonts w:cstheme="minorHAnsi"/>
          <w:bCs/>
          <w:lang w:val="en-US"/>
        </w:rPr>
        <w:t>;</w:t>
      </w:r>
      <w:r w:rsidR="00264237">
        <w:rPr>
          <w:rFonts w:cstheme="minorHAnsi"/>
          <w:bCs/>
          <w:lang w:val="en-US"/>
        </w:rPr>
        <w:t xml:space="preserve"> </w:t>
      </w:r>
      <w:r w:rsidRPr="005E6B0F">
        <w:rPr>
          <w:rFonts w:cstheme="minorHAnsi"/>
          <w:bCs/>
          <w:lang w:val="en-US"/>
        </w:rPr>
        <w:t>352:</w:t>
      </w:r>
      <w:r w:rsidR="00264237">
        <w:rPr>
          <w:rFonts w:cstheme="minorHAnsi"/>
          <w:bCs/>
          <w:lang w:val="en-US"/>
        </w:rPr>
        <w:t xml:space="preserve"> </w:t>
      </w:r>
      <w:r w:rsidRPr="005E6B0F">
        <w:rPr>
          <w:rFonts w:cstheme="minorHAnsi"/>
          <w:bCs/>
          <w:lang w:val="en-US"/>
        </w:rPr>
        <w:t>535-8</w:t>
      </w:r>
    </w:p>
    <w:p w14:paraId="37149F1F" w14:textId="6A1C6F1E" w:rsidR="001A2AD0" w:rsidRDefault="001A2AD0" w:rsidP="00FB57CF">
      <w:pPr>
        <w:pStyle w:val="Lijstalinea"/>
        <w:numPr>
          <w:ilvl w:val="0"/>
          <w:numId w:val="12"/>
        </w:numPr>
        <w:spacing w:line="360" w:lineRule="auto"/>
        <w:jc w:val="both"/>
        <w:rPr>
          <w:rFonts w:cstheme="minorHAnsi"/>
          <w:bCs/>
          <w:lang w:val="en-US"/>
        </w:rPr>
      </w:pPr>
      <w:r w:rsidRPr="005E6B0F">
        <w:rPr>
          <w:rFonts w:cstheme="minorHAnsi"/>
          <w:bCs/>
          <w:lang w:val="en-US"/>
        </w:rPr>
        <w:t>Haak BW, Wiersinga WJ. The role of the gut microbiota in sepsis. Lancet Gastroenterol Hepatol</w:t>
      </w:r>
      <w:r w:rsidR="00264237">
        <w:rPr>
          <w:rFonts w:cstheme="minorHAnsi"/>
          <w:bCs/>
          <w:lang w:val="en-US"/>
        </w:rPr>
        <w:t>,</w:t>
      </w:r>
      <w:r w:rsidRPr="005E6B0F">
        <w:rPr>
          <w:rFonts w:cstheme="minorHAnsi"/>
          <w:bCs/>
          <w:lang w:val="en-US"/>
        </w:rPr>
        <w:t xml:space="preserve"> </w:t>
      </w:r>
      <w:r w:rsidRPr="00264237">
        <w:rPr>
          <w:rFonts w:cstheme="minorHAnsi"/>
          <w:b/>
          <w:lang w:val="en-US"/>
        </w:rPr>
        <w:t>2017</w:t>
      </w:r>
      <w:r w:rsidRPr="005E6B0F">
        <w:rPr>
          <w:rFonts w:cstheme="minorHAnsi"/>
          <w:bCs/>
          <w:lang w:val="en-US"/>
        </w:rPr>
        <w:t>;</w:t>
      </w:r>
      <w:r w:rsidR="00264237">
        <w:rPr>
          <w:rFonts w:cstheme="minorHAnsi"/>
          <w:bCs/>
          <w:lang w:val="en-US"/>
        </w:rPr>
        <w:t xml:space="preserve"> </w:t>
      </w:r>
      <w:r w:rsidRPr="005E6B0F">
        <w:rPr>
          <w:rFonts w:cstheme="minorHAnsi"/>
          <w:bCs/>
          <w:lang w:val="en-US"/>
        </w:rPr>
        <w:t>2:</w:t>
      </w:r>
      <w:r w:rsidR="00264237">
        <w:rPr>
          <w:rFonts w:cstheme="minorHAnsi"/>
          <w:bCs/>
          <w:lang w:val="en-US"/>
        </w:rPr>
        <w:t xml:space="preserve"> </w:t>
      </w:r>
      <w:r w:rsidRPr="005E6B0F">
        <w:rPr>
          <w:rFonts w:cstheme="minorHAnsi"/>
          <w:bCs/>
          <w:lang w:val="en-US"/>
        </w:rPr>
        <w:t>135-143</w:t>
      </w:r>
    </w:p>
    <w:p w14:paraId="4C890BD5" w14:textId="469BA6E9" w:rsidR="00445811" w:rsidRPr="00445811" w:rsidRDefault="00445811" w:rsidP="00FB57CF">
      <w:pPr>
        <w:pStyle w:val="Lijstalinea"/>
        <w:numPr>
          <w:ilvl w:val="0"/>
          <w:numId w:val="12"/>
        </w:numPr>
        <w:spacing w:line="360" w:lineRule="auto"/>
        <w:jc w:val="both"/>
        <w:rPr>
          <w:rFonts w:cstheme="minorHAnsi"/>
          <w:bCs/>
          <w:lang w:val="en-US"/>
        </w:rPr>
      </w:pPr>
      <w:r w:rsidRPr="00445811">
        <w:rPr>
          <w:rFonts w:cstheme="minorHAnsi"/>
          <w:bCs/>
        </w:rPr>
        <w:t>Harris VC, Haak BW, Boele van Hensbroek M, Wiersinga WJ.</w:t>
      </w:r>
      <w:r>
        <w:rPr>
          <w:rFonts w:cstheme="minorHAnsi"/>
          <w:bCs/>
        </w:rPr>
        <w:t xml:space="preserve"> </w:t>
      </w:r>
      <w:r w:rsidRPr="00445811">
        <w:rPr>
          <w:rFonts w:cstheme="minorHAnsi"/>
          <w:bCs/>
          <w:lang w:val="en-US"/>
        </w:rPr>
        <w:t>The Intestinal Microbiome in Infectious Diseases: The Clinical Relevance of a Rapidly Emerging Field.</w:t>
      </w:r>
      <w:r>
        <w:rPr>
          <w:rFonts w:cstheme="minorHAnsi"/>
          <w:bCs/>
          <w:lang w:val="en-US"/>
        </w:rPr>
        <w:t xml:space="preserve"> </w:t>
      </w:r>
      <w:r w:rsidRPr="00445811">
        <w:rPr>
          <w:rFonts w:cstheme="minorHAnsi"/>
          <w:bCs/>
          <w:lang w:val="en-US"/>
        </w:rPr>
        <w:t>Open Forum Infect Dis</w:t>
      </w:r>
      <w:r w:rsidR="00264237">
        <w:rPr>
          <w:rFonts w:cstheme="minorHAnsi"/>
          <w:bCs/>
          <w:lang w:val="en-US"/>
        </w:rPr>
        <w:t>,</w:t>
      </w:r>
      <w:r w:rsidRPr="00445811">
        <w:rPr>
          <w:rFonts w:cstheme="minorHAnsi"/>
          <w:bCs/>
          <w:lang w:val="en-US"/>
        </w:rPr>
        <w:t xml:space="preserve"> </w:t>
      </w:r>
      <w:r w:rsidRPr="00264237">
        <w:rPr>
          <w:rFonts w:cstheme="minorHAnsi"/>
          <w:b/>
          <w:lang w:val="en-US"/>
        </w:rPr>
        <w:t>2017</w:t>
      </w:r>
      <w:r w:rsidRPr="00445811">
        <w:rPr>
          <w:rFonts w:cstheme="minorHAnsi"/>
          <w:bCs/>
          <w:lang w:val="en-US"/>
        </w:rPr>
        <w:t>;</w:t>
      </w:r>
      <w:r w:rsidR="00264237">
        <w:rPr>
          <w:rFonts w:cstheme="minorHAnsi"/>
          <w:bCs/>
          <w:lang w:val="en-US"/>
        </w:rPr>
        <w:t xml:space="preserve"> </w:t>
      </w:r>
      <w:r w:rsidRPr="00445811">
        <w:rPr>
          <w:rFonts w:cstheme="minorHAnsi"/>
          <w:bCs/>
          <w:lang w:val="en-US"/>
        </w:rPr>
        <w:t>4:</w:t>
      </w:r>
      <w:r w:rsidR="00264237">
        <w:rPr>
          <w:rFonts w:cstheme="minorHAnsi"/>
          <w:bCs/>
          <w:lang w:val="en-US"/>
        </w:rPr>
        <w:t xml:space="preserve"> </w:t>
      </w:r>
      <w:r w:rsidRPr="00445811">
        <w:rPr>
          <w:rFonts w:cstheme="minorHAnsi"/>
          <w:bCs/>
          <w:lang w:val="en-US"/>
        </w:rPr>
        <w:t>ofx144</w:t>
      </w:r>
    </w:p>
    <w:p w14:paraId="2D294B9E" w14:textId="214DB770" w:rsidR="001A2AD0" w:rsidRPr="005E6B0F" w:rsidRDefault="001A2AD0" w:rsidP="00FB57CF">
      <w:pPr>
        <w:pStyle w:val="Lijstalinea"/>
        <w:numPr>
          <w:ilvl w:val="0"/>
          <w:numId w:val="12"/>
        </w:numPr>
        <w:spacing w:line="360" w:lineRule="auto"/>
        <w:jc w:val="both"/>
        <w:rPr>
          <w:rFonts w:cstheme="minorHAnsi"/>
          <w:bCs/>
          <w:lang w:val="en-US"/>
        </w:rPr>
      </w:pPr>
      <w:r w:rsidRPr="005E6B0F">
        <w:rPr>
          <w:rFonts w:cstheme="minorHAnsi"/>
          <w:bCs/>
          <w:lang w:val="en-US"/>
        </w:rPr>
        <w:t xml:space="preserve">Kim S, Covington A, </w:t>
      </w:r>
      <w:proofErr w:type="spellStart"/>
      <w:r w:rsidRPr="005E6B0F">
        <w:rPr>
          <w:rFonts w:cstheme="minorHAnsi"/>
          <w:bCs/>
          <w:lang w:val="en-US"/>
        </w:rPr>
        <w:t>Pamer</w:t>
      </w:r>
      <w:proofErr w:type="spellEnd"/>
      <w:r w:rsidRPr="005E6B0F">
        <w:rPr>
          <w:rFonts w:cstheme="minorHAnsi"/>
          <w:bCs/>
          <w:lang w:val="en-US"/>
        </w:rPr>
        <w:t xml:space="preserve"> EG. The intestinal microbiota: Antibiotics, colonization resistance, and enteric pathogens. Immunol Rev</w:t>
      </w:r>
      <w:r w:rsidR="00264237">
        <w:rPr>
          <w:rFonts w:cstheme="minorHAnsi"/>
          <w:bCs/>
          <w:lang w:val="en-US"/>
        </w:rPr>
        <w:t>,</w:t>
      </w:r>
      <w:r w:rsidRPr="005E6B0F">
        <w:rPr>
          <w:rFonts w:cstheme="minorHAnsi"/>
          <w:bCs/>
          <w:lang w:val="en-US"/>
        </w:rPr>
        <w:t xml:space="preserve"> </w:t>
      </w:r>
      <w:r w:rsidRPr="00264237">
        <w:rPr>
          <w:rFonts w:cstheme="minorHAnsi"/>
          <w:b/>
          <w:lang w:val="en-US"/>
        </w:rPr>
        <w:t>2017</w:t>
      </w:r>
      <w:r w:rsidRPr="005E6B0F">
        <w:rPr>
          <w:rFonts w:cstheme="minorHAnsi"/>
          <w:bCs/>
          <w:lang w:val="en-US"/>
        </w:rPr>
        <w:t>;</w:t>
      </w:r>
      <w:r w:rsidR="00264237">
        <w:rPr>
          <w:rFonts w:cstheme="minorHAnsi"/>
          <w:bCs/>
          <w:lang w:val="en-US"/>
        </w:rPr>
        <w:t xml:space="preserve"> </w:t>
      </w:r>
      <w:r w:rsidRPr="005E6B0F">
        <w:rPr>
          <w:rFonts w:cstheme="minorHAnsi"/>
          <w:bCs/>
          <w:lang w:val="en-US"/>
        </w:rPr>
        <w:t>279:</w:t>
      </w:r>
      <w:r w:rsidR="00264237">
        <w:rPr>
          <w:rFonts w:cstheme="minorHAnsi"/>
          <w:bCs/>
          <w:lang w:val="en-US"/>
        </w:rPr>
        <w:t xml:space="preserve"> </w:t>
      </w:r>
      <w:r w:rsidRPr="005E6B0F">
        <w:rPr>
          <w:rFonts w:cstheme="minorHAnsi"/>
          <w:bCs/>
          <w:lang w:val="en-US"/>
        </w:rPr>
        <w:t>90-105</w:t>
      </w:r>
    </w:p>
    <w:p w14:paraId="1ED70707" w14:textId="77777777" w:rsidR="00264237" w:rsidRDefault="00D41E04" w:rsidP="00AB5CD5">
      <w:pPr>
        <w:pStyle w:val="Lijstalinea"/>
        <w:numPr>
          <w:ilvl w:val="0"/>
          <w:numId w:val="12"/>
        </w:numPr>
        <w:spacing w:line="360" w:lineRule="auto"/>
        <w:jc w:val="both"/>
        <w:rPr>
          <w:rFonts w:cstheme="minorHAnsi"/>
          <w:bCs/>
          <w:lang w:val="en-US"/>
        </w:rPr>
      </w:pPr>
      <w:r w:rsidRPr="00264237">
        <w:rPr>
          <w:rFonts w:cstheme="minorHAnsi"/>
          <w:bCs/>
        </w:rPr>
        <w:t xml:space="preserve">Bronner DN, Faber F, </w:t>
      </w:r>
      <w:proofErr w:type="spellStart"/>
      <w:r w:rsidRPr="00264237">
        <w:rPr>
          <w:rFonts w:cstheme="minorHAnsi"/>
          <w:bCs/>
        </w:rPr>
        <w:t>Olsan</w:t>
      </w:r>
      <w:proofErr w:type="spellEnd"/>
      <w:r w:rsidRPr="00264237">
        <w:rPr>
          <w:rFonts w:cstheme="minorHAnsi"/>
          <w:bCs/>
        </w:rPr>
        <w:t xml:space="preserve"> EE</w:t>
      </w:r>
      <w:r w:rsidR="00264237" w:rsidRPr="00264237">
        <w:rPr>
          <w:rFonts w:cstheme="minorHAnsi"/>
          <w:bCs/>
        </w:rPr>
        <w:t>, et al</w:t>
      </w:r>
      <w:r w:rsidRPr="00264237">
        <w:rPr>
          <w:rFonts w:cstheme="minorHAnsi"/>
          <w:bCs/>
        </w:rPr>
        <w:t xml:space="preserve">. </w:t>
      </w:r>
      <w:r w:rsidR="001A2AD0" w:rsidRPr="00264237">
        <w:rPr>
          <w:rFonts w:cstheme="minorHAnsi"/>
          <w:bCs/>
          <w:lang w:val="en-US"/>
        </w:rPr>
        <w:t>Genetic Ablation of Butyrate Utilization Attenuates Gastrointestinal Salmonella Disease.</w:t>
      </w:r>
      <w:r w:rsidRPr="00264237">
        <w:rPr>
          <w:rFonts w:cstheme="minorHAnsi"/>
          <w:bCs/>
          <w:lang w:val="en-US"/>
        </w:rPr>
        <w:t xml:space="preserve"> </w:t>
      </w:r>
      <w:r w:rsidR="001A2AD0" w:rsidRPr="00264237">
        <w:rPr>
          <w:rFonts w:cstheme="minorHAnsi"/>
          <w:bCs/>
          <w:lang w:val="en-US"/>
        </w:rPr>
        <w:t>Cell Host Microbe</w:t>
      </w:r>
      <w:r w:rsidR="00264237" w:rsidRPr="00264237">
        <w:rPr>
          <w:rFonts w:cstheme="minorHAnsi"/>
          <w:bCs/>
          <w:lang w:val="en-US"/>
        </w:rPr>
        <w:t>,</w:t>
      </w:r>
      <w:r w:rsidR="001A2AD0" w:rsidRPr="00264237">
        <w:rPr>
          <w:rFonts w:cstheme="minorHAnsi"/>
          <w:bCs/>
          <w:lang w:val="en-US"/>
        </w:rPr>
        <w:t xml:space="preserve"> </w:t>
      </w:r>
      <w:r w:rsidR="001A2AD0" w:rsidRPr="00264237">
        <w:rPr>
          <w:rFonts w:cstheme="minorHAnsi"/>
          <w:b/>
          <w:lang w:val="en-US"/>
        </w:rPr>
        <w:t>2018</w:t>
      </w:r>
      <w:r w:rsidR="001A2AD0" w:rsidRPr="00264237">
        <w:rPr>
          <w:rFonts w:cstheme="minorHAnsi"/>
          <w:bCs/>
          <w:lang w:val="en-US"/>
        </w:rPr>
        <w:t>;</w:t>
      </w:r>
      <w:r w:rsidR="00264237" w:rsidRPr="00264237">
        <w:rPr>
          <w:rFonts w:cstheme="minorHAnsi"/>
          <w:bCs/>
          <w:lang w:val="en-US"/>
        </w:rPr>
        <w:t xml:space="preserve"> </w:t>
      </w:r>
      <w:r w:rsidR="001A2AD0" w:rsidRPr="00264237">
        <w:rPr>
          <w:rFonts w:cstheme="minorHAnsi"/>
          <w:bCs/>
          <w:lang w:val="en-US"/>
        </w:rPr>
        <w:t>23:</w:t>
      </w:r>
      <w:r w:rsidR="00264237" w:rsidRPr="00264237">
        <w:rPr>
          <w:rFonts w:cstheme="minorHAnsi"/>
          <w:bCs/>
          <w:lang w:val="en-US"/>
        </w:rPr>
        <w:t xml:space="preserve"> </w:t>
      </w:r>
      <w:r w:rsidR="001A2AD0" w:rsidRPr="00264237">
        <w:rPr>
          <w:rFonts w:cstheme="minorHAnsi"/>
          <w:bCs/>
          <w:lang w:val="en-US"/>
        </w:rPr>
        <w:t>266-273</w:t>
      </w:r>
      <w:r w:rsidR="00264237">
        <w:rPr>
          <w:rFonts w:cstheme="minorHAnsi"/>
          <w:bCs/>
          <w:lang w:val="en-US"/>
        </w:rPr>
        <w:t xml:space="preserve"> </w:t>
      </w:r>
    </w:p>
    <w:p w14:paraId="26365B57" w14:textId="66425E01" w:rsidR="001A2AD0" w:rsidRPr="00264237" w:rsidRDefault="00D41E04" w:rsidP="00AB5CD5">
      <w:pPr>
        <w:pStyle w:val="Lijstalinea"/>
        <w:numPr>
          <w:ilvl w:val="0"/>
          <w:numId w:val="12"/>
        </w:numPr>
        <w:spacing w:line="360" w:lineRule="auto"/>
        <w:jc w:val="both"/>
        <w:rPr>
          <w:rFonts w:cstheme="minorHAnsi"/>
          <w:bCs/>
          <w:lang w:val="en-US"/>
        </w:rPr>
      </w:pPr>
      <w:r w:rsidRPr="00264237">
        <w:rPr>
          <w:rFonts w:cstheme="minorHAnsi"/>
          <w:bCs/>
          <w:lang w:val="en-US"/>
        </w:rPr>
        <w:t xml:space="preserve">Rivera-Chávez F, Zhang LF, Faber F, </w:t>
      </w:r>
      <w:r w:rsidR="00264237">
        <w:rPr>
          <w:rFonts w:cstheme="minorHAnsi"/>
          <w:bCs/>
          <w:lang w:val="en-US"/>
        </w:rPr>
        <w:t>et al</w:t>
      </w:r>
      <w:r w:rsidRPr="00264237">
        <w:rPr>
          <w:rFonts w:cstheme="minorHAnsi"/>
          <w:bCs/>
          <w:lang w:val="en-US"/>
        </w:rPr>
        <w:t xml:space="preserve">. </w:t>
      </w:r>
      <w:r w:rsidR="001A2AD0" w:rsidRPr="00264237">
        <w:rPr>
          <w:rFonts w:cstheme="minorHAnsi"/>
          <w:bCs/>
          <w:lang w:val="en-US"/>
        </w:rPr>
        <w:t>Depletion of Butyrate-Producing Clostridia from the Gut Microbiota Drives an Aerobic Luminal Expansion of Salmonella.</w:t>
      </w:r>
      <w:r w:rsidRPr="00264237">
        <w:rPr>
          <w:rFonts w:cstheme="minorHAnsi"/>
          <w:bCs/>
          <w:lang w:val="en-US"/>
        </w:rPr>
        <w:t xml:space="preserve"> </w:t>
      </w:r>
      <w:r w:rsidR="001A2AD0" w:rsidRPr="00264237">
        <w:rPr>
          <w:rFonts w:cstheme="minorHAnsi"/>
          <w:bCs/>
          <w:lang w:val="en-US"/>
        </w:rPr>
        <w:t>Cell Host Microbe</w:t>
      </w:r>
      <w:r w:rsidR="00264237">
        <w:rPr>
          <w:rFonts w:cstheme="minorHAnsi"/>
          <w:bCs/>
          <w:lang w:val="en-US"/>
        </w:rPr>
        <w:t>,</w:t>
      </w:r>
      <w:r w:rsidR="001A2AD0" w:rsidRPr="00264237">
        <w:rPr>
          <w:rFonts w:cstheme="minorHAnsi"/>
          <w:bCs/>
          <w:lang w:val="en-US"/>
        </w:rPr>
        <w:t xml:space="preserve"> </w:t>
      </w:r>
      <w:r w:rsidR="001A2AD0" w:rsidRPr="00264237">
        <w:rPr>
          <w:rFonts w:cstheme="minorHAnsi"/>
          <w:b/>
          <w:lang w:val="en-US"/>
        </w:rPr>
        <w:t>2016</w:t>
      </w:r>
      <w:r w:rsidR="001A2AD0" w:rsidRPr="00264237">
        <w:rPr>
          <w:rFonts w:cstheme="minorHAnsi"/>
          <w:bCs/>
          <w:lang w:val="en-US"/>
        </w:rPr>
        <w:t>;</w:t>
      </w:r>
      <w:r w:rsidR="00264237">
        <w:rPr>
          <w:rFonts w:cstheme="minorHAnsi"/>
          <w:bCs/>
          <w:lang w:val="en-US"/>
        </w:rPr>
        <w:t xml:space="preserve"> </w:t>
      </w:r>
      <w:r w:rsidR="001A2AD0" w:rsidRPr="00264237">
        <w:rPr>
          <w:rFonts w:cstheme="minorHAnsi"/>
          <w:bCs/>
          <w:lang w:val="en-US"/>
        </w:rPr>
        <w:t>19:</w:t>
      </w:r>
      <w:r w:rsidR="00264237">
        <w:rPr>
          <w:rFonts w:cstheme="minorHAnsi"/>
          <w:bCs/>
          <w:lang w:val="en-US"/>
        </w:rPr>
        <w:t xml:space="preserve"> </w:t>
      </w:r>
      <w:r w:rsidR="001A2AD0" w:rsidRPr="00264237">
        <w:rPr>
          <w:rFonts w:cstheme="minorHAnsi"/>
          <w:bCs/>
          <w:lang w:val="en-US"/>
        </w:rPr>
        <w:t>443-54</w:t>
      </w:r>
    </w:p>
    <w:p w14:paraId="05DE0C35" w14:textId="59DD9A39" w:rsidR="00D41E04" w:rsidRPr="005E6B0F" w:rsidRDefault="00D41E04" w:rsidP="00FB57CF">
      <w:pPr>
        <w:pStyle w:val="Lijstalinea"/>
        <w:numPr>
          <w:ilvl w:val="0"/>
          <w:numId w:val="12"/>
        </w:numPr>
        <w:spacing w:line="360" w:lineRule="auto"/>
        <w:jc w:val="both"/>
        <w:rPr>
          <w:rFonts w:cstheme="minorHAnsi"/>
          <w:bCs/>
          <w:lang w:val="en-US"/>
        </w:rPr>
      </w:pPr>
      <w:r w:rsidRPr="005E6B0F">
        <w:rPr>
          <w:rFonts w:cstheme="minorHAnsi"/>
          <w:bCs/>
          <w:lang w:val="en-US"/>
        </w:rPr>
        <w:t xml:space="preserve">Jacobson A, Lam L, </w:t>
      </w:r>
      <w:proofErr w:type="spellStart"/>
      <w:r w:rsidRPr="005E6B0F">
        <w:rPr>
          <w:rFonts w:cstheme="minorHAnsi"/>
          <w:bCs/>
          <w:lang w:val="en-US"/>
        </w:rPr>
        <w:t>Rajendram</w:t>
      </w:r>
      <w:proofErr w:type="spellEnd"/>
      <w:r w:rsidRPr="005E6B0F">
        <w:rPr>
          <w:rFonts w:cstheme="minorHAnsi"/>
          <w:bCs/>
          <w:lang w:val="en-US"/>
        </w:rPr>
        <w:t xml:space="preserve"> M, </w:t>
      </w:r>
      <w:r w:rsidR="00264237">
        <w:rPr>
          <w:rFonts w:cstheme="minorHAnsi"/>
          <w:bCs/>
          <w:lang w:val="en-US"/>
        </w:rPr>
        <w:t xml:space="preserve">et al. </w:t>
      </w:r>
      <w:r w:rsidRPr="005E6B0F">
        <w:rPr>
          <w:rFonts w:cstheme="minorHAnsi"/>
          <w:bCs/>
          <w:lang w:val="en-US"/>
        </w:rPr>
        <w:t>A Gut Commensal-Produced Metabolite Mediates Colonization Resistance to Salmonella Infection. Cell Host Microbe</w:t>
      </w:r>
      <w:r w:rsidR="00264237">
        <w:rPr>
          <w:rFonts w:cstheme="minorHAnsi"/>
          <w:bCs/>
          <w:lang w:val="en-US"/>
        </w:rPr>
        <w:t>,</w:t>
      </w:r>
      <w:r w:rsidRPr="005E6B0F">
        <w:rPr>
          <w:rFonts w:cstheme="minorHAnsi"/>
          <w:bCs/>
          <w:lang w:val="en-US"/>
        </w:rPr>
        <w:t xml:space="preserve"> </w:t>
      </w:r>
      <w:r w:rsidRPr="00264237">
        <w:rPr>
          <w:rFonts w:cstheme="minorHAnsi"/>
          <w:b/>
          <w:lang w:val="en-US"/>
        </w:rPr>
        <w:t>2018</w:t>
      </w:r>
      <w:r w:rsidR="00264237">
        <w:rPr>
          <w:rFonts w:cstheme="minorHAnsi"/>
          <w:b/>
          <w:lang w:val="en-US"/>
        </w:rPr>
        <w:t xml:space="preserve">; </w:t>
      </w:r>
      <w:r w:rsidRPr="005E6B0F">
        <w:rPr>
          <w:rFonts w:cstheme="minorHAnsi"/>
          <w:bCs/>
          <w:lang w:val="en-US"/>
        </w:rPr>
        <w:t>24:</w:t>
      </w:r>
      <w:r w:rsidR="00264237">
        <w:rPr>
          <w:rFonts w:cstheme="minorHAnsi"/>
          <w:bCs/>
          <w:lang w:val="en-US"/>
        </w:rPr>
        <w:t xml:space="preserve"> </w:t>
      </w:r>
      <w:r w:rsidRPr="005E6B0F">
        <w:rPr>
          <w:rFonts w:cstheme="minorHAnsi"/>
          <w:bCs/>
          <w:lang w:val="en-US"/>
        </w:rPr>
        <w:t>296-307</w:t>
      </w:r>
    </w:p>
    <w:p w14:paraId="6F0B2A9A" w14:textId="4A08C57E" w:rsidR="001A2AD0" w:rsidRDefault="001A2AD0" w:rsidP="00FB57CF">
      <w:pPr>
        <w:pStyle w:val="Lijstalinea"/>
        <w:numPr>
          <w:ilvl w:val="0"/>
          <w:numId w:val="12"/>
        </w:numPr>
        <w:spacing w:line="360" w:lineRule="auto"/>
        <w:jc w:val="both"/>
        <w:rPr>
          <w:rFonts w:cstheme="minorHAnsi"/>
          <w:bCs/>
          <w:lang w:val="en-US"/>
        </w:rPr>
      </w:pPr>
      <w:proofErr w:type="spellStart"/>
      <w:r w:rsidRPr="005E6B0F">
        <w:rPr>
          <w:rFonts w:cstheme="minorHAnsi"/>
          <w:bCs/>
          <w:lang w:val="en-US"/>
        </w:rPr>
        <w:t>Thiennimitr</w:t>
      </w:r>
      <w:proofErr w:type="spellEnd"/>
      <w:r w:rsidRPr="005E6B0F">
        <w:rPr>
          <w:rFonts w:cstheme="minorHAnsi"/>
          <w:bCs/>
          <w:lang w:val="en-US"/>
        </w:rPr>
        <w:t xml:space="preserve"> P, Winter SE, Baumler AJ</w:t>
      </w:r>
      <w:r w:rsidR="00264237">
        <w:rPr>
          <w:rFonts w:cstheme="minorHAnsi"/>
          <w:bCs/>
          <w:lang w:val="en-US"/>
        </w:rPr>
        <w:t xml:space="preserve">. </w:t>
      </w:r>
      <w:r w:rsidRPr="005E6B0F">
        <w:rPr>
          <w:rFonts w:cstheme="minorHAnsi"/>
          <w:bCs/>
          <w:lang w:val="en-US"/>
        </w:rPr>
        <w:t xml:space="preserve">Salmonella, the host and its microbiota. </w:t>
      </w:r>
      <w:proofErr w:type="spellStart"/>
      <w:r w:rsidRPr="005E6B0F">
        <w:rPr>
          <w:rFonts w:cstheme="minorHAnsi"/>
          <w:bCs/>
          <w:lang w:val="en-US"/>
        </w:rPr>
        <w:t>Curr</w:t>
      </w:r>
      <w:proofErr w:type="spellEnd"/>
      <w:r w:rsidRPr="005E6B0F">
        <w:rPr>
          <w:rFonts w:cstheme="minorHAnsi"/>
          <w:bCs/>
          <w:lang w:val="en-US"/>
        </w:rPr>
        <w:t xml:space="preserve"> </w:t>
      </w:r>
      <w:proofErr w:type="spellStart"/>
      <w:r w:rsidRPr="005E6B0F">
        <w:rPr>
          <w:rFonts w:cstheme="minorHAnsi"/>
          <w:bCs/>
          <w:lang w:val="en-US"/>
        </w:rPr>
        <w:t>Opin</w:t>
      </w:r>
      <w:proofErr w:type="spellEnd"/>
      <w:r w:rsidRPr="005E6B0F">
        <w:rPr>
          <w:rFonts w:cstheme="minorHAnsi"/>
          <w:bCs/>
          <w:lang w:val="en-US"/>
        </w:rPr>
        <w:t xml:space="preserve"> Immunol</w:t>
      </w:r>
      <w:r w:rsidR="00264237">
        <w:rPr>
          <w:rFonts w:cstheme="minorHAnsi"/>
          <w:bCs/>
          <w:lang w:val="en-US"/>
        </w:rPr>
        <w:t xml:space="preserve">, </w:t>
      </w:r>
      <w:r w:rsidR="00264237" w:rsidRPr="00264237">
        <w:rPr>
          <w:rFonts w:cstheme="minorHAnsi"/>
          <w:b/>
          <w:lang w:val="en-US"/>
        </w:rPr>
        <w:t>2012</w:t>
      </w:r>
      <w:r w:rsidR="00264237">
        <w:rPr>
          <w:rFonts w:cstheme="minorHAnsi"/>
          <w:bCs/>
          <w:lang w:val="en-US"/>
        </w:rPr>
        <w:t xml:space="preserve">; </w:t>
      </w:r>
      <w:r w:rsidRPr="005E6B0F">
        <w:rPr>
          <w:rFonts w:cstheme="minorHAnsi"/>
          <w:bCs/>
          <w:lang w:val="en-US"/>
        </w:rPr>
        <w:t>15: 108–114.</w:t>
      </w:r>
    </w:p>
    <w:p w14:paraId="6AB4CE9A" w14:textId="766350F3" w:rsidR="00264237" w:rsidRPr="00264237" w:rsidRDefault="00264237" w:rsidP="00264237">
      <w:pPr>
        <w:pStyle w:val="Lijstalinea"/>
        <w:numPr>
          <w:ilvl w:val="0"/>
          <w:numId w:val="12"/>
        </w:numPr>
        <w:spacing w:line="360" w:lineRule="auto"/>
        <w:jc w:val="both"/>
        <w:rPr>
          <w:lang w:val="en-US"/>
        </w:rPr>
      </w:pPr>
      <w:proofErr w:type="spellStart"/>
      <w:r w:rsidRPr="00264237">
        <w:rPr>
          <w:lang w:val="en-US"/>
        </w:rPr>
        <w:lastRenderedPageBreak/>
        <w:t>Schieber</w:t>
      </w:r>
      <w:proofErr w:type="spellEnd"/>
      <w:r w:rsidRPr="00264237">
        <w:rPr>
          <w:lang w:val="en-US"/>
        </w:rPr>
        <w:t xml:space="preserve"> AM, Lee YM, Chang MW, et al.</w:t>
      </w:r>
      <w:r>
        <w:rPr>
          <w:lang w:val="en-US"/>
        </w:rPr>
        <w:t xml:space="preserve"> </w:t>
      </w:r>
      <w:r w:rsidRPr="00264237">
        <w:rPr>
          <w:lang w:val="en-US"/>
        </w:rPr>
        <w:t>Disease tolerance mediated by microbiome E. coli involves inflammasome and IGF-1 signaling.</w:t>
      </w:r>
      <w:r>
        <w:rPr>
          <w:lang w:val="en-US"/>
        </w:rPr>
        <w:t xml:space="preserve"> </w:t>
      </w:r>
      <w:r w:rsidRPr="00264237">
        <w:rPr>
          <w:lang w:val="en-US"/>
        </w:rPr>
        <w:t xml:space="preserve">Science, </w:t>
      </w:r>
      <w:r w:rsidRPr="00264237">
        <w:rPr>
          <w:b/>
          <w:bCs/>
          <w:lang w:val="en-US"/>
        </w:rPr>
        <w:t>2015</w:t>
      </w:r>
      <w:r w:rsidRPr="00264237">
        <w:rPr>
          <w:lang w:val="en-US"/>
        </w:rPr>
        <w:t>; 350: 558-63</w:t>
      </w:r>
    </w:p>
    <w:p w14:paraId="5362346D" w14:textId="53DC9253" w:rsidR="00D41E04" w:rsidRPr="005E6B0F" w:rsidRDefault="00D41E04" w:rsidP="00264237">
      <w:pPr>
        <w:pStyle w:val="Lijstalinea"/>
        <w:numPr>
          <w:ilvl w:val="0"/>
          <w:numId w:val="12"/>
        </w:numPr>
        <w:spacing w:line="360" w:lineRule="auto"/>
        <w:jc w:val="both"/>
        <w:rPr>
          <w:rFonts w:cstheme="minorHAnsi"/>
          <w:bCs/>
          <w:lang w:val="en-US"/>
        </w:rPr>
      </w:pPr>
      <w:r w:rsidRPr="005E6B0F">
        <w:rPr>
          <w:rFonts w:cstheme="minorHAnsi"/>
          <w:bCs/>
          <w:lang w:val="en-US"/>
        </w:rPr>
        <w:t xml:space="preserve">Zhang Y, Brady A, Jones C, </w:t>
      </w:r>
      <w:r w:rsidR="00AB5CD5">
        <w:rPr>
          <w:rFonts w:cstheme="minorHAnsi"/>
          <w:bCs/>
          <w:lang w:val="en-US"/>
        </w:rPr>
        <w:t>et al</w:t>
      </w:r>
      <w:r w:rsidRPr="005E6B0F">
        <w:rPr>
          <w:rFonts w:cstheme="minorHAnsi"/>
          <w:bCs/>
          <w:lang w:val="en-US"/>
        </w:rPr>
        <w:t xml:space="preserve">. Compositional and Functional Differences in the Human Gut Microbiome Correlate with Clinical Outcome following Infection with Wild-Type Salmonella enterica Serovar Typhi. </w:t>
      </w:r>
      <w:proofErr w:type="spellStart"/>
      <w:r w:rsidRPr="005E6B0F">
        <w:rPr>
          <w:rFonts w:cstheme="minorHAnsi"/>
          <w:bCs/>
          <w:lang w:val="en-US"/>
        </w:rPr>
        <w:t>MBio</w:t>
      </w:r>
      <w:proofErr w:type="spellEnd"/>
      <w:r w:rsidR="00AB5CD5">
        <w:rPr>
          <w:rFonts w:cstheme="minorHAnsi"/>
          <w:bCs/>
          <w:lang w:val="en-US"/>
        </w:rPr>
        <w:t>,</w:t>
      </w:r>
      <w:r w:rsidRPr="005E6B0F">
        <w:rPr>
          <w:rFonts w:cstheme="minorHAnsi"/>
          <w:bCs/>
          <w:lang w:val="en-US"/>
        </w:rPr>
        <w:t xml:space="preserve"> </w:t>
      </w:r>
      <w:r w:rsidRPr="00AB5CD5">
        <w:rPr>
          <w:rFonts w:cstheme="minorHAnsi"/>
          <w:b/>
          <w:lang w:val="en-US"/>
        </w:rPr>
        <w:t>2018</w:t>
      </w:r>
      <w:r w:rsidR="00AB5CD5">
        <w:rPr>
          <w:rFonts w:cstheme="minorHAnsi"/>
          <w:bCs/>
          <w:lang w:val="en-US"/>
        </w:rPr>
        <w:t xml:space="preserve">; </w:t>
      </w:r>
      <w:r w:rsidRPr="005E6B0F">
        <w:rPr>
          <w:rFonts w:cstheme="minorHAnsi"/>
          <w:bCs/>
          <w:lang w:val="en-US"/>
        </w:rPr>
        <w:t>9</w:t>
      </w:r>
      <w:r w:rsidR="00AB5CD5">
        <w:rPr>
          <w:rFonts w:cstheme="minorHAnsi"/>
          <w:bCs/>
          <w:lang w:val="en-US"/>
        </w:rPr>
        <w:t>:</w:t>
      </w:r>
      <w:r w:rsidRPr="005E6B0F">
        <w:rPr>
          <w:rFonts w:cstheme="minorHAnsi"/>
          <w:bCs/>
          <w:lang w:val="en-US"/>
        </w:rPr>
        <w:t xml:space="preserve"> </w:t>
      </w:r>
      <w:proofErr w:type="spellStart"/>
      <w:r w:rsidRPr="005E6B0F">
        <w:rPr>
          <w:rFonts w:cstheme="minorHAnsi"/>
          <w:bCs/>
          <w:lang w:val="en-US"/>
        </w:rPr>
        <w:t>pii</w:t>
      </w:r>
      <w:proofErr w:type="spellEnd"/>
      <w:r w:rsidRPr="005E6B0F">
        <w:rPr>
          <w:rFonts w:cstheme="minorHAnsi"/>
          <w:bCs/>
          <w:lang w:val="en-US"/>
        </w:rPr>
        <w:t>: e00686-18</w:t>
      </w:r>
    </w:p>
    <w:p w14:paraId="145EADC2" w14:textId="4A61E21C" w:rsidR="00D41E04" w:rsidRPr="005E6B0F" w:rsidRDefault="00D41E04" w:rsidP="00FB57CF">
      <w:pPr>
        <w:pStyle w:val="Lijstalinea"/>
        <w:numPr>
          <w:ilvl w:val="0"/>
          <w:numId w:val="12"/>
        </w:numPr>
        <w:spacing w:line="360" w:lineRule="auto"/>
        <w:jc w:val="both"/>
        <w:rPr>
          <w:rFonts w:cstheme="minorHAnsi"/>
          <w:bCs/>
          <w:lang w:val="en-US"/>
        </w:rPr>
      </w:pPr>
      <w:r w:rsidRPr="00AB5CD5">
        <w:rPr>
          <w:rFonts w:cstheme="minorHAnsi"/>
          <w:bCs/>
        </w:rPr>
        <w:t xml:space="preserve">de Jong HK, Parry CM, van der Vaart TW, </w:t>
      </w:r>
      <w:r w:rsidR="00AB5CD5" w:rsidRPr="00AB5CD5">
        <w:rPr>
          <w:rFonts w:cstheme="minorHAnsi"/>
          <w:bCs/>
        </w:rPr>
        <w:t>et al.</w:t>
      </w:r>
      <w:r w:rsidRPr="00AB5CD5">
        <w:rPr>
          <w:rFonts w:cstheme="minorHAnsi"/>
          <w:bCs/>
        </w:rPr>
        <w:t xml:space="preserve"> </w:t>
      </w:r>
      <w:r w:rsidRPr="005E6B0F">
        <w:rPr>
          <w:rFonts w:cstheme="minorHAnsi"/>
          <w:bCs/>
          <w:lang w:val="en-US"/>
        </w:rPr>
        <w:t>Activation of coagulation and endothelium with concurrent impairment of anticoagulant mechanisms in patients with typhoid fever. J Infect</w:t>
      </w:r>
      <w:r w:rsidR="00AB5CD5">
        <w:rPr>
          <w:rFonts w:cstheme="minorHAnsi"/>
          <w:bCs/>
          <w:lang w:val="en-US"/>
        </w:rPr>
        <w:t>,</w:t>
      </w:r>
      <w:r w:rsidRPr="005E6B0F">
        <w:rPr>
          <w:rFonts w:cstheme="minorHAnsi"/>
          <w:bCs/>
          <w:lang w:val="en-US"/>
        </w:rPr>
        <w:t xml:space="preserve"> </w:t>
      </w:r>
      <w:r w:rsidRPr="00AB5CD5">
        <w:rPr>
          <w:rFonts w:cstheme="minorHAnsi"/>
          <w:b/>
          <w:lang w:val="en-US"/>
        </w:rPr>
        <w:t>2018</w:t>
      </w:r>
      <w:r w:rsidRPr="005E6B0F">
        <w:rPr>
          <w:rFonts w:cstheme="minorHAnsi"/>
          <w:bCs/>
          <w:lang w:val="en-US"/>
        </w:rPr>
        <w:t>;</w:t>
      </w:r>
      <w:r w:rsidR="00AB5CD5">
        <w:rPr>
          <w:rFonts w:cstheme="minorHAnsi"/>
          <w:bCs/>
          <w:lang w:val="en-US"/>
        </w:rPr>
        <w:t xml:space="preserve"> </w:t>
      </w:r>
      <w:r w:rsidRPr="005E6B0F">
        <w:rPr>
          <w:rFonts w:cstheme="minorHAnsi"/>
          <w:bCs/>
          <w:lang w:val="en-US"/>
        </w:rPr>
        <w:t>77:</w:t>
      </w:r>
      <w:r w:rsidR="00AB5CD5">
        <w:rPr>
          <w:rFonts w:cstheme="minorHAnsi"/>
          <w:bCs/>
          <w:lang w:val="en-US"/>
        </w:rPr>
        <w:t xml:space="preserve"> </w:t>
      </w:r>
      <w:r w:rsidRPr="005E6B0F">
        <w:rPr>
          <w:rFonts w:cstheme="minorHAnsi"/>
          <w:bCs/>
          <w:lang w:val="en-US"/>
        </w:rPr>
        <w:t>60-67</w:t>
      </w:r>
    </w:p>
    <w:p w14:paraId="5E1E2618" w14:textId="410C7217" w:rsidR="00D41E04" w:rsidRDefault="00D41E04" w:rsidP="00FB57CF">
      <w:pPr>
        <w:pStyle w:val="Lijstalinea"/>
        <w:numPr>
          <w:ilvl w:val="0"/>
          <w:numId w:val="12"/>
        </w:numPr>
        <w:spacing w:line="360" w:lineRule="auto"/>
        <w:jc w:val="both"/>
        <w:rPr>
          <w:rFonts w:cstheme="minorHAnsi"/>
          <w:bCs/>
          <w:lang w:val="en-US"/>
        </w:rPr>
      </w:pPr>
      <w:r w:rsidRPr="005E6B0F">
        <w:rPr>
          <w:rFonts w:cstheme="minorHAnsi"/>
          <w:bCs/>
          <w:lang w:val="en-US"/>
        </w:rPr>
        <w:t xml:space="preserve">Maude RR, Ghose A, Samad R, </w:t>
      </w:r>
      <w:r w:rsidR="00AB5CD5">
        <w:rPr>
          <w:rFonts w:cstheme="minorHAnsi"/>
          <w:bCs/>
          <w:lang w:val="en-US"/>
        </w:rPr>
        <w:t>et al.</w:t>
      </w:r>
      <w:r w:rsidRPr="005E6B0F">
        <w:rPr>
          <w:rFonts w:cstheme="minorHAnsi"/>
          <w:bCs/>
          <w:lang w:val="en-US"/>
        </w:rPr>
        <w:t xml:space="preserve"> A prospective study of the importance of enteric fever as a cause of non-malarial febrile illness in patients admitted to Chittagong Medical College Hospital, Bangladesh. BMC Infect Dis</w:t>
      </w:r>
      <w:r w:rsidR="00AB5CD5">
        <w:rPr>
          <w:rFonts w:cstheme="minorHAnsi"/>
          <w:bCs/>
          <w:lang w:val="en-US"/>
        </w:rPr>
        <w:t>,</w:t>
      </w:r>
      <w:r w:rsidRPr="005E6B0F">
        <w:rPr>
          <w:rFonts w:cstheme="minorHAnsi"/>
          <w:bCs/>
          <w:lang w:val="en-US"/>
        </w:rPr>
        <w:t xml:space="preserve"> </w:t>
      </w:r>
      <w:r w:rsidRPr="00AB5CD5">
        <w:rPr>
          <w:rFonts w:cstheme="minorHAnsi"/>
          <w:b/>
          <w:lang w:val="en-US"/>
        </w:rPr>
        <w:t>2016</w:t>
      </w:r>
      <w:r w:rsidRPr="005E6B0F">
        <w:rPr>
          <w:rFonts w:cstheme="minorHAnsi"/>
          <w:bCs/>
          <w:lang w:val="en-US"/>
        </w:rPr>
        <w:t>;</w:t>
      </w:r>
      <w:r w:rsidR="00AB5CD5">
        <w:rPr>
          <w:rFonts w:cstheme="minorHAnsi"/>
          <w:bCs/>
          <w:lang w:val="en-US"/>
        </w:rPr>
        <w:t xml:space="preserve"> </w:t>
      </w:r>
      <w:r w:rsidRPr="005E6B0F">
        <w:rPr>
          <w:rFonts w:cstheme="minorHAnsi"/>
          <w:bCs/>
          <w:lang w:val="en-US"/>
        </w:rPr>
        <w:t>16:</w:t>
      </w:r>
      <w:r w:rsidR="00AB5CD5">
        <w:rPr>
          <w:rFonts w:cstheme="minorHAnsi"/>
          <w:bCs/>
          <w:lang w:val="en-US"/>
        </w:rPr>
        <w:t xml:space="preserve"> </w:t>
      </w:r>
      <w:r w:rsidRPr="005E6B0F">
        <w:rPr>
          <w:rFonts w:cstheme="minorHAnsi"/>
          <w:bCs/>
          <w:lang w:val="en-US"/>
        </w:rPr>
        <w:t>567.</w:t>
      </w:r>
    </w:p>
    <w:p w14:paraId="5FA9DA40" w14:textId="0524D1DD" w:rsidR="00A23935" w:rsidRPr="00F72996" w:rsidRDefault="00767F7E" w:rsidP="00FB57CF">
      <w:pPr>
        <w:pStyle w:val="Lijstalinea"/>
        <w:numPr>
          <w:ilvl w:val="0"/>
          <w:numId w:val="12"/>
        </w:numPr>
        <w:spacing w:line="360" w:lineRule="auto"/>
        <w:jc w:val="both"/>
        <w:rPr>
          <w:rFonts w:cstheme="minorHAnsi"/>
          <w:bCs/>
          <w:lang w:val="en-US"/>
        </w:rPr>
      </w:pPr>
      <w:hyperlink r:id="rId11" w:history="1">
        <w:r w:rsidR="00A23935" w:rsidRPr="00AB5CD5">
          <w:rPr>
            <w:rStyle w:val="highlight"/>
            <w:rFonts w:cstheme="minorHAnsi"/>
          </w:rPr>
          <w:t>de Jong</w:t>
        </w:r>
        <w:r w:rsidR="00A23935" w:rsidRPr="00AB5CD5">
          <w:rPr>
            <w:rStyle w:val="Hyperlink"/>
            <w:rFonts w:cstheme="minorHAnsi"/>
            <w:color w:val="auto"/>
            <w:u w:val="none"/>
          </w:rPr>
          <w:t> HK</w:t>
        </w:r>
      </w:hyperlink>
      <w:r w:rsidR="00AB5CD5" w:rsidRPr="00AB5CD5">
        <w:rPr>
          <w:rStyle w:val="Hyperlink"/>
          <w:rFonts w:cstheme="minorHAnsi"/>
          <w:color w:val="auto"/>
          <w:u w:val="none"/>
        </w:rPr>
        <w:t xml:space="preserve">, </w:t>
      </w:r>
      <w:proofErr w:type="spellStart"/>
      <w:r w:rsidR="00AB5CD5" w:rsidRPr="00AB5CD5">
        <w:rPr>
          <w:rFonts w:cstheme="minorHAnsi"/>
        </w:rPr>
        <w:t>Garcia-Laorden</w:t>
      </w:r>
      <w:proofErr w:type="spellEnd"/>
      <w:r w:rsidR="00AB5CD5" w:rsidRPr="00AB5CD5">
        <w:rPr>
          <w:rFonts w:cstheme="minorHAnsi"/>
        </w:rPr>
        <w:t xml:space="preserve"> MI, Hoogendijk AJ, et al.</w:t>
      </w:r>
      <w:r w:rsidR="00A23935" w:rsidRPr="00AB5CD5">
        <w:rPr>
          <w:rFonts w:cstheme="minorHAnsi"/>
          <w:vertAlign w:val="superscript"/>
        </w:rPr>
        <w:t xml:space="preserve"> </w:t>
      </w:r>
      <w:r w:rsidR="00A23935" w:rsidRPr="00AB5CD5">
        <w:rPr>
          <w:rFonts w:cstheme="minorHAnsi"/>
          <w:lang w:val="en-US"/>
        </w:rPr>
        <w:t>Expression of intra- and extracellular granzymes in patients with typhoid fever</w:t>
      </w:r>
      <w:r w:rsidR="003715DB">
        <w:rPr>
          <w:rFonts w:cstheme="minorHAnsi"/>
          <w:lang w:val="en-US"/>
        </w:rPr>
        <w:t xml:space="preserve">. </w:t>
      </w:r>
      <w:proofErr w:type="spellStart"/>
      <w:r w:rsidR="003715DB" w:rsidRPr="003715DB">
        <w:rPr>
          <w:rFonts w:cstheme="minorHAnsi"/>
          <w:lang w:val="en-US"/>
        </w:rPr>
        <w:t>PLoS</w:t>
      </w:r>
      <w:proofErr w:type="spellEnd"/>
      <w:r w:rsidR="003715DB" w:rsidRPr="003715DB">
        <w:rPr>
          <w:rFonts w:cstheme="minorHAnsi"/>
          <w:lang w:val="en-US"/>
        </w:rPr>
        <w:t xml:space="preserve"> </w:t>
      </w:r>
      <w:proofErr w:type="spellStart"/>
      <w:r w:rsidR="003715DB" w:rsidRPr="003715DB">
        <w:rPr>
          <w:rFonts w:cstheme="minorHAnsi"/>
          <w:lang w:val="en-US"/>
        </w:rPr>
        <w:t>Negl</w:t>
      </w:r>
      <w:proofErr w:type="spellEnd"/>
      <w:r w:rsidR="003715DB" w:rsidRPr="003715DB">
        <w:rPr>
          <w:rFonts w:cstheme="minorHAnsi"/>
          <w:lang w:val="en-US"/>
        </w:rPr>
        <w:t xml:space="preserve"> Trop Dis. </w:t>
      </w:r>
      <w:r w:rsidR="003715DB" w:rsidRPr="003715DB">
        <w:rPr>
          <w:rFonts w:cstheme="minorHAnsi"/>
          <w:b/>
          <w:bCs/>
          <w:lang w:val="en-US"/>
        </w:rPr>
        <w:t>2017</w:t>
      </w:r>
      <w:r w:rsidR="003715DB" w:rsidRPr="003715DB">
        <w:rPr>
          <w:rFonts w:cstheme="minorHAnsi"/>
          <w:lang w:val="en-US"/>
        </w:rPr>
        <w:t>;</w:t>
      </w:r>
      <w:r w:rsidR="003715DB">
        <w:rPr>
          <w:rFonts w:cstheme="minorHAnsi"/>
          <w:lang w:val="en-US"/>
        </w:rPr>
        <w:t xml:space="preserve"> </w:t>
      </w:r>
      <w:r w:rsidR="003715DB" w:rsidRPr="003715DB">
        <w:rPr>
          <w:rFonts w:cstheme="minorHAnsi"/>
          <w:lang w:val="en-US"/>
        </w:rPr>
        <w:t>11:e0005823</w:t>
      </w:r>
      <w:r w:rsidR="00A23935" w:rsidRPr="00AB5CD5">
        <w:rPr>
          <w:rFonts w:cstheme="minorHAnsi"/>
          <w:lang w:val="en-US"/>
        </w:rPr>
        <w:t xml:space="preserve"> </w:t>
      </w:r>
    </w:p>
    <w:p w14:paraId="7093B445" w14:textId="3420E548" w:rsidR="00F72996" w:rsidRDefault="00F72996" w:rsidP="00F72996">
      <w:pPr>
        <w:pStyle w:val="Lijstalinea"/>
        <w:numPr>
          <w:ilvl w:val="0"/>
          <w:numId w:val="12"/>
        </w:numPr>
        <w:spacing w:line="360" w:lineRule="auto"/>
        <w:jc w:val="both"/>
        <w:rPr>
          <w:rFonts w:cstheme="minorHAnsi"/>
          <w:bCs/>
          <w:lang w:val="en-US"/>
        </w:rPr>
      </w:pPr>
      <w:proofErr w:type="spellStart"/>
      <w:r w:rsidRPr="00136B1F">
        <w:rPr>
          <w:rFonts w:cstheme="minorHAnsi"/>
          <w:bCs/>
          <w:lang w:val="en-US"/>
        </w:rPr>
        <w:t>Vandeputte</w:t>
      </w:r>
      <w:proofErr w:type="spellEnd"/>
      <w:r w:rsidRPr="00136B1F">
        <w:rPr>
          <w:rFonts w:cstheme="minorHAnsi"/>
          <w:bCs/>
          <w:lang w:val="en-US"/>
        </w:rPr>
        <w:t xml:space="preserve"> D, Tito RY, </w:t>
      </w:r>
      <w:proofErr w:type="spellStart"/>
      <w:r w:rsidRPr="00136B1F">
        <w:rPr>
          <w:rFonts w:cstheme="minorHAnsi"/>
          <w:bCs/>
          <w:lang w:val="en-US"/>
        </w:rPr>
        <w:t>Vanleeuwen</w:t>
      </w:r>
      <w:proofErr w:type="spellEnd"/>
      <w:r w:rsidRPr="00136B1F">
        <w:rPr>
          <w:rFonts w:cstheme="minorHAnsi"/>
          <w:bCs/>
          <w:lang w:val="en-US"/>
        </w:rPr>
        <w:t xml:space="preserve"> R, </w:t>
      </w:r>
      <w:proofErr w:type="spellStart"/>
      <w:r w:rsidRPr="00136B1F">
        <w:rPr>
          <w:rFonts w:cstheme="minorHAnsi"/>
          <w:bCs/>
          <w:lang w:val="en-US"/>
        </w:rPr>
        <w:t>Falony</w:t>
      </w:r>
      <w:proofErr w:type="spellEnd"/>
      <w:r w:rsidRPr="00136B1F">
        <w:rPr>
          <w:rFonts w:cstheme="minorHAnsi"/>
          <w:bCs/>
          <w:lang w:val="en-US"/>
        </w:rPr>
        <w:t xml:space="preserve"> G, </w:t>
      </w:r>
      <w:proofErr w:type="spellStart"/>
      <w:r w:rsidRPr="00136B1F">
        <w:rPr>
          <w:rFonts w:cstheme="minorHAnsi"/>
          <w:bCs/>
          <w:lang w:val="en-US"/>
        </w:rPr>
        <w:t>Raes</w:t>
      </w:r>
      <w:proofErr w:type="spellEnd"/>
      <w:r w:rsidRPr="00136B1F">
        <w:rPr>
          <w:rFonts w:cstheme="minorHAnsi"/>
          <w:bCs/>
          <w:lang w:val="en-US"/>
        </w:rPr>
        <w:t xml:space="preserve"> J. </w:t>
      </w:r>
      <w:r w:rsidRPr="00F72996">
        <w:rPr>
          <w:rFonts w:cstheme="minorHAnsi"/>
          <w:bCs/>
          <w:lang w:val="en-US"/>
        </w:rPr>
        <w:t>Practical considerations for large-scale gut microbiome studies .</w:t>
      </w:r>
      <w:r>
        <w:rPr>
          <w:rFonts w:cstheme="minorHAnsi"/>
          <w:bCs/>
          <w:lang w:val="en-US"/>
        </w:rPr>
        <w:t xml:space="preserve"> </w:t>
      </w:r>
      <w:r w:rsidRPr="00F72996">
        <w:rPr>
          <w:rFonts w:cstheme="minorHAnsi"/>
          <w:bCs/>
          <w:lang w:val="en-US"/>
        </w:rPr>
        <w:t>FEMS Microbiology Reviews</w:t>
      </w:r>
      <w:r>
        <w:rPr>
          <w:rFonts w:cstheme="minorHAnsi"/>
          <w:bCs/>
          <w:lang w:val="en-US"/>
        </w:rPr>
        <w:t xml:space="preserve">. </w:t>
      </w:r>
      <w:r>
        <w:rPr>
          <w:rFonts w:cstheme="minorHAnsi"/>
          <w:b/>
          <w:lang w:val="en-US"/>
        </w:rPr>
        <w:t xml:space="preserve">2017; </w:t>
      </w:r>
      <w:r w:rsidRPr="00F72996">
        <w:rPr>
          <w:rFonts w:cstheme="minorHAnsi"/>
          <w:bCs/>
          <w:lang w:val="en-US"/>
        </w:rPr>
        <w:t>41</w:t>
      </w:r>
      <w:r>
        <w:rPr>
          <w:rFonts w:cstheme="minorHAnsi"/>
          <w:bCs/>
          <w:lang w:val="en-US"/>
        </w:rPr>
        <w:t>:</w:t>
      </w:r>
      <w:r w:rsidRPr="00F72996">
        <w:rPr>
          <w:rFonts w:cstheme="minorHAnsi"/>
          <w:bCs/>
          <w:lang w:val="en-US"/>
        </w:rPr>
        <w:t>S154–S167,</w:t>
      </w:r>
    </w:p>
    <w:p w14:paraId="6D08DCC9" w14:textId="79A537CE" w:rsidR="00F72996" w:rsidRPr="00136B1F" w:rsidRDefault="00136B1F" w:rsidP="00136B1F">
      <w:pPr>
        <w:pStyle w:val="Lijstalinea"/>
        <w:numPr>
          <w:ilvl w:val="0"/>
          <w:numId w:val="12"/>
        </w:numPr>
        <w:spacing w:line="360" w:lineRule="auto"/>
        <w:jc w:val="both"/>
        <w:rPr>
          <w:rFonts w:cstheme="minorHAnsi"/>
          <w:bCs/>
          <w:lang w:val="en-US"/>
        </w:rPr>
      </w:pPr>
      <w:r w:rsidRPr="00136B1F">
        <w:rPr>
          <w:rFonts w:cstheme="minorHAnsi"/>
          <w:bCs/>
          <w:lang w:val="en-US"/>
        </w:rPr>
        <w:t xml:space="preserve">Carruthers LV, Moses A, </w:t>
      </w:r>
      <w:proofErr w:type="spellStart"/>
      <w:r w:rsidRPr="00136B1F">
        <w:rPr>
          <w:rFonts w:cstheme="minorHAnsi"/>
          <w:bCs/>
          <w:lang w:val="en-US"/>
        </w:rPr>
        <w:t>Adriko</w:t>
      </w:r>
      <w:proofErr w:type="spellEnd"/>
      <w:r w:rsidRPr="00136B1F">
        <w:rPr>
          <w:rFonts w:cstheme="minorHAnsi"/>
          <w:bCs/>
          <w:lang w:val="en-US"/>
        </w:rPr>
        <w:t xml:space="preserve"> M, </w:t>
      </w:r>
      <w:r>
        <w:rPr>
          <w:rFonts w:cstheme="minorHAnsi"/>
          <w:bCs/>
          <w:lang w:val="en-US"/>
        </w:rPr>
        <w:t>et al</w:t>
      </w:r>
      <w:r w:rsidRPr="00136B1F">
        <w:rPr>
          <w:rFonts w:cstheme="minorHAnsi"/>
          <w:bCs/>
          <w:lang w:val="en-US"/>
        </w:rPr>
        <w:t xml:space="preserve">.. The impact of storage conditions on human stool 16S rRNA microbiome composition and diversity. </w:t>
      </w:r>
      <w:proofErr w:type="spellStart"/>
      <w:r w:rsidRPr="00136B1F">
        <w:rPr>
          <w:rFonts w:cstheme="minorHAnsi"/>
          <w:bCs/>
          <w:lang w:val="en-US"/>
        </w:rPr>
        <w:t>PeerJ</w:t>
      </w:r>
      <w:proofErr w:type="spellEnd"/>
      <w:r>
        <w:rPr>
          <w:rFonts w:cstheme="minorHAnsi"/>
          <w:bCs/>
          <w:lang w:val="en-US"/>
        </w:rPr>
        <w:t xml:space="preserve">. </w:t>
      </w:r>
      <w:r w:rsidRPr="00136B1F">
        <w:rPr>
          <w:rFonts w:cstheme="minorHAnsi"/>
          <w:b/>
          <w:lang w:val="en-US"/>
        </w:rPr>
        <w:t>2019</w:t>
      </w:r>
      <w:r w:rsidRPr="00136B1F">
        <w:rPr>
          <w:rFonts w:cstheme="minorHAnsi"/>
          <w:bCs/>
          <w:lang w:val="en-US"/>
        </w:rPr>
        <w:t xml:space="preserve"> 7:e8133</w:t>
      </w:r>
    </w:p>
    <w:p w14:paraId="20B08092" w14:textId="6ED94616" w:rsidR="00313590" w:rsidRPr="00D07CE9" w:rsidRDefault="00313590" w:rsidP="00313590">
      <w:pPr>
        <w:pStyle w:val="Lijstalinea"/>
        <w:numPr>
          <w:ilvl w:val="0"/>
          <w:numId w:val="12"/>
        </w:numPr>
        <w:spacing w:line="360" w:lineRule="auto"/>
      </w:pPr>
      <w:proofErr w:type="spellStart"/>
      <w:r w:rsidRPr="00F041A2">
        <w:rPr>
          <w:lang w:val="en-US"/>
        </w:rPr>
        <w:t>Costea</w:t>
      </w:r>
      <w:proofErr w:type="spellEnd"/>
      <w:r w:rsidR="00F041A2" w:rsidRPr="00F041A2">
        <w:rPr>
          <w:lang w:val="en-US"/>
        </w:rPr>
        <w:t xml:space="preserve"> PI, Zeller G, </w:t>
      </w:r>
      <w:proofErr w:type="spellStart"/>
      <w:r w:rsidR="00F041A2" w:rsidRPr="00F041A2">
        <w:rPr>
          <w:lang w:val="en-US"/>
        </w:rPr>
        <w:t>Sunagawa</w:t>
      </w:r>
      <w:proofErr w:type="spellEnd"/>
      <w:r w:rsidR="00F041A2" w:rsidRPr="00F041A2">
        <w:rPr>
          <w:lang w:val="en-US"/>
        </w:rPr>
        <w:t xml:space="preserve"> S</w:t>
      </w:r>
      <w:r w:rsidR="00F041A2">
        <w:rPr>
          <w:lang w:val="en-US"/>
        </w:rPr>
        <w:t>, et al</w:t>
      </w:r>
      <w:r w:rsidRPr="00F041A2">
        <w:rPr>
          <w:lang w:val="en-US"/>
        </w:rPr>
        <w:t xml:space="preserve">. </w:t>
      </w:r>
      <w:r w:rsidRPr="00313590">
        <w:rPr>
          <w:lang w:val="en-US"/>
        </w:rPr>
        <w:t xml:space="preserve">Towards standards for human fecal sample processing in metagenomic studies. </w:t>
      </w:r>
      <w:r w:rsidRPr="00D07CE9">
        <w:t xml:space="preserve">Nat </w:t>
      </w:r>
      <w:proofErr w:type="spellStart"/>
      <w:r w:rsidRPr="00D07CE9">
        <w:t>Biotechnol</w:t>
      </w:r>
      <w:proofErr w:type="spellEnd"/>
      <w:r w:rsidR="00F041A2">
        <w:t xml:space="preserve">, </w:t>
      </w:r>
      <w:r w:rsidR="00F041A2">
        <w:rPr>
          <w:b/>
          <w:bCs/>
        </w:rPr>
        <w:t>2017</w:t>
      </w:r>
      <w:r w:rsidR="00F041A2">
        <w:t>;</w:t>
      </w:r>
      <w:r w:rsidRPr="00D07CE9">
        <w:t xml:space="preserve"> 35</w:t>
      </w:r>
      <w:r w:rsidR="00F041A2">
        <w:t>:</w:t>
      </w:r>
      <w:r w:rsidRPr="00D07CE9">
        <w:t xml:space="preserve"> 1069–1076</w:t>
      </w:r>
    </w:p>
    <w:p w14:paraId="0668D387" w14:textId="7E879823" w:rsidR="00F041A2" w:rsidRDefault="00313590" w:rsidP="00E01817">
      <w:pPr>
        <w:pStyle w:val="Lijstalinea"/>
        <w:numPr>
          <w:ilvl w:val="0"/>
          <w:numId w:val="12"/>
        </w:numPr>
        <w:spacing w:line="360" w:lineRule="auto"/>
        <w:rPr>
          <w:lang w:val="en-US"/>
        </w:rPr>
      </w:pPr>
      <w:proofErr w:type="spellStart"/>
      <w:r w:rsidRPr="00F041A2">
        <w:rPr>
          <w:lang w:val="en-US"/>
        </w:rPr>
        <w:t>Kozich</w:t>
      </w:r>
      <w:proofErr w:type="spellEnd"/>
      <w:r w:rsidRPr="00F041A2">
        <w:rPr>
          <w:lang w:val="en-US"/>
        </w:rPr>
        <w:t xml:space="preserve"> JJ, Westcott SL, Baxter NT, Highlander SK &amp; Schloss PD</w:t>
      </w:r>
      <w:r w:rsidR="00F041A2" w:rsidRPr="00F041A2">
        <w:rPr>
          <w:lang w:val="en-US"/>
        </w:rPr>
        <w:t>.</w:t>
      </w:r>
      <w:r w:rsidRPr="00F041A2">
        <w:rPr>
          <w:lang w:val="en-US"/>
        </w:rPr>
        <w:t xml:space="preserve"> Development of a dual-index sequencing strategy and curation pipeline for analyzing amplicon sequence data on the MiSeq Illumina sequencing platform. Appl Environ Microbiol</w:t>
      </w:r>
      <w:r w:rsidR="00F041A2">
        <w:rPr>
          <w:lang w:val="en-US"/>
        </w:rPr>
        <w:t>,</w:t>
      </w:r>
      <w:r w:rsidRPr="00F041A2">
        <w:rPr>
          <w:lang w:val="en-US"/>
        </w:rPr>
        <w:t xml:space="preserve"> </w:t>
      </w:r>
      <w:r w:rsidR="00F041A2" w:rsidRPr="00F041A2">
        <w:rPr>
          <w:b/>
          <w:bCs/>
          <w:lang w:val="en-US"/>
        </w:rPr>
        <w:t>2013</w:t>
      </w:r>
      <w:r w:rsidR="00F041A2" w:rsidRPr="00F041A2">
        <w:rPr>
          <w:lang w:val="en-US"/>
        </w:rPr>
        <w:t>;</w:t>
      </w:r>
      <w:r w:rsidR="00F041A2">
        <w:rPr>
          <w:lang w:val="en-US"/>
        </w:rPr>
        <w:t xml:space="preserve"> </w:t>
      </w:r>
      <w:r w:rsidR="00F041A2" w:rsidRPr="00F041A2">
        <w:rPr>
          <w:lang w:val="en-US"/>
        </w:rPr>
        <w:t>79:</w:t>
      </w:r>
      <w:r w:rsidR="00F041A2">
        <w:rPr>
          <w:lang w:val="en-US"/>
        </w:rPr>
        <w:t xml:space="preserve"> </w:t>
      </w:r>
      <w:r w:rsidR="00F041A2" w:rsidRPr="00F041A2">
        <w:rPr>
          <w:lang w:val="en-US"/>
        </w:rPr>
        <w:t>5112-20</w:t>
      </w:r>
    </w:p>
    <w:p w14:paraId="128BD451" w14:textId="1CF88DE9" w:rsidR="00313590" w:rsidRPr="00F041A2" w:rsidRDefault="00313590" w:rsidP="00E01817">
      <w:pPr>
        <w:pStyle w:val="Lijstalinea"/>
        <w:numPr>
          <w:ilvl w:val="0"/>
          <w:numId w:val="12"/>
        </w:numPr>
        <w:spacing w:line="360" w:lineRule="auto"/>
        <w:rPr>
          <w:lang w:val="en-US"/>
        </w:rPr>
      </w:pPr>
      <w:r w:rsidRPr="00F041A2">
        <w:rPr>
          <w:lang w:val="en-US"/>
        </w:rPr>
        <w:t>Edgar</w:t>
      </w:r>
      <w:r w:rsidR="00F041A2" w:rsidRPr="00F041A2">
        <w:rPr>
          <w:lang w:val="en-US"/>
        </w:rPr>
        <w:t xml:space="preserve"> </w:t>
      </w:r>
      <w:r w:rsidRPr="00F041A2">
        <w:rPr>
          <w:lang w:val="en-US"/>
        </w:rPr>
        <w:t>RC</w:t>
      </w:r>
      <w:r w:rsidR="00F041A2" w:rsidRPr="00F041A2">
        <w:rPr>
          <w:lang w:val="en-US"/>
        </w:rPr>
        <w:t>.</w:t>
      </w:r>
      <w:r w:rsidRPr="00F041A2">
        <w:rPr>
          <w:lang w:val="en-US"/>
        </w:rPr>
        <w:t xml:space="preserve"> Search and clustering orders of magnitude faster than BLAST. Bioinformatics</w:t>
      </w:r>
      <w:r w:rsidR="00F041A2" w:rsidRPr="00F041A2">
        <w:rPr>
          <w:lang w:val="en-US"/>
        </w:rPr>
        <w:t xml:space="preserve">, </w:t>
      </w:r>
      <w:r w:rsidR="00F041A2" w:rsidRPr="00F041A2">
        <w:rPr>
          <w:b/>
          <w:bCs/>
          <w:lang w:val="en-US"/>
        </w:rPr>
        <w:t>2010</w:t>
      </w:r>
      <w:r w:rsidR="00F041A2" w:rsidRPr="00F041A2">
        <w:rPr>
          <w:lang w:val="en-US"/>
        </w:rPr>
        <w:t>;</w:t>
      </w:r>
      <w:r w:rsidRPr="00F041A2">
        <w:rPr>
          <w:lang w:val="en-US"/>
        </w:rPr>
        <w:t xml:space="preserve"> 26</w:t>
      </w:r>
      <w:r w:rsidR="00F041A2" w:rsidRPr="00F041A2">
        <w:rPr>
          <w:lang w:val="en-US"/>
        </w:rPr>
        <w:t>:</w:t>
      </w:r>
      <w:r w:rsidRPr="00F041A2">
        <w:rPr>
          <w:lang w:val="en-US"/>
        </w:rPr>
        <w:t xml:space="preserve"> 2460–2461 </w:t>
      </w:r>
    </w:p>
    <w:p w14:paraId="7720F896" w14:textId="0546821C" w:rsidR="00CD514E" w:rsidRPr="00CD514E" w:rsidRDefault="00CD514E" w:rsidP="00CD514E">
      <w:pPr>
        <w:pStyle w:val="Lijstalinea"/>
        <w:numPr>
          <w:ilvl w:val="0"/>
          <w:numId w:val="12"/>
        </w:numPr>
        <w:spacing w:line="360" w:lineRule="auto"/>
        <w:jc w:val="both"/>
        <w:rPr>
          <w:rFonts w:cstheme="minorHAnsi"/>
          <w:bCs/>
          <w:lang w:val="en-US"/>
        </w:rPr>
      </w:pPr>
      <w:r w:rsidRPr="005E6B0F">
        <w:rPr>
          <w:rFonts w:cstheme="minorHAnsi"/>
          <w:bCs/>
        </w:rPr>
        <w:t xml:space="preserve">Wang Q, </w:t>
      </w:r>
      <w:proofErr w:type="spellStart"/>
      <w:r w:rsidRPr="005E6B0F">
        <w:rPr>
          <w:rFonts w:cstheme="minorHAnsi"/>
          <w:bCs/>
        </w:rPr>
        <w:t>Garrity</w:t>
      </w:r>
      <w:proofErr w:type="spellEnd"/>
      <w:r w:rsidRPr="005E6B0F">
        <w:rPr>
          <w:rFonts w:cstheme="minorHAnsi"/>
          <w:bCs/>
        </w:rPr>
        <w:t xml:space="preserve"> GM, </w:t>
      </w:r>
      <w:proofErr w:type="spellStart"/>
      <w:r w:rsidRPr="005E6B0F">
        <w:rPr>
          <w:rFonts w:cstheme="minorHAnsi"/>
          <w:bCs/>
        </w:rPr>
        <w:t>Tiedje</w:t>
      </w:r>
      <w:proofErr w:type="spellEnd"/>
      <w:r w:rsidRPr="005E6B0F">
        <w:rPr>
          <w:rFonts w:cstheme="minorHAnsi"/>
          <w:bCs/>
        </w:rPr>
        <w:t xml:space="preserve"> JM, Cole JR. </w:t>
      </w:r>
      <w:r w:rsidRPr="005E6B0F">
        <w:rPr>
          <w:rFonts w:cstheme="minorHAnsi"/>
          <w:bCs/>
          <w:lang w:val="en-US"/>
        </w:rPr>
        <w:t>Naive Bayesian Classifier for Rapid Assignment of rRNA Sequences into the New Bacterial Taxonomy. Appl Environ Microbiol</w:t>
      </w:r>
      <w:r>
        <w:rPr>
          <w:rFonts w:cstheme="minorHAnsi"/>
          <w:bCs/>
          <w:lang w:val="en-US"/>
        </w:rPr>
        <w:t>,</w:t>
      </w:r>
      <w:r w:rsidRPr="005E6B0F">
        <w:rPr>
          <w:rFonts w:cstheme="minorHAnsi"/>
          <w:bCs/>
          <w:lang w:val="en-US"/>
        </w:rPr>
        <w:t xml:space="preserve"> </w:t>
      </w:r>
      <w:r w:rsidRPr="00C73E14">
        <w:rPr>
          <w:rFonts w:cstheme="minorHAnsi"/>
          <w:b/>
          <w:lang w:val="en-US"/>
        </w:rPr>
        <w:t>2007</w:t>
      </w:r>
      <w:r w:rsidRPr="005E6B0F">
        <w:rPr>
          <w:rFonts w:cstheme="minorHAnsi"/>
          <w:bCs/>
          <w:lang w:val="en-US"/>
        </w:rPr>
        <w:t>; 73: 5261–5267.</w:t>
      </w:r>
    </w:p>
    <w:p w14:paraId="1BBD91F9" w14:textId="33AA2634" w:rsidR="00313590" w:rsidRPr="00313590" w:rsidRDefault="00313590" w:rsidP="00313590">
      <w:pPr>
        <w:pStyle w:val="Lijstalinea"/>
        <w:numPr>
          <w:ilvl w:val="0"/>
          <w:numId w:val="12"/>
        </w:numPr>
        <w:spacing w:line="360" w:lineRule="auto"/>
        <w:rPr>
          <w:rFonts w:cstheme="minorHAnsi"/>
          <w:bCs/>
          <w:lang w:val="en-US"/>
        </w:rPr>
      </w:pPr>
      <w:r w:rsidRPr="00313590">
        <w:rPr>
          <w:rFonts w:cstheme="minorHAnsi"/>
          <w:bCs/>
          <w:lang w:val="en-US"/>
        </w:rPr>
        <w:t>Quast</w:t>
      </w:r>
      <w:r w:rsidR="00F041A2">
        <w:rPr>
          <w:rFonts w:cstheme="minorHAnsi"/>
          <w:bCs/>
          <w:lang w:val="en-US"/>
        </w:rPr>
        <w:t xml:space="preserve"> </w:t>
      </w:r>
      <w:r w:rsidRPr="00313590">
        <w:rPr>
          <w:rFonts w:cstheme="minorHAnsi"/>
          <w:bCs/>
          <w:lang w:val="en-US"/>
        </w:rPr>
        <w:t>C</w:t>
      </w:r>
      <w:r w:rsidR="00F041A2">
        <w:rPr>
          <w:rFonts w:cstheme="minorHAnsi"/>
          <w:bCs/>
          <w:lang w:val="en-US"/>
        </w:rPr>
        <w:t xml:space="preserve">, </w:t>
      </w:r>
      <w:proofErr w:type="spellStart"/>
      <w:r w:rsidR="00F041A2">
        <w:rPr>
          <w:rFonts w:cstheme="minorHAnsi"/>
          <w:bCs/>
          <w:lang w:val="en-US"/>
        </w:rPr>
        <w:t>Pruesse</w:t>
      </w:r>
      <w:proofErr w:type="spellEnd"/>
      <w:r w:rsidR="00F041A2">
        <w:rPr>
          <w:rFonts w:cstheme="minorHAnsi"/>
          <w:bCs/>
          <w:lang w:val="en-US"/>
        </w:rPr>
        <w:t xml:space="preserve"> E, Yilmaz P</w:t>
      </w:r>
      <w:r w:rsidRPr="00313590">
        <w:rPr>
          <w:rFonts w:cstheme="minorHAnsi"/>
          <w:bCs/>
          <w:lang w:val="en-US"/>
        </w:rPr>
        <w:t xml:space="preserve"> et al. The SILVA ribosomal RNA gene database project: improved data processing and web-based tools. Nucleic Acids Res. 41, D590–D596 (2013).</w:t>
      </w:r>
    </w:p>
    <w:p w14:paraId="0A49263C" w14:textId="60439525" w:rsidR="00D41E04" w:rsidRPr="005E6B0F" w:rsidRDefault="00054D52" w:rsidP="00313590">
      <w:pPr>
        <w:pStyle w:val="Lijstalinea"/>
        <w:numPr>
          <w:ilvl w:val="0"/>
          <w:numId w:val="12"/>
        </w:numPr>
        <w:spacing w:line="360" w:lineRule="auto"/>
        <w:jc w:val="both"/>
        <w:rPr>
          <w:rFonts w:cstheme="minorHAnsi"/>
          <w:bCs/>
          <w:lang w:val="en-US"/>
        </w:rPr>
      </w:pPr>
      <w:r w:rsidRPr="005E6B0F">
        <w:rPr>
          <w:rFonts w:cstheme="minorHAnsi"/>
          <w:bCs/>
          <w:lang w:val="en-US"/>
        </w:rPr>
        <w:t xml:space="preserve">Vital M, </w:t>
      </w:r>
      <w:proofErr w:type="spellStart"/>
      <w:r w:rsidRPr="005E6B0F">
        <w:rPr>
          <w:rFonts w:cstheme="minorHAnsi"/>
          <w:bCs/>
          <w:lang w:val="en-US"/>
        </w:rPr>
        <w:t>Karch</w:t>
      </w:r>
      <w:proofErr w:type="spellEnd"/>
      <w:r w:rsidRPr="005E6B0F">
        <w:rPr>
          <w:rFonts w:cstheme="minorHAnsi"/>
          <w:bCs/>
          <w:lang w:val="en-US"/>
        </w:rPr>
        <w:t xml:space="preserve"> A, Pieper DH. Colonic Butyrate-Producing Communities in Humans: an Overview Using Omics Data. </w:t>
      </w:r>
      <w:proofErr w:type="spellStart"/>
      <w:r w:rsidRPr="005E6B0F">
        <w:rPr>
          <w:rFonts w:cstheme="minorHAnsi"/>
          <w:bCs/>
          <w:lang w:val="en-US"/>
        </w:rPr>
        <w:t>mSystems</w:t>
      </w:r>
      <w:proofErr w:type="spellEnd"/>
      <w:r w:rsidR="00C73E14">
        <w:rPr>
          <w:rFonts w:cstheme="minorHAnsi"/>
          <w:bCs/>
          <w:lang w:val="en-US"/>
        </w:rPr>
        <w:t>,</w:t>
      </w:r>
      <w:r w:rsidRPr="005E6B0F">
        <w:rPr>
          <w:rFonts w:cstheme="minorHAnsi"/>
          <w:bCs/>
          <w:lang w:val="en-US"/>
        </w:rPr>
        <w:t xml:space="preserve"> </w:t>
      </w:r>
      <w:r w:rsidRPr="00C73E14">
        <w:rPr>
          <w:rFonts w:cstheme="minorHAnsi"/>
          <w:b/>
          <w:lang w:val="en-US"/>
        </w:rPr>
        <w:t>2017</w:t>
      </w:r>
      <w:r w:rsidRPr="005E6B0F">
        <w:rPr>
          <w:rFonts w:cstheme="minorHAnsi"/>
          <w:bCs/>
          <w:lang w:val="en-US"/>
        </w:rPr>
        <w:t xml:space="preserve">; 2: </w:t>
      </w:r>
      <w:proofErr w:type="spellStart"/>
      <w:r w:rsidRPr="005E6B0F">
        <w:rPr>
          <w:rFonts w:cstheme="minorHAnsi"/>
          <w:bCs/>
          <w:lang w:val="en-US"/>
        </w:rPr>
        <w:t>pii</w:t>
      </w:r>
      <w:proofErr w:type="spellEnd"/>
      <w:r w:rsidRPr="005E6B0F">
        <w:rPr>
          <w:rFonts w:cstheme="minorHAnsi"/>
          <w:bCs/>
          <w:lang w:val="en-US"/>
        </w:rPr>
        <w:t>: e00130-17</w:t>
      </w:r>
    </w:p>
    <w:p w14:paraId="31A26F41" w14:textId="780E01C1" w:rsidR="00054D52" w:rsidRPr="005E6B0F" w:rsidRDefault="00054D52" w:rsidP="00FB57CF">
      <w:pPr>
        <w:pStyle w:val="Lijstalinea"/>
        <w:numPr>
          <w:ilvl w:val="0"/>
          <w:numId w:val="12"/>
        </w:numPr>
        <w:spacing w:line="360" w:lineRule="auto"/>
        <w:jc w:val="both"/>
        <w:rPr>
          <w:rFonts w:cstheme="minorHAnsi"/>
          <w:bCs/>
          <w:lang w:val="en-GB"/>
        </w:rPr>
      </w:pPr>
      <w:r w:rsidRPr="00C73E14">
        <w:rPr>
          <w:rFonts w:cstheme="minorHAnsi"/>
          <w:bCs/>
        </w:rPr>
        <w:t xml:space="preserve">Kim HK, </w:t>
      </w:r>
      <w:proofErr w:type="spellStart"/>
      <w:r w:rsidRPr="00C73E14">
        <w:rPr>
          <w:rFonts w:cstheme="minorHAnsi"/>
          <w:bCs/>
        </w:rPr>
        <w:t>Kostidis</w:t>
      </w:r>
      <w:proofErr w:type="spellEnd"/>
      <w:r w:rsidRPr="00C73E14">
        <w:rPr>
          <w:rFonts w:cstheme="minorHAnsi"/>
          <w:bCs/>
        </w:rPr>
        <w:t xml:space="preserve"> S, </w:t>
      </w:r>
      <w:proofErr w:type="spellStart"/>
      <w:r w:rsidRPr="00C73E14">
        <w:rPr>
          <w:rFonts w:cstheme="minorHAnsi"/>
          <w:bCs/>
        </w:rPr>
        <w:t>Choi</w:t>
      </w:r>
      <w:proofErr w:type="spellEnd"/>
      <w:r w:rsidRPr="00C73E14">
        <w:rPr>
          <w:rFonts w:cstheme="minorHAnsi"/>
          <w:bCs/>
        </w:rPr>
        <w:t xml:space="preserve"> YH, </w:t>
      </w:r>
      <w:r w:rsidR="00C73E14" w:rsidRPr="00C73E14">
        <w:rPr>
          <w:rFonts w:cstheme="minorHAnsi"/>
          <w:bCs/>
        </w:rPr>
        <w:t xml:space="preserve">et al. </w:t>
      </w:r>
      <w:r w:rsidRPr="005E6B0F">
        <w:rPr>
          <w:rFonts w:cstheme="minorHAnsi"/>
          <w:bCs/>
          <w:lang w:val="en-GB"/>
        </w:rPr>
        <w:t xml:space="preserve">NMR analysis of </w:t>
      </w:r>
      <w:proofErr w:type="spellStart"/>
      <w:r w:rsidRPr="005E6B0F">
        <w:rPr>
          <w:rFonts w:cstheme="minorHAnsi"/>
          <w:bCs/>
          <w:lang w:val="en-GB"/>
        </w:rPr>
        <w:t>fecal</w:t>
      </w:r>
      <w:proofErr w:type="spellEnd"/>
      <w:r w:rsidRPr="005E6B0F">
        <w:rPr>
          <w:rFonts w:cstheme="minorHAnsi"/>
          <w:bCs/>
          <w:lang w:val="en-GB"/>
        </w:rPr>
        <w:t xml:space="preserve"> samples</w:t>
      </w:r>
      <w:r w:rsidR="00C73E14">
        <w:rPr>
          <w:rFonts w:cstheme="minorHAnsi"/>
          <w:bCs/>
          <w:lang w:val="en-GB"/>
        </w:rPr>
        <w:t>.</w:t>
      </w:r>
      <w:r w:rsidRPr="005E6B0F">
        <w:rPr>
          <w:rFonts w:cstheme="minorHAnsi"/>
          <w:bCs/>
          <w:lang w:val="en-GB"/>
        </w:rPr>
        <w:t xml:space="preserve"> </w:t>
      </w:r>
      <w:r w:rsidR="00C73E14">
        <w:rPr>
          <w:rFonts w:cstheme="minorHAnsi"/>
          <w:bCs/>
          <w:lang w:val="en-GB"/>
        </w:rPr>
        <w:t xml:space="preserve">In: </w:t>
      </w:r>
      <w:proofErr w:type="spellStart"/>
      <w:r w:rsidR="00C73E14">
        <w:rPr>
          <w:rFonts w:cstheme="minorHAnsi"/>
          <w:bCs/>
          <w:lang w:val="en-GB"/>
        </w:rPr>
        <w:t>Giera</w:t>
      </w:r>
      <w:proofErr w:type="spellEnd"/>
      <w:r w:rsidR="00C73E14">
        <w:rPr>
          <w:rFonts w:cstheme="minorHAnsi"/>
          <w:bCs/>
          <w:lang w:val="en-GB"/>
        </w:rPr>
        <w:t xml:space="preserve"> M. </w:t>
      </w:r>
      <w:r w:rsidRPr="005E6B0F">
        <w:rPr>
          <w:rFonts w:cstheme="minorHAnsi"/>
          <w:bCs/>
          <w:lang w:val="en-GB"/>
        </w:rPr>
        <w:t>Clinical Metabolomics: Methods and Protocols</w:t>
      </w:r>
      <w:r w:rsidR="00C73E14">
        <w:rPr>
          <w:rFonts w:cstheme="minorHAnsi"/>
          <w:bCs/>
          <w:lang w:val="en-GB"/>
        </w:rPr>
        <w:t xml:space="preserve">. </w:t>
      </w:r>
      <w:r w:rsidRPr="005E6B0F">
        <w:rPr>
          <w:rFonts w:cstheme="minorHAnsi"/>
          <w:bCs/>
          <w:lang w:val="en-GB"/>
        </w:rPr>
        <w:t>Methods in Molecular Biology</w:t>
      </w:r>
      <w:r w:rsidR="00C73E14">
        <w:rPr>
          <w:rFonts w:cstheme="minorHAnsi"/>
          <w:bCs/>
          <w:lang w:val="en-GB"/>
        </w:rPr>
        <w:t>. V</w:t>
      </w:r>
      <w:r w:rsidRPr="005E6B0F">
        <w:rPr>
          <w:rFonts w:cstheme="minorHAnsi"/>
          <w:bCs/>
          <w:lang w:val="en-GB"/>
        </w:rPr>
        <w:t xml:space="preserve">ol 1730. </w:t>
      </w:r>
      <w:r w:rsidR="00C73E14">
        <w:rPr>
          <w:rFonts w:cstheme="minorHAnsi"/>
          <w:bCs/>
          <w:lang w:val="en-GB"/>
        </w:rPr>
        <w:t>Springer Science + Business Media, LLC 2018</w:t>
      </w:r>
    </w:p>
    <w:p w14:paraId="751DC9D0" w14:textId="4C664C03" w:rsidR="00054D52" w:rsidRDefault="00054D52" w:rsidP="00FB57CF">
      <w:pPr>
        <w:pStyle w:val="Lijstalinea"/>
        <w:numPr>
          <w:ilvl w:val="0"/>
          <w:numId w:val="12"/>
        </w:numPr>
        <w:spacing w:line="360" w:lineRule="auto"/>
        <w:jc w:val="both"/>
        <w:rPr>
          <w:rFonts w:cstheme="minorHAnsi"/>
          <w:bCs/>
          <w:lang w:val="en-US"/>
        </w:rPr>
      </w:pPr>
      <w:proofErr w:type="spellStart"/>
      <w:r w:rsidRPr="005E6B0F">
        <w:rPr>
          <w:rFonts w:cstheme="minorHAnsi"/>
          <w:bCs/>
          <w:lang w:val="en-US"/>
        </w:rPr>
        <w:t>McMurdie</w:t>
      </w:r>
      <w:proofErr w:type="spellEnd"/>
      <w:r w:rsidRPr="005E6B0F">
        <w:rPr>
          <w:rFonts w:cstheme="minorHAnsi"/>
          <w:bCs/>
          <w:lang w:val="en-US"/>
        </w:rPr>
        <w:t xml:space="preserve"> PJ, Holmes S. phyloseq: An R Package for Reproducible Interactive Analysis and Graphics of Microbiome Census Data. </w:t>
      </w:r>
      <w:proofErr w:type="spellStart"/>
      <w:r w:rsidRPr="005E6B0F">
        <w:rPr>
          <w:rFonts w:cstheme="minorHAnsi"/>
          <w:bCs/>
          <w:lang w:val="en-US"/>
        </w:rPr>
        <w:t>PLoS</w:t>
      </w:r>
      <w:proofErr w:type="spellEnd"/>
      <w:r w:rsidRPr="005E6B0F">
        <w:rPr>
          <w:rFonts w:cstheme="minorHAnsi"/>
          <w:bCs/>
          <w:lang w:val="en-US"/>
        </w:rPr>
        <w:t xml:space="preserve"> One</w:t>
      </w:r>
      <w:r w:rsidR="00C73E14">
        <w:rPr>
          <w:rFonts w:cstheme="minorHAnsi"/>
          <w:bCs/>
          <w:lang w:val="en-US"/>
        </w:rPr>
        <w:t>,</w:t>
      </w:r>
      <w:r w:rsidRPr="005E6B0F">
        <w:rPr>
          <w:rFonts w:cstheme="minorHAnsi"/>
          <w:bCs/>
          <w:lang w:val="en-US"/>
        </w:rPr>
        <w:t xml:space="preserve"> </w:t>
      </w:r>
      <w:r w:rsidRPr="00C73E14">
        <w:rPr>
          <w:rFonts w:cstheme="minorHAnsi"/>
          <w:b/>
          <w:lang w:val="en-US"/>
        </w:rPr>
        <w:t>2013</w:t>
      </w:r>
      <w:r w:rsidRPr="005E6B0F">
        <w:rPr>
          <w:rFonts w:cstheme="minorHAnsi"/>
          <w:bCs/>
          <w:lang w:val="en-US"/>
        </w:rPr>
        <w:t>; 8: e61217–11.</w:t>
      </w:r>
    </w:p>
    <w:p w14:paraId="4AE278F0" w14:textId="3C2AC242" w:rsidR="004C1C27" w:rsidRDefault="004C1C27" w:rsidP="00FB57CF">
      <w:pPr>
        <w:pStyle w:val="Lijstalinea"/>
        <w:numPr>
          <w:ilvl w:val="0"/>
          <w:numId w:val="12"/>
        </w:numPr>
        <w:spacing w:line="360" w:lineRule="auto"/>
        <w:jc w:val="both"/>
        <w:rPr>
          <w:rFonts w:cstheme="minorHAnsi"/>
          <w:bCs/>
          <w:lang w:val="en-GB"/>
        </w:rPr>
      </w:pPr>
      <w:r w:rsidRPr="00C73E14">
        <w:rPr>
          <w:rFonts w:cstheme="minorHAnsi"/>
          <w:bCs/>
        </w:rPr>
        <w:lastRenderedPageBreak/>
        <w:t xml:space="preserve">Haak BW, </w:t>
      </w:r>
      <w:proofErr w:type="spellStart"/>
      <w:r w:rsidRPr="00C73E14">
        <w:rPr>
          <w:rFonts w:cstheme="minorHAnsi"/>
          <w:bCs/>
        </w:rPr>
        <w:t>Littmann</w:t>
      </w:r>
      <w:proofErr w:type="spellEnd"/>
      <w:r w:rsidRPr="00C73E14">
        <w:rPr>
          <w:rFonts w:cstheme="minorHAnsi"/>
          <w:bCs/>
        </w:rPr>
        <w:t xml:space="preserve"> ER, </w:t>
      </w:r>
      <w:proofErr w:type="spellStart"/>
      <w:r w:rsidRPr="00C73E14">
        <w:rPr>
          <w:rFonts w:cstheme="minorHAnsi"/>
          <w:bCs/>
        </w:rPr>
        <w:t>Chaubard</w:t>
      </w:r>
      <w:proofErr w:type="spellEnd"/>
      <w:r w:rsidRPr="00C73E14">
        <w:rPr>
          <w:rFonts w:cstheme="minorHAnsi"/>
          <w:bCs/>
        </w:rPr>
        <w:t xml:space="preserve"> JL, </w:t>
      </w:r>
      <w:r w:rsidR="00C73E14" w:rsidRPr="00C73E14">
        <w:rPr>
          <w:rFonts w:cstheme="minorHAnsi"/>
          <w:bCs/>
        </w:rPr>
        <w:t>et al</w:t>
      </w:r>
      <w:r w:rsidRPr="00C73E14">
        <w:rPr>
          <w:rFonts w:cstheme="minorHAnsi"/>
          <w:bCs/>
        </w:rPr>
        <w:t xml:space="preserve">. </w:t>
      </w:r>
      <w:r w:rsidRPr="005E6B0F">
        <w:rPr>
          <w:rFonts w:cstheme="minorHAnsi"/>
          <w:bCs/>
          <w:lang w:val="en-GB"/>
        </w:rPr>
        <w:t xml:space="preserve">Impact of gut colonization with butyrate-producing microbiota on respiratory viral infection following </w:t>
      </w:r>
      <w:proofErr w:type="spellStart"/>
      <w:r w:rsidRPr="005E6B0F">
        <w:rPr>
          <w:rFonts w:cstheme="minorHAnsi"/>
          <w:bCs/>
          <w:lang w:val="en-GB"/>
        </w:rPr>
        <w:t>allo</w:t>
      </w:r>
      <w:proofErr w:type="spellEnd"/>
      <w:r w:rsidRPr="005E6B0F">
        <w:rPr>
          <w:rFonts w:cstheme="minorHAnsi"/>
          <w:bCs/>
          <w:lang w:val="en-GB"/>
        </w:rPr>
        <w:t>-HCT. Blood</w:t>
      </w:r>
      <w:r w:rsidR="00C73E14">
        <w:rPr>
          <w:rFonts w:cstheme="minorHAnsi"/>
          <w:bCs/>
          <w:lang w:val="en-GB"/>
        </w:rPr>
        <w:t>,</w:t>
      </w:r>
      <w:r w:rsidRPr="005E6B0F">
        <w:rPr>
          <w:rFonts w:cstheme="minorHAnsi"/>
          <w:bCs/>
          <w:lang w:val="en-GB"/>
        </w:rPr>
        <w:t xml:space="preserve"> </w:t>
      </w:r>
      <w:r w:rsidRPr="00C73E14">
        <w:rPr>
          <w:rFonts w:cstheme="minorHAnsi"/>
          <w:b/>
          <w:lang w:val="en-GB"/>
        </w:rPr>
        <w:t>2018</w:t>
      </w:r>
      <w:r w:rsidRPr="005E6B0F">
        <w:rPr>
          <w:rFonts w:cstheme="minorHAnsi"/>
          <w:bCs/>
          <w:lang w:val="en-GB"/>
        </w:rPr>
        <w:t>;</w:t>
      </w:r>
      <w:r w:rsidR="00C73E14">
        <w:rPr>
          <w:rFonts w:cstheme="minorHAnsi"/>
          <w:bCs/>
          <w:lang w:val="en-GB"/>
        </w:rPr>
        <w:t xml:space="preserve"> </w:t>
      </w:r>
      <w:r w:rsidRPr="005E6B0F">
        <w:rPr>
          <w:rFonts w:cstheme="minorHAnsi"/>
          <w:bCs/>
          <w:lang w:val="en-GB"/>
        </w:rPr>
        <w:t>131:</w:t>
      </w:r>
      <w:r w:rsidR="00C73E14">
        <w:rPr>
          <w:rFonts w:cstheme="minorHAnsi"/>
          <w:bCs/>
          <w:lang w:val="en-GB"/>
        </w:rPr>
        <w:t xml:space="preserve"> </w:t>
      </w:r>
      <w:r w:rsidRPr="005E6B0F">
        <w:rPr>
          <w:rFonts w:cstheme="minorHAnsi"/>
          <w:bCs/>
          <w:lang w:val="en-GB"/>
        </w:rPr>
        <w:t>2978-2986</w:t>
      </w:r>
    </w:p>
    <w:p w14:paraId="4F6B4501" w14:textId="24B6E62F" w:rsidR="00787F53" w:rsidRPr="004C1C27" w:rsidRDefault="00787F53" w:rsidP="00787F53">
      <w:pPr>
        <w:pStyle w:val="Lijstalinea"/>
        <w:numPr>
          <w:ilvl w:val="0"/>
          <w:numId w:val="12"/>
        </w:numPr>
        <w:spacing w:line="360" w:lineRule="auto"/>
        <w:jc w:val="both"/>
        <w:rPr>
          <w:rFonts w:cstheme="minorHAnsi"/>
          <w:bCs/>
          <w:lang w:val="en-GB"/>
        </w:rPr>
      </w:pPr>
      <w:proofErr w:type="spellStart"/>
      <w:r w:rsidRPr="00787F53">
        <w:rPr>
          <w:rFonts w:cstheme="minorHAnsi"/>
          <w:bCs/>
        </w:rPr>
        <w:t>Bhalodi</w:t>
      </w:r>
      <w:proofErr w:type="spellEnd"/>
      <w:r w:rsidRPr="00787F53">
        <w:rPr>
          <w:rFonts w:cstheme="minorHAnsi"/>
          <w:bCs/>
        </w:rPr>
        <w:t xml:space="preserve"> AA, van Engelen TSR, Virk HS, Wiersinga WJ. </w:t>
      </w:r>
      <w:r w:rsidRPr="00787F53">
        <w:rPr>
          <w:rFonts w:cstheme="minorHAnsi"/>
          <w:bCs/>
          <w:lang w:val="en-GB"/>
        </w:rPr>
        <w:t>Impact of antimicrobial therapy on the gut mic</w:t>
      </w:r>
      <w:r>
        <w:rPr>
          <w:rFonts w:cstheme="minorHAnsi"/>
          <w:bCs/>
          <w:lang w:val="en-GB"/>
        </w:rPr>
        <w:t xml:space="preserve">robiome. J </w:t>
      </w:r>
      <w:proofErr w:type="spellStart"/>
      <w:r>
        <w:rPr>
          <w:rFonts w:cstheme="minorHAnsi"/>
          <w:bCs/>
          <w:lang w:val="en-GB"/>
        </w:rPr>
        <w:t>Antimicrob</w:t>
      </w:r>
      <w:proofErr w:type="spellEnd"/>
      <w:r>
        <w:rPr>
          <w:rFonts w:cstheme="minorHAnsi"/>
          <w:bCs/>
          <w:lang w:val="en-GB"/>
        </w:rPr>
        <w:t xml:space="preserve"> Chemother,</w:t>
      </w:r>
      <w:r w:rsidRPr="00787F53">
        <w:rPr>
          <w:rFonts w:cstheme="minorHAnsi"/>
          <w:bCs/>
          <w:lang w:val="en-GB"/>
        </w:rPr>
        <w:t xml:space="preserve"> </w:t>
      </w:r>
      <w:r w:rsidRPr="00787F53">
        <w:rPr>
          <w:rFonts w:cstheme="minorHAnsi"/>
          <w:b/>
          <w:bCs/>
          <w:lang w:val="en-GB"/>
        </w:rPr>
        <w:t>2019</w:t>
      </w:r>
      <w:r w:rsidRPr="00787F53">
        <w:rPr>
          <w:rFonts w:cstheme="minorHAnsi"/>
          <w:bCs/>
          <w:lang w:val="en-GB"/>
        </w:rPr>
        <w:t>;</w:t>
      </w:r>
      <w:r>
        <w:rPr>
          <w:rFonts w:cstheme="minorHAnsi"/>
          <w:bCs/>
          <w:lang w:val="en-GB"/>
        </w:rPr>
        <w:t xml:space="preserve"> </w:t>
      </w:r>
      <w:r w:rsidRPr="00787F53">
        <w:rPr>
          <w:rFonts w:cstheme="minorHAnsi"/>
          <w:bCs/>
          <w:lang w:val="en-GB"/>
        </w:rPr>
        <w:t>74:</w:t>
      </w:r>
      <w:r>
        <w:rPr>
          <w:rFonts w:cstheme="minorHAnsi"/>
          <w:bCs/>
          <w:lang w:val="en-GB"/>
        </w:rPr>
        <w:t xml:space="preserve"> </w:t>
      </w:r>
      <w:r w:rsidRPr="00787F53">
        <w:rPr>
          <w:rFonts w:cstheme="minorHAnsi"/>
          <w:bCs/>
          <w:lang w:val="en-GB"/>
        </w:rPr>
        <w:t>i6-i15</w:t>
      </w:r>
    </w:p>
    <w:p w14:paraId="1689EAB9" w14:textId="351AE718" w:rsidR="004C1C27" w:rsidRPr="004C1C27" w:rsidRDefault="004C1C27" w:rsidP="00FB57CF">
      <w:pPr>
        <w:pStyle w:val="Lijstalinea"/>
        <w:numPr>
          <w:ilvl w:val="0"/>
          <w:numId w:val="12"/>
        </w:numPr>
        <w:spacing w:line="360" w:lineRule="auto"/>
        <w:jc w:val="both"/>
        <w:rPr>
          <w:rFonts w:cstheme="minorHAnsi"/>
          <w:bCs/>
          <w:lang w:val="en-US"/>
        </w:rPr>
      </w:pPr>
      <w:r w:rsidRPr="004C1C27">
        <w:rPr>
          <w:rFonts w:cstheme="minorHAnsi"/>
          <w:bCs/>
          <w:lang w:val="en-US"/>
        </w:rPr>
        <w:t xml:space="preserve">Gray J, </w:t>
      </w:r>
      <w:proofErr w:type="spellStart"/>
      <w:r w:rsidRPr="004C1C27">
        <w:rPr>
          <w:rFonts w:cstheme="minorHAnsi"/>
          <w:bCs/>
          <w:lang w:val="en-US"/>
        </w:rPr>
        <w:t>Oehrle</w:t>
      </w:r>
      <w:proofErr w:type="spellEnd"/>
      <w:r w:rsidRPr="004C1C27">
        <w:rPr>
          <w:rFonts w:cstheme="minorHAnsi"/>
          <w:bCs/>
          <w:lang w:val="en-US"/>
        </w:rPr>
        <w:t xml:space="preserve"> K, Worthen G, </w:t>
      </w:r>
      <w:proofErr w:type="spellStart"/>
      <w:r w:rsidRPr="004C1C27">
        <w:rPr>
          <w:rFonts w:cstheme="minorHAnsi"/>
          <w:bCs/>
          <w:lang w:val="en-US"/>
        </w:rPr>
        <w:t>Alenghat</w:t>
      </w:r>
      <w:proofErr w:type="spellEnd"/>
      <w:r w:rsidRPr="004C1C27">
        <w:rPr>
          <w:rFonts w:cstheme="minorHAnsi"/>
          <w:bCs/>
          <w:lang w:val="en-US"/>
        </w:rPr>
        <w:t xml:space="preserve"> T, Whitsett J, Deshmukh H. Intestinal commensal bacteria mediate lung mucosal immunity and promote resistance of newborn mice to infection. Sci </w:t>
      </w:r>
      <w:proofErr w:type="spellStart"/>
      <w:r w:rsidRPr="004C1C27">
        <w:rPr>
          <w:rFonts w:cstheme="minorHAnsi"/>
          <w:bCs/>
          <w:lang w:val="en-US"/>
        </w:rPr>
        <w:t>Transl</w:t>
      </w:r>
      <w:proofErr w:type="spellEnd"/>
      <w:r w:rsidRPr="004C1C27">
        <w:rPr>
          <w:rFonts w:cstheme="minorHAnsi"/>
          <w:bCs/>
          <w:lang w:val="en-US"/>
        </w:rPr>
        <w:t xml:space="preserve"> Med</w:t>
      </w:r>
      <w:r w:rsidR="00C73E14">
        <w:rPr>
          <w:rFonts w:cstheme="minorHAnsi"/>
          <w:bCs/>
          <w:lang w:val="en-US"/>
        </w:rPr>
        <w:t xml:space="preserve">, </w:t>
      </w:r>
      <w:r w:rsidRPr="00C73E14">
        <w:rPr>
          <w:rFonts w:cstheme="minorHAnsi"/>
          <w:b/>
          <w:lang w:val="en-US"/>
        </w:rPr>
        <w:t>2017</w:t>
      </w:r>
      <w:r w:rsidR="00C73E14">
        <w:rPr>
          <w:rFonts w:cstheme="minorHAnsi"/>
          <w:bCs/>
          <w:lang w:val="en-US"/>
        </w:rPr>
        <w:t>;</w:t>
      </w:r>
      <w:r w:rsidRPr="004C1C27">
        <w:rPr>
          <w:rFonts w:cstheme="minorHAnsi"/>
          <w:bCs/>
          <w:lang w:val="en-US"/>
        </w:rPr>
        <w:t xml:space="preserve"> 9:</w:t>
      </w:r>
      <w:r w:rsidR="00C73E14">
        <w:rPr>
          <w:rFonts w:cstheme="minorHAnsi"/>
          <w:bCs/>
          <w:lang w:val="en-US"/>
        </w:rPr>
        <w:t xml:space="preserve"> </w:t>
      </w:r>
      <w:r w:rsidRPr="004C1C27">
        <w:rPr>
          <w:rFonts w:cstheme="minorHAnsi"/>
          <w:bCs/>
          <w:lang w:val="en-US"/>
        </w:rPr>
        <w:t>aaf9412</w:t>
      </w:r>
    </w:p>
    <w:p w14:paraId="4ED28B40" w14:textId="3AAD7247" w:rsidR="004C1C27" w:rsidRPr="004C1C27" w:rsidRDefault="004C1C27" w:rsidP="00FB57CF">
      <w:pPr>
        <w:pStyle w:val="Lijstalinea"/>
        <w:numPr>
          <w:ilvl w:val="0"/>
          <w:numId w:val="12"/>
        </w:numPr>
        <w:spacing w:line="360" w:lineRule="auto"/>
        <w:jc w:val="both"/>
        <w:rPr>
          <w:rFonts w:cstheme="minorHAnsi"/>
          <w:bCs/>
          <w:lang w:val="en-US"/>
        </w:rPr>
      </w:pPr>
      <w:r w:rsidRPr="004C1C27">
        <w:rPr>
          <w:rFonts w:cstheme="minorHAnsi"/>
          <w:bCs/>
          <w:lang w:val="en-US"/>
        </w:rPr>
        <w:t>Clarke TB, Davis KM, Lysenko ES, Zhou AY, Yu Y, Weiser JN. Recognition of peptidoglycan from the microbiota by Nod1 enhances systemic innate immunity. Nature Med</w:t>
      </w:r>
      <w:r w:rsidR="00880117">
        <w:rPr>
          <w:rFonts w:cstheme="minorHAnsi"/>
          <w:bCs/>
          <w:lang w:val="en-US"/>
        </w:rPr>
        <w:t xml:space="preserve">, </w:t>
      </w:r>
      <w:r w:rsidRPr="00880117">
        <w:rPr>
          <w:rFonts w:cstheme="minorHAnsi"/>
          <w:b/>
          <w:lang w:val="en-US"/>
        </w:rPr>
        <w:t>2010</w:t>
      </w:r>
      <w:r w:rsidR="00880117">
        <w:rPr>
          <w:rFonts w:cstheme="minorHAnsi"/>
          <w:b/>
          <w:lang w:val="en-US"/>
        </w:rPr>
        <w:t>;</w:t>
      </w:r>
      <w:r w:rsidRPr="004C1C27">
        <w:rPr>
          <w:rFonts w:cstheme="minorHAnsi"/>
          <w:bCs/>
          <w:lang w:val="en-US"/>
        </w:rPr>
        <w:t xml:space="preserve"> 16:</w:t>
      </w:r>
      <w:r w:rsidR="00880117">
        <w:rPr>
          <w:rFonts w:cstheme="minorHAnsi"/>
          <w:bCs/>
          <w:lang w:val="en-US"/>
        </w:rPr>
        <w:t xml:space="preserve"> </w:t>
      </w:r>
      <w:r w:rsidRPr="004C1C27">
        <w:rPr>
          <w:rFonts w:cstheme="minorHAnsi"/>
          <w:bCs/>
          <w:lang w:val="en-US"/>
        </w:rPr>
        <w:t>228–31</w:t>
      </w:r>
    </w:p>
    <w:p w14:paraId="2A7304F9" w14:textId="14436AA7" w:rsidR="004C1C27" w:rsidRPr="004C1C27" w:rsidRDefault="004C1C27" w:rsidP="00FB57CF">
      <w:pPr>
        <w:pStyle w:val="Lijstalinea"/>
        <w:numPr>
          <w:ilvl w:val="0"/>
          <w:numId w:val="12"/>
        </w:numPr>
        <w:spacing w:line="360" w:lineRule="auto"/>
        <w:jc w:val="both"/>
        <w:rPr>
          <w:rFonts w:cstheme="minorHAnsi"/>
          <w:bCs/>
          <w:lang w:val="en-US"/>
        </w:rPr>
      </w:pPr>
      <w:proofErr w:type="spellStart"/>
      <w:r w:rsidRPr="004C1C27">
        <w:rPr>
          <w:rFonts w:cstheme="minorHAnsi"/>
          <w:bCs/>
        </w:rPr>
        <w:t>Schuijt</w:t>
      </w:r>
      <w:proofErr w:type="spellEnd"/>
      <w:r w:rsidRPr="004C1C27">
        <w:rPr>
          <w:rFonts w:cstheme="minorHAnsi"/>
          <w:bCs/>
        </w:rPr>
        <w:t xml:space="preserve"> TJ, </w:t>
      </w:r>
      <w:proofErr w:type="spellStart"/>
      <w:r w:rsidRPr="004C1C27">
        <w:rPr>
          <w:rFonts w:cstheme="minorHAnsi"/>
          <w:bCs/>
        </w:rPr>
        <w:t>Lankelma</w:t>
      </w:r>
      <w:proofErr w:type="spellEnd"/>
      <w:r w:rsidRPr="004C1C27">
        <w:rPr>
          <w:rFonts w:cstheme="minorHAnsi"/>
          <w:bCs/>
        </w:rPr>
        <w:t xml:space="preserve"> JM, Scicluna BP, et al. </w:t>
      </w:r>
      <w:r w:rsidRPr="004C1C27">
        <w:rPr>
          <w:rFonts w:cstheme="minorHAnsi"/>
          <w:bCs/>
          <w:lang w:val="en-US"/>
        </w:rPr>
        <w:t xml:space="preserve">The gut microbiota plays a protective role in the host </w:t>
      </w:r>
      <w:proofErr w:type="spellStart"/>
      <w:r w:rsidRPr="004C1C27">
        <w:rPr>
          <w:rFonts w:cstheme="minorHAnsi"/>
          <w:bCs/>
          <w:lang w:val="en-US"/>
        </w:rPr>
        <w:t>defence</w:t>
      </w:r>
      <w:proofErr w:type="spellEnd"/>
      <w:r w:rsidRPr="004C1C27">
        <w:rPr>
          <w:rFonts w:cstheme="minorHAnsi"/>
          <w:bCs/>
          <w:lang w:val="en-US"/>
        </w:rPr>
        <w:t xml:space="preserve"> against pneumococcal pneumonia. Gut</w:t>
      </w:r>
      <w:r w:rsidR="00880117">
        <w:rPr>
          <w:rFonts w:cstheme="minorHAnsi"/>
          <w:bCs/>
          <w:lang w:val="en-US"/>
        </w:rPr>
        <w:t xml:space="preserve">, </w:t>
      </w:r>
      <w:r w:rsidRPr="00880117">
        <w:rPr>
          <w:rFonts w:cstheme="minorHAnsi"/>
          <w:b/>
          <w:lang w:val="en-US"/>
        </w:rPr>
        <w:t>2016</w:t>
      </w:r>
      <w:r w:rsidR="00880117">
        <w:rPr>
          <w:rFonts w:cstheme="minorHAnsi"/>
          <w:b/>
          <w:lang w:val="en-US"/>
        </w:rPr>
        <w:t>;</w:t>
      </w:r>
      <w:r w:rsidRPr="004C1C27">
        <w:rPr>
          <w:rFonts w:cstheme="minorHAnsi"/>
          <w:bCs/>
          <w:lang w:val="en-US"/>
        </w:rPr>
        <w:t xml:space="preserve"> 65:</w:t>
      </w:r>
      <w:r w:rsidR="00880117">
        <w:rPr>
          <w:rFonts w:cstheme="minorHAnsi"/>
          <w:bCs/>
          <w:lang w:val="en-US"/>
        </w:rPr>
        <w:t xml:space="preserve"> </w:t>
      </w:r>
      <w:r w:rsidRPr="004C1C27">
        <w:rPr>
          <w:rFonts w:cstheme="minorHAnsi"/>
          <w:bCs/>
          <w:lang w:val="en-US"/>
        </w:rPr>
        <w:t>575–83</w:t>
      </w:r>
    </w:p>
    <w:p w14:paraId="445CD1CB" w14:textId="29D8D3B3" w:rsidR="004C1C27" w:rsidRPr="004C1C27" w:rsidRDefault="004C1C27" w:rsidP="00FB57CF">
      <w:pPr>
        <w:pStyle w:val="Lijstalinea"/>
        <w:numPr>
          <w:ilvl w:val="0"/>
          <w:numId w:val="12"/>
        </w:numPr>
        <w:spacing w:line="360" w:lineRule="auto"/>
        <w:jc w:val="both"/>
        <w:rPr>
          <w:rFonts w:cstheme="minorHAnsi"/>
          <w:bCs/>
          <w:lang w:val="en-US"/>
        </w:rPr>
      </w:pPr>
      <w:proofErr w:type="spellStart"/>
      <w:r w:rsidRPr="004C1C27">
        <w:rPr>
          <w:rFonts w:cstheme="minorHAnsi"/>
          <w:bCs/>
        </w:rPr>
        <w:t>Lankelma</w:t>
      </w:r>
      <w:proofErr w:type="spellEnd"/>
      <w:r w:rsidRPr="004C1C27">
        <w:rPr>
          <w:rFonts w:cstheme="minorHAnsi"/>
          <w:bCs/>
        </w:rPr>
        <w:t xml:space="preserve"> JM, Birnie E, </w:t>
      </w:r>
      <w:proofErr w:type="spellStart"/>
      <w:r w:rsidRPr="004C1C27">
        <w:rPr>
          <w:rFonts w:cstheme="minorHAnsi"/>
          <w:bCs/>
        </w:rPr>
        <w:t>Weehuizen</w:t>
      </w:r>
      <w:proofErr w:type="spellEnd"/>
      <w:r w:rsidRPr="004C1C27">
        <w:rPr>
          <w:rFonts w:cstheme="minorHAnsi"/>
          <w:bCs/>
        </w:rPr>
        <w:t xml:space="preserve"> TAF, et al. </w:t>
      </w:r>
      <w:r w:rsidRPr="004C1C27">
        <w:rPr>
          <w:rFonts w:cstheme="minorHAnsi"/>
          <w:bCs/>
          <w:lang w:val="en-US"/>
        </w:rPr>
        <w:t xml:space="preserve">The gut microbiota as a modulator of innate immunity during melioidosis. </w:t>
      </w:r>
      <w:proofErr w:type="spellStart"/>
      <w:r w:rsidRPr="004C1C27">
        <w:rPr>
          <w:rFonts w:cstheme="minorHAnsi"/>
          <w:bCs/>
          <w:lang w:val="en-US"/>
        </w:rPr>
        <w:t>PLoS</w:t>
      </w:r>
      <w:proofErr w:type="spellEnd"/>
      <w:r w:rsidRPr="004C1C27">
        <w:rPr>
          <w:rFonts w:cstheme="minorHAnsi"/>
          <w:bCs/>
          <w:lang w:val="en-US"/>
        </w:rPr>
        <w:t xml:space="preserve"> </w:t>
      </w:r>
      <w:proofErr w:type="spellStart"/>
      <w:r w:rsidRPr="004C1C27">
        <w:rPr>
          <w:rFonts w:cstheme="minorHAnsi"/>
          <w:bCs/>
          <w:lang w:val="en-US"/>
        </w:rPr>
        <w:t>Negl</w:t>
      </w:r>
      <w:proofErr w:type="spellEnd"/>
      <w:r w:rsidRPr="004C1C27">
        <w:rPr>
          <w:rFonts w:cstheme="minorHAnsi"/>
          <w:bCs/>
          <w:lang w:val="en-US"/>
        </w:rPr>
        <w:t xml:space="preserve"> Trop Dis </w:t>
      </w:r>
      <w:r w:rsidRPr="00880117">
        <w:rPr>
          <w:rFonts w:cstheme="minorHAnsi"/>
          <w:b/>
          <w:lang w:val="en-US"/>
        </w:rPr>
        <w:t>2017</w:t>
      </w:r>
      <w:r w:rsidR="00880117">
        <w:rPr>
          <w:rFonts w:cstheme="minorHAnsi"/>
          <w:b/>
          <w:lang w:val="en-US"/>
        </w:rPr>
        <w:t>;</w:t>
      </w:r>
      <w:r w:rsidRPr="004C1C27">
        <w:rPr>
          <w:rFonts w:cstheme="minorHAnsi"/>
          <w:bCs/>
          <w:lang w:val="en-US"/>
        </w:rPr>
        <w:t xml:space="preserve"> 11:</w:t>
      </w:r>
      <w:r w:rsidR="00880117">
        <w:rPr>
          <w:rFonts w:cstheme="minorHAnsi"/>
          <w:bCs/>
          <w:lang w:val="en-US"/>
        </w:rPr>
        <w:t xml:space="preserve"> </w:t>
      </w:r>
      <w:r w:rsidRPr="004C1C27">
        <w:rPr>
          <w:rFonts w:cstheme="minorHAnsi"/>
          <w:bCs/>
          <w:lang w:val="en-US"/>
        </w:rPr>
        <w:t xml:space="preserve">e0005548. </w:t>
      </w:r>
    </w:p>
    <w:p w14:paraId="1BE67968" w14:textId="73CC4D8A" w:rsidR="00880117" w:rsidRPr="00880117" w:rsidRDefault="004C1C27" w:rsidP="00B30E06">
      <w:pPr>
        <w:pStyle w:val="Lijstalinea"/>
        <w:numPr>
          <w:ilvl w:val="0"/>
          <w:numId w:val="12"/>
        </w:numPr>
        <w:spacing w:line="360" w:lineRule="auto"/>
        <w:jc w:val="both"/>
        <w:rPr>
          <w:rFonts w:cstheme="minorHAnsi"/>
          <w:bCs/>
          <w:lang w:val="en-GB"/>
        </w:rPr>
      </w:pPr>
      <w:r w:rsidRPr="00880117">
        <w:rPr>
          <w:rFonts w:cstheme="minorHAnsi"/>
          <w:bCs/>
          <w:lang w:val="en-US"/>
        </w:rPr>
        <w:t xml:space="preserve"> </w:t>
      </w:r>
      <w:proofErr w:type="spellStart"/>
      <w:r w:rsidRPr="00880117">
        <w:rPr>
          <w:rFonts w:cstheme="minorHAnsi"/>
          <w:bCs/>
          <w:lang w:val="en-US"/>
        </w:rPr>
        <w:t>Abt</w:t>
      </w:r>
      <w:proofErr w:type="spellEnd"/>
      <w:r w:rsidRPr="00880117">
        <w:rPr>
          <w:rFonts w:cstheme="minorHAnsi"/>
          <w:bCs/>
          <w:lang w:val="en-US"/>
        </w:rPr>
        <w:t xml:space="preserve"> MC, Osborne LC, </w:t>
      </w:r>
      <w:proofErr w:type="spellStart"/>
      <w:r w:rsidRPr="00880117">
        <w:rPr>
          <w:rFonts w:cstheme="minorHAnsi"/>
          <w:bCs/>
          <w:lang w:val="en-US"/>
        </w:rPr>
        <w:t>Monticelli</w:t>
      </w:r>
      <w:proofErr w:type="spellEnd"/>
      <w:r w:rsidRPr="00880117">
        <w:rPr>
          <w:rFonts w:cstheme="minorHAnsi"/>
          <w:bCs/>
          <w:lang w:val="en-US"/>
        </w:rPr>
        <w:t xml:space="preserve"> LA, et al. Commensal bacteria calibrate the activation threshold of innate antiviral immunity. Immunity</w:t>
      </w:r>
      <w:r w:rsidR="00880117" w:rsidRPr="00880117">
        <w:rPr>
          <w:rFonts w:cstheme="minorHAnsi"/>
          <w:bCs/>
          <w:lang w:val="en-US"/>
        </w:rPr>
        <w:t>,</w:t>
      </w:r>
      <w:r w:rsidRPr="00880117">
        <w:rPr>
          <w:rFonts w:cstheme="minorHAnsi"/>
          <w:bCs/>
          <w:lang w:val="en-US"/>
        </w:rPr>
        <w:t xml:space="preserve"> </w:t>
      </w:r>
      <w:r w:rsidRPr="00880117">
        <w:rPr>
          <w:rFonts w:cstheme="minorHAnsi"/>
          <w:b/>
          <w:lang w:val="en-US"/>
        </w:rPr>
        <w:t>2012</w:t>
      </w:r>
      <w:r w:rsidR="00880117" w:rsidRPr="00880117">
        <w:rPr>
          <w:rFonts w:cstheme="minorHAnsi"/>
          <w:bCs/>
          <w:lang w:val="en-US"/>
        </w:rPr>
        <w:t>;</w:t>
      </w:r>
      <w:r w:rsidRPr="00880117">
        <w:rPr>
          <w:rFonts w:cstheme="minorHAnsi"/>
          <w:bCs/>
          <w:lang w:val="en-US"/>
        </w:rPr>
        <w:t xml:space="preserve"> 37:</w:t>
      </w:r>
      <w:r w:rsidR="00880117">
        <w:rPr>
          <w:rFonts w:cstheme="minorHAnsi"/>
          <w:bCs/>
          <w:lang w:val="en-US"/>
        </w:rPr>
        <w:t xml:space="preserve"> </w:t>
      </w:r>
      <w:r w:rsidRPr="00880117">
        <w:rPr>
          <w:rFonts w:cstheme="minorHAnsi"/>
          <w:bCs/>
          <w:lang w:val="en-US"/>
        </w:rPr>
        <w:t>158–70</w:t>
      </w:r>
    </w:p>
    <w:p w14:paraId="6D22F06A" w14:textId="77B2A811" w:rsidR="0072506D" w:rsidRPr="00880117" w:rsidRDefault="0072506D" w:rsidP="00B30E06">
      <w:pPr>
        <w:pStyle w:val="Lijstalinea"/>
        <w:numPr>
          <w:ilvl w:val="0"/>
          <w:numId w:val="12"/>
        </w:numPr>
        <w:spacing w:line="360" w:lineRule="auto"/>
        <w:jc w:val="both"/>
        <w:rPr>
          <w:rFonts w:cstheme="minorHAnsi"/>
          <w:bCs/>
          <w:lang w:val="en-GB"/>
        </w:rPr>
      </w:pPr>
      <w:r w:rsidRPr="00880117">
        <w:rPr>
          <w:rFonts w:cstheme="minorHAnsi"/>
          <w:color w:val="000000"/>
          <w:lang w:val="en-US"/>
        </w:rPr>
        <w:t xml:space="preserve">Chang PV, Hao L, </w:t>
      </w:r>
      <w:proofErr w:type="spellStart"/>
      <w:r w:rsidRPr="00880117">
        <w:rPr>
          <w:rFonts w:cstheme="minorHAnsi"/>
          <w:color w:val="000000"/>
          <w:lang w:val="en-US"/>
        </w:rPr>
        <w:t>Offermanns</w:t>
      </w:r>
      <w:proofErr w:type="spellEnd"/>
      <w:r w:rsidRPr="00880117">
        <w:rPr>
          <w:rFonts w:cstheme="minorHAnsi"/>
          <w:color w:val="000000"/>
          <w:lang w:val="en-US"/>
        </w:rPr>
        <w:t xml:space="preserve"> S, </w:t>
      </w:r>
      <w:proofErr w:type="spellStart"/>
      <w:r w:rsidRPr="00880117">
        <w:rPr>
          <w:rFonts w:cstheme="minorHAnsi"/>
          <w:color w:val="000000"/>
          <w:lang w:val="en-US"/>
        </w:rPr>
        <w:t>Medzhitov</w:t>
      </w:r>
      <w:proofErr w:type="spellEnd"/>
      <w:r w:rsidRPr="00880117">
        <w:rPr>
          <w:rFonts w:cstheme="minorHAnsi"/>
          <w:color w:val="000000"/>
          <w:lang w:val="en-US"/>
        </w:rPr>
        <w:t xml:space="preserve"> R. The microbial metabolite</w:t>
      </w:r>
      <w:r w:rsidR="00173CC7" w:rsidRPr="00880117">
        <w:rPr>
          <w:rFonts w:cstheme="minorHAnsi"/>
          <w:color w:val="000000"/>
          <w:lang w:val="en-US"/>
        </w:rPr>
        <w:t xml:space="preserve"> butyrate regulates intestinal  </w:t>
      </w:r>
      <w:r w:rsidRPr="00880117">
        <w:rPr>
          <w:rFonts w:cstheme="minorHAnsi"/>
          <w:color w:val="000000"/>
          <w:lang w:val="en-US"/>
        </w:rPr>
        <w:t xml:space="preserve">macrophage function via histone deacetylase inhibition. </w:t>
      </w:r>
      <w:r w:rsidR="00173CC7" w:rsidRPr="00880117">
        <w:rPr>
          <w:rFonts w:cstheme="minorHAnsi"/>
          <w:i/>
          <w:iCs/>
          <w:color w:val="000000"/>
          <w:lang w:val="en-US"/>
        </w:rPr>
        <w:t xml:space="preserve">Proc Natl </w:t>
      </w:r>
      <w:proofErr w:type="spellStart"/>
      <w:r w:rsidR="00173CC7" w:rsidRPr="00880117">
        <w:rPr>
          <w:rFonts w:cstheme="minorHAnsi"/>
          <w:i/>
          <w:iCs/>
          <w:color w:val="000000"/>
          <w:lang w:val="en-US"/>
        </w:rPr>
        <w:t>Acad</w:t>
      </w:r>
      <w:proofErr w:type="spellEnd"/>
      <w:r w:rsidR="00173CC7" w:rsidRPr="00880117">
        <w:rPr>
          <w:rFonts w:cstheme="minorHAnsi"/>
          <w:i/>
          <w:iCs/>
          <w:color w:val="000000"/>
          <w:lang w:val="en-US"/>
        </w:rPr>
        <w:t xml:space="preserve"> Sci U S A. </w:t>
      </w:r>
      <w:r w:rsidR="00173CC7" w:rsidRPr="00880117">
        <w:rPr>
          <w:rFonts w:cstheme="minorHAnsi"/>
          <w:color w:val="000000"/>
          <w:lang w:val="en-US"/>
        </w:rPr>
        <w:t>2014;111(6):2247–</w:t>
      </w:r>
      <w:r w:rsidRPr="00880117">
        <w:rPr>
          <w:rFonts w:cstheme="minorHAnsi"/>
          <w:color w:val="000000"/>
          <w:lang w:val="en-US"/>
        </w:rPr>
        <w:t>52.</w:t>
      </w:r>
    </w:p>
    <w:p w14:paraId="67294048" w14:textId="12BA7272" w:rsidR="0072506D" w:rsidRPr="005E6B0F" w:rsidRDefault="0072506D" w:rsidP="00FB57CF">
      <w:pPr>
        <w:pStyle w:val="Lijstalinea"/>
        <w:numPr>
          <w:ilvl w:val="0"/>
          <w:numId w:val="12"/>
        </w:numPr>
        <w:spacing w:line="360" w:lineRule="auto"/>
        <w:jc w:val="both"/>
        <w:rPr>
          <w:rFonts w:cstheme="minorHAnsi"/>
          <w:bCs/>
          <w:lang w:val="en-GB"/>
        </w:rPr>
      </w:pPr>
      <w:r w:rsidRPr="005E6B0F">
        <w:rPr>
          <w:rFonts w:cstheme="minorHAnsi"/>
          <w:color w:val="000000"/>
          <w:lang w:val="en-US"/>
        </w:rPr>
        <w:t xml:space="preserve">Chakraborty K, </w:t>
      </w:r>
      <w:proofErr w:type="spellStart"/>
      <w:r w:rsidRPr="005E6B0F">
        <w:rPr>
          <w:rFonts w:cstheme="minorHAnsi"/>
          <w:color w:val="000000"/>
          <w:lang w:val="en-US"/>
        </w:rPr>
        <w:t>Raundhal</w:t>
      </w:r>
      <w:proofErr w:type="spellEnd"/>
      <w:r w:rsidRPr="005E6B0F">
        <w:rPr>
          <w:rFonts w:cstheme="minorHAnsi"/>
          <w:color w:val="000000"/>
          <w:lang w:val="en-US"/>
        </w:rPr>
        <w:t xml:space="preserve"> M, Chen BB, et al. The </w:t>
      </w:r>
      <w:proofErr w:type="spellStart"/>
      <w:r w:rsidRPr="005E6B0F">
        <w:rPr>
          <w:rFonts w:cstheme="minorHAnsi"/>
          <w:color w:val="000000"/>
          <w:lang w:val="en-US"/>
        </w:rPr>
        <w:t>mito</w:t>
      </w:r>
      <w:proofErr w:type="spellEnd"/>
      <w:r w:rsidRPr="005E6B0F">
        <w:rPr>
          <w:rFonts w:cstheme="minorHAnsi"/>
          <w:color w:val="000000"/>
          <w:lang w:val="en-US"/>
        </w:rPr>
        <w:t>-DAMP cardiolipin b</w:t>
      </w:r>
      <w:r w:rsidR="00173CC7">
        <w:rPr>
          <w:rFonts w:cstheme="minorHAnsi"/>
          <w:color w:val="000000"/>
          <w:lang w:val="en-US"/>
        </w:rPr>
        <w:t xml:space="preserve">locks IL-10 production causing  </w:t>
      </w:r>
      <w:r w:rsidRPr="005E6B0F">
        <w:rPr>
          <w:rFonts w:cstheme="minorHAnsi"/>
          <w:color w:val="000000"/>
          <w:lang w:val="en-US"/>
        </w:rPr>
        <w:t xml:space="preserve">persistent inflammation during bacterial pneumonia [published ahead of print 11 January 2017]. </w:t>
      </w:r>
      <w:r w:rsidR="00173CC7" w:rsidRPr="00173CC7">
        <w:rPr>
          <w:rFonts w:cstheme="minorHAnsi"/>
          <w:i/>
          <w:iCs/>
          <w:color w:val="000000"/>
          <w:lang w:val="en-US"/>
        </w:rPr>
        <w:t xml:space="preserve">Nat </w:t>
      </w:r>
      <w:proofErr w:type="spellStart"/>
      <w:r w:rsidRPr="00173CC7">
        <w:rPr>
          <w:rFonts w:cstheme="minorHAnsi"/>
          <w:i/>
          <w:iCs/>
          <w:color w:val="000000"/>
          <w:lang w:val="en-US"/>
        </w:rPr>
        <w:t>Commun</w:t>
      </w:r>
      <w:proofErr w:type="spellEnd"/>
      <w:r w:rsidRPr="00173CC7">
        <w:rPr>
          <w:rFonts w:cstheme="minorHAnsi"/>
          <w:i/>
          <w:iCs/>
          <w:color w:val="000000"/>
          <w:lang w:val="en-US"/>
        </w:rPr>
        <w:t xml:space="preserve">. </w:t>
      </w:r>
      <w:r w:rsidRPr="00173CC7">
        <w:rPr>
          <w:rFonts w:cstheme="minorHAnsi"/>
          <w:color w:val="000000"/>
          <w:lang w:val="en-US"/>
        </w:rPr>
        <w:t>doi:10.1038/ncomms139442017;8:13944.</w:t>
      </w:r>
    </w:p>
    <w:p w14:paraId="1B5BF8B5" w14:textId="77777777" w:rsidR="00880117" w:rsidRDefault="0072506D" w:rsidP="00B30E06">
      <w:pPr>
        <w:pStyle w:val="Lijstalinea"/>
        <w:numPr>
          <w:ilvl w:val="0"/>
          <w:numId w:val="12"/>
        </w:numPr>
        <w:spacing w:line="360" w:lineRule="auto"/>
        <w:jc w:val="both"/>
        <w:rPr>
          <w:rFonts w:cstheme="minorHAnsi"/>
          <w:bCs/>
          <w:lang w:val="en-GB"/>
        </w:rPr>
      </w:pPr>
      <w:r w:rsidRPr="00880117">
        <w:rPr>
          <w:rFonts w:cstheme="minorHAnsi"/>
          <w:bCs/>
        </w:rPr>
        <w:t xml:space="preserve">Thompson LJ, </w:t>
      </w:r>
      <w:proofErr w:type="spellStart"/>
      <w:r w:rsidRPr="00880117">
        <w:rPr>
          <w:rFonts w:cstheme="minorHAnsi"/>
          <w:bCs/>
        </w:rPr>
        <w:t>Dunstan</w:t>
      </w:r>
      <w:proofErr w:type="spellEnd"/>
      <w:r w:rsidRPr="00880117">
        <w:rPr>
          <w:rFonts w:cstheme="minorHAnsi"/>
          <w:bCs/>
        </w:rPr>
        <w:t xml:space="preserve"> SJ, </w:t>
      </w:r>
      <w:proofErr w:type="spellStart"/>
      <w:r w:rsidRPr="00880117">
        <w:rPr>
          <w:rFonts w:cstheme="minorHAnsi"/>
          <w:bCs/>
        </w:rPr>
        <w:t>Dolecek</w:t>
      </w:r>
      <w:proofErr w:type="spellEnd"/>
      <w:r w:rsidRPr="00880117">
        <w:rPr>
          <w:rFonts w:cstheme="minorHAnsi"/>
          <w:bCs/>
        </w:rPr>
        <w:t xml:space="preserve"> C, </w:t>
      </w:r>
      <w:r w:rsidR="00880117" w:rsidRPr="00880117">
        <w:rPr>
          <w:rFonts w:cstheme="minorHAnsi"/>
          <w:bCs/>
        </w:rPr>
        <w:t xml:space="preserve">et al. </w:t>
      </w:r>
      <w:r w:rsidRPr="00880117">
        <w:rPr>
          <w:rFonts w:cstheme="minorHAnsi"/>
          <w:bCs/>
          <w:lang w:val="en-GB"/>
        </w:rPr>
        <w:t xml:space="preserve">Transcriptional response in the peripheral blood of patients infected with Salmonella enterica serovar Typhi. Proc Natl </w:t>
      </w:r>
      <w:proofErr w:type="spellStart"/>
      <w:r w:rsidRPr="00880117">
        <w:rPr>
          <w:rFonts w:cstheme="minorHAnsi"/>
          <w:bCs/>
          <w:lang w:val="en-GB"/>
        </w:rPr>
        <w:t>Acad</w:t>
      </w:r>
      <w:proofErr w:type="spellEnd"/>
      <w:r w:rsidRPr="00880117">
        <w:rPr>
          <w:rFonts w:cstheme="minorHAnsi"/>
          <w:bCs/>
          <w:lang w:val="en-GB"/>
        </w:rPr>
        <w:t xml:space="preserve"> Sci U S A</w:t>
      </w:r>
      <w:r w:rsidR="00880117" w:rsidRPr="00880117">
        <w:rPr>
          <w:rFonts w:cstheme="minorHAnsi"/>
          <w:bCs/>
          <w:lang w:val="en-GB"/>
        </w:rPr>
        <w:t>,</w:t>
      </w:r>
      <w:r w:rsidRPr="00880117">
        <w:rPr>
          <w:rFonts w:cstheme="minorHAnsi"/>
          <w:bCs/>
          <w:lang w:val="en-GB"/>
        </w:rPr>
        <w:t xml:space="preserve"> </w:t>
      </w:r>
      <w:r w:rsidRPr="00880117">
        <w:rPr>
          <w:rFonts w:cstheme="minorHAnsi"/>
          <w:b/>
          <w:lang w:val="en-GB"/>
        </w:rPr>
        <w:t>2009</w:t>
      </w:r>
      <w:r w:rsidRPr="00880117">
        <w:rPr>
          <w:rFonts w:cstheme="minorHAnsi"/>
          <w:bCs/>
          <w:lang w:val="en-GB"/>
        </w:rPr>
        <w:t>;</w:t>
      </w:r>
      <w:r w:rsidR="00880117" w:rsidRPr="00880117">
        <w:rPr>
          <w:rFonts w:cstheme="minorHAnsi"/>
          <w:bCs/>
          <w:lang w:val="en-GB"/>
        </w:rPr>
        <w:t xml:space="preserve"> </w:t>
      </w:r>
      <w:r w:rsidRPr="00880117">
        <w:rPr>
          <w:rFonts w:cstheme="minorHAnsi"/>
          <w:bCs/>
          <w:lang w:val="en-GB"/>
        </w:rPr>
        <w:t>106:</w:t>
      </w:r>
      <w:r w:rsidR="00880117" w:rsidRPr="00880117">
        <w:rPr>
          <w:rFonts w:cstheme="minorHAnsi"/>
          <w:bCs/>
          <w:lang w:val="en-GB"/>
        </w:rPr>
        <w:t xml:space="preserve"> </w:t>
      </w:r>
      <w:r w:rsidRPr="00880117">
        <w:rPr>
          <w:rFonts w:cstheme="minorHAnsi"/>
          <w:bCs/>
          <w:lang w:val="en-GB"/>
        </w:rPr>
        <w:t>22433-8</w:t>
      </w:r>
    </w:p>
    <w:p w14:paraId="2C304A3E" w14:textId="79A378BC" w:rsidR="00FC2068" w:rsidRPr="00880117" w:rsidRDefault="00FC2068" w:rsidP="00B30E06">
      <w:pPr>
        <w:pStyle w:val="Lijstalinea"/>
        <w:numPr>
          <w:ilvl w:val="0"/>
          <w:numId w:val="12"/>
        </w:numPr>
        <w:spacing w:line="360" w:lineRule="auto"/>
        <w:jc w:val="both"/>
        <w:rPr>
          <w:rFonts w:cstheme="minorHAnsi"/>
          <w:bCs/>
          <w:lang w:val="en-GB"/>
        </w:rPr>
      </w:pPr>
      <w:r w:rsidRPr="00880117">
        <w:rPr>
          <w:rFonts w:cstheme="minorHAnsi"/>
          <w:bCs/>
          <w:lang w:val="en-GB"/>
        </w:rPr>
        <w:t xml:space="preserve">Croswell A, Amir E, </w:t>
      </w:r>
      <w:proofErr w:type="spellStart"/>
      <w:r w:rsidRPr="00880117">
        <w:rPr>
          <w:rFonts w:cstheme="minorHAnsi"/>
          <w:bCs/>
          <w:lang w:val="en-GB"/>
        </w:rPr>
        <w:t>Teggatz</w:t>
      </w:r>
      <w:proofErr w:type="spellEnd"/>
      <w:r w:rsidRPr="00880117">
        <w:rPr>
          <w:rFonts w:cstheme="minorHAnsi"/>
          <w:bCs/>
          <w:lang w:val="en-GB"/>
        </w:rPr>
        <w:t xml:space="preserve"> P, Barman M, Salzman NH</w:t>
      </w:r>
      <w:r w:rsidR="00880117">
        <w:rPr>
          <w:rFonts w:cstheme="minorHAnsi"/>
          <w:bCs/>
          <w:lang w:val="en-GB"/>
        </w:rPr>
        <w:t>.</w:t>
      </w:r>
      <w:r w:rsidRPr="00880117">
        <w:rPr>
          <w:rFonts w:cstheme="minorHAnsi"/>
          <w:bCs/>
          <w:lang w:val="en-GB"/>
        </w:rPr>
        <w:t xml:space="preserve"> Prolonged impact of antibiotics on intestinal microbial ecology and susceptibility to enteric Salmonella infection. Infect </w:t>
      </w:r>
      <w:proofErr w:type="spellStart"/>
      <w:r w:rsidRPr="00880117">
        <w:rPr>
          <w:rFonts w:cstheme="minorHAnsi"/>
          <w:bCs/>
          <w:lang w:val="en-GB"/>
        </w:rPr>
        <w:t>Immun</w:t>
      </w:r>
      <w:proofErr w:type="spellEnd"/>
      <w:r w:rsidR="00880117">
        <w:rPr>
          <w:rFonts w:cstheme="minorHAnsi"/>
          <w:bCs/>
          <w:lang w:val="en-GB"/>
        </w:rPr>
        <w:t xml:space="preserve">, </w:t>
      </w:r>
      <w:r w:rsidR="00880117" w:rsidRPr="00880117">
        <w:rPr>
          <w:rFonts w:cstheme="minorHAnsi"/>
          <w:b/>
          <w:lang w:val="en-GB"/>
        </w:rPr>
        <w:t>2009</w:t>
      </w:r>
      <w:r w:rsidR="00880117">
        <w:rPr>
          <w:rFonts w:cstheme="minorHAnsi"/>
          <w:bCs/>
          <w:lang w:val="en-GB"/>
        </w:rPr>
        <w:t>;</w:t>
      </w:r>
      <w:r w:rsidR="00880117" w:rsidRPr="00880117">
        <w:rPr>
          <w:rFonts w:cstheme="minorHAnsi"/>
          <w:bCs/>
          <w:lang w:val="en-GB"/>
        </w:rPr>
        <w:t xml:space="preserve"> </w:t>
      </w:r>
      <w:r w:rsidRPr="00880117">
        <w:rPr>
          <w:rFonts w:cstheme="minorHAnsi"/>
          <w:bCs/>
          <w:lang w:val="en-GB"/>
        </w:rPr>
        <w:t xml:space="preserve"> 77: </w:t>
      </w:r>
      <w:r w:rsidR="00880117">
        <w:rPr>
          <w:rFonts w:cstheme="minorHAnsi"/>
          <w:bCs/>
          <w:lang w:val="en-GB"/>
        </w:rPr>
        <w:t xml:space="preserve"> </w:t>
      </w:r>
      <w:r w:rsidRPr="00880117">
        <w:rPr>
          <w:rFonts w:cstheme="minorHAnsi"/>
          <w:bCs/>
          <w:lang w:val="en-GB"/>
        </w:rPr>
        <w:t>2741–2753.</w:t>
      </w:r>
    </w:p>
    <w:p w14:paraId="083C1304" w14:textId="55F4DD11" w:rsidR="00FC2068" w:rsidRDefault="00FC2068" w:rsidP="00FB57CF">
      <w:pPr>
        <w:pStyle w:val="Lijstalinea"/>
        <w:numPr>
          <w:ilvl w:val="0"/>
          <w:numId w:val="12"/>
        </w:numPr>
        <w:spacing w:line="360" w:lineRule="auto"/>
        <w:jc w:val="both"/>
        <w:rPr>
          <w:rFonts w:cstheme="minorHAnsi"/>
          <w:bCs/>
          <w:lang w:val="en-GB"/>
        </w:rPr>
      </w:pPr>
      <w:r w:rsidRPr="005E6B0F">
        <w:rPr>
          <w:rFonts w:cstheme="minorHAnsi"/>
          <w:bCs/>
          <w:lang w:val="en-GB"/>
        </w:rPr>
        <w:t xml:space="preserve">Gopinath S, Carden S, </w:t>
      </w:r>
      <w:proofErr w:type="spellStart"/>
      <w:r w:rsidRPr="005E6B0F">
        <w:rPr>
          <w:rFonts w:cstheme="minorHAnsi"/>
          <w:bCs/>
          <w:lang w:val="en-GB"/>
        </w:rPr>
        <w:t>Monack</w:t>
      </w:r>
      <w:proofErr w:type="spellEnd"/>
      <w:r w:rsidRPr="005E6B0F">
        <w:rPr>
          <w:rFonts w:cstheme="minorHAnsi"/>
          <w:bCs/>
          <w:lang w:val="en-GB"/>
        </w:rPr>
        <w:t xml:space="preserve"> D</w:t>
      </w:r>
      <w:r w:rsidR="00880117">
        <w:rPr>
          <w:rFonts w:cstheme="minorHAnsi"/>
          <w:bCs/>
          <w:lang w:val="en-GB"/>
        </w:rPr>
        <w:t xml:space="preserve">. </w:t>
      </w:r>
      <w:r w:rsidRPr="005E6B0F">
        <w:rPr>
          <w:rFonts w:cstheme="minorHAnsi"/>
          <w:bCs/>
          <w:lang w:val="en-GB"/>
        </w:rPr>
        <w:t xml:space="preserve"> Shedding light on Salmonella carriers. Trends </w:t>
      </w:r>
      <w:proofErr w:type="spellStart"/>
      <w:r w:rsidRPr="005E6B0F">
        <w:rPr>
          <w:rFonts w:cstheme="minorHAnsi"/>
          <w:bCs/>
          <w:lang w:val="en-GB"/>
        </w:rPr>
        <w:t>Microbiol</w:t>
      </w:r>
      <w:proofErr w:type="spellEnd"/>
      <w:r w:rsidR="00880117">
        <w:rPr>
          <w:rFonts w:cstheme="minorHAnsi"/>
          <w:bCs/>
          <w:lang w:val="en-GB"/>
        </w:rPr>
        <w:t xml:space="preserve">, </w:t>
      </w:r>
      <w:r w:rsidR="00880117" w:rsidRPr="00880117">
        <w:rPr>
          <w:rFonts w:cstheme="minorHAnsi"/>
          <w:b/>
          <w:lang w:val="en-GB"/>
        </w:rPr>
        <w:t>2012</w:t>
      </w:r>
      <w:r w:rsidR="00880117">
        <w:rPr>
          <w:rFonts w:cstheme="minorHAnsi"/>
          <w:b/>
          <w:lang w:val="en-GB"/>
        </w:rPr>
        <w:t>;</w:t>
      </w:r>
      <w:r w:rsidR="00880117" w:rsidRPr="005E6B0F">
        <w:rPr>
          <w:rFonts w:cstheme="minorHAnsi"/>
          <w:bCs/>
          <w:lang w:val="en-GB"/>
        </w:rPr>
        <w:t xml:space="preserve"> </w:t>
      </w:r>
      <w:r w:rsidRPr="005E6B0F">
        <w:rPr>
          <w:rFonts w:cstheme="minorHAnsi"/>
          <w:bCs/>
          <w:lang w:val="en-GB"/>
        </w:rPr>
        <w:t>20: 320–327</w:t>
      </w:r>
    </w:p>
    <w:p w14:paraId="56C51419" w14:textId="54870DC2" w:rsidR="009F49DB" w:rsidRPr="009F49DB" w:rsidRDefault="009F49DB" w:rsidP="00FB57CF">
      <w:pPr>
        <w:pStyle w:val="Lijstalinea"/>
        <w:numPr>
          <w:ilvl w:val="0"/>
          <w:numId w:val="12"/>
        </w:numPr>
        <w:spacing w:line="360" w:lineRule="auto"/>
        <w:jc w:val="both"/>
        <w:rPr>
          <w:rFonts w:cstheme="minorHAnsi"/>
          <w:bCs/>
          <w:lang w:val="en-GB"/>
        </w:rPr>
      </w:pPr>
      <w:r>
        <w:rPr>
          <w:rFonts w:cstheme="minorHAnsi"/>
          <w:bCs/>
          <w:lang w:val="en-GB"/>
        </w:rPr>
        <w:t>Malik U</w:t>
      </w:r>
      <w:r w:rsidRPr="009F49DB">
        <w:rPr>
          <w:rFonts w:cstheme="minorHAnsi"/>
          <w:bCs/>
          <w:lang w:val="en-GB"/>
        </w:rPr>
        <w:t>, Armstrong D, Ashworth M</w:t>
      </w:r>
      <w:r>
        <w:rPr>
          <w:rFonts w:cstheme="minorHAnsi"/>
          <w:bCs/>
          <w:lang w:val="en-GB"/>
        </w:rPr>
        <w:t xml:space="preserve">, </w:t>
      </w:r>
      <w:r w:rsidR="008F6603">
        <w:rPr>
          <w:rFonts w:cstheme="minorHAnsi"/>
          <w:bCs/>
          <w:lang w:val="en-GB"/>
        </w:rPr>
        <w:t>et al.</w:t>
      </w:r>
      <w:r w:rsidRPr="009F49DB">
        <w:rPr>
          <w:rFonts w:cstheme="minorHAnsi"/>
          <w:bCs/>
          <w:lang w:val="en-GB"/>
        </w:rPr>
        <w:t xml:space="preserve"> Association between prior antibiotic therapy and subsequent risk of community-acquired infections: a systematic review.</w:t>
      </w:r>
      <w:r>
        <w:rPr>
          <w:rFonts w:cstheme="minorHAnsi"/>
          <w:bCs/>
          <w:lang w:val="en-GB"/>
        </w:rPr>
        <w:t xml:space="preserve"> </w:t>
      </w:r>
      <w:r w:rsidRPr="009F49DB">
        <w:rPr>
          <w:rFonts w:cstheme="minorHAnsi"/>
          <w:bCs/>
          <w:lang w:val="en-GB"/>
        </w:rPr>
        <w:t xml:space="preserve">J </w:t>
      </w:r>
      <w:proofErr w:type="spellStart"/>
      <w:r w:rsidRPr="009F49DB">
        <w:rPr>
          <w:rFonts w:cstheme="minorHAnsi"/>
          <w:bCs/>
          <w:lang w:val="en-GB"/>
        </w:rPr>
        <w:t>Antimicrob</w:t>
      </w:r>
      <w:proofErr w:type="spellEnd"/>
      <w:r w:rsidRPr="009F49DB">
        <w:rPr>
          <w:rFonts w:cstheme="minorHAnsi"/>
          <w:bCs/>
          <w:lang w:val="en-GB"/>
        </w:rPr>
        <w:t xml:space="preserve"> Chemother</w:t>
      </w:r>
      <w:r w:rsidR="008F6603">
        <w:rPr>
          <w:rFonts w:cstheme="minorHAnsi"/>
          <w:bCs/>
          <w:lang w:val="en-GB"/>
        </w:rPr>
        <w:t>,</w:t>
      </w:r>
      <w:r w:rsidRPr="009F49DB">
        <w:rPr>
          <w:rFonts w:cstheme="minorHAnsi"/>
          <w:bCs/>
          <w:lang w:val="en-GB"/>
        </w:rPr>
        <w:t xml:space="preserve"> </w:t>
      </w:r>
      <w:r w:rsidRPr="008F6603">
        <w:rPr>
          <w:rFonts w:cstheme="minorHAnsi"/>
          <w:b/>
          <w:lang w:val="en-GB"/>
        </w:rPr>
        <w:t>2018</w:t>
      </w:r>
      <w:r w:rsidRPr="009F49DB">
        <w:rPr>
          <w:rFonts w:cstheme="minorHAnsi"/>
          <w:bCs/>
          <w:lang w:val="en-GB"/>
        </w:rPr>
        <w:t>;</w:t>
      </w:r>
      <w:r w:rsidR="008F6603">
        <w:rPr>
          <w:rFonts w:cstheme="minorHAnsi"/>
          <w:bCs/>
          <w:lang w:val="en-GB"/>
        </w:rPr>
        <w:t xml:space="preserve"> </w:t>
      </w:r>
      <w:r w:rsidRPr="009F49DB">
        <w:rPr>
          <w:rFonts w:cstheme="minorHAnsi"/>
          <w:bCs/>
          <w:lang w:val="en-GB"/>
        </w:rPr>
        <w:t>73:</w:t>
      </w:r>
      <w:r w:rsidR="008F6603">
        <w:rPr>
          <w:rFonts w:cstheme="minorHAnsi"/>
          <w:bCs/>
          <w:lang w:val="en-GB"/>
        </w:rPr>
        <w:t xml:space="preserve"> </w:t>
      </w:r>
      <w:r w:rsidRPr="009F49DB">
        <w:rPr>
          <w:rFonts w:cstheme="minorHAnsi"/>
          <w:bCs/>
          <w:lang w:val="en-GB"/>
        </w:rPr>
        <w:t>287-296</w:t>
      </w:r>
    </w:p>
    <w:p w14:paraId="62E8F531" w14:textId="77777777" w:rsidR="009F49DB" w:rsidRPr="005E6B0F" w:rsidRDefault="009F49DB" w:rsidP="009F49DB">
      <w:pPr>
        <w:pStyle w:val="Lijstalinea"/>
        <w:spacing w:line="360" w:lineRule="auto"/>
        <w:rPr>
          <w:rFonts w:cstheme="minorHAnsi"/>
          <w:bCs/>
          <w:lang w:val="en-GB"/>
        </w:rPr>
      </w:pPr>
    </w:p>
    <w:p w14:paraId="26A730CC" w14:textId="77777777" w:rsidR="00DF4DBC" w:rsidRDefault="00DF4DBC">
      <w:pPr>
        <w:rPr>
          <w:rFonts w:cs="Arial"/>
          <w:b/>
          <w:lang w:val="en-US"/>
        </w:rPr>
      </w:pPr>
      <w:r>
        <w:rPr>
          <w:rFonts w:cs="Arial"/>
          <w:b/>
          <w:lang w:val="en-US"/>
        </w:rPr>
        <w:br w:type="page"/>
      </w:r>
    </w:p>
    <w:p w14:paraId="00039CCB" w14:textId="18136CD5" w:rsidR="00A12BCC" w:rsidRPr="00CA09EE" w:rsidRDefault="00A12BCC" w:rsidP="00A12BCC">
      <w:pPr>
        <w:rPr>
          <w:rFonts w:cstheme="minorHAnsi"/>
          <w:b/>
          <w:lang w:val="en-US"/>
        </w:rPr>
      </w:pPr>
      <w:r w:rsidRPr="00CA09EE">
        <w:rPr>
          <w:rFonts w:cstheme="minorHAnsi"/>
          <w:b/>
          <w:lang w:val="en-US"/>
        </w:rPr>
        <w:lastRenderedPageBreak/>
        <w:t xml:space="preserve">Table 1: </w:t>
      </w:r>
      <w:r w:rsidR="00565361" w:rsidRPr="00CA09EE">
        <w:rPr>
          <w:rFonts w:cstheme="minorHAnsi"/>
          <w:b/>
          <w:bCs/>
          <w:lang w:val="en-US"/>
        </w:rPr>
        <w:t>Baseline Demographics</w:t>
      </w:r>
      <w:r w:rsidR="00F61AEB" w:rsidRPr="00CA09EE">
        <w:rPr>
          <w:rFonts w:cstheme="minorHAnsi"/>
          <w:b/>
          <w:bCs/>
          <w:lang w:val="en-US"/>
        </w:rPr>
        <w:t xml:space="preserve"> and </w:t>
      </w:r>
      <w:r w:rsidR="00565361" w:rsidRPr="00CA09EE">
        <w:rPr>
          <w:rFonts w:cstheme="minorHAnsi"/>
          <w:b/>
          <w:bCs/>
          <w:lang w:val="en-US"/>
        </w:rPr>
        <w:t>Disease Characteristics at Admission</w:t>
      </w:r>
    </w:p>
    <w:tbl>
      <w:tblPr>
        <w:tblW w:w="10800" w:type="dxa"/>
        <w:jc w:val="center"/>
        <w:tblLayout w:type="fixed"/>
        <w:tblLook w:val="04A0" w:firstRow="1" w:lastRow="0" w:firstColumn="1" w:lastColumn="0" w:noHBand="0" w:noVBand="1"/>
      </w:tblPr>
      <w:tblGrid>
        <w:gridCol w:w="3261"/>
        <w:gridCol w:w="1984"/>
        <w:gridCol w:w="2552"/>
        <w:gridCol w:w="2268"/>
        <w:gridCol w:w="735"/>
      </w:tblGrid>
      <w:tr w:rsidR="00A12BCC" w:rsidRPr="00CA09EE" w14:paraId="273C9887" w14:textId="77777777" w:rsidTr="000A514E">
        <w:trPr>
          <w:cantSplit/>
          <w:trHeight w:val="373"/>
          <w:tblHeader/>
          <w:jc w:val="center"/>
        </w:trPr>
        <w:tc>
          <w:tcPr>
            <w:tcW w:w="3261" w:type="dxa"/>
            <w:tcBorders>
              <w:top w:val="single" w:sz="16" w:space="0" w:color="000000"/>
              <w:bottom w:val="single" w:sz="16" w:space="0" w:color="000000"/>
            </w:tcBorders>
            <w:shd w:val="clear" w:color="auto" w:fill="D9D9D9" w:themeFill="background1" w:themeFillShade="D9"/>
            <w:tcMar>
              <w:top w:w="0" w:type="dxa"/>
              <w:left w:w="0" w:type="dxa"/>
              <w:bottom w:w="0" w:type="dxa"/>
              <w:right w:w="0" w:type="dxa"/>
            </w:tcMar>
            <w:vAlign w:val="center"/>
          </w:tcPr>
          <w:p w14:paraId="71F094A7" w14:textId="060041A0" w:rsidR="00A12BCC" w:rsidRPr="00CA09EE" w:rsidRDefault="00565361" w:rsidP="00A12BCC">
            <w:pPr>
              <w:spacing w:before="40" w:after="40"/>
              <w:ind w:left="40" w:right="40"/>
              <w:jc w:val="right"/>
              <w:rPr>
                <w:rFonts w:cstheme="minorHAnsi"/>
                <w:b/>
                <w:bCs/>
              </w:rPr>
            </w:pPr>
            <w:proofErr w:type="spellStart"/>
            <w:r w:rsidRPr="00CA09EE">
              <w:rPr>
                <w:rFonts w:cstheme="minorHAnsi"/>
                <w:b/>
                <w:bCs/>
                <w:color w:val="000000"/>
              </w:rPr>
              <w:t>Characteristic</w:t>
            </w:r>
            <w:proofErr w:type="spellEnd"/>
          </w:p>
        </w:tc>
        <w:tc>
          <w:tcPr>
            <w:tcW w:w="1984" w:type="dxa"/>
            <w:tcBorders>
              <w:top w:val="single" w:sz="16" w:space="0" w:color="000000"/>
              <w:bottom w:val="single" w:sz="16" w:space="0" w:color="000000"/>
            </w:tcBorders>
            <w:shd w:val="clear" w:color="auto" w:fill="D9D9D9" w:themeFill="background1" w:themeFillShade="D9"/>
            <w:tcMar>
              <w:top w:w="0" w:type="dxa"/>
              <w:left w:w="0" w:type="dxa"/>
              <w:bottom w:w="0" w:type="dxa"/>
              <w:right w:w="0" w:type="dxa"/>
            </w:tcMar>
            <w:vAlign w:val="center"/>
          </w:tcPr>
          <w:p w14:paraId="3583C1C4" w14:textId="7377E786" w:rsidR="00A12BCC" w:rsidRPr="00CA09EE" w:rsidRDefault="00CA09EE" w:rsidP="00A12BCC">
            <w:pPr>
              <w:spacing w:before="40" w:after="40"/>
              <w:ind w:left="40" w:right="40"/>
              <w:jc w:val="right"/>
              <w:rPr>
                <w:rFonts w:cstheme="minorHAnsi"/>
                <w:b/>
                <w:bCs/>
              </w:rPr>
            </w:pPr>
            <w:proofErr w:type="spellStart"/>
            <w:r>
              <w:rPr>
                <w:rFonts w:cstheme="minorHAnsi"/>
                <w:b/>
                <w:bCs/>
                <w:color w:val="000000"/>
              </w:rPr>
              <w:t>Healthy</w:t>
            </w:r>
            <w:proofErr w:type="spellEnd"/>
            <w:r>
              <w:rPr>
                <w:rFonts w:cstheme="minorHAnsi"/>
                <w:b/>
                <w:bCs/>
                <w:color w:val="000000"/>
              </w:rPr>
              <w:t xml:space="preserve"> </w:t>
            </w:r>
            <w:proofErr w:type="spellStart"/>
            <w:r>
              <w:rPr>
                <w:rFonts w:cstheme="minorHAnsi"/>
                <w:b/>
                <w:bCs/>
                <w:color w:val="000000"/>
              </w:rPr>
              <w:t>c</w:t>
            </w:r>
            <w:r w:rsidR="00A12BCC" w:rsidRPr="00CA09EE">
              <w:rPr>
                <w:rFonts w:cstheme="minorHAnsi"/>
                <w:b/>
                <w:bCs/>
                <w:color w:val="000000"/>
              </w:rPr>
              <w:t>ontrol</w:t>
            </w:r>
            <w:r w:rsidR="00036414" w:rsidRPr="00CA09EE">
              <w:rPr>
                <w:rFonts w:cstheme="minorHAnsi"/>
                <w:b/>
                <w:bCs/>
                <w:color w:val="000000"/>
              </w:rPr>
              <w:t>s</w:t>
            </w:r>
            <w:proofErr w:type="spellEnd"/>
            <w:r w:rsidR="00FD2512" w:rsidRPr="00CA09EE">
              <w:rPr>
                <w:rFonts w:cstheme="minorHAnsi"/>
                <w:b/>
                <w:bCs/>
                <w:color w:val="000000"/>
              </w:rPr>
              <w:t xml:space="preserve"> (</w:t>
            </w:r>
            <w:r>
              <w:rPr>
                <w:rFonts w:cstheme="minorHAnsi"/>
                <w:b/>
                <w:bCs/>
                <w:color w:val="000000"/>
              </w:rPr>
              <w:t>n</w:t>
            </w:r>
            <w:r w:rsidR="00FD2512" w:rsidRPr="00CA09EE">
              <w:rPr>
                <w:rFonts w:cstheme="minorHAnsi"/>
                <w:b/>
                <w:bCs/>
                <w:color w:val="000000"/>
              </w:rPr>
              <w:t>=36)</w:t>
            </w:r>
          </w:p>
        </w:tc>
        <w:tc>
          <w:tcPr>
            <w:tcW w:w="2552" w:type="dxa"/>
            <w:tcBorders>
              <w:top w:val="single" w:sz="16" w:space="0" w:color="000000"/>
              <w:bottom w:val="single" w:sz="16" w:space="0" w:color="000000"/>
            </w:tcBorders>
            <w:shd w:val="clear" w:color="auto" w:fill="D9D9D9" w:themeFill="background1" w:themeFillShade="D9"/>
            <w:tcMar>
              <w:top w:w="0" w:type="dxa"/>
              <w:left w:w="0" w:type="dxa"/>
              <w:bottom w:w="0" w:type="dxa"/>
              <w:right w:w="0" w:type="dxa"/>
            </w:tcMar>
            <w:vAlign w:val="center"/>
          </w:tcPr>
          <w:p w14:paraId="1AAD5E70" w14:textId="0DAA56C9" w:rsidR="00A12BCC" w:rsidRPr="00CA09EE" w:rsidRDefault="00A12BCC" w:rsidP="00A12BCC">
            <w:pPr>
              <w:spacing w:before="40" w:after="40"/>
              <w:ind w:left="40" w:right="40"/>
              <w:jc w:val="right"/>
              <w:rPr>
                <w:rFonts w:cstheme="minorHAnsi"/>
                <w:b/>
                <w:bCs/>
              </w:rPr>
            </w:pPr>
            <w:r w:rsidRPr="00CA09EE">
              <w:rPr>
                <w:rFonts w:cstheme="minorHAnsi"/>
                <w:b/>
                <w:bCs/>
                <w:color w:val="000000"/>
              </w:rPr>
              <w:t xml:space="preserve">Fever, no </w:t>
            </w:r>
            <w:proofErr w:type="spellStart"/>
            <w:r w:rsidRPr="00CA09EE">
              <w:rPr>
                <w:rFonts w:cstheme="minorHAnsi"/>
                <w:b/>
                <w:bCs/>
                <w:color w:val="000000"/>
              </w:rPr>
              <w:t>typhoid</w:t>
            </w:r>
            <w:proofErr w:type="spellEnd"/>
            <w:r w:rsidR="00FD2512" w:rsidRPr="00CA09EE">
              <w:rPr>
                <w:rFonts w:cstheme="minorHAnsi"/>
                <w:b/>
                <w:bCs/>
                <w:color w:val="000000"/>
              </w:rPr>
              <w:t xml:space="preserve"> (</w:t>
            </w:r>
            <w:r w:rsidR="00CA09EE">
              <w:rPr>
                <w:rFonts w:cstheme="minorHAnsi"/>
                <w:b/>
                <w:bCs/>
                <w:color w:val="000000"/>
              </w:rPr>
              <w:t>n</w:t>
            </w:r>
            <w:r w:rsidR="00FD2512" w:rsidRPr="00CA09EE">
              <w:rPr>
                <w:rFonts w:cstheme="minorHAnsi"/>
                <w:b/>
                <w:bCs/>
                <w:color w:val="000000"/>
              </w:rPr>
              <w:t>=46)</w:t>
            </w:r>
          </w:p>
        </w:tc>
        <w:tc>
          <w:tcPr>
            <w:tcW w:w="2268" w:type="dxa"/>
            <w:tcBorders>
              <w:top w:val="single" w:sz="16" w:space="0" w:color="000000"/>
              <w:bottom w:val="single" w:sz="16" w:space="0" w:color="000000"/>
            </w:tcBorders>
            <w:shd w:val="clear" w:color="auto" w:fill="D9D9D9" w:themeFill="background1" w:themeFillShade="D9"/>
            <w:tcMar>
              <w:top w:w="0" w:type="dxa"/>
              <w:left w:w="0" w:type="dxa"/>
              <w:bottom w:w="0" w:type="dxa"/>
              <w:right w:w="0" w:type="dxa"/>
            </w:tcMar>
            <w:vAlign w:val="center"/>
          </w:tcPr>
          <w:p w14:paraId="080CA730" w14:textId="57CCB21B" w:rsidR="00A12BCC" w:rsidRPr="00CA09EE" w:rsidRDefault="00A12BCC" w:rsidP="00A12BCC">
            <w:pPr>
              <w:spacing w:before="40" w:after="40"/>
              <w:ind w:left="40" w:right="40"/>
              <w:jc w:val="right"/>
              <w:rPr>
                <w:rFonts w:cstheme="minorHAnsi"/>
                <w:b/>
                <w:bCs/>
              </w:rPr>
            </w:pPr>
            <w:proofErr w:type="spellStart"/>
            <w:r w:rsidRPr="00CA09EE">
              <w:rPr>
                <w:rFonts w:cstheme="minorHAnsi"/>
                <w:b/>
                <w:bCs/>
                <w:color w:val="000000"/>
              </w:rPr>
              <w:t>Typhoid</w:t>
            </w:r>
            <w:proofErr w:type="spellEnd"/>
            <w:r w:rsidR="00FD2512" w:rsidRPr="00CA09EE">
              <w:rPr>
                <w:rFonts w:cstheme="minorHAnsi"/>
                <w:b/>
                <w:bCs/>
                <w:color w:val="000000"/>
              </w:rPr>
              <w:t xml:space="preserve"> (</w:t>
            </w:r>
            <w:r w:rsidR="00CA09EE">
              <w:rPr>
                <w:rFonts w:cstheme="minorHAnsi"/>
                <w:b/>
                <w:bCs/>
                <w:color w:val="000000"/>
              </w:rPr>
              <w:t>n</w:t>
            </w:r>
            <w:r w:rsidR="00FD2512" w:rsidRPr="00CA09EE">
              <w:rPr>
                <w:rFonts w:cstheme="minorHAnsi"/>
                <w:b/>
                <w:bCs/>
                <w:color w:val="000000"/>
              </w:rPr>
              <w:t>=1</w:t>
            </w:r>
            <w:r w:rsidR="006912B4">
              <w:rPr>
                <w:rFonts w:cstheme="minorHAnsi"/>
                <w:b/>
                <w:bCs/>
                <w:color w:val="000000"/>
              </w:rPr>
              <w:t>4</w:t>
            </w:r>
            <w:r w:rsidR="00FD2512" w:rsidRPr="00CA09EE">
              <w:rPr>
                <w:rFonts w:cstheme="minorHAnsi"/>
                <w:b/>
                <w:bCs/>
                <w:color w:val="000000"/>
              </w:rPr>
              <w:t>)</w:t>
            </w:r>
          </w:p>
        </w:tc>
        <w:tc>
          <w:tcPr>
            <w:tcW w:w="735" w:type="dxa"/>
            <w:tcBorders>
              <w:top w:val="single" w:sz="16" w:space="0" w:color="000000"/>
              <w:bottom w:val="single" w:sz="16" w:space="0" w:color="000000"/>
            </w:tcBorders>
            <w:shd w:val="clear" w:color="auto" w:fill="D9D9D9" w:themeFill="background1" w:themeFillShade="D9"/>
            <w:tcMar>
              <w:top w:w="0" w:type="dxa"/>
              <w:left w:w="0" w:type="dxa"/>
              <w:bottom w:w="0" w:type="dxa"/>
              <w:right w:w="0" w:type="dxa"/>
            </w:tcMar>
            <w:vAlign w:val="center"/>
          </w:tcPr>
          <w:p w14:paraId="68768E43" w14:textId="548E0034" w:rsidR="00A12BCC" w:rsidRPr="00CA09EE" w:rsidRDefault="002E34A0" w:rsidP="00A12BCC">
            <w:pPr>
              <w:spacing w:before="40" w:after="40"/>
              <w:ind w:left="40" w:right="40"/>
              <w:jc w:val="right"/>
              <w:rPr>
                <w:rFonts w:cstheme="minorHAnsi"/>
                <w:b/>
                <w:bCs/>
              </w:rPr>
            </w:pPr>
            <w:r>
              <w:rPr>
                <w:rFonts w:cstheme="minorHAnsi"/>
                <w:b/>
                <w:bCs/>
                <w:color w:val="000000"/>
              </w:rPr>
              <w:t>P-</w:t>
            </w:r>
            <w:proofErr w:type="spellStart"/>
            <w:r>
              <w:rPr>
                <w:rFonts w:cstheme="minorHAnsi"/>
                <w:b/>
                <w:bCs/>
                <w:color w:val="000000"/>
              </w:rPr>
              <w:t>value</w:t>
            </w:r>
            <w:proofErr w:type="spellEnd"/>
          </w:p>
        </w:tc>
      </w:tr>
      <w:tr w:rsidR="00FD2512" w:rsidRPr="00CA09EE" w14:paraId="7DBA554A" w14:textId="77777777" w:rsidTr="000A514E">
        <w:trPr>
          <w:cantSplit/>
          <w:trHeight w:val="360"/>
          <w:jc w:val="center"/>
        </w:trPr>
        <w:tc>
          <w:tcPr>
            <w:tcW w:w="3261" w:type="dxa"/>
            <w:tcBorders>
              <w:top w:val="single" w:sz="8" w:space="0" w:color="000000"/>
            </w:tcBorders>
            <w:tcMar>
              <w:top w:w="0" w:type="dxa"/>
              <w:left w:w="0" w:type="dxa"/>
              <w:bottom w:w="0" w:type="dxa"/>
              <w:right w:w="0" w:type="dxa"/>
            </w:tcMar>
            <w:vAlign w:val="center"/>
          </w:tcPr>
          <w:p w14:paraId="5AB43401" w14:textId="6B43C871" w:rsidR="00FD2512" w:rsidRPr="00707A04" w:rsidRDefault="00FD2512" w:rsidP="00A12BCC">
            <w:pPr>
              <w:spacing w:before="40" w:after="40"/>
              <w:ind w:left="40" w:right="40"/>
              <w:jc w:val="right"/>
              <w:rPr>
                <w:rFonts w:cstheme="minorHAnsi"/>
                <w:sz w:val="20"/>
                <w:szCs w:val="20"/>
                <w:lang w:val="en-US"/>
              </w:rPr>
            </w:pPr>
            <w:r w:rsidRPr="00707A04">
              <w:rPr>
                <w:rFonts w:cstheme="minorHAnsi"/>
                <w:color w:val="000000"/>
                <w:sz w:val="20"/>
                <w:szCs w:val="20"/>
                <w:lang w:val="en-US"/>
              </w:rPr>
              <w:t>Age</w:t>
            </w:r>
            <w:r w:rsidR="00336AAF" w:rsidRPr="00707A04">
              <w:rPr>
                <w:rFonts w:cstheme="minorHAnsi"/>
                <w:color w:val="000000"/>
                <w:sz w:val="20"/>
                <w:szCs w:val="20"/>
                <w:lang w:val="en-US"/>
              </w:rPr>
              <w:t xml:space="preserve"> in years, </w:t>
            </w:r>
            <w:r w:rsidRPr="00707A04">
              <w:rPr>
                <w:rFonts w:cstheme="minorHAnsi"/>
                <w:color w:val="000000"/>
                <w:sz w:val="20"/>
                <w:szCs w:val="20"/>
                <w:lang w:val="en-US"/>
              </w:rPr>
              <w:t>median [IQR]</w:t>
            </w:r>
          </w:p>
        </w:tc>
        <w:tc>
          <w:tcPr>
            <w:tcW w:w="1984" w:type="dxa"/>
            <w:tcBorders>
              <w:top w:val="single" w:sz="8" w:space="0" w:color="000000"/>
            </w:tcBorders>
            <w:tcMar>
              <w:top w:w="0" w:type="dxa"/>
              <w:left w:w="0" w:type="dxa"/>
              <w:bottom w:w="0" w:type="dxa"/>
              <w:right w:w="0" w:type="dxa"/>
            </w:tcMar>
            <w:vAlign w:val="center"/>
          </w:tcPr>
          <w:p w14:paraId="4E3BF6B6" w14:textId="60B8C9EF"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35.50 [27.00, 40.00]</w:t>
            </w:r>
          </w:p>
        </w:tc>
        <w:tc>
          <w:tcPr>
            <w:tcW w:w="2552" w:type="dxa"/>
            <w:tcBorders>
              <w:top w:val="single" w:sz="8" w:space="0" w:color="000000"/>
            </w:tcBorders>
            <w:tcMar>
              <w:top w:w="0" w:type="dxa"/>
              <w:left w:w="0" w:type="dxa"/>
              <w:bottom w:w="0" w:type="dxa"/>
              <w:right w:w="0" w:type="dxa"/>
            </w:tcMar>
            <w:vAlign w:val="center"/>
          </w:tcPr>
          <w:p w14:paraId="6D74709E" w14:textId="0CAFBA39"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35.00 [23.00, 54.50]</w:t>
            </w:r>
          </w:p>
        </w:tc>
        <w:tc>
          <w:tcPr>
            <w:tcW w:w="2268" w:type="dxa"/>
            <w:tcBorders>
              <w:top w:val="single" w:sz="8" w:space="0" w:color="000000"/>
            </w:tcBorders>
            <w:tcMar>
              <w:top w:w="0" w:type="dxa"/>
              <w:left w:w="0" w:type="dxa"/>
              <w:bottom w:w="0" w:type="dxa"/>
              <w:right w:w="0" w:type="dxa"/>
            </w:tcMar>
            <w:vAlign w:val="center"/>
          </w:tcPr>
          <w:p w14:paraId="271148B3" w14:textId="10C632B3"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27.00 [22.00, 31.00]</w:t>
            </w:r>
          </w:p>
        </w:tc>
        <w:tc>
          <w:tcPr>
            <w:tcW w:w="735" w:type="dxa"/>
            <w:tcBorders>
              <w:top w:val="single" w:sz="8" w:space="0" w:color="000000"/>
            </w:tcBorders>
            <w:tcMar>
              <w:top w:w="0" w:type="dxa"/>
              <w:left w:w="0" w:type="dxa"/>
              <w:bottom w:w="0" w:type="dxa"/>
              <w:right w:w="0" w:type="dxa"/>
            </w:tcMar>
            <w:vAlign w:val="center"/>
          </w:tcPr>
          <w:p w14:paraId="5D1EB2B3" w14:textId="1F296D9E" w:rsidR="00FD2512" w:rsidRPr="002E34A0" w:rsidRDefault="00FD2512" w:rsidP="00A12BCC">
            <w:pPr>
              <w:spacing w:before="40" w:after="40"/>
              <w:ind w:left="40" w:right="40"/>
              <w:jc w:val="right"/>
              <w:rPr>
                <w:rFonts w:cstheme="minorHAnsi"/>
                <w:sz w:val="20"/>
                <w:szCs w:val="20"/>
              </w:rPr>
            </w:pPr>
            <w:r w:rsidRPr="002E34A0">
              <w:rPr>
                <w:rFonts w:cstheme="minorHAnsi"/>
                <w:color w:val="000000"/>
                <w:sz w:val="20"/>
                <w:szCs w:val="20"/>
              </w:rPr>
              <w:t xml:space="preserve"> 0.0</w:t>
            </w:r>
            <w:r w:rsidR="00B14217">
              <w:rPr>
                <w:rFonts w:cstheme="minorHAnsi"/>
                <w:color w:val="000000"/>
                <w:sz w:val="20"/>
                <w:szCs w:val="20"/>
              </w:rPr>
              <w:t>4</w:t>
            </w:r>
            <w:r w:rsidR="00470155">
              <w:rPr>
                <w:rFonts w:cstheme="minorHAnsi"/>
                <w:color w:val="000000"/>
                <w:sz w:val="20"/>
                <w:szCs w:val="20"/>
              </w:rPr>
              <w:t>4</w:t>
            </w:r>
          </w:p>
        </w:tc>
      </w:tr>
      <w:tr w:rsidR="00FD2512" w:rsidRPr="00CA09EE" w14:paraId="54294841" w14:textId="77777777" w:rsidTr="000A514E">
        <w:trPr>
          <w:cantSplit/>
          <w:trHeight w:val="360"/>
          <w:jc w:val="center"/>
        </w:trPr>
        <w:tc>
          <w:tcPr>
            <w:tcW w:w="3261" w:type="dxa"/>
            <w:tcMar>
              <w:top w:w="0" w:type="dxa"/>
              <w:left w:w="0" w:type="dxa"/>
              <w:bottom w:w="0" w:type="dxa"/>
              <w:right w:w="0" w:type="dxa"/>
            </w:tcMar>
            <w:vAlign w:val="center"/>
          </w:tcPr>
          <w:p w14:paraId="7066F709" w14:textId="4A5B214B" w:rsidR="00FD2512" w:rsidRPr="00707A04" w:rsidRDefault="00242A74" w:rsidP="00A12BCC">
            <w:pPr>
              <w:spacing w:before="40" w:after="40"/>
              <w:ind w:left="40" w:right="40"/>
              <w:jc w:val="right"/>
              <w:rPr>
                <w:rFonts w:cstheme="minorHAnsi"/>
                <w:sz w:val="20"/>
                <w:szCs w:val="20"/>
              </w:rPr>
            </w:pPr>
            <w:r w:rsidRPr="00707A04">
              <w:rPr>
                <w:rFonts w:cstheme="minorHAnsi"/>
                <w:color w:val="000000"/>
                <w:sz w:val="20"/>
                <w:szCs w:val="20"/>
              </w:rPr>
              <w:t xml:space="preserve">Male </w:t>
            </w:r>
            <w:proofErr w:type="spellStart"/>
            <w:r w:rsidR="00336AAF" w:rsidRPr="00707A04">
              <w:rPr>
                <w:rFonts w:cstheme="minorHAnsi"/>
                <w:color w:val="000000"/>
                <w:sz w:val="20"/>
                <w:szCs w:val="20"/>
              </w:rPr>
              <w:t>sex</w:t>
            </w:r>
            <w:proofErr w:type="spellEnd"/>
            <w:r w:rsidR="00336AAF" w:rsidRPr="00707A04">
              <w:rPr>
                <w:rFonts w:cstheme="minorHAnsi"/>
                <w:color w:val="000000"/>
                <w:sz w:val="20"/>
                <w:szCs w:val="20"/>
              </w:rPr>
              <w:t>, n</w:t>
            </w:r>
            <w:r w:rsidR="00FD2512" w:rsidRPr="00707A04">
              <w:rPr>
                <w:rFonts w:cstheme="minorHAnsi"/>
                <w:color w:val="000000"/>
                <w:sz w:val="20"/>
                <w:szCs w:val="20"/>
              </w:rPr>
              <w:t xml:space="preserve"> (%)</w:t>
            </w:r>
          </w:p>
        </w:tc>
        <w:tc>
          <w:tcPr>
            <w:tcW w:w="1984" w:type="dxa"/>
            <w:tcMar>
              <w:top w:w="0" w:type="dxa"/>
              <w:left w:w="0" w:type="dxa"/>
              <w:bottom w:w="0" w:type="dxa"/>
              <w:right w:w="0" w:type="dxa"/>
            </w:tcMar>
            <w:vAlign w:val="center"/>
          </w:tcPr>
          <w:p w14:paraId="391FF78D" w14:textId="7CED05BA"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 xml:space="preserve">   18 (50.0) </w:t>
            </w:r>
          </w:p>
        </w:tc>
        <w:tc>
          <w:tcPr>
            <w:tcW w:w="2552" w:type="dxa"/>
            <w:tcMar>
              <w:top w:w="0" w:type="dxa"/>
              <w:left w:w="0" w:type="dxa"/>
              <w:bottom w:w="0" w:type="dxa"/>
              <w:right w:w="0" w:type="dxa"/>
            </w:tcMar>
            <w:vAlign w:val="center"/>
          </w:tcPr>
          <w:p w14:paraId="1A68A9A0" w14:textId="57C20F6E"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 xml:space="preserve">   25 (54.3) </w:t>
            </w:r>
          </w:p>
        </w:tc>
        <w:tc>
          <w:tcPr>
            <w:tcW w:w="2268" w:type="dxa"/>
            <w:tcMar>
              <w:top w:w="0" w:type="dxa"/>
              <w:left w:w="0" w:type="dxa"/>
              <w:bottom w:w="0" w:type="dxa"/>
              <w:right w:w="0" w:type="dxa"/>
            </w:tcMar>
            <w:vAlign w:val="center"/>
          </w:tcPr>
          <w:p w14:paraId="3C402AF4" w14:textId="40BBCB26" w:rsidR="00FD2512" w:rsidRPr="00707A04" w:rsidRDefault="00FD2512" w:rsidP="00A12BCC">
            <w:pPr>
              <w:spacing w:before="40" w:after="40"/>
              <w:ind w:left="40" w:right="40"/>
              <w:jc w:val="right"/>
              <w:rPr>
                <w:rFonts w:cstheme="minorHAnsi"/>
                <w:sz w:val="20"/>
                <w:szCs w:val="20"/>
              </w:rPr>
            </w:pPr>
            <w:r w:rsidRPr="00707A04">
              <w:rPr>
                <w:rFonts w:cstheme="minorHAnsi"/>
                <w:color w:val="000000"/>
                <w:sz w:val="20"/>
                <w:szCs w:val="20"/>
              </w:rPr>
              <w:t xml:space="preserve">   1</w:t>
            </w:r>
            <w:r w:rsidR="00470155">
              <w:rPr>
                <w:rFonts w:cstheme="minorHAnsi"/>
                <w:color w:val="000000"/>
                <w:sz w:val="20"/>
                <w:szCs w:val="20"/>
              </w:rPr>
              <w:t>0</w:t>
            </w:r>
            <w:r w:rsidRPr="00707A04">
              <w:rPr>
                <w:rFonts w:cstheme="minorHAnsi"/>
                <w:color w:val="000000"/>
                <w:sz w:val="20"/>
                <w:szCs w:val="20"/>
              </w:rPr>
              <w:t xml:space="preserve"> (7</w:t>
            </w:r>
            <w:r w:rsidR="00470155">
              <w:rPr>
                <w:rFonts w:cstheme="minorHAnsi"/>
                <w:color w:val="000000"/>
                <w:sz w:val="20"/>
                <w:szCs w:val="20"/>
              </w:rPr>
              <w:t>1</w:t>
            </w:r>
            <w:r w:rsidRPr="00707A04">
              <w:rPr>
                <w:rFonts w:cstheme="minorHAnsi"/>
                <w:color w:val="000000"/>
                <w:sz w:val="20"/>
                <w:szCs w:val="20"/>
              </w:rPr>
              <w:t>.</w:t>
            </w:r>
            <w:r w:rsidR="00470155">
              <w:rPr>
                <w:rFonts w:cstheme="minorHAnsi"/>
                <w:color w:val="000000"/>
                <w:sz w:val="20"/>
                <w:szCs w:val="20"/>
              </w:rPr>
              <w:t>4</w:t>
            </w:r>
            <w:r w:rsidRPr="00707A04">
              <w:rPr>
                <w:rFonts w:cstheme="minorHAnsi"/>
                <w:color w:val="000000"/>
                <w:sz w:val="20"/>
                <w:szCs w:val="20"/>
              </w:rPr>
              <w:t xml:space="preserve">) </w:t>
            </w:r>
          </w:p>
        </w:tc>
        <w:tc>
          <w:tcPr>
            <w:tcW w:w="735" w:type="dxa"/>
            <w:tcMar>
              <w:top w:w="0" w:type="dxa"/>
              <w:left w:w="0" w:type="dxa"/>
              <w:bottom w:w="0" w:type="dxa"/>
              <w:right w:w="0" w:type="dxa"/>
            </w:tcMar>
            <w:vAlign w:val="center"/>
          </w:tcPr>
          <w:p w14:paraId="04BCA597" w14:textId="494DBD10" w:rsidR="00FD2512" w:rsidRPr="002E34A0" w:rsidRDefault="00FD2512" w:rsidP="00A12BCC">
            <w:pPr>
              <w:spacing w:before="40" w:after="40"/>
              <w:ind w:left="40" w:right="40"/>
              <w:jc w:val="right"/>
              <w:rPr>
                <w:rFonts w:cstheme="minorHAnsi"/>
                <w:sz w:val="20"/>
                <w:szCs w:val="20"/>
              </w:rPr>
            </w:pPr>
            <w:r w:rsidRPr="002E34A0">
              <w:rPr>
                <w:rFonts w:cstheme="minorHAnsi"/>
                <w:color w:val="000000"/>
                <w:sz w:val="20"/>
                <w:szCs w:val="20"/>
              </w:rPr>
              <w:t xml:space="preserve"> 0.3</w:t>
            </w:r>
            <w:r w:rsidR="00470155">
              <w:rPr>
                <w:rFonts w:cstheme="minorHAnsi"/>
                <w:color w:val="000000"/>
                <w:sz w:val="20"/>
                <w:szCs w:val="20"/>
              </w:rPr>
              <w:t>87</w:t>
            </w:r>
          </w:p>
        </w:tc>
      </w:tr>
      <w:tr w:rsidR="00F61AEB" w:rsidRPr="00CA09EE" w14:paraId="6D822391" w14:textId="77777777" w:rsidTr="000A514E">
        <w:trPr>
          <w:cantSplit/>
          <w:trHeight w:val="420"/>
          <w:jc w:val="center"/>
        </w:trPr>
        <w:tc>
          <w:tcPr>
            <w:tcW w:w="3261" w:type="dxa"/>
            <w:tcMar>
              <w:top w:w="0" w:type="dxa"/>
              <w:left w:w="0" w:type="dxa"/>
              <w:bottom w:w="0" w:type="dxa"/>
              <w:right w:w="0" w:type="dxa"/>
            </w:tcMar>
            <w:vAlign w:val="center"/>
          </w:tcPr>
          <w:p w14:paraId="4EC5BA82" w14:textId="60D3A277" w:rsidR="00F61AEB" w:rsidRPr="002E34A0" w:rsidRDefault="00CA09EE" w:rsidP="00A12BCC">
            <w:pPr>
              <w:spacing w:before="40" w:after="40"/>
              <w:ind w:left="40" w:right="40"/>
              <w:jc w:val="right"/>
              <w:rPr>
                <w:rFonts w:cstheme="minorHAnsi"/>
                <w:sz w:val="20"/>
                <w:szCs w:val="20"/>
                <w:lang w:val="en-US"/>
              </w:rPr>
            </w:pPr>
            <w:r w:rsidRPr="002E34A0">
              <w:rPr>
                <w:rFonts w:cstheme="minorHAnsi"/>
                <w:color w:val="000000"/>
                <w:sz w:val="20"/>
                <w:szCs w:val="20"/>
                <w:lang w:val="en-US"/>
              </w:rPr>
              <w:t>Past history of t</w:t>
            </w:r>
            <w:r w:rsidR="00F61AEB" w:rsidRPr="002E34A0">
              <w:rPr>
                <w:rFonts w:cstheme="minorHAnsi"/>
                <w:color w:val="000000"/>
                <w:sz w:val="20"/>
                <w:szCs w:val="20"/>
                <w:lang w:val="en-US"/>
              </w:rPr>
              <w:t>yphoid fever</w:t>
            </w:r>
            <w:r w:rsidR="00336AAF" w:rsidRPr="002E34A0">
              <w:rPr>
                <w:rFonts w:cstheme="minorHAnsi"/>
                <w:color w:val="000000"/>
                <w:sz w:val="20"/>
                <w:szCs w:val="20"/>
                <w:lang w:val="en-US"/>
              </w:rPr>
              <w:t>, n</w:t>
            </w:r>
            <w:r w:rsidR="00F61AEB" w:rsidRPr="002E34A0">
              <w:rPr>
                <w:rFonts w:cstheme="minorHAnsi"/>
                <w:color w:val="000000"/>
                <w:sz w:val="20"/>
                <w:szCs w:val="20"/>
                <w:lang w:val="en-US"/>
              </w:rPr>
              <w:t xml:space="preserve"> (%)</w:t>
            </w:r>
          </w:p>
        </w:tc>
        <w:tc>
          <w:tcPr>
            <w:tcW w:w="1984" w:type="dxa"/>
            <w:tcMar>
              <w:top w:w="0" w:type="dxa"/>
              <w:left w:w="0" w:type="dxa"/>
              <w:bottom w:w="0" w:type="dxa"/>
              <w:right w:w="0" w:type="dxa"/>
            </w:tcMar>
            <w:vAlign w:val="center"/>
          </w:tcPr>
          <w:p w14:paraId="1290DF5A" w14:textId="3E1E3CA4" w:rsidR="00F61AEB" w:rsidRPr="00CA09EE" w:rsidRDefault="00F61AEB" w:rsidP="00A12BCC">
            <w:pPr>
              <w:spacing w:before="40" w:after="40"/>
              <w:ind w:left="40" w:right="40"/>
              <w:jc w:val="right"/>
              <w:rPr>
                <w:rFonts w:cstheme="minorHAnsi"/>
                <w:sz w:val="20"/>
                <w:szCs w:val="20"/>
              </w:rPr>
            </w:pPr>
            <w:r w:rsidRPr="002E34A0">
              <w:rPr>
                <w:rFonts w:cstheme="minorHAnsi"/>
                <w:color w:val="000000"/>
                <w:sz w:val="20"/>
                <w:szCs w:val="20"/>
                <w:lang w:val="en-US"/>
              </w:rPr>
              <w:t xml:space="preserve">  </w:t>
            </w:r>
            <w:r w:rsidRPr="00CA09EE">
              <w:rPr>
                <w:rFonts w:cstheme="minorHAnsi"/>
                <w:color w:val="000000"/>
                <w:sz w:val="20"/>
                <w:szCs w:val="20"/>
              </w:rPr>
              <w:t xml:space="preserve">3 (8.3) </w:t>
            </w:r>
          </w:p>
        </w:tc>
        <w:tc>
          <w:tcPr>
            <w:tcW w:w="2552" w:type="dxa"/>
            <w:tcMar>
              <w:top w:w="0" w:type="dxa"/>
              <w:left w:w="0" w:type="dxa"/>
              <w:bottom w:w="0" w:type="dxa"/>
              <w:right w:w="0" w:type="dxa"/>
            </w:tcMar>
            <w:vAlign w:val="center"/>
          </w:tcPr>
          <w:p w14:paraId="5AD5362B" w14:textId="29093BD1" w:rsidR="00F61AEB" w:rsidRPr="00D37E33" w:rsidRDefault="00F61AEB" w:rsidP="00A12BCC">
            <w:pPr>
              <w:spacing w:before="40" w:after="40"/>
              <w:ind w:left="40" w:right="40"/>
              <w:jc w:val="right"/>
              <w:rPr>
                <w:rFonts w:cstheme="minorHAnsi"/>
                <w:sz w:val="20"/>
                <w:szCs w:val="20"/>
              </w:rPr>
            </w:pPr>
            <w:r w:rsidRPr="00D37E33">
              <w:rPr>
                <w:rFonts w:cstheme="minorHAnsi"/>
                <w:color w:val="000000"/>
                <w:sz w:val="20"/>
                <w:szCs w:val="20"/>
              </w:rPr>
              <w:t xml:space="preserve">   8 (17.4) </w:t>
            </w:r>
          </w:p>
        </w:tc>
        <w:tc>
          <w:tcPr>
            <w:tcW w:w="2268" w:type="dxa"/>
            <w:tcMar>
              <w:top w:w="0" w:type="dxa"/>
              <w:left w:w="0" w:type="dxa"/>
              <w:bottom w:w="0" w:type="dxa"/>
              <w:right w:w="0" w:type="dxa"/>
            </w:tcMar>
            <w:vAlign w:val="center"/>
          </w:tcPr>
          <w:p w14:paraId="408BEB7C" w14:textId="1DB4F48D" w:rsidR="00F61AEB" w:rsidRPr="00F7521E" w:rsidRDefault="00F61AEB" w:rsidP="00A12BCC">
            <w:pPr>
              <w:spacing w:before="40" w:after="40"/>
              <w:ind w:left="40" w:right="40"/>
              <w:jc w:val="right"/>
              <w:rPr>
                <w:rFonts w:cstheme="minorHAnsi"/>
                <w:sz w:val="20"/>
                <w:szCs w:val="20"/>
              </w:rPr>
            </w:pPr>
            <w:r w:rsidRPr="00752F80">
              <w:rPr>
                <w:rFonts w:cstheme="minorHAnsi"/>
                <w:color w:val="000000"/>
                <w:sz w:val="20"/>
                <w:szCs w:val="20"/>
              </w:rPr>
              <w:t xml:space="preserve">   </w:t>
            </w:r>
            <w:r w:rsidR="00470155">
              <w:rPr>
                <w:rFonts w:cstheme="minorHAnsi"/>
                <w:color w:val="000000"/>
                <w:sz w:val="20"/>
                <w:szCs w:val="20"/>
              </w:rPr>
              <w:t>2</w:t>
            </w:r>
            <w:r w:rsidRPr="00752F80">
              <w:rPr>
                <w:rFonts w:cstheme="minorHAnsi"/>
                <w:color w:val="000000"/>
                <w:sz w:val="20"/>
                <w:szCs w:val="20"/>
              </w:rPr>
              <w:t xml:space="preserve"> (1</w:t>
            </w:r>
            <w:r w:rsidR="00470155">
              <w:rPr>
                <w:rFonts w:cstheme="minorHAnsi"/>
                <w:color w:val="000000"/>
                <w:sz w:val="20"/>
                <w:szCs w:val="20"/>
              </w:rPr>
              <w:t>4</w:t>
            </w:r>
            <w:r w:rsidRPr="00752F80">
              <w:rPr>
                <w:rFonts w:cstheme="minorHAnsi"/>
                <w:color w:val="000000"/>
                <w:sz w:val="20"/>
                <w:szCs w:val="20"/>
              </w:rPr>
              <w:t>.</w:t>
            </w:r>
            <w:r w:rsidR="00470155">
              <w:rPr>
                <w:rFonts w:cstheme="minorHAnsi"/>
                <w:color w:val="000000"/>
                <w:sz w:val="20"/>
                <w:szCs w:val="20"/>
              </w:rPr>
              <w:t>1</w:t>
            </w:r>
            <w:r w:rsidRPr="00752F80">
              <w:rPr>
                <w:rFonts w:cstheme="minorHAnsi"/>
                <w:color w:val="000000"/>
                <w:sz w:val="20"/>
                <w:szCs w:val="20"/>
              </w:rPr>
              <w:t xml:space="preserve">) </w:t>
            </w:r>
          </w:p>
        </w:tc>
        <w:tc>
          <w:tcPr>
            <w:tcW w:w="735" w:type="dxa"/>
            <w:tcMar>
              <w:top w:w="0" w:type="dxa"/>
              <w:left w:w="0" w:type="dxa"/>
              <w:bottom w:w="0" w:type="dxa"/>
              <w:right w:w="0" w:type="dxa"/>
            </w:tcMar>
            <w:vAlign w:val="center"/>
          </w:tcPr>
          <w:p w14:paraId="52D5C20C" w14:textId="1F4253EA" w:rsidR="00F61AEB" w:rsidRPr="00F7521E" w:rsidRDefault="00F61AEB" w:rsidP="00A12BCC">
            <w:pPr>
              <w:spacing w:before="40" w:after="40"/>
              <w:ind w:left="40" w:right="40"/>
              <w:jc w:val="right"/>
              <w:rPr>
                <w:rFonts w:cstheme="minorHAnsi"/>
                <w:sz w:val="20"/>
                <w:szCs w:val="20"/>
              </w:rPr>
            </w:pPr>
            <w:r w:rsidRPr="00F7521E">
              <w:rPr>
                <w:rFonts w:cstheme="minorHAnsi"/>
                <w:color w:val="000000"/>
                <w:sz w:val="20"/>
                <w:szCs w:val="20"/>
              </w:rPr>
              <w:t>0.</w:t>
            </w:r>
            <w:r w:rsidR="00470155">
              <w:rPr>
                <w:rFonts w:cstheme="minorHAnsi"/>
                <w:color w:val="000000"/>
                <w:sz w:val="20"/>
                <w:szCs w:val="20"/>
              </w:rPr>
              <w:t>513</w:t>
            </w:r>
          </w:p>
        </w:tc>
      </w:tr>
      <w:tr w:rsidR="00F61AEB" w:rsidRPr="00CA09EE" w14:paraId="269DEA88" w14:textId="77777777" w:rsidTr="000A514E">
        <w:trPr>
          <w:cantSplit/>
          <w:trHeight w:val="360"/>
          <w:jc w:val="center"/>
        </w:trPr>
        <w:tc>
          <w:tcPr>
            <w:tcW w:w="3261" w:type="dxa"/>
            <w:tcBorders>
              <w:bottom w:val="single" w:sz="8" w:space="0" w:color="000000"/>
            </w:tcBorders>
            <w:tcMar>
              <w:top w:w="0" w:type="dxa"/>
              <w:left w:w="0" w:type="dxa"/>
              <w:bottom w:w="0" w:type="dxa"/>
              <w:right w:w="0" w:type="dxa"/>
            </w:tcMar>
            <w:vAlign w:val="center"/>
          </w:tcPr>
          <w:p w14:paraId="3C343709" w14:textId="6AEC9813" w:rsidR="00F61AEB" w:rsidRPr="00707A04" w:rsidRDefault="00F61AEB" w:rsidP="00036414">
            <w:pPr>
              <w:spacing w:before="40" w:after="40"/>
              <w:ind w:left="40" w:right="40"/>
              <w:jc w:val="right"/>
              <w:rPr>
                <w:rFonts w:cstheme="minorHAnsi"/>
                <w:sz w:val="20"/>
                <w:szCs w:val="20"/>
              </w:rPr>
            </w:pPr>
            <w:r w:rsidRPr="00707A04">
              <w:rPr>
                <w:rFonts w:cstheme="minorHAnsi"/>
                <w:color w:val="000000"/>
                <w:sz w:val="20"/>
                <w:szCs w:val="20"/>
              </w:rPr>
              <w:t>Diabetes</w:t>
            </w:r>
            <w:r w:rsidR="00336AAF" w:rsidRPr="00707A04">
              <w:rPr>
                <w:rFonts w:cstheme="minorHAnsi"/>
                <w:color w:val="000000"/>
                <w:sz w:val="20"/>
                <w:szCs w:val="20"/>
              </w:rPr>
              <w:t>, n</w:t>
            </w:r>
            <w:r w:rsidRPr="00707A04">
              <w:rPr>
                <w:rFonts w:cstheme="minorHAnsi"/>
                <w:color w:val="000000"/>
                <w:sz w:val="20"/>
                <w:szCs w:val="20"/>
              </w:rPr>
              <w:t xml:space="preserve">  (%)</w:t>
            </w:r>
          </w:p>
        </w:tc>
        <w:tc>
          <w:tcPr>
            <w:tcW w:w="1984" w:type="dxa"/>
            <w:tcBorders>
              <w:bottom w:val="single" w:sz="8" w:space="0" w:color="000000"/>
            </w:tcBorders>
            <w:tcMar>
              <w:top w:w="0" w:type="dxa"/>
              <w:left w:w="0" w:type="dxa"/>
              <w:bottom w:w="0" w:type="dxa"/>
              <w:right w:w="0" w:type="dxa"/>
            </w:tcMar>
            <w:vAlign w:val="center"/>
          </w:tcPr>
          <w:p w14:paraId="3A30318E" w14:textId="499EF3DF" w:rsidR="00F61AEB" w:rsidRPr="00707A04" w:rsidRDefault="00F61AEB" w:rsidP="00A12BCC">
            <w:pPr>
              <w:spacing w:before="40" w:after="40"/>
              <w:ind w:left="40" w:right="40"/>
              <w:jc w:val="right"/>
              <w:rPr>
                <w:rFonts w:cstheme="minorHAnsi"/>
                <w:sz w:val="20"/>
                <w:szCs w:val="20"/>
              </w:rPr>
            </w:pPr>
            <w:r w:rsidRPr="00707A04">
              <w:rPr>
                <w:rFonts w:cstheme="minorHAnsi"/>
                <w:color w:val="000000"/>
                <w:sz w:val="20"/>
                <w:szCs w:val="20"/>
              </w:rPr>
              <w:t xml:space="preserve">    2 (5.6) </w:t>
            </w:r>
          </w:p>
        </w:tc>
        <w:tc>
          <w:tcPr>
            <w:tcW w:w="2552" w:type="dxa"/>
            <w:tcBorders>
              <w:bottom w:val="single" w:sz="8" w:space="0" w:color="000000"/>
            </w:tcBorders>
            <w:tcMar>
              <w:top w:w="0" w:type="dxa"/>
              <w:left w:w="0" w:type="dxa"/>
              <w:bottom w:w="0" w:type="dxa"/>
              <w:right w:w="0" w:type="dxa"/>
            </w:tcMar>
            <w:vAlign w:val="center"/>
          </w:tcPr>
          <w:p w14:paraId="65E9F3E5" w14:textId="4BEC2B84" w:rsidR="00F61AEB" w:rsidRPr="00707A04" w:rsidRDefault="00F61AEB" w:rsidP="00A12BCC">
            <w:pPr>
              <w:spacing w:before="40" w:after="40"/>
              <w:ind w:left="40" w:right="40"/>
              <w:jc w:val="right"/>
              <w:rPr>
                <w:rFonts w:cstheme="minorHAnsi"/>
                <w:sz w:val="20"/>
                <w:szCs w:val="20"/>
              </w:rPr>
            </w:pPr>
            <w:r w:rsidRPr="00707A04">
              <w:rPr>
                <w:rFonts w:cstheme="minorHAnsi"/>
                <w:color w:val="000000"/>
                <w:sz w:val="20"/>
                <w:szCs w:val="20"/>
              </w:rPr>
              <w:t xml:space="preserve">    6 (13.0) </w:t>
            </w:r>
          </w:p>
        </w:tc>
        <w:tc>
          <w:tcPr>
            <w:tcW w:w="2268" w:type="dxa"/>
            <w:tcBorders>
              <w:bottom w:val="single" w:sz="8" w:space="0" w:color="000000"/>
            </w:tcBorders>
            <w:tcMar>
              <w:top w:w="0" w:type="dxa"/>
              <w:left w:w="0" w:type="dxa"/>
              <w:bottom w:w="0" w:type="dxa"/>
              <w:right w:w="0" w:type="dxa"/>
            </w:tcMar>
            <w:vAlign w:val="center"/>
          </w:tcPr>
          <w:p w14:paraId="5B3E73D4" w14:textId="5B073E31" w:rsidR="00F61AEB" w:rsidRPr="00707A04" w:rsidRDefault="00F61AEB" w:rsidP="00A12BCC">
            <w:pPr>
              <w:spacing w:before="40" w:after="40"/>
              <w:ind w:left="40" w:right="40"/>
              <w:jc w:val="right"/>
              <w:rPr>
                <w:rFonts w:cstheme="minorHAnsi"/>
                <w:sz w:val="20"/>
                <w:szCs w:val="20"/>
              </w:rPr>
            </w:pPr>
            <w:r w:rsidRPr="00707A04">
              <w:rPr>
                <w:rFonts w:cstheme="minorHAnsi"/>
                <w:color w:val="000000"/>
                <w:sz w:val="20"/>
                <w:szCs w:val="20"/>
              </w:rPr>
              <w:t xml:space="preserve">    0 ( 0.0) </w:t>
            </w:r>
          </w:p>
        </w:tc>
        <w:tc>
          <w:tcPr>
            <w:tcW w:w="735" w:type="dxa"/>
            <w:tcBorders>
              <w:bottom w:val="single" w:sz="8" w:space="0" w:color="000000"/>
            </w:tcBorders>
            <w:tcMar>
              <w:top w:w="0" w:type="dxa"/>
              <w:left w:w="0" w:type="dxa"/>
              <w:bottom w:w="0" w:type="dxa"/>
              <w:right w:w="0" w:type="dxa"/>
            </w:tcMar>
            <w:vAlign w:val="center"/>
          </w:tcPr>
          <w:p w14:paraId="05EE6B7A" w14:textId="07DA365A" w:rsidR="00F61AEB" w:rsidRPr="002E34A0" w:rsidRDefault="00F61AEB" w:rsidP="00A12BCC">
            <w:pPr>
              <w:spacing w:before="40" w:after="40"/>
              <w:ind w:left="40" w:right="40"/>
              <w:jc w:val="right"/>
              <w:rPr>
                <w:rFonts w:cstheme="minorHAnsi"/>
                <w:sz w:val="20"/>
                <w:szCs w:val="20"/>
              </w:rPr>
            </w:pPr>
            <w:r w:rsidRPr="002E34A0">
              <w:rPr>
                <w:rFonts w:cstheme="minorHAnsi"/>
                <w:color w:val="000000"/>
                <w:sz w:val="20"/>
                <w:szCs w:val="20"/>
              </w:rPr>
              <w:t xml:space="preserve"> 0.189</w:t>
            </w:r>
          </w:p>
        </w:tc>
      </w:tr>
      <w:tr w:rsidR="00F61AEB" w:rsidRPr="00CA09EE" w14:paraId="6604C69A" w14:textId="77777777" w:rsidTr="000A514E">
        <w:trPr>
          <w:cantSplit/>
          <w:trHeight w:val="358"/>
          <w:jc w:val="center"/>
        </w:trPr>
        <w:tc>
          <w:tcPr>
            <w:tcW w:w="3261" w:type="dxa"/>
            <w:tcBorders>
              <w:top w:val="single" w:sz="8" w:space="0" w:color="000000"/>
              <w:bottom w:val="single" w:sz="4" w:space="0" w:color="auto"/>
            </w:tcBorders>
            <w:shd w:val="clear" w:color="auto" w:fill="auto"/>
            <w:tcMar>
              <w:top w:w="0" w:type="dxa"/>
              <w:left w:w="0" w:type="dxa"/>
              <w:bottom w:w="0" w:type="dxa"/>
              <w:right w:w="0" w:type="dxa"/>
            </w:tcMar>
            <w:vAlign w:val="center"/>
          </w:tcPr>
          <w:p w14:paraId="133B3AA0" w14:textId="7E909434" w:rsidR="00F61AEB" w:rsidRPr="00CA09EE" w:rsidRDefault="00CA09EE" w:rsidP="00036414">
            <w:pPr>
              <w:spacing w:before="40" w:after="40"/>
              <w:ind w:left="40" w:right="40"/>
              <w:jc w:val="right"/>
              <w:rPr>
                <w:rFonts w:cstheme="minorHAnsi"/>
                <w:sz w:val="20"/>
                <w:szCs w:val="20"/>
              </w:rPr>
            </w:pPr>
            <w:r>
              <w:rPr>
                <w:rFonts w:cstheme="minorHAnsi"/>
                <w:b/>
                <w:bCs/>
                <w:sz w:val="20"/>
                <w:szCs w:val="20"/>
              </w:rPr>
              <w:t>SIGNS AND SYMPTOMS</w:t>
            </w:r>
          </w:p>
        </w:tc>
        <w:tc>
          <w:tcPr>
            <w:tcW w:w="1984" w:type="dxa"/>
            <w:tcBorders>
              <w:top w:val="single" w:sz="8" w:space="0" w:color="000000"/>
              <w:bottom w:val="single" w:sz="4" w:space="0" w:color="auto"/>
            </w:tcBorders>
            <w:shd w:val="clear" w:color="auto" w:fill="auto"/>
            <w:tcMar>
              <w:top w:w="0" w:type="dxa"/>
              <w:left w:w="0" w:type="dxa"/>
              <w:bottom w:w="0" w:type="dxa"/>
              <w:right w:w="0" w:type="dxa"/>
            </w:tcMar>
            <w:vAlign w:val="center"/>
          </w:tcPr>
          <w:p w14:paraId="6244D015" w14:textId="6116CB24" w:rsidR="00F61AEB" w:rsidRPr="00D37E33" w:rsidRDefault="00F61AEB" w:rsidP="00A12BCC">
            <w:pPr>
              <w:spacing w:before="40" w:after="40"/>
              <w:ind w:left="40" w:right="40"/>
              <w:jc w:val="right"/>
              <w:rPr>
                <w:rFonts w:cstheme="minorHAnsi"/>
                <w:sz w:val="20"/>
                <w:szCs w:val="20"/>
              </w:rPr>
            </w:pPr>
          </w:p>
        </w:tc>
        <w:tc>
          <w:tcPr>
            <w:tcW w:w="2552" w:type="dxa"/>
            <w:tcBorders>
              <w:top w:val="single" w:sz="8" w:space="0" w:color="000000"/>
              <w:bottom w:val="single" w:sz="4" w:space="0" w:color="auto"/>
            </w:tcBorders>
            <w:shd w:val="clear" w:color="auto" w:fill="auto"/>
            <w:tcMar>
              <w:top w:w="0" w:type="dxa"/>
              <w:left w:w="0" w:type="dxa"/>
              <w:bottom w:w="0" w:type="dxa"/>
              <w:right w:w="0" w:type="dxa"/>
            </w:tcMar>
            <w:vAlign w:val="center"/>
          </w:tcPr>
          <w:p w14:paraId="04EFAC2B" w14:textId="427C1585" w:rsidR="00F61AEB" w:rsidRPr="00752F80" w:rsidRDefault="00F61AEB" w:rsidP="00A12BCC">
            <w:pPr>
              <w:spacing w:before="40" w:after="40"/>
              <w:ind w:left="40" w:right="40"/>
              <w:jc w:val="right"/>
              <w:rPr>
                <w:rFonts w:cstheme="minorHAnsi"/>
                <w:sz w:val="20"/>
                <w:szCs w:val="20"/>
              </w:rPr>
            </w:pPr>
          </w:p>
        </w:tc>
        <w:tc>
          <w:tcPr>
            <w:tcW w:w="2268" w:type="dxa"/>
            <w:tcBorders>
              <w:top w:val="single" w:sz="8" w:space="0" w:color="000000"/>
              <w:bottom w:val="single" w:sz="4" w:space="0" w:color="auto"/>
            </w:tcBorders>
            <w:shd w:val="clear" w:color="auto" w:fill="auto"/>
            <w:tcMar>
              <w:top w:w="0" w:type="dxa"/>
              <w:left w:w="0" w:type="dxa"/>
              <w:bottom w:w="0" w:type="dxa"/>
              <w:right w:w="0" w:type="dxa"/>
            </w:tcMar>
            <w:vAlign w:val="center"/>
          </w:tcPr>
          <w:p w14:paraId="79ACAEBB" w14:textId="2D52694F" w:rsidR="00F61AEB" w:rsidRPr="00F7521E" w:rsidRDefault="00F61AEB" w:rsidP="00A12BCC">
            <w:pPr>
              <w:spacing w:before="40" w:after="40"/>
              <w:ind w:left="40" w:right="40"/>
              <w:jc w:val="right"/>
              <w:rPr>
                <w:rFonts w:cstheme="minorHAnsi"/>
                <w:sz w:val="20"/>
                <w:szCs w:val="20"/>
              </w:rPr>
            </w:pPr>
          </w:p>
        </w:tc>
        <w:tc>
          <w:tcPr>
            <w:tcW w:w="735" w:type="dxa"/>
            <w:tcBorders>
              <w:top w:val="single" w:sz="8" w:space="0" w:color="000000"/>
              <w:bottom w:val="single" w:sz="4" w:space="0" w:color="auto"/>
            </w:tcBorders>
            <w:shd w:val="clear" w:color="auto" w:fill="auto"/>
            <w:tcMar>
              <w:top w:w="0" w:type="dxa"/>
              <w:left w:w="0" w:type="dxa"/>
              <w:bottom w:w="0" w:type="dxa"/>
              <w:right w:w="0" w:type="dxa"/>
            </w:tcMar>
            <w:vAlign w:val="center"/>
          </w:tcPr>
          <w:p w14:paraId="70B83637" w14:textId="4D9EB4F2" w:rsidR="00F61AEB" w:rsidRPr="00F7521E" w:rsidRDefault="00F61AEB" w:rsidP="00A12BCC">
            <w:pPr>
              <w:spacing w:before="40" w:after="40"/>
              <w:ind w:left="40" w:right="40"/>
              <w:jc w:val="right"/>
              <w:rPr>
                <w:rFonts w:cstheme="minorHAnsi"/>
                <w:sz w:val="20"/>
                <w:szCs w:val="20"/>
              </w:rPr>
            </w:pPr>
          </w:p>
        </w:tc>
      </w:tr>
      <w:tr w:rsidR="00F61AEB" w:rsidRPr="00492B57" w14:paraId="3EABCF55" w14:textId="77777777" w:rsidTr="000A514E">
        <w:trPr>
          <w:cantSplit/>
          <w:trHeight w:val="370"/>
          <w:jc w:val="center"/>
        </w:trPr>
        <w:tc>
          <w:tcPr>
            <w:tcW w:w="3261" w:type="dxa"/>
            <w:tcBorders>
              <w:top w:val="single" w:sz="4" w:space="0" w:color="auto"/>
            </w:tcBorders>
            <w:shd w:val="clear" w:color="auto" w:fill="auto"/>
            <w:tcMar>
              <w:top w:w="0" w:type="dxa"/>
              <w:left w:w="0" w:type="dxa"/>
              <w:bottom w:w="0" w:type="dxa"/>
              <w:right w:w="0" w:type="dxa"/>
            </w:tcMar>
            <w:vAlign w:val="center"/>
          </w:tcPr>
          <w:p w14:paraId="6043EE11" w14:textId="3811E0D0" w:rsidR="00F61AEB" w:rsidRPr="00707A04" w:rsidRDefault="00F61AEB" w:rsidP="00036414">
            <w:pPr>
              <w:spacing w:before="40" w:after="40"/>
              <w:ind w:left="40" w:right="40"/>
              <w:jc w:val="right"/>
              <w:rPr>
                <w:rFonts w:cstheme="minorHAnsi"/>
                <w:b/>
                <w:bCs/>
                <w:sz w:val="20"/>
                <w:szCs w:val="20"/>
              </w:rPr>
            </w:pPr>
            <w:proofErr w:type="spellStart"/>
            <w:r w:rsidRPr="00707A04">
              <w:rPr>
                <w:rFonts w:cstheme="minorHAnsi"/>
                <w:color w:val="000000"/>
                <w:sz w:val="20"/>
                <w:szCs w:val="20"/>
              </w:rPr>
              <w:t>Headache</w:t>
            </w:r>
            <w:proofErr w:type="spellEnd"/>
            <w:r w:rsidR="00336AAF" w:rsidRPr="00707A04">
              <w:rPr>
                <w:rFonts w:cstheme="minorHAnsi"/>
                <w:color w:val="000000"/>
                <w:sz w:val="20"/>
                <w:szCs w:val="20"/>
              </w:rPr>
              <w:t>, n</w:t>
            </w:r>
            <w:r w:rsidRPr="00707A04">
              <w:rPr>
                <w:rFonts w:cstheme="minorHAnsi"/>
                <w:color w:val="000000"/>
                <w:sz w:val="20"/>
                <w:szCs w:val="20"/>
              </w:rPr>
              <w:t xml:space="preserve"> (%)</w:t>
            </w:r>
          </w:p>
        </w:tc>
        <w:tc>
          <w:tcPr>
            <w:tcW w:w="1984" w:type="dxa"/>
            <w:tcBorders>
              <w:top w:val="single" w:sz="4" w:space="0" w:color="auto"/>
            </w:tcBorders>
            <w:shd w:val="clear" w:color="auto" w:fill="auto"/>
            <w:tcMar>
              <w:top w:w="0" w:type="dxa"/>
              <w:left w:w="0" w:type="dxa"/>
              <w:bottom w:w="0" w:type="dxa"/>
              <w:right w:w="0" w:type="dxa"/>
            </w:tcMar>
            <w:vAlign w:val="center"/>
          </w:tcPr>
          <w:p w14:paraId="2910E023" w14:textId="678108B9" w:rsidR="00F61AEB" w:rsidRPr="00707A04" w:rsidRDefault="00F61AEB" w:rsidP="00A12BCC">
            <w:pPr>
              <w:spacing w:before="40" w:after="40"/>
              <w:ind w:left="40" w:right="40"/>
              <w:jc w:val="right"/>
              <w:rPr>
                <w:rFonts w:cstheme="minorHAnsi"/>
                <w:b/>
                <w:bCs/>
                <w:sz w:val="20"/>
                <w:szCs w:val="20"/>
              </w:rPr>
            </w:pPr>
          </w:p>
        </w:tc>
        <w:tc>
          <w:tcPr>
            <w:tcW w:w="2552" w:type="dxa"/>
            <w:tcBorders>
              <w:top w:val="single" w:sz="4" w:space="0" w:color="auto"/>
            </w:tcBorders>
            <w:shd w:val="clear" w:color="auto" w:fill="auto"/>
            <w:tcMar>
              <w:top w:w="0" w:type="dxa"/>
              <w:left w:w="0" w:type="dxa"/>
              <w:bottom w:w="0" w:type="dxa"/>
              <w:right w:w="0" w:type="dxa"/>
            </w:tcMar>
            <w:vAlign w:val="center"/>
          </w:tcPr>
          <w:p w14:paraId="07737004" w14:textId="271A4FD0" w:rsidR="00F61AEB" w:rsidRPr="00707A04" w:rsidRDefault="00F61AEB" w:rsidP="00A12BCC">
            <w:pPr>
              <w:spacing w:before="40" w:after="40"/>
              <w:ind w:left="40" w:right="40"/>
              <w:jc w:val="right"/>
              <w:rPr>
                <w:rFonts w:cstheme="minorHAnsi"/>
                <w:sz w:val="20"/>
                <w:szCs w:val="20"/>
              </w:rPr>
            </w:pPr>
            <w:r w:rsidRPr="00707A04">
              <w:rPr>
                <w:rFonts w:cstheme="minorHAnsi"/>
                <w:color w:val="000000"/>
                <w:sz w:val="20"/>
                <w:szCs w:val="20"/>
              </w:rPr>
              <w:t xml:space="preserve">       25 (54.3) </w:t>
            </w:r>
          </w:p>
        </w:tc>
        <w:tc>
          <w:tcPr>
            <w:tcW w:w="2268" w:type="dxa"/>
            <w:tcBorders>
              <w:top w:val="single" w:sz="4" w:space="0" w:color="auto"/>
            </w:tcBorders>
            <w:shd w:val="clear" w:color="auto" w:fill="auto"/>
            <w:tcMar>
              <w:top w:w="0" w:type="dxa"/>
              <w:left w:w="0" w:type="dxa"/>
              <w:bottom w:w="0" w:type="dxa"/>
              <w:right w:w="0" w:type="dxa"/>
            </w:tcMar>
            <w:vAlign w:val="center"/>
          </w:tcPr>
          <w:p w14:paraId="729D0000" w14:textId="1B1B24CE" w:rsidR="00F61AEB" w:rsidRPr="00492B57" w:rsidRDefault="00492B57" w:rsidP="00492B57">
            <w:pPr>
              <w:spacing w:before="40" w:after="40"/>
              <w:ind w:left="40" w:right="40"/>
              <w:jc w:val="right"/>
              <w:rPr>
                <w:rFonts w:cstheme="minorHAnsi"/>
                <w:sz w:val="20"/>
                <w:szCs w:val="20"/>
                <w:lang w:val="en-US"/>
              </w:rPr>
            </w:pPr>
            <w:r>
              <w:rPr>
                <w:rFonts w:cstheme="minorHAnsi"/>
                <w:color w:val="000000"/>
                <w:sz w:val="20"/>
                <w:szCs w:val="20"/>
              </w:rPr>
              <w:t xml:space="preserve">        </w:t>
            </w:r>
            <w:r w:rsidR="00470155">
              <w:rPr>
                <w:rFonts w:cstheme="minorHAnsi"/>
                <w:color w:val="000000"/>
                <w:sz w:val="20"/>
                <w:szCs w:val="20"/>
                <w:lang w:val="en-US"/>
              </w:rPr>
              <w:t xml:space="preserve">8 </w:t>
            </w:r>
            <w:r w:rsidR="00F61AEB" w:rsidRPr="00492B57">
              <w:rPr>
                <w:rFonts w:cstheme="minorHAnsi"/>
                <w:color w:val="000000"/>
                <w:sz w:val="20"/>
                <w:szCs w:val="20"/>
                <w:lang w:val="en-US"/>
              </w:rPr>
              <w:t>(5</w:t>
            </w:r>
            <w:r w:rsidR="00470155">
              <w:rPr>
                <w:rFonts w:cstheme="minorHAnsi"/>
                <w:color w:val="000000"/>
                <w:sz w:val="20"/>
                <w:szCs w:val="20"/>
                <w:lang w:val="en-US"/>
              </w:rPr>
              <w:t>7.1</w:t>
            </w:r>
            <w:r w:rsidR="00F61AEB" w:rsidRPr="00492B57">
              <w:rPr>
                <w:rFonts w:cstheme="minorHAnsi"/>
                <w:color w:val="000000"/>
                <w:sz w:val="20"/>
                <w:szCs w:val="20"/>
                <w:lang w:val="en-US"/>
              </w:rPr>
              <w:t xml:space="preserve">) </w:t>
            </w:r>
          </w:p>
        </w:tc>
        <w:tc>
          <w:tcPr>
            <w:tcW w:w="735" w:type="dxa"/>
            <w:tcBorders>
              <w:top w:val="single" w:sz="4" w:space="0" w:color="auto"/>
            </w:tcBorders>
            <w:shd w:val="clear" w:color="auto" w:fill="auto"/>
            <w:tcMar>
              <w:top w:w="0" w:type="dxa"/>
              <w:left w:w="0" w:type="dxa"/>
              <w:bottom w:w="0" w:type="dxa"/>
              <w:right w:w="0" w:type="dxa"/>
            </w:tcMar>
            <w:vAlign w:val="center"/>
          </w:tcPr>
          <w:p w14:paraId="0C15E2D5" w14:textId="06414D77" w:rsidR="00F61AEB" w:rsidRPr="00492B57" w:rsidRDefault="00F61AEB" w:rsidP="00A12BCC">
            <w:pPr>
              <w:spacing w:before="40" w:after="40"/>
              <w:ind w:left="40" w:right="40"/>
              <w:jc w:val="right"/>
              <w:rPr>
                <w:rFonts w:cstheme="minorHAnsi"/>
                <w:sz w:val="20"/>
                <w:szCs w:val="20"/>
                <w:lang w:val="en-US"/>
              </w:rPr>
            </w:pPr>
            <w:r w:rsidRPr="00492B57">
              <w:rPr>
                <w:rFonts w:cstheme="minorHAnsi"/>
                <w:color w:val="000000"/>
                <w:sz w:val="20"/>
                <w:szCs w:val="20"/>
                <w:lang w:val="en-US"/>
              </w:rPr>
              <w:t xml:space="preserve"> 1.000</w:t>
            </w:r>
          </w:p>
        </w:tc>
      </w:tr>
      <w:tr w:rsidR="009E1082" w:rsidRPr="00492B57" w14:paraId="1AE233F9" w14:textId="77777777" w:rsidTr="000A514E">
        <w:trPr>
          <w:cantSplit/>
          <w:trHeight w:val="392"/>
          <w:jc w:val="center"/>
        </w:trPr>
        <w:tc>
          <w:tcPr>
            <w:tcW w:w="3261" w:type="dxa"/>
            <w:shd w:val="clear" w:color="auto" w:fill="auto"/>
            <w:tcMar>
              <w:top w:w="0" w:type="dxa"/>
              <w:left w:w="0" w:type="dxa"/>
              <w:bottom w:w="0" w:type="dxa"/>
              <w:right w:w="0" w:type="dxa"/>
            </w:tcMar>
            <w:vAlign w:val="center"/>
          </w:tcPr>
          <w:p w14:paraId="603DD46E" w14:textId="142CA770" w:rsidR="009E1082" w:rsidRPr="00492B57" w:rsidRDefault="009E1082" w:rsidP="009E1082">
            <w:pPr>
              <w:spacing w:before="40" w:after="40"/>
              <w:ind w:left="40" w:right="40"/>
              <w:jc w:val="right"/>
              <w:rPr>
                <w:rFonts w:cstheme="minorHAnsi"/>
                <w:sz w:val="20"/>
                <w:szCs w:val="20"/>
                <w:lang w:val="en-US"/>
              </w:rPr>
            </w:pPr>
            <w:r w:rsidRPr="00492B57">
              <w:rPr>
                <w:rFonts w:cstheme="minorHAnsi"/>
                <w:color w:val="000000"/>
                <w:sz w:val="20"/>
                <w:szCs w:val="20"/>
                <w:lang w:val="en-US"/>
              </w:rPr>
              <w:t>Chest pain, n (%)</w:t>
            </w:r>
          </w:p>
        </w:tc>
        <w:tc>
          <w:tcPr>
            <w:tcW w:w="1984" w:type="dxa"/>
            <w:shd w:val="clear" w:color="auto" w:fill="auto"/>
            <w:tcMar>
              <w:top w:w="0" w:type="dxa"/>
              <w:left w:w="0" w:type="dxa"/>
              <w:bottom w:w="0" w:type="dxa"/>
              <w:right w:w="0" w:type="dxa"/>
            </w:tcMar>
            <w:vAlign w:val="center"/>
          </w:tcPr>
          <w:p w14:paraId="3F0B7706" w14:textId="09F89848" w:rsidR="009E1082" w:rsidRPr="00492B57" w:rsidRDefault="009E1082" w:rsidP="009E1082">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35E1ECB5" w14:textId="10203E9E" w:rsidR="009E1082" w:rsidRPr="00492B57" w:rsidRDefault="009E1082" w:rsidP="009E1082">
            <w:pPr>
              <w:spacing w:before="40" w:after="40"/>
              <w:ind w:left="40" w:right="40"/>
              <w:jc w:val="right"/>
              <w:rPr>
                <w:rFonts w:cstheme="minorHAnsi"/>
                <w:sz w:val="20"/>
                <w:szCs w:val="20"/>
                <w:lang w:val="en-US"/>
              </w:rPr>
            </w:pPr>
            <w:r w:rsidRPr="00492B57">
              <w:rPr>
                <w:rFonts w:cstheme="minorHAnsi"/>
                <w:color w:val="000000"/>
                <w:sz w:val="20"/>
                <w:szCs w:val="20"/>
                <w:lang w:val="en-US"/>
              </w:rPr>
              <w:t xml:space="preserve">       10 (21.7) </w:t>
            </w:r>
          </w:p>
        </w:tc>
        <w:tc>
          <w:tcPr>
            <w:tcW w:w="2268" w:type="dxa"/>
            <w:shd w:val="clear" w:color="auto" w:fill="auto"/>
            <w:tcMar>
              <w:top w:w="0" w:type="dxa"/>
              <w:left w:w="0" w:type="dxa"/>
              <w:bottom w:w="0" w:type="dxa"/>
              <w:right w:w="0" w:type="dxa"/>
            </w:tcMar>
            <w:vAlign w:val="center"/>
          </w:tcPr>
          <w:p w14:paraId="3742B931" w14:textId="400EFF73" w:rsidR="009E1082" w:rsidRPr="00492B57" w:rsidRDefault="009E1082" w:rsidP="009E1082">
            <w:pPr>
              <w:spacing w:before="40" w:after="40"/>
              <w:ind w:left="40" w:right="40"/>
              <w:jc w:val="right"/>
              <w:rPr>
                <w:rFonts w:cstheme="minorHAnsi"/>
                <w:sz w:val="20"/>
                <w:szCs w:val="20"/>
                <w:lang w:val="en-US"/>
              </w:rPr>
            </w:pPr>
            <w:r w:rsidRPr="00492B57">
              <w:rPr>
                <w:rFonts w:cstheme="minorHAnsi"/>
                <w:color w:val="000000"/>
                <w:sz w:val="20"/>
                <w:szCs w:val="20"/>
                <w:lang w:val="en-US"/>
              </w:rPr>
              <w:t xml:space="preserve">        0 (0.0) </w:t>
            </w:r>
          </w:p>
        </w:tc>
        <w:tc>
          <w:tcPr>
            <w:tcW w:w="735" w:type="dxa"/>
            <w:shd w:val="clear" w:color="auto" w:fill="auto"/>
            <w:tcMar>
              <w:top w:w="0" w:type="dxa"/>
              <w:left w:w="0" w:type="dxa"/>
              <w:bottom w:w="0" w:type="dxa"/>
              <w:right w:w="0" w:type="dxa"/>
            </w:tcMar>
            <w:vAlign w:val="center"/>
          </w:tcPr>
          <w:p w14:paraId="15C753B0" w14:textId="3638E215" w:rsidR="009E1082" w:rsidRPr="00492B57" w:rsidRDefault="009E1082" w:rsidP="00492B57">
            <w:pPr>
              <w:spacing w:before="40" w:after="40"/>
              <w:ind w:left="40" w:right="40"/>
              <w:jc w:val="right"/>
              <w:rPr>
                <w:rFonts w:cstheme="minorHAnsi"/>
                <w:sz w:val="20"/>
                <w:szCs w:val="20"/>
                <w:lang w:val="en-US"/>
              </w:rPr>
            </w:pPr>
            <w:r w:rsidRPr="00492B57">
              <w:rPr>
                <w:rFonts w:cstheme="minorHAnsi"/>
                <w:color w:val="000000"/>
                <w:sz w:val="20"/>
                <w:szCs w:val="20"/>
                <w:lang w:val="en-US"/>
              </w:rPr>
              <w:t xml:space="preserve"> 0.</w:t>
            </w:r>
            <w:r w:rsidR="00492B57">
              <w:rPr>
                <w:rFonts w:cstheme="minorHAnsi"/>
                <w:color w:val="000000"/>
                <w:sz w:val="20"/>
                <w:szCs w:val="20"/>
                <w:lang w:val="en-US"/>
              </w:rPr>
              <w:t>088</w:t>
            </w:r>
          </w:p>
        </w:tc>
      </w:tr>
      <w:tr w:rsidR="009E1082" w:rsidRPr="00492B57" w14:paraId="001CF4B2"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0FF97941" w14:textId="3FF41C6A" w:rsidR="009E1082" w:rsidRPr="00492B57" w:rsidRDefault="009E1082" w:rsidP="009E1082">
            <w:pPr>
              <w:spacing w:before="40" w:after="40"/>
              <w:ind w:left="40" w:right="40"/>
              <w:jc w:val="right"/>
              <w:rPr>
                <w:rFonts w:cstheme="minorHAnsi"/>
                <w:sz w:val="20"/>
                <w:szCs w:val="20"/>
                <w:lang w:val="en-US"/>
              </w:rPr>
            </w:pPr>
            <w:r w:rsidRPr="00492B57">
              <w:rPr>
                <w:rFonts w:cstheme="minorHAnsi"/>
                <w:sz w:val="20"/>
                <w:szCs w:val="20"/>
                <w:lang w:val="en-US"/>
              </w:rPr>
              <w:t>Cough, n (%)</w:t>
            </w:r>
          </w:p>
        </w:tc>
        <w:tc>
          <w:tcPr>
            <w:tcW w:w="1984" w:type="dxa"/>
            <w:shd w:val="clear" w:color="auto" w:fill="auto"/>
            <w:tcMar>
              <w:top w:w="0" w:type="dxa"/>
              <w:left w:w="0" w:type="dxa"/>
              <w:bottom w:w="0" w:type="dxa"/>
              <w:right w:w="0" w:type="dxa"/>
            </w:tcMar>
            <w:vAlign w:val="center"/>
          </w:tcPr>
          <w:p w14:paraId="70AD6689" w14:textId="77777777" w:rsidR="009E1082" w:rsidRPr="00492B57" w:rsidRDefault="009E1082" w:rsidP="009E1082">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47439140" w14:textId="69010F6A" w:rsidR="009E1082" w:rsidRPr="00492B57" w:rsidRDefault="009E1082" w:rsidP="009E1082">
            <w:pPr>
              <w:spacing w:before="40" w:after="40"/>
              <w:ind w:left="40" w:right="40"/>
              <w:jc w:val="right"/>
              <w:rPr>
                <w:rFonts w:cstheme="minorHAnsi"/>
                <w:sz w:val="20"/>
                <w:szCs w:val="20"/>
                <w:lang w:val="en-US"/>
              </w:rPr>
            </w:pPr>
            <w:r w:rsidRPr="00492B57">
              <w:rPr>
                <w:rFonts w:cstheme="minorHAnsi"/>
                <w:bCs/>
                <w:sz w:val="20"/>
                <w:szCs w:val="20"/>
                <w:lang w:val="en-US"/>
              </w:rPr>
              <w:t xml:space="preserve">       25 (54.3) </w:t>
            </w:r>
          </w:p>
        </w:tc>
        <w:tc>
          <w:tcPr>
            <w:tcW w:w="2268" w:type="dxa"/>
            <w:shd w:val="clear" w:color="auto" w:fill="auto"/>
            <w:tcMar>
              <w:top w:w="0" w:type="dxa"/>
              <w:left w:w="0" w:type="dxa"/>
              <w:bottom w:w="0" w:type="dxa"/>
              <w:right w:w="0" w:type="dxa"/>
            </w:tcMar>
            <w:vAlign w:val="center"/>
          </w:tcPr>
          <w:p w14:paraId="06282B48" w14:textId="596D1000" w:rsidR="009E1082" w:rsidRPr="00492B57" w:rsidRDefault="009E1082" w:rsidP="00492B57">
            <w:pPr>
              <w:spacing w:before="40" w:after="40"/>
              <w:ind w:left="40" w:right="40"/>
              <w:jc w:val="right"/>
              <w:rPr>
                <w:rFonts w:cstheme="minorHAnsi"/>
                <w:sz w:val="20"/>
                <w:szCs w:val="20"/>
                <w:lang w:val="en-US"/>
              </w:rPr>
            </w:pPr>
            <w:r w:rsidRPr="00492B57">
              <w:rPr>
                <w:rFonts w:cstheme="minorHAnsi"/>
                <w:bCs/>
                <w:sz w:val="20"/>
                <w:szCs w:val="20"/>
                <w:lang w:val="en-US"/>
              </w:rPr>
              <w:t xml:space="preserve">        </w:t>
            </w:r>
            <w:r w:rsidR="00470155">
              <w:rPr>
                <w:rFonts w:cstheme="minorHAnsi"/>
                <w:bCs/>
                <w:sz w:val="20"/>
                <w:szCs w:val="20"/>
                <w:lang w:val="en-US"/>
              </w:rPr>
              <w:t>1</w:t>
            </w:r>
            <w:r w:rsidRPr="00492B57">
              <w:rPr>
                <w:rFonts w:cstheme="minorHAnsi"/>
                <w:bCs/>
                <w:sz w:val="20"/>
                <w:szCs w:val="20"/>
                <w:lang w:val="en-US"/>
              </w:rPr>
              <w:t xml:space="preserve"> (</w:t>
            </w:r>
            <w:r w:rsidR="00470155">
              <w:rPr>
                <w:rFonts w:cstheme="minorHAnsi"/>
                <w:bCs/>
                <w:sz w:val="20"/>
                <w:szCs w:val="20"/>
                <w:lang w:val="en-US"/>
              </w:rPr>
              <w:t>7.1</w:t>
            </w:r>
            <w:r w:rsidRPr="00492B57">
              <w:rPr>
                <w:rFonts w:cstheme="minorHAnsi"/>
                <w:bCs/>
                <w:sz w:val="20"/>
                <w:szCs w:val="20"/>
                <w:lang w:val="en-US"/>
              </w:rPr>
              <w:t xml:space="preserve">) </w:t>
            </w:r>
          </w:p>
        </w:tc>
        <w:tc>
          <w:tcPr>
            <w:tcW w:w="735" w:type="dxa"/>
            <w:shd w:val="clear" w:color="auto" w:fill="auto"/>
            <w:tcMar>
              <w:top w:w="0" w:type="dxa"/>
              <w:left w:w="0" w:type="dxa"/>
              <w:bottom w:w="0" w:type="dxa"/>
              <w:right w:w="0" w:type="dxa"/>
            </w:tcMar>
            <w:vAlign w:val="center"/>
          </w:tcPr>
          <w:p w14:paraId="4E111344" w14:textId="2FC947A7" w:rsidR="009E1082" w:rsidRPr="00492B57" w:rsidRDefault="009E1082" w:rsidP="00492B57">
            <w:pPr>
              <w:spacing w:before="40" w:after="40"/>
              <w:ind w:left="40" w:right="40"/>
              <w:jc w:val="right"/>
              <w:rPr>
                <w:rFonts w:cstheme="minorHAnsi"/>
                <w:sz w:val="20"/>
                <w:szCs w:val="20"/>
                <w:lang w:val="en-US"/>
              </w:rPr>
            </w:pPr>
            <w:r w:rsidRPr="00492B57">
              <w:rPr>
                <w:rFonts w:cstheme="minorHAnsi"/>
                <w:bCs/>
                <w:sz w:val="20"/>
                <w:szCs w:val="20"/>
                <w:lang w:val="en-US"/>
              </w:rPr>
              <w:t xml:space="preserve"> 0.00</w:t>
            </w:r>
            <w:r w:rsidR="00492B57">
              <w:rPr>
                <w:rFonts w:cstheme="minorHAnsi"/>
                <w:bCs/>
                <w:sz w:val="20"/>
                <w:szCs w:val="20"/>
                <w:lang w:val="en-US"/>
              </w:rPr>
              <w:t>6</w:t>
            </w:r>
          </w:p>
        </w:tc>
      </w:tr>
      <w:tr w:rsidR="009E1082" w:rsidRPr="00CA09EE" w14:paraId="72BD9DCF"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4FB06CEE" w14:textId="478E9F4D" w:rsidR="009E1082" w:rsidRPr="00707A04" w:rsidRDefault="009E1082" w:rsidP="009E1082">
            <w:pPr>
              <w:spacing w:before="40" w:after="40"/>
              <w:ind w:left="40" w:right="40"/>
              <w:jc w:val="right"/>
              <w:rPr>
                <w:rFonts w:cstheme="minorHAnsi"/>
                <w:sz w:val="20"/>
                <w:szCs w:val="20"/>
              </w:rPr>
            </w:pPr>
            <w:r w:rsidRPr="00707A04">
              <w:rPr>
                <w:rFonts w:cstheme="minorHAnsi"/>
                <w:color w:val="000000"/>
                <w:sz w:val="20"/>
                <w:szCs w:val="20"/>
              </w:rPr>
              <w:t>Anorexia, n (%)</w:t>
            </w:r>
          </w:p>
        </w:tc>
        <w:tc>
          <w:tcPr>
            <w:tcW w:w="1984" w:type="dxa"/>
            <w:shd w:val="clear" w:color="auto" w:fill="auto"/>
            <w:tcMar>
              <w:top w:w="0" w:type="dxa"/>
              <w:left w:w="0" w:type="dxa"/>
              <w:bottom w:w="0" w:type="dxa"/>
              <w:right w:w="0" w:type="dxa"/>
            </w:tcMar>
            <w:vAlign w:val="center"/>
          </w:tcPr>
          <w:p w14:paraId="3E4FBEBA" w14:textId="77777777" w:rsidR="009E1082" w:rsidRPr="00707A04" w:rsidRDefault="009E1082" w:rsidP="009E1082">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1454BE5D" w14:textId="45822D7B" w:rsidR="009E1082" w:rsidRPr="00707A04" w:rsidRDefault="009E1082" w:rsidP="009E1082">
            <w:pPr>
              <w:spacing w:before="40" w:after="40"/>
              <w:ind w:left="40" w:right="40"/>
              <w:jc w:val="right"/>
              <w:rPr>
                <w:rFonts w:cstheme="minorHAnsi"/>
                <w:bCs/>
                <w:sz w:val="20"/>
                <w:szCs w:val="20"/>
              </w:rPr>
            </w:pPr>
            <w:r w:rsidRPr="00707A04">
              <w:rPr>
                <w:rFonts w:cstheme="minorHAnsi"/>
                <w:color w:val="000000"/>
                <w:sz w:val="20"/>
                <w:szCs w:val="20"/>
              </w:rPr>
              <w:t xml:space="preserve">       21 (45.7) </w:t>
            </w:r>
          </w:p>
        </w:tc>
        <w:tc>
          <w:tcPr>
            <w:tcW w:w="2268" w:type="dxa"/>
            <w:shd w:val="clear" w:color="auto" w:fill="auto"/>
            <w:tcMar>
              <w:top w:w="0" w:type="dxa"/>
              <w:left w:w="0" w:type="dxa"/>
              <w:bottom w:w="0" w:type="dxa"/>
              <w:right w:w="0" w:type="dxa"/>
            </w:tcMar>
            <w:vAlign w:val="center"/>
          </w:tcPr>
          <w:p w14:paraId="1217B2A1" w14:textId="1A5429DB" w:rsidR="009E1082" w:rsidRPr="00707A04" w:rsidRDefault="009E1082" w:rsidP="009E1082">
            <w:pPr>
              <w:spacing w:before="40" w:after="40"/>
              <w:ind w:left="40" w:right="40"/>
              <w:jc w:val="right"/>
              <w:rPr>
                <w:rFonts w:cstheme="minorHAnsi"/>
                <w:bCs/>
                <w:sz w:val="20"/>
                <w:szCs w:val="20"/>
              </w:rPr>
            </w:pPr>
            <w:r w:rsidRPr="00707A04">
              <w:rPr>
                <w:rFonts w:cstheme="minorHAnsi"/>
                <w:color w:val="000000"/>
                <w:sz w:val="20"/>
                <w:szCs w:val="20"/>
              </w:rPr>
              <w:t xml:space="preserve">        </w:t>
            </w:r>
            <w:r w:rsidR="00492B57">
              <w:rPr>
                <w:rFonts w:cstheme="minorHAnsi"/>
                <w:color w:val="000000"/>
                <w:sz w:val="20"/>
                <w:szCs w:val="20"/>
              </w:rPr>
              <w:t xml:space="preserve">        </w:t>
            </w:r>
            <w:r w:rsidR="00470155">
              <w:rPr>
                <w:rFonts w:cstheme="minorHAnsi"/>
                <w:color w:val="000000"/>
                <w:sz w:val="20"/>
                <w:szCs w:val="20"/>
                <w:lang w:val="en-US"/>
              </w:rPr>
              <w:t>8</w:t>
            </w:r>
            <w:r w:rsidR="00492B57" w:rsidRPr="00492B57">
              <w:rPr>
                <w:rFonts w:cstheme="minorHAnsi"/>
                <w:color w:val="000000"/>
                <w:sz w:val="20"/>
                <w:szCs w:val="20"/>
                <w:lang w:val="en-US"/>
              </w:rPr>
              <w:t xml:space="preserve"> (5</w:t>
            </w:r>
            <w:r w:rsidR="00470155">
              <w:rPr>
                <w:rFonts w:cstheme="minorHAnsi"/>
                <w:color w:val="000000"/>
                <w:sz w:val="20"/>
                <w:szCs w:val="20"/>
                <w:lang w:val="en-US"/>
              </w:rPr>
              <w:t>7.1</w:t>
            </w:r>
            <w:r w:rsidR="00492B57" w:rsidRPr="00492B57">
              <w:rPr>
                <w:rFonts w:cstheme="minorHAnsi"/>
                <w:color w:val="000000"/>
                <w:sz w:val="20"/>
                <w:szCs w:val="20"/>
                <w:lang w:val="en-US"/>
              </w:rPr>
              <w:t>)</w:t>
            </w:r>
          </w:p>
        </w:tc>
        <w:tc>
          <w:tcPr>
            <w:tcW w:w="735" w:type="dxa"/>
            <w:shd w:val="clear" w:color="auto" w:fill="auto"/>
            <w:tcMar>
              <w:top w:w="0" w:type="dxa"/>
              <w:left w:w="0" w:type="dxa"/>
              <w:bottom w:w="0" w:type="dxa"/>
              <w:right w:w="0" w:type="dxa"/>
            </w:tcMar>
            <w:vAlign w:val="center"/>
          </w:tcPr>
          <w:p w14:paraId="322C90D9" w14:textId="0EF5BB8B" w:rsidR="009E1082" w:rsidRPr="002E34A0" w:rsidRDefault="009E1082" w:rsidP="00492B57">
            <w:pPr>
              <w:spacing w:before="40" w:after="40"/>
              <w:ind w:left="40" w:right="40"/>
              <w:jc w:val="right"/>
              <w:rPr>
                <w:rFonts w:cstheme="minorHAnsi"/>
                <w:bCs/>
                <w:sz w:val="20"/>
                <w:szCs w:val="20"/>
              </w:rPr>
            </w:pPr>
            <w:r w:rsidRPr="002E34A0">
              <w:rPr>
                <w:rFonts w:cstheme="minorHAnsi"/>
                <w:color w:val="000000"/>
                <w:sz w:val="20"/>
                <w:szCs w:val="20"/>
              </w:rPr>
              <w:t xml:space="preserve"> 0.</w:t>
            </w:r>
            <w:r w:rsidR="00492B57">
              <w:rPr>
                <w:rFonts w:cstheme="minorHAnsi"/>
                <w:color w:val="000000"/>
                <w:sz w:val="20"/>
                <w:szCs w:val="20"/>
              </w:rPr>
              <w:t>818</w:t>
            </w:r>
          </w:p>
        </w:tc>
      </w:tr>
      <w:tr w:rsidR="009E1082" w:rsidRPr="002E34A0" w14:paraId="66DD0CB7"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7453545E" w14:textId="77777777" w:rsidR="009E1082" w:rsidRPr="00707A04" w:rsidRDefault="009E1082" w:rsidP="009E1082">
            <w:pPr>
              <w:spacing w:before="40" w:after="40"/>
              <w:ind w:left="40" w:right="40"/>
              <w:jc w:val="right"/>
              <w:rPr>
                <w:rFonts w:cstheme="minorHAnsi"/>
                <w:sz w:val="20"/>
                <w:szCs w:val="20"/>
              </w:rPr>
            </w:pPr>
            <w:proofErr w:type="spellStart"/>
            <w:r w:rsidRPr="00707A04">
              <w:rPr>
                <w:rFonts w:cstheme="minorHAnsi"/>
                <w:color w:val="000000"/>
                <w:sz w:val="20"/>
                <w:szCs w:val="20"/>
              </w:rPr>
              <w:t>Abdominal</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pain</w:t>
            </w:r>
            <w:proofErr w:type="spellEnd"/>
            <w:r w:rsidRPr="00707A04">
              <w:rPr>
                <w:rFonts w:cstheme="minorHAnsi"/>
                <w:color w:val="000000"/>
                <w:sz w:val="20"/>
                <w:szCs w:val="20"/>
              </w:rPr>
              <w:t>, n (%)</w:t>
            </w:r>
          </w:p>
        </w:tc>
        <w:tc>
          <w:tcPr>
            <w:tcW w:w="1984" w:type="dxa"/>
            <w:shd w:val="clear" w:color="auto" w:fill="auto"/>
            <w:tcMar>
              <w:top w:w="0" w:type="dxa"/>
              <w:left w:w="0" w:type="dxa"/>
              <w:bottom w:w="0" w:type="dxa"/>
              <w:right w:w="0" w:type="dxa"/>
            </w:tcMar>
            <w:vAlign w:val="center"/>
          </w:tcPr>
          <w:p w14:paraId="3BD896FB" w14:textId="77777777" w:rsidR="009E1082" w:rsidRPr="00707A04" w:rsidRDefault="009E1082" w:rsidP="009E1082">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7F24E655" w14:textId="77777777" w:rsidR="009E1082" w:rsidRPr="00707A04" w:rsidRDefault="009E1082" w:rsidP="009E1082">
            <w:pPr>
              <w:spacing w:before="40" w:after="40"/>
              <w:ind w:left="40" w:right="40"/>
              <w:jc w:val="right"/>
              <w:rPr>
                <w:rFonts w:cstheme="minorHAnsi"/>
                <w:bCs/>
                <w:sz w:val="20"/>
                <w:szCs w:val="20"/>
              </w:rPr>
            </w:pPr>
            <w:r w:rsidRPr="00707A04">
              <w:rPr>
                <w:rFonts w:cstheme="minorHAnsi"/>
                <w:color w:val="000000"/>
                <w:sz w:val="20"/>
                <w:szCs w:val="20"/>
              </w:rPr>
              <w:t xml:space="preserve">       14 (30.4) </w:t>
            </w:r>
          </w:p>
        </w:tc>
        <w:tc>
          <w:tcPr>
            <w:tcW w:w="2268" w:type="dxa"/>
            <w:shd w:val="clear" w:color="auto" w:fill="auto"/>
            <w:tcMar>
              <w:top w:w="0" w:type="dxa"/>
              <w:left w:w="0" w:type="dxa"/>
              <w:bottom w:w="0" w:type="dxa"/>
              <w:right w:w="0" w:type="dxa"/>
            </w:tcMar>
            <w:vAlign w:val="center"/>
          </w:tcPr>
          <w:p w14:paraId="45A55233" w14:textId="6CBFD5DF" w:rsidR="009E1082" w:rsidRPr="00707A04" w:rsidRDefault="00492B57" w:rsidP="009E1082">
            <w:pPr>
              <w:spacing w:before="40" w:after="40"/>
              <w:ind w:left="40" w:right="40"/>
              <w:jc w:val="right"/>
              <w:rPr>
                <w:rFonts w:cstheme="minorHAnsi"/>
                <w:bCs/>
                <w:sz w:val="20"/>
                <w:szCs w:val="20"/>
              </w:rPr>
            </w:pPr>
            <w:r>
              <w:rPr>
                <w:rFonts w:cstheme="minorHAnsi"/>
                <w:color w:val="000000"/>
                <w:sz w:val="20"/>
                <w:szCs w:val="20"/>
              </w:rPr>
              <w:t xml:space="preserve">        </w:t>
            </w:r>
            <w:r w:rsidR="00470155">
              <w:rPr>
                <w:rFonts w:cstheme="minorHAnsi"/>
                <w:color w:val="000000"/>
                <w:sz w:val="20"/>
                <w:szCs w:val="20"/>
                <w:lang w:val="en-US"/>
              </w:rPr>
              <w:t>7</w:t>
            </w:r>
            <w:r w:rsidRPr="00492B57">
              <w:rPr>
                <w:rFonts w:cstheme="minorHAnsi"/>
                <w:color w:val="000000"/>
                <w:sz w:val="20"/>
                <w:szCs w:val="20"/>
                <w:lang w:val="en-US"/>
              </w:rPr>
              <w:t xml:space="preserve"> (</w:t>
            </w:r>
            <w:r w:rsidR="00470155">
              <w:rPr>
                <w:rFonts w:cstheme="minorHAnsi"/>
                <w:color w:val="000000"/>
                <w:sz w:val="20"/>
                <w:szCs w:val="20"/>
                <w:lang w:val="en-US"/>
              </w:rPr>
              <w:t>50.0</w:t>
            </w:r>
            <w:r w:rsidRPr="00492B57">
              <w:rPr>
                <w:rFonts w:cstheme="minorHAnsi"/>
                <w:color w:val="000000"/>
                <w:sz w:val="20"/>
                <w:szCs w:val="20"/>
                <w:lang w:val="en-US"/>
              </w:rPr>
              <w:t>)</w:t>
            </w:r>
          </w:p>
        </w:tc>
        <w:tc>
          <w:tcPr>
            <w:tcW w:w="735" w:type="dxa"/>
            <w:shd w:val="clear" w:color="auto" w:fill="auto"/>
            <w:tcMar>
              <w:top w:w="0" w:type="dxa"/>
              <w:left w:w="0" w:type="dxa"/>
              <w:bottom w:w="0" w:type="dxa"/>
              <w:right w:w="0" w:type="dxa"/>
            </w:tcMar>
            <w:vAlign w:val="center"/>
          </w:tcPr>
          <w:p w14:paraId="724F4A29" w14:textId="274FB76D" w:rsidR="009E1082" w:rsidRPr="002E34A0" w:rsidRDefault="009E1082" w:rsidP="00492B57">
            <w:pPr>
              <w:spacing w:before="40" w:after="40"/>
              <w:ind w:left="40" w:right="40"/>
              <w:jc w:val="right"/>
              <w:rPr>
                <w:rFonts w:cstheme="minorHAnsi"/>
                <w:bCs/>
                <w:sz w:val="20"/>
                <w:szCs w:val="20"/>
              </w:rPr>
            </w:pPr>
            <w:r w:rsidRPr="002E34A0">
              <w:rPr>
                <w:rFonts w:cstheme="minorHAnsi"/>
                <w:color w:val="000000"/>
                <w:sz w:val="20"/>
                <w:szCs w:val="20"/>
              </w:rPr>
              <w:t xml:space="preserve"> 0.</w:t>
            </w:r>
            <w:r w:rsidR="00470155">
              <w:rPr>
                <w:rFonts w:cstheme="minorHAnsi"/>
                <w:color w:val="000000"/>
                <w:sz w:val="20"/>
                <w:szCs w:val="20"/>
              </w:rPr>
              <w:t>306</w:t>
            </w:r>
          </w:p>
        </w:tc>
      </w:tr>
      <w:tr w:rsidR="009E1082" w:rsidRPr="002E34A0" w14:paraId="090ADB16"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493DB234" w14:textId="77777777" w:rsidR="009E1082" w:rsidRPr="00707A04" w:rsidRDefault="009E1082" w:rsidP="009E1082">
            <w:pPr>
              <w:spacing w:before="40" w:after="40"/>
              <w:ind w:left="40" w:right="40"/>
              <w:jc w:val="right"/>
              <w:rPr>
                <w:rFonts w:cstheme="minorHAnsi"/>
                <w:sz w:val="20"/>
                <w:szCs w:val="20"/>
              </w:rPr>
            </w:pPr>
            <w:proofErr w:type="spellStart"/>
            <w:r w:rsidRPr="00707A04">
              <w:rPr>
                <w:rFonts w:cstheme="minorHAnsi"/>
                <w:sz w:val="20"/>
                <w:szCs w:val="20"/>
              </w:rPr>
              <w:t>Diarrhoea</w:t>
            </w:r>
            <w:proofErr w:type="spellEnd"/>
            <w:r w:rsidRPr="00707A04">
              <w:rPr>
                <w:rFonts w:cstheme="minorHAnsi"/>
                <w:sz w:val="20"/>
                <w:szCs w:val="20"/>
              </w:rPr>
              <w:t>, n (%)</w:t>
            </w:r>
          </w:p>
        </w:tc>
        <w:tc>
          <w:tcPr>
            <w:tcW w:w="1984" w:type="dxa"/>
            <w:shd w:val="clear" w:color="auto" w:fill="auto"/>
            <w:tcMar>
              <w:top w:w="0" w:type="dxa"/>
              <w:left w:w="0" w:type="dxa"/>
              <w:bottom w:w="0" w:type="dxa"/>
              <w:right w:w="0" w:type="dxa"/>
            </w:tcMar>
            <w:vAlign w:val="center"/>
          </w:tcPr>
          <w:p w14:paraId="5EEA5A0B" w14:textId="77777777" w:rsidR="009E1082" w:rsidRPr="00707A04" w:rsidRDefault="009E1082" w:rsidP="009E1082">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5F8D3A13" w14:textId="469BA21D" w:rsidR="009E1082" w:rsidRPr="00707A04" w:rsidRDefault="009E1082" w:rsidP="009E1082">
            <w:pPr>
              <w:spacing w:before="40" w:after="40"/>
              <w:ind w:left="40" w:right="40"/>
              <w:jc w:val="right"/>
              <w:rPr>
                <w:rFonts w:cstheme="minorHAnsi"/>
                <w:sz w:val="20"/>
                <w:szCs w:val="20"/>
              </w:rPr>
            </w:pPr>
            <w:r w:rsidRPr="00707A04">
              <w:rPr>
                <w:rFonts w:cstheme="minorHAnsi"/>
                <w:bCs/>
                <w:sz w:val="20"/>
                <w:szCs w:val="20"/>
              </w:rPr>
              <w:t xml:space="preserve">        3  </w:t>
            </w:r>
            <w:r w:rsidR="00492B57">
              <w:rPr>
                <w:rFonts w:cstheme="minorHAnsi"/>
                <w:bCs/>
                <w:sz w:val="20"/>
                <w:szCs w:val="20"/>
              </w:rPr>
              <w:t>(</w:t>
            </w:r>
            <w:r w:rsidRPr="00707A04">
              <w:rPr>
                <w:rFonts w:cstheme="minorHAnsi"/>
                <w:bCs/>
                <w:sz w:val="20"/>
                <w:szCs w:val="20"/>
              </w:rPr>
              <w:t xml:space="preserve">6.5) </w:t>
            </w:r>
          </w:p>
        </w:tc>
        <w:tc>
          <w:tcPr>
            <w:tcW w:w="2268" w:type="dxa"/>
            <w:shd w:val="clear" w:color="auto" w:fill="auto"/>
            <w:tcMar>
              <w:top w:w="0" w:type="dxa"/>
              <w:left w:w="0" w:type="dxa"/>
              <w:bottom w:w="0" w:type="dxa"/>
              <w:right w:w="0" w:type="dxa"/>
            </w:tcMar>
            <w:vAlign w:val="center"/>
          </w:tcPr>
          <w:p w14:paraId="47F9E230" w14:textId="78361406" w:rsidR="009E1082" w:rsidRPr="00707A04" w:rsidRDefault="009E1082" w:rsidP="00492B57">
            <w:pPr>
              <w:spacing w:before="40" w:after="40"/>
              <w:ind w:left="40" w:right="40"/>
              <w:jc w:val="right"/>
              <w:rPr>
                <w:rFonts w:cstheme="minorHAnsi"/>
                <w:sz w:val="20"/>
                <w:szCs w:val="20"/>
              </w:rPr>
            </w:pPr>
            <w:r w:rsidRPr="00707A04">
              <w:rPr>
                <w:rFonts w:cstheme="minorHAnsi"/>
                <w:bCs/>
                <w:sz w:val="20"/>
                <w:szCs w:val="20"/>
              </w:rPr>
              <w:t xml:space="preserve">        </w:t>
            </w:r>
            <w:r w:rsidR="00470155">
              <w:rPr>
                <w:rFonts w:cstheme="minorHAnsi"/>
                <w:bCs/>
                <w:sz w:val="20"/>
                <w:szCs w:val="20"/>
              </w:rPr>
              <w:t>6</w:t>
            </w:r>
            <w:r w:rsidRPr="00707A04">
              <w:rPr>
                <w:rFonts w:cstheme="minorHAnsi"/>
                <w:bCs/>
                <w:sz w:val="20"/>
                <w:szCs w:val="20"/>
              </w:rPr>
              <w:t xml:space="preserve"> (4</w:t>
            </w:r>
            <w:r w:rsidR="00470155">
              <w:rPr>
                <w:rFonts w:cstheme="minorHAnsi"/>
                <w:bCs/>
                <w:sz w:val="20"/>
                <w:szCs w:val="20"/>
              </w:rPr>
              <w:t>2</w:t>
            </w:r>
            <w:r w:rsidR="00492B57">
              <w:rPr>
                <w:rFonts w:cstheme="minorHAnsi"/>
                <w:bCs/>
                <w:sz w:val="20"/>
                <w:szCs w:val="20"/>
              </w:rPr>
              <w:t>.</w:t>
            </w:r>
            <w:r w:rsidR="00470155">
              <w:rPr>
                <w:rFonts w:cstheme="minorHAnsi"/>
                <w:bCs/>
                <w:sz w:val="20"/>
                <w:szCs w:val="20"/>
              </w:rPr>
              <w:t>9</w:t>
            </w:r>
            <w:r w:rsidRPr="00707A04">
              <w:rPr>
                <w:rFonts w:cstheme="minorHAnsi"/>
                <w:bCs/>
                <w:sz w:val="20"/>
                <w:szCs w:val="20"/>
              </w:rPr>
              <w:t xml:space="preserve">) </w:t>
            </w:r>
          </w:p>
        </w:tc>
        <w:tc>
          <w:tcPr>
            <w:tcW w:w="735" w:type="dxa"/>
            <w:shd w:val="clear" w:color="auto" w:fill="auto"/>
            <w:tcMar>
              <w:top w:w="0" w:type="dxa"/>
              <w:left w:w="0" w:type="dxa"/>
              <w:bottom w:w="0" w:type="dxa"/>
              <w:right w:w="0" w:type="dxa"/>
            </w:tcMar>
            <w:vAlign w:val="center"/>
          </w:tcPr>
          <w:p w14:paraId="58672BDE" w14:textId="4938A4FB" w:rsidR="009E1082" w:rsidRPr="002E34A0" w:rsidRDefault="009E1082" w:rsidP="00492B57">
            <w:pPr>
              <w:spacing w:before="40" w:after="40"/>
              <w:ind w:left="40" w:right="40"/>
              <w:jc w:val="right"/>
              <w:rPr>
                <w:rFonts w:cstheme="minorHAnsi"/>
                <w:sz w:val="20"/>
                <w:szCs w:val="20"/>
              </w:rPr>
            </w:pPr>
            <w:r w:rsidRPr="002E34A0">
              <w:rPr>
                <w:rFonts w:cstheme="minorHAnsi"/>
                <w:bCs/>
                <w:sz w:val="20"/>
                <w:szCs w:val="20"/>
              </w:rPr>
              <w:t xml:space="preserve"> 0.00</w:t>
            </w:r>
            <w:r w:rsidR="00470155">
              <w:rPr>
                <w:rFonts w:cstheme="minorHAnsi"/>
                <w:bCs/>
                <w:sz w:val="20"/>
                <w:szCs w:val="20"/>
              </w:rPr>
              <w:t>4</w:t>
            </w:r>
          </w:p>
        </w:tc>
      </w:tr>
      <w:tr w:rsidR="009E1082" w:rsidRPr="002E34A0" w14:paraId="2B77A7E6"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32525BF2" w14:textId="77777777" w:rsidR="009E1082" w:rsidRPr="00707A04" w:rsidRDefault="009E1082" w:rsidP="00AF7045">
            <w:pPr>
              <w:spacing w:before="40" w:after="40"/>
              <w:ind w:left="40" w:right="40"/>
              <w:jc w:val="right"/>
              <w:rPr>
                <w:rFonts w:cstheme="minorHAnsi"/>
                <w:sz w:val="20"/>
                <w:szCs w:val="20"/>
              </w:rPr>
            </w:pPr>
            <w:proofErr w:type="spellStart"/>
            <w:r w:rsidRPr="00707A04">
              <w:rPr>
                <w:rFonts w:cstheme="minorHAnsi"/>
                <w:sz w:val="20"/>
                <w:szCs w:val="20"/>
              </w:rPr>
              <w:t>Vomiting</w:t>
            </w:r>
            <w:proofErr w:type="spellEnd"/>
            <w:r w:rsidRPr="00707A04">
              <w:rPr>
                <w:rFonts w:cstheme="minorHAnsi"/>
                <w:sz w:val="20"/>
                <w:szCs w:val="20"/>
              </w:rPr>
              <w:t>, n (%)</w:t>
            </w:r>
          </w:p>
        </w:tc>
        <w:tc>
          <w:tcPr>
            <w:tcW w:w="1984" w:type="dxa"/>
            <w:shd w:val="clear" w:color="auto" w:fill="auto"/>
            <w:tcMar>
              <w:top w:w="0" w:type="dxa"/>
              <w:left w:w="0" w:type="dxa"/>
              <w:bottom w:w="0" w:type="dxa"/>
              <w:right w:w="0" w:type="dxa"/>
            </w:tcMar>
            <w:vAlign w:val="center"/>
          </w:tcPr>
          <w:p w14:paraId="1C9E2CAE" w14:textId="77777777" w:rsidR="009E1082" w:rsidRPr="00707A04" w:rsidRDefault="009E1082" w:rsidP="00AF7045">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7B24D9E9" w14:textId="77777777" w:rsidR="009E1082" w:rsidRPr="00707A04" w:rsidRDefault="009E1082" w:rsidP="00AF7045">
            <w:pPr>
              <w:spacing w:before="40" w:after="40"/>
              <w:ind w:left="40" w:right="40"/>
              <w:jc w:val="right"/>
              <w:rPr>
                <w:rFonts w:cstheme="minorHAnsi"/>
                <w:sz w:val="20"/>
                <w:szCs w:val="20"/>
              </w:rPr>
            </w:pPr>
            <w:r w:rsidRPr="00707A04">
              <w:rPr>
                <w:rFonts w:cstheme="minorHAnsi"/>
                <w:color w:val="000000"/>
                <w:sz w:val="20"/>
                <w:szCs w:val="20"/>
              </w:rPr>
              <w:t xml:space="preserve">       17 (37.0) </w:t>
            </w:r>
          </w:p>
        </w:tc>
        <w:tc>
          <w:tcPr>
            <w:tcW w:w="2268" w:type="dxa"/>
            <w:shd w:val="clear" w:color="auto" w:fill="auto"/>
            <w:tcMar>
              <w:top w:w="0" w:type="dxa"/>
              <w:left w:w="0" w:type="dxa"/>
              <w:bottom w:w="0" w:type="dxa"/>
              <w:right w:w="0" w:type="dxa"/>
            </w:tcMar>
            <w:vAlign w:val="center"/>
          </w:tcPr>
          <w:p w14:paraId="4FC8C385" w14:textId="6065C857" w:rsidR="009E1082" w:rsidRPr="00707A04" w:rsidRDefault="009E1082" w:rsidP="00492B57">
            <w:pPr>
              <w:spacing w:before="40" w:after="40"/>
              <w:ind w:left="40" w:right="40"/>
              <w:jc w:val="right"/>
              <w:rPr>
                <w:rFonts w:cstheme="minorHAnsi"/>
                <w:sz w:val="20"/>
                <w:szCs w:val="20"/>
              </w:rPr>
            </w:pPr>
            <w:r w:rsidRPr="00707A04">
              <w:rPr>
                <w:rFonts w:cstheme="minorHAnsi"/>
                <w:color w:val="000000"/>
                <w:sz w:val="20"/>
                <w:szCs w:val="20"/>
              </w:rPr>
              <w:t xml:space="preserve">        </w:t>
            </w:r>
            <w:r w:rsidR="00470155">
              <w:rPr>
                <w:rFonts w:cstheme="minorHAnsi"/>
                <w:color w:val="000000"/>
                <w:sz w:val="20"/>
                <w:szCs w:val="20"/>
              </w:rPr>
              <w:t>8</w:t>
            </w:r>
            <w:r w:rsidRPr="00707A04">
              <w:rPr>
                <w:rFonts w:cstheme="minorHAnsi"/>
                <w:color w:val="000000"/>
                <w:sz w:val="20"/>
                <w:szCs w:val="20"/>
              </w:rPr>
              <w:t xml:space="preserve"> (</w:t>
            </w:r>
            <w:r w:rsidR="00470155">
              <w:rPr>
                <w:rFonts w:cstheme="minorHAnsi"/>
                <w:color w:val="000000"/>
                <w:sz w:val="20"/>
                <w:szCs w:val="20"/>
              </w:rPr>
              <w:t>57.1</w:t>
            </w:r>
            <w:r w:rsidRPr="00707A04">
              <w:rPr>
                <w:rFonts w:cstheme="minorHAnsi"/>
                <w:color w:val="000000"/>
                <w:sz w:val="20"/>
                <w:szCs w:val="20"/>
              </w:rPr>
              <w:t xml:space="preserve">) </w:t>
            </w:r>
          </w:p>
        </w:tc>
        <w:tc>
          <w:tcPr>
            <w:tcW w:w="735" w:type="dxa"/>
            <w:shd w:val="clear" w:color="auto" w:fill="auto"/>
            <w:tcMar>
              <w:top w:w="0" w:type="dxa"/>
              <w:left w:w="0" w:type="dxa"/>
              <w:bottom w:w="0" w:type="dxa"/>
              <w:right w:w="0" w:type="dxa"/>
            </w:tcMar>
            <w:vAlign w:val="center"/>
          </w:tcPr>
          <w:p w14:paraId="6401932A" w14:textId="0F3BABCC" w:rsidR="009E1082" w:rsidRPr="002E34A0" w:rsidRDefault="009E1082" w:rsidP="00492B57">
            <w:pPr>
              <w:spacing w:before="40" w:after="40"/>
              <w:ind w:left="40" w:right="40"/>
              <w:jc w:val="right"/>
              <w:rPr>
                <w:rFonts w:cstheme="minorHAnsi"/>
                <w:sz w:val="20"/>
                <w:szCs w:val="20"/>
              </w:rPr>
            </w:pPr>
            <w:r w:rsidRPr="002E34A0">
              <w:rPr>
                <w:rFonts w:cstheme="minorHAnsi"/>
                <w:color w:val="000000"/>
                <w:sz w:val="20"/>
                <w:szCs w:val="20"/>
              </w:rPr>
              <w:t xml:space="preserve"> 0.</w:t>
            </w:r>
            <w:r w:rsidR="00470155">
              <w:rPr>
                <w:rFonts w:cstheme="minorHAnsi"/>
                <w:color w:val="000000"/>
                <w:sz w:val="20"/>
                <w:szCs w:val="20"/>
              </w:rPr>
              <w:t>302</w:t>
            </w:r>
          </w:p>
        </w:tc>
      </w:tr>
      <w:tr w:rsidR="009E1082" w:rsidRPr="007C7963" w14:paraId="77E47CB0"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60046535" w14:textId="0BC04D75" w:rsidR="009E1082" w:rsidRPr="00707A04" w:rsidRDefault="009E1082" w:rsidP="009E1082">
            <w:pPr>
              <w:spacing w:before="40" w:after="40"/>
              <w:ind w:left="40" w:right="40"/>
              <w:jc w:val="right"/>
              <w:rPr>
                <w:rFonts w:cstheme="minorHAnsi"/>
                <w:sz w:val="20"/>
                <w:szCs w:val="20"/>
              </w:rPr>
            </w:pPr>
            <w:proofErr w:type="spellStart"/>
            <w:r w:rsidRPr="00707A04">
              <w:rPr>
                <w:rFonts w:cstheme="minorHAnsi"/>
                <w:color w:val="000000"/>
                <w:sz w:val="20"/>
                <w:szCs w:val="20"/>
              </w:rPr>
              <w:t>Constipation</w:t>
            </w:r>
            <w:proofErr w:type="spellEnd"/>
            <w:r w:rsidRPr="00707A04">
              <w:rPr>
                <w:rFonts w:cstheme="minorHAnsi"/>
                <w:color w:val="000000"/>
                <w:sz w:val="20"/>
                <w:szCs w:val="20"/>
              </w:rPr>
              <w:t>, n (%)</w:t>
            </w:r>
          </w:p>
        </w:tc>
        <w:tc>
          <w:tcPr>
            <w:tcW w:w="1984" w:type="dxa"/>
            <w:shd w:val="clear" w:color="auto" w:fill="auto"/>
            <w:tcMar>
              <w:top w:w="0" w:type="dxa"/>
              <w:left w:w="0" w:type="dxa"/>
              <w:bottom w:w="0" w:type="dxa"/>
              <w:right w:w="0" w:type="dxa"/>
            </w:tcMar>
            <w:vAlign w:val="center"/>
          </w:tcPr>
          <w:p w14:paraId="23AB98CB" w14:textId="77777777" w:rsidR="009E1082" w:rsidRPr="007C7963" w:rsidRDefault="009E1082" w:rsidP="009E1082">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091164DD" w14:textId="03B6A6D5" w:rsidR="009E1082" w:rsidRPr="007C7963" w:rsidRDefault="009E1082" w:rsidP="009E1082">
            <w:pPr>
              <w:spacing w:before="40" w:after="40"/>
              <w:ind w:left="40" w:right="40"/>
              <w:jc w:val="right"/>
              <w:rPr>
                <w:rFonts w:cstheme="minorHAnsi"/>
                <w:sz w:val="20"/>
                <w:szCs w:val="20"/>
              </w:rPr>
            </w:pPr>
            <w:r w:rsidRPr="007C7963">
              <w:rPr>
                <w:rFonts w:cstheme="minorHAnsi"/>
                <w:color w:val="000000"/>
                <w:sz w:val="20"/>
                <w:szCs w:val="20"/>
              </w:rPr>
              <w:t xml:space="preserve">        6 (13.0) </w:t>
            </w:r>
          </w:p>
        </w:tc>
        <w:tc>
          <w:tcPr>
            <w:tcW w:w="2268" w:type="dxa"/>
            <w:shd w:val="clear" w:color="auto" w:fill="auto"/>
            <w:tcMar>
              <w:top w:w="0" w:type="dxa"/>
              <w:left w:w="0" w:type="dxa"/>
              <w:bottom w:w="0" w:type="dxa"/>
              <w:right w:w="0" w:type="dxa"/>
            </w:tcMar>
            <w:vAlign w:val="center"/>
          </w:tcPr>
          <w:p w14:paraId="7B571FD7" w14:textId="337136D9" w:rsidR="009E1082" w:rsidRPr="007C7963" w:rsidRDefault="009E1082" w:rsidP="00492B57">
            <w:pPr>
              <w:spacing w:before="40" w:after="40"/>
              <w:ind w:left="40" w:right="40"/>
              <w:jc w:val="right"/>
              <w:rPr>
                <w:rFonts w:cstheme="minorHAnsi"/>
                <w:sz w:val="20"/>
                <w:szCs w:val="20"/>
              </w:rPr>
            </w:pPr>
            <w:r w:rsidRPr="007C7963">
              <w:rPr>
                <w:rFonts w:cstheme="minorHAnsi"/>
                <w:color w:val="000000"/>
                <w:sz w:val="20"/>
                <w:szCs w:val="20"/>
              </w:rPr>
              <w:t xml:space="preserve">        2 (1</w:t>
            </w:r>
            <w:r w:rsidR="00470155">
              <w:rPr>
                <w:rFonts w:cstheme="minorHAnsi"/>
                <w:color w:val="000000"/>
                <w:sz w:val="20"/>
                <w:szCs w:val="20"/>
              </w:rPr>
              <w:t>4</w:t>
            </w:r>
            <w:r w:rsidRPr="007C7963">
              <w:rPr>
                <w:rFonts w:cstheme="minorHAnsi"/>
                <w:color w:val="000000"/>
                <w:sz w:val="20"/>
                <w:szCs w:val="20"/>
              </w:rPr>
              <w:t>.</w:t>
            </w:r>
            <w:r w:rsidR="00470155">
              <w:rPr>
                <w:rFonts w:cstheme="minorHAnsi"/>
                <w:color w:val="000000"/>
                <w:sz w:val="20"/>
                <w:szCs w:val="20"/>
              </w:rPr>
              <w:t>3</w:t>
            </w:r>
            <w:r w:rsidRPr="007C7963">
              <w:rPr>
                <w:rFonts w:cstheme="minorHAnsi"/>
                <w:color w:val="000000"/>
                <w:sz w:val="20"/>
                <w:szCs w:val="20"/>
              </w:rPr>
              <w:t xml:space="preserve">) </w:t>
            </w:r>
          </w:p>
        </w:tc>
        <w:tc>
          <w:tcPr>
            <w:tcW w:w="735" w:type="dxa"/>
            <w:shd w:val="clear" w:color="auto" w:fill="auto"/>
            <w:tcMar>
              <w:top w:w="0" w:type="dxa"/>
              <w:left w:w="0" w:type="dxa"/>
              <w:bottom w:w="0" w:type="dxa"/>
              <w:right w:w="0" w:type="dxa"/>
            </w:tcMar>
            <w:vAlign w:val="center"/>
          </w:tcPr>
          <w:p w14:paraId="586D65BA" w14:textId="193BC721" w:rsidR="009E1082" w:rsidRPr="007C7963" w:rsidRDefault="009E1082" w:rsidP="009E1082">
            <w:pPr>
              <w:spacing w:before="40" w:after="40"/>
              <w:ind w:left="40" w:right="40"/>
              <w:jc w:val="right"/>
              <w:rPr>
                <w:rFonts w:cstheme="minorHAnsi"/>
                <w:sz w:val="20"/>
                <w:szCs w:val="20"/>
              </w:rPr>
            </w:pPr>
            <w:r w:rsidRPr="007C7963">
              <w:rPr>
                <w:rFonts w:cstheme="minorHAnsi"/>
                <w:color w:val="000000"/>
                <w:sz w:val="20"/>
                <w:szCs w:val="20"/>
              </w:rPr>
              <w:t xml:space="preserve"> 1.000</w:t>
            </w:r>
          </w:p>
        </w:tc>
      </w:tr>
      <w:tr w:rsidR="009E1082" w:rsidRPr="007C7963" w14:paraId="7ADEF430"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2934ED06" w14:textId="3DBD9D79" w:rsidR="009E1082" w:rsidRPr="00CA09EE" w:rsidRDefault="009E1082" w:rsidP="009E1082">
            <w:pPr>
              <w:spacing w:before="40" w:after="40"/>
              <w:ind w:left="40" w:right="40"/>
              <w:jc w:val="right"/>
              <w:rPr>
                <w:rFonts w:cstheme="minorHAnsi"/>
                <w:sz w:val="20"/>
                <w:szCs w:val="20"/>
              </w:rPr>
            </w:pPr>
            <w:proofErr w:type="spellStart"/>
            <w:r w:rsidRPr="00707A04">
              <w:rPr>
                <w:rFonts w:cstheme="minorHAnsi"/>
                <w:color w:val="000000"/>
                <w:sz w:val="20"/>
                <w:szCs w:val="20"/>
              </w:rPr>
              <w:t>Dysuria</w:t>
            </w:r>
            <w:proofErr w:type="spellEnd"/>
            <w:r w:rsidRPr="00707A04">
              <w:rPr>
                <w:rFonts w:cstheme="minorHAnsi"/>
                <w:color w:val="000000"/>
                <w:sz w:val="20"/>
                <w:szCs w:val="20"/>
              </w:rPr>
              <w:t>, n (%)</w:t>
            </w:r>
          </w:p>
        </w:tc>
        <w:tc>
          <w:tcPr>
            <w:tcW w:w="1984" w:type="dxa"/>
            <w:shd w:val="clear" w:color="auto" w:fill="auto"/>
            <w:tcMar>
              <w:top w:w="0" w:type="dxa"/>
              <w:left w:w="0" w:type="dxa"/>
              <w:bottom w:w="0" w:type="dxa"/>
              <w:right w:w="0" w:type="dxa"/>
            </w:tcMar>
            <w:vAlign w:val="center"/>
          </w:tcPr>
          <w:p w14:paraId="6E75D0C6" w14:textId="77777777" w:rsidR="009E1082" w:rsidRPr="007C7963" w:rsidRDefault="009E1082" w:rsidP="009E1082">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38D734B7" w14:textId="67469840" w:rsidR="009E1082" w:rsidRPr="007C7963" w:rsidRDefault="009E1082" w:rsidP="009E1082">
            <w:pPr>
              <w:spacing w:before="40" w:after="40"/>
              <w:ind w:left="40" w:right="40"/>
              <w:jc w:val="right"/>
              <w:rPr>
                <w:rFonts w:cstheme="minorHAnsi"/>
                <w:sz w:val="20"/>
                <w:szCs w:val="20"/>
              </w:rPr>
            </w:pPr>
            <w:r w:rsidRPr="007C7963">
              <w:rPr>
                <w:rFonts w:cstheme="minorHAnsi"/>
                <w:color w:val="000000"/>
                <w:sz w:val="20"/>
                <w:szCs w:val="20"/>
              </w:rPr>
              <w:t xml:space="preserve">        6 (13.0) </w:t>
            </w:r>
          </w:p>
        </w:tc>
        <w:tc>
          <w:tcPr>
            <w:tcW w:w="2268" w:type="dxa"/>
            <w:shd w:val="clear" w:color="auto" w:fill="auto"/>
            <w:tcMar>
              <w:top w:w="0" w:type="dxa"/>
              <w:left w:w="0" w:type="dxa"/>
              <w:bottom w:w="0" w:type="dxa"/>
              <w:right w:w="0" w:type="dxa"/>
            </w:tcMar>
            <w:vAlign w:val="center"/>
          </w:tcPr>
          <w:p w14:paraId="330E22D4" w14:textId="1F142A26" w:rsidR="009E1082" w:rsidRPr="007C7963" w:rsidRDefault="009E1082" w:rsidP="00492B57">
            <w:pPr>
              <w:spacing w:before="40" w:after="40"/>
              <w:ind w:left="40" w:right="40"/>
              <w:jc w:val="right"/>
              <w:rPr>
                <w:rFonts w:cstheme="minorHAnsi"/>
                <w:sz w:val="20"/>
                <w:szCs w:val="20"/>
                <w:lang w:val="en-US"/>
              </w:rPr>
            </w:pPr>
            <w:r w:rsidRPr="007C7963">
              <w:rPr>
                <w:rFonts w:cstheme="minorHAnsi"/>
                <w:color w:val="000000"/>
                <w:sz w:val="20"/>
                <w:szCs w:val="20"/>
              </w:rPr>
              <w:t xml:space="preserve">        </w:t>
            </w:r>
            <w:r w:rsidRPr="007C7963">
              <w:rPr>
                <w:rFonts w:cstheme="minorHAnsi"/>
                <w:color w:val="000000"/>
                <w:sz w:val="20"/>
                <w:szCs w:val="20"/>
                <w:lang w:val="en-US"/>
              </w:rPr>
              <w:t>1 (</w:t>
            </w:r>
            <w:r w:rsidR="00E5086D">
              <w:rPr>
                <w:rFonts w:cstheme="minorHAnsi"/>
                <w:color w:val="000000"/>
                <w:sz w:val="20"/>
                <w:szCs w:val="20"/>
                <w:lang w:val="en-US"/>
              </w:rPr>
              <w:t>7.1</w:t>
            </w:r>
            <w:r w:rsidRPr="007C7963">
              <w:rPr>
                <w:rFonts w:cstheme="minorHAnsi"/>
                <w:color w:val="000000"/>
                <w:sz w:val="20"/>
                <w:szCs w:val="20"/>
                <w:lang w:val="en-US"/>
              </w:rPr>
              <w:t xml:space="preserve">) </w:t>
            </w:r>
          </w:p>
        </w:tc>
        <w:tc>
          <w:tcPr>
            <w:tcW w:w="735" w:type="dxa"/>
            <w:shd w:val="clear" w:color="auto" w:fill="auto"/>
            <w:tcMar>
              <w:top w:w="0" w:type="dxa"/>
              <w:left w:w="0" w:type="dxa"/>
              <w:bottom w:w="0" w:type="dxa"/>
              <w:right w:w="0" w:type="dxa"/>
            </w:tcMar>
            <w:vAlign w:val="center"/>
          </w:tcPr>
          <w:p w14:paraId="405AEA65" w14:textId="0937FA68" w:rsidR="009E1082" w:rsidRPr="007C7963" w:rsidRDefault="009E1082" w:rsidP="00492B57">
            <w:pPr>
              <w:spacing w:before="40" w:after="40"/>
              <w:ind w:left="40" w:right="40"/>
              <w:jc w:val="right"/>
              <w:rPr>
                <w:rFonts w:cstheme="minorHAnsi"/>
                <w:sz w:val="20"/>
                <w:szCs w:val="20"/>
                <w:lang w:val="en-US"/>
              </w:rPr>
            </w:pPr>
            <w:r w:rsidRPr="007C7963">
              <w:rPr>
                <w:rFonts w:cstheme="minorHAnsi"/>
                <w:color w:val="000000"/>
                <w:sz w:val="20"/>
                <w:szCs w:val="20"/>
                <w:lang w:val="en-US"/>
              </w:rPr>
              <w:t xml:space="preserve"> 0.</w:t>
            </w:r>
            <w:r w:rsidR="00E5086D">
              <w:rPr>
                <w:rFonts w:cstheme="minorHAnsi"/>
                <w:color w:val="000000"/>
                <w:sz w:val="20"/>
                <w:szCs w:val="20"/>
                <w:lang w:val="en-US"/>
              </w:rPr>
              <w:t>899</w:t>
            </w:r>
          </w:p>
        </w:tc>
      </w:tr>
      <w:tr w:rsidR="009E1082" w:rsidRPr="007C7963" w14:paraId="35955D55" w14:textId="77777777" w:rsidTr="000A514E">
        <w:trPr>
          <w:cantSplit/>
          <w:trHeight w:val="360"/>
          <w:jc w:val="center"/>
        </w:trPr>
        <w:tc>
          <w:tcPr>
            <w:tcW w:w="3261" w:type="dxa"/>
            <w:tcBorders>
              <w:bottom w:val="single" w:sz="8" w:space="0" w:color="000000"/>
            </w:tcBorders>
            <w:shd w:val="clear" w:color="auto" w:fill="auto"/>
            <w:tcMar>
              <w:top w:w="0" w:type="dxa"/>
              <w:left w:w="0" w:type="dxa"/>
              <w:bottom w:w="0" w:type="dxa"/>
              <w:right w:w="0" w:type="dxa"/>
            </w:tcMar>
            <w:vAlign w:val="center"/>
          </w:tcPr>
          <w:p w14:paraId="393D0D97" w14:textId="2F01D273" w:rsidR="009E1082" w:rsidRPr="00707A04" w:rsidRDefault="009E1082" w:rsidP="009E1082">
            <w:pPr>
              <w:spacing w:before="40" w:after="40"/>
              <w:ind w:left="40" w:right="40"/>
              <w:jc w:val="right"/>
              <w:rPr>
                <w:rFonts w:cstheme="minorHAnsi"/>
                <w:color w:val="000000"/>
                <w:sz w:val="20"/>
                <w:szCs w:val="20"/>
                <w:lang w:val="en-US"/>
              </w:rPr>
            </w:pPr>
            <w:r w:rsidRPr="00707A04">
              <w:rPr>
                <w:rFonts w:cstheme="minorHAnsi"/>
                <w:sz w:val="20"/>
                <w:szCs w:val="20"/>
                <w:lang w:val="en-US"/>
              </w:rPr>
              <w:t>Days of fever prior to admission, median [IQR]</w:t>
            </w:r>
          </w:p>
        </w:tc>
        <w:tc>
          <w:tcPr>
            <w:tcW w:w="1984" w:type="dxa"/>
            <w:tcBorders>
              <w:bottom w:val="single" w:sz="8" w:space="0" w:color="000000"/>
            </w:tcBorders>
            <w:shd w:val="clear" w:color="auto" w:fill="auto"/>
            <w:tcMar>
              <w:top w:w="0" w:type="dxa"/>
              <w:left w:w="0" w:type="dxa"/>
              <w:bottom w:w="0" w:type="dxa"/>
              <w:right w:w="0" w:type="dxa"/>
            </w:tcMar>
            <w:vAlign w:val="center"/>
          </w:tcPr>
          <w:p w14:paraId="763F1BA4" w14:textId="77777777" w:rsidR="009E1082" w:rsidRPr="007C7963" w:rsidRDefault="009E1082" w:rsidP="009E1082">
            <w:pPr>
              <w:spacing w:before="40" w:after="40"/>
              <w:ind w:left="40" w:right="40"/>
              <w:jc w:val="right"/>
              <w:rPr>
                <w:rFonts w:cstheme="minorHAnsi"/>
                <w:sz w:val="20"/>
                <w:szCs w:val="20"/>
                <w:lang w:val="en-US"/>
              </w:rPr>
            </w:pPr>
          </w:p>
        </w:tc>
        <w:tc>
          <w:tcPr>
            <w:tcW w:w="2552" w:type="dxa"/>
            <w:tcBorders>
              <w:bottom w:val="single" w:sz="8" w:space="0" w:color="000000"/>
            </w:tcBorders>
            <w:shd w:val="clear" w:color="auto" w:fill="auto"/>
            <w:tcMar>
              <w:top w:w="0" w:type="dxa"/>
              <w:left w:w="0" w:type="dxa"/>
              <w:bottom w:w="0" w:type="dxa"/>
              <w:right w:w="0" w:type="dxa"/>
            </w:tcMar>
            <w:vAlign w:val="center"/>
          </w:tcPr>
          <w:p w14:paraId="6E144ED9" w14:textId="29FECC3F" w:rsidR="009E1082" w:rsidRPr="007C7963" w:rsidRDefault="009E1082" w:rsidP="009E1082">
            <w:pPr>
              <w:spacing w:before="40" w:after="40"/>
              <w:ind w:left="40" w:right="40"/>
              <w:jc w:val="right"/>
              <w:rPr>
                <w:rFonts w:cstheme="minorHAnsi"/>
                <w:sz w:val="20"/>
                <w:szCs w:val="20"/>
                <w:lang w:val="en-US"/>
              </w:rPr>
            </w:pPr>
            <w:r w:rsidRPr="007C7963">
              <w:rPr>
                <w:rFonts w:cstheme="minorHAnsi"/>
                <w:bCs/>
                <w:sz w:val="20"/>
                <w:szCs w:val="20"/>
                <w:lang w:val="en-US"/>
              </w:rPr>
              <w:t xml:space="preserve">     4.00 [2.25, 6.75]</w:t>
            </w:r>
          </w:p>
        </w:tc>
        <w:tc>
          <w:tcPr>
            <w:tcW w:w="2268" w:type="dxa"/>
            <w:tcBorders>
              <w:bottom w:val="single" w:sz="8" w:space="0" w:color="000000"/>
            </w:tcBorders>
            <w:shd w:val="clear" w:color="auto" w:fill="auto"/>
            <w:tcMar>
              <w:top w:w="0" w:type="dxa"/>
              <w:left w:w="0" w:type="dxa"/>
              <w:bottom w:w="0" w:type="dxa"/>
              <w:right w:w="0" w:type="dxa"/>
            </w:tcMar>
            <w:vAlign w:val="center"/>
          </w:tcPr>
          <w:p w14:paraId="1C21C6CE" w14:textId="103E6124" w:rsidR="009E1082" w:rsidRPr="007C7963" w:rsidRDefault="007C7963" w:rsidP="007C7963">
            <w:pPr>
              <w:spacing w:before="40" w:after="40"/>
              <w:ind w:left="40" w:right="40"/>
              <w:jc w:val="right"/>
              <w:rPr>
                <w:rFonts w:cstheme="minorHAnsi"/>
                <w:sz w:val="20"/>
                <w:szCs w:val="20"/>
                <w:lang w:val="en-US"/>
              </w:rPr>
            </w:pPr>
            <w:r w:rsidRPr="007C7963">
              <w:rPr>
                <w:rFonts w:cstheme="minorHAnsi"/>
                <w:bCs/>
                <w:sz w:val="20"/>
                <w:szCs w:val="20"/>
                <w:lang w:val="en-US"/>
              </w:rPr>
              <w:t xml:space="preserve">     </w:t>
            </w:r>
            <w:r w:rsidR="00E5086D">
              <w:rPr>
                <w:rFonts w:cstheme="minorHAnsi"/>
                <w:bCs/>
                <w:sz w:val="20"/>
                <w:szCs w:val="20"/>
                <w:lang w:val="en-US"/>
              </w:rPr>
              <w:t>6</w:t>
            </w:r>
            <w:r w:rsidR="009E1082" w:rsidRPr="007C7963">
              <w:rPr>
                <w:rFonts w:cstheme="minorHAnsi"/>
                <w:bCs/>
                <w:sz w:val="20"/>
                <w:szCs w:val="20"/>
                <w:lang w:val="en-US"/>
              </w:rPr>
              <w:t xml:space="preserve">.00 [5.00, </w:t>
            </w:r>
            <w:r w:rsidR="00E5086D">
              <w:rPr>
                <w:rFonts w:cstheme="minorHAnsi"/>
                <w:bCs/>
                <w:sz w:val="20"/>
                <w:szCs w:val="20"/>
                <w:lang w:val="en-US"/>
              </w:rPr>
              <w:t>9</w:t>
            </w:r>
            <w:r w:rsidRPr="007C7963">
              <w:rPr>
                <w:rFonts w:cstheme="minorHAnsi"/>
                <w:bCs/>
                <w:sz w:val="20"/>
                <w:szCs w:val="20"/>
                <w:lang w:val="en-US"/>
              </w:rPr>
              <w:t>.</w:t>
            </w:r>
            <w:r w:rsidR="00E5086D">
              <w:rPr>
                <w:rFonts w:cstheme="minorHAnsi"/>
                <w:bCs/>
                <w:sz w:val="20"/>
                <w:szCs w:val="20"/>
                <w:lang w:val="en-US"/>
              </w:rPr>
              <w:t>5</w:t>
            </w:r>
            <w:r w:rsidRPr="007C7963">
              <w:rPr>
                <w:rFonts w:cstheme="minorHAnsi"/>
                <w:bCs/>
                <w:sz w:val="20"/>
                <w:szCs w:val="20"/>
                <w:lang w:val="en-US"/>
              </w:rPr>
              <w:t>0</w:t>
            </w:r>
            <w:r w:rsidR="009E1082" w:rsidRPr="007C7963">
              <w:rPr>
                <w:rFonts w:cstheme="minorHAnsi"/>
                <w:bCs/>
                <w:sz w:val="20"/>
                <w:szCs w:val="20"/>
                <w:lang w:val="en-US"/>
              </w:rPr>
              <w:t>]</w:t>
            </w:r>
          </w:p>
        </w:tc>
        <w:tc>
          <w:tcPr>
            <w:tcW w:w="735" w:type="dxa"/>
            <w:tcBorders>
              <w:bottom w:val="single" w:sz="8" w:space="0" w:color="000000"/>
            </w:tcBorders>
            <w:shd w:val="clear" w:color="auto" w:fill="auto"/>
            <w:tcMar>
              <w:top w:w="0" w:type="dxa"/>
              <w:left w:w="0" w:type="dxa"/>
              <w:bottom w:w="0" w:type="dxa"/>
              <w:right w:w="0" w:type="dxa"/>
            </w:tcMar>
            <w:vAlign w:val="center"/>
          </w:tcPr>
          <w:p w14:paraId="56D49CEF" w14:textId="2EFF5215" w:rsidR="009E1082" w:rsidRPr="007C7963" w:rsidRDefault="009E1082" w:rsidP="009E1082">
            <w:pPr>
              <w:spacing w:before="40" w:after="40"/>
              <w:ind w:left="40" w:right="40"/>
              <w:jc w:val="right"/>
              <w:rPr>
                <w:rFonts w:cstheme="minorHAnsi"/>
                <w:sz w:val="20"/>
                <w:szCs w:val="20"/>
                <w:lang w:val="en-US"/>
              </w:rPr>
            </w:pPr>
            <w:r w:rsidRPr="007C7963">
              <w:rPr>
                <w:rFonts w:cstheme="minorHAnsi"/>
                <w:bCs/>
                <w:sz w:val="20"/>
                <w:szCs w:val="20"/>
                <w:lang w:val="en-US"/>
              </w:rPr>
              <w:t xml:space="preserve"> 0.048</w:t>
            </w:r>
          </w:p>
        </w:tc>
      </w:tr>
      <w:tr w:rsidR="009E1082" w:rsidRPr="007C7963" w14:paraId="08BD1CEE" w14:textId="77777777" w:rsidTr="000A514E">
        <w:trPr>
          <w:cantSplit/>
          <w:trHeight w:val="296"/>
          <w:jc w:val="center"/>
        </w:trPr>
        <w:tc>
          <w:tcPr>
            <w:tcW w:w="3261"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08F1160C" w14:textId="61F54758" w:rsidR="009E1082" w:rsidRPr="00707A04" w:rsidRDefault="009E1082" w:rsidP="009E1082">
            <w:pPr>
              <w:spacing w:before="40" w:after="40"/>
              <w:ind w:left="40" w:right="40"/>
              <w:jc w:val="right"/>
              <w:rPr>
                <w:rFonts w:cstheme="minorHAnsi"/>
                <w:b/>
                <w:bCs/>
                <w:color w:val="000000"/>
                <w:sz w:val="20"/>
                <w:szCs w:val="20"/>
                <w:lang w:val="en-US"/>
              </w:rPr>
            </w:pPr>
            <w:r w:rsidRPr="00492B57">
              <w:rPr>
                <w:rFonts w:cstheme="minorHAnsi"/>
                <w:b/>
                <w:bCs/>
                <w:color w:val="000000"/>
                <w:sz w:val="20"/>
                <w:szCs w:val="20"/>
                <w:lang w:val="en-US"/>
              </w:rPr>
              <w:t xml:space="preserve">VITAL SIGNS </w:t>
            </w:r>
          </w:p>
        </w:tc>
        <w:tc>
          <w:tcPr>
            <w:tcW w:w="1984"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23E78A20" w14:textId="77777777" w:rsidR="009E1082" w:rsidRPr="007C7963" w:rsidRDefault="009E1082" w:rsidP="009E1082">
            <w:pPr>
              <w:spacing w:before="40" w:after="40"/>
              <w:ind w:left="40" w:right="40"/>
              <w:jc w:val="right"/>
              <w:rPr>
                <w:rFonts w:cstheme="minorHAnsi"/>
                <w:sz w:val="20"/>
                <w:szCs w:val="20"/>
                <w:lang w:val="en-US"/>
              </w:rPr>
            </w:pPr>
          </w:p>
        </w:tc>
        <w:tc>
          <w:tcPr>
            <w:tcW w:w="2552"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04AAB735" w14:textId="19BEE7EB" w:rsidR="009E1082" w:rsidRPr="007C7963" w:rsidRDefault="009E1082" w:rsidP="009E1082">
            <w:pPr>
              <w:spacing w:before="40" w:after="40"/>
              <w:ind w:left="40" w:right="40"/>
              <w:jc w:val="right"/>
              <w:rPr>
                <w:rFonts w:cstheme="minorHAnsi"/>
                <w:sz w:val="20"/>
                <w:szCs w:val="20"/>
                <w:lang w:val="en-US"/>
              </w:rPr>
            </w:pPr>
          </w:p>
        </w:tc>
        <w:tc>
          <w:tcPr>
            <w:tcW w:w="2268"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24432DF8" w14:textId="4BD3D9E4" w:rsidR="009E1082" w:rsidRPr="007C7963" w:rsidRDefault="009E1082" w:rsidP="009E1082">
            <w:pPr>
              <w:spacing w:before="40" w:after="40"/>
              <w:ind w:left="40" w:right="40"/>
              <w:jc w:val="right"/>
              <w:rPr>
                <w:rFonts w:cstheme="minorHAnsi"/>
                <w:sz w:val="20"/>
                <w:szCs w:val="20"/>
                <w:lang w:val="en-US"/>
              </w:rPr>
            </w:pPr>
          </w:p>
        </w:tc>
        <w:tc>
          <w:tcPr>
            <w:tcW w:w="735"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40474209" w14:textId="195AF086" w:rsidR="009E1082" w:rsidRPr="007C7963" w:rsidRDefault="009E1082" w:rsidP="009E1082">
            <w:pPr>
              <w:spacing w:before="40" w:after="40"/>
              <w:ind w:left="40" w:right="40"/>
              <w:jc w:val="right"/>
              <w:rPr>
                <w:rFonts w:cstheme="minorHAnsi"/>
                <w:sz w:val="20"/>
                <w:szCs w:val="20"/>
                <w:lang w:val="en-US"/>
              </w:rPr>
            </w:pPr>
          </w:p>
        </w:tc>
      </w:tr>
      <w:tr w:rsidR="007C7963" w:rsidRPr="007C7963" w14:paraId="4CCF1611" w14:textId="77777777" w:rsidTr="000A514E">
        <w:trPr>
          <w:cantSplit/>
          <w:trHeight w:val="416"/>
          <w:jc w:val="center"/>
        </w:trPr>
        <w:tc>
          <w:tcPr>
            <w:tcW w:w="3261" w:type="dxa"/>
            <w:tcBorders>
              <w:top w:val="single" w:sz="8" w:space="0" w:color="000000"/>
            </w:tcBorders>
            <w:shd w:val="clear" w:color="auto" w:fill="auto"/>
            <w:tcMar>
              <w:top w:w="0" w:type="dxa"/>
              <w:left w:w="0" w:type="dxa"/>
              <w:bottom w:w="0" w:type="dxa"/>
              <w:right w:w="0" w:type="dxa"/>
            </w:tcMar>
            <w:vAlign w:val="center"/>
          </w:tcPr>
          <w:p w14:paraId="7FAE2DB5" w14:textId="09A4C395" w:rsidR="007C7963" w:rsidRPr="00707A04" w:rsidRDefault="007C7963" w:rsidP="007C7963">
            <w:pPr>
              <w:spacing w:before="40" w:after="40"/>
              <w:ind w:left="40" w:right="40"/>
              <w:jc w:val="right"/>
              <w:rPr>
                <w:rFonts w:cstheme="minorHAnsi"/>
                <w:b/>
                <w:bCs/>
                <w:color w:val="000000"/>
                <w:sz w:val="20"/>
                <w:szCs w:val="20"/>
              </w:rPr>
            </w:pPr>
            <w:proofErr w:type="spellStart"/>
            <w:r w:rsidRPr="00707A04">
              <w:rPr>
                <w:rFonts w:cstheme="minorHAnsi"/>
                <w:color w:val="000000"/>
                <w:sz w:val="20"/>
                <w:szCs w:val="20"/>
              </w:rPr>
              <w:t>Temperature</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median</w:t>
            </w:r>
            <w:proofErr w:type="spellEnd"/>
            <w:r w:rsidRPr="00707A04">
              <w:rPr>
                <w:rFonts w:cstheme="minorHAnsi"/>
                <w:color w:val="000000"/>
                <w:sz w:val="20"/>
                <w:szCs w:val="20"/>
              </w:rPr>
              <w:t xml:space="preserve"> [IQR]</w:t>
            </w:r>
          </w:p>
        </w:tc>
        <w:tc>
          <w:tcPr>
            <w:tcW w:w="1984" w:type="dxa"/>
            <w:tcBorders>
              <w:top w:val="single" w:sz="8" w:space="0" w:color="000000"/>
            </w:tcBorders>
            <w:shd w:val="clear" w:color="auto" w:fill="auto"/>
            <w:tcMar>
              <w:top w:w="0" w:type="dxa"/>
              <w:left w:w="0" w:type="dxa"/>
              <w:bottom w:w="0" w:type="dxa"/>
              <w:right w:w="0" w:type="dxa"/>
            </w:tcMar>
            <w:vAlign w:val="center"/>
          </w:tcPr>
          <w:p w14:paraId="581C70DD" w14:textId="77777777" w:rsidR="007C7963" w:rsidRPr="007C7963" w:rsidRDefault="007C7963" w:rsidP="007C7963">
            <w:pPr>
              <w:spacing w:before="40" w:after="40"/>
              <w:ind w:left="40" w:right="40"/>
              <w:jc w:val="right"/>
              <w:rPr>
                <w:rFonts w:cstheme="minorHAnsi"/>
                <w:sz w:val="20"/>
                <w:szCs w:val="20"/>
              </w:rPr>
            </w:pPr>
          </w:p>
        </w:tc>
        <w:tc>
          <w:tcPr>
            <w:tcW w:w="2552" w:type="dxa"/>
            <w:tcBorders>
              <w:top w:val="single" w:sz="8" w:space="0" w:color="000000"/>
            </w:tcBorders>
            <w:shd w:val="clear" w:color="auto" w:fill="auto"/>
            <w:tcMar>
              <w:top w:w="0" w:type="dxa"/>
              <w:left w:w="0" w:type="dxa"/>
              <w:bottom w:w="0" w:type="dxa"/>
              <w:right w:w="0" w:type="dxa"/>
            </w:tcMar>
            <w:vAlign w:val="center"/>
          </w:tcPr>
          <w:p w14:paraId="5622AEB8" w14:textId="739C1925"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38.90 [38.32, 39.18]</w:t>
            </w:r>
          </w:p>
        </w:tc>
        <w:tc>
          <w:tcPr>
            <w:tcW w:w="2268" w:type="dxa"/>
            <w:tcBorders>
              <w:top w:val="single" w:sz="8" w:space="0" w:color="000000"/>
            </w:tcBorders>
            <w:shd w:val="clear" w:color="auto" w:fill="auto"/>
            <w:tcMar>
              <w:top w:w="0" w:type="dxa"/>
              <w:left w:w="0" w:type="dxa"/>
              <w:bottom w:w="0" w:type="dxa"/>
              <w:right w:w="0" w:type="dxa"/>
            </w:tcMar>
            <w:vAlign w:val="center"/>
          </w:tcPr>
          <w:p w14:paraId="0B9599EB" w14:textId="0CC78E2F"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38.5</w:t>
            </w:r>
            <w:r w:rsidR="00E5086D">
              <w:rPr>
                <w:rFonts w:cs="Arial"/>
                <w:color w:val="000000"/>
                <w:sz w:val="20"/>
                <w:szCs w:val="20"/>
              </w:rPr>
              <w:t>5</w:t>
            </w:r>
            <w:r w:rsidRPr="007C7963">
              <w:rPr>
                <w:rFonts w:cs="Arial"/>
                <w:color w:val="000000"/>
                <w:sz w:val="20"/>
                <w:szCs w:val="20"/>
              </w:rPr>
              <w:t xml:space="preserve"> [38.3</w:t>
            </w:r>
            <w:r w:rsidR="00E5086D">
              <w:rPr>
                <w:rFonts w:cs="Arial"/>
                <w:color w:val="000000"/>
                <w:sz w:val="20"/>
                <w:szCs w:val="20"/>
              </w:rPr>
              <w:t>1</w:t>
            </w:r>
            <w:r w:rsidRPr="007C7963">
              <w:rPr>
                <w:rFonts w:cs="Arial"/>
                <w:color w:val="000000"/>
                <w:sz w:val="20"/>
                <w:szCs w:val="20"/>
              </w:rPr>
              <w:t>, 3</w:t>
            </w:r>
            <w:r w:rsidR="00E5086D">
              <w:rPr>
                <w:rFonts w:cs="Arial"/>
                <w:color w:val="000000"/>
                <w:sz w:val="20"/>
                <w:szCs w:val="20"/>
              </w:rPr>
              <w:t>9</w:t>
            </w:r>
            <w:r w:rsidRPr="007C7963">
              <w:rPr>
                <w:rFonts w:cs="Arial"/>
                <w:color w:val="000000"/>
                <w:sz w:val="20"/>
                <w:szCs w:val="20"/>
              </w:rPr>
              <w:t>.</w:t>
            </w:r>
            <w:r w:rsidR="00E5086D">
              <w:rPr>
                <w:rFonts w:cs="Arial"/>
                <w:color w:val="000000"/>
                <w:sz w:val="20"/>
                <w:szCs w:val="20"/>
              </w:rPr>
              <w:t>27</w:t>
            </w:r>
            <w:r w:rsidRPr="007C7963">
              <w:rPr>
                <w:rFonts w:cs="Arial"/>
                <w:color w:val="000000"/>
                <w:sz w:val="20"/>
                <w:szCs w:val="20"/>
              </w:rPr>
              <w:t>]</w:t>
            </w:r>
          </w:p>
        </w:tc>
        <w:tc>
          <w:tcPr>
            <w:tcW w:w="735" w:type="dxa"/>
            <w:tcBorders>
              <w:top w:val="single" w:sz="8" w:space="0" w:color="000000"/>
            </w:tcBorders>
            <w:shd w:val="clear" w:color="auto" w:fill="auto"/>
            <w:tcMar>
              <w:top w:w="0" w:type="dxa"/>
              <w:left w:w="0" w:type="dxa"/>
              <w:bottom w:w="0" w:type="dxa"/>
              <w:right w:w="0" w:type="dxa"/>
            </w:tcMar>
            <w:vAlign w:val="center"/>
          </w:tcPr>
          <w:p w14:paraId="053E9462" w14:textId="5464BFE2"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0.</w:t>
            </w:r>
            <w:r w:rsidR="00E5086D">
              <w:rPr>
                <w:rFonts w:cs="Arial"/>
                <w:color w:val="000000"/>
                <w:sz w:val="20"/>
                <w:szCs w:val="20"/>
              </w:rPr>
              <w:t>888</w:t>
            </w:r>
          </w:p>
        </w:tc>
      </w:tr>
      <w:tr w:rsidR="007C7963" w:rsidRPr="007C7963" w14:paraId="7116F3EC"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43173881" w14:textId="5AC62E4D" w:rsidR="007C7963" w:rsidRPr="00707A04" w:rsidRDefault="007C7963" w:rsidP="007C7963">
            <w:pPr>
              <w:spacing w:before="40" w:after="40"/>
              <w:ind w:left="40" w:right="40"/>
              <w:jc w:val="right"/>
              <w:rPr>
                <w:rFonts w:cstheme="minorHAnsi"/>
                <w:color w:val="000000"/>
                <w:sz w:val="20"/>
                <w:szCs w:val="20"/>
              </w:rPr>
            </w:pPr>
            <w:proofErr w:type="spellStart"/>
            <w:r w:rsidRPr="00707A04">
              <w:rPr>
                <w:rFonts w:cstheme="minorHAnsi"/>
                <w:color w:val="000000"/>
                <w:sz w:val="20"/>
                <w:szCs w:val="20"/>
              </w:rPr>
              <w:t>Pulse</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median</w:t>
            </w:r>
            <w:proofErr w:type="spellEnd"/>
            <w:r w:rsidRPr="00707A04">
              <w:rPr>
                <w:rFonts w:cstheme="minorHAnsi"/>
                <w:color w:val="000000"/>
                <w:sz w:val="20"/>
                <w:szCs w:val="20"/>
              </w:rPr>
              <w:t xml:space="preserve"> [IQR]</w:t>
            </w:r>
          </w:p>
        </w:tc>
        <w:tc>
          <w:tcPr>
            <w:tcW w:w="1984" w:type="dxa"/>
            <w:shd w:val="clear" w:color="auto" w:fill="auto"/>
            <w:tcMar>
              <w:top w:w="0" w:type="dxa"/>
              <w:left w:w="0" w:type="dxa"/>
              <w:bottom w:w="0" w:type="dxa"/>
              <w:right w:w="0" w:type="dxa"/>
            </w:tcMar>
            <w:vAlign w:val="center"/>
          </w:tcPr>
          <w:p w14:paraId="6CDF73E5" w14:textId="77777777" w:rsidR="007C7963" w:rsidRPr="007C7963" w:rsidRDefault="007C7963" w:rsidP="007C7963">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536DF986" w14:textId="5195F4B9"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w:t>
            </w:r>
            <w:r>
              <w:rPr>
                <w:rFonts w:cs="Arial"/>
                <w:color w:val="000000"/>
                <w:sz w:val="20"/>
                <w:szCs w:val="20"/>
              </w:rPr>
              <w:t>106</w:t>
            </w:r>
            <w:r w:rsidRPr="007C7963">
              <w:rPr>
                <w:rFonts w:cs="Arial"/>
                <w:color w:val="000000"/>
                <w:sz w:val="20"/>
                <w:szCs w:val="20"/>
              </w:rPr>
              <w:t xml:space="preserve"> [92</w:t>
            </w:r>
            <w:r>
              <w:rPr>
                <w:rFonts w:cs="Arial"/>
                <w:color w:val="000000"/>
                <w:sz w:val="20"/>
                <w:szCs w:val="20"/>
              </w:rPr>
              <w:t>, 116</w:t>
            </w:r>
            <w:r w:rsidRPr="007C7963">
              <w:rPr>
                <w:rFonts w:cs="Arial"/>
                <w:color w:val="000000"/>
                <w:sz w:val="20"/>
                <w:szCs w:val="20"/>
              </w:rPr>
              <w:t>]</w:t>
            </w:r>
          </w:p>
        </w:tc>
        <w:tc>
          <w:tcPr>
            <w:tcW w:w="2268" w:type="dxa"/>
            <w:shd w:val="clear" w:color="auto" w:fill="auto"/>
            <w:tcMar>
              <w:top w:w="0" w:type="dxa"/>
              <w:left w:w="0" w:type="dxa"/>
              <w:bottom w:w="0" w:type="dxa"/>
              <w:right w:w="0" w:type="dxa"/>
            </w:tcMar>
            <w:vAlign w:val="center"/>
          </w:tcPr>
          <w:p w14:paraId="3D0A61B9" w14:textId="1D6C3CF2"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10</w:t>
            </w:r>
            <w:r w:rsidR="00E5086D">
              <w:rPr>
                <w:rFonts w:cs="Arial"/>
                <w:color w:val="000000"/>
                <w:sz w:val="20"/>
                <w:szCs w:val="20"/>
              </w:rPr>
              <w:t>6</w:t>
            </w:r>
            <w:r w:rsidRPr="007C7963">
              <w:rPr>
                <w:rFonts w:cs="Arial"/>
                <w:color w:val="000000"/>
                <w:sz w:val="20"/>
                <w:szCs w:val="20"/>
              </w:rPr>
              <w:t xml:space="preserve"> [9</w:t>
            </w:r>
            <w:r w:rsidR="00E5086D">
              <w:rPr>
                <w:rFonts w:cs="Arial"/>
                <w:color w:val="000000"/>
                <w:sz w:val="20"/>
                <w:szCs w:val="20"/>
              </w:rPr>
              <w:t>6</w:t>
            </w:r>
            <w:r w:rsidRPr="007C7963">
              <w:rPr>
                <w:rFonts w:cs="Arial"/>
                <w:color w:val="000000"/>
                <w:sz w:val="20"/>
                <w:szCs w:val="20"/>
              </w:rPr>
              <w:t>, 110]</w:t>
            </w:r>
          </w:p>
        </w:tc>
        <w:tc>
          <w:tcPr>
            <w:tcW w:w="735" w:type="dxa"/>
            <w:shd w:val="clear" w:color="auto" w:fill="auto"/>
            <w:tcMar>
              <w:top w:w="0" w:type="dxa"/>
              <w:left w:w="0" w:type="dxa"/>
              <w:bottom w:w="0" w:type="dxa"/>
              <w:right w:w="0" w:type="dxa"/>
            </w:tcMar>
            <w:vAlign w:val="center"/>
          </w:tcPr>
          <w:p w14:paraId="5253BA17" w14:textId="6C71661E"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0.</w:t>
            </w:r>
            <w:r w:rsidR="00E5086D">
              <w:rPr>
                <w:rFonts w:cs="Arial"/>
                <w:color w:val="000000"/>
                <w:sz w:val="20"/>
                <w:szCs w:val="20"/>
              </w:rPr>
              <w:t>909</w:t>
            </w:r>
          </w:p>
        </w:tc>
      </w:tr>
      <w:tr w:rsidR="007C7963" w:rsidRPr="007C7963" w14:paraId="5CF24ED0"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5223B935" w14:textId="3338A536" w:rsidR="007C7963" w:rsidRPr="00707A04" w:rsidRDefault="007C7963" w:rsidP="007C7963">
            <w:pPr>
              <w:spacing w:before="40" w:after="40"/>
              <w:ind w:left="40" w:right="40"/>
              <w:jc w:val="right"/>
              <w:rPr>
                <w:rFonts w:cstheme="minorHAnsi"/>
                <w:color w:val="000000"/>
                <w:sz w:val="20"/>
                <w:szCs w:val="20"/>
                <w:lang w:val="en-US"/>
              </w:rPr>
            </w:pPr>
            <w:r w:rsidRPr="00707A04">
              <w:rPr>
                <w:rFonts w:cstheme="minorHAnsi"/>
                <w:color w:val="000000"/>
                <w:sz w:val="20"/>
                <w:szCs w:val="20"/>
                <w:lang w:val="en-US"/>
              </w:rPr>
              <w:t>Systolic blood pressure, median [IQR]</w:t>
            </w:r>
          </w:p>
        </w:tc>
        <w:tc>
          <w:tcPr>
            <w:tcW w:w="1984" w:type="dxa"/>
            <w:shd w:val="clear" w:color="auto" w:fill="auto"/>
            <w:tcMar>
              <w:top w:w="0" w:type="dxa"/>
              <w:left w:w="0" w:type="dxa"/>
              <w:bottom w:w="0" w:type="dxa"/>
              <w:right w:w="0" w:type="dxa"/>
            </w:tcMar>
            <w:vAlign w:val="center"/>
          </w:tcPr>
          <w:p w14:paraId="3F85033E" w14:textId="77777777" w:rsidR="007C7963" w:rsidRPr="007C7963" w:rsidRDefault="007C7963" w:rsidP="007C7963">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6CDA306C" w14:textId="53B05ECB"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lang w:val="en-US"/>
              </w:rPr>
              <w:t xml:space="preserve">   </w:t>
            </w:r>
            <w:r>
              <w:rPr>
                <w:rFonts w:cs="Arial"/>
                <w:color w:val="000000"/>
                <w:sz w:val="20"/>
                <w:szCs w:val="20"/>
              </w:rPr>
              <w:t>109</w:t>
            </w:r>
            <w:r w:rsidRPr="007C7963">
              <w:rPr>
                <w:rFonts w:cs="Arial"/>
                <w:color w:val="000000"/>
                <w:sz w:val="20"/>
                <w:szCs w:val="20"/>
              </w:rPr>
              <w:t xml:space="preserve"> [100, 120]</w:t>
            </w:r>
          </w:p>
        </w:tc>
        <w:tc>
          <w:tcPr>
            <w:tcW w:w="2268" w:type="dxa"/>
            <w:shd w:val="clear" w:color="auto" w:fill="auto"/>
            <w:tcMar>
              <w:top w:w="0" w:type="dxa"/>
              <w:left w:w="0" w:type="dxa"/>
              <w:bottom w:w="0" w:type="dxa"/>
              <w:right w:w="0" w:type="dxa"/>
            </w:tcMar>
            <w:vAlign w:val="center"/>
          </w:tcPr>
          <w:p w14:paraId="09808358" w14:textId="328B89FF"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11</w:t>
            </w:r>
            <w:r w:rsidR="00E5086D">
              <w:rPr>
                <w:rFonts w:cs="Arial"/>
                <w:color w:val="000000"/>
                <w:sz w:val="20"/>
                <w:szCs w:val="20"/>
              </w:rPr>
              <w:t>3</w:t>
            </w:r>
            <w:r w:rsidRPr="007C7963">
              <w:rPr>
                <w:rFonts w:cs="Arial"/>
                <w:color w:val="000000"/>
                <w:sz w:val="20"/>
                <w:szCs w:val="20"/>
              </w:rPr>
              <w:t xml:space="preserve"> [10</w:t>
            </w:r>
            <w:r w:rsidR="00E5086D">
              <w:rPr>
                <w:rFonts w:cs="Arial"/>
                <w:color w:val="000000"/>
                <w:sz w:val="20"/>
                <w:szCs w:val="20"/>
              </w:rPr>
              <w:t>1</w:t>
            </w:r>
            <w:r w:rsidRPr="007C7963">
              <w:rPr>
                <w:rFonts w:cs="Arial"/>
                <w:color w:val="000000"/>
                <w:sz w:val="20"/>
                <w:szCs w:val="20"/>
              </w:rPr>
              <w:t>, 120]</w:t>
            </w:r>
          </w:p>
        </w:tc>
        <w:tc>
          <w:tcPr>
            <w:tcW w:w="735" w:type="dxa"/>
            <w:shd w:val="clear" w:color="auto" w:fill="auto"/>
            <w:tcMar>
              <w:top w:w="0" w:type="dxa"/>
              <w:left w:w="0" w:type="dxa"/>
              <w:bottom w:w="0" w:type="dxa"/>
              <w:right w:w="0" w:type="dxa"/>
            </w:tcMar>
            <w:vAlign w:val="center"/>
          </w:tcPr>
          <w:p w14:paraId="223B6DDC" w14:textId="7A1EADBE"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0.47</w:t>
            </w:r>
            <w:r w:rsidR="00E5086D">
              <w:rPr>
                <w:rFonts w:cs="Arial"/>
                <w:color w:val="000000"/>
                <w:sz w:val="20"/>
                <w:szCs w:val="20"/>
              </w:rPr>
              <w:t>8</w:t>
            </w:r>
          </w:p>
        </w:tc>
      </w:tr>
      <w:tr w:rsidR="007C7963" w:rsidRPr="007C7963" w14:paraId="6D356FCB"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226F5BB0" w14:textId="6BC881EF" w:rsidR="007C7963" w:rsidRPr="00707A04" w:rsidRDefault="007C7963" w:rsidP="007C7963">
            <w:pPr>
              <w:spacing w:before="40" w:after="40"/>
              <w:ind w:left="40" w:right="40"/>
              <w:jc w:val="right"/>
              <w:rPr>
                <w:rFonts w:cstheme="minorHAnsi"/>
                <w:color w:val="000000"/>
                <w:sz w:val="20"/>
                <w:szCs w:val="20"/>
                <w:lang w:val="en-US"/>
              </w:rPr>
            </w:pPr>
            <w:proofErr w:type="spellStart"/>
            <w:r w:rsidRPr="00707A04">
              <w:rPr>
                <w:rFonts w:cstheme="minorHAnsi"/>
                <w:color w:val="000000"/>
                <w:sz w:val="20"/>
                <w:szCs w:val="20"/>
              </w:rPr>
              <w:t>Respiratory</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rate</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median</w:t>
            </w:r>
            <w:proofErr w:type="spellEnd"/>
            <w:r w:rsidRPr="00707A04">
              <w:rPr>
                <w:rFonts w:cstheme="minorHAnsi"/>
                <w:color w:val="000000"/>
                <w:sz w:val="20"/>
                <w:szCs w:val="20"/>
              </w:rPr>
              <w:t xml:space="preserve"> [IQR]</w:t>
            </w:r>
          </w:p>
        </w:tc>
        <w:tc>
          <w:tcPr>
            <w:tcW w:w="1984" w:type="dxa"/>
            <w:shd w:val="clear" w:color="auto" w:fill="auto"/>
            <w:tcMar>
              <w:top w:w="0" w:type="dxa"/>
              <w:left w:w="0" w:type="dxa"/>
              <w:bottom w:w="0" w:type="dxa"/>
              <w:right w:w="0" w:type="dxa"/>
            </w:tcMar>
            <w:vAlign w:val="center"/>
          </w:tcPr>
          <w:p w14:paraId="251D2D81" w14:textId="77777777" w:rsidR="007C7963" w:rsidRPr="007C7963" w:rsidRDefault="007C7963" w:rsidP="007C7963">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6B677B09" w14:textId="53AC5EEE" w:rsidR="007C7963" w:rsidRPr="007C7963" w:rsidRDefault="007C7963" w:rsidP="007C7963">
            <w:pPr>
              <w:spacing w:before="40" w:after="40"/>
              <w:ind w:left="40" w:right="40"/>
              <w:jc w:val="right"/>
              <w:rPr>
                <w:rFonts w:cstheme="minorHAnsi"/>
                <w:sz w:val="20"/>
                <w:szCs w:val="20"/>
                <w:lang w:val="en-US"/>
              </w:rPr>
            </w:pPr>
            <w:r>
              <w:rPr>
                <w:rFonts w:cs="Arial"/>
                <w:color w:val="000000"/>
                <w:sz w:val="20"/>
                <w:szCs w:val="20"/>
              </w:rPr>
              <w:t xml:space="preserve">    24</w:t>
            </w:r>
            <w:r w:rsidRPr="007C7963">
              <w:rPr>
                <w:rFonts w:cs="Arial"/>
                <w:color w:val="000000"/>
                <w:sz w:val="20"/>
                <w:szCs w:val="20"/>
              </w:rPr>
              <w:t xml:space="preserve"> [20, 36]</w:t>
            </w:r>
          </w:p>
        </w:tc>
        <w:tc>
          <w:tcPr>
            <w:tcW w:w="2268" w:type="dxa"/>
            <w:shd w:val="clear" w:color="auto" w:fill="auto"/>
            <w:tcMar>
              <w:top w:w="0" w:type="dxa"/>
              <w:left w:w="0" w:type="dxa"/>
              <w:bottom w:w="0" w:type="dxa"/>
              <w:right w:w="0" w:type="dxa"/>
            </w:tcMar>
            <w:vAlign w:val="center"/>
          </w:tcPr>
          <w:p w14:paraId="7BE80BEA" w14:textId="32AC4984"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2</w:t>
            </w:r>
            <w:r w:rsidR="00E5086D">
              <w:rPr>
                <w:rFonts w:cs="Arial"/>
                <w:color w:val="000000"/>
                <w:sz w:val="20"/>
                <w:szCs w:val="20"/>
              </w:rPr>
              <w:t>4</w:t>
            </w:r>
            <w:r w:rsidRPr="007C7963">
              <w:rPr>
                <w:rFonts w:cs="Arial"/>
                <w:color w:val="000000"/>
                <w:sz w:val="20"/>
                <w:szCs w:val="20"/>
              </w:rPr>
              <w:t xml:space="preserve"> [2</w:t>
            </w:r>
            <w:r w:rsidR="00E5086D">
              <w:rPr>
                <w:rFonts w:cs="Arial"/>
                <w:color w:val="000000"/>
                <w:sz w:val="20"/>
                <w:szCs w:val="20"/>
              </w:rPr>
              <w:t>1</w:t>
            </w:r>
            <w:r w:rsidRPr="007C7963">
              <w:rPr>
                <w:rFonts w:cs="Arial"/>
                <w:color w:val="000000"/>
                <w:sz w:val="20"/>
                <w:szCs w:val="20"/>
              </w:rPr>
              <w:t>, 32]</w:t>
            </w:r>
          </w:p>
        </w:tc>
        <w:tc>
          <w:tcPr>
            <w:tcW w:w="735" w:type="dxa"/>
            <w:shd w:val="clear" w:color="auto" w:fill="auto"/>
            <w:tcMar>
              <w:top w:w="0" w:type="dxa"/>
              <w:left w:w="0" w:type="dxa"/>
              <w:bottom w:w="0" w:type="dxa"/>
              <w:right w:w="0" w:type="dxa"/>
            </w:tcMar>
            <w:vAlign w:val="center"/>
          </w:tcPr>
          <w:p w14:paraId="101E15C2" w14:textId="395B3050"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0.</w:t>
            </w:r>
            <w:r w:rsidR="00E5086D">
              <w:rPr>
                <w:rFonts w:cs="Arial"/>
                <w:color w:val="000000"/>
                <w:sz w:val="20"/>
                <w:szCs w:val="20"/>
              </w:rPr>
              <w:t>713</w:t>
            </w:r>
          </w:p>
        </w:tc>
      </w:tr>
      <w:tr w:rsidR="009E1082" w:rsidRPr="007C7963" w14:paraId="3CF05213"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46A87A72" w14:textId="06A1B685" w:rsidR="009E1082" w:rsidRPr="00707A04" w:rsidRDefault="009E1082" w:rsidP="009E1082">
            <w:pPr>
              <w:spacing w:before="40" w:after="40"/>
              <w:ind w:left="40" w:right="40"/>
              <w:jc w:val="right"/>
              <w:rPr>
                <w:rFonts w:cstheme="minorHAnsi"/>
                <w:color w:val="000000"/>
                <w:sz w:val="20"/>
                <w:szCs w:val="20"/>
                <w:lang w:val="en-US"/>
              </w:rPr>
            </w:pPr>
            <w:r w:rsidRPr="00707A04">
              <w:rPr>
                <w:rFonts w:cstheme="minorHAnsi"/>
                <w:color w:val="000000"/>
                <w:sz w:val="20"/>
                <w:szCs w:val="20"/>
                <w:lang w:val="en-US"/>
              </w:rPr>
              <w:t>Glasgow Coma Scale, median (IQR)</w:t>
            </w:r>
          </w:p>
        </w:tc>
        <w:tc>
          <w:tcPr>
            <w:tcW w:w="1984" w:type="dxa"/>
            <w:shd w:val="clear" w:color="auto" w:fill="auto"/>
            <w:tcMar>
              <w:top w:w="0" w:type="dxa"/>
              <w:left w:w="0" w:type="dxa"/>
              <w:bottom w:w="0" w:type="dxa"/>
              <w:right w:w="0" w:type="dxa"/>
            </w:tcMar>
            <w:vAlign w:val="center"/>
          </w:tcPr>
          <w:p w14:paraId="486E4081" w14:textId="77777777" w:rsidR="009E1082" w:rsidRPr="007C7963" w:rsidRDefault="009E1082" w:rsidP="009E1082">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48AD6D94" w14:textId="61748FB8" w:rsidR="009E1082" w:rsidRPr="007C7963" w:rsidRDefault="009E1082" w:rsidP="007C7963">
            <w:pPr>
              <w:spacing w:before="40" w:after="40"/>
              <w:ind w:left="40" w:right="40"/>
              <w:jc w:val="right"/>
              <w:rPr>
                <w:rFonts w:cstheme="minorHAnsi"/>
                <w:sz w:val="20"/>
                <w:szCs w:val="20"/>
              </w:rPr>
            </w:pPr>
            <w:r w:rsidRPr="007C7963">
              <w:rPr>
                <w:rFonts w:cstheme="minorHAnsi"/>
                <w:color w:val="000000"/>
                <w:sz w:val="20"/>
                <w:szCs w:val="20"/>
                <w:lang w:val="en-US"/>
              </w:rPr>
              <w:t xml:space="preserve">    </w:t>
            </w:r>
            <w:r w:rsidRPr="007C7963">
              <w:rPr>
                <w:rFonts w:cstheme="minorHAnsi"/>
                <w:color w:val="000000"/>
                <w:sz w:val="20"/>
                <w:szCs w:val="20"/>
              </w:rPr>
              <w:t>15 [1</w:t>
            </w:r>
            <w:r w:rsidR="007C7963" w:rsidRPr="007C7963">
              <w:rPr>
                <w:rFonts w:cstheme="minorHAnsi"/>
                <w:color w:val="000000"/>
                <w:sz w:val="20"/>
                <w:szCs w:val="20"/>
              </w:rPr>
              <w:t>5</w:t>
            </w:r>
            <w:r w:rsidRPr="007C7963">
              <w:rPr>
                <w:rFonts w:cstheme="minorHAnsi"/>
                <w:color w:val="000000"/>
                <w:sz w:val="20"/>
                <w:szCs w:val="20"/>
              </w:rPr>
              <w:t>, 15]</w:t>
            </w:r>
          </w:p>
        </w:tc>
        <w:tc>
          <w:tcPr>
            <w:tcW w:w="2268" w:type="dxa"/>
            <w:shd w:val="clear" w:color="auto" w:fill="auto"/>
            <w:tcMar>
              <w:top w:w="0" w:type="dxa"/>
              <w:left w:w="0" w:type="dxa"/>
              <w:bottom w:w="0" w:type="dxa"/>
              <w:right w:w="0" w:type="dxa"/>
            </w:tcMar>
            <w:vAlign w:val="center"/>
          </w:tcPr>
          <w:p w14:paraId="4051A301" w14:textId="624CB68C" w:rsidR="009E1082" w:rsidRPr="007C7963" w:rsidRDefault="009E1082" w:rsidP="007C7963">
            <w:pPr>
              <w:spacing w:before="40" w:after="40"/>
              <w:ind w:left="40" w:right="40"/>
              <w:jc w:val="right"/>
              <w:rPr>
                <w:rFonts w:cstheme="minorHAnsi"/>
                <w:sz w:val="20"/>
                <w:szCs w:val="20"/>
              </w:rPr>
            </w:pPr>
            <w:r w:rsidRPr="007C7963">
              <w:rPr>
                <w:rFonts w:cstheme="minorHAnsi"/>
                <w:color w:val="000000"/>
                <w:sz w:val="20"/>
                <w:szCs w:val="20"/>
                <w:lang w:val="en-US"/>
              </w:rPr>
              <w:t xml:space="preserve">    </w:t>
            </w:r>
            <w:r w:rsidRPr="007C7963">
              <w:rPr>
                <w:rFonts w:cstheme="minorHAnsi"/>
                <w:color w:val="000000"/>
                <w:sz w:val="20"/>
                <w:szCs w:val="20"/>
              </w:rPr>
              <w:t>15 [1</w:t>
            </w:r>
            <w:r w:rsidR="007C7963" w:rsidRPr="007C7963">
              <w:rPr>
                <w:rFonts w:cstheme="minorHAnsi"/>
                <w:color w:val="000000"/>
                <w:sz w:val="20"/>
                <w:szCs w:val="20"/>
              </w:rPr>
              <w:t>5</w:t>
            </w:r>
            <w:r w:rsidRPr="007C7963">
              <w:rPr>
                <w:rFonts w:cstheme="minorHAnsi"/>
                <w:color w:val="000000"/>
                <w:sz w:val="20"/>
                <w:szCs w:val="20"/>
              </w:rPr>
              <w:t>, 15]</w:t>
            </w:r>
          </w:p>
        </w:tc>
        <w:tc>
          <w:tcPr>
            <w:tcW w:w="735" w:type="dxa"/>
            <w:shd w:val="clear" w:color="auto" w:fill="auto"/>
            <w:tcMar>
              <w:top w:w="0" w:type="dxa"/>
              <w:left w:w="0" w:type="dxa"/>
              <w:bottom w:w="0" w:type="dxa"/>
              <w:right w:w="0" w:type="dxa"/>
            </w:tcMar>
            <w:vAlign w:val="center"/>
          </w:tcPr>
          <w:p w14:paraId="16E727D8" w14:textId="38881E30" w:rsidR="009E1082" w:rsidRPr="007C7963" w:rsidRDefault="009E1082" w:rsidP="007C7963">
            <w:pPr>
              <w:spacing w:before="40" w:after="40"/>
              <w:ind w:left="40" w:right="40"/>
              <w:jc w:val="right"/>
              <w:rPr>
                <w:rFonts w:cstheme="minorHAnsi"/>
                <w:sz w:val="20"/>
                <w:szCs w:val="20"/>
              </w:rPr>
            </w:pPr>
            <w:r w:rsidRPr="007C7963">
              <w:rPr>
                <w:rFonts w:cstheme="minorHAnsi"/>
                <w:color w:val="000000"/>
                <w:sz w:val="20"/>
                <w:szCs w:val="20"/>
              </w:rPr>
              <w:t xml:space="preserve"> 0.</w:t>
            </w:r>
            <w:r w:rsidR="007C7963" w:rsidRPr="007C7963">
              <w:rPr>
                <w:rFonts w:cstheme="minorHAnsi"/>
                <w:color w:val="000000"/>
                <w:sz w:val="20"/>
                <w:szCs w:val="20"/>
              </w:rPr>
              <w:t>2</w:t>
            </w:r>
            <w:r w:rsidR="00E5086D">
              <w:rPr>
                <w:rFonts w:cstheme="minorHAnsi"/>
                <w:color w:val="000000"/>
                <w:sz w:val="20"/>
                <w:szCs w:val="20"/>
              </w:rPr>
              <w:t>58</w:t>
            </w:r>
          </w:p>
        </w:tc>
      </w:tr>
      <w:tr w:rsidR="007C7963" w:rsidRPr="007C7963" w14:paraId="0D4F9853"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54FEC176" w14:textId="62D14DBE" w:rsidR="007C7963" w:rsidRPr="00707A04" w:rsidRDefault="007C7963" w:rsidP="007C7963">
            <w:pPr>
              <w:spacing w:before="40" w:after="40"/>
              <w:ind w:left="40" w:right="40"/>
              <w:jc w:val="right"/>
              <w:rPr>
                <w:rFonts w:cstheme="minorHAnsi"/>
                <w:color w:val="000000"/>
                <w:sz w:val="20"/>
                <w:szCs w:val="20"/>
                <w:lang w:val="en-US"/>
              </w:rPr>
            </w:pPr>
            <w:r w:rsidRPr="00707A04">
              <w:rPr>
                <w:rFonts w:cstheme="minorHAnsi"/>
                <w:sz w:val="20"/>
                <w:szCs w:val="20"/>
                <w:lang w:val="en-US"/>
              </w:rPr>
              <w:t>White blood cell count, median [IQR]</w:t>
            </w:r>
          </w:p>
        </w:tc>
        <w:tc>
          <w:tcPr>
            <w:tcW w:w="1984" w:type="dxa"/>
            <w:shd w:val="clear" w:color="auto" w:fill="auto"/>
            <w:tcMar>
              <w:top w:w="0" w:type="dxa"/>
              <w:left w:w="0" w:type="dxa"/>
              <w:bottom w:w="0" w:type="dxa"/>
              <w:right w:w="0" w:type="dxa"/>
            </w:tcMar>
            <w:vAlign w:val="center"/>
          </w:tcPr>
          <w:p w14:paraId="4C50BBCF" w14:textId="77777777" w:rsidR="007C7963" w:rsidRPr="007C7963" w:rsidRDefault="007C7963" w:rsidP="007C7963">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5041DC46" w14:textId="5ECAC8E5"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lang w:val="en-US"/>
              </w:rPr>
              <w:t xml:space="preserve"> </w:t>
            </w:r>
            <w:r w:rsidRPr="007C7963">
              <w:rPr>
                <w:rFonts w:cs="Arial"/>
                <w:color w:val="000000"/>
                <w:sz w:val="20"/>
                <w:szCs w:val="20"/>
              </w:rPr>
              <w:t>12800 [8200, 16000]</w:t>
            </w:r>
          </w:p>
        </w:tc>
        <w:tc>
          <w:tcPr>
            <w:tcW w:w="2268" w:type="dxa"/>
            <w:shd w:val="clear" w:color="auto" w:fill="auto"/>
            <w:tcMar>
              <w:top w:w="0" w:type="dxa"/>
              <w:left w:w="0" w:type="dxa"/>
              <w:bottom w:w="0" w:type="dxa"/>
              <w:right w:w="0" w:type="dxa"/>
            </w:tcMar>
            <w:vAlign w:val="center"/>
          </w:tcPr>
          <w:p w14:paraId="09AC4EBD" w14:textId="20622139"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w:t>
            </w:r>
            <w:r w:rsidR="00E5086D">
              <w:rPr>
                <w:rFonts w:cs="Arial"/>
                <w:color w:val="000000"/>
                <w:sz w:val="20"/>
                <w:szCs w:val="20"/>
              </w:rPr>
              <w:t>5850</w:t>
            </w:r>
            <w:r w:rsidRPr="007C7963">
              <w:rPr>
                <w:rFonts w:cs="Arial"/>
                <w:color w:val="000000"/>
                <w:sz w:val="20"/>
                <w:szCs w:val="20"/>
              </w:rPr>
              <w:t xml:space="preserve"> [43</w:t>
            </w:r>
            <w:r w:rsidR="00E5086D">
              <w:rPr>
                <w:rFonts w:cs="Arial"/>
                <w:color w:val="000000"/>
                <w:sz w:val="20"/>
                <w:szCs w:val="20"/>
              </w:rPr>
              <w:t>00</w:t>
            </w:r>
            <w:r w:rsidRPr="007C7963">
              <w:rPr>
                <w:rFonts w:cs="Arial"/>
                <w:color w:val="000000"/>
                <w:sz w:val="20"/>
                <w:szCs w:val="20"/>
              </w:rPr>
              <w:t xml:space="preserve">, </w:t>
            </w:r>
            <w:r w:rsidR="00E5086D">
              <w:rPr>
                <w:rFonts w:cs="Arial"/>
                <w:color w:val="000000"/>
                <w:sz w:val="20"/>
                <w:szCs w:val="20"/>
              </w:rPr>
              <w:t>9825</w:t>
            </w:r>
            <w:r w:rsidRPr="007C7963">
              <w:rPr>
                <w:rFonts w:cs="Arial"/>
                <w:color w:val="000000"/>
                <w:sz w:val="20"/>
                <w:szCs w:val="20"/>
              </w:rPr>
              <w:t>]</w:t>
            </w:r>
          </w:p>
        </w:tc>
        <w:tc>
          <w:tcPr>
            <w:tcW w:w="735" w:type="dxa"/>
            <w:shd w:val="clear" w:color="auto" w:fill="auto"/>
            <w:tcMar>
              <w:top w:w="0" w:type="dxa"/>
              <w:left w:w="0" w:type="dxa"/>
              <w:bottom w:w="0" w:type="dxa"/>
              <w:right w:w="0" w:type="dxa"/>
            </w:tcMar>
            <w:vAlign w:val="center"/>
          </w:tcPr>
          <w:p w14:paraId="32554BF4" w14:textId="199032EB"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0.00</w:t>
            </w:r>
            <w:r w:rsidR="00E5086D">
              <w:rPr>
                <w:rFonts w:cs="Arial"/>
                <w:color w:val="000000"/>
                <w:sz w:val="20"/>
                <w:szCs w:val="20"/>
              </w:rPr>
              <w:t>2</w:t>
            </w:r>
          </w:p>
        </w:tc>
      </w:tr>
      <w:tr w:rsidR="007C7963" w:rsidRPr="007C7963" w14:paraId="1C9D95CA"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52405A1B" w14:textId="3B38C1C8" w:rsidR="007C7963" w:rsidRPr="00707A04" w:rsidRDefault="007C7963" w:rsidP="007C7963">
            <w:pPr>
              <w:spacing w:before="40" w:after="40"/>
              <w:ind w:left="40" w:right="40"/>
              <w:jc w:val="right"/>
              <w:rPr>
                <w:rFonts w:cstheme="minorHAnsi"/>
                <w:b/>
                <w:bCs/>
                <w:color w:val="000000"/>
                <w:sz w:val="20"/>
                <w:szCs w:val="20"/>
                <w:lang w:val="en-US"/>
              </w:rPr>
            </w:pPr>
            <w:proofErr w:type="spellStart"/>
            <w:r w:rsidRPr="00707A04">
              <w:rPr>
                <w:rFonts w:cstheme="minorHAnsi"/>
                <w:color w:val="000000"/>
                <w:sz w:val="20"/>
                <w:szCs w:val="20"/>
              </w:rPr>
              <w:t>Haemoglobin</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median</w:t>
            </w:r>
            <w:proofErr w:type="spellEnd"/>
            <w:r w:rsidRPr="00707A04">
              <w:rPr>
                <w:rFonts w:cstheme="minorHAnsi"/>
                <w:color w:val="000000"/>
                <w:sz w:val="20"/>
                <w:szCs w:val="20"/>
              </w:rPr>
              <w:t xml:space="preserve"> [IQR]</w:t>
            </w:r>
          </w:p>
        </w:tc>
        <w:tc>
          <w:tcPr>
            <w:tcW w:w="1984" w:type="dxa"/>
            <w:shd w:val="clear" w:color="auto" w:fill="auto"/>
            <w:tcMar>
              <w:top w:w="0" w:type="dxa"/>
              <w:left w:w="0" w:type="dxa"/>
              <w:bottom w:w="0" w:type="dxa"/>
              <w:right w:w="0" w:type="dxa"/>
            </w:tcMar>
            <w:vAlign w:val="center"/>
          </w:tcPr>
          <w:p w14:paraId="09CD9315" w14:textId="77777777" w:rsidR="007C7963" w:rsidRPr="007C7963" w:rsidRDefault="007C7963" w:rsidP="007C7963">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vAlign w:val="center"/>
          </w:tcPr>
          <w:p w14:paraId="2E9034DE" w14:textId="474DF6B6"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11.60 [10.75, 13.25]</w:t>
            </w:r>
          </w:p>
        </w:tc>
        <w:tc>
          <w:tcPr>
            <w:tcW w:w="2268" w:type="dxa"/>
            <w:shd w:val="clear" w:color="auto" w:fill="auto"/>
            <w:tcMar>
              <w:top w:w="0" w:type="dxa"/>
              <w:left w:w="0" w:type="dxa"/>
              <w:bottom w:w="0" w:type="dxa"/>
              <w:right w:w="0" w:type="dxa"/>
            </w:tcMar>
            <w:vAlign w:val="center"/>
          </w:tcPr>
          <w:p w14:paraId="6D48F0E0" w14:textId="4A40DCEB"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12.</w:t>
            </w:r>
            <w:r w:rsidR="00E5086D">
              <w:rPr>
                <w:rFonts w:cs="Arial"/>
                <w:color w:val="000000"/>
                <w:sz w:val="20"/>
                <w:szCs w:val="20"/>
              </w:rPr>
              <w:t>6</w:t>
            </w:r>
            <w:r w:rsidRPr="007C7963">
              <w:rPr>
                <w:rFonts w:cs="Arial"/>
                <w:color w:val="000000"/>
                <w:sz w:val="20"/>
                <w:szCs w:val="20"/>
              </w:rPr>
              <w:t>0 [</w:t>
            </w:r>
            <w:r w:rsidR="00E5086D">
              <w:rPr>
                <w:rFonts w:cs="Arial"/>
                <w:color w:val="000000"/>
                <w:sz w:val="20"/>
                <w:szCs w:val="20"/>
              </w:rPr>
              <w:t>9.90</w:t>
            </w:r>
            <w:r w:rsidRPr="007C7963">
              <w:rPr>
                <w:rFonts w:cs="Arial"/>
                <w:color w:val="000000"/>
                <w:sz w:val="20"/>
                <w:szCs w:val="20"/>
              </w:rPr>
              <w:t>, 13.</w:t>
            </w:r>
            <w:r w:rsidR="00E5086D">
              <w:rPr>
                <w:rFonts w:cs="Arial"/>
                <w:color w:val="000000"/>
                <w:sz w:val="20"/>
                <w:szCs w:val="20"/>
              </w:rPr>
              <w:t>33</w:t>
            </w:r>
            <w:r w:rsidRPr="007C7963">
              <w:rPr>
                <w:rFonts w:cs="Arial"/>
                <w:color w:val="000000"/>
                <w:sz w:val="20"/>
                <w:szCs w:val="20"/>
              </w:rPr>
              <w:t>]</w:t>
            </w:r>
          </w:p>
        </w:tc>
        <w:tc>
          <w:tcPr>
            <w:tcW w:w="735" w:type="dxa"/>
            <w:shd w:val="clear" w:color="auto" w:fill="auto"/>
            <w:tcMar>
              <w:top w:w="0" w:type="dxa"/>
              <w:left w:w="0" w:type="dxa"/>
              <w:bottom w:w="0" w:type="dxa"/>
              <w:right w:w="0" w:type="dxa"/>
            </w:tcMar>
            <w:vAlign w:val="center"/>
          </w:tcPr>
          <w:p w14:paraId="224DC57A" w14:textId="5A8F9147" w:rsidR="007C7963" w:rsidRPr="007C7963" w:rsidRDefault="007C7963" w:rsidP="007C7963">
            <w:pPr>
              <w:spacing w:before="40" w:after="40"/>
              <w:ind w:left="40" w:right="40"/>
              <w:jc w:val="right"/>
              <w:rPr>
                <w:rFonts w:cstheme="minorHAnsi"/>
                <w:sz w:val="20"/>
                <w:szCs w:val="20"/>
                <w:lang w:val="en-US"/>
              </w:rPr>
            </w:pPr>
            <w:r w:rsidRPr="007C7963">
              <w:rPr>
                <w:rFonts w:cs="Arial"/>
                <w:color w:val="000000"/>
                <w:sz w:val="20"/>
                <w:szCs w:val="20"/>
              </w:rPr>
              <w:t xml:space="preserve"> 0.431</w:t>
            </w:r>
          </w:p>
        </w:tc>
      </w:tr>
      <w:tr w:rsidR="007C7963" w:rsidRPr="007C7963" w14:paraId="6FE1A1E2"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12A8BCFE" w14:textId="20AA3C11" w:rsidR="007C7963" w:rsidRPr="00707A04" w:rsidRDefault="007C7963" w:rsidP="007C7963">
            <w:pPr>
              <w:spacing w:before="40" w:after="40"/>
              <w:ind w:left="40" w:right="40"/>
              <w:jc w:val="right"/>
              <w:rPr>
                <w:rFonts w:cstheme="minorHAnsi"/>
                <w:sz w:val="20"/>
                <w:szCs w:val="20"/>
                <w:lang w:val="en-US"/>
              </w:rPr>
            </w:pPr>
            <w:proofErr w:type="spellStart"/>
            <w:r w:rsidRPr="00707A04">
              <w:rPr>
                <w:rFonts w:cstheme="minorHAnsi"/>
                <w:color w:val="000000"/>
                <w:sz w:val="20"/>
                <w:szCs w:val="20"/>
              </w:rPr>
              <w:t>Platelets</w:t>
            </w:r>
            <w:proofErr w:type="spellEnd"/>
            <w:r w:rsidRPr="00707A04">
              <w:rPr>
                <w:rFonts w:cstheme="minorHAnsi"/>
                <w:color w:val="000000"/>
                <w:sz w:val="20"/>
                <w:szCs w:val="20"/>
              </w:rPr>
              <w:t xml:space="preserve">, </w:t>
            </w:r>
            <w:proofErr w:type="spellStart"/>
            <w:r w:rsidRPr="00707A04">
              <w:rPr>
                <w:rFonts w:cstheme="minorHAnsi"/>
                <w:color w:val="000000"/>
                <w:sz w:val="20"/>
                <w:szCs w:val="20"/>
              </w:rPr>
              <w:t>median</w:t>
            </w:r>
            <w:proofErr w:type="spellEnd"/>
            <w:r w:rsidRPr="00707A04">
              <w:rPr>
                <w:rFonts w:cstheme="minorHAnsi"/>
                <w:color w:val="000000"/>
                <w:sz w:val="20"/>
                <w:szCs w:val="20"/>
              </w:rPr>
              <w:t xml:space="preserve"> [IQR]</w:t>
            </w:r>
          </w:p>
        </w:tc>
        <w:tc>
          <w:tcPr>
            <w:tcW w:w="1984" w:type="dxa"/>
            <w:shd w:val="clear" w:color="auto" w:fill="auto"/>
            <w:tcMar>
              <w:top w:w="0" w:type="dxa"/>
              <w:left w:w="0" w:type="dxa"/>
              <w:bottom w:w="0" w:type="dxa"/>
              <w:right w:w="0" w:type="dxa"/>
            </w:tcMar>
            <w:vAlign w:val="center"/>
          </w:tcPr>
          <w:p w14:paraId="6E670854" w14:textId="77777777" w:rsidR="007C7963" w:rsidRPr="007C7963" w:rsidRDefault="007C7963" w:rsidP="007C7963">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01B7773B" w14:textId="5A859C8A"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200000 [170000, 250000]</w:t>
            </w:r>
          </w:p>
        </w:tc>
        <w:tc>
          <w:tcPr>
            <w:tcW w:w="2268" w:type="dxa"/>
            <w:shd w:val="clear" w:color="auto" w:fill="auto"/>
            <w:tcMar>
              <w:top w:w="0" w:type="dxa"/>
              <w:left w:w="0" w:type="dxa"/>
              <w:bottom w:w="0" w:type="dxa"/>
              <w:right w:w="0" w:type="dxa"/>
            </w:tcMar>
            <w:vAlign w:val="center"/>
          </w:tcPr>
          <w:p w14:paraId="7665B785" w14:textId="30498301"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180000 [16</w:t>
            </w:r>
            <w:r w:rsidR="00E5086D">
              <w:rPr>
                <w:rFonts w:cs="Arial"/>
                <w:color w:val="000000"/>
                <w:sz w:val="20"/>
                <w:szCs w:val="20"/>
              </w:rPr>
              <w:t>25</w:t>
            </w:r>
            <w:r w:rsidRPr="007C7963">
              <w:rPr>
                <w:rFonts w:cs="Arial"/>
                <w:color w:val="000000"/>
                <w:sz w:val="20"/>
                <w:szCs w:val="20"/>
              </w:rPr>
              <w:t>00, 230000]</w:t>
            </w:r>
          </w:p>
        </w:tc>
        <w:tc>
          <w:tcPr>
            <w:tcW w:w="735" w:type="dxa"/>
            <w:shd w:val="clear" w:color="auto" w:fill="auto"/>
            <w:tcMar>
              <w:top w:w="0" w:type="dxa"/>
              <w:left w:w="0" w:type="dxa"/>
              <w:bottom w:w="0" w:type="dxa"/>
              <w:right w:w="0" w:type="dxa"/>
            </w:tcMar>
            <w:vAlign w:val="center"/>
          </w:tcPr>
          <w:p w14:paraId="373E6626" w14:textId="3526CF2A"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0.481</w:t>
            </w:r>
          </w:p>
        </w:tc>
      </w:tr>
      <w:tr w:rsidR="009E1082" w:rsidRPr="007C7963" w14:paraId="324D2E77"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2CB0A0E4" w14:textId="1D466C18" w:rsidR="009E1082" w:rsidRPr="009E1082" w:rsidRDefault="009E1082" w:rsidP="009E1082">
            <w:pPr>
              <w:spacing w:before="40" w:after="40"/>
              <w:ind w:left="40" w:right="40"/>
              <w:jc w:val="right"/>
              <w:rPr>
                <w:rFonts w:cstheme="minorHAnsi"/>
                <w:sz w:val="20"/>
                <w:szCs w:val="20"/>
                <w:lang w:val="en-US"/>
              </w:rPr>
            </w:pPr>
            <w:r w:rsidRPr="009E1082">
              <w:rPr>
                <w:rFonts w:cstheme="minorHAnsi"/>
                <w:color w:val="000000"/>
                <w:sz w:val="20"/>
                <w:szCs w:val="20"/>
                <w:lang w:val="en-US"/>
              </w:rPr>
              <w:t>Creatinine</w:t>
            </w:r>
            <w:r>
              <w:rPr>
                <w:rFonts w:cstheme="minorHAnsi"/>
                <w:color w:val="000000"/>
                <w:sz w:val="20"/>
                <w:szCs w:val="20"/>
                <w:lang w:val="en-US"/>
              </w:rPr>
              <w:t xml:space="preserve"> (m</w:t>
            </w:r>
            <w:r w:rsidRPr="009E1082">
              <w:rPr>
                <w:rFonts w:cstheme="minorHAnsi"/>
                <w:color w:val="000000"/>
                <w:sz w:val="20"/>
                <w:szCs w:val="20"/>
                <w:lang w:val="en-US"/>
              </w:rPr>
              <w:t>g/dL), median [IQR]</w:t>
            </w:r>
          </w:p>
        </w:tc>
        <w:tc>
          <w:tcPr>
            <w:tcW w:w="1984" w:type="dxa"/>
            <w:shd w:val="clear" w:color="auto" w:fill="auto"/>
            <w:tcMar>
              <w:top w:w="0" w:type="dxa"/>
              <w:left w:w="0" w:type="dxa"/>
              <w:bottom w:w="0" w:type="dxa"/>
              <w:right w:w="0" w:type="dxa"/>
            </w:tcMar>
            <w:vAlign w:val="center"/>
          </w:tcPr>
          <w:p w14:paraId="0F1909B2" w14:textId="77777777" w:rsidR="009E1082" w:rsidRPr="007C7963" w:rsidRDefault="009E1082" w:rsidP="009E1082">
            <w:pPr>
              <w:spacing w:before="40" w:after="40"/>
              <w:ind w:left="40" w:right="40"/>
              <w:jc w:val="right"/>
              <w:rPr>
                <w:rFonts w:cstheme="minorHAnsi"/>
                <w:sz w:val="20"/>
                <w:szCs w:val="20"/>
                <w:lang w:val="en-US"/>
              </w:rPr>
            </w:pPr>
          </w:p>
        </w:tc>
        <w:tc>
          <w:tcPr>
            <w:tcW w:w="2552" w:type="dxa"/>
            <w:shd w:val="clear" w:color="auto" w:fill="auto"/>
            <w:tcMar>
              <w:top w:w="0" w:type="dxa"/>
              <w:left w:w="0" w:type="dxa"/>
              <w:bottom w:w="0" w:type="dxa"/>
              <w:right w:w="0" w:type="dxa"/>
            </w:tcMar>
          </w:tcPr>
          <w:p w14:paraId="4E95B45A" w14:textId="650F7207" w:rsidR="009E1082" w:rsidRPr="007C7963" w:rsidRDefault="009E1082" w:rsidP="009E1082">
            <w:pPr>
              <w:spacing w:before="40" w:after="40"/>
              <w:ind w:left="40" w:right="40"/>
              <w:jc w:val="right"/>
              <w:rPr>
                <w:rFonts w:cstheme="minorHAnsi"/>
                <w:sz w:val="20"/>
                <w:szCs w:val="20"/>
              </w:rPr>
            </w:pPr>
            <w:r w:rsidRPr="007C7963">
              <w:rPr>
                <w:sz w:val="20"/>
                <w:szCs w:val="20"/>
                <w:lang w:val="en-US"/>
              </w:rPr>
              <w:t xml:space="preserve">     </w:t>
            </w:r>
            <w:r w:rsidRPr="007C7963">
              <w:rPr>
                <w:sz w:val="20"/>
                <w:szCs w:val="20"/>
              </w:rPr>
              <w:t>1.00 [0.80, 1.20]</w:t>
            </w:r>
          </w:p>
        </w:tc>
        <w:tc>
          <w:tcPr>
            <w:tcW w:w="2268" w:type="dxa"/>
            <w:shd w:val="clear" w:color="auto" w:fill="auto"/>
            <w:tcMar>
              <w:top w:w="0" w:type="dxa"/>
              <w:left w:w="0" w:type="dxa"/>
              <w:bottom w:w="0" w:type="dxa"/>
              <w:right w:w="0" w:type="dxa"/>
            </w:tcMar>
          </w:tcPr>
          <w:p w14:paraId="6034AD7F" w14:textId="510349D4" w:rsidR="009E1082" w:rsidRPr="007C7963" w:rsidRDefault="009E1082" w:rsidP="009E1082">
            <w:pPr>
              <w:spacing w:before="40" w:after="40"/>
              <w:ind w:left="40" w:right="40"/>
              <w:jc w:val="right"/>
              <w:rPr>
                <w:rFonts w:cstheme="minorHAnsi"/>
                <w:sz w:val="20"/>
                <w:szCs w:val="20"/>
              </w:rPr>
            </w:pPr>
            <w:r w:rsidRPr="007C7963">
              <w:rPr>
                <w:sz w:val="20"/>
                <w:szCs w:val="20"/>
              </w:rPr>
              <w:t xml:space="preserve">     0.90 [0.90, 1.00]</w:t>
            </w:r>
          </w:p>
        </w:tc>
        <w:tc>
          <w:tcPr>
            <w:tcW w:w="735" w:type="dxa"/>
            <w:shd w:val="clear" w:color="auto" w:fill="auto"/>
            <w:tcMar>
              <w:top w:w="0" w:type="dxa"/>
              <w:left w:w="0" w:type="dxa"/>
              <w:bottom w:w="0" w:type="dxa"/>
              <w:right w:w="0" w:type="dxa"/>
            </w:tcMar>
          </w:tcPr>
          <w:p w14:paraId="5FF0C1F1" w14:textId="1309A251" w:rsidR="009E1082" w:rsidRPr="007C7963" w:rsidRDefault="009E1082" w:rsidP="007C7963">
            <w:pPr>
              <w:spacing w:before="40" w:after="40"/>
              <w:ind w:left="40" w:right="40"/>
              <w:jc w:val="right"/>
              <w:rPr>
                <w:rFonts w:cstheme="minorHAnsi"/>
                <w:sz w:val="20"/>
                <w:szCs w:val="20"/>
              </w:rPr>
            </w:pPr>
            <w:r w:rsidRPr="007C7963">
              <w:rPr>
                <w:sz w:val="20"/>
                <w:szCs w:val="20"/>
              </w:rPr>
              <w:t xml:space="preserve"> 0.2</w:t>
            </w:r>
            <w:r w:rsidR="00A91DCE">
              <w:rPr>
                <w:sz w:val="20"/>
                <w:szCs w:val="20"/>
              </w:rPr>
              <w:t>63</w:t>
            </w:r>
          </w:p>
        </w:tc>
      </w:tr>
      <w:tr w:rsidR="007C7963" w:rsidRPr="007C7963" w14:paraId="248279F6"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02DCC6DA" w14:textId="49E06CBD" w:rsidR="007C7963" w:rsidRPr="00707A04" w:rsidRDefault="007C7963" w:rsidP="007C7963">
            <w:pPr>
              <w:spacing w:before="40" w:after="40"/>
              <w:ind w:left="40" w:right="40"/>
              <w:jc w:val="right"/>
              <w:rPr>
                <w:rFonts w:cstheme="minorHAnsi"/>
                <w:color w:val="000000"/>
                <w:sz w:val="20"/>
                <w:szCs w:val="20"/>
              </w:rPr>
            </w:pPr>
            <w:r w:rsidRPr="00707A04">
              <w:rPr>
                <w:rFonts w:cstheme="minorHAnsi"/>
                <w:bCs/>
                <w:color w:val="000000" w:themeColor="text1"/>
                <w:sz w:val="20"/>
                <w:szCs w:val="20"/>
              </w:rPr>
              <w:t xml:space="preserve">ALT, </w:t>
            </w:r>
            <w:proofErr w:type="spellStart"/>
            <w:r w:rsidRPr="00707A04">
              <w:rPr>
                <w:rFonts w:cstheme="minorHAnsi"/>
                <w:bCs/>
                <w:color w:val="000000" w:themeColor="text1"/>
                <w:sz w:val="20"/>
                <w:szCs w:val="20"/>
              </w:rPr>
              <w:t>median</w:t>
            </w:r>
            <w:proofErr w:type="spellEnd"/>
            <w:r w:rsidRPr="00707A04">
              <w:rPr>
                <w:rFonts w:cstheme="minorHAnsi"/>
                <w:bCs/>
                <w:color w:val="000000" w:themeColor="text1"/>
                <w:sz w:val="20"/>
                <w:szCs w:val="20"/>
              </w:rPr>
              <w:t xml:space="preserve"> [IQR]</w:t>
            </w:r>
          </w:p>
        </w:tc>
        <w:tc>
          <w:tcPr>
            <w:tcW w:w="1984" w:type="dxa"/>
            <w:shd w:val="clear" w:color="auto" w:fill="auto"/>
            <w:tcMar>
              <w:top w:w="0" w:type="dxa"/>
              <w:left w:w="0" w:type="dxa"/>
              <w:bottom w:w="0" w:type="dxa"/>
              <w:right w:w="0" w:type="dxa"/>
            </w:tcMar>
            <w:vAlign w:val="center"/>
          </w:tcPr>
          <w:p w14:paraId="6AC558F5" w14:textId="77777777" w:rsidR="007C7963" w:rsidRPr="007C7963" w:rsidRDefault="007C7963" w:rsidP="007C7963">
            <w:pPr>
              <w:spacing w:before="40" w:after="40"/>
              <w:ind w:left="40" w:right="40"/>
              <w:jc w:val="right"/>
              <w:rPr>
                <w:rFonts w:cstheme="minorHAnsi"/>
                <w:sz w:val="20"/>
                <w:szCs w:val="20"/>
              </w:rPr>
            </w:pPr>
          </w:p>
        </w:tc>
        <w:tc>
          <w:tcPr>
            <w:tcW w:w="2552" w:type="dxa"/>
            <w:shd w:val="clear" w:color="auto" w:fill="auto"/>
            <w:tcMar>
              <w:top w:w="0" w:type="dxa"/>
              <w:left w:w="0" w:type="dxa"/>
              <w:bottom w:w="0" w:type="dxa"/>
              <w:right w:w="0" w:type="dxa"/>
            </w:tcMar>
            <w:vAlign w:val="center"/>
          </w:tcPr>
          <w:p w14:paraId="2FF29EF3" w14:textId="61A8DE42"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27.50 [19.75, 46.50]</w:t>
            </w:r>
          </w:p>
        </w:tc>
        <w:tc>
          <w:tcPr>
            <w:tcW w:w="2268" w:type="dxa"/>
            <w:shd w:val="clear" w:color="auto" w:fill="auto"/>
            <w:tcMar>
              <w:top w:w="0" w:type="dxa"/>
              <w:left w:w="0" w:type="dxa"/>
              <w:bottom w:w="0" w:type="dxa"/>
              <w:right w:w="0" w:type="dxa"/>
            </w:tcMar>
            <w:vAlign w:val="center"/>
          </w:tcPr>
          <w:p w14:paraId="09C8A912" w14:textId="12EA87E3"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 xml:space="preserve">    </w:t>
            </w:r>
            <w:r w:rsidR="00A91DCE">
              <w:rPr>
                <w:rFonts w:cs="Arial"/>
                <w:color w:val="000000"/>
                <w:sz w:val="20"/>
                <w:szCs w:val="20"/>
              </w:rPr>
              <w:t>57.5</w:t>
            </w:r>
            <w:r w:rsidRPr="007C7963">
              <w:rPr>
                <w:rFonts w:cs="Arial"/>
                <w:color w:val="000000"/>
                <w:sz w:val="20"/>
                <w:szCs w:val="20"/>
              </w:rPr>
              <w:t xml:space="preserve"> [3</w:t>
            </w:r>
            <w:r w:rsidR="00A91DCE">
              <w:rPr>
                <w:rFonts w:cs="Arial"/>
                <w:color w:val="000000"/>
                <w:sz w:val="20"/>
                <w:szCs w:val="20"/>
              </w:rPr>
              <w:t>0</w:t>
            </w:r>
            <w:r w:rsidRPr="007C7963">
              <w:rPr>
                <w:rFonts w:cs="Arial"/>
                <w:color w:val="000000"/>
                <w:sz w:val="20"/>
                <w:szCs w:val="20"/>
              </w:rPr>
              <w:t xml:space="preserve">.00, </w:t>
            </w:r>
            <w:r w:rsidR="00A91DCE">
              <w:rPr>
                <w:rFonts w:cs="Arial"/>
                <w:color w:val="000000"/>
                <w:sz w:val="20"/>
                <w:szCs w:val="20"/>
              </w:rPr>
              <w:t>126.25</w:t>
            </w:r>
            <w:r w:rsidRPr="007C7963">
              <w:rPr>
                <w:rFonts w:cs="Arial"/>
                <w:color w:val="000000"/>
                <w:sz w:val="20"/>
                <w:szCs w:val="20"/>
              </w:rPr>
              <w:t>]</w:t>
            </w:r>
          </w:p>
        </w:tc>
        <w:tc>
          <w:tcPr>
            <w:tcW w:w="735" w:type="dxa"/>
            <w:shd w:val="clear" w:color="auto" w:fill="auto"/>
            <w:tcMar>
              <w:top w:w="0" w:type="dxa"/>
              <w:left w:w="0" w:type="dxa"/>
              <w:bottom w:w="0" w:type="dxa"/>
              <w:right w:w="0" w:type="dxa"/>
            </w:tcMar>
            <w:vAlign w:val="center"/>
          </w:tcPr>
          <w:p w14:paraId="720AD461" w14:textId="22C306C8" w:rsidR="007C7963" w:rsidRPr="007C7963" w:rsidRDefault="007C7963" w:rsidP="007C7963">
            <w:pPr>
              <w:spacing w:before="40" w:after="40"/>
              <w:ind w:left="40" w:right="40"/>
              <w:jc w:val="right"/>
              <w:rPr>
                <w:rFonts w:cstheme="minorHAnsi"/>
                <w:sz w:val="20"/>
                <w:szCs w:val="20"/>
              </w:rPr>
            </w:pPr>
            <w:r w:rsidRPr="007C7963">
              <w:rPr>
                <w:rFonts w:cs="Arial"/>
                <w:color w:val="000000"/>
                <w:sz w:val="20"/>
                <w:szCs w:val="20"/>
              </w:rPr>
              <w:t>0.00</w:t>
            </w:r>
            <w:r w:rsidR="00A91DCE">
              <w:rPr>
                <w:rFonts w:cs="Arial"/>
                <w:color w:val="000000"/>
                <w:sz w:val="20"/>
                <w:szCs w:val="20"/>
              </w:rPr>
              <w:t>3</w:t>
            </w:r>
          </w:p>
        </w:tc>
      </w:tr>
      <w:tr w:rsidR="007C7963" w:rsidRPr="007C7963" w14:paraId="446E3541" w14:textId="77777777" w:rsidTr="000A514E">
        <w:trPr>
          <w:cantSplit/>
          <w:trHeight w:val="360"/>
          <w:jc w:val="center"/>
        </w:trPr>
        <w:tc>
          <w:tcPr>
            <w:tcW w:w="3261" w:type="dxa"/>
            <w:shd w:val="clear" w:color="auto" w:fill="auto"/>
            <w:tcMar>
              <w:top w:w="0" w:type="dxa"/>
              <w:left w:w="0" w:type="dxa"/>
              <w:bottom w:w="0" w:type="dxa"/>
              <w:right w:w="0" w:type="dxa"/>
            </w:tcMar>
            <w:vAlign w:val="center"/>
          </w:tcPr>
          <w:p w14:paraId="30413A04" w14:textId="5DC3E32F" w:rsidR="007C7963" w:rsidRPr="00707A04" w:rsidRDefault="007C7963" w:rsidP="007C7963">
            <w:pPr>
              <w:spacing w:before="40" w:after="40"/>
              <w:ind w:left="40" w:right="40"/>
              <w:jc w:val="right"/>
              <w:rPr>
                <w:rFonts w:cstheme="minorHAnsi"/>
                <w:bCs/>
                <w:color w:val="000000" w:themeColor="text1"/>
                <w:sz w:val="20"/>
                <w:szCs w:val="20"/>
              </w:rPr>
            </w:pPr>
            <w:r w:rsidRPr="00707A04">
              <w:rPr>
                <w:rFonts w:cstheme="minorHAnsi"/>
                <w:bCs/>
                <w:color w:val="000000" w:themeColor="text1"/>
                <w:sz w:val="20"/>
                <w:szCs w:val="20"/>
              </w:rPr>
              <w:t xml:space="preserve">AST, </w:t>
            </w:r>
            <w:proofErr w:type="spellStart"/>
            <w:r w:rsidRPr="00707A04">
              <w:rPr>
                <w:rFonts w:cstheme="minorHAnsi"/>
                <w:bCs/>
                <w:color w:val="000000" w:themeColor="text1"/>
                <w:sz w:val="20"/>
                <w:szCs w:val="20"/>
              </w:rPr>
              <w:t>median</w:t>
            </w:r>
            <w:proofErr w:type="spellEnd"/>
            <w:r w:rsidRPr="00707A04">
              <w:rPr>
                <w:rFonts w:cstheme="minorHAnsi"/>
                <w:bCs/>
                <w:color w:val="000000" w:themeColor="text1"/>
                <w:sz w:val="20"/>
                <w:szCs w:val="20"/>
              </w:rPr>
              <w:t xml:space="preserve"> [IQR]</w:t>
            </w:r>
          </w:p>
        </w:tc>
        <w:tc>
          <w:tcPr>
            <w:tcW w:w="1984" w:type="dxa"/>
            <w:shd w:val="clear" w:color="auto" w:fill="auto"/>
            <w:tcMar>
              <w:top w:w="0" w:type="dxa"/>
              <w:left w:w="0" w:type="dxa"/>
              <w:bottom w:w="0" w:type="dxa"/>
              <w:right w:w="0" w:type="dxa"/>
            </w:tcMar>
            <w:vAlign w:val="center"/>
          </w:tcPr>
          <w:p w14:paraId="515B7FAC" w14:textId="77777777" w:rsidR="007C7963" w:rsidRPr="007C7963" w:rsidRDefault="007C7963" w:rsidP="007C7963">
            <w:pPr>
              <w:spacing w:before="40" w:after="40"/>
              <w:ind w:left="40" w:right="40"/>
              <w:jc w:val="right"/>
              <w:rPr>
                <w:rFonts w:cstheme="minorHAnsi"/>
                <w:bCs/>
                <w:color w:val="000000" w:themeColor="text1"/>
                <w:sz w:val="20"/>
                <w:szCs w:val="20"/>
              </w:rPr>
            </w:pPr>
          </w:p>
        </w:tc>
        <w:tc>
          <w:tcPr>
            <w:tcW w:w="2552" w:type="dxa"/>
            <w:shd w:val="clear" w:color="auto" w:fill="auto"/>
            <w:tcMar>
              <w:top w:w="0" w:type="dxa"/>
              <w:left w:w="0" w:type="dxa"/>
              <w:bottom w:w="0" w:type="dxa"/>
              <w:right w:w="0" w:type="dxa"/>
            </w:tcMar>
            <w:vAlign w:val="center"/>
          </w:tcPr>
          <w:p w14:paraId="3E3DC99E" w14:textId="4C097E2A" w:rsidR="007C7963" w:rsidRPr="007C7963" w:rsidRDefault="007C7963" w:rsidP="007C7963">
            <w:pPr>
              <w:spacing w:before="40" w:after="40"/>
              <w:ind w:left="40" w:right="40"/>
              <w:jc w:val="right"/>
              <w:rPr>
                <w:rFonts w:cstheme="minorHAnsi"/>
                <w:bCs/>
                <w:color w:val="000000" w:themeColor="text1"/>
                <w:sz w:val="20"/>
                <w:szCs w:val="20"/>
              </w:rPr>
            </w:pPr>
            <w:r w:rsidRPr="007C7963">
              <w:rPr>
                <w:rFonts w:cstheme="minorHAnsi"/>
                <w:bCs/>
                <w:color w:val="000000" w:themeColor="text1"/>
                <w:sz w:val="20"/>
                <w:szCs w:val="20"/>
              </w:rPr>
              <w:t xml:space="preserve">    65.00 [48.25, 84.75]</w:t>
            </w:r>
          </w:p>
        </w:tc>
        <w:tc>
          <w:tcPr>
            <w:tcW w:w="2268" w:type="dxa"/>
            <w:shd w:val="clear" w:color="auto" w:fill="auto"/>
            <w:tcMar>
              <w:top w:w="0" w:type="dxa"/>
              <w:left w:w="0" w:type="dxa"/>
              <w:bottom w:w="0" w:type="dxa"/>
              <w:right w:w="0" w:type="dxa"/>
            </w:tcMar>
            <w:vAlign w:val="center"/>
          </w:tcPr>
          <w:p w14:paraId="636C8DF5" w14:textId="173B5882" w:rsidR="007C7963" w:rsidRPr="007C7963" w:rsidRDefault="007C7963" w:rsidP="007C7963">
            <w:pPr>
              <w:spacing w:before="40" w:after="40"/>
              <w:ind w:left="40" w:right="40"/>
              <w:jc w:val="right"/>
              <w:rPr>
                <w:rFonts w:cstheme="minorHAnsi"/>
                <w:bCs/>
                <w:color w:val="000000" w:themeColor="text1"/>
                <w:sz w:val="20"/>
                <w:szCs w:val="20"/>
              </w:rPr>
            </w:pPr>
            <w:r w:rsidRPr="007C7963">
              <w:rPr>
                <w:rFonts w:cs="Arial"/>
                <w:color w:val="000000"/>
                <w:sz w:val="20"/>
                <w:szCs w:val="20"/>
              </w:rPr>
              <w:t xml:space="preserve">   </w:t>
            </w:r>
            <w:r w:rsidR="00A91DCE">
              <w:rPr>
                <w:rFonts w:cs="Arial"/>
                <w:color w:val="000000"/>
                <w:sz w:val="20"/>
                <w:szCs w:val="20"/>
              </w:rPr>
              <w:t>700</w:t>
            </w:r>
            <w:r w:rsidRPr="007C7963">
              <w:rPr>
                <w:rFonts w:cs="Arial"/>
                <w:color w:val="000000"/>
                <w:sz w:val="20"/>
                <w:szCs w:val="20"/>
              </w:rPr>
              <w:t>.0</w:t>
            </w:r>
            <w:r w:rsidR="00A91DCE">
              <w:rPr>
                <w:rFonts w:cs="Arial"/>
                <w:color w:val="000000"/>
                <w:sz w:val="20"/>
                <w:szCs w:val="20"/>
              </w:rPr>
              <w:t>0</w:t>
            </w:r>
            <w:r w:rsidRPr="007C7963">
              <w:rPr>
                <w:rFonts w:cs="Arial"/>
                <w:color w:val="000000"/>
                <w:sz w:val="20"/>
                <w:szCs w:val="20"/>
              </w:rPr>
              <w:t xml:space="preserve"> [</w:t>
            </w:r>
            <w:r w:rsidR="00A91DCE">
              <w:rPr>
                <w:rFonts w:cs="Arial"/>
                <w:color w:val="000000"/>
                <w:sz w:val="20"/>
                <w:szCs w:val="20"/>
              </w:rPr>
              <w:t>245.25</w:t>
            </w:r>
            <w:r w:rsidRPr="007C7963">
              <w:rPr>
                <w:rFonts w:cs="Arial"/>
                <w:color w:val="000000"/>
                <w:sz w:val="20"/>
                <w:szCs w:val="20"/>
              </w:rPr>
              <w:t xml:space="preserve">, </w:t>
            </w:r>
            <w:r w:rsidR="00A91DCE">
              <w:rPr>
                <w:rFonts w:cs="Arial"/>
                <w:color w:val="000000"/>
                <w:sz w:val="20"/>
                <w:szCs w:val="20"/>
              </w:rPr>
              <w:t>2220</w:t>
            </w:r>
            <w:r w:rsidRPr="007C7963">
              <w:rPr>
                <w:rFonts w:cs="Arial"/>
                <w:color w:val="000000"/>
                <w:sz w:val="20"/>
                <w:szCs w:val="20"/>
              </w:rPr>
              <w:t>.00]</w:t>
            </w:r>
          </w:p>
        </w:tc>
        <w:tc>
          <w:tcPr>
            <w:tcW w:w="735" w:type="dxa"/>
            <w:shd w:val="clear" w:color="auto" w:fill="auto"/>
            <w:tcMar>
              <w:top w:w="0" w:type="dxa"/>
              <w:left w:w="0" w:type="dxa"/>
              <w:bottom w:w="0" w:type="dxa"/>
              <w:right w:w="0" w:type="dxa"/>
            </w:tcMar>
            <w:vAlign w:val="center"/>
          </w:tcPr>
          <w:p w14:paraId="568EEEDB" w14:textId="3D23EADB" w:rsidR="007C7963" w:rsidRPr="007C7963" w:rsidRDefault="00A91DCE" w:rsidP="007C7963">
            <w:pPr>
              <w:spacing w:before="40" w:after="40"/>
              <w:ind w:left="40" w:right="40"/>
              <w:jc w:val="right"/>
              <w:rPr>
                <w:rFonts w:cstheme="minorHAnsi"/>
                <w:bCs/>
                <w:color w:val="000000" w:themeColor="text1"/>
                <w:sz w:val="20"/>
                <w:szCs w:val="20"/>
              </w:rPr>
            </w:pPr>
            <w:r>
              <w:rPr>
                <w:rFonts w:cs="Arial"/>
                <w:color w:val="000000"/>
                <w:sz w:val="20"/>
                <w:szCs w:val="20"/>
              </w:rPr>
              <w:t>&lt;</w:t>
            </w:r>
            <w:r w:rsidR="007C7963" w:rsidRPr="007C7963">
              <w:rPr>
                <w:rFonts w:cs="Arial"/>
                <w:color w:val="000000"/>
                <w:sz w:val="20"/>
                <w:szCs w:val="20"/>
              </w:rPr>
              <w:t>0.001</w:t>
            </w:r>
          </w:p>
        </w:tc>
      </w:tr>
      <w:tr w:rsidR="009E1082" w:rsidRPr="007C7963" w14:paraId="112A5626" w14:textId="77777777" w:rsidTr="000A514E">
        <w:trPr>
          <w:cantSplit/>
          <w:trHeight w:val="292"/>
          <w:jc w:val="center"/>
        </w:trPr>
        <w:tc>
          <w:tcPr>
            <w:tcW w:w="3261"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21141F7E" w14:textId="3A09A570" w:rsidR="009E1082" w:rsidRPr="00707A04" w:rsidRDefault="009E1082" w:rsidP="009E1082">
            <w:pPr>
              <w:spacing w:before="40" w:after="40"/>
              <w:ind w:left="40" w:right="40"/>
              <w:jc w:val="right"/>
              <w:rPr>
                <w:rFonts w:cstheme="minorHAnsi"/>
                <w:bCs/>
                <w:color w:val="000000" w:themeColor="text1"/>
                <w:sz w:val="20"/>
                <w:szCs w:val="20"/>
              </w:rPr>
            </w:pPr>
            <w:r w:rsidRPr="00707A04">
              <w:rPr>
                <w:rFonts w:cstheme="minorHAnsi"/>
                <w:b/>
                <w:sz w:val="20"/>
                <w:szCs w:val="20"/>
              </w:rPr>
              <w:t>OUTCOME</w:t>
            </w:r>
          </w:p>
        </w:tc>
        <w:tc>
          <w:tcPr>
            <w:tcW w:w="1984"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1C08DD92" w14:textId="77777777" w:rsidR="009E1082" w:rsidRPr="007C7963" w:rsidRDefault="009E1082" w:rsidP="009E1082">
            <w:pPr>
              <w:spacing w:before="40" w:after="40"/>
              <w:ind w:left="40" w:right="40"/>
              <w:jc w:val="right"/>
              <w:rPr>
                <w:rFonts w:cstheme="minorHAnsi"/>
                <w:bCs/>
                <w:color w:val="000000" w:themeColor="text1"/>
                <w:sz w:val="20"/>
                <w:szCs w:val="20"/>
              </w:rPr>
            </w:pPr>
          </w:p>
        </w:tc>
        <w:tc>
          <w:tcPr>
            <w:tcW w:w="2552"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1B28F7BE" w14:textId="1F1C9B19" w:rsidR="009E1082" w:rsidRPr="007C7963" w:rsidRDefault="009E1082" w:rsidP="009E1082">
            <w:pPr>
              <w:spacing w:before="40" w:after="40"/>
              <w:ind w:left="40" w:right="40"/>
              <w:jc w:val="right"/>
              <w:rPr>
                <w:rFonts w:cstheme="minorHAnsi"/>
                <w:bCs/>
                <w:color w:val="000000" w:themeColor="text1"/>
                <w:sz w:val="20"/>
                <w:szCs w:val="20"/>
              </w:rPr>
            </w:pPr>
          </w:p>
        </w:tc>
        <w:tc>
          <w:tcPr>
            <w:tcW w:w="2268"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0DB4F55D" w14:textId="2776C6A8" w:rsidR="009E1082" w:rsidRPr="007C7963" w:rsidRDefault="009E1082" w:rsidP="009E1082">
            <w:pPr>
              <w:spacing w:before="40" w:after="40"/>
              <w:ind w:left="40" w:right="40"/>
              <w:jc w:val="right"/>
              <w:rPr>
                <w:rFonts w:cstheme="minorHAnsi"/>
                <w:bCs/>
                <w:color w:val="000000" w:themeColor="text1"/>
                <w:sz w:val="20"/>
                <w:szCs w:val="20"/>
              </w:rPr>
            </w:pPr>
          </w:p>
        </w:tc>
        <w:tc>
          <w:tcPr>
            <w:tcW w:w="735" w:type="dxa"/>
            <w:tcBorders>
              <w:top w:val="single" w:sz="8" w:space="0" w:color="000000"/>
              <w:bottom w:val="single" w:sz="8" w:space="0" w:color="000000"/>
            </w:tcBorders>
            <w:shd w:val="clear" w:color="auto" w:fill="auto"/>
            <w:tcMar>
              <w:top w:w="0" w:type="dxa"/>
              <w:left w:w="0" w:type="dxa"/>
              <w:bottom w:w="0" w:type="dxa"/>
              <w:right w:w="0" w:type="dxa"/>
            </w:tcMar>
            <w:vAlign w:val="center"/>
          </w:tcPr>
          <w:p w14:paraId="7235B33E" w14:textId="12AFD3D4" w:rsidR="009E1082" w:rsidRPr="007C7963" w:rsidRDefault="009E1082" w:rsidP="009E1082">
            <w:pPr>
              <w:spacing w:before="40" w:after="40"/>
              <w:ind w:left="40" w:right="40"/>
              <w:jc w:val="right"/>
              <w:rPr>
                <w:rFonts w:cstheme="minorHAnsi"/>
                <w:bCs/>
                <w:color w:val="000000" w:themeColor="text1"/>
                <w:sz w:val="20"/>
                <w:szCs w:val="20"/>
              </w:rPr>
            </w:pPr>
          </w:p>
        </w:tc>
      </w:tr>
      <w:tr w:rsidR="007C7963" w:rsidRPr="007C7963" w14:paraId="44F8412F" w14:textId="77777777" w:rsidTr="000A514E">
        <w:trPr>
          <w:cantSplit/>
          <w:trHeight w:val="360"/>
          <w:jc w:val="center"/>
        </w:trPr>
        <w:tc>
          <w:tcPr>
            <w:tcW w:w="3261" w:type="dxa"/>
            <w:tcBorders>
              <w:top w:val="single" w:sz="8" w:space="0" w:color="000000"/>
            </w:tcBorders>
            <w:tcMar>
              <w:top w:w="0" w:type="dxa"/>
              <w:left w:w="0" w:type="dxa"/>
              <w:bottom w:w="0" w:type="dxa"/>
              <w:right w:w="0" w:type="dxa"/>
            </w:tcMar>
            <w:vAlign w:val="center"/>
          </w:tcPr>
          <w:p w14:paraId="01F6C373" w14:textId="7E41A302" w:rsidR="007C7963" w:rsidRPr="00CA09EE" w:rsidRDefault="007C7963" w:rsidP="007C7963">
            <w:pPr>
              <w:spacing w:before="40" w:after="40"/>
              <w:ind w:left="40" w:right="40"/>
              <w:jc w:val="right"/>
              <w:rPr>
                <w:rFonts w:cstheme="minorHAnsi"/>
                <w:b/>
                <w:color w:val="FF0000"/>
                <w:sz w:val="20"/>
                <w:szCs w:val="20"/>
                <w:lang w:val="en-US"/>
              </w:rPr>
            </w:pPr>
            <w:r w:rsidRPr="00707A04">
              <w:rPr>
                <w:rFonts w:cstheme="minorHAnsi"/>
                <w:color w:val="000000"/>
                <w:sz w:val="20"/>
                <w:szCs w:val="20"/>
                <w:lang w:val="en-US"/>
              </w:rPr>
              <w:t xml:space="preserve">Length of </w:t>
            </w:r>
            <w:r>
              <w:rPr>
                <w:rFonts w:cstheme="minorHAnsi"/>
                <w:color w:val="000000"/>
                <w:sz w:val="20"/>
                <w:szCs w:val="20"/>
                <w:lang w:val="en-US"/>
              </w:rPr>
              <w:t xml:space="preserve">hospital </w:t>
            </w:r>
            <w:r w:rsidRPr="00CA09EE">
              <w:rPr>
                <w:rFonts w:cstheme="minorHAnsi"/>
                <w:color w:val="000000"/>
                <w:sz w:val="20"/>
                <w:szCs w:val="20"/>
                <w:lang w:val="en-US"/>
              </w:rPr>
              <w:t xml:space="preserve">stay, median [IQR]  </w:t>
            </w:r>
          </w:p>
        </w:tc>
        <w:tc>
          <w:tcPr>
            <w:tcW w:w="1984" w:type="dxa"/>
            <w:tcBorders>
              <w:top w:val="single" w:sz="8" w:space="0" w:color="000000"/>
            </w:tcBorders>
            <w:tcMar>
              <w:top w:w="0" w:type="dxa"/>
              <w:left w:w="0" w:type="dxa"/>
              <w:bottom w:w="0" w:type="dxa"/>
              <w:right w:w="0" w:type="dxa"/>
            </w:tcMar>
            <w:vAlign w:val="center"/>
          </w:tcPr>
          <w:p w14:paraId="72B4C50D" w14:textId="77777777" w:rsidR="007C7963" w:rsidRPr="007C7963" w:rsidRDefault="007C7963" w:rsidP="007C7963">
            <w:pPr>
              <w:spacing w:before="40" w:after="40"/>
              <w:ind w:left="40" w:right="40"/>
              <w:jc w:val="right"/>
              <w:rPr>
                <w:rFonts w:cstheme="minorHAnsi"/>
                <w:sz w:val="20"/>
                <w:szCs w:val="20"/>
                <w:lang w:val="en-US"/>
              </w:rPr>
            </w:pPr>
          </w:p>
        </w:tc>
        <w:tc>
          <w:tcPr>
            <w:tcW w:w="2552" w:type="dxa"/>
            <w:tcBorders>
              <w:top w:val="single" w:sz="8" w:space="0" w:color="000000"/>
            </w:tcBorders>
            <w:tcMar>
              <w:top w:w="0" w:type="dxa"/>
              <w:left w:w="0" w:type="dxa"/>
              <w:bottom w:w="0" w:type="dxa"/>
              <w:right w:w="0" w:type="dxa"/>
            </w:tcMar>
            <w:vAlign w:val="center"/>
          </w:tcPr>
          <w:p w14:paraId="1BF87F5C" w14:textId="24202EA0" w:rsidR="007C7963" w:rsidRPr="007C7963" w:rsidRDefault="007C7963" w:rsidP="007C7963">
            <w:pPr>
              <w:spacing w:before="40" w:after="40"/>
              <w:ind w:left="40" w:right="40"/>
              <w:jc w:val="right"/>
              <w:rPr>
                <w:rFonts w:cstheme="minorHAnsi"/>
                <w:b/>
                <w:bCs/>
                <w:color w:val="FF0000"/>
                <w:sz w:val="20"/>
                <w:szCs w:val="20"/>
              </w:rPr>
            </w:pPr>
            <w:r w:rsidRPr="007C7963">
              <w:rPr>
                <w:rFonts w:cs="Arial"/>
                <w:color w:val="000000"/>
                <w:sz w:val="20"/>
                <w:szCs w:val="20"/>
                <w:lang w:val="en-US"/>
              </w:rPr>
              <w:t xml:space="preserve">     </w:t>
            </w:r>
            <w:r w:rsidRPr="007C7963">
              <w:rPr>
                <w:rFonts w:cs="Arial"/>
                <w:color w:val="000000"/>
                <w:sz w:val="20"/>
                <w:szCs w:val="20"/>
              </w:rPr>
              <w:t>4.00 [3.00, 5.00]</w:t>
            </w:r>
          </w:p>
        </w:tc>
        <w:tc>
          <w:tcPr>
            <w:tcW w:w="2268" w:type="dxa"/>
            <w:tcBorders>
              <w:top w:val="single" w:sz="8" w:space="0" w:color="000000"/>
            </w:tcBorders>
            <w:tcMar>
              <w:top w:w="0" w:type="dxa"/>
              <w:left w:w="0" w:type="dxa"/>
              <w:bottom w:w="0" w:type="dxa"/>
              <w:right w:w="0" w:type="dxa"/>
            </w:tcMar>
            <w:vAlign w:val="center"/>
          </w:tcPr>
          <w:p w14:paraId="273AABBD" w14:textId="552F1404" w:rsidR="007C7963" w:rsidRPr="007C7963" w:rsidRDefault="007C7963" w:rsidP="007C7963">
            <w:pPr>
              <w:spacing w:before="40" w:after="40"/>
              <w:ind w:left="40" w:right="40"/>
              <w:jc w:val="right"/>
              <w:rPr>
                <w:rFonts w:cstheme="minorHAnsi"/>
                <w:b/>
                <w:bCs/>
                <w:color w:val="FF0000"/>
                <w:sz w:val="20"/>
                <w:szCs w:val="20"/>
              </w:rPr>
            </w:pPr>
            <w:r w:rsidRPr="007C7963">
              <w:rPr>
                <w:rFonts w:cs="Arial"/>
                <w:color w:val="000000"/>
                <w:sz w:val="20"/>
                <w:szCs w:val="20"/>
              </w:rPr>
              <w:t xml:space="preserve">     5.</w:t>
            </w:r>
            <w:r w:rsidR="00A91DCE">
              <w:rPr>
                <w:rFonts w:cs="Arial"/>
                <w:color w:val="000000"/>
                <w:sz w:val="20"/>
                <w:szCs w:val="20"/>
              </w:rPr>
              <w:t>5</w:t>
            </w:r>
            <w:r w:rsidRPr="007C7963">
              <w:rPr>
                <w:rFonts w:cs="Arial"/>
                <w:color w:val="000000"/>
                <w:sz w:val="20"/>
                <w:szCs w:val="20"/>
              </w:rPr>
              <w:t>0 [</w:t>
            </w:r>
            <w:r w:rsidR="00A91DCE">
              <w:rPr>
                <w:rFonts w:cs="Arial"/>
                <w:color w:val="000000"/>
                <w:sz w:val="20"/>
                <w:szCs w:val="20"/>
              </w:rPr>
              <w:t>4</w:t>
            </w:r>
            <w:r w:rsidRPr="007C7963">
              <w:rPr>
                <w:rFonts w:cs="Arial"/>
                <w:color w:val="000000"/>
                <w:sz w:val="20"/>
                <w:szCs w:val="20"/>
              </w:rPr>
              <w:t xml:space="preserve">.00, </w:t>
            </w:r>
            <w:r w:rsidR="00A91DCE">
              <w:rPr>
                <w:rFonts w:cs="Arial"/>
                <w:color w:val="000000"/>
                <w:sz w:val="20"/>
                <w:szCs w:val="20"/>
              </w:rPr>
              <w:t>8.50</w:t>
            </w:r>
            <w:r w:rsidRPr="007C7963">
              <w:rPr>
                <w:rFonts w:cs="Arial"/>
                <w:color w:val="000000"/>
                <w:sz w:val="20"/>
                <w:szCs w:val="20"/>
              </w:rPr>
              <w:t>]</w:t>
            </w:r>
          </w:p>
        </w:tc>
        <w:tc>
          <w:tcPr>
            <w:tcW w:w="735" w:type="dxa"/>
            <w:tcBorders>
              <w:top w:val="single" w:sz="8" w:space="0" w:color="000000"/>
            </w:tcBorders>
            <w:tcMar>
              <w:top w:w="0" w:type="dxa"/>
              <w:left w:w="0" w:type="dxa"/>
              <w:bottom w:w="0" w:type="dxa"/>
              <w:right w:w="0" w:type="dxa"/>
            </w:tcMar>
            <w:vAlign w:val="center"/>
          </w:tcPr>
          <w:p w14:paraId="10DB37CC" w14:textId="369724D7" w:rsidR="007C7963" w:rsidRPr="007C7963" w:rsidRDefault="007C7963" w:rsidP="007C7963">
            <w:pPr>
              <w:spacing w:before="40" w:after="40"/>
              <w:ind w:left="40" w:right="40"/>
              <w:jc w:val="right"/>
              <w:rPr>
                <w:rFonts w:cstheme="minorHAnsi"/>
                <w:b/>
                <w:bCs/>
                <w:color w:val="FF0000"/>
                <w:sz w:val="20"/>
                <w:szCs w:val="20"/>
              </w:rPr>
            </w:pPr>
            <w:r w:rsidRPr="007C7963">
              <w:rPr>
                <w:rFonts w:cs="Arial"/>
                <w:color w:val="000000"/>
                <w:sz w:val="20"/>
                <w:szCs w:val="20"/>
              </w:rPr>
              <w:t xml:space="preserve"> 0.</w:t>
            </w:r>
            <w:r w:rsidR="00A91DCE">
              <w:rPr>
                <w:rFonts w:cs="Arial"/>
                <w:color w:val="000000"/>
                <w:sz w:val="20"/>
                <w:szCs w:val="20"/>
              </w:rPr>
              <w:t>059</w:t>
            </w:r>
          </w:p>
        </w:tc>
      </w:tr>
      <w:tr w:rsidR="009E1082" w:rsidRPr="007C7963" w14:paraId="70AAE02F" w14:textId="77777777" w:rsidTr="000A514E">
        <w:trPr>
          <w:cantSplit/>
          <w:trHeight w:val="360"/>
          <w:jc w:val="center"/>
        </w:trPr>
        <w:tc>
          <w:tcPr>
            <w:tcW w:w="3261" w:type="dxa"/>
            <w:tcBorders>
              <w:bottom w:val="single" w:sz="8" w:space="0" w:color="000000"/>
            </w:tcBorders>
            <w:tcMar>
              <w:top w:w="0" w:type="dxa"/>
              <w:left w:w="0" w:type="dxa"/>
              <w:bottom w:w="0" w:type="dxa"/>
              <w:right w:w="0" w:type="dxa"/>
            </w:tcMar>
            <w:vAlign w:val="center"/>
          </w:tcPr>
          <w:p w14:paraId="53C621B4" w14:textId="6E66C3EE" w:rsidR="009E1082" w:rsidRPr="00707A04" w:rsidRDefault="009E1082" w:rsidP="009E1082">
            <w:pPr>
              <w:spacing w:before="40" w:after="40"/>
              <w:ind w:left="40" w:right="40"/>
              <w:jc w:val="right"/>
              <w:rPr>
                <w:rFonts w:cstheme="minorHAnsi"/>
                <w:color w:val="000000"/>
                <w:sz w:val="20"/>
                <w:szCs w:val="20"/>
                <w:lang w:val="en-US"/>
              </w:rPr>
            </w:pPr>
            <w:proofErr w:type="spellStart"/>
            <w:r w:rsidRPr="00707A04">
              <w:rPr>
                <w:rFonts w:cstheme="minorHAnsi"/>
                <w:color w:val="000000"/>
                <w:sz w:val="20"/>
                <w:szCs w:val="20"/>
              </w:rPr>
              <w:t>Mortality</w:t>
            </w:r>
            <w:proofErr w:type="spellEnd"/>
            <w:r w:rsidRPr="00707A04">
              <w:rPr>
                <w:rFonts w:cstheme="minorHAnsi"/>
                <w:color w:val="000000"/>
                <w:sz w:val="20"/>
                <w:szCs w:val="20"/>
              </w:rPr>
              <w:t xml:space="preserve"> (%)</w:t>
            </w:r>
          </w:p>
        </w:tc>
        <w:tc>
          <w:tcPr>
            <w:tcW w:w="1984" w:type="dxa"/>
            <w:tcBorders>
              <w:bottom w:val="single" w:sz="8" w:space="0" w:color="000000"/>
            </w:tcBorders>
            <w:tcMar>
              <w:top w:w="0" w:type="dxa"/>
              <w:left w:w="0" w:type="dxa"/>
              <w:bottom w:w="0" w:type="dxa"/>
              <w:right w:w="0" w:type="dxa"/>
            </w:tcMar>
            <w:vAlign w:val="center"/>
          </w:tcPr>
          <w:p w14:paraId="7307DF23" w14:textId="0776D4AF" w:rsidR="009E1082" w:rsidRPr="007C7963" w:rsidRDefault="009E1082" w:rsidP="009E1082">
            <w:pPr>
              <w:spacing w:before="40" w:after="40"/>
              <w:ind w:left="40" w:right="40"/>
              <w:jc w:val="right"/>
              <w:rPr>
                <w:rFonts w:cstheme="minorHAnsi"/>
                <w:color w:val="000000"/>
                <w:sz w:val="20"/>
                <w:szCs w:val="20"/>
                <w:lang w:val="en-US"/>
              </w:rPr>
            </w:pPr>
          </w:p>
        </w:tc>
        <w:tc>
          <w:tcPr>
            <w:tcW w:w="2552" w:type="dxa"/>
            <w:tcBorders>
              <w:bottom w:val="single" w:sz="8" w:space="0" w:color="000000"/>
            </w:tcBorders>
            <w:tcMar>
              <w:top w:w="0" w:type="dxa"/>
              <w:left w:w="0" w:type="dxa"/>
              <w:bottom w:w="0" w:type="dxa"/>
              <w:right w:w="0" w:type="dxa"/>
            </w:tcMar>
            <w:vAlign w:val="center"/>
          </w:tcPr>
          <w:p w14:paraId="10083F5F" w14:textId="2EC8FE65" w:rsidR="009E1082" w:rsidRPr="007C7963" w:rsidRDefault="009E1082" w:rsidP="009E1082">
            <w:pPr>
              <w:spacing w:before="40" w:after="40"/>
              <w:ind w:left="40" w:right="40"/>
              <w:jc w:val="right"/>
              <w:rPr>
                <w:rFonts w:cstheme="minorHAnsi"/>
                <w:color w:val="000000"/>
                <w:sz w:val="20"/>
                <w:szCs w:val="20"/>
              </w:rPr>
            </w:pPr>
            <w:r w:rsidRPr="007C7963">
              <w:rPr>
                <w:rFonts w:cstheme="minorHAnsi"/>
                <w:color w:val="000000"/>
                <w:sz w:val="20"/>
                <w:szCs w:val="20"/>
              </w:rPr>
              <w:t xml:space="preserve">        1  </w:t>
            </w:r>
            <w:r w:rsidR="00267B1E">
              <w:rPr>
                <w:rFonts w:cstheme="minorHAnsi"/>
                <w:color w:val="000000"/>
                <w:sz w:val="20"/>
                <w:szCs w:val="20"/>
              </w:rPr>
              <w:t>(</w:t>
            </w:r>
            <w:r w:rsidRPr="007C7963">
              <w:rPr>
                <w:rFonts w:cstheme="minorHAnsi"/>
                <w:color w:val="000000"/>
                <w:sz w:val="20"/>
                <w:szCs w:val="20"/>
              </w:rPr>
              <w:t xml:space="preserve">2.2) </w:t>
            </w:r>
          </w:p>
        </w:tc>
        <w:tc>
          <w:tcPr>
            <w:tcW w:w="2268" w:type="dxa"/>
            <w:tcBorders>
              <w:bottom w:val="single" w:sz="8" w:space="0" w:color="000000"/>
            </w:tcBorders>
            <w:tcMar>
              <w:top w:w="0" w:type="dxa"/>
              <w:left w:w="0" w:type="dxa"/>
              <w:bottom w:w="0" w:type="dxa"/>
              <w:right w:w="0" w:type="dxa"/>
            </w:tcMar>
            <w:vAlign w:val="center"/>
          </w:tcPr>
          <w:p w14:paraId="2773EA84" w14:textId="3A430147" w:rsidR="009E1082" w:rsidRPr="007C7963" w:rsidRDefault="009E1082" w:rsidP="009E1082">
            <w:pPr>
              <w:spacing w:before="40" w:after="40"/>
              <w:ind w:left="40" w:right="40"/>
              <w:jc w:val="right"/>
              <w:rPr>
                <w:rFonts w:cstheme="minorHAnsi"/>
                <w:color w:val="000000"/>
                <w:sz w:val="20"/>
                <w:szCs w:val="20"/>
              </w:rPr>
            </w:pPr>
            <w:r w:rsidRPr="007C7963">
              <w:rPr>
                <w:rFonts w:cstheme="minorHAnsi"/>
                <w:color w:val="000000"/>
                <w:sz w:val="20"/>
                <w:szCs w:val="20"/>
              </w:rPr>
              <w:t xml:space="preserve">        0 (0.0) </w:t>
            </w:r>
          </w:p>
        </w:tc>
        <w:tc>
          <w:tcPr>
            <w:tcW w:w="735" w:type="dxa"/>
            <w:tcBorders>
              <w:bottom w:val="single" w:sz="8" w:space="0" w:color="000000"/>
            </w:tcBorders>
            <w:tcMar>
              <w:top w:w="0" w:type="dxa"/>
              <w:left w:w="0" w:type="dxa"/>
              <w:bottom w:w="0" w:type="dxa"/>
              <w:right w:w="0" w:type="dxa"/>
            </w:tcMar>
            <w:vAlign w:val="center"/>
          </w:tcPr>
          <w:p w14:paraId="24F89CFA" w14:textId="52E31636" w:rsidR="009E1082" w:rsidRPr="007C7963" w:rsidRDefault="009E1082" w:rsidP="009E1082">
            <w:pPr>
              <w:spacing w:before="40" w:after="40"/>
              <w:ind w:left="40" w:right="40"/>
              <w:jc w:val="right"/>
              <w:rPr>
                <w:rFonts w:cstheme="minorHAnsi"/>
                <w:b/>
                <w:bCs/>
                <w:color w:val="FF0000"/>
                <w:sz w:val="20"/>
                <w:szCs w:val="20"/>
              </w:rPr>
            </w:pPr>
            <w:r w:rsidRPr="007C7963">
              <w:rPr>
                <w:rFonts w:cstheme="minorHAnsi"/>
                <w:color w:val="000000"/>
                <w:sz w:val="20"/>
                <w:szCs w:val="20"/>
              </w:rPr>
              <w:t xml:space="preserve"> 1.000</w:t>
            </w:r>
          </w:p>
        </w:tc>
      </w:tr>
    </w:tbl>
    <w:p w14:paraId="0C55E126" w14:textId="77777777" w:rsidR="00512E76" w:rsidRPr="00CA09EE" w:rsidRDefault="00512E76" w:rsidP="00512E76">
      <w:pPr>
        <w:rPr>
          <w:rFonts w:cstheme="minorHAnsi"/>
          <w:lang w:val="en-GB"/>
        </w:rPr>
      </w:pPr>
    </w:p>
    <w:p w14:paraId="0CB3FD25" w14:textId="42BCF681" w:rsidR="00512E76" w:rsidRPr="00CA09EE" w:rsidRDefault="00512E76" w:rsidP="00512E76">
      <w:pPr>
        <w:rPr>
          <w:rFonts w:cstheme="minorHAnsi"/>
          <w:b/>
          <w:lang w:val="en-GB"/>
        </w:rPr>
      </w:pPr>
      <w:r w:rsidRPr="00CA09EE">
        <w:rPr>
          <w:rFonts w:cstheme="minorHAnsi"/>
          <w:lang w:val="en-GB"/>
        </w:rPr>
        <w:t>Abbreviations: IQR, interquartile range; ALT, alanine transaminase; AST, aspartate transaminase</w:t>
      </w:r>
    </w:p>
    <w:p w14:paraId="306AF2C2" w14:textId="77777777" w:rsidR="00466C36" w:rsidRDefault="00466C36" w:rsidP="009E1082">
      <w:pPr>
        <w:jc w:val="both"/>
        <w:rPr>
          <w:rFonts w:cstheme="minorHAnsi"/>
          <w:b/>
          <w:lang w:val="en-GB"/>
        </w:rPr>
      </w:pPr>
    </w:p>
    <w:p w14:paraId="3573C0F5" w14:textId="66499877" w:rsidR="00D00413" w:rsidRPr="005A665F" w:rsidRDefault="00D00413" w:rsidP="009E1082">
      <w:pPr>
        <w:jc w:val="both"/>
        <w:rPr>
          <w:rFonts w:cstheme="minorHAnsi"/>
          <w:b/>
          <w:lang w:val="en-GB"/>
        </w:rPr>
      </w:pPr>
      <w:r w:rsidRPr="005A665F">
        <w:rPr>
          <w:rFonts w:cstheme="minorHAnsi"/>
          <w:b/>
          <w:lang w:val="en-GB"/>
        </w:rPr>
        <w:lastRenderedPageBreak/>
        <w:t>Figure legends</w:t>
      </w:r>
    </w:p>
    <w:p w14:paraId="1CE94F25" w14:textId="7FC56846" w:rsidR="00F3106F" w:rsidRPr="00D00413" w:rsidRDefault="00A12BCC" w:rsidP="009E1082">
      <w:pPr>
        <w:spacing w:line="360" w:lineRule="auto"/>
        <w:jc w:val="both"/>
        <w:rPr>
          <w:rFonts w:cstheme="minorHAnsi"/>
          <w:b/>
          <w:lang w:val="en-GB"/>
        </w:rPr>
      </w:pPr>
      <w:r>
        <w:rPr>
          <w:rFonts w:cstheme="minorHAnsi"/>
          <w:b/>
          <w:lang w:val="en-GB"/>
        </w:rPr>
        <w:t>Figure 1:</w:t>
      </w:r>
      <w:r w:rsidR="00DF4DBC">
        <w:rPr>
          <w:rFonts w:cstheme="minorHAnsi"/>
          <w:b/>
          <w:lang w:val="en-GB"/>
        </w:rPr>
        <w:t xml:space="preserve"> </w:t>
      </w:r>
      <w:r w:rsidR="00F3106F">
        <w:rPr>
          <w:rFonts w:cstheme="minorHAnsi"/>
          <w:b/>
          <w:lang w:val="en-GB"/>
        </w:rPr>
        <w:t>F</w:t>
      </w:r>
      <w:r w:rsidR="00F3106F" w:rsidRPr="00F3106F">
        <w:rPr>
          <w:rFonts w:cstheme="minorHAnsi"/>
          <w:b/>
          <w:lang w:val="en-GB"/>
        </w:rPr>
        <w:t xml:space="preserve">aecal microbiota composition (phylum and genus level) </w:t>
      </w:r>
      <w:r w:rsidR="00F3106F" w:rsidRPr="00D00413">
        <w:rPr>
          <w:rFonts w:cstheme="minorHAnsi"/>
          <w:b/>
          <w:lang w:val="en-GB"/>
        </w:rPr>
        <w:t>among patients</w:t>
      </w:r>
      <w:r w:rsidR="00F3106F">
        <w:rPr>
          <w:rFonts w:cstheme="minorHAnsi"/>
          <w:b/>
          <w:lang w:val="en-GB"/>
        </w:rPr>
        <w:t xml:space="preserve"> with non-typhoidal fe</w:t>
      </w:r>
      <w:r w:rsidR="003D1915">
        <w:rPr>
          <w:rFonts w:cstheme="minorHAnsi"/>
          <w:b/>
          <w:lang w:val="en-GB"/>
        </w:rPr>
        <w:t>brile illness (</w:t>
      </w:r>
      <w:r w:rsidR="00B93DB2">
        <w:rPr>
          <w:rFonts w:cstheme="minorHAnsi"/>
          <w:b/>
          <w:lang w:val="en-GB"/>
        </w:rPr>
        <w:t>n = 46</w:t>
      </w:r>
      <w:r w:rsidR="003D1915">
        <w:rPr>
          <w:rFonts w:cstheme="minorHAnsi"/>
          <w:b/>
          <w:lang w:val="en-GB"/>
        </w:rPr>
        <w:t>)</w:t>
      </w:r>
      <w:r w:rsidR="00F3106F">
        <w:rPr>
          <w:rFonts w:cstheme="minorHAnsi"/>
          <w:b/>
          <w:lang w:val="en-GB"/>
        </w:rPr>
        <w:t>, typhoid fever</w:t>
      </w:r>
      <w:r w:rsidR="00F3106F" w:rsidRPr="00D00413">
        <w:rPr>
          <w:rFonts w:cstheme="minorHAnsi"/>
          <w:b/>
          <w:lang w:val="en-GB"/>
        </w:rPr>
        <w:t xml:space="preserve"> </w:t>
      </w:r>
      <w:r w:rsidR="003D1915">
        <w:rPr>
          <w:rFonts w:cstheme="minorHAnsi"/>
          <w:b/>
          <w:lang w:val="en-GB"/>
        </w:rPr>
        <w:t>(</w:t>
      </w:r>
      <w:r w:rsidR="00B93DB2">
        <w:rPr>
          <w:rFonts w:cstheme="minorHAnsi"/>
          <w:b/>
          <w:lang w:val="en-GB"/>
        </w:rPr>
        <w:t>n = 14</w:t>
      </w:r>
      <w:r w:rsidR="003D1915">
        <w:rPr>
          <w:rFonts w:cstheme="minorHAnsi"/>
          <w:b/>
          <w:lang w:val="en-GB"/>
        </w:rPr>
        <w:t xml:space="preserve">) </w:t>
      </w:r>
      <w:r w:rsidR="00F3106F" w:rsidRPr="00D00413">
        <w:rPr>
          <w:rFonts w:cstheme="minorHAnsi"/>
          <w:b/>
          <w:lang w:val="en-GB"/>
        </w:rPr>
        <w:t>and controls</w:t>
      </w:r>
      <w:r w:rsidR="00B93DB2">
        <w:rPr>
          <w:rFonts w:cstheme="minorHAnsi"/>
          <w:b/>
          <w:lang w:val="en-GB"/>
        </w:rPr>
        <w:t xml:space="preserve"> (n=36)</w:t>
      </w:r>
    </w:p>
    <w:p w14:paraId="5E3185B4" w14:textId="0E19535D" w:rsidR="00657B2C" w:rsidRDefault="00A12BCC" w:rsidP="009E1082">
      <w:pPr>
        <w:spacing w:line="360" w:lineRule="auto"/>
        <w:jc w:val="both"/>
        <w:rPr>
          <w:rFonts w:cstheme="minorHAnsi"/>
          <w:lang w:val="en-GB"/>
        </w:rPr>
      </w:pPr>
      <w:bookmarkStart w:id="2" w:name="_Hlk13495900"/>
      <w:r w:rsidRPr="00A12BCC">
        <w:rPr>
          <w:rFonts w:cstheme="minorHAnsi"/>
          <w:lang w:val="en-GB"/>
        </w:rPr>
        <w:t>Each bar represents one sample; phyla (</w:t>
      </w:r>
      <w:r w:rsidR="00061BF7">
        <w:rPr>
          <w:rFonts w:cstheme="minorHAnsi"/>
          <w:lang w:val="en-GB"/>
        </w:rPr>
        <w:t>A</w:t>
      </w:r>
      <w:r w:rsidRPr="00A12BCC">
        <w:rPr>
          <w:rFonts w:cstheme="minorHAnsi"/>
          <w:lang w:val="en-GB"/>
        </w:rPr>
        <w:t>) and</w:t>
      </w:r>
      <w:r w:rsidR="005B1816">
        <w:rPr>
          <w:rFonts w:cstheme="minorHAnsi"/>
          <w:lang w:val="en-GB"/>
        </w:rPr>
        <w:t xml:space="preserve"> compiled taxa</w:t>
      </w:r>
      <w:r w:rsidR="005B1816" w:rsidRPr="00A12BCC">
        <w:rPr>
          <w:rFonts w:cstheme="minorHAnsi"/>
          <w:lang w:val="en-GB"/>
        </w:rPr>
        <w:t xml:space="preserve"> </w:t>
      </w:r>
      <w:r w:rsidRPr="00A12BCC">
        <w:rPr>
          <w:rFonts w:cstheme="minorHAnsi"/>
          <w:lang w:val="en-GB"/>
        </w:rPr>
        <w:t>(</w:t>
      </w:r>
      <w:r w:rsidR="00061BF7">
        <w:rPr>
          <w:rFonts w:cstheme="minorHAnsi"/>
          <w:lang w:val="en-GB"/>
        </w:rPr>
        <w:t>B</w:t>
      </w:r>
      <w:r w:rsidRPr="00A12BCC">
        <w:rPr>
          <w:rFonts w:cstheme="minorHAnsi"/>
          <w:lang w:val="en-GB"/>
        </w:rPr>
        <w:t xml:space="preserve">) are indicated with colours and expressed in percentage of the total DNA reads. </w:t>
      </w:r>
      <w:r w:rsidR="005B1816" w:rsidRPr="00A12BCC">
        <w:rPr>
          <w:rFonts w:cstheme="minorHAnsi"/>
          <w:lang w:val="en-GB"/>
        </w:rPr>
        <w:t>Ruminococcaceae and Lachnospiraceae families</w:t>
      </w:r>
      <w:r w:rsidR="005B1816">
        <w:rPr>
          <w:rFonts w:cstheme="minorHAnsi"/>
          <w:lang w:val="en-GB"/>
        </w:rPr>
        <w:t xml:space="preserve"> and </w:t>
      </w:r>
      <w:r w:rsidRPr="00A12BCC">
        <w:rPr>
          <w:rFonts w:cstheme="minorHAnsi"/>
          <w:lang w:val="en-GB"/>
        </w:rPr>
        <w:t xml:space="preserve"> genera that made up ≥5</w:t>
      </w:r>
      <w:r w:rsidR="005B1816">
        <w:rPr>
          <w:rFonts w:cstheme="minorHAnsi"/>
          <w:lang w:val="en-GB"/>
        </w:rPr>
        <w:t>%</w:t>
      </w:r>
      <w:r w:rsidRPr="00A12BCC">
        <w:rPr>
          <w:rFonts w:cstheme="minorHAnsi"/>
          <w:lang w:val="en-GB"/>
        </w:rPr>
        <w:t xml:space="preserve"> of the total microbiota in at least one sample are included</w:t>
      </w:r>
      <w:r w:rsidR="005B1816">
        <w:rPr>
          <w:rFonts w:cstheme="minorHAnsi"/>
          <w:lang w:val="en-GB"/>
        </w:rPr>
        <w:t xml:space="preserve"> in figure B</w:t>
      </w:r>
      <w:r w:rsidRPr="00A12BCC">
        <w:rPr>
          <w:rFonts w:cstheme="minorHAnsi"/>
          <w:lang w:val="en-GB"/>
        </w:rPr>
        <w:t xml:space="preserve">; other genera are pooled within </w:t>
      </w:r>
      <w:r w:rsidR="005B1816">
        <w:rPr>
          <w:rFonts w:cstheme="minorHAnsi"/>
          <w:lang w:val="en-GB"/>
        </w:rPr>
        <w:t xml:space="preserve">the category “Other Bacteria”. </w:t>
      </w:r>
    </w:p>
    <w:bookmarkEnd w:id="2"/>
    <w:p w14:paraId="62986C1E" w14:textId="77777777" w:rsidR="00512E76" w:rsidRDefault="00512E76" w:rsidP="009E1082">
      <w:pPr>
        <w:spacing w:line="360" w:lineRule="auto"/>
        <w:jc w:val="both"/>
        <w:rPr>
          <w:rFonts w:cstheme="minorHAnsi"/>
          <w:lang w:val="en-GB"/>
        </w:rPr>
      </w:pPr>
    </w:p>
    <w:p w14:paraId="7CF62BD7" w14:textId="18E7FF48" w:rsidR="00622741" w:rsidRPr="00D00413" w:rsidRDefault="003D1915" w:rsidP="009E1082">
      <w:pPr>
        <w:spacing w:line="360" w:lineRule="auto"/>
        <w:jc w:val="both"/>
        <w:rPr>
          <w:rFonts w:cstheme="minorHAnsi"/>
          <w:b/>
          <w:lang w:val="en-GB"/>
        </w:rPr>
      </w:pPr>
      <w:r>
        <w:rPr>
          <w:rFonts w:cstheme="minorHAnsi"/>
          <w:b/>
          <w:lang w:val="en-GB"/>
        </w:rPr>
        <w:t>F</w:t>
      </w:r>
      <w:r w:rsidR="00622741" w:rsidRPr="00D00413">
        <w:rPr>
          <w:rFonts w:cstheme="minorHAnsi"/>
          <w:b/>
          <w:lang w:val="en-GB"/>
        </w:rPr>
        <w:t xml:space="preserve">igure </w:t>
      </w:r>
      <w:r w:rsidR="00A23935">
        <w:rPr>
          <w:rFonts w:cstheme="minorHAnsi"/>
          <w:b/>
          <w:lang w:val="en-GB"/>
        </w:rPr>
        <w:t>2</w:t>
      </w:r>
      <w:r w:rsidR="00622741" w:rsidRPr="00D00413">
        <w:rPr>
          <w:rFonts w:cstheme="minorHAnsi"/>
          <w:b/>
          <w:lang w:val="en-GB"/>
        </w:rPr>
        <w:t xml:space="preserve">: </w:t>
      </w:r>
      <w:r w:rsidR="00DF4DBC">
        <w:rPr>
          <w:rFonts w:cstheme="minorHAnsi"/>
          <w:b/>
          <w:lang w:val="en-GB"/>
        </w:rPr>
        <w:t>O</w:t>
      </w:r>
      <w:r w:rsidR="00622741" w:rsidRPr="00D00413">
        <w:rPr>
          <w:rFonts w:cstheme="minorHAnsi"/>
          <w:b/>
          <w:lang w:val="en-GB"/>
        </w:rPr>
        <w:t>verview of differences in alpha and beta diversity among patients</w:t>
      </w:r>
      <w:r w:rsidR="0075250F">
        <w:rPr>
          <w:rFonts w:cstheme="minorHAnsi"/>
          <w:b/>
          <w:lang w:val="en-GB"/>
        </w:rPr>
        <w:t xml:space="preserve"> with non-typhoidal </w:t>
      </w:r>
      <w:r>
        <w:rPr>
          <w:rFonts w:cstheme="minorHAnsi"/>
          <w:b/>
          <w:lang w:val="en-GB"/>
        </w:rPr>
        <w:t>febrile illness</w:t>
      </w:r>
      <w:r w:rsidR="00B93DB2">
        <w:rPr>
          <w:rFonts w:cstheme="minorHAnsi"/>
          <w:b/>
          <w:lang w:val="en-GB"/>
        </w:rPr>
        <w:t xml:space="preserve"> (n = 46),</w:t>
      </w:r>
      <w:r w:rsidR="0075250F">
        <w:rPr>
          <w:rFonts w:cstheme="minorHAnsi"/>
          <w:b/>
          <w:lang w:val="en-GB"/>
        </w:rPr>
        <w:t xml:space="preserve"> typhoid fever</w:t>
      </w:r>
      <w:r w:rsidR="00B93DB2">
        <w:rPr>
          <w:rFonts w:cstheme="minorHAnsi"/>
          <w:b/>
          <w:lang w:val="en-GB"/>
        </w:rPr>
        <w:t xml:space="preserve"> (n=14),</w:t>
      </w:r>
      <w:r w:rsidR="00622741" w:rsidRPr="00D00413">
        <w:rPr>
          <w:rFonts w:cstheme="minorHAnsi"/>
          <w:b/>
          <w:lang w:val="en-GB"/>
        </w:rPr>
        <w:t xml:space="preserve"> and controls</w:t>
      </w:r>
      <w:r w:rsidR="00B93DB2">
        <w:rPr>
          <w:rFonts w:cstheme="minorHAnsi"/>
          <w:b/>
          <w:lang w:val="en-GB"/>
        </w:rPr>
        <w:t xml:space="preserve"> (n=36)</w:t>
      </w:r>
    </w:p>
    <w:p w14:paraId="506E8D20" w14:textId="20F4A410" w:rsidR="00D00413" w:rsidRDefault="00A12BCC" w:rsidP="009E1082">
      <w:pPr>
        <w:spacing w:line="360" w:lineRule="auto"/>
        <w:jc w:val="both"/>
        <w:rPr>
          <w:rFonts w:cstheme="minorHAnsi"/>
          <w:b/>
          <w:lang w:val="en-GB"/>
        </w:rPr>
      </w:pPr>
      <w:r>
        <w:rPr>
          <w:rFonts w:cstheme="minorHAnsi"/>
          <w:bCs/>
          <w:lang w:val="en-GB"/>
        </w:rPr>
        <w:t>T</w:t>
      </w:r>
      <w:r w:rsidRPr="00A12BCC">
        <w:rPr>
          <w:rFonts w:cstheme="minorHAnsi"/>
          <w:bCs/>
          <w:lang w:val="en-GB"/>
        </w:rPr>
        <w:t xml:space="preserve">he </w:t>
      </w:r>
      <w:r>
        <w:rPr>
          <w:rFonts w:cstheme="minorHAnsi"/>
          <w:bCs/>
          <w:lang w:val="en-GB"/>
        </w:rPr>
        <w:t xml:space="preserve">Shannon </w:t>
      </w:r>
      <w:r w:rsidRPr="00A12BCC">
        <w:rPr>
          <w:rFonts w:cstheme="minorHAnsi"/>
          <w:bCs/>
          <w:lang w:val="en-GB"/>
        </w:rPr>
        <w:t>index and the</w:t>
      </w:r>
      <w:r>
        <w:rPr>
          <w:rFonts w:cstheme="minorHAnsi"/>
          <w:bCs/>
          <w:lang w:val="en-GB"/>
        </w:rPr>
        <w:t xml:space="preserve"> Observed Taxa (OT)</w:t>
      </w:r>
      <w:r w:rsidRPr="00A12BCC">
        <w:rPr>
          <w:rFonts w:cstheme="minorHAnsi"/>
          <w:bCs/>
          <w:lang w:val="en-GB"/>
        </w:rPr>
        <w:t xml:space="preserve"> index were used to calculate the diversity</w:t>
      </w:r>
      <w:r>
        <w:rPr>
          <w:rFonts w:cstheme="minorHAnsi"/>
          <w:bCs/>
          <w:lang w:val="en-GB"/>
        </w:rPr>
        <w:t xml:space="preserve"> </w:t>
      </w:r>
      <w:r w:rsidRPr="00A12BCC">
        <w:rPr>
          <w:rFonts w:cstheme="minorHAnsi"/>
          <w:bCs/>
          <w:lang w:val="en-GB"/>
        </w:rPr>
        <w:t>community</w:t>
      </w:r>
      <w:r>
        <w:rPr>
          <w:rFonts w:cstheme="minorHAnsi"/>
          <w:bCs/>
          <w:lang w:val="en-GB"/>
        </w:rPr>
        <w:t xml:space="preserve"> </w:t>
      </w:r>
      <w:r w:rsidRPr="00A12BCC">
        <w:rPr>
          <w:rFonts w:cstheme="minorHAnsi"/>
          <w:bCs/>
          <w:lang w:val="en-GB"/>
        </w:rPr>
        <w:t>(</w:t>
      </w:r>
      <w:r w:rsidR="00061BF7">
        <w:rPr>
          <w:rFonts w:cstheme="minorHAnsi"/>
          <w:bCs/>
          <w:lang w:val="en-GB"/>
        </w:rPr>
        <w:t>A</w:t>
      </w:r>
      <w:r w:rsidRPr="00A12BCC">
        <w:rPr>
          <w:rFonts w:cstheme="minorHAnsi"/>
          <w:bCs/>
          <w:lang w:val="en-GB"/>
        </w:rPr>
        <w:t>) and richness (</w:t>
      </w:r>
      <w:r w:rsidR="00061BF7">
        <w:rPr>
          <w:rFonts w:cstheme="minorHAnsi"/>
          <w:bCs/>
          <w:lang w:val="en-GB"/>
        </w:rPr>
        <w:t>B</w:t>
      </w:r>
      <w:r w:rsidRPr="00A12BCC">
        <w:rPr>
          <w:rFonts w:cstheme="minorHAnsi"/>
          <w:bCs/>
          <w:lang w:val="en-GB"/>
        </w:rPr>
        <w:t>) within each individual microbiota sample. Data are presented as a dot plot with a line at the median. PCoA of unweighted (</w:t>
      </w:r>
      <w:r w:rsidR="00061BF7">
        <w:rPr>
          <w:rFonts w:cstheme="minorHAnsi"/>
          <w:bCs/>
          <w:lang w:val="en-GB"/>
        </w:rPr>
        <w:t>C</w:t>
      </w:r>
      <w:r w:rsidRPr="00A12BCC">
        <w:rPr>
          <w:rFonts w:cstheme="minorHAnsi"/>
          <w:bCs/>
          <w:lang w:val="en-GB"/>
        </w:rPr>
        <w:t>) and weighted (</w:t>
      </w:r>
      <w:r w:rsidR="00061BF7">
        <w:rPr>
          <w:rFonts w:cstheme="minorHAnsi"/>
          <w:bCs/>
          <w:lang w:val="en-GB"/>
        </w:rPr>
        <w:t>D</w:t>
      </w:r>
      <w:r>
        <w:rPr>
          <w:rFonts w:cstheme="minorHAnsi"/>
          <w:bCs/>
          <w:lang w:val="en-GB"/>
        </w:rPr>
        <w:t>) UniFrac distances of samples of patients with typhoid fever, non-typhoidal febrile illness or healthy controls</w:t>
      </w:r>
      <w:r w:rsidRPr="00A12BCC">
        <w:rPr>
          <w:rFonts w:cstheme="minorHAnsi"/>
          <w:bCs/>
          <w:lang w:val="en-GB"/>
        </w:rPr>
        <w:t>. *P &lt; 0.05; **P &lt; 0.01; ***</w:t>
      </w:r>
      <w:r w:rsidR="009E1082">
        <w:rPr>
          <w:rFonts w:cstheme="minorHAnsi"/>
          <w:bCs/>
          <w:lang w:val="en-GB"/>
        </w:rPr>
        <w:t>P &lt; 0.001</w:t>
      </w:r>
    </w:p>
    <w:p w14:paraId="05316DE6" w14:textId="77777777" w:rsidR="0075250F" w:rsidRDefault="0075250F" w:rsidP="00061BF7">
      <w:pPr>
        <w:spacing w:line="360" w:lineRule="auto"/>
        <w:jc w:val="both"/>
        <w:rPr>
          <w:rFonts w:cstheme="minorHAnsi"/>
          <w:b/>
          <w:lang w:val="en-GB"/>
        </w:rPr>
      </w:pPr>
    </w:p>
    <w:p w14:paraId="1F2AB6E7" w14:textId="1489C60E" w:rsidR="00622741" w:rsidRPr="00D93327" w:rsidRDefault="00622741">
      <w:pPr>
        <w:spacing w:line="360" w:lineRule="auto"/>
        <w:jc w:val="both"/>
        <w:rPr>
          <w:rFonts w:cstheme="minorHAnsi"/>
          <w:b/>
          <w:lang w:val="en-GB"/>
        </w:rPr>
      </w:pPr>
      <w:r w:rsidRPr="00D00413">
        <w:rPr>
          <w:rFonts w:cstheme="minorHAnsi"/>
          <w:b/>
          <w:lang w:val="en-GB"/>
        </w:rPr>
        <w:t xml:space="preserve">Figure </w:t>
      </w:r>
      <w:r w:rsidR="00A23935">
        <w:rPr>
          <w:rFonts w:cstheme="minorHAnsi"/>
          <w:b/>
          <w:lang w:val="en-GB"/>
        </w:rPr>
        <w:t>3</w:t>
      </w:r>
      <w:r w:rsidRPr="00D00413">
        <w:rPr>
          <w:rFonts w:cstheme="minorHAnsi"/>
          <w:b/>
          <w:lang w:val="en-GB"/>
        </w:rPr>
        <w:t xml:space="preserve">: </w:t>
      </w:r>
      <w:r w:rsidR="00DF4DBC">
        <w:rPr>
          <w:rFonts w:cstheme="minorHAnsi"/>
          <w:b/>
          <w:lang w:val="en-GB"/>
        </w:rPr>
        <w:t>L</w:t>
      </w:r>
      <w:r w:rsidRPr="00D00413">
        <w:rPr>
          <w:rFonts w:cstheme="minorHAnsi"/>
          <w:b/>
          <w:lang w:val="en-GB"/>
        </w:rPr>
        <w:t>ower amount of anaerobic bacteria with equally low abundance of faecal short-chain fatty acids in faec</w:t>
      </w:r>
      <w:r w:rsidR="003D1915">
        <w:rPr>
          <w:rFonts w:cstheme="minorHAnsi"/>
          <w:b/>
          <w:lang w:val="en-GB"/>
        </w:rPr>
        <w:t>al samples</w:t>
      </w:r>
      <w:r w:rsidRPr="00D00413">
        <w:rPr>
          <w:rFonts w:cstheme="minorHAnsi"/>
          <w:b/>
          <w:lang w:val="en-GB"/>
        </w:rPr>
        <w:t xml:space="preserve"> of </w:t>
      </w:r>
      <w:r w:rsidR="00B93DB2">
        <w:rPr>
          <w:rFonts w:cstheme="minorHAnsi"/>
          <w:b/>
          <w:lang w:val="en-GB"/>
        </w:rPr>
        <w:t>t</w:t>
      </w:r>
      <w:r w:rsidRPr="00D00413">
        <w:rPr>
          <w:rFonts w:cstheme="minorHAnsi"/>
          <w:b/>
          <w:lang w:val="en-GB"/>
        </w:rPr>
        <w:t xml:space="preserve">yphoid </w:t>
      </w:r>
      <w:r w:rsidR="003D1915">
        <w:rPr>
          <w:rFonts w:cstheme="minorHAnsi"/>
          <w:b/>
          <w:lang w:val="en-GB"/>
        </w:rPr>
        <w:t xml:space="preserve">fever </w:t>
      </w:r>
      <w:r w:rsidRPr="00D00413">
        <w:rPr>
          <w:rFonts w:cstheme="minorHAnsi"/>
          <w:b/>
          <w:lang w:val="en-GB"/>
        </w:rPr>
        <w:t>patients</w:t>
      </w:r>
    </w:p>
    <w:p w14:paraId="3232AF52" w14:textId="0D020289" w:rsidR="00A12BCC" w:rsidRDefault="00E46D2B">
      <w:pPr>
        <w:spacing w:line="360" w:lineRule="auto"/>
        <w:jc w:val="both"/>
        <w:rPr>
          <w:rFonts w:cstheme="minorHAnsi"/>
          <w:bCs/>
          <w:lang w:val="en-GB"/>
        </w:rPr>
      </w:pPr>
      <w:r>
        <w:rPr>
          <w:rFonts w:cstheme="minorHAnsi"/>
          <w:bCs/>
          <w:lang w:val="en-GB"/>
        </w:rPr>
        <w:t>Relative a</w:t>
      </w:r>
      <w:r w:rsidR="00527B6E" w:rsidRPr="00527B6E">
        <w:rPr>
          <w:rFonts w:cstheme="minorHAnsi"/>
          <w:bCs/>
          <w:lang w:val="en-GB"/>
        </w:rPr>
        <w:t xml:space="preserve">bundance of </w:t>
      </w:r>
      <w:r>
        <w:rPr>
          <w:rFonts w:cstheme="minorHAnsi"/>
          <w:bCs/>
          <w:lang w:val="en-GB"/>
        </w:rPr>
        <w:t xml:space="preserve">intestinal </w:t>
      </w:r>
      <w:r w:rsidR="00527B6E" w:rsidRPr="00527B6E">
        <w:rPr>
          <w:rFonts w:cstheme="minorHAnsi"/>
          <w:bCs/>
          <w:lang w:val="en-GB"/>
        </w:rPr>
        <w:t xml:space="preserve">butyrate-producing bacteria </w:t>
      </w:r>
      <w:r w:rsidR="00527B6E">
        <w:rPr>
          <w:rFonts w:cstheme="minorHAnsi"/>
          <w:bCs/>
          <w:lang w:val="en-GB"/>
        </w:rPr>
        <w:t>(</w:t>
      </w:r>
      <w:r w:rsidR="00061BF7">
        <w:rPr>
          <w:rFonts w:cstheme="minorHAnsi"/>
          <w:bCs/>
          <w:lang w:val="en-GB"/>
        </w:rPr>
        <w:t>A</w:t>
      </w:r>
      <w:r w:rsidR="00527B6E">
        <w:rPr>
          <w:rFonts w:cstheme="minorHAnsi"/>
          <w:bCs/>
          <w:lang w:val="en-GB"/>
        </w:rPr>
        <w:t>), absolute butyrate concentration</w:t>
      </w:r>
      <w:r w:rsidR="00527B6E" w:rsidRPr="00A12BCC">
        <w:rPr>
          <w:rFonts w:cstheme="minorHAnsi"/>
          <w:bCs/>
          <w:lang w:val="en-GB"/>
        </w:rPr>
        <w:t xml:space="preserve"> (</w:t>
      </w:r>
      <w:r w:rsidR="00061BF7">
        <w:rPr>
          <w:rFonts w:cstheme="minorHAnsi"/>
          <w:bCs/>
          <w:lang w:val="en-GB"/>
        </w:rPr>
        <w:t>B</w:t>
      </w:r>
      <w:r w:rsidR="00527B6E" w:rsidRPr="00A12BCC">
        <w:rPr>
          <w:rFonts w:cstheme="minorHAnsi"/>
          <w:bCs/>
          <w:lang w:val="en-GB"/>
        </w:rPr>
        <w:t>)</w:t>
      </w:r>
      <w:r w:rsidR="00527B6E">
        <w:rPr>
          <w:rFonts w:cstheme="minorHAnsi"/>
          <w:bCs/>
          <w:lang w:val="en-GB"/>
        </w:rPr>
        <w:t>, absolute acetate concentration (</w:t>
      </w:r>
      <w:r w:rsidR="00061BF7">
        <w:rPr>
          <w:rFonts w:cstheme="minorHAnsi"/>
          <w:bCs/>
          <w:lang w:val="en-GB"/>
        </w:rPr>
        <w:t>C</w:t>
      </w:r>
      <w:r w:rsidR="00527B6E">
        <w:rPr>
          <w:rFonts w:cstheme="minorHAnsi"/>
          <w:bCs/>
          <w:lang w:val="en-GB"/>
        </w:rPr>
        <w:t>)</w:t>
      </w:r>
      <w:r w:rsidR="00527B6E" w:rsidRPr="00A12BCC">
        <w:rPr>
          <w:rFonts w:cstheme="minorHAnsi"/>
          <w:bCs/>
          <w:lang w:val="en-GB"/>
        </w:rPr>
        <w:t xml:space="preserve"> and </w:t>
      </w:r>
      <w:r w:rsidR="00527B6E">
        <w:rPr>
          <w:rFonts w:cstheme="minorHAnsi"/>
          <w:bCs/>
          <w:lang w:val="en-GB"/>
        </w:rPr>
        <w:t>absolute propionate concentration</w:t>
      </w:r>
      <w:r w:rsidR="00527B6E" w:rsidRPr="00A12BCC">
        <w:rPr>
          <w:rFonts w:cstheme="minorHAnsi"/>
          <w:bCs/>
          <w:lang w:val="en-GB"/>
        </w:rPr>
        <w:t xml:space="preserve"> (</w:t>
      </w:r>
      <w:r w:rsidR="00061BF7">
        <w:rPr>
          <w:rFonts w:cstheme="minorHAnsi"/>
          <w:bCs/>
          <w:lang w:val="en-GB"/>
        </w:rPr>
        <w:t>D</w:t>
      </w:r>
      <w:r w:rsidR="00527B6E" w:rsidRPr="00A12BCC">
        <w:rPr>
          <w:rFonts w:cstheme="minorHAnsi"/>
          <w:bCs/>
          <w:lang w:val="en-GB"/>
        </w:rPr>
        <w:t xml:space="preserve">) </w:t>
      </w:r>
      <w:r w:rsidR="00527B6E">
        <w:rPr>
          <w:rFonts w:cstheme="minorHAnsi"/>
          <w:bCs/>
          <w:lang w:val="en-GB"/>
        </w:rPr>
        <w:t xml:space="preserve">in faecal samples </w:t>
      </w:r>
      <w:r w:rsidR="00527B6E" w:rsidRPr="00A12BCC">
        <w:rPr>
          <w:rFonts w:cstheme="minorHAnsi"/>
          <w:bCs/>
          <w:lang w:val="en-GB"/>
        </w:rPr>
        <w:t>of patients with non-typhoidal febrile illness</w:t>
      </w:r>
      <w:r w:rsidR="00B93DB2">
        <w:rPr>
          <w:rFonts w:cstheme="minorHAnsi"/>
          <w:bCs/>
          <w:lang w:val="en-GB"/>
        </w:rPr>
        <w:t xml:space="preserve"> (n=46), </w:t>
      </w:r>
      <w:r w:rsidR="00B93DB2" w:rsidRPr="00A12BCC">
        <w:rPr>
          <w:rFonts w:cstheme="minorHAnsi"/>
          <w:bCs/>
          <w:lang w:val="en-GB"/>
        </w:rPr>
        <w:t>typhoid fever</w:t>
      </w:r>
      <w:r w:rsidR="00B93DB2">
        <w:rPr>
          <w:rFonts w:cstheme="minorHAnsi"/>
          <w:bCs/>
          <w:lang w:val="en-GB"/>
        </w:rPr>
        <w:t xml:space="preserve">  (n=14)</w:t>
      </w:r>
      <w:r w:rsidR="00B93DB2" w:rsidRPr="00A12BCC">
        <w:rPr>
          <w:rFonts w:cstheme="minorHAnsi"/>
          <w:bCs/>
          <w:lang w:val="en-GB"/>
        </w:rPr>
        <w:t>,</w:t>
      </w:r>
      <w:r w:rsidR="00527B6E" w:rsidRPr="00A12BCC">
        <w:rPr>
          <w:rFonts w:cstheme="minorHAnsi"/>
          <w:bCs/>
          <w:lang w:val="en-GB"/>
        </w:rPr>
        <w:t xml:space="preserve"> or healthy controls</w:t>
      </w:r>
      <w:r w:rsidR="00B93DB2">
        <w:rPr>
          <w:rFonts w:cstheme="minorHAnsi"/>
          <w:bCs/>
          <w:lang w:val="en-GB"/>
        </w:rPr>
        <w:t xml:space="preserve"> (n=36)</w:t>
      </w:r>
      <w:r w:rsidR="00527B6E">
        <w:rPr>
          <w:rFonts w:cstheme="minorHAnsi"/>
          <w:bCs/>
          <w:lang w:val="en-GB"/>
        </w:rPr>
        <w:t xml:space="preserve">. </w:t>
      </w:r>
      <w:r w:rsidR="00A12BCC" w:rsidRPr="00A12BCC">
        <w:rPr>
          <w:rFonts w:cstheme="minorHAnsi"/>
          <w:bCs/>
          <w:lang w:val="en-GB"/>
        </w:rPr>
        <w:t xml:space="preserve">Data are presented as a dot plot with a line at the median. </w:t>
      </w:r>
      <w:r w:rsidR="00061BF7">
        <w:rPr>
          <w:rFonts w:cstheme="minorHAnsi"/>
          <w:bCs/>
          <w:lang w:val="en-GB"/>
        </w:rPr>
        <w:t xml:space="preserve">Ns, non-significant; </w:t>
      </w:r>
      <w:r w:rsidR="00A12BCC" w:rsidRPr="00A12BCC">
        <w:rPr>
          <w:rFonts w:cstheme="minorHAnsi"/>
          <w:bCs/>
          <w:lang w:val="en-GB"/>
        </w:rPr>
        <w:t>*P &lt; </w:t>
      </w:r>
      <w:r w:rsidR="009E1082">
        <w:rPr>
          <w:rFonts w:cstheme="minorHAnsi"/>
          <w:bCs/>
          <w:lang w:val="en-GB"/>
        </w:rPr>
        <w:t>0.05; **P &lt; 0.01; ***P &lt; 0.001</w:t>
      </w:r>
      <w:r w:rsidR="00787F53">
        <w:rPr>
          <w:rFonts w:cstheme="minorHAnsi"/>
          <w:bCs/>
          <w:lang w:val="en-GB"/>
        </w:rPr>
        <w:t>.</w:t>
      </w:r>
    </w:p>
    <w:sectPr w:rsidR="00A12BCC" w:rsidSect="00CF2795">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2C4E" w14:textId="77777777" w:rsidR="00767F7E" w:rsidRDefault="00767F7E" w:rsidP="00AC524B">
      <w:pPr>
        <w:spacing w:after="0" w:line="240" w:lineRule="auto"/>
      </w:pPr>
      <w:r>
        <w:separator/>
      </w:r>
    </w:p>
  </w:endnote>
  <w:endnote w:type="continuationSeparator" w:id="0">
    <w:p w14:paraId="3A616DC8" w14:textId="77777777" w:rsidR="00767F7E" w:rsidRDefault="00767F7E" w:rsidP="00AC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062268"/>
      <w:docPartObj>
        <w:docPartGallery w:val="Page Numbers (Bottom of Page)"/>
        <w:docPartUnique/>
      </w:docPartObj>
    </w:sdtPr>
    <w:sdtEndPr/>
    <w:sdtContent>
      <w:p w14:paraId="0C445BB3" w14:textId="4A400551" w:rsidR="00AF7045" w:rsidRDefault="00AF7045">
        <w:pPr>
          <w:pStyle w:val="Voettekst"/>
          <w:jc w:val="right"/>
        </w:pPr>
        <w:r>
          <w:fldChar w:fldCharType="begin"/>
        </w:r>
        <w:r>
          <w:instrText>PAGE   \* MERGEFORMAT</w:instrText>
        </w:r>
        <w:r>
          <w:fldChar w:fldCharType="separate"/>
        </w:r>
        <w:r w:rsidR="00345F78">
          <w:rPr>
            <w:noProof/>
          </w:rPr>
          <w:t>14</w:t>
        </w:r>
        <w:r>
          <w:fldChar w:fldCharType="end"/>
        </w:r>
      </w:p>
    </w:sdtContent>
  </w:sdt>
  <w:p w14:paraId="357E9AE6" w14:textId="77777777" w:rsidR="00AF7045" w:rsidRDefault="00AF70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F245" w14:textId="77777777" w:rsidR="00767F7E" w:rsidRDefault="00767F7E" w:rsidP="00AC524B">
      <w:pPr>
        <w:spacing w:after="0" w:line="240" w:lineRule="auto"/>
      </w:pPr>
      <w:r>
        <w:separator/>
      </w:r>
    </w:p>
  </w:footnote>
  <w:footnote w:type="continuationSeparator" w:id="0">
    <w:p w14:paraId="7AB695EB" w14:textId="77777777" w:rsidR="00767F7E" w:rsidRDefault="00767F7E" w:rsidP="00AC5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A28"/>
    <w:multiLevelType w:val="hybridMultilevel"/>
    <w:tmpl w:val="B2D6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6AC8"/>
    <w:multiLevelType w:val="hybridMultilevel"/>
    <w:tmpl w:val="C6A4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7847"/>
    <w:multiLevelType w:val="hybridMultilevel"/>
    <w:tmpl w:val="2C78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13CD"/>
    <w:multiLevelType w:val="hybridMultilevel"/>
    <w:tmpl w:val="A1E8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62DDC"/>
    <w:multiLevelType w:val="hybridMultilevel"/>
    <w:tmpl w:val="63682330"/>
    <w:lvl w:ilvl="0" w:tplc="3CBA1B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55E82"/>
    <w:multiLevelType w:val="hybridMultilevel"/>
    <w:tmpl w:val="EAC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20F6B"/>
    <w:multiLevelType w:val="hybridMultilevel"/>
    <w:tmpl w:val="5EE6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50EC3"/>
    <w:multiLevelType w:val="hybridMultilevel"/>
    <w:tmpl w:val="058C1D8A"/>
    <w:lvl w:ilvl="0" w:tplc="1B362B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2A107B"/>
    <w:multiLevelType w:val="hybridMultilevel"/>
    <w:tmpl w:val="F576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B3AE2"/>
    <w:multiLevelType w:val="hybridMultilevel"/>
    <w:tmpl w:val="5668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6D68BA"/>
    <w:multiLevelType w:val="hybridMultilevel"/>
    <w:tmpl w:val="01DA57B6"/>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1" w15:restartNumberingAfterBreak="0">
    <w:nsid w:val="4FDB41D8"/>
    <w:multiLevelType w:val="hybridMultilevel"/>
    <w:tmpl w:val="6DE45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033EC"/>
    <w:multiLevelType w:val="hybridMultilevel"/>
    <w:tmpl w:val="D822225E"/>
    <w:lvl w:ilvl="0" w:tplc="7292E1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24955"/>
    <w:multiLevelType w:val="hybridMultilevel"/>
    <w:tmpl w:val="B28E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74F5B"/>
    <w:multiLevelType w:val="hybridMultilevel"/>
    <w:tmpl w:val="26D894C8"/>
    <w:lvl w:ilvl="0" w:tplc="1B362B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0278E8"/>
    <w:multiLevelType w:val="hybridMultilevel"/>
    <w:tmpl w:val="392E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6"/>
  </w:num>
  <w:num w:numId="5">
    <w:abstractNumId w:val="3"/>
  </w:num>
  <w:num w:numId="6">
    <w:abstractNumId w:val="11"/>
  </w:num>
  <w:num w:numId="7">
    <w:abstractNumId w:val="10"/>
  </w:num>
  <w:num w:numId="8">
    <w:abstractNumId w:val="15"/>
  </w:num>
  <w:num w:numId="9">
    <w:abstractNumId w:val="9"/>
  </w:num>
  <w:num w:numId="10">
    <w:abstractNumId w:val="0"/>
  </w:num>
  <w:num w:numId="11">
    <w:abstractNumId w:val="8"/>
  </w:num>
  <w:num w:numId="12">
    <w:abstractNumId w:val="13"/>
  </w:num>
  <w:num w:numId="13">
    <w:abstractNumId w:val="2"/>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44"/>
    <w:rsid w:val="000142AD"/>
    <w:rsid w:val="0001581B"/>
    <w:rsid w:val="00025474"/>
    <w:rsid w:val="00030BED"/>
    <w:rsid w:val="00036414"/>
    <w:rsid w:val="00043FB6"/>
    <w:rsid w:val="000449BF"/>
    <w:rsid w:val="00054D52"/>
    <w:rsid w:val="00061BF7"/>
    <w:rsid w:val="00071F1E"/>
    <w:rsid w:val="0007259E"/>
    <w:rsid w:val="0007492D"/>
    <w:rsid w:val="000931BE"/>
    <w:rsid w:val="00097164"/>
    <w:rsid w:val="000A09DB"/>
    <w:rsid w:val="000A514E"/>
    <w:rsid w:val="000B2F47"/>
    <w:rsid w:val="000C171C"/>
    <w:rsid w:val="000C243C"/>
    <w:rsid w:val="000D040B"/>
    <w:rsid w:val="000D4BFF"/>
    <w:rsid w:val="000D556B"/>
    <w:rsid w:val="000E2312"/>
    <w:rsid w:val="001120FE"/>
    <w:rsid w:val="00122723"/>
    <w:rsid w:val="0013082F"/>
    <w:rsid w:val="00132416"/>
    <w:rsid w:val="00135614"/>
    <w:rsid w:val="00136B1F"/>
    <w:rsid w:val="00141EBC"/>
    <w:rsid w:val="00161DD6"/>
    <w:rsid w:val="001643C4"/>
    <w:rsid w:val="00165BCB"/>
    <w:rsid w:val="0016769E"/>
    <w:rsid w:val="00173CC7"/>
    <w:rsid w:val="00175983"/>
    <w:rsid w:val="001918AF"/>
    <w:rsid w:val="001A2AD0"/>
    <w:rsid w:val="001A2DB2"/>
    <w:rsid w:val="001B1672"/>
    <w:rsid w:val="001B63A5"/>
    <w:rsid w:val="001E3475"/>
    <w:rsid w:val="001F7E29"/>
    <w:rsid w:val="002053F0"/>
    <w:rsid w:val="00222DFC"/>
    <w:rsid w:val="00224F53"/>
    <w:rsid w:val="002327C1"/>
    <w:rsid w:val="0024248C"/>
    <w:rsid w:val="00242A74"/>
    <w:rsid w:val="00245A8F"/>
    <w:rsid w:val="00251868"/>
    <w:rsid w:val="00253C9C"/>
    <w:rsid w:val="00262932"/>
    <w:rsid w:val="00264237"/>
    <w:rsid w:val="00267B1E"/>
    <w:rsid w:val="00282662"/>
    <w:rsid w:val="002B2E19"/>
    <w:rsid w:val="002B6D34"/>
    <w:rsid w:val="002B7D4A"/>
    <w:rsid w:val="002C75AE"/>
    <w:rsid w:val="002D1C65"/>
    <w:rsid w:val="002E05D7"/>
    <w:rsid w:val="002E34A0"/>
    <w:rsid w:val="002E44ED"/>
    <w:rsid w:val="002F437A"/>
    <w:rsid w:val="0030496C"/>
    <w:rsid w:val="00313334"/>
    <w:rsid w:val="00313590"/>
    <w:rsid w:val="00315223"/>
    <w:rsid w:val="00315DE7"/>
    <w:rsid w:val="003250FB"/>
    <w:rsid w:val="00336AAF"/>
    <w:rsid w:val="00342A70"/>
    <w:rsid w:val="00345F78"/>
    <w:rsid w:val="00354849"/>
    <w:rsid w:val="003575D0"/>
    <w:rsid w:val="00361CC3"/>
    <w:rsid w:val="00363FA8"/>
    <w:rsid w:val="003715DB"/>
    <w:rsid w:val="00374B16"/>
    <w:rsid w:val="003840FF"/>
    <w:rsid w:val="00386D5A"/>
    <w:rsid w:val="00387307"/>
    <w:rsid w:val="00390DC1"/>
    <w:rsid w:val="003B075E"/>
    <w:rsid w:val="003B220D"/>
    <w:rsid w:val="003B39A9"/>
    <w:rsid w:val="003B6B3A"/>
    <w:rsid w:val="003C6D4A"/>
    <w:rsid w:val="003D1915"/>
    <w:rsid w:val="003E0111"/>
    <w:rsid w:val="003E5B18"/>
    <w:rsid w:val="003F05CD"/>
    <w:rsid w:val="003F6677"/>
    <w:rsid w:val="003F7F75"/>
    <w:rsid w:val="00404BF3"/>
    <w:rsid w:val="004165BD"/>
    <w:rsid w:val="00423115"/>
    <w:rsid w:val="00424AE6"/>
    <w:rsid w:val="00427AEB"/>
    <w:rsid w:val="004402B1"/>
    <w:rsid w:val="00445811"/>
    <w:rsid w:val="00446B05"/>
    <w:rsid w:val="00457AE5"/>
    <w:rsid w:val="00457FF0"/>
    <w:rsid w:val="00464B48"/>
    <w:rsid w:val="00466C36"/>
    <w:rsid w:val="00470155"/>
    <w:rsid w:val="00477A51"/>
    <w:rsid w:val="00480A49"/>
    <w:rsid w:val="00482F82"/>
    <w:rsid w:val="00492B57"/>
    <w:rsid w:val="004A62B9"/>
    <w:rsid w:val="004B4995"/>
    <w:rsid w:val="004C0B65"/>
    <w:rsid w:val="004C1C27"/>
    <w:rsid w:val="004C3544"/>
    <w:rsid w:val="004C68F6"/>
    <w:rsid w:val="004C7FFD"/>
    <w:rsid w:val="004D040B"/>
    <w:rsid w:val="004D0BDE"/>
    <w:rsid w:val="004D2989"/>
    <w:rsid w:val="004E514A"/>
    <w:rsid w:val="00503307"/>
    <w:rsid w:val="00504B2B"/>
    <w:rsid w:val="005106FC"/>
    <w:rsid w:val="00512E76"/>
    <w:rsid w:val="00515BCD"/>
    <w:rsid w:val="00520235"/>
    <w:rsid w:val="00520B46"/>
    <w:rsid w:val="00522444"/>
    <w:rsid w:val="005258AF"/>
    <w:rsid w:val="00525969"/>
    <w:rsid w:val="00527B6E"/>
    <w:rsid w:val="00534E32"/>
    <w:rsid w:val="00536744"/>
    <w:rsid w:val="005643F1"/>
    <w:rsid w:val="00565361"/>
    <w:rsid w:val="005667F6"/>
    <w:rsid w:val="005701A7"/>
    <w:rsid w:val="00570517"/>
    <w:rsid w:val="00573FE4"/>
    <w:rsid w:val="00577C0E"/>
    <w:rsid w:val="00582B9E"/>
    <w:rsid w:val="00583538"/>
    <w:rsid w:val="0058783C"/>
    <w:rsid w:val="00587BEE"/>
    <w:rsid w:val="005A24BE"/>
    <w:rsid w:val="005A573D"/>
    <w:rsid w:val="005B1816"/>
    <w:rsid w:val="005C55B0"/>
    <w:rsid w:val="005E2D18"/>
    <w:rsid w:val="005E6B0F"/>
    <w:rsid w:val="005F0E29"/>
    <w:rsid w:val="00601725"/>
    <w:rsid w:val="006106A5"/>
    <w:rsid w:val="00614896"/>
    <w:rsid w:val="00622741"/>
    <w:rsid w:val="0062624E"/>
    <w:rsid w:val="00634226"/>
    <w:rsid w:val="00636DD9"/>
    <w:rsid w:val="00644AEC"/>
    <w:rsid w:val="00655F20"/>
    <w:rsid w:val="00657271"/>
    <w:rsid w:val="00657B2C"/>
    <w:rsid w:val="00663FD7"/>
    <w:rsid w:val="00671FEA"/>
    <w:rsid w:val="0068080B"/>
    <w:rsid w:val="00681086"/>
    <w:rsid w:val="00681414"/>
    <w:rsid w:val="0068385A"/>
    <w:rsid w:val="00687DD7"/>
    <w:rsid w:val="006912B4"/>
    <w:rsid w:val="00692691"/>
    <w:rsid w:val="00696FF6"/>
    <w:rsid w:val="006A14F0"/>
    <w:rsid w:val="006B2D44"/>
    <w:rsid w:val="006F1973"/>
    <w:rsid w:val="006F1E68"/>
    <w:rsid w:val="00707A04"/>
    <w:rsid w:val="0071698A"/>
    <w:rsid w:val="0072024D"/>
    <w:rsid w:val="0072506D"/>
    <w:rsid w:val="00732AB2"/>
    <w:rsid w:val="00734400"/>
    <w:rsid w:val="00735877"/>
    <w:rsid w:val="0073638A"/>
    <w:rsid w:val="0075250F"/>
    <w:rsid w:val="00752F80"/>
    <w:rsid w:val="00764E21"/>
    <w:rsid w:val="007663DF"/>
    <w:rsid w:val="00767F7E"/>
    <w:rsid w:val="007813EF"/>
    <w:rsid w:val="00787F53"/>
    <w:rsid w:val="00794EB5"/>
    <w:rsid w:val="00795581"/>
    <w:rsid w:val="007962A4"/>
    <w:rsid w:val="00797F1A"/>
    <w:rsid w:val="007A29D7"/>
    <w:rsid w:val="007A73B2"/>
    <w:rsid w:val="007B082B"/>
    <w:rsid w:val="007B32E4"/>
    <w:rsid w:val="007B737A"/>
    <w:rsid w:val="007C05CB"/>
    <w:rsid w:val="007C3D62"/>
    <w:rsid w:val="007C7963"/>
    <w:rsid w:val="007E29B7"/>
    <w:rsid w:val="007E5544"/>
    <w:rsid w:val="007E6BCE"/>
    <w:rsid w:val="007F05D6"/>
    <w:rsid w:val="00803517"/>
    <w:rsid w:val="00803AED"/>
    <w:rsid w:val="0083055D"/>
    <w:rsid w:val="008407FD"/>
    <w:rsid w:val="00841BD6"/>
    <w:rsid w:val="008512C9"/>
    <w:rsid w:val="008628FB"/>
    <w:rsid w:val="00874A5E"/>
    <w:rsid w:val="00880117"/>
    <w:rsid w:val="008877BD"/>
    <w:rsid w:val="008B0E1B"/>
    <w:rsid w:val="008D2DFC"/>
    <w:rsid w:val="008F167E"/>
    <w:rsid w:val="008F58EF"/>
    <w:rsid w:val="008F640D"/>
    <w:rsid w:val="008F6603"/>
    <w:rsid w:val="00902701"/>
    <w:rsid w:val="0091709E"/>
    <w:rsid w:val="00917718"/>
    <w:rsid w:val="00917AFF"/>
    <w:rsid w:val="0093537C"/>
    <w:rsid w:val="009447D5"/>
    <w:rsid w:val="0094584F"/>
    <w:rsid w:val="00947F48"/>
    <w:rsid w:val="009552AB"/>
    <w:rsid w:val="009604CC"/>
    <w:rsid w:val="00962A41"/>
    <w:rsid w:val="00964B16"/>
    <w:rsid w:val="00967A8F"/>
    <w:rsid w:val="00990482"/>
    <w:rsid w:val="0099080E"/>
    <w:rsid w:val="00991916"/>
    <w:rsid w:val="00992B6C"/>
    <w:rsid w:val="00996730"/>
    <w:rsid w:val="009A5045"/>
    <w:rsid w:val="009B2E49"/>
    <w:rsid w:val="009B410C"/>
    <w:rsid w:val="009C144F"/>
    <w:rsid w:val="009E03E5"/>
    <w:rsid w:val="009E1082"/>
    <w:rsid w:val="009F2FCA"/>
    <w:rsid w:val="009F42EA"/>
    <w:rsid w:val="009F49DB"/>
    <w:rsid w:val="00A02715"/>
    <w:rsid w:val="00A123E6"/>
    <w:rsid w:val="00A12BCC"/>
    <w:rsid w:val="00A12BCF"/>
    <w:rsid w:val="00A23935"/>
    <w:rsid w:val="00A33892"/>
    <w:rsid w:val="00A3606D"/>
    <w:rsid w:val="00A7030C"/>
    <w:rsid w:val="00A91DCE"/>
    <w:rsid w:val="00AB5CD5"/>
    <w:rsid w:val="00AC524B"/>
    <w:rsid w:val="00AC7585"/>
    <w:rsid w:val="00AD2136"/>
    <w:rsid w:val="00AD4CFE"/>
    <w:rsid w:val="00AD5763"/>
    <w:rsid w:val="00AE1C7F"/>
    <w:rsid w:val="00AE7B3F"/>
    <w:rsid w:val="00AF417E"/>
    <w:rsid w:val="00AF4893"/>
    <w:rsid w:val="00AF7045"/>
    <w:rsid w:val="00B14217"/>
    <w:rsid w:val="00B154D9"/>
    <w:rsid w:val="00B23105"/>
    <w:rsid w:val="00B2351A"/>
    <w:rsid w:val="00B30E06"/>
    <w:rsid w:val="00B37F0C"/>
    <w:rsid w:val="00B44EB7"/>
    <w:rsid w:val="00B514B7"/>
    <w:rsid w:val="00B54148"/>
    <w:rsid w:val="00B620B6"/>
    <w:rsid w:val="00B64B1A"/>
    <w:rsid w:val="00B768C3"/>
    <w:rsid w:val="00B825A0"/>
    <w:rsid w:val="00B825FF"/>
    <w:rsid w:val="00B85706"/>
    <w:rsid w:val="00B93DB2"/>
    <w:rsid w:val="00B9562C"/>
    <w:rsid w:val="00BA57CD"/>
    <w:rsid w:val="00BC1008"/>
    <w:rsid w:val="00BC3F06"/>
    <w:rsid w:val="00BC569F"/>
    <w:rsid w:val="00BC7D44"/>
    <w:rsid w:val="00BF25DC"/>
    <w:rsid w:val="00BF642A"/>
    <w:rsid w:val="00C0446F"/>
    <w:rsid w:val="00C17C2A"/>
    <w:rsid w:val="00C245DB"/>
    <w:rsid w:val="00C27593"/>
    <w:rsid w:val="00C27EE4"/>
    <w:rsid w:val="00C50B99"/>
    <w:rsid w:val="00C64D55"/>
    <w:rsid w:val="00C65AC6"/>
    <w:rsid w:val="00C668FC"/>
    <w:rsid w:val="00C73E14"/>
    <w:rsid w:val="00C834A4"/>
    <w:rsid w:val="00C84A40"/>
    <w:rsid w:val="00CA09EE"/>
    <w:rsid w:val="00CA5D1E"/>
    <w:rsid w:val="00CA7073"/>
    <w:rsid w:val="00CB05E8"/>
    <w:rsid w:val="00CC052D"/>
    <w:rsid w:val="00CC7DA0"/>
    <w:rsid w:val="00CD3098"/>
    <w:rsid w:val="00CD4625"/>
    <w:rsid w:val="00CD514E"/>
    <w:rsid w:val="00CF2795"/>
    <w:rsid w:val="00CF4866"/>
    <w:rsid w:val="00D00413"/>
    <w:rsid w:val="00D065F8"/>
    <w:rsid w:val="00D139BF"/>
    <w:rsid w:val="00D23842"/>
    <w:rsid w:val="00D24B47"/>
    <w:rsid w:val="00D25DA8"/>
    <w:rsid w:val="00D26A14"/>
    <w:rsid w:val="00D3378D"/>
    <w:rsid w:val="00D34AB1"/>
    <w:rsid w:val="00D35B10"/>
    <w:rsid w:val="00D37E33"/>
    <w:rsid w:val="00D41E04"/>
    <w:rsid w:val="00D42A35"/>
    <w:rsid w:val="00D45462"/>
    <w:rsid w:val="00D53D18"/>
    <w:rsid w:val="00D5565F"/>
    <w:rsid w:val="00D6309D"/>
    <w:rsid w:val="00D631CB"/>
    <w:rsid w:val="00D76253"/>
    <w:rsid w:val="00D93327"/>
    <w:rsid w:val="00DA00C0"/>
    <w:rsid w:val="00DC2730"/>
    <w:rsid w:val="00DC4A46"/>
    <w:rsid w:val="00DC52D4"/>
    <w:rsid w:val="00DD5605"/>
    <w:rsid w:val="00DE62FE"/>
    <w:rsid w:val="00DE64BF"/>
    <w:rsid w:val="00DE7A5A"/>
    <w:rsid w:val="00DF4DBC"/>
    <w:rsid w:val="00E017B2"/>
    <w:rsid w:val="00E02578"/>
    <w:rsid w:val="00E24CA2"/>
    <w:rsid w:val="00E46D2B"/>
    <w:rsid w:val="00E5086D"/>
    <w:rsid w:val="00E5132B"/>
    <w:rsid w:val="00E8272A"/>
    <w:rsid w:val="00E90CAD"/>
    <w:rsid w:val="00E92054"/>
    <w:rsid w:val="00EA1A42"/>
    <w:rsid w:val="00EC048C"/>
    <w:rsid w:val="00ED3D41"/>
    <w:rsid w:val="00EE67BD"/>
    <w:rsid w:val="00EE7383"/>
    <w:rsid w:val="00EF0D26"/>
    <w:rsid w:val="00F041A2"/>
    <w:rsid w:val="00F05ADD"/>
    <w:rsid w:val="00F065BF"/>
    <w:rsid w:val="00F17747"/>
    <w:rsid w:val="00F2612B"/>
    <w:rsid w:val="00F3106F"/>
    <w:rsid w:val="00F33DAB"/>
    <w:rsid w:val="00F40567"/>
    <w:rsid w:val="00F54C04"/>
    <w:rsid w:val="00F56245"/>
    <w:rsid w:val="00F61AEB"/>
    <w:rsid w:val="00F67172"/>
    <w:rsid w:val="00F72996"/>
    <w:rsid w:val="00F7521E"/>
    <w:rsid w:val="00F827FD"/>
    <w:rsid w:val="00FA17F9"/>
    <w:rsid w:val="00FA2AC8"/>
    <w:rsid w:val="00FA7F38"/>
    <w:rsid w:val="00FB2164"/>
    <w:rsid w:val="00FB5003"/>
    <w:rsid w:val="00FB57CF"/>
    <w:rsid w:val="00FB7C5E"/>
    <w:rsid w:val="00FC2068"/>
    <w:rsid w:val="00FC3478"/>
    <w:rsid w:val="00FC4C70"/>
    <w:rsid w:val="00FD2512"/>
    <w:rsid w:val="00FD62B6"/>
    <w:rsid w:val="00FD7EAA"/>
    <w:rsid w:val="00FE4B5D"/>
    <w:rsid w:val="00FE573A"/>
    <w:rsid w:val="00FF3C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FD696"/>
  <w15:docId w15:val="{F9E6BEB7-66CE-42B3-B539-563217BF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C3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544"/>
    <w:pPr>
      <w:ind w:left="720"/>
      <w:contextualSpacing/>
    </w:pPr>
  </w:style>
  <w:style w:type="paragraph" w:customStyle="1" w:styleId="Titel1">
    <w:name w:val="Titel1"/>
    <w:basedOn w:val="Standaard"/>
    <w:rsid w:val="004C35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C3544"/>
    <w:rPr>
      <w:color w:val="0000FF"/>
      <w:u w:val="single"/>
    </w:rPr>
  </w:style>
  <w:style w:type="paragraph" w:customStyle="1" w:styleId="desc">
    <w:name w:val="desc"/>
    <w:basedOn w:val="Standaard"/>
    <w:rsid w:val="004C35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C3544"/>
  </w:style>
  <w:style w:type="paragraph" w:customStyle="1" w:styleId="details">
    <w:name w:val="details"/>
    <w:basedOn w:val="Standaard"/>
    <w:rsid w:val="004C35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4C3544"/>
  </w:style>
  <w:style w:type="character" w:customStyle="1" w:styleId="Kop1Char">
    <w:name w:val="Kop 1 Char"/>
    <w:basedOn w:val="Standaardalinea-lettertype"/>
    <w:link w:val="Kop1"/>
    <w:uiPriority w:val="9"/>
    <w:rsid w:val="004C3544"/>
    <w:rPr>
      <w:rFonts w:ascii="Times New Roman" w:eastAsia="Times New Roman" w:hAnsi="Times New Roman" w:cs="Times New Roman"/>
      <w:b/>
      <w:bCs/>
      <w:kern w:val="36"/>
      <w:sz w:val="48"/>
      <w:szCs w:val="48"/>
      <w:lang w:eastAsia="nl-NL"/>
    </w:rPr>
  </w:style>
  <w:style w:type="character" w:customStyle="1" w:styleId="highlight">
    <w:name w:val="highlight"/>
    <w:basedOn w:val="Standaardalinea-lettertype"/>
    <w:rsid w:val="004C3544"/>
  </w:style>
  <w:style w:type="paragraph" w:styleId="Koptekst">
    <w:name w:val="header"/>
    <w:basedOn w:val="Standaard"/>
    <w:link w:val="KoptekstChar"/>
    <w:uiPriority w:val="99"/>
    <w:unhideWhenUsed/>
    <w:rsid w:val="00AC5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24B"/>
  </w:style>
  <w:style w:type="paragraph" w:styleId="Voettekst">
    <w:name w:val="footer"/>
    <w:basedOn w:val="Standaard"/>
    <w:link w:val="VoettekstChar"/>
    <w:uiPriority w:val="99"/>
    <w:unhideWhenUsed/>
    <w:rsid w:val="00AC5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24B"/>
  </w:style>
  <w:style w:type="paragraph" w:styleId="Ballontekst">
    <w:name w:val="Balloon Text"/>
    <w:basedOn w:val="Standaard"/>
    <w:link w:val="BallontekstChar"/>
    <w:uiPriority w:val="99"/>
    <w:semiHidden/>
    <w:unhideWhenUsed/>
    <w:rsid w:val="00AF417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F417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F417E"/>
    <w:rPr>
      <w:sz w:val="18"/>
      <w:szCs w:val="18"/>
    </w:rPr>
  </w:style>
  <w:style w:type="paragraph" w:styleId="Tekstopmerking">
    <w:name w:val="annotation text"/>
    <w:basedOn w:val="Standaard"/>
    <w:link w:val="TekstopmerkingChar"/>
    <w:uiPriority w:val="99"/>
    <w:semiHidden/>
    <w:unhideWhenUsed/>
    <w:rsid w:val="00AF417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F417E"/>
    <w:rPr>
      <w:sz w:val="24"/>
      <w:szCs w:val="24"/>
    </w:rPr>
  </w:style>
  <w:style w:type="paragraph" w:styleId="Onderwerpvanopmerking">
    <w:name w:val="annotation subject"/>
    <w:basedOn w:val="Tekstopmerking"/>
    <w:next w:val="Tekstopmerking"/>
    <w:link w:val="OnderwerpvanopmerkingChar"/>
    <w:uiPriority w:val="99"/>
    <w:semiHidden/>
    <w:unhideWhenUsed/>
    <w:rsid w:val="00AF417E"/>
    <w:rPr>
      <w:b/>
      <w:bCs/>
      <w:sz w:val="20"/>
      <w:szCs w:val="20"/>
    </w:rPr>
  </w:style>
  <w:style w:type="character" w:customStyle="1" w:styleId="OnderwerpvanopmerkingChar">
    <w:name w:val="Onderwerp van opmerking Char"/>
    <w:basedOn w:val="TekstopmerkingChar"/>
    <w:link w:val="Onderwerpvanopmerking"/>
    <w:uiPriority w:val="99"/>
    <w:semiHidden/>
    <w:rsid w:val="00AF417E"/>
    <w:rPr>
      <w:b/>
      <w:bCs/>
      <w:sz w:val="20"/>
      <w:szCs w:val="20"/>
    </w:rPr>
  </w:style>
  <w:style w:type="paragraph" w:customStyle="1" w:styleId="Titel2">
    <w:name w:val="Titel2"/>
    <w:basedOn w:val="Standaard"/>
    <w:rsid w:val="000725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2327C1"/>
  </w:style>
  <w:style w:type="paragraph" w:styleId="Geenafstand">
    <w:name w:val="No Spacing"/>
    <w:uiPriority w:val="1"/>
    <w:qFormat/>
    <w:rsid w:val="00315DE7"/>
    <w:pPr>
      <w:spacing w:after="0" w:line="240" w:lineRule="auto"/>
    </w:pPr>
  </w:style>
  <w:style w:type="character" w:customStyle="1" w:styleId="fontstyle01">
    <w:name w:val="fontstyle01"/>
    <w:basedOn w:val="Standaardalinea-lettertype"/>
    <w:rsid w:val="00E8272A"/>
    <w:rPr>
      <w:rFonts w:ascii="Calibri" w:hAnsi="Calibri" w:cs="Calibri" w:hint="default"/>
      <w:b w:val="0"/>
      <w:bCs w:val="0"/>
      <w:i w:val="0"/>
      <w:iCs w:val="0"/>
      <w:color w:val="000000"/>
      <w:sz w:val="20"/>
      <w:szCs w:val="20"/>
    </w:rPr>
  </w:style>
  <w:style w:type="character" w:customStyle="1" w:styleId="Onopgelostemelding1">
    <w:name w:val="Onopgeloste melding1"/>
    <w:basedOn w:val="Standaardalinea-lettertype"/>
    <w:uiPriority w:val="99"/>
    <w:semiHidden/>
    <w:unhideWhenUsed/>
    <w:rsid w:val="00583538"/>
    <w:rPr>
      <w:color w:val="605E5C"/>
      <w:shd w:val="clear" w:color="auto" w:fill="E1DFDD"/>
    </w:rPr>
  </w:style>
  <w:style w:type="character" w:customStyle="1" w:styleId="fontstyle21">
    <w:name w:val="fontstyle21"/>
    <w:basedOn w:val="Standaardalinea-lettertype"/>
    <w:rsid w:val="00655F20"/>
    <w:rPr>
      <w:rFonts w:ascii="Calibri" w:hAnsi="Calibri" w:cs="Calibri" w:hint="default"/>
      <w:b w:val="0"/>
      <w:bCs w:val="0"/>
      <w:i w:val="0"/>
      <w:iCs w:val="0"/>
      <w:color w:val="000000"/>
      <w:sz w:val="20"/>
      <w:szCs w:val="20"/>
    </w:rPr>
  </w:style>
  <w:style w:type="paragraph" w:styleId="Normaalweb">
    <w:name w:val="Normal (Web)"/>
    <w:basedOn w:val="Standaard"/>
    <w:uiPriority w:val="99"/>
    <w:semiHidden/>
    <w:unhideWhenUsed/>
    <w:rsid w:val="00FD62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734400"/>
    <w:pPr>
      <w:spacing w:after="0" w:line="240" w:lineRule="auto"/>
    </w:pPr>
  </w:style>
  <w:style w:type="paragraph" w:customStyle="1" w:styleId="Titel3">
    <w:name w:val="Titel3"/>
    <w:basedOn w:val="Standaard"/>
    <w:rsid w:val="002F43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B63A5"/>
    <w:rPr>
      <w:i/>
      <w:iCs/>
    </w:rPr>
  </w:style>
  <w:style w:type="table" w:styleId="Tabelraster">
    <w:name w:val="Table Grid"/>
    <w:basedOn w:val="Standaardtabel"/>
    <w:uiPriority w:val="39"/>
    <w:rsid w:val="00A12B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E4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Standaardalinea-lettertype"/>
    <w:uiPriority w:val="99"/>
    <w:semiHidden/>
    <w:unhideWhenUsed/>
    <w:rsid w:val="00ED3D41"/>
    <w:rPr>
      <w:color w:val="605E5C"/>
      <w:shd w:val="clear" w:color="auto" w:fill="E1DFDD"/>
    </w:rPr>
  </w:style>
  <w:style w:type="paragraph" w:customStyle="1" w:styleId="Titel4">
    <w:name w:val="Titel4"/>
    <w:basedOn w:val="Standaard"/>
    <w:rsid w:val="00F752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2">
    <w:name w:val="Onopgeloste melding2"/>
    <w:basedOn w:val="Standaardalinea-lettertype"/>
    <w:uiPriority w:val="99"/>
    <w:semiHidden/>
    <w:unhideWhenUsed/>
    <w:rsid w:val="00EC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1759">
      <w:bodyDiv w:val="1"/>
      <w:marLeft w:val="0"/>
      <w:marRight w:val="0"/>
      <w:marTop w:val="0"/>
      <w:marBottom w:val="0"/>
      <w:divBdr>
        <w:top w:val="none" w:sz="0" w:space="0" w:color="auto"/>
        <w:left w:val="none" w:sz="0" w:space="0" w:color="auto"/>
        <w:bottom w:val="none" w:sz="0" w:space="0" w:color="auto"/>
        <w:right w:val="none" w:sz="0" w:space="0" w:color="auto"/>
      </w:divBdr>
    </w:div>
    <w:div w:id="149098165">
      <w:bodyDiv w:val="1"/>
      <w:marLeft w:val="0"/>
      <w:marRight w:val="0"/>
      <w:marTop w:val="0"/>
      <w:marBottom w:val="0"/>
      <w:divBdr>
        <w:top w:val="none" w:sz="0" w:space="0" w:color="auto"/>
        <w:left w:val="none" w:sz="0" w:space="0" w:color="auto"/>
        <w:bottom w:val="none" w:sz="0" w:space="0" w:color="auto"/>
        <w:right w:val="none" w:sz="0" w:space="0" w:color="auto"/>
      </w:divBdr>
      <w:divsChild>
        <w:div w:id="271471792">
          <w:marLeft w:val="0"/>
          <w:marRight w:val="0"/>
          <w:marTop w:val="34"/>
          <w:marBottom w:val="34"/>
          <w:divBdr>
            <w:top w:val="none" w:sz="0" w:space="0" w:color="auto"/>
            <w:left w:val="none" w:sz="0" w:space="0" w:color="auto"/>
            <w:bottom w:val="none" w:sz="0" w:space="0" w:color="auto"/>
            <w:right w:val="none" w:sz="0" w:space="0" w:color="auto"/>
          </w:divBdr>
        </w:div>
      </w:divsChild>
    </w:div>
    <w:div w:id="192305499">
      <w:bodyDiv w:val="1"/>
      <w:marLeft w:val="0"/>
      <w:marRight w:val="0"/>
      <w:marTop w:val="0"/>
      <w:marBottom w:val="0"/>
      <w:divBdr>
        <w:top w:val="none" w:sz="0" w:space="0" w:color="auto"/>
        <w:left w:val="none" w:sz="0" w:space="0" w:color="auto"/>
        <w:bottom w:val="none" w:sz="0" w:space="0" w:color="auto"/>
        <w:right w:val="none" w:sz="0" w:space="0" w:color="auto"/>
      </w:divBdr>
      <w:divsChild>
        <w:div w:id="847914133">
          <w:marLeft w:val="0"/>
          <w:marRight w:val="0"/>
          <w:marTop w:val="34"/>
          <w:marBottom w:val="34"/>
          <w:divBdr>
            <w:top w:val="none" w:sz="0" w:space="0" w:color="auto"/>
            <w:left w:val="none" w:sz="0" w:space="0" w:color="auto"/>
            <w:bottom w:val="none" w:sz="0" w:space="0" w:color="auto"/>
            <w:right w:val="none" w:sz="0" w:space="0" w:color="auto"/>
          </w:divBdr>
        </w:div>
      </w:divsChild>
    </w:div>
    <w:div w:id="360403868">
      <w:bodyDiv w:val="1"/>
      <w:marLeft w:val="0"/>
      <w:marRight w:val="0"/>
      <w:marTop w:val="0"/>
      <w:marBottom w:val="0"/>
      <w:divBdr>
        <w:top w:val="none" w:sz="0" w:space="0" w:color="auto"/>
        <w:left w:val="none" w:sz="0" w:space="0" w:color="auto"/>
        <w:bottom w:val="none" w:sz="0" w:space="0" w:color="auto"/>
        <w:right w:val="none" w:sz="0" w:space="0" w:color="auto"/>
      </w:divBdr>
      <w:divsChild>
        <w:div w:id="1182550665">
          <w:marLeft w:val="0"/>
          <w:marRight w:val="0"/>
          <w:marTop w:val="34"/>
          <w:marBottom w:val="34"/>
          <w:divBdr>
            <w:top w:val="none" w:sz="0" w:space="0" w:color="auto"/>
            <w:left w:val="none" w:sz="0" w:space="0" w:color="auto"/>
            <w:bottom w:val="none" w:sz="0" w:space="0" w:color="auto"/>
            <w:right w:val="none" w:sz="0" w:space="0" w:color="auto"/>
          </w:divBdr>
        </w:div>
      </w:divsChild>
    </w:div>
    <w:div w:id="431171445">
      <w:bodyDiv w:val="1"/>
      <w:marLeft w:val="0"/>
      <w:marRight w:val="0"/>
      <w:marTop w:val="0"/>
      <w:marBottom w:val="0"/>
      <w:divBdr>
        <w:top w:val="none" w:sz="0" w:space="0" w:color="auto"/>
        <w:left w:val="none" w:sz="0" w:space="0" w:color="auto"/>
        <w:bottom w:val="none" w:sz="0" w:space="0" w:color="auto"/>
        <w:right w:val="none" w:sz="0" w:space="0" w:color="auto"/>
      </w:divBdr>
      <w:divsChild>
        <w:div w:id="1413618774">
          <w:marLeft w:val="0"/>
          <w:marRight w:val="0"/>
          <w:marTop w:val="34"/>
          <w:marBottom w:val="34"/>
          <w:divBdr>
            <w:top w:val="none" w:sz="0" w:space="0" w:color="auto"/>
            <w:left w:val="none" w:sz="0" w:space="0" w:color="auto"/>
            <w:bottom w:val="none" w:sz="0" w:space="0" w:color="auto"/>
            <w:right w:val="none" w:sz="0" w:space="0" w:color="auto"/>
          </w:divBdr>
        </w:div>
      </w:divsChild>
    </w:div>
    <w:div w:id="598410102">
      <w:bodyDiv w:val="1"/>
      <w:marLeft w:val="0"/>
      <w:marRight w:val="0"/>
      <w:marTop w:val="0"/>
      <w:marBottom w:val="0"/>
      <w:divBdr>
        <w:top w:val="none" w:sz="0" w:space="0" w:color="auto"/>
        <w:left w:val="none" w:sz="0" w:space="0" w:color="auto"/>
        <w:bottom w:val="none" w:sz="0" w:space="0" w:color="auto"/>
        <w:right w:val="none" w:sz="0" w:space="0" w:color="auto"/>
      </w:divBdr>
    </w:div>
    <w:div w:id="609513539">
      <w:bodyDiv w:val="1"/>
      <w:marLeft w:val="0"/>
      <w:marRight w:val="0"/>
      <w:marTop w:val="0"/>
      <w:marBottom w:val="0"/>
      <w:divBdr>
        <w:top w:val="none" w:sz="0" w:space="0" w:color="auto"/>
        <w:left w:val="none" w:sz="0" w:space="0" w:color="auto"/>
        <w:bottom w:val="none" w:sz="0" w:space="0" w:color="auto"/>
        <w:right w:val="none" w:sz="0" w:space="0" w:color="auto"/>
      </w:divBdr>
      <w:divsChild>
        <w:div w:id="293830272">
          <w:marLeft w:val="0"/>
          <w:marRight w:val="0"/>
          <w:marTop w:val="34"/>
          <w:marBottom w:val="34"/>
          <w:divBdr>
            <w:top w:val="none" w:sz="0" w:space="0" w:color="auto"/>
            <w:left w:val="none" w:sz="0" w:space="0" w:color="auto"/>
            <w:bottom w:val="none" w:sz="0" w:space="0" w:color="auto"/>
            <w:right w:val="none" w:sz="0" w:space="0" w:color="auto"/>
          </w:divBdr>
        </w:div>
      </w:divsChild>
    </w:div>
    <w:div w:id="699555707">
      <w:bodyDiv w:val="1"/>
      <w:marLeft w:val="0"/>
      <w:marRight w:val="0"/>
      <w:marTop w:val="0"/>
      <w:marBottom w:val="0"/>
      <w:divBdr>
        <w:top w:val="none" w:sz="0" w:space="0" w:color="auto"/>
        <w:left w:val="none" w:sz="0" w:space="0" w:color="auto"/>
        <w:bottom w:val="none" w:sz="0" w:space="0" w:color="auto"/>
        <w:right w:val="none" w:sz="0" w:space="0" w:color="auto"/>
      </w:divBdr>
    </w:div>
    <w:div w:id="898052889">
      <w:bodyDiv w:val="1"/>
      <w:marLeft w:val="0"/>
      <w:marRight w:val="0"/>
      <w:marTop w:val="0"/>
      <w:marBottom w:val="0"/>
      <w:divBdr>
        <w:top w:val="none" w:sz="0" w:space="0" w:color="auto"/>
        <w:left w:val="none" w:sz="0" w:space="0" w:color="auto"/>
        <w:bottom w:val="none" w:sz="0" w:space="0" w:color="auto"/>
        <w:right w:val="none" w:sz="0" w:space="0" w:color="auto"/>
      </w:divBdr>
    </w:div>
    <w:div w:id="1168600060">
      <w:bodyDiv w:val="1"/>
      <w:marLeft w:val="0"/>
      <w:marRight w:val="0"/>
      <w:marTop w:val="0"/>
      <w:marBottom w:val="0"/>
      <w:divBdr>
        <w:top w:val="none" w:sz="0" w:space="0" w:color="auto"/>
        <w:left w:val="none" w:sz="0" w:space="0" w:color="auto"/>
        <w:bottom w:val="none" w:sz="0" w:space="0" w:color="auto"/>
        <w:right w:val="none" w:sz="0" w:space="0" w:color="auto"/>
      </w:divBdr>
    </w:div>
    <w:div w:id="1232422346">
      <w:bodyDiv w:val="1"/>
      <w:marLeft w:val="0"/>
      <w:marRight w:val="0"/>
      <w:marTop w:val="0"/>
      <w:marBottom w:val="0"/>
      <w:divBdr>
        <w:top w:val="none" w:sz="0" w:space="0" w:color="auto"/>
        <w:left w:val="none" w:sz="0" w:space="0" w:color="auto"/>
        <w:bottom w:val="none" w:sz="0" w:space="0" w:color="auto"/>
        <w:right w:val="none" w:sz="0" w:space="0" w:color="auto"/>
      </w:divBdr>
    </w:div>
    <w:div w:id="1267466759">
      <w:bodyDiv w:val="1"/>
      <w:marLeft w:val="0"/>
      <w:marRight w:val="0"/>
      <w:marTop w:val="0"/>
      <w:marBottom w:val="0"/>
      <w:divBdr>
        <w:top w:val="none" w:sz="0" w:space="0" w:color="auto"/>
        <w:left w:val="none" w:sz="0" w:space="0" w:color="auto"/>
        <w:bottom w:val="none" w:sz="0" w:space="0" w:color="auto"/>
        <w:right w:val="none" w:sz="0" w:space="0" w:color="auto"/>
      </w:divBdr>
    </w:div>
    <w:div w:id="1276790083">
      <w:bodyDiv w:val="1"/>
      <w:marLeft w:val="0"/>
      <w:marRight w:val="0"/>
      <w:marTop w:val="0"/>
      <w:marBottom w:val="0"/>
      <w:divBdr>
        <w:top w:val="none" w:sz="0" w:space="0" w:color="auto"/>
        <w:left w:val="none" w:sz="0" w:space="0" w:color="auto"/>
        <w:bottom w:val="none" w:sz="0" w:space="0" w:color="auto"/>
        <w:right w:val="none" w:sz="0" w:space="0" w:color="auto"/>
      </w:divBdr>
    </w:div>
    <w:div w:id="1526208031">
      <w:bodyDiv w:val="1"/>
      <w:marLeft w:val="0"/>
      <w:marRight w:val="0"/>
      <w:marTop w:val="0"/>
      <w:marBottom w:val="0"/>
      <w:divBdr>
        <w:top w:val="none" w:sz="0" w:space="0" w:color="auto"/>
        <w:left w:val="none" w:sz="0" w:space="0" w:color="auto"/>
        <w:bottom w:val="none" w:sz="0" w:space="0" w:color="auto"/>
        <w:right w:val="none" w:sz="0" w:space="0" w:color="auto"/>
      </w:divBdr>
      <w:divsChild>
        <w:div w:id="459614510">
          <w:marLeft w:val="0"/>
          <w:marRight w:val="0"/>
          <w:marTop w:val="34"/>
          <w:marBottom w:val="34"/>
          <w:divBdr>
            <w:top w:val="none" w:sz="0" w:space="0" w:color="auto"/>
            <w:left w:val="none" w:sz="0" w:space="0" w:color="auto"/>
            <w:bottom w:val="none" w:sz="0" w:space="0" w:color="auto"/>
            <w:right w:val="none" w:sz="0" w:space="0" w:color="auto"/>
          </w:divBdr>
        </w:div>
      </w:divsChild>
    </w:div>
    <w:div w:id="1536036171">
      <w:bodyDiv w:val="1"/>
      <w:marLeft w:val="0"/>
      <w:marRight w:val="0"/>
      <w:marTop w:val="0"/>
      <w:marBottom w:val="0"/>
      <w:divBdr>
        <w:top w:val="none" w:sz="0" w:space="0" w:color="auto"/>
        <w:left w:val="none" w:sz="0" w:space="0" w:color="auto"/>
        <w:bottom w:val="none" w:sz="0" w:space="0" w:color="auto"/>
        <w:right w:val="none" w:sz="0" w:space="0" w:color="auto"/>
      </w:divBdr>
      <w:divsChild>
        <w:div w:id="525483782">
          <w:marLeft w:val="0"/>
          <w:marRight w:val="0"/>
          <w:marTop w:val="34"/>
          <w:marBottom w:val="34"/>
          <w:divBdr>
            <w:top w:val="none" w:sz="0" w:space="0" w:color="auto"/>
            <w:left w:val="none" w:sz="0" w:space="0" w:color="auto"/>
            <w:bottom w:val="none" w:sz="0" w:space="0" w:color="auto"/>
            <w:right w:val="none" w:sz="0" w:space="0" w:color="auto"/>
          </w:divBdr>
        </w:div>
      </w:divsChild>
    </w:div>
    <w:div w:id="1643268171">
      <w:bodyDiv w:val="1"/>
      <w:marLeft w:val="0"/>
      <w:marRight w:val="0"/>
      <w:marTop w:val="0"/>
      <w:marBottom w:val="0"/>
      <w:divBdr>
        <w:top w:val="none" w:sz="0" w:space="0" w:color="auto"/>
        <w:left w:val="none" w:sz="0" w:space="0" w:color="auto"/>
        <w:bottom w:val="none" w:sz="0" w:space="0" w:color="auto"/>
        <w:right w:val="none" w:sz="0" w:space="0" w:color="auto"/>
      </w:divBdr>
      <w:divsChild>
        <w:div w:id="1956400553">
          <w:marLeft w:val="0"/>
          <w:marRight w:val="0"/>
          <w:marTop w:val="34"/>
          <w:marBottom w:val="34"/>
          <w:divBdr>
            <w:top w:val="none" w:sz="0" w:space="0" w:color="auto"/>
            <w:left w:val="none" w:sz="0" w:space="0" w:color="auto"/>
            <w:bottom w:val="none" w:sz="0" w:space="0" w:color="auto"/>
            <w:right w:val="none" w:sz="0" w:space="0" w:color="auto"/>
          </w:divBdr>
        </w:div>
      </w:divsChild>
    </w:div>
    <w:div w:id="1757048934">
      <w:bodyDiv w:val="1"/>
      <w:marLeft w:val="0"/>
      <w:marRight w:val="0"/>
      <w:marTop w:val="0"/>
      <w:marBottom w:val="0"/>
      <w:divBdr>
        <w:top w:val="none" w:sz="0" w:space="0" w:color="auto"/>
        <w:left w:val="none" w:sz="0" w:space="0" w:color="auto"/>
        <w:bottom w:val="none" w:sz="0" w:space="0" w:color="auto"/>
        <w:right w:val="none" w:sz="0" w:space="0" w:color="auto"/>
      </w:divBdr>
      <w:divsChild>
        <w:div w:id="1606494260">
          <w:marLeft w:val="0"/>
          <w:marRight w:val="0"/>
          <w:marTop w:val="34"/>
          <w:marBottom w:val="34"/>
          <w:divBdr>
            <w:top w:val="none" w:sz="0" w:space="0" w:color="auto"/>
            <w:left w:val="none" w:sz="0" w:space="0" w:color="auto"/>
            <w:bottom w:val="none" w:sz="0" w:space="0" w:color="auto"/>
            <w:right w:val="none" w:sz="0" w:space="0" w:color="auto"/>
          </w:divBdr>
        </w:div>
      </w:divsChild>
    </w:div>
    <w:div w:id="1871603069">
      <w:bodyDiv w:val="1"/>
      <w:marLeft w:val="0"/>
      <w:marRight w:val="0"/>
      <w:marTop w:val="0"/>
      <w:marBottom w:val="0"/>
      <w:divBdr>
        <w:top w:val="none" w:sz="0" w:space="0" w:color="auto"/>
        <w:left w:val="none" w:sz="0" w:space="0" w:color="auto"/>
        <w:bottom w:val="none" w:sz="0" w:space="0" w:color="auto"/>
        <w:right w:val="none" w:sz="0" w:space="0" w:color="auto"/>
      </w:divBdr>
      <w:divsChild>
        <w:div w:id="746925215">
          <w:marLeft w:val="0"/>
          <w:marRight w:val="0"/>
          <w:marTop w:val="34"/>
          <w:marBottom w:val="34"/>
          <w:divBdr>
            <w:top w:val="none" w:sz="0" w:space="0" w:color="auto"/>
            <w:left w:val="none" w:sz="0" w:space="0" w:color="auto"/>
            <w:bottom w:val="none" w:sz="0" w:space="0" w:color="auto"/>
            <w:right w:val="none" w:sz="0" w:space="0" w:color="auto"/>
          </w:divBdr>
        </w:div>
      </w:divsChild>
    </w:div>
    <w:div w:id="1874296365">
      <w:bodyDiv w:val="1"/>
      <w:marLeft w:val="0"/>
      <w:marRight w:val="0"/>
      <w:marTop w:val="0"/>
      <w:marBottom w:val="0"/>
      <w:divBdr>
        <w:top w:val="none" w:sz="0" w:space="0" w:color="auto"/>
        <w:left w:val="none" w:sz="0" w:space="0" w:color="auto"/>
        <w:bottom w:val="none" w:sz="0" w:space="0" w:color="auto"/>
        <w:right w:val="none" w:sz="0" w:space="0" w:color="auto"/>
      </w:divBdr>
    </w:div>
    <w:div w:id="1907298159">
      <w:bodyDiv w:val="1"/>
      <w:marLeft w:val="0"/>
      <w:marRight w:val="0"/>
      <w:marTop w:val="0"/>
      <w:marBottom w:val="0"/>
      <w:divBdr>
        <w:top w:val="none" w:sz="0" w:space="0" w:color="auto"/>
        <w:left w:val="none" w:sz="0" w:space="0" w:color="auto"/>
        <w:bottom w:val="none" w:sz="0" w:space="0" w:color="auto"/>
        <w:right w:val="none" w:sz="0" w:space="0" w:color="auto"/>
      </w:divBdr>
    </w:div>
    <w:div w:id="1926914900">
      <w:bodyDiv w:val="1"/>
      <w:marLeft w:val="0"/>
      <w:marRight w:val="0"/>
      <w:marTop w:val="0"/>
      <w:marBottom w:val="0"/>
      <w:divBdr>
        <w:top w:val="none" w:sz="0" w:space="0" w:color="auto"/>
        <w:left w:val="none" w:sz="0" w:space="0" w:color="auto"/>
        <w:bottom w:val="none" w:sz="0" w:space="0" w:color="auto"/>
        <w:right w:val="none" w:sz="0" w:space="0" w:color="auto"/>
      </w:divBdr>
    </w:div>
    <w:div w:id="1967467610">
      <w:bodyDiv w:val="1"/>
      <w:marLeft w:val="0"/>
      <w:marRight w:val="0"/>
      <w:marTop w:val="0"/>
      <w:marBottom w:val="0"/>
      <w:divBdr>
        <w:top w:val="none" w:sz="0" w:space="0" w:color="auto"/>
        <w:left w:val="none" w:sz="0" w:space="0" w:color="auto"/>
        <w:bottom w:val="none" w:sz="0" w:space="0" w:color="auto"/>
        <w:right w:val="none" w:sz="0" w:space="0" w:color="auto"/>
      </w:divBdr>
      <w:divsChild>
        <w:div w:id="578029258">
          <w:marLeft w:val="0"/>
          <w:marRight w:val="0"/>
          <w:marTop w:val="96"/>
          <w:marBottom w:val="0"/>
          <w:divBdr>
            <w:top w:val="none" w:sz="0" w:space="0" w:color="auto"/>
            <w:left w:val="none" w:sz="0" w:space="0" w:color="auto"/>
            <w:bottom w:val="none" w:sz="0" w:space="0" w:color="auto"/>
            <w:right w:val="none" w:sz="0" w:space="0" w:color="auto"/>
          </w:divBdr>
        </w:div>
      </w:divsChild>
    </w:div>
    <w:div w:id="2079084944">
      <w:bodyDiv w:val="1"/>
      <w:marLeft w:val="0"/>
      <w:marRight w:val="0"/>
      <w:marTop w:val="0"/>
      <w:marBottom w:val="0"/>
      <w:divBdr>
        <w:top w:val="none" w:sz="0" w:space="0" w:color="auto"/>
        <w:left w:val="none" w:sz="0" w:space="0" w:color="auto"/>
        <w:bottom w:val="none" w:sz="0" w:space="0" w:color="auto"/>
        <w:right w:val="none" w:sz="0" w:space="0" w:color="auto"/>
      </w:divBdr>
    </w:div>
    <w:div w:id="21249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haak@amsterdamum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de%20Jong%20HK%5BAuthor%5D&amp;cauthor=true&amp;cauthor_uid=28749963" TargetMode="External"/><Relationship Id="rId5" Type="http://schemas.openxmlformats.org/officeDocument/2006/relationships/webSettings" Target="webSettings.xml"/><Relationship Id="rId10" Type="http://schemas.openxmlformats.org/officeDocument/2006/relationships/hyperlink" Target="mailto:w.j.wiersinga@amsterdamumc.n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6027-7D93-48D1-AF91-A0B6E5F0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5388</Words>
  <Characters>30717</Characters>
  <Application>Microsoft Office Word</Application>
  <DocSecurity>0</DocSecurity>
  <Lines>255</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wjwiersinga</dc:creator>
  <cp:lastModifiedBy>Bas Haak</cp:lastModifiedBy>
  <cp:revision>2</cp:revision>
  <dcterms:created xsi:type="dcterms:W3CDTF">2020-06-06T10:12:00Z</dcterms:created>
  <dcterms:modified xsi:type="dcterms:W3CDTF">2020-06-06T10:12:00Z</dcterms:modified>
</cp:coreProperties>
</file>