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222A" w14:textId="0FB0F521" w:rsidR="00E920C9" w:rsidRDefault="00E920C9" w:rsidP="003A38B7">
      <w:pPr>
        <w:spacing w:after="0" w:line="360" w:lineRule="auto"/>
        <w:rPr>
          <w:rFonts w:ascii="Arial" w:eastAsia="Times New Roman" w:hAnsi="Arial" w:cs="Arial"/>
          <w:b/>
          <w:color w:val="000000" w:themeColor="text1"/>
          <w:lang w:eastAsia="en-GB"/>
        </w:rPr>
      </w:pPr>
      <w:r w:rsidRPr="00B42628">
        <w:rPr>
          <w:rFonts w:ascii="Arial" w:eastAsia="Times New Roman" w:hAnsi="Arial" w:cs="Arial"/>
          <w:b/>
          <w:color w:val="000000" w:themeColor="text1"/>
          <w:lang w:eastAsia="en-GB"/>
        </w:rPr>
        <w:t>Impact Assessment for the 21</w:t>
      </w:r>
      <w:r w:rsidRPr="00B42628">
        <w:rPr>
          <w:rFonts w:ascii="Arial" w:eastAsia="Times New Roman" w:hAnsi="Arial" w:cs="Arial"/>
          <w:b/>
          <w:color w:val="000000" w:themeColor="text1"/>
          <w:vertAlign w:val="superscript"/>
          <w:lang w:eastAsia="en-GB"/>
        </w:rPr>
        <w:t>st</w:t>
      </w:r>
      <w:r w:rsidRPr="00B42628">
        <w:rPr>
          <w:rFonts w:ascii="Arial" w:eastAsia="Times New Roman" w:hAnsi="Arial" w:cs="Arial"/>
          <w:b/>
          <w:color w:val="000000" w:themeColor="text1"/>
          <w:lang w:eastAsia="en-GB"/>
        </w:rPr>
        <w:t xml:space="preserve"> century – what future?</w:t>
      </w:r>
    </w:p>
    <w:p w14:paraId="12B8A066" w14:textId="7360DB1A" w:rsidR="0080081F" w:rsidRDefault="0080081F" w:rsidP="003A38B7">
      <w:pPr>
        <w:spacing w:after="0" w:line="360"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ACCEPTED MANUSCRIPT</w:t>
      </w:r>
      <w:bookmarkStart w:id="0" w:name="_GoBack"/>
      <w:bookmarkEnd w:id="0"/>
    </w:p>
    <w:p w14:paraId="7D369A29" w14:textId="77777777" w:rsidR="0080081F" w:rsidRPr="00B42628" w:rsidRDefault="0080081F" w:rsidP="003A38B7">
      <w:pPr>
        <w:spacing w:after="0" w:line="360" w:lineRule="auto"/>
        <w:rPr>
          <w:rFonts w:ascii="Arial" w:eastAsia="Times New Roman" w:hAnsi="Arial" w:cs="Arial"/>
          <w:b/>
          <w:color w:val="000000" w:themeColor="text1"/>
          <w:lang w:eastAsia="en-GB"/>
        </w:rPr>
      </w:pPr>
    </w:p>
    <w:p w14:paraId="24745FDB" w14:textId="623D42FD" w:rsidR="003A38B7" w:rsidRPr="00B42628" w:rsidRDefault="003A38B7" w:rsidP="003A38B7">
      <w:pPr>
        <w:spacing w:after="0" w:line="360" w:lineRule="auto"/>
        <w:rPr>
          <w:rFonts w:ascii="Arial" w:eastAsia="Times New Roman" w:hAnsi="Arial" w:cs="Arial"/>
          <w:i/>
          <w:color w:val="000000" w:themeColor="text1"/>
          <w:lang w:eastAsia="en-GB"/>
        </w:rPr>
      </w:pPr>
      <w:r w:rsidRPr="00B42628">
        <w:rPr>
          <w:rFonts w:ascii="Arial" w:eastAsia="Times New Roman" w:hAnsi="Arial" w:cs="Arial"/>
          <w:i/>
          <w:color w:val="000000" w:themeColor="text1"/>
          <w:lang w:eastAsia="en-GB"/>
        </w:rPr>
        <w:t>By Sara Bice</w:t>
      </w:r>
      <w:r w:rsidR="008D724D">
        <w:rPr>
          <w:rFonts w:ascii="Arial" w:eastAsia="Times New Roman" w:hAnsi="Arial" w:cs="Arial"/>
          <w:i/>
          <w:color w:val="000000" w:themeColor="text1"/>
          <w:vertAlign w:val="superscript"/>
          <w:lang w:eastAsia="en-GB"/>
        </w:rPr>
        <w:t>1</w:t>
      </w:r>
      <w:r w:rsidR="00C376B9">
        <w:rPr>
          <w:rFonts w:ascii="Arial" w:eastAsia="Times New Roman" w:hAnsi="Arial" w:cs="Arial"/>
          <w:i/>
          <w:color w:val="000000" w:themeColor="text1"/>
          <w:vertAlign w:val="superscript"/>
          <w:lang w:eastAsia="en-GB"/>
        </w:rPr>
        <w:t>,2</w:t>
      </w:r>
      <w:r w:rsidR="00771623" w:rsidRPr="00B42628">
        <w:rPr>
          <w:rFonts w:ascii="Arial" w:eastAsia="Times New Roman" w:hAnsi="Arial" w:cs="Arial"/>
          <w:i/>
          <w:color w:val="000000" w:themeColor="text1"/>
          <w:lang w:eastAsia="en-GB"/>
        </w:rPr>
        <w:t xml:space="preserve"> and Thomas B Fische</w:t>
      </w:r>
      <w:r w:rsidR="00C376B9">
        <w:rPr>
          <w:rFonts w:ascii="Arial" w:eastAsia="Times New Roman" w:hAnsi="Arial" w:cs="Arial"/>
          <w:i/>
          <w:color w:val="000000" w:themeColor="text1"/>
          <w:vertAlign w:val="superscript"/>
          <w:lang w:eastAsia="en-GB"/>
        </w:rPr>
        <w:t>3,4</w:t>
      </w:r>
    </w:p>
    <w:p w14:paraId="1F8E09AF" w14:textId="633FD62D" w:rsidR="003A38B7" w:rsidRDefault="008D724D" w:rsidP="008D724D">
      <w:pPr>
        <w:pStyle w:val="ListParagraph"/>
        <w:numPr>
          <w:ilvl w:val="0"/>
          <w:numId w:val="5"/>
        </w:numPr>
        <w:spacing w:after="0" w:line="360" w:lineRule="auto"/>
        <w:rPr>
          <w:rFonts w:ascii="Arial" w:eastAsia="Times New Roman" w:hAnsi="Arial" w:cs="Arial"/>
          <w:color w:val="000000" w:themeColor="text1"/>
          <w:lang w:eastAsia="en-GB"/>
        </w:rPr>
      </w:pPr>
      <w:r w:rsidRPr="008D724D">
        <w:rPr>
          <w:rFonts w:ascii="Arial" w:eastAsia="Times New Roman" w:hAnsi="Arial" w:cs="Arial"/>
          <w:color w:val="000000" w:themeColor="text1"/>
          <w:lang w:eastAsia="en-GB"/>
        </w:rPr>
        <w:t xml:space="preserve">ANU College of Asia and the Pacific, The Australian National University, Canberra, </w:t>
      </w:r>
      <w:proofErr w:type="spellStart"/>
      <w:r w:rsidRPr="008D724D">
        <w:rPr>
          <w:rFonts w:ascii="Arial" w:eastAsia="Times New Roman" w:hAnsi="Arial" w:cs="Arial"/>
          <w:color w:val="000000" w:themeColor="text1"/>
          <w:lang w:eastAsia="en-GB"/>
        </w:rPr>
        <w:t>Austalia</w:t>
      </w:r>
      <w:proofErr w:type="spellEnd"/>
      <w:r w:rsidRPr="008D724D">
        <w:rPr>
          <w:rFonts w:ascii="Arial" w:eastAsia="Times New Roman" w:hAnsi="Arial" w:cs="Arial"/>
          <w:color w:val="000000" w:themeColor="text1"/>
          <w:lang w:eastAsia="en-GB"/>
        </w:rPr>
        <w:t xml:space="preserve">;  </w:t>
      </w:r>
      <w:hyperlink r:id="rId8" w:history="1">
        <w:r w:rsidRPr="00127656">
          <w:rPr>
            <w:rStyle w:val="Hyperlink"/>
            <w:rFonts w:ascii="Arial" w:eastAsia="Times New Roman" w:hAnsi="Arial" w:cs="Arial"/>
            <w:lang w:eastAsia="en-GB"/>
          </w:rPr>
          <w:t>Sara.Bice@anu.edu.au</w:t>
        </w:r>
      </w:hyperlink>
    </w:p>
    <w:p w14:paraId="23085644" w14:textId="3C672363" w:rsidR="00C376B9" w:rsidRPr="008D724D" w:rsidRDefault="00C376B9" w:rsidP="008D724D">
      <w:pPr>
        <w:pStyle w:val="ListParagraph"/>
        <w:numPr>
          <w:ilvl w:val="0"/>
          <w:numId w:val="5"/>
        </w:numPr>
        <w:spacing w:after="0"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School of Public Policy and Management, Tsinghua University, Beijing, China</w:t>
      </w:r>
    </w:p>
    <w:p w14:paraId="7069AEDE" w14:textId="11BA32CA" w:rsidR="008D724D" w:rsidRDefault="00C376B9" w:rsidP="008D724D">
      <w:pPr>
        <w:pStyle w:val="ListParagraph"/>
        <w:numPr>
          <w:ilvl w:val="0"/>
          <w:numId w:val="5"/>
        </w:numPr>
        <w:spacing w:after="0"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Environmental Assessment and Management Research Centre, WHO Collaborating Centre Health in Impact Assessments, University of Liverpool, UK; </w:t>
      </w:r>
      <w:hyperlink r:id="rId9" w:history="1">
        <w:r w:rsidRPr="00127656">
          <w:rPr>
            <w:rStyle w:val="Hyperlink"/>
            <w:rFonts w:ascii="Arial" w:eastAsia="Times New Roman" w:hAnsi="Arial" w:cs="Arial"/>
            <w:lang w:eastAsia="en-GB"/>
          </w:rPr>
          <w:t>fischer@liverpool.ac.uk</w:t>
        </w:r>
      </w:hyperlink>
    </w:p>
    <w:p w14:paraId="46FB2F21" w14:textId="2F3B349E" w:rsidR="00C376B9" w:rsidRPr="00C376B9" w:rsidRDefault="00C376B9" w:rsidP="008D724D">
      <w:pPr>
        <w:pStyle w:val="ListParagraph"/>
        <w:numPr>
          <w:ilvl w:val="0"/>
          <w:numId w:val="5"/>
        </w:numPr>
        <w:spacing w:after="0" w:line="360" w:lineRule="auto"/>
        <w:rPr>
          <w:rFonts w:ascii="Arial" w:eastAsia="Times New Roman" w:hAnsi="Arial" w:cs="Arial"/>
          <w:color w:val="000000" w:themeColor="text1"/>
          <w:lang w:eastAsia="en-GB"/>
        </w:rPr>
      </w:pPr>
      <w:r w:rsidRPr="00C376B9">
        <w:rPr>
          <w:rFonts w:ascii="Arial" w:hAnsi="Arial" w:cs="Arial"/>
        </w:rPr>
        <w:t>Research Unit for Environmental Science and Management, Faculty of Natural and Agricultural Sciences, North West University (Potchefstroom Campus), South Africa</w:t>
      </w:r>
    </w:p>
    <w:p w14:paraId="3A251530" w14:textId="77777777" w:rsidR="008D724D" w:rsidRPr="00B42628" w:rsidRDefault="008D724D" w:rsidP="003A38B7">
      <w:pPr>
        <w:spacing w:after="0" w:line="360" w:lineRule="auto"/>
        <w:rPr>
          <w:rFonts w:ascii="Arial" w:eastAsia="Times New Roman" w:hAnsi="Arial" w:cs="Arial"/>
          <w:color w:val="000000" w:themeColor="text1"/>
          <w:lang w:eastAsia="en-GB"/>
        </w:rPr>
      </w:pPr>
    </w:p>
    <w:p w14:paraId="27165019" w14:textId="3CDE1E2F" w:rsidR="003A38B7" w:rsidRPr="00B42628" w:rsidRDefault="00F26F1F"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The third decade of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 will be one of milestones and turning points</w:t>
      </w:r>
      <w:r w:rsidR="00CE611E">
        <w:rPr>
          <w:rFonts w:ascii="Arial" w:eastAsia="Times New Roman" w:hAnsi="Arial" w:cs="Arial"/>
          <w:color w:val="000000" w:themeColor="text1"/>
          <w:lang w:eastAsia="en-GB"/>
        </w:rPr>
        <w:t xml:space="preserve"> for impact assessment (IA)</w:t>
      </w:r>
      <w:r w:rsidR="004B4FA2" w:rsidRPr="00B42628">
        <w:rPr>
          <w:rFonts w:ascii="Arial" w:eastAsia="Times New Roman" w:hAnsi="Arial" w:cs="Arial"/>
          <w:color w:val="000000" w:themeColor="text1"/>
          <w:lang w:eastAsia="en-GB"/>
        </w:rPr>
        <w:t xml:space="preserve">. The United States’ globally influential National Environmental Policy Act (NEPA), which enshrined environmental assessment </w:t>
      </w:r>
      <w:r w:rsidR="003A38B7" w:rsidRPr="00B42628">
        <w:rPr>
          <w:rFonts w:ascii="Arial" w:eastAsia="Times New Roman" w:hAnsi="Arial" w:cs="Arial"/>
          <w:color w:val="000000" w:themeColor="text1"/>
          <w:lang w:eastAsia="en-GB"/>
        </w:rPr>
        <w:t xml:space="preserve">(EA) </w:t>
      </w:r>
      <w:r w:rsidR="004B4FA2" w:rsidRPr="00B42628">
        <w:rPr>
          <w:rFonts w:ascii="Arial" w:eastAsia="Times New Roman" w:hAnsi="Arial" w:cs="Arial"/>
          <w:color w:val="000000" w:themeColor="text1"/>
          <w:lang w:eastAsia="en-GB"/>
        </w:rPr>
        <w:t>into law, is 50</w:t>
      </w:r>
      <w:r w:rsidR="00E62FE9" w:rsidRPr="00B42628">
        <w:rPr>
          <w:rFonts w:ascii="Arial" w:eastAsia="Times New Roman" w:hAnsi="Arial" w:cs="Arial"/>
          <w:color w:val="000000" w:themeColor="text1"/>
          <w:lang w:eastAsia="en-GB"/>
        </w:rPr>
        <w:t xml:space="preserve"> (see e.g. Caldwell, 1988</w:t>
      </w:r>
      <w:r w:rsidR="003A38B7" w:rsidRPr="00B42628">
        <w:rPr>
          <w:rFonts w:ascii="Arial" w:eastAsia="Times New Roman" w:hAnsi="Arial" w:cs="Arial"/>
          <w:color w:val="000000" w:themeColor="text1"/>
          <w:lang w:eastAsia="en-GB"/>
        </w:rPr>
        <w:t>)</w:t>
      </w:r>
      <w:r w:rsidR="004B4FA2" w:rsidRPr="00B42628">
        <w:rPr>
          <w:rFonts w:ascii="Arial" w:eastAsia="Times New Roman" w:hAnsi="Arial" w:cs="Arial"/>
          <w:color w:val="000000" w:themeColor="text1"/>
          <w:lang w:eastAsia="en-GB"/>
        </w:rPr>
        <w:t xml:space="preserve">. Meanwhile, the United Nation’s </w:t>
      </w:r>
      <w:r w:rsidR="00A92B9F" w:rsidRPr="00B42628">
        <w:rPr>
          <w:rFonts w:ascii="Arial" w:eastAsia="Times New Roman" w:hAnsi="Arial" w:cs="Arial"/>
          <w:color w:val="000000" w:themeColor="text1"/>
          <w:lang w:eastAsia="en-GB"/>
        </w:rPr>
        <w:t xml:space="preserve">much younger </w:t>
      </w:r>
      <w:r w:rsidR="004B4FA2" w:rsidRPr="00B42628">
        <w:rPr>
          <w:rFonts w:ascii="Arial" w:eastAsia="Times New Roman" w:hAnsi="Arial" w:cs="Arial"/>
          <w:color w:val="000000" w:themeColor="text1"/>
          <w:lang w:eastAsia="en-GB"/>
        </w:rPr>
        <w:t>Sustainable Development Goals</w:t>
      </w:r>
      <w:r w:rsidRPr="00B42628">
        <w:rPr>
          <w:rFonts w:ascii="Arial" w:eastAsia="Times New Roman" w:hAnsi="Arial" w:cs="Arial"/>
          <w:color w:val="000000" w:themeColor="text1"/>
          <w:lang w:eastAsia="en-GB"/>
        </w:rPr>
        <w:t xml:space="preserve"> (SDGs)</w:t>
      </w:r>
      <w:r w:rsidR="004B4FA2" w:rsidRPr="00B42628">
        <w:rPr>
          <w:rFonts w:ascii="Arial" w:eastAsia="Times New Roman" w:hAnsi="Arial" w:cs="Arial"/>
          <w:color w:val="000000" w:themeColor="text1"/>
          <w:lang w:eastAsia="en-GB"/>
        </w:rPr>
        <w:t xml:space="preserve"> have an agenda to 2030 and the International Panel on Climate Change’s 2050 carbon neutral targets are drawing closer</w:t>
      </w:r>
      <w:r w:rsidR="00F502E7" w:rsidRPr="00B42628">
        <w:rPr>
          <w:rFonts w:ascii="Arial" w:eastAsia="Times New Roman" w:hAnsi="Arial" w:cs="Arial"/>
          <w:color w:val="000000" w:themeColor="text1"/>
          <w:lang w:eastAsia="en-GB"/>
        </w:rPr>
        <w:t>,</w:t>
      </w:r>
      <w:r w:rsidRPr="00B42628">
        <w:rPr>
          <w:rFonts w:ascii="Arial" w:eastAsia="Times New Roman" w:hAnsi="Arial" w:cs="Arial"/>
          <w:color w:val="000000" w:themeColor="text1"/>
          <w:lang w:eastAsia="en-GB"/>
        </w:rPr>
        <w:t xml:space="preserve"> while</w:t>
      </w:r>
      <w:r w:rsidR="00C839DA" w:rsidRPr="00B42628">
        <w:rPr>
          <w:rFonts w:ascii="Arial" w:eastAsia="Times New Roman" w:hAnsi="Arial" w:cs="Arial"/>
          <w:color w:val="000000" w:themeColor="text1"/>
          <w:lang w:eastAsia="en-GB"/>
        </w:rPr>
        <w:t xml:space="preserve"> the 1.5°C and 2°C Paris Agreement targets</w:t>
      </w:r>
      <w:r w:rsidRPr="00B42628">
        <w:rPr>
          <w:rFonts w:ascii="Arial" w:eastAsia="Times New Roman" w:hAnsi="Arial" w:cs="Arial"/>
          <w:color w:val="000000" w:themeColor="text1"/>
          <w:lang w:eastAsia="en-GB"/>
        </w:rPr>
        <w:t xml:space="preserve"> looking frighteningly unlikely to be met</w:t>
      </w:r>
      <w:r w:rsidR="00C839DA" w:rsidRPr="00B42628">
        <w:rPr>
          <w:rFonts w:ascii="Arial" w:eastAsia="Times New Roman" w:hAnsi="Arial" w:cs="Arial"/>
          <w:color w:val="000000" w:themeColor="text1"/>
          <w:lang w:eastAsia="en-GB"/>
        </w:rPr>
        <w:t xml:space="preserve"> (UNEP, 2019)</w:t>
      </w:r>
      <w:r w:rsidR="004B4FA2" w:rsidRPr="00B42628">
        <w:rPr>
          <w:rFonts w:ascii="Arial" w:eastAsia="Times New Roman" w:hAnsi="Arial" w:cs="Arial"/>
          <w:color w:val="000000" w:themeColor="text1"/>
          <w:lang w:eastAsia="en-GB"/>
        </w:rPr>
        <w:t xml:space="preserve">. </w:t>
      </w:r>
      <w:r w:rsidR="005F4FC2" w:rsidRPr="00B42628">
        <w:rPr>
          <w:rFonts w:ascii="Arial" w:eastAsia="Times New Roman" w:hAnsi="Arial" w:cs="Arial"/>
          <w:color w:val="000000" w:themeColor="text1"/>
          <w:lang w:eastAsia="en-GB"/>
        </w:rPr>
        <w:t>In this context, impact assessment</w:t>
      </w:r>
      <w:r w:rsidR="00040B63" w:rsidRPr="00B42628">
        <w:rPr>
          <w:rFonts w:ascii="Arial" w:eastAsia="Times New Roman" w:hAnsi="Arial" w:cs="Arial"/>
          <w:color w:val="000000" w:themeColor="text1"/>
          <w:lang w:eastAsia="en-GB"/>
        </w:rPr>
        <w:t>s</w:t>
      </w:r>
      <w:r w:rsidR="005F4FC2" w:rsidRPr="00B42628">
        <w:rPr>
          <w:rFonts w:ascii="Arial" w:eastAsia="Times New Roman" w:hAnsi="Arial" w:cs="Arial"/>
          <w:color w:val="000000" w:themeColor="text1"/>
          <w:lang w:eastAsia="en-GB"/>
        </w:rPr>
        <w:t xml:space="preserve"> </w:t>
      </w:r>
      <w:r w:rsidR="007F68A4" w:rsidRPr="00B42628">
        <w:rPr>
          <w:rFonts w:ascii="Arial" w:eastAsia="Times New Roman" w:hAnsi="Arial" w:cs="Arial"/>
          <w:color w:val="000000" w:themeColor="text1"/>
          <w:lang w:eastAsia="en-GB"/>
        </w:rPr>
        <w:t xml:space="preserve">of all types </w:t>
      </w:r>
      <w:r w:rsidR="00A92B9F" w:rsidRPr="00B42628">
        <w:rPr>
          <w:rFonts w:ascii="Arial" w:eastAsia="Times New Roman" w:hAnsi="Arial" w:cs="Arial"/>
          <w:color w:val="000000" w:themeColor="text1"/>
          <w:lang w:eastAsia="en-GB"/>
        </w:rPr>
        <w:t xml:space="preserve">will </w:t>
      </w:r>
      <w:r w:rsidR="005F4FC2" w:rsidRPr="00B42628">
        <w:rPr>
          <w:rFonts w:ascii="Arial" w:eastAsia="Times New Roman" w:hAnsi="Arial" w:cs="Arial"/>
          <w:color w:val="000000" w:themeColor="text1"/>
          <w:lang w:eastAsia="en-GB"/>
        </w:rPr>
        <w:t xml:space="preserve">play an important role in </w:t>
      </w:r>
      <w:r w:rsidR="003851DB" w:rsidRPr="00B42628">
        <w:rPr>
          <w:rFonts w:ascii="Arial" w:eastAsia="Times New Roman" w:hAnsi="Arial" w:cs="Arial"/>
          <w:color w:val="000000" w:themeColor="text1"/>
          <w:lang w:eastAsia="en-GB"/>
        </w:rPr>
        <w:t xml:space="preserve">delivering the evidence </w:t>
      </w:r>
      <w:r w:rsidR="005F4FC2" w:rsidRPr="00B42628">
        <w:rPr>
          <w:rFonts w:ascii="Arial" w:eastAsia="Times New Roman" w:hAnsi="Arial" w:cs="Arial"/>
          <w:color w:val="000000" w:themeColor="text1"/>
          <w:lang w:eastAsia="en-GB"/>
        </w:rPr>
        <w:t xml:space="preserve">necessary </w:t>
      </w:r>
      <w:r w:rsidR="003851DB" w:rsidRPr="00B42628">
        <w:rPr>
          <w:rFonts w:ascii="Arial" w:eastAsia="Times New Roman" w:hAnsi="Arial" w:cs="Arial"/>
          <w:color w:val="000000" w:themeColor="text1"/>
          <w:lang w:eastAsia="en-GB"/>
        </w:rPr>
        <w:t>to support climate change mitigation, promote environmental justice and a</w:t>
      </w:r>
      <w:r w:rsidR="00D97936" w:rsidRPr="00B42628">
        <w:rPr>
          <w:rFonts w:ascii="Arial" w:eastAsia="Times New Roman" w:hAnsi="Arial" w:cs="Arial"/>
          <w:color w:val="000000" w:themeColor="text1"/>
          <w:lang w:eastAsia="en-GB"/>
        </w:rPr>
        <w:t>dvance a</w:t>
      </w:r>
      <w:r w:rsidR="003851DB" w:rsidRPr="00B42628">
        <w:rPr>
          <w:rFonts w:ascii="Arial" w:eastAsia="Times New Roman" w:hAnsi="Arial" w:cs="Arial"/>
          <w:color w:val="000000" w:themeColor="text1"/>
          <w:lang w:eastAsia="en-GB"/>
        </w:rPr>
        <w:t xml:space="preserve"> sustainable future</w:t>
      </w:r>
      <w:r w:rsidR="005F4FC2" w:rsidRPr="00B42628">
        <w:rPr>
          <w:rFonts w:ascii="Arial" w:eastAsia="Times New Roman" w:hAnsi="Arial" w:cs="Arial"/>
          <w:color w:val="000000" w:themeColor="text1"/>
          <w:lang w:eastAsia="en-GB"/>
        </w:rPr>
        <w:t>.</w:t>
      </w:r>
    </w:p>
    <w:p w14:paraId="5042CB9E" w14:textId="77777777" w:rsidR="00F502E7" w:rsidRPr="00B42628" w:rsidRDefault="00F502E7" w:rsidP="00F502E7">
      <w:pPr>
        <w:spacing w:after="0" w:line="360" w:lineRule="auto"/>
        <w:rPr>
          <w:rFonts w:ascii="Arial" w:eastAsia="Times New Roman" w:hAnsi="Arial" w:cs="Arial"/>
          <w:color w:val="000000" w:themeColor="text1"/>
          <w:lang w:eastAsia="en-GB"/>
        </w:rPr>
      </w:pPr>
    </w:p>
    <w:p w14:paraId="7D2D7D55" w14:textId="0D172FB9" w:rsidR="00F502E7" w:rsidRPr="00B42628" w:rsidRDefault="00F502E7" w:rsidP="00F502E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 xml:space="preserve">This Special Issue of </w:t>
      </w:r>
      <w:r w:rsidRPr="00B42628">
        <w:rPr>
          <w:rFonts w:ascii="Arial" w:eastAsia="Times New Roman" w:hAnsi="Arial" w:cs="Arial"/>
          <w:i/>
          <w:iCs/>
          <w:color w:val="000000" w:themeColor="text1"/>
          <w:lang w:eastAsia="en-GB"/>
        </w:rPr>
        <w:t>Impact Assessment and Project Appraisal</w:t>
      </w:r>
      <w:r w:rsidRPr="00B42628">
        <w:rPr>
          <w:rFonts w:ascii="Arial" w:eastAsia="Times New Roman" w:hAnsi="Arial" w:cs="Arial"/>
          <w:color w:val="000000" w:themeColor="text1"/>
          <w:lang w:eastAsia="en-GB"/>
        </w:rPr>
        <w:t xml:space="preserve"> takes a timely opportunity to </w:t>
      </w:r>
      <w:r w:rsidR="00B65FBE" w:rsidRPr="00B42628">
        <w:rPr>
          <w:rFonts w:ascii="Arial" w:eastAsia="Times New Roman" w:hAnsi="Arial" w:cs="Arial"/>
          <w:color w:val="000000" w:themeColor="text1"/>
          <w:lang w:eastAsia="en-GB"/>
        </w:rPr>
        <w:t xml:space="preserve">consider the shape and role </w:t>
      </w:r>
      <w:r w:rsidRPr="00B42628">
        <w:rPr>
          <w:rFonts w:ascii="Arial" w:eastAsia="Times New Roman" w:hAnsi="Arial" w:cs="Arial"/>
          <w:color w:val="000000" w:themeColor="text1"/>
          <w:lang w:eastAsia="en-GB"/>
        </w:rPr>
        <w:t>of impact assessment</w:t>
      </w:r>
      <w:r w:rsidR="004343D3" w:rsidRPr="00B42628">
        <w:rPr>
          <w:rFonts w:ascii="Arial" w:eastAsia="Times New Roman" w:hAnsi="Arial" w:cs="Arial"/>
          <w:color w:val="000000" w:themeColor="text1"/>
          <w:lang w:eastAsia="en-GB"/>
        </w:rPr>
        <w:t xml:space="preserve"> (IA)</w:t>
      </w:r>
      <w:r w:rsidRPr="00B42628">
        <w:rPr>
          <w:rFonts w:ascii="Arial" w:eastAsia="Times New Roman" w:hAnsi="Arial" w:cs="Arial"/>
          <w:color w:val="000000" w:themeColor="text1"/>
          <w:lang w:eastAsia="en-GB"/>
        </w:rPr>
        <w:t xml:space="preserve"> for </w:t>
      </w:r>
      <w:r w:rsidR="00105FB2" w:rsidRPr="00B42628">
        <w:rPr>
          <w:rFonts w:ascii="Arial" w:eastAsia="Times New Roman" w:hAnsi="Arial" w:cs="Arial"/>
          <w:color w:val="000000" w:themeColor="text1"/>
          <w:lang w:eastAsia="en-GB"/>
        </w:rPr>
        <w:t xml:space="preserve">at least </w:t>
      </w:r>
      <w:r w:rsidRPr="00B42628">
        <w:rPr>
          <w:rFonts w:ascii="Arial" w:eastAsia="Times New Roman" w:hAnsi="Arial" w:cs="Arial"/>
          <w:color w:val="000000" w:themeColor="text1"/>
          <w:lang w:eastAsia="en-GB"/>
        </w:rPr>
        <w:t xml:space="preserve">the </w:t>
      </w:r>
      <w:r w:rsidR="00105FB2" w:rsidRPr="00B42628">
        <w:rPr>
          <w:rFonts w:ascii="Arial" w:eastAsia="Times New Roman" w:hAnsi="Arial" w:cs="Arial"/>
          <w:color w:val="000000" w:themeColor="text1"/>
          <w:lang w:eastAsia="en-GB"/>
        </w:rPr>
        <w:t>next half-century. The Special I</w:t>
      </w:r>
      <w:r w:rsidRPr="00B42628">
        <w:rPr>
          <w:rFonts w:ascii="Arial" w:eastAsia="Times New Roman" w:hAnsi="Arial" w:cs="Arial"/>
          <w:color w:val="000000" w:themeColor="text1"/>
          <w:lang w:eastAsia="en-GB"/>
        </w:rPr>
        <w:t>ssue’s theme, ‘IA for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century—What future?’ aims to push our thinking about </w:t>
      </w:r>
      <w:r w:rsidR="005F4035">
        <w:rPr>
          <w:rFonts w:ascii="Arial" w:eastAsia="Times New Roman" w:hAnsi="Arial" w:cs="Arial"/>
          <w:color w:val="000000" w:themeColor="text1"/>
          <w:lang w:eastAsia="en-GB"/>
        </w:rPr>
        <w:t>IA’s prospects and potential</w:t>
      </w:r>
      <w:r w:rsidRPr="00B42628">
        <w:rPr>
          <w:rFonts w:ascii="Arial" w:eastAsia="Times New Roman" w:hAnsi="Arial" w:cs="Arial"/>
          <w:color w:val="000000" w:themeColor="text1"/>
          <w:lang w:eastAsia="en-GB"/>
        </w:rPr>
        <w:t xml:space="preserve">. We asked </w:t>
      </w:r>
      <w:r w:rsidR="00105FB2" w:rsidRPr="00B42628">
        <w:rPr>
          <w:rFonts w:ascii="Arial" w:eastAsia="Times New Roman" w:hAnsi="Arial" w:cs="Arial"/>
          <w:color w:val="000000" w:themeColor="text1"/>
          <w:lang w:eastAsia="en-GB"/>
        </w:rPr>
        <w:t xml:space="preserve">for bold and visionary contributions that would </w:t>
      </w:r>
      <w:r w:rsidR="004343D3" w:rsidRPr="00B42628">
        <w:rPr>
          <w:rFonts w:ascii="Arial" w:eastAsia="Times New Roman" w:hAnsi="Arial" w:cs="Arial"/>
          <w:color w:val="000000" w:themeColor="text1"/>
          <w:lang w:eastAsia="en-GB"/>
        </w:rPr>
        <w:t>stretch our ideas</w:t>
      </w:r>
      <w:r w:rsidR="00105FB2" w:rsidRPr="00B42628">
        <w:rPr>
          <w:rFonts w:ascii="Arial" w:eastAsia="Times New Roman" w:hAnsi="Arial" w:cs="Arial"/>
          <w:color w:val="000000" w:themeColor="text1"/>
          <w:lang w:eastAsia="en-GB"/>
        </w:rPr>
        <w:t xml:space="preserve"> beyond existing practice and policy to envision the major opportunities, challenges, changes and </w:t>
      </w:r>
      <w:r w:rsidR="004343D3" w:rsidRPr="00B42628">
        <w:rPr>
          <w:rFonts w:ascii="Arial" w:eastAsia="Times New Roman" w:hAnsi="Arial" w:cs="Arial"/>
          <w:color w:val="000000" w:themeColor="text1"/>
          <w:lang w:eastAsia="en-GB"/>
        </w:rPr>
        <w:t>paradigm shifts that are likely to shape IA. Questions our contributors grappled with included</w:t>
      </w:r>
      <w:r w:rsidRPr="00B42628">
        <w:rPr>
          <w:rFonts w:ascii="Arial" w:eastAsia="Times New Roman" w:hAnsi="Arial" w:cs="Arial"/>
          <w:color w:val="000000" w:themeColor="text1"/>
          <w:lang w:eastAsia="en-GB"/>
        </w:rPr>
        <w:t>:</w:t>
      </w:r>
    </w:p>
    <w:p w14:paraId="552E32F8" w14:textId="77777777" w:rsidR="00F502E7" w:rsidRPr="00B42628" w:rsidRDefault="00F502E7" w:rsidP="00F502E7">
      <w:pPr>
        <w:numPr>
          <w:ilvl w:val="0"/>
          <w:numId w:val="1"/>
        </w:num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What does the future of impact assessment look like?</w:t>
      </w:r>
    </w:p>
    <w:p w14:paraId="68662F21" w14:textId="77777777" w:rsidR="00F502E7" w:rsidRPr="00B42628" w:rsidRDefault="00F502E7" w:rsidP="00F502E7">
      <w:pPr>
        <w:numPr>
          <w:ilvl w:val="0"/>
          <w:numId w:val="1"/>
        </w:num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Will IA be able to develop into a fully effective instrument that is able to help solve (substantive) problems and challenges of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 What will be the main ingredients of such solutions? What alternative approaches could be pursued? </w:t>
      </w:r>
    </w:p>
    <w:p w14:paraId="332AF96E" w14:textId="77777777" w:rsidR="00F502E7" w:rsidRPr="00B42628" w:rsidRDefault="00F502E7" w:rsidP="00F502E7">
      <w:pPr>
        <w:numPr>
          <w:ilvl w:val="0"/>
          <w:numId w:val="1"/>
        </w:num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Where do the innovations and opportunities lie for IA to address the biggest environmental, social, health and human challenges of this century?</w:t>
      </w:r>
    </w:p>
    <w:p w14:paraId="12AFAEC8" w14:textId="2DC3A844" w:rsidR="00F502E7" w:rsidRPr="00B42628" w:rsidRDefault="00F502E7" w:rsidP="00F502E7">
      <w:pPr>
        <w:numPr>
          <w:ilvl w:val="0"/>
          <w:numId w:val="1"/>
        </w:num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lastRenderedPageBreak/>
        <w:t>How effective are our current IA instruments in addressing persist</w:t>
      </w:r>
      <w:r w:rsidR="00CE611E">
        <w:rPr>
          <w:rFonts w:ascii="Arial" w:eastAsia="Times New Roman" w:hAnsi="Arial" w:cs="Arial"/>
          <w:color w:val="000000" w:themeColor="text1"/>
          <w:lang w:eastAsia="en-GB"/>
        </w:rPr>
        <w:t>e</w:t>
      </w:r>
      <w:r w:rsidR="00262D28" w:rsidRPr="00B42628">
        <w:rPr>
          <w:rFonts w:ascii="Arial" w:eastAsia="Times New Roman" w:hAnsi="Arial" w:cs="Arial"/>
          <w:color w:val="000000" w:themeColor="text1"/>
          <w:lang w:eastAsia="en-GB"/>
        </w:rPr>
        <w:t>nt</w:t>
      </w:r>
      <w:r w:rsidRPr="00B42628">
        <w:rPr>
          <w:rFonts w:ascii="Arial" w:eastAsia="Times New Roman" w:hAnsi="Arial" w:cs="Arial"/>
          <w:color w:val="000000" w:themeColor="text1"/>
          <w:lang w:eastAsia="en-GB"/>
        </w:rPr>
        <w:t xml:space="preserve"> challenges, and what changes are required?</w:t>
      </w:r>
    </w:p>
    <w:p w14:paraId="78D0DC82" w14:textId="77777777" w:rsidR="00F502E7" w:rsidRPr="00B42628" w:rsidRDefault="00F502E7" w:rsidP="00F502E7">
      <w:pPr>
        <w:numPr>
          <w:ilvl w:val="0"/>
          <w:numId w:val="1"/>
        </w:num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What will spark this century’s most important evolution in IA practice, scholarship, principles or regulations? What will be the results of that transformation?</w:t>
      </w:r>
    </w:p>
    <w:p w14:paraId="45EA8757" w14:textId="77777777" w:rsidR="00BD3517" w:rsidRPr="00B42628" w:rsidRDefault="00BD3517" w:rsidP="00F502E7">
      <w:pPr>
        <w:spacing w:after="0" w:line="360" w:lineRule="auto"/>
        <w:rPr>
          <w:rFonts w:ascii="Arial" w:eastAsia="Times New Roman" w:hAnsi="Arial" w:cs="Arial"/>
          <w:color w:val="000000" w:themeColor="text1"/>
          <w:lang w:eastAsia="en-GB"/>
        </w:rPr>
      </w:pPr>
    </w:p>
    <w:p w14:paraId="7FA86DB8" w14:textId="6AD69A4E" w:rsidR="00F502E7" w:rsidRPr="00B42628" w:rsidRDefault="004343D3" w:rsidP="00F502E7">
      <w:pPr>
        <w:spacing w:after="0" w:line="360" w:lineRule="auto"/>
        <w:rPr>
          <w:rFonts w:ascii="Arial" w:hAnsi="Arial" w:cs="Arial"/>
        </w:rPr>
      </w:pPr>
      <w:r w:rsidRPr="00B42628">
        <w:rPr>
          <w:rFonts w:ascii="Arial" w:eastAsia="Times New Roman" w:hAnsi="Arial" w:cs="Arial"/>
          <w:color w:val="000000" w:themeColor="text1"/>
          <w:lang w:eastAsia="en-GB"/>
        </w:rPr>
        <w:t>Our responses to issues such as these will shape the extent to which IA offers a powerful, effective and equitable process to inform decision-making well into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 </w:t>
      </w:r>
      <w:r w:rsidR="00F502E7" w:rsidRPr="00B42628">
        <w:rPr>
          <w:rFonts w:ascii="Arial" w:hAnsi="Arial" w:cs="Arial"/>
          <w:color w:val="000000" w:themeColor="text1"/>
        </w:rPr>
        <w:t xml:space="preserve">Our </w:t>
      </w:r>
      <w:r w:rsidR="00F502E7" w:rsidRPr="00B42628">
        <w:rPr>
          <w:rFonts w:ascii="Arial" w:hAnsi="Arial" w:cs="Arial"/>
          <w:i/>
          <w:iCs/>
          <w:color w:val="000000" w:themeColor="text1"/>
        </w:rPr>
        <w:t>IAPA</w:t>
      </w:r>
      <w:r w:rsidR="00F502E7" w:rsidRPr="00B42628">
        <w:rPr>
          <w:rFonts w:ascii="Arial" w:hAnsi="Arial" w:cs="Arial"/>
        </w:rPr>
        <w:t xml:space="preserve"> contributors re</w:t>
      </w:r>
      <w:r w:rsidR="00C91B57" w:rsidRPr="00B42628">
        <w:rPr>
          <w:rFonts w:ascii="Arial" w:hAnsi="Arial" w:cs="Arial"/>
        </w:rPr>
        <w:t>pli</w:t>
      </w:r>
      <w:r w:rsidR="00F502E7" w:rsidRPr="00B42628">
        <w:rPr>
          <w:rFonts w:ascii="Arial" w:hAnsi="Arial" w:cs="Arial"/>
        </w:rPr>
        <w:t xml:space="preserve">ed in force. We are pleased to present readers with </w:t>
      </w:r>
      <w:r w:rsidR="00F502E7" w:rsidRPr="008D724D">
        <w:rPr>
          <w:rFonts w:ascii="Arial" w:hAnsi="Arial" w:cs="Arial"/>
        </w:rPr>
        <w:t>16</w:t>
      </w:r>
      <w:r w:rsidR="00F502E7" w:rsidRPr="00B42628">
        <w:rPr>
          <w:rFonts w:ascii="Arial" w:hAnsi="Arial" w:cs="Arial"/>
        </w:rPr>
        <w:t xml:space="preserve"> letters tackling these questions and more. </w:t>
      </w:r>
    </w:p>
    <w:p w14:paraId="47EBAA8E" w14:textId="77777777" w:rsidR="005F24D2" w:rsidRPr="00B42628" w:rsidRDefault="005F24D2">
      <w:pPr>
        <w:rPr>
          <w:rFonts w:ascii="Arial" w:eastAsia="Times New Roman" w:hAnsi="Arial" w:cs="Arial"/>
          <w:i/>
          <w:iCs/>
          <w:color w:val="000000" w:themeColor="text1"/>
          <w:lang w:eastAsia="en-GB"/>
        </w:rPr>
      </w:pPr>
      <w:r w:rsidRPr="00B42628">
        <w:rPr>
          <w:rFonts w:ascii="Arial" w:eastAsia="Times New Roman" w:hAnsi="Arial" w:cs="Arial"/>
          <w:i/>
          <w:iCs/>
          <w:color w:val="000000" w:themeColor="text1"/>
          <w:lang w:eastAsia="en-GB"/>
        </w:rPr>
        <w:br w:type="page"/>
      </w:r>
    </w:p>
    <w:p w14:paraId="586D4231" w14:textId="1809B82F" w:rsidR="005F24D2" w:rsidRPr="00B42628" w:rsidRDefault="005F24D2" w:rsidP="005F24D2">
      <w:pPr>
        <w:spacing w:after="0" w:line="360" w:lineRule="auto"/>
        <w:rPr>
          <w:rFonts w:ascii="Arial" w:eastAsia="Times New Roman" w:hAnsi="Arial" w:cs="Arial"/>
          <w:i/>
          <w:iCs/>
          <w:color w:val="000000" w:themeColor="text1"/>
          <w:lang w:eastAsia="en-GB"/>
        </w:rPr>
      </w:pPr>
      <w:r w:rsidRPr="00B42628">
        <w:rPr>
          <w:rFonts w:ascii="Arial" w:eastAsia="Times New Roman" w:hAnsi="Arial" w:cs="Arial"/>
          <w:i/>
          <w:iCs/>
          <w:color w:val="000000" w:themeColor="text1"/>
          <w:lang w:eastAsia="en-GB"/>
        </w:rPr>
        <w:lastRenderedPageBreak/>
        <w:t>IA futures in complex environments</w:t>
      </w:r>
    </w:p>
    <w:p w14:paraId="3B816B3F" w14:textId="2DDA21E4" w:rsidR="00806DE6" w:rsidRPr="00B42628" w:rsidRDefault="00806DE6" w:rsidP="00362BD8">
      <w:pPr>
        <w:spacing w:line="360" w:lineRule="auto"/>
        <w:rPr>
          <w:rFonts w:ascii="Arial" w:eastAsia="Times New Roman" w:hAnsi="Arial" w:cs="Arial"/>
          <w:color w:val="000000" w:themeColor="text1"/>
          <w:lang w:eastAsia="en-GB"/>
        </w:rPr>
      </w:pPr>
      <w:r w:rsidRPr="00B42628">
        <w:rPr>
          <w:rFonts w:ascii="Arial" w:hAnsi="Arial" w:cs="Arial"/>
          <w:lang w:eastAsia="en-GB"/>
        </w:rPr>
        <w:t xml:space="preserve">Impact assessment today operates within </w:t>
      </w:r>
      <w:r w:rsidR="00D41378" w:rsidRPr="00B42628">
        <w:rPr>
          <w:rFonts w:ascii="Arial" w:hAnsi="Arial" w:cs="Arial"/>
          <w:lang w:eastAsia="en-GB"/>
        </w:rPr>
        <w:t xml:space="preserve">incredibly complex environments, rife with messiness and uncertainty. Recent research specifies </w:t>
      </w:r>
      <w:r w:rsidRPr="00B42628">
        <w:rPr>
          <w:rFonts w:ascii="Arial" w:hAnsi="Arial" w:cs="Arial"/>
          <w:lang w:eastAsia="en-GB"/>
        </w:rPr>
        <w:t xml:space="preserve">dynamic contexts characterised by </w:t>
      </w:r>
      <w:r w:rsidR="005D6E5D" w:rsidRPr="00B42628">
        <w:rPr>
          <w:rFonts w:ascii="Arial" w:hAnsi="Arial" w:cs="Arial"/>
          <w:lang w:eastAsia="en-GB"/>
        </w:rPr>
        <w:t>changing demographics</w:t>
      </w:r>
      <w:r w:rsidR="00D41378" w:rsidRPr="00B42628">
        <w:rPr>
          <w:rFonts w:ascii="Arial" w:hAnsi="Arial" w:cs="Arial"/>
          <w:lang w:eastAsia="en-GB"/>
        </w:rPr>
        <w:t xml:space="preserve"> </w:t>
      </w:r>
      <w:r w:rsidR="005D6E5D" w:rsidRPr="00B42628">
        <w:rPr>
          <w:rFonts w:ascii="Arial" w:eastAsia="Times New Roman" w:hAnsi="Arial" w:cs="Arial"/>
          <w:color w:val="000000" w:themeColor="text1"/>
          <w:lang w:eastAsia="en-GB"/>
        </w:rPr>
        <w:t xml:space="preserve">and urbanisation (Retief et al, 2016), </w:t>
      </w:r>
      <w:r w:rsidRPr="00B42628">
        <w:rPr>
          <w:rFonts w:ascii="Arial" w:eastAsia="Times New Roman" w:hAnsi="Arial" w:cs="Arial"/>
          <w:color w:val="000000" w:themeColor="text1"/>
          <w:lang w:eastAsia="en-GB"/>
        </w:rPr>
        <w:t>intensive project</w:t>
      </w:r>
      <w:r w:rsidR="005D6E5D" w:rsidRPr="00B42628">
        <w:rPr>
          <w:rFonts w:ascii="Arial" w:eastAsia="Times New Roman" w:hAnsi="Arial" w:cs="Arial"/>
          <w:color w:val="000000" w:themeColor="text1"/>
          <w:lang w:eastAsia="en-GB"/>
        </w:rPr>
        <w:t xml:space="preserve"> </w:t>
      </w:r>
      <w:r w:rsidRPr="00B42628">
        <w:rPr>
          <w:rFonts w:ascii="Arial" w:eastAsia="Times New Roman" w:hAnsi="Arial" w:cs="Arial"/>
          <w:color w:val="000000" w:themeColor="text1"/>
          <w:lang w:eastAsia="en-GB"/>
        </w:rPr>
        <w:t>delivery (</w:t>
      </w:r>
      <w:r w:rsidR="005D6E5D" w:rsidRPr="00B42628">
        <w:rPr>
          <w:rFonts w:ascii="Arial" w:eastAsia="Times New Roman" w:hAnsi="Arial" w:cs="Arial"/>
          <w:color w:val="000000" w:themeColor="text1"/>
          <w:lang w:eastAsia="en-GB"/>
        </w:rPr>
        <w:t>Bice et al</w:t>
      </w:r>
      <w:r w:rsidR="00D41378" w:rsidRPr="00B42628">
        <w:rPr>
          <w:rFonts w:ascii="Arial" w:eastAsia="Times New Roman" w:hAnsi="Arial" w:cs="Arial"/>
          <w:color w:val="000000" w:themeColor="text1"/>
          <w:lang w:eastAsia="en-GB"/>
        </w:rPr>
        <w:t xml:space="preserve"> 2019</w:t>
      </w:r>
      <w:r w:rsidRPr="00B42628">
        <w:rPr>
          <w:rFonts w:ascii="Arial" w:eastAsia="Times New Roman" w:hAnsi="Arial" w:cs="Arial"/>
          <w:color w:val="000000" w:themeColor="text1"/>
          <w:lang w:eastAsia="en-GB"/>
        </w:rPr>
        <w:t>), rapidly developing technologies (</w:t>
      </w:r>
      <w:r w:rsidR="00F74DE4" w:rsidRPr="00B42628">
        <w:rPr>
          <w:rFonts w:ascii="Arial" w:eastAsia="Times New Roman" w:hAnsi="Arial" w:cs="Arial"/>
          <w:color w:val="000000" w:themeColor="text1"/>
          <w:lang w:eastAsia="en-GB"/>
        </w:rPr>
        <w:t>Dusik et al, 2018; Sinclair et al, 2017</w:t>
      </w:r>
      <w:r w:rsidRPr="00B42628">
        <w:rPr>
          <w:rFonts w:ascii="Arial" w:eastAsia="Times New Roman" w:hAnsi="Arial" w:cs="Arial"/>
          <w:color w:val="000000" w:themeColor="text1"/>
          <w:lang w:eastAsia="en-GB"/>
        </w:rPr>
        <w:t>),</w:t>
      </w:r>
      <w:r w:rsidR="005D6E5D" w:rsidRPr="00B42628">
        <w:rPr>
          <w:rFonts w:ascii="Arial" w:eastAsia="Times New Roman" w:hAnsi="Arial" w:cs="Arial"/>
          <w:color w:val="000000" w:themeColor="text1"/>
          <w:lang w:eastAsia="en-GB"/>
        </w:rPr>
        <w:t xml:space="preserve"> </w:t>
      </w:r>
      <w:r w:rsidR="00E139A4" w:rsidRPr="00B42628">
        <w:rPr>
          <w:rFonts w:ascii="Arial" w:eastAsia="Times New Roman" w:hAnsi="Arial" w:cs="Arial"/>
          <w:color w:val="000000" w:themeColor="text1"/>
          <w:lang w:eastAsia="en-GB"/>
        </w:rPr>
        <w:t>increasingly interconnected geographies</w:t>
      </w:r>
      <w:r w:rsidR="00AB6E45" w:rsidRPr="00B42628">
        <w:rPr>
          <w:rFonts w:ascii="Arial" w:eastAsia="Times New Roman" w:hAnsi="Arial" w:cs="Arial"/>
          <w:color w:val="000000" w:themeColor="text1"/>
          <w:lang w:eastAsia="en-GB"/>
        </w:rPr>
        <w:t xml:space="preserve"> </w:t>
      </w:r>
      <w:r w:rsidR="00E139A4" w:rsidRPr="00B42628">
        <w:rPr>
          <w:rFonts w:ascii="Arial" w:eastAsia="Times New Roman" w:hAnsi="Arial" w:cs="Arial"/>
          <w:color w:val="000000" w:themeColor="text1"/>
          <w:lang w:eastAsia="en-GB"/>
        </w:rPr>
        <w:t>and political uncertainties</w:t>
      </w:r>
      <w:r w:rsidR="004D4556" w:rsidRPr="00B42628">
        <w:rPr>
          <w:rFonts w:ascii="Arial" w:eastAsia="Times New Roman" w:hAnsi="Arial" w:cs="Arial"/>
          <w:color w:val="000000" w:themeColor="text1"/>
          <w:lang w:eastAsia="en-GB"/>
        </w:rPr>
        <w:t xml:space="preserve"> (Banhalmi-Zakar et al, 2018)</w:t>
      </w:r>
      <w:r w:rsidR="00E139A4" w:rsidRPr="00B42628">
        <w:rPr>
          <w:rFonts w:ascii="Arial" w:eastAsia="Times New Roman" w:hAnsi="Arial" w:cs="Arial"/>
          <w:color w:val="000000" w:themeColor="text1"/>
          <w:lang w:eastAsia="en-GB"/>
        </w:rPr>
        <w:t xml:space="preserve">. </w:t>
      </w:r>
      <w:r w:rsidR="004D4556" w:rsidRPr="00B42628">
        <w:rPr>
          <w:rFonts w:ascii="Arial" w:eastAsia="Times New Roman" w:hAnsi="Arial" w:cs="Arial"/>
          <w:color w:val="000000" w:themeColor="text1"/>
          <w:lang w:eastAsia="en-GB"/>
        </w:rPr>
        <w:t xml:space="preserve">The </w:t>
      </w:r>
      <w:r w:rsidR="00262D28" w:rsidRPr="00B42628">
        <w:rPr>
          <w:rFonts w:ascii="Arial" w:eastAsia="Times New Roman" w:hAnsi="Arial" w:cs="Arial"/>
          <w:color w:val="000000" w:themeColor="text1"/>
          <w:lang w:eastAsia="en-GB"/>
        </w:rPr>
        <w:t>outlook for</w:t>
      </w:r>
      <w:r w:rsidR="004D4556" w:rsidRPr="00B42628">
        <w:rPr>
          <w:rFonts w:ascii="Arial" w:eastAsia="Times New Roman" w:hAnsi="Arial" w:cs="Arial"/>
          <w:color w:val="000000" w:themeColor="text1"/>
          <w:lang w:eastAsia="en-GB"/>
        </w:rPr>
        <w:t xml:space="preserve"> IA depends on our understanding and engaging with a complicated range of issues and trends</w:t>
      </w:r>
      <w:r w:rsidR="00262D28" w:rsidRPr="00B42628">
        <w:rPr>
          <w:rFonts w:ascii="Arial" w:eastAsia="Times New Roman" w:hAnsi="Arial" w:cs="Arial"/>
          <w:color w:val="000000" w:themeColor="text1"/>
          <w:lang w:eastAsia="en-GB"/>
        </w:rPr>
        <w:t xml:space="preserve">. The aim here is that IA will itself help to </w:t>
      </w:r>
      <w:r w:rsidR="004D4556" w:rsidRPr="00B42628">
        <w:rPr>
          <w:rFonts w:ascii="Arial" w:eastAsia="Times New Roman" w:hAnsi="Arial" w:cs="Arial"/>
          <w:color w:val="000000" w:themeColor="text1"/>
          <w:lang w:eastAsia="en-GB"/>
        </w:rPr>
        <w:t>shap</w:t>
      </w:r>
      <w:r w:rsidR="00262D28" w:rsidRPr="00B42628">
        <w:rPr>
          <w:rFonts w:ascii="Arial" w:eastAsia="Times New Roman" w:hAnsi="Arial" w:cs="Arial"/>
          <w:color w:val="000000" w:themeColor="text1"/>
          <w:lang w:eastAsia="en-GB"/>
        </w:rPr>
        <w:t>e</w:t>
      </w:r>
      <w:r w:rsidR="004D4556" w:rsidRPr="00B42628">
        <w:rPr>
          <w:rFonts w:ascii="Arial" w:eastAsia="Times New Roman" w:hAnsi="Arial" w:cs="Arial"/>
          <w:color w:val="000000" w:themeColor="text1"/>
          <w:lang w:eastAsia="en-GB"/>
        </w:rPr>
        <w:t xml:space="preserve"> the future</w:t>
      </w:r>
      <w:r w:rsidR="00262D28" w:rsidRPr="00B42628">
        <w:rPr>
          <w:rFonts w:ascii="Arial" w:eastAsia="Times New Roman" w:hAnsi="Arial" w:cs="Arial"/>
          <w:color w:val="000000" w:themeColor="text1"/>
          <w:lang w:eastAsia="en-GB"/>
        </w:rPr>
        <w:t xml:space="preserve">, </w:t>
      </w:r>
      <w:r w:rsidR="004D4556" w:rsidRPr="00B42628">
        <w:rPr>
          <w:rFonts w:ascii="Arial" w:eastAsia="Times New Roman" w:hAnsi="Arial" w:cs="Arial"/>
          <w:color w:val="000000" w:themeColor="text1"/>
          <w:lang w:eastAsia="en-GB"/>
        </w:rPr>
        <w:t xml:space="preserve">as opposed to being shaped out of it. </w:t>
      </w:r>
    </w:p>
    <w:p w14:paraId="53974B63" w14:textId="25414BA4" w:rsidR="005F24D2" w:rsidRPr="00B42628" w:rsidRDefault="004D4556" w:rsidP="005F24D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 xml:space="preserve">To this end, the opening contributions of this volume </w:t>
      </w:r>
      <w:r w:rsidR="00EF3AFF" w:rsidRPr="00B42628">
        <w:rPr>
          <w:rFonts w:ascii="Arial" w:eastAsia="Times New Roman" w:hAnsi="Arial" w:cs="Arial"/>
          <w:color w:val="000000" w:themeColor="text1"/>
          <w:lang w:eastAsia="en-GB"/>
        </w:rPr>
        <w:t>highlight the core issues to be addressed and transformations to be undertaken</w:t>
      </w:r>
      <w:r w:rsidRPr="00B42628">
        <w:rPr>
          <w:rFonts w:ascii="Arial" w:eastAsia="Times New Roman" w:hAnsi="Arial" w:cs="Arial"/>
          <w:color w:val="000000" w:themeColor="text1"/>
          <w:lang w:eastAsia="en-GB"/>
        </w:rPr>
        <w:t>. Alan Bond (University of East Anglia) and Ji</w:t>
      </w:r>
      <w:r w:rsidR="00683584" w:rsidRPr="00B42628">
        <w:rPr>
          <w:rFonts w:ascii="Arial" w:eastAsia="Times New Roman" w:hAnsi="Arial" w:cs="Arial"/>
          <w:color w:val="000000" w:themeColor="text1"/>
          <w:lang w:eastAsia="en-GB"/>
        </w:rPr>
        <w:t>ří Dusík (</w:t>
      </w:r>
      <w:r w:rsidR="00CE3971">
        <w:rPr>
          <w:rFonts w:ascii="Arial" w:eastAsia="Times New Roman" w:hAnsi="Arial" w:cs="Arial"/>
          <w:color w:val="000000" w:themeColor="text1"/>
          <w:lang w:eastAsia="en-GB"/>
        </w:rPr>
        <w:t>Integra Consulting Ltd.)</w:t>
      </w:r>
      <w:r w:rsidR="00683584" w:rsidRPr="00B42628">
        <w:rPr>
          <w:rFonts w:ascii="Arial" w:eastAsia="Times New Roman" w:hAnsi="Arial" w:cs="Arial"/>
          <w:color w:val="000000" w:themeColor="text1"/>
          <w:lang w:eastAsia="en-GB"/>
        </w:rPr>
        <w:t xml:space="preserve"> </w:t>
      </w:r>
      <w:r w:rsidR="00EF3AFF" w:rsidRPr="00B42628">
        <w:rPr>
          <w:rFonts w:ascii="Arial" w:eastAsia="Times New Roman" w:hAnsi="Arial" w:cs="Arial"/>
          <w:color w:val="000000" w:themeColor="text1"/>
          <w:lang w:eastAsia="en-GB"/>
        </w:rPr>
        <w:t>begin</w:t>
      </w:r>
      <w:r w:rsidR="00683584" w:rsidRPr="00B42628">
        <w:rPr>
          <w:rFonts w:ascii="Arial" w:eastAsia="Times New Roman" w:hAnsi="Arial" w:cs="Arial"/>
          <w:color w:val="000000" w:themeColor="text1"/>
          <w:lang w:eastAsia="en-GB"/>
        </w:rPr>
        <w:t xml:space="preserve"> with a clarion call for IA goals founded on social understandings of sustainable development. Such IA would be judged not on </w:t>
      </w:r>
      <w:r w:rsidR="00683584" w:rsidRPr="00B42628">
        <w:rPr>
          <w:rFonts w:ascii="Arial" w:eastAsia="Times New Roman" w:hAnsi="Arial" w:cs="Arial"/>
          <w:i/>
          <w:iCs/>
          <w:color w:val="000000" w:themeColor="text1"/>
          <w:lang w:eastAsia="en-GB"/>
        </w:rPr>
        <w:t>processes</w:t>
      </w:r>
      <w:r w:rsidR="00683584" w:rsidRPr="00B42628">
        <w:rPr>
          <w:rFonts w:ascii="Arial" w:eastAsia="Times New Roman" w:hAnsi="Arial" w:cs="Arial"/>
          <w:color w:val="000000" w:themeColor="text1"/>
          <w:lang w:eastAsia="en-GB"/>
        </w:rPr>
        <w:t xml:space="preserve"> but on </w:t>
      </w:r>
      <w:r w:rsidR="00683584" w:rsidRPr="00B42628">
        <w:rPr>
          <w:rFonts w:ascii="Arial" w:eastAsia="Times New Roman" w:hAnsi="Arial" w:cs="Arial"/>
          <w:i/>
          <w:iCs/>
          <w:color w:val="000000" w:themeColor="text1"/>
          <w:lang w:eastAsia="en-GB"/>
        </w:rPr>
        <w:t>outcomes</w:t>
      </w:r>
      <w:r w:rsidR="00683584" w:rsidRPr="00B42628">
        <w:rPr>
          <w:rFonts w:ascii="Arial" w:eastAsia="Times New Roman" w:hAnsi="Arial" w:cs="Arial"/>
          <w:color w:val="000000" w:themeColor="text1"/>
          <w:lang w:eastAsia="en-GB"/>
        </w:rPr>
        <w:t xml:space="preserve">, with the impact of new technologies better acknowledged through their required inclusion in IAs. For Megan Jones (Edith Cowan University) and Angus Morrison-Saunders (Edith Cowan University) IA’s future capacity to contribute to sustainable development must evolve through a focus on effective practice. </w:t>
      </w:r>
      <w:r w:rsidR="00A63124" w:rsidRPr="00B42628">
        <w:rPr>
          <w:rFonts w:ascii="Arial" w:eastAsia="Times New Roman" w:hAnsi="Arial" w:cs="Arial"/>
          <w:color w:val="000000" w:themeColor="text1"/>
          <w:lang w:eastAsia="en-GB"/>
        </w:rPr>
        <w:t xml:space="preserve">For such an </w:t>
      </w:r>
      <w:r w:rsidR="008327A5" w:rsidRPr="00B42628">
        <w:rPr>
          <w:rFonts w:ascii="Arial" w:eastAsia="Times New Roman" w:hAnsi="Arial" w:cs="Arial"/>
          <w:color w:val="000000" w:themeColor="text1"/>
          <w:lang w:eastAsia="en-GB"/>
        </w:rPr>
        <w:t xml:space="preserve">evolution </w:t>
      </w:r>
      <w:r w:rsidR="00A63124" w:rsidRPr="00B42628">
        <w:rPr>
          <w:rFonts w:ascii="Arial" w:eastAsia="Times New Roman" w:hAnsi="Arial" w:cs="Arial"/>
          <w:color w:val="000000" w:themeColor="text1"/>
          <w:lang w:eastAsia="en-GB"/>
        </w:rPr>
        <w:t>to occur, IA practitioners must do a better job at evaluating their work, sharing lessons learned, producing constructively critical comparison studies and better integrating broad sustainability principles and goals (including the United Nations’ SDGs) into planning. Sara Bice (Australian National University)</w:t>
      </w:r>
      <w:r w:rsidR="00AE4F22" w:rsidRPr="00B42628">
        <w:rPr>
          <w:rFonts w:ascii="Arial" w:eastAsia="Times New Roman" w:hAnsi="Arial" w:cs="Arial"/>
          <w:color w:val="000000" w:themeColor="text1"/>
          <w:lang w:eastAsia="en-GB"/>
        </w:rPr>
        <w:t xml:space="preserve"> asserts that the broad challenges confronting IA’s future must be met </w:t>
      </w:r>
      <w:r w:rsidR="00EF3AFF" w:rsidRPr="00B42628">
        <w:rPr>
          <w:rFonts w:ascii="Arial" w:eastAsia="Times New Roman" w:hAnsi="Arial" w:cs="Arial"/>
          <w:color w:val="000000" w:themeColor="text1"/>
          <w:lang w:eastAsia="en-GB"/>
        </w:rPr>
        <w:t xml:space="preserve">first through a fundamental shift in the perception of natural resources to one that recognises them as ‘planetary </w:t>
      </w:r>
      <w:proofErr w:type="gramStart"/>
      <w:r w:rsidR="00EF3AFF" w:rsidRPr="00B42628">
        <w:rPr>
          <w:rFonts w:ascii="Arial" w:eastAsia="Times New Roman" w:hAnsi="Arial" w:cs="Arial"/>
          <w:color w:val="000000" w:themeColor="text1"/>
          <w:lang w:eastAsia="en-GB"/>
        </w:rPr>
        <w:t>resources’</w:t>
      </w:r>
      <w:proofErr w:type="gramEnd"/>
      <w:r w:rsidR="00EF3AFF" w:rsidRPr="00B42628">
        <w:rPr>
          <w:rFonts w:ascii="Arial" w:eastAsia="Times New Roman" w:hAnsi="Arial" w:cs="Arial"/>
          <w:color w:val="000000" w:themeColor="text1"/>
          <w:lang w:eastAsia="en-GB"/>
        </w:rPr>
        <w:t xml:space="preserve">. This can be achieved partly through progressive transnational governance and via </w:t>
      </w:r>
      <w:r w:rsidR="00AE4F22" w:rsidRPr="00B42628">
        <w:rPr>
          <w:rFonts w:ascii="Arial" w:eastAsia="Times New Roman" w:hAnsi="Arial" w:cs="Arial"/>
          <w:color w:val="000000" w:themeColor="text1"/>
          <w:lang w:eastAsia="en-GB"/>
        </w:rPr>
        <w:t>improved strategic environmental and cumulative impact assessment</w:t>
      </w:r>
      <w:r w:rsidR="00EF3AFF" w:rsidRPr="00B42628">
        <w:rPr>
          <w:rFonts w:ascii="Arial" w:eastAsia="Times New Roman" w:hAnsi="Arial" w:cs="Arial"/>
          <w:color w:val="000000" w:themeColor="text1"/>
          <w:lang w:eastAsia="en-GB"/>
        </w:rPr>
        <w:t xml:space="preserve">. In order to achieve these broad goals, however, a bottom-up approach, in which community-centric perspectives lead IA is required. </w:t>
      </w:r>
      <w:r w:rsidR="00AE4F22" w:rsidRPr="00B42628">
        <w:rPr>
          <w:rFonts w:ascii="Arial" w:eastAsia="Times New Roman" w:hAnsi="Arial" w:cs="Arial"/>
          <w:color w:val="000000" w:themeColor="text1"/>
          <w:lang w:eastAsia="en-GB"/>
        </w:rPr>
        <w:t xml:space="preserve"> </w:t>
      </w:r>
    </w:p>
    <w:p w14:paraId="3A932DE8" w14:textId="77777777" w:rsidR="00F74DE4" w:rsidRPr="00B42628" w:rsidRDefault="00F74DE4" w:rsidP="005F24D2">
      <w:pPr>
        <w:spacing w:after="0" w:line="360" w:lineRule="auto"/>
        <w:rPr>
          <w:rFonts w:ascii="Arial" w:eastAsia="Times New Roman" w:hAnsi="Arial" w:cs="Arial"/>
          <w:i/>
          <w:iCs/>
          <w:color w:val="000000" w:themeColor="text1"/>
          <w:lang w:eastAsia="en-GB"/>
        </w:rPr>
      </w:pPr>
    </w:p>
    <w:p w14:paraId="64DB9860" w14:textId="1A6BF498" w:rsidR="005F24D2" w:rsidRPr="00B42628" w:rsidRDefault="005F24D2" w:rsidP="005F24D2">
      <w:pPr>
        <w:spacing w:after="0" w:line="360" w:lineRule="auto"/>
        <w:rPr>
          <w:rFonts w:ascii="Arial" w:eastAsia="Times New Roman" w:hAnsi="Arial" w:cs="Arial"/>
          <w:i/>
          <w:iCs/>
          <w:color w:val="000000" w:themeColor="text1"/>
          <w:lang w:eastAsia="en-GB"/>
        </w:rPr>
      </w:pPr>
      <w:r w:rsidRPr="00B42628">
        <w:rPr>
          <w:rFonts w:ascii="Arial" w:eastAsia="Times New Roman" w:hAnsi="Arial" w:cs="Arial"/>
          <w:i/>
          <w:iCs/>
          <w:color w:val="000000" w:themeColor="text1"/>
          <w:lang w:eastAsia="en-GB"/>
        </w:rPr>
        <w:t>IA as a support for liberal democracy and sustainable development</w:t>
      </w:r>
    </w:p>
    <w:p w14:paraId="2DEF9A3E" w14:textId="7AD32347" w:rsidR="00CF2451" w:rsidRPr="00B42628" w:rsidRDefault="001B4B40" w:rsidP="005F24D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 xml:space="preserve">While </w:t>
      </w:r>
      <w:r w:rsidR="00EF3AFF" w:rsidRPr="00B42628">
        <w:rPr>
          <w:rFonts w:ascii="Arial" w:eastAsia="Times New Roman" w:hAnsi="Arial" w:cs="Arial"/>
          <w:color w:val="000000" w:themeColor="text1"/>
          <w:lang w:eastAsia="en-GB"/>
        </w:rPr>
        <w:t xml:space="preserve">IA </w:t>
      </w:r>
      <w:r w:rsidRPr="00B42628">
        <w:rPr>
          <w:rFonts w:ascii="Arial" w:eastAsia="Times New Roman" w:hAnsi="Arial" w:cs="Arial"/>
          <w:color w:val="000000" w:themeColor="text1"/>
          <w:lang w:eastAsia="en-GB"/>
        </w:rPr>
        <w:t xml:space="preserve">must attend to broad trends and opportunities, it must simultaneously deal with fundamental challenges to the philosophical-political system from which it arose. </w:t>
      </w:r>
      <w:r w:rsidR="005F24D2" w:rsidRPr="00B42628">
        <w:rPr>
          <w:rFonts w:ascii="Arial" w:eastAsia="Times New Roman" w:hAnsi="Arial" w:cs="Arial"/>
          <w:color w:val="000000" w:themeColor="text1"/>
          <w:lang w:eastAsia="en-GB"/>
        </w:rPr>
        <w:t>The global decline in liberal democracy</w:t>
      </w:r>
      <w:r w:rsidR="00244CDE">
        <w:rPr>
          <w:rFonts w:ascii="Arial" w:eastAsia="Times New Roman" w:hAnsi="Arial" w:cs="Arial"/>
          <w:color w:val="000000" w:themeColor="text1"/>
          <w:lang w:eastAsia="en-GB"/>
        </w:rPr>
        <w:t xml:space="preserve">—highlighted </w:t>
      </w:r>
      <w:r w:rsidR="005F24D2" w:rsidRPr="00B42628">
        <w:rPr>
          <w:rFonts w:ascii="Arial" w:eastAsia="Times New Roman" w:hAnsi="Arial" w:cs="Arial"/>
          <w:color w:val="000000" w:themeColor="text1"/>
          <w:lang w:eastAsia="en-GB"/>
        </w:rPr>
        <w:t xml:space="preserve">by </w:t>
      </w:r>
      <w:r w:rsidR="00075BBD">
        <w:rPr>
          <w:rFonts w:ascii="Arial" w:eastAsia="Times New Roman" w:hAnsi="Arial" w:cs="Arial"/>
          <w:color w:val="000000" w:themeColor="text1"/>
          <w:lang w:eastAsia="en-GB"/>
        </w:rPr>
        <w:t xml:space="preserve">manipulations in the </w:t>
      </w:r>
      <w:r w:rsidR="005F24D2" w:rsidRPr="00B42628">
        <w:rPr>
          <w:rFonts w:ascii="Arial" w:eastAsia="Times New Roman" w:hAnsi="Arial" w:cs="Arial"/>
          <w:color w:val="000000" w:themeColor="text1"/>
          <w:lang w:eastAsia="en-GB"/>
        </w:rPr>
        <w:t>Brexit</w:t>
      </w:r>
      <w:r w:rsidR="00075BBD">
        <w:rPr>
          <w:rFonts w:ascii="Arial" w:eastAsia="Times New Roman" w:hAnsi="Arial" w:cs="Arial"/>
          <w:color w:val="000000" w:themeColor="text1"/>
          <w:lang w:eastAsia="en-GB"/>
        </w:rPr>
        <w:t xml:space="preserve"> referendum</w:t>
      </w:r>
      <w:r w:rsidR="005F24D2" w:rsidRPr="00B42628">
        <w:rPr>
          <w:rFonts w:ascii="Arial" w:eastAsia="Times New Roman" w:hAnsi="Arial" w:cs="Arial"/>
          <w:color w:val="000000" w:themeColor="text1"/>
          <w:lang w:eastAsia="en-GB"/>
        </w:rPr>
        <w:t>, the US impeachment proceedings, presidential corruption in South Korea, threats to return to military dictatorship in Brazil and extrajudicial killings in the Philippines, among an alarming number of other possible examples</w:t>
      </w:r>
      <w:r w:rsidR="00244CDE">
        <w:rPr>
          <w:rFonts w:ascii="Arial" w:eastAsia="Times New Roman" w:hAnsi="Arial" w:cs="Arial"/>
          <w:color w:val="000000" w:themeColor="text1"/>
          <w:lang w:eastAsia="en-GB"/>
        </w:rPr>
        <w:t xml:space="preserve">—is </w:t>
      </w:r>
      <w:r w:rsidR="00CF2451" w:rsidRPr="00B42628">
        <w:rPr>
          <w:rFonts w:ascii="Arial" w:eastAsia="Times New Roman" w:hAnsi="Arial" w:cs="Arial"/>
          <w:color w:val="000000" w:themeColor="text1"/>
          <w:lang w:eastAsia="en-GB"/>
        </w:rPr>
        <w:t>therefore of imminent relevance to IA’s fate</w:t>
      </w:r>
      <w:r w:rsidR="005F24D2" w:rsidRPr="00B42628">
        <w:rPr>
          <w:rFonts w:ascii="Arial" w:eastAsia="Times New Roman" w:hAnsi="Arial" w:cs="Arial"/>
          <w:color w:val="000000" w:themeColor="text1"/>
          <w:lang w:eastAsia="en-GB"/>
        </w:rPr>
        <w:t>. The current post truth</w:t>
      </w:r>
      <w:r w:rsidR="00075BBD">
        <w:rPr>
          <w:rFonts w:ascii="Arial" w:eastAsia="Times New Roman" w:hAnsi="Arial" w:cs="Arial"/>
          <w:color w:val="000000" w:themeColor="text1"/>
          <w:lang w:eastAsia="en-GB"/>
        </w:rPr>
        <w:t>, populist</w:t>
      </w:r>
      <w:r w:rsidR="005F24D2" w:rsidRPr="00B42628">
        <w:rPr>
          <w:rFonts w:ascii="Arial" w:eastAsia="Times New Roman" w:hAnsi="Arial" w:cs="Arial"/>
          <w:color w:val="000000" w:themeColor="text1"/>
          <w:lang w:eastAsia="en-GB"/>
        </w:rPr>
        <w:t xml:space="preserve"> era is threatening the very essence of IA. Here, ‘facts’ are no longer ‘facts’ and people are openly manipulated to believe in ‘alternative facts’ (Fischer </w:t>
      </w:r>
      <w:r w:rsidR="005F24D2" w:rsidRPr="00B42628">
        <w:rPr>
          <w:rFonts w:ascii="Arial" w:eastAsia="Times New Roman" w:hAnsi="Arial" w:cs="Arial"/>
          <w:color w:val="000000" w:themeColor="text1"/>
          <w:lang w:eastAsia="en-GB"/>
        </w:rPr>
        <w:lastRenderedPageBreak/>
        <w:t xml:space="preserve">2018). Institutions, especially government, are seeing public trust in their competencies and actions decline (Castells, 2019; Edelman, 2019). Meanwhile, corporations are adopting socially and environmentally focused roles beyond their traditional remits, partly in an effort to fill the gap </w:t>
      </w:r>
      <w:r w:rsidR="00075BBD">
        <w:rPr>
          <w:rFonts w:ascii="Arial" w:eastAsia="Times New Roman" w:hAnsi="Arial" w:cs="Arial"/>
          <w:color w:val="000000" w:themeColor="text1"/>
          <w:lang w:eastAsia="en-GB"/>
        </w:rPr>
        <w:t xml:space="preserve">– some more, some less successful </w:t>
      </w:r>
      <w:proofErr w:type="gramStart"/>
      <w:r w:rsidR="00075BBD">
        <w:rPr>
          <w:rFonts w:ascii="Arial" w:eastAsia="Times New Roman" w:hAnsi="Arial" w:cs="Arial"/>
          <w:color w:val="000000" w:themeColor="text1"/>
          <w:lang w:eastAsia="en-GB"/>
        </w:rPr>
        <w:t>s</w:t>
      </w:r>
      <w:r w:rsidR="005F24D2" w:rsidRPr="00B42628">
        <w:rPr>
          <w:rFonts w:ascii="Arial" w:eastAsia="Times New Roman" w:hAnsi="Arial" w:cs="Arial"/>
          <w:color w:val="000000" w:themeColor="text1"/>
          <w:lang w:eastAsia="en-GB"/>
        </w:rPr>
        <w:t>(</w:t>
      </w:r>
      <w:proofErr w:type="gramEnd"/>
      <w:r w:rsidR="005F24D2" w:rsidRPr="00B42628">
        <w:rPr>
          <w:rFonts w:ascii="Arial" w:eastAsia="Times New Roman" w:hAnsi="Arial" w:cs="Arial"/>
          <w:color w:val="000000" w:themeColor="text1"/>
          <w:lang w:eastAsia="en-GB"/>
        </w:rPr>
        <w:t xml:space="preserve">Bice, 2015). </w:t>
      </w:r>
    </w:p>
    <w:p w14:paraId="0E2BE6EB" w14:textId="77777777" w:rsidR="00BD3517" w:rsidRPr="00B42628" w:rsidRDefault="00BD3517" w:rsidP="005F24D2">
      <w:pPr>
        <w:spacing w:after="0" w:line="360" w:lineRule="auto"/>
        <w:rPr>
          <w:rFonts w:ascii="Arial" w:eastAsia="Times New Roman" w:hAnsi="Arial" w:cs="Arial"/>
          <w:color w:val="000000" w:themeColor="text1"/>
          <w:lang w:eastAsia="en-GB"/>
        </w:rPr>
      </w:pPr>
    </w:p>
    <w:p w14:paraId="57718619" w14:textId="59B51987" w:rsidR="005F24D2" w:rsidRPr="00B42628" w:rsidRDefault="005F24D2" w:rsidP="005F24D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 xml:space="preserve">In </w:t>
      </w:r>
      <w:r w:rsidR="00CF2451" w:rsidRPr="00B42628">
        <w:rPr>
          <w:rFonts w:ascii="Arial" w:eastAsia="Times New Roman" w:hAnsi="Arial" w:cs="Arial"/>
          <w:color w:val="000000" w:themeColor="text1"/>
          <w:lang w:eastAsia="en-GB"/>
        </w:rPr>
        <w:t xml:space="preserve">this issue Sibout Nooteboom (Erasmus University) provokes our readers to consider whether and how environmental assessment could come to be understood as an institution of liberal democracy, equal to journalism. He makes the case for such acknowledgment, drawing on </w:t>
      </w:r>
      <w:r w:rsidR="002A18F3" w:rsidRPr="00B42628">
        <w:rPr>
          <w:rFonts w:ascii="Arial" w:eastAsia="Times New Roman" w:hAnsi="Arial" w:cs="Arial"/>
          <w:color w:val="000000" w:themeColor="text1"/>
          <w:lang w:eastAsia="en-GB"/>
        </w:rPr>
        <w:t xml:space="preserve">the UN Espoo Convention and linkages between Freedom House’s indicators for liberal democracy and development decision-making. In </w:t>
      </w:r>
      <w:r w:rsidRPr="00B42628">
        <w:rPr>
          <w:rFonts w:ascii="Arial" w:eastAsia="Times New Roman" w:hAnsi="Arial" w:cs="Arial"/>
          <w:color w:val="000000" w:themeColor="text1"/>
          <w:lang w:eastAsia="en-GB"/>
        </w:rPr>
        <w:t>an environment where it is challenging to know who to trust, can IA still act as an effective advocate instrument for the issues it represents? Can IA continue to provide a ‘normative’ yardstick for raising awareness of issues that, in its absence would likely be either underrepresented or ignored? This remains to be seen.</w:t>
      </w:r>
      <w:r w:rsidR="007429AC" w:rsidRPr="00B42628">
        <w:rPr>
          <w:rFonts w:ascii="Arial" w:eastAsia="Times New Roman" w:hAnsi="Arial" w:cs="Arial"/>
          <w:color w:val="000000" w:themeColor="text1"/>
          <w:lang w:eastAsia="en-GB"/>
        </w:rPr>
        <w:t xml:space="preserve"> </w:t>
      </w:r>
    </w:p>
    <w:p w14:paraId="3C77246B" w14:textId="77777777" w:rsidR="00BD3517" w:rsidRPr="00B42628" w:rsidRDefault="00BD3517" w:rsidP="003A38B7">
      <w:pPr>
        <w:spacing w:after="0" w:line="360" w:lineRule="auto"/>
        <w:rPr>
          <w:rFonts w:ascii="Arial" w:eastAsia="Times New Roman" w:hAnsi="Arial" w:cs="Arial"/>
          <w:color w:val="000000" w:themeColor="text1"/>
          <w:lang w:eastAsia="en-GB"/>
        </w:rPr>
      </w:pPr>
    </w:p>
    <w:p w14:paraId="1E0B9A8A" w14:textId="7192274C" w:rsidR="003A38B7" w:rsidRPr="00B42628" w:rsidRDefault="007429AC"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Angus Morrison-Saunders (Edith Cowan University) and colleagues meanwhile argue for the better integration of the SDGs with IA as means for facilitating development. Better acknowledgment of the similarities between the SDGs and IA’s fundamental goals could support emerging national and regional regulation that is embedding the SDGs into development policies and encouraging a more strategic approach to achieving the SDGs.</w:t>
      </w:r>
      <w:r w:rsidR="00032188" w:rsidRPr="00B42628">
        <w:rPr>
          <w:rFonts w:ascii="Arial" w:eastAsia="Times New Roman" w:hAnsi="Arial" w:cs="Arial"/>
          <w:color w:val="000000" w:themeColor="text1"/>
          <w:lang w:eastAsia="en-GB"/>
        </w:rPr>
        <w:t xml:space="preserve"> This includes deeper consideration of specific, SDG ‘sub-goals’ and targets in addition to the 17 broad level goals.  </w:t>
      </w:r>
      <w:r w:rsidRPr="00B42628">
        <w:rPr>
          <w:rFonts w:ascii="Arial" w:eastAsia="Times New Roman" w:hAnsi="Arial" w:cs="Arial"/>
          <w:color w:val="000000" w:themeColor="text1"/>
          <w:lang w:eastAsia="en-GB"/>
        </w:rPr>
        <w:t xml:space="preserve"> </w:t>
      </w:r>
    </w:p>
    <w:p w14:paraId="35B06B93" w14:textId="77777777" w:rsidR="004343D3" w:rsidRPr="00B42628" w:rsidRDefault="004343D3" w:rsidP="003A38B7">
      <w:pPr>
        <w:spacing w:after="0" w:line="360" w:lineRule="auto"/>
        <w:rPr>
          <w:rFonts w:ascii="Arial" w:eastAsia="Times New Roman" w:hAnsi="Arial" w:cs="Arial"/>
          <w:color w:val="000000" w:themeColor="text1"/>
          <w:lang w:eastAsia="en-GB"/>
        </w:rPr>
      </w:pPr>
    </w:p>
    <w:p w14:paraId="5BF646DF" w14:textId="080BAC5A" w:rsidR="004343D3" w:rsidRPr="00B42628" w:rsidRDefault="004343D3" w:rsidP="003A38B7">
      <w:pPr>
        <w:spacing w:after="0" w:line="360" w:lineRule="auto"/>
        <w:rPr>
          <w:rFonts w:ascii="Arial" w:eastAsia="Times New Roman" w:hAnsi="Arial" w:cs="Arial"/>
          <w:i/>
          <w:iCs/>
          <w:color w:val="000000" w:themeColor="text1"/>
          <w:lang w:eastAsia="en-GB"/>
        </w:rPr>
      </w:pPr>
      <w:r w:rsidRPr="00B42628">
        <w:rPr>
          <w:rFonts w:ascii="Arial" w:eastAsia="Times New Roman" w:hAnsi="Arial" w:cs="Arial"/>
          <w:i/>
          <w:iCs/>
          <w:color w:val="000000" w:themeColor="text1"/>
          <w:lang w:eastAsia="en-GB"/>
        </w:rPr>
        <w:t>Policy and enforcement</w:t>
      </w:r>
    </w:p>
    <w:p w14:paraId="3E34503D" w14:textId="1DD3018C" w:rsidR="003A38B7" w:rsidRPr="00B42628" w:rsidRDefault="00032188"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As certain government’s attention to the SDGs and IA suggests, t</w:t>
      </w:r>
      <w:r w:rsidR="003851DB" w:rsidRPr="00B42628">
        <w:rPr>
          <w:rFonts w:ascii="Arial" w:eastAsia="Times New Roman" w:hAnsi="Arial" w:cs="Arial"/>
          <w:color w:val="000000" w:themeColor="text1"/>
          <w:lang w:eastAsia="en-GB"/>
        </w:rPr>
        <w:t xml:space="preserve">he growing importance of IA to addressing humanity’s shared challenges is being recognised progressively by many governments. </w:t>
      </w:r>
      <w:r w:rsidR="003A38B7" w:rsidRPr="00B42628">
        <w:rPr>
          <w:rFonts w:ascii="Arial" w:eastAsia="Times New Roman" w:hAnsi="Arial" w:cs="Arial"/>
          <w:color w:val="000000" w:themeColor="text1"/>
          <w:lang w:eastAsia="en-GB"/>
        </w:rPr>
        <w:t>R</w:t>
      </w:r>
      <w:r w:rsidR="004B4FA2" w:rsidRPr="00B42628">
        <w:rPr>
          <w:rFonts w:ascii="Arial" w:eastAsia="Times New Roman" w:hAnsi="Arial" w:cs="Arial"/>
          <w:color w:val="000000" w:themeColor="text1"/>
          <w:lang w:eastAsia="en-GB"/>
        </w:rPr>
        <w:t xml:space="preserve">ecent changes in European EIA legislation have brought a renewed interest </w:t>
      </w:r>
      <w:r w:rsidR="005F4FC2" w:rsidRPr="00B42628">
        <w:rPr>
          <w:rFonts w:ascii="Arial" w:eastAsia="Times New Roman" w:hAnsi="Arial" w:cs="Arial"/>
          <w:color w:val="000000" w:themeColor="text1"/>
          <w:lang w:eastAsia="en-GB"/>
        </w:rPr>
        <w:t xml:space="preserve">into </w:t>
      </w:r>
      <w:r w:rsidR="004B4FA2" w:rsidRPr="00B42628">
        <w:rPr>
          <w:rFonts w:ascii="Arial" w:eastAsia="Times New Roman" w:hAnsi="Arial" w:cs="Arial"/>
          <w:color w:val="000000" w:themeColor="text1"/>
          <w:lang w:eastAsia="en-GB"/>
        </w:rPr>
        <w:t>the consideration of human health</w:t>
      </w:r>
      <w:r w:rsidR="00F473CC" w:rsidRPr="00B42628">
        <w:rPr>
          <w:rFonts w:ascii="Arial" w:eastAsia="Times New Roman" w:hAnsi="Arial" w:cs="Arial"/>
          <w:color w:val="000000" w:themeColor="text1"/>
          <w:lang w:eastAsia="en-GB"/>
        </w:rPr>
        <w:t xml:space="preserve">, </w:t>
      </w:r>
      <w:r w:rsidR="00486F7F" w:rsidRPr="00B42628">
        <w:rPr>
          <w:rFonts w:ascii="Arial" w:eastAsia="Times New Roman" w:hAnsi="Arial" w:cs="Arial"/>
          <w:color w:val="000000" w:themeColor="text1"/>
          <w:lang w:eastAsia="en-GB"/>
        </w:rPr>
        <w:t xml:space="preserve">‘land’, </w:t>
      </w:r>
      <w:r w:rsidR="003A38B7" w:rsidRPr="00B42628">
        <w:rPr>
          <w:rFonts w:ascii="Arial" w:eastAsia="Times New Roman" w:hAnsi="Arial" w:cs="Arial"/>
          <w:color w:val="000000" w:themeColor="text1"/>
          <w:lang w:eastAsia="en-GB"/>
        </w:rPr>
        <w:t>post-</w:t>
      </w:r>
      <w:r w:rsidR="00F473CC" w:rsidRPr="00B42628">
        <w:rPr>
          <w:rFonts w:ascii="Arial" w:eastAsia="Times New Roman" w:hAnsi="Arial" w:cs="Arial"/>
          <w:color w:val="000000" w:themeColor="text1"/>
          <w:lang w:eastAsia="en-GB"/>
        </w:rPr>
        <w:t>project analysis</w:t>
      </w:r>
      <w:r w:rsidR="004B4FA2" w:rsidRPr="00B42628">
        <w:rPr>
          <w:rFonts w:ascii="Arial" w:eastAsia="Times New Roman" w:hAnsi="Arial" w:cs="Arial"/>
          <w:color w:val="000000" w:themeColor="text1"/>
          <w:lang w:eastAsia="en-GB"/>
        </w:rPr>
        <w:t xml:space="preserve"> and </w:t>
      </w:r>
      <w:r w:rsidR="00F473CC" w:rsidRPr="00B42628">
        <w:rPr>
          <w:rFonts w:ascii="Arial" w:eastAsia="Times New Roman" w:hAnsi="Arial" w:cs="Arial"/>
          <w:color w:val="000000" w:themeColor="text1"/>
          <w:lang w:eastAsia="en-GB"/>
        </w:rPr>
        <w:t>accident and disaster management</w:t>
      </w:r>
      <w:r w:rsidR="004B4FA2" w:rsidRPr="00B42628">
        <w:rPr>
          <w:rFonts w:ascii="Arial" w:eastAsia="Times New Roman" w:hAnsi="Arial" w:cs="Arial"/>
          <w:color w:val="000000" w:themeColor="text1"/>
          <w:lang w:eastAsia="en-GB"/>
        </w:rPr>
        <w:t>, as well as climate change adaptation in EIA</w:t>
      </w:r>
      <w:r w:rsidR="003851DB" w:rsidRPr="00B42628">
        <w:rPr>
          <w:rFonts w:ascii="Arial" w:eastAsia="Times New Roman" w:hAnsi="Arial" w:cs="Arial"/>
          <w:color w:val="000000" w:themeColor="text1"/>
          <w:lang w:eastAsia="en-GB"/>
        </w:rPr>
        <w:t xml:space="preserve">. This includes considerations about </w:t>
      </w:r>
      <w:r w:rsidR="004B4FA2" w:rsidRPr="00B42628">
        <w:rPr>
          <w:rFonts w:ascii="Arial" w:eastAsia="Times New Roman" w:hAnsi="Arial" w:cs="Arial"/>
          <w:color w:val="000000" w:themeColor="text1"/>
          <w:lang w:eastAsia="en-GB"/>
        </w:rPr>
        <w:t xml:space="preserve">what contributes to realistic alternatives and what expertise </w:t>
      </w:r>
      <w:r w:rsidR="007E5E0C" w:rsidRPr="00B42628">
        <w:rPr>
          <w:rFonts w:ascii="Arial" w:eastAsia="Times New Roman" w:hAnsi="Arial" w:cs="Arial"/>
          <w:color w:val="000000" w:themeColor="text1"/>
          <w:lang w:eastAsia="en-GB"/>
        </w:rPr>
        <w:t>and</w:t>
      </w:r>
      <w:r w:rsidR="002A1CE5" w:rsidRPr="00B42628">
        <w:rPr>
          <w:rFonts w:ascii="Arial" w:eastAsia="Times New Roman" w:hAnsi="Arial" w:cs="Arial"/>
          <w:color w:val="000000" w:themeColor="text1"/>
          <w:lang w:eastAsia="en-GB"/>
        </w:rPr>
        <w:t xml:space="preserve"> quality control </w:t>
      </w:r>
      <w:r w:rsidR="004B4FA2" w:rsidRPr="00B42628">
        <w:rPr>
          <w:rFonts w:ascii="Arial" w:eastAsia="Times New Roman" w:hAnsi="Arial" w:cs="Arial"/>
          <w:color w:val="000000" w:themeColor="text1"/>
          <w:lang w:eastAsia="en-GB"/>
        </w:rPr>
        <w:t>is required for</w:t>
      </w:r>
      <w:r w:rsidR="00F473CC" w:rsidRPr="00B42628">
        <w:rPr>
          <w:rFonts w:ascii="Arial" w:eastAsia="Times New Roman" w:hAnsi="Arial" w:cs="Arial"/>
          <w:color w:val="000000" w:themeColor="text1"/>
          <w:lang w:eastAsia="en-GB"/>
        </w:rPr>
        <w:t xml:space="preserve"> being able to</w:t>
      </w:r>
      <w:r w:rsidR="004B4FA2" w:rsidRPr="00B42628">
        <w:rPr>
          <w:rFonts w:ascii="Arial" w:eastAsia="Times New Roman" w:hAnsi="Arial" w:cs="Arial"/>
          <w:color w:val="000000" w:themeColor="text1"/>
          <w:lang w:eastAsia="en-GB"/>
        </w:rPr>
        <w:t xml:space="preserve"> effective</w:t>
      </w:r>
      <w:r w:rsidR="00F473CC" w:rsidRPr="00B42628">
        <w:rPr>
          <w:rFonts w:ascii="Arial" w:eastAsia="Times New Roman" w:hAnsi="Arial" w:cs="Arial"/>
          <w:color w:val="000000" w:themeColor="text1"/>
          <w:lang w:eastAsia="en-GB"/>
        </w:rPr>
        <w:t>ly conduct</w:t>
      </w:r>
      <w:r w:rsidR="004B4FA2" w:rsidRPr="00B42628">
        <w:rPr>
          <w:rFonts w:ascii="Arial" w:eastAsia="Times New Roman" w:hAnsi="Arial" w:cs="Arial"/>
          <w:color w:val="000000" w:themeColor="text1"/>
          <w:lang w:eastAsia="en-GB"/>
        </w:rPr>
        <w:t xml:space="preserve"> EIA (Fischer</w:t>
      </w:r>
      <w:r w:rsidR="00E920C9" w:rsidRPr="00B42628">
        <w:rPr>
          <w:rFonts w:ascii="Arial" w:eastAsia="Times New Roman" w:hAnsi="Arial" w:cs="Arial"/>
          <w:color w:val="000000" w:themeColor="text1"/>
          <w:lang w:eastAsia="en-GB"/>
        </w:rPr>
        <w:t xml:space="preserve"> et al</w:t>
      </w:r>
      <w:r w:rsidR="004B4FA2" w:rsidRPr="00B42628">
        <w:rPr>
          <w:rFonts w:ascii="Arial" w:eastAsia="Times New Roman" w:hAnsi="Arial" w:cs="Arial"/>
          <w:color w:val="000000" w:themeColor="text1"/>
          <w:lang w:eastAsia="en-GB"/>
        </w:rPr>
        <w:t xml:space="preserve">, </w:t>
      </w:r>
      <w:r w:rsidR="00E920C9" w:rsidRPr="00B42628">
        <w:rPr>
          <w:rFonts w:ascii="Arial" w:eastAsia="Times New Roman" w:hAnsi="Arial" w:cs="Arial"/>
          <w:color w:val="000000" w:themeColor="text1"/>
          <w:lang w:eastAsia="en-GB"/>
        </w:rPr>
        <w:t xml:space="preserve">2016). </w:t>
      </w:r>
      <w:r w:rsidR="003851DB" w:rsidRPr="00B42628">
        <w:rPr>
          <w:rFonts w:ascii="Arial" w:eastAsia="Times New Roman" w:hAnsi="Arial" w:cs="Arial"/>
          <w:color w:val="000000" w:themeColor="text1"/>
          <w:lang w:eastAsia="en-GB"/>
        </w:rPr>
        <w:t xml:space="preserve">In Australia, State and Territory level governments are increasing their focus on </w:t>
      </w:r>
      <w:r w:rsidR="00720DE6" w:rsidRPr="00B42628">
        <w:rPr>
          <w:rFonts w:ascii="Arial" w:eastAsia="Times New Roman" w:hAnsi="Arial" w:cs="Arial"/>
          <w:color w:val="000000" w:themeColor="text1"/>
          <w:lang w:eastAsia="en-GB"/>
        </w:rPr>
        <w:t>social impact assessment (</w:t>
      </w:r>
      <w:r w:rsidR="003851DB" w:rsidRPr="00B42628">
        <w:rPr>
          <w:rFonts w:ascii="Arial" w:eastAsia="Times New Roman" w:hAnsi="Arial" w:cs="Arial"/>
          <w:color w:val="000000" w:themeColor="text1"/>
          <w:lang w:eastAsia="en-GB"/>
        </w:rPr>
        <w:t>SIA</w:t>
      </w:r>
      <w:r w:rsidR="00720DE6" w:rsidRPr="00B42628">
        <w:rPr>
          <w:rFonts w:ascii="Arial" w:eastAsia="Times New Roman" w:hAnsi="Arial" w:cs="Arial"/>
          <w:color w:val="000000" w:themeColor="text1"/>
          <w:lang w:eastAsia="en-GB"/>
        </w:rPr>
        <w:t>)</w:t>
      </w:r>
      <w:r w:rsidR="007A7D50" w:rsidRPr="00B42628">
        <w:rPr>
          <w:rFonts w:ascii="Arial" w:eastAsia="Times New Roman" w:hAnsi="Arial" w:cs="Arial"/>
          <w:color w:val="000000" w:themeColor="text1"/>
          <w:lang w:eastAsia="en-GB"/>
        </w:rPr>
        <w:t xml:space="preserve"> and instituting more inclusive guidelines for stakeholder engagement, targeting improved social outcomes for local communities (Parsons, Everingham and Kemp, 2018). </w:t>
      </w:r>
      <w:r w:rsidR="008D50E1" w:rsidRPr="00B42628">
        <w:rPr>
          <w:rFonts w:ascii="Arial" w:eastAsia="Times New Roman" w:hAnsi="Arial" w:cs="Arial"/>
          <w:color w:val="000000" w:themeColor="text1"/>
          <w:lang w:eastAsia="en-GB"/>
        </w:rPr>
        <w:t xml:space="preserve">At the same time, </w:t>
      </w:r>
      <w:r w:rsidR="007B25EF" w:rsidRPr="00B42628">
        <w:rPr>
          <w:rFonts w:ascii="Arial" w:eastAsia="Times New Roman" w:hAnsi="Arial" w:cs="Arial"/>
          <w:color w:val="000000" w:themeColor="text1"/>
          <w:lang w:eastAsia="en-GB"/>
        </w:rPr>
        <w:t>strategic environmental assessment (</w:t>
      </w:r>
      <w:r w:rsidR="008D50E1" w:rsidRPr="00B42628">
        <w:rPr>
          <w:rFonts w:ascii="Arial" w:eastAsia="Times New Roman" w:hAnsi="Arial" w:cs="Arial"/>
          <w:color w:val="000000" w:themeColor="text1"/>
          <w:lang w:eastAsia="en-GB"/>
        </w:rPr>
        <w:t>SEA</w:t>
      </w:r>
      <w:r w:rsidR="007B25EF" w:rsidRPr="00B42628">
        <w:rPr>
          <w:rFonts w:ascii="Arial" w:eastAsia="Times New Roman" w:hAnsi="Arial" w:cs="Arial"/>
          <w:color w:val="000000" w:themeColor="text1"/>
          <w:lang w:eastAsia="en-GB"/>
        </w:rPr>
        <w:t>)</w:t>
      </w:r>
      <w:r w:rsidR="008D50E1" w:rsidRPr="00B42628">
        <w:rPr>
          <w:rFonts w:ascii="Arial" w:eastAsia="Times New Roman" w:hAnsi="Arial" w:cs="Arial"/>
          <w:color w:val="000000" w:themeColor="text1"/>
          <w:lang w:eastAsia="en-GB"/>
        </w:rPr>
        <w:t xml:space="preserve"> effectiveness </w:t>
      </w:r>
      <w:r w:rsidR="005C0E22" w:rsidRPr="00B42628">
        <w:rPr>
          <w:rFonts w:ascii="Arial" w:eastAsia="Times New Roman" w:hAnsi="Arial" w:cs="Arial"/>
          <w:color w:val="000000" w:themeColor="text1"/>
          <w:lang w:eastAsia="en-GB"/>
        </w:rPr>
        <w:t xml:space="preserve">in North America, Europe and Southeast Asia </w:t>
      </w:r>
      <w:r w:rsidR="008D50E1" w:rsidRPr="00B42628">
        <w:rPr>
          <w:rFonts w:ascii="Arial" w:eastAsia="Times New Roman" w:hAnsi="Arial" w:cs="Arial"/>
          <w:color w:val="000000" w:themeColor="text1"/>
          <w:lang w:eastAsia="en-GB"/>
        </w:rPr>
        <w:t xml:space="preserve">is </w:t>
      </w:r>
      <w:r w:rsidR="007E5E0C" w:rsidRPr="00B42628">
        <w:rPr>
          <w:rFonts w:ascii="Arial" w:eastAsia="Times New Roman" w:hAnsi="Arial" w:cs="Arial"/>
          <w:color w:val="000000" w:themeColor="text1"/>
          <w:lang w:eastAsia="en-GB"/>
        </w:rPr>
        <w:t>currently under critical review</w:t>
      </w:r>
      <w:r w:rsidR="008D50E1" w:rsidRPr="00B42628">
        <w:rPr>
          <w:rFonts w:ascii="Arial" w:eastAsia="Times New Roman" w:hAnsi="Arial" w:cs="Arial"/>
          <w:color w:val="000000" w:themeColor="text1"/>
          <w:lang w:eastAsia="en-GB"/>
        </w:rPr>
        <w:t xml:space="preserve"> (Therivel and </w:t>
      </w:r>
      <w:r w:rsidR="008D50E1" w:rsidRPr="00B42628">
        <w:rPr>
          <w:rFonts w:ascii="Arial" w:eastAsia="Times New Roman" w:hAnsi="Arial" w:cs="Arial"/>
          <w:color w:val="000000" w:themeColor="text1"/>
          <w:lang w:eastAsia="en-GB"/>
        </w:rPr>
        <w:lastRenderedPageBreak/>
        <w:t xml:space="preserve">Gonzalez, 2019) </w:t>
      </w:r>
      <w:r w:rsidR="007E5E0C" w:rsidRPr="00B42628">
        <w:rPr>
          <w:rFonts w:ascii="Arial" w:eastAsia="Times New Roman" w:hAnsi="Arial" w:cs="Arial"/>
          <w:color w:val="000000" w:themeColor="text1"/>
          <w:lang w:eastAsia="en-GB"/>
        </w:rPr>
        <w:t xml:space="preserve">and </w:t>
      </w:r>
      <w:r w:rsidR="008D50E1" w:rsidRPr="00B42628">
        <w:rPr>
          <w:rFonts w:ascii="Arial" w:eastAsia="Times New Roman" w:hAnsi="Arial" w:cs="Arial"/>
          <w:color w:val="000000" w:themeColor="text1"/>
          <w:lang w:eastAsia="en-GB"/>
        </w:rPr>
        <w:t>it is seen by many to be seriously lagging behind its potential</w:t>
      </w:r>
      <w:r w:rsidR="007E5E0C" w:rsidRPr="00B42628">
        <w:rPr>
          <w:rFonts w:ascii="Arial" w:eastAsia="Times New Roman" w:hAnsi="Arial" w:cs="Arial"/>
          <w:color w:val="000000" w:themeColor="text1"/>
          <w:lang w:eastAsia="en-GB"/>
        </w:rPr>
        <w:t xml:space="preserve"> in supporting environmentally sustainable development</w:t>
      </w:r>
      <w:r w:rsidR="008D50E1" w:rsidRPr="00B42628">
        <w:rPr>
          <w:rFonts w:ascii="Arial" w:eastAsia="Times New Roman" w:hAnsi="Arial" w:cs="Arial"/>
          <w:color w:val="000000" w:themeColor="text1"/>
          <w:lang w:eastAsia="en-GB"/>
        </w:rPr>
        <w:t>.</w:t>
      </w:r>
    </w:p>
    <w:p w14:paraId="2CAC145C" w14:textId="6095D26E" w:rsidR="00112B88" w:rsidRPr="00B42628" w:rsidRDefault="00112B88" w:rsidP="003A38B7">
      <w:pPr>
        <w:spacing w:after="0" w:line="360" w:lineRule="auto"/>
        <w:rPr>
          <w:rFonts w:ascii="Arial" w:eastAsia="Times New Roman" w:hAnsi="Arial" w:cs="Arial"/>
          <w:color w:val="000000" w:themeColor="text1"/>
          <w:lang w:eastAsia="en-GB"/>
        </w:rPr>
      </w:pPr>
    </w:p>
    <w:p w14:paraId="6EB6AAF6" w14:textId="1AD290EB" w:rsidR="00112B88" w:rsidRPr="00B42628" w:rsidRDefault="00112B88"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In this issue, Riki Therivel (</w:t>
      </w:r>
      <w:proofErr w:type="spellStart"/>
      <w:r w:rsidR="000D677F">
        <w:rPr>
          <w:rFonts w:ascii="Arial" w:eastAsia="Times New Roman" w:hAnsi="Arial" w:cs="Arial"/>
          <w:color w:val="000000" w:themeColor="text1"/>
          <w:lang w:eastAsia="en-GB"/>
        </w:rPr>
        <w:t>Levett</w:t>
      </w:r>
      <w:proofErr w:type="spellEnd"/>
      <w:r w:rsidR="000D677F">
        <w:rPr>
          <w:rFonts w:ascii="Arial" w:eastAsia="Times New Roman" w:hAnsi="Arial" w:cs="Arial"/>
          <w:color w:val="000000" w:themeColor="text1"/>
          <w:lang w:eastAsia="en-GB"/>
        </w:rPr>
        <w:t>-Therivel</w:t>
      </w:r>
      <w:r w:rsidRPr="00B42628">
        <w:rPr>
          <w:rFonts w:ascii="Arial" w:eastAsia="Times New Roman" w:hAnsi="Arial" w:cs="Arial"/>
          <w:color w:val="000000" w:themeColor="text1"/>
          <w:lang w:eastAsia="en-GB"/>
        </w:rPr>
        <w:t xml:space="preserve">) argues that future IA must be tougher, with greater legal enforceability of IA recommendations shifting the practice from a ‘(baleen) whale—imposing but toothless—into a sleek and effective shark.’ </w:t>
      </w:r>
      <w:r w:rsidR="00A36051" w:rsidRPr="00B42628">
        <w:rPr>
          <w:rFonts w:ascii="Arial" w:eastAsia="Times New Roman" w:hAnsi="Arial" w:cs="Arial"/>
          <w:color w:val="000000" w:themeColor="text1"/>
          <w:lang w:eastAsia="en-GB"/>
        </w:rPr>
        <w:t xml:space="preserve">Bram Noble (University of Saskatchewan) brings into stark relief the pressure which complex environmental challenges are putting on traditional </w:t>
      </w:r>
      <w:r w:rsidR="005F24D2" w:rsidRPr="00B42628">
        <w:rPr>
          <w:rFonts w:ascii="Arial" w:eastAsia="Times New Roman" w:hAnsi="Arial" w:cs="Arial"/>
          <w:color w:val="000000" w:themeColor="text1"/>
          <w:lang w:eastAsia="en-GB"/>
        </w:rPr>
        <w:t xml:space="preserve">project-by-project IA. Noble argues that a system of better integrated policy, planning and decision-making surrounding and supporting IA will be vital to the practice’s future viability and influence. Governance of strategic assessment will be central to this. </w:t>
      </w:r>
    </w:p>
    <w:p w14:paraId="05EDC799" w14:textId="77777777" w:rsidR="00B33B34" w:rsidRPr="00B42628" w:rsidRDefault="00B33B34" w:rsidP="003A38B7">
      <w:pPr>
        <w:spacing w:after="0" w:line="360" w:lineRule="auto"/>
        <w:rPr>
          <w:rFonts w:ascii="Arial" w:eastAsia="Times New Roman" w:hAnsi="Arial" w:cs="Arial"/>
          <w:i/>
          <w:iCs/>
          <w:color w:val="000000" w:themeColor="text1"/>
          <w:lang w:eastAsia="en-GB"/>
        </w:rPr>
      </w:pPr>
    </w:p>
    <w:p w14:paraId="77F6FF29" w14:textId="44BF9CC3" w:rsidR="003A38B7" w:rsidRPr="00B42628" w:rsidRDefault="004343D3" w:rsidP="003A38B7">
      <w:pPr>
        <w:spacing w:after="0" w:line="360" w:lineRule="auto"/>
        <w:rPr>
          <w:rFonts w:ascii="Arial" w:eastAsia="Times New Roman" w:hAnsi="Arial" w:cs="Arial"/>
          <w:i/>
          <w:iCs/>
          <w:color w:val="000000" w:themeColor="text1"/>
          <w:lang w:eastAsia="en-GB"/>
        </w:rPr>
      </w:pPr>
      <w:r w:rsidRPr="00B42628">
        <w:rPr>
          <w:rFonts w:ascii="Arial" w:eastAsia="Times New Roman" w:hAnsi="Arial" w:cs="Arial"/>
          <w:i/>
          <w:iCs/>
          <w:color w:val="000000" w:themeColor="text1"/>
          <w:lang w:eastAsia="en-GB"/>
        </w:rPr>
        <w:t>The importance of social impact assessment</w:t>
      </w:r>
    </w:p>
    <w:p w14:paraId="35F89619" w14:textId="42EF20FD" w:rsidR="006C2436" w:rsidRPr="00B42628" w:rsidRDefault="00032188" w:rsidP="000F7AF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In order for IA to be genuinely strategic in its remit and application, it is essential that it be valued and developed in its many forms and disciplines. Health impact assessment (HIA, see</w:t>
      </w:r>
      <w:r w:rsidR="00CA221A">
        <w:rPr>
          <w:rFonts w:ascii="Arial" w:eastAsia="Times New Roman" w:hAnsi="Arial" w:cs="Arial"/>
          <w:color w:val="000000" w:themeColor="text1"/>
          <w:lang w:eastAsia="en-GB"/>
        </w:rPr>
        <w:t>,</w:t>
      </w:r>
      <w:r w:rsidRPr="00B42628">
        <w:rPr>
          <w:rFonts w:ascii="Arial" w:eastAsia="Times New Roman" w:hAnsi="Arial" w:cs="Arial"/>
          <w:color w:val="000000" w:themeColor="text1"/>
          <w:lang w:eastAsia="en-GB"/>
        </w:rPr>
        <w:t xml:space="preserve"> e.g. the 201</w:t>
      </w:r>
      <w:r w:rsidR="00726004">
        <w:rPr>
          <w:rFonts w:ascii="Arial" w:eastAsia="Times New Roman" w:hAnsi="Arial" w:cs="Arial"/>
          <w:color w:val="000000" w:themeColor="text1"/>
          <w:lang w:eastAsia="en-GB"/>
        </w:rPr>
        <w:t>8</w:t>
      </w:r>
      <w:r w:rsidRPr="00B42628">
        <w:rPr>
          <w:rFonts w:ascii="Arial" w:eastAsia="Times New Roman" w:hAnsi="Arial" w:cs="Arial"/>
          <w:color w:val="000000" w:themeColor="text1"/>
          <w:lang w:eastAsia="en-GB"/>
        </w:rPr>
        <w:t xml:space="preserve"> Special Issue on ‘Health in impact assessments</w:t>
      </w:r>
      <w:r w:rsidR="00CA221A">
        <w:rPr>
          <w:rFonts w:ascii="Arial" w:eastAsia="Times New Roman" w:hAnsi="Arial" w:cs="Arial"/>
          <w:color w:val="000000" w:themeColor="text1"/>
          <w:lang w:eastAsia="en-GB"/>
        </w:rPr>
        <w:t>’</w:t>
      </w:r>
      <w:r w:rsidR="00726004">
        <w:rPr>
          <w:rFonts w:ascii="Arial" w:eastAsia="Times New Roman" w:hAnsi="Arial" w:cs="Arial"/>
          <w:color w:val="000000" w:themeColor="text1"/>
          <w:lang w:eastAsia="en-GB"/>
        </w:rPr>
        <w:t>; Fischer and Cave, 2018</w:t>
      </w:r>
      <w:r w:rsidRPr="00B42628">
        <w:rPr>
          <w:rFonts w:ascii="Arial" w:eastAsia="Times New Roman" w:hAnsi="Arial" w:cs="Arial"/>
          <w:color w:val="000000" w:themeColor="text1"/>
          <w:lang w:eastAsia="en-GB"/>
        </w:rPr>
        <w:t xml:space="preserve">) and </w:t>
      </w:r>
      <w:r w:rsidR="00B15E87" w:rsidRPr="00B42628">
        <w:rPr>
          <w:rFonts w:ascii="Arial" w:eastAsia="Times New Roman" w:hAnsi="Arial" w:cs="Arial"/>
          <w:color w:val="000000" w:themeColor="text1"/>
          <w:lang w:eastAsia="en-GB"/>
        </w:rPr>
        <w:t xml:space="preserve">SIA </w:t>
      </w:r>
      <w:r w:rsidR="005F24D2" w:rsidRPr="00B42628">
        <w:rPr>
          <w:rFonts w:ascii="Arial" w:eastAsia="Times New Roman" w:hAnsi="Arial" w:cs="Arial"/>
          <w:color w:val="000000" w:themeColor="text1"/>
          <w:lang w:eastAsia="en-GB"/>
        </w:rPr>
        <w:t>perhap</w:t>
      </w:r>
      <w:r w:rsidRPr="00B42628">
        <w:rPr>
          <w:rFonts w:ascii="Arial" w:eastAsia="Times New Roman" w:hAnsi="Arial" w:cs="Arial"/>
          <w:color w:val="000000" w:themeColor="text1"/>
          <w:lang w:eastAsia="en-GB"/>
        </w:rPr>
        <w:t>s</w:t>
      </w:r>
      <w:r w:rsidR="005F24D2" w:rsidRPr="00B42628">
        <w:rPr>
          <w:rFonts w:ascii="Arial" w:eastAsia="Times New Roman" w:hAnsi="Arial" w:cs="Arial"/>
          <w:color w:val="000000" w:themeColor="text1"/>
          <w:lang w:eastAsia="en-GB"/>
        </w:rPr>
        <w:t xml:space="preserve"> lead the field of ‘non-environmental’ IA types, in terms of </w:t>
      </w:r>
      <w:r w:rsidRPr="00B42628">
        <w:rPr>
          <w:rFonts w:ascii="Arial" w:eastAsia="Times New Roman" w:hAnsi="Arial" w:cs="Arial"/>
          <w:color w:val="000000" w:themeColor="text1"/>
          <w:lang w:eastAsia="en-GB"/>
        </w:rPr>
        <w:t>their</w:t>
      </w:r>
      <w:r w:rsidR="005F24D2" w:rsidRPr="00B42628">
        <w:rPr>
          <w:rFonts w:ascii="Arial" w:eastAsia="Times New Roman" w:hAnsi="Arial" w:cs="Arial"/>
          <w:color w:val="000000" w:themeColor="text1"/>
          <w:lang w:eastAsia="en-GB"/>
        </w:rPr>
        <w:t xml:space="preserve"> disciplinary development and influence. Over the past few decades, the position of SIA </w:t>
      </w:r>
      <w:r w:rsidRPr="00B42628">
        <w:rPr>
          <w:rFonts w:ascii="Arial" w:eastAsia="Times New Roman" w:hAnsi="Arial" w:cs="Arial"/>
          <w:color w:val="000000" w:themeColor="text1"/>
          <w:lang w:eastAsia="en-GB"/>
        </w:rPr>
        <w:t xml:space="preserve">in particular </w:t>
      </w:r>
      <w:r w:rsidR="005F24D2" w:rsidRPr="00B42628">
        <w:rPr>
          <w:rFonts w:ascii="Arial" w:eastAsia="Times New Roman" w:hAnsi="Arial" w:cs="Arial"/>
          <w:color w:val="000000" w:themeColor="text1"/>
          <w:lang w:eastAsia="en-GB"/>
        </w:rPr>
        <w:t xml:space="preserve">has heightened through improved acknowledgement in </w:t>
      </w:r>
      <w:r w:rsidR="00B15E87" w:rsidRPr="00B42628">
        <w:rPr>
          <w:rFonts w:ascii="Arial" w:eastAsia="Times New Roman" w:hAnsi="Arial" w:cs="Arial"/>
          <w:color w:val="000000" w:themeColor="text1"/>
          <w:lang w:eastAsia="en-GB"/>
        </w:rPr>
        <w:t>regulation, the creation of guidelines for its practice (</w:t>
      </w:r>
      <w:r w:rsidR="00B33B34" w:rsidRPr="00B42628">
        <w:rPr>
          <w:rFonts w:ascii="Arial" w:eastAsia="Times New Roman" w:hAnsi="Arial" w:cs="Arial"/>
          <w:color w:val="000000" w:themeColor="text1"/>
          <w:lang w:eastAsia="en-GB"/>
        </w:rPr>
        <w:t xml:space="preserve">Vanclay et al, 2015) </w:t>
      </w:r>
      <w:r w:rsidR="00B15E87" w:rsidRPr="00B42628">
        <w:rPr>
          <w:rFonts w:ascii="Arial" w:eastAsia="Times New Roman" w:hAnsi="Arial" w:cs="Arial"/>
          <w:color w:val="000000" w:themeColor="text1"/>
          <w:lang w:eastAsia="en-GB"/>
        </w:rPr>
        <w:t xml:space="preserve">and </w:t>
      </w:r>
      <w:r w:rsidR="005F24D2" w:rsidRPr="00B42628">
        <w:rPr>
          <w:rFonts w:ascii="Arial" w:eastAsia="Times New Roman" w:hAnsi="Arial" w:cs="Arial"/>
          <w:color w:val="000000" w:themeColor="text1"/>
          <w:lang w:eastAsia="en-GB"/>
        </w:rPr>
        <w:t xml:space="preserve">via </w:t>
      </w:r>
      <w:r w:rsidR="00B15E87" w:rsidRPr="00B42628">
        <w:rPr>
          <w:rFonts w:ascii="Arial" w:eastAsia="Times New Roman" w:hAnsi="Arial" w:cs="Arial"/>
          <w:color w:val="000000" w:themeColor="text1"/>
          <w:lang w:eastAsia="en-GB"/>
        </w:rPr>
        <w:t>the growing cohort of recognised professionals in the practice</w:t>
      </w:r>
      <w:r w:rsidR="005F24D2" w:rsidRPr="00B42628">
        <w:rPr>
          <w:rFonts w:ascii="Arial" w:eastAsia="Times New Roman" w:hAnsi="Arial" w:cs="Arial"/>
          <w:color w:val="000000" w:themeColor="text1"/>
          <w:lang w:eastAsia="en-GB"/>
        </w:rPr>
        <w:t>. SIA</w:t>
      </w:r>
      <w:r w:rsidR="00B15E87" w:rsidRPr="00B42628">
        <w:rPr>
          <w:rFonts w:ascii="Arial" w:eastAsia="Times New Roman" w:hAnsi="Arial" w:cs="Arial"/>
          <w:color w:val="000000" w:themeColor="text1"/>
          <w:lang w:eastAsia="en-GB"/>
        </w:rPr>
        <w:t xml:space="preserve"> demonstrate</w:t>
      </w:r>
      <w:r w:rsidR="005F24D2" w:rsidRPr="00B42628">
        <w:rPr>
          <w:rFonts w:ascii="Arial" w:eastAsia="Times New Roman" w:hAnsi="Arial" w:cs="Arial"/>
          <w:color w:val="000000" w:themeColor="text1"/>
          <w:lang w:eastAsia="en-GB"/>
        </w:rPr>
        <w:t>s</w:t>
      </w:r>
      <w:r w:rsidR="00B15E87" w:rsidRPr="00B42628">
        <w:rPr>
          <w:rFonts w:ascii="Arial" w:eastAsia="Times New Roman" w:hAnsi="Arial" w:cs="Arial"/>
          <w:color w:val="000000" w:themeColor="text1"/>
          <w:lang w:eastAsia="en-GB"/>
        </w:rPr>
        <w:t xml:space="preserve"> the capacity for non-environmental IA to achieve legitimacy and deliver robust evidence to support decision-making. </w:t>
      </w:r>
    </w:p>
    <w:p w14:paraId="7729321A" w14:textId="77777777" w:rsidR="006C2436" w:rsidRPr="00B42628" w:rsidRDefault="006C2436" w:rsidP="000F7AF2">
      <w:pPr>
        <w:spacing w:after="0" w:line="360" w:lineRule="auto"/>
        <w:rPr>
          <w:rFonts w:ascii="Arial" w:eastAsia="Times New Roman" w:hAnsi="Arial" w:cs="Arial"/>
          <w:color w:val="000000" w:themeColor="text1"/>
          <w:lang w:eastAsia="en-GB"/>
        </w:rPr>
      </w:pPr>
    </w:p>
    <w:p w14:paraId="347472C8" w14:textId="7F8A7BCC" w:rsidR="006C2436" w:rsidRPr="00B42628" w:rsidRDefault="006C2436" w:rsidP="000F7AF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In this issue</w:t>
      </w:r>
      <w:r w:rsidR="00D37F62" w:rsidRPr="00B42628">
        <w:rPr>
          <w:rFonts w:ascii="Arial" w:eastAsia="Times New Roman" w:hAnsi="Arial" w:cs="Arial"/>
          <w:color w:val="000000" w:themeColor="text1"/>
          <w:lang w:eastAsia="en-GB"/>
        </w:rPr>
        <w:t xml:space="preserve"> Frank Vanclay (University of Groningen) surveys the transformation of SIA from that of regulatory tool to one of widely applied social issues management. SIA today incorporates </w:t>
      </w:r>
      <w:r w:rsidR="00726004">
        <w:rPr>
          <w:rFonts w:ascii="Arial" w:eastAsia="Times New Roman" w:hAnsi="Arial" w:cs="Arial"/>
          <w:color w:val="000000" w:themeColor="text1"/>
          <w:lang w:eastAsia="en-GB"/>
        </w:rPr>
        <w:t xml:space="preserve">a </w:t>
      </w:r>
      <w:r w:rsidR="00D37F62" w:rsidRPr="00B42628">
        <w:rPr>
          <w:rFonts w:ascii="Arial" w:eastAsia="Times New Roman" w:hAnsi="Arial" w:cs="Arial"/>
          <w:color w:val="000000" w:themeColor="text1"/>
          <w:lang w:eastAsia="en-GB"/>
        </w:rPr>
        <w:t xml:space="preserve">myriad </w:t>
      </w:r>
      <w:r w:rsidR="00726004">
        <w:rPr>
          <w:rFonts w:ascii="Arial" w:eastAsia="Times New Roman" w:hAnsi="Arial" w:cs="Arial"/>
          <w:color w:val="000000" w:themeColor="text1"/>
          <w:lang w:eastAsia="en-GB"/>
        </w:rPr>
        <w:t xml:space="preserve">of </w:t>
      </w:r>
      <w:r w:rsidR="00D37F62" w:rsidRPr="00B42628">
        <w:rPr>
          <w:rFonts w:ascii="Arial" w:eastAsia="Times New Roman" w:hAnsi="Arial" w:cs="Arial"/>
          <w:color w:val="000000" w:themeColor="text1"/>
          <w:lang w:eastAsia="en-GB"/>
        </w:rPr>
        <w:t>concerns, including resettlement, social investment, sustainable livelihoods and consideration of indigenous people’s cultures, traditions and needs. Through the 21</w:t>
      </w:r>
      <w:r w:rsidR="00D37F62" w:rsidRPr="00B42628">
        <w:rPr>
          <w:rFonts w:ascii="Arial" w:eastAsia="Times New Roman" w:hAnsi="Arial" w:cs="Arial"/>
          <w:color w:val="000000" w:themeColor="text1"/>
          <w:vertAlign w:val="superscript"/>
          <w:lang w:eastAsia="en-GB"/>
        </w:rPr>
        <w:t>st</w:t>
      </w:r>
      <w:r w:rsidR="00D37F62" w:rsidRPr="00B42628">
        <w:rPr>
          <w:rFonts w:ascii="Arial" w:eastAsia="Times New Roman" w:hAnsi="Arial" w:cs="Arial"/>
          <w:color w:val="000000" w:themeColor="text1"/>
          <w:lang w:eastAsia="en-GB"/>
        </w:rPr>
        <w:t xml:space="preserve"> century, SIA is expected to become even more important to the management of involuntary resettlement, consideration of place-based impacts, upholding of human rights, management of cultural heritage and restoration of livelihoods. Ilse Aucamp (</w:t>
      </w:r>
      <w:proofErr w:type="spellStart"/>
      <w:r w:rsidR="00660592" w:rsidRPr="00B42628">
        <w:rPr>
          <w:rFonts w:ascii="Arial" w:eastAsia="Times New Roman" w:hAnsi="Arial" w:cs="Arial"/>
          <w:color w:val="000000" w:themeColor="text1"/>
          <w:lang w:eastAsia="en-GB"/>
        </w:rPr>
        <w:t>Equispectives</w:t>
      </w:r>
      <w:proofErr w:type="spellEnd"/>
      <w:r w:rsidR="00660592" w:rsidRPr="00B42628">
        <w:rPr>
          <w:rFonts w:ascii="Arial" w:eastAsia="Times New Roman" w:hAnsi="Arial" w:cs="Arial"/>
          <w:color w:val="000000" w:themeColor="text1"/>
          <w:lang w:eastAsia="en-GB"/>
        </w:rPr>
        <w:t xml:space="preserve"> Research and Consulting Services) and Stephan </w:t>
      </w:r>
      <w:proofErr w:type="spellStart"/>
      <w:r w:rsidR="00660592" w:rsidRPr="00B42628">
        <w:rPr>
          <w:rFonts w:ascii="Arial" w:eastAsia="Times New Roman" w:hAnsi="Arial" w:cs="Arial"/>
          <w:color w:val="000000" w:themeColor="text1"/>
          <w:lang w:eastAsia="en-GB"/>
        </w:rPr>
        <w:t>Woodborne</w:t>
      </w:r>
      <w:proofErr w:type="spellEnd"/>
      <w:r w:rsidR="00660592" w:rsidRPr="00B42628">
        <w:rPr>
          <w:rFonts w:ascii="Arial" w:eastAsia="Times New Roman" w:hAnsi="Arial" w:cs="Arial"/>
          <w:color w:val="000000" w:themeColor="text1"/>
          <w:lang w:eastAsia="en-GB"/>
        </w:rPr>
        <w:t xml:space="preserve"> (</w:t>
      </w:r>
      <w:proofErr w:type="spellStart"/>
      <w:r w:rsidR="00660592" w:rsidRPr="00B42628">
        <w:rPr>
          <w:rFonts w:ascii="Arial" w:eastAsia="Times New Roman" w:hAnsi="Arial" w:cs="Arial"/>
          <w:color w:val="000000" w:themeColor="text1"/>
          <w:lang w:eastAsia="en-GB"/>
        </w:rPr>
        <w:t>iThemba</w:t>
      </w:r>
      <w:proofErr w:type="spellEnd"/>
      <w:r w:rsidR="00660592" w:rsidRPr="00B42628">
        <w:rPr>
          <w:rFonts w:ascii="Arial" w:eastAsia="Times New Roman" w:hAnsi="Arial" w:cs="Arial"/>
          <w:color w:val="000000" w:themeColor="text1"/>
          <w:lang w:eastAsia="en-GB"/>
        </w:rPr>
        <w:t xml:space="preserve"> LABS)</w:t>
      </w:r>
      <w:r w:rsidR="00C23C0F" w:rsidRPr="00B42628">
        <w:rPr>
          <w:rFonts w:ascii="Arial" w:eastAsia="Times New Roman" w:hAnsi="Arial" w:cs="Arial"/>
          <w:color w:val="000000" w:themeColor="text1"/>
          <w:lang w:eastAsia="en-GB"/>
        </w:rPr>
        <w:t xml:space="preserve"> agree with Vanclay on many of the central issues</w:t>
      </w:r>
      <w:r w:rsidR="00CA221A">
        <w:rPr>
          <w:rFonts w:ascii="Arial" w:eastAsia="Times New Roman" w:hAnsi="Arial" w:cs="Arial"/>
          <w:color w:val="000000" w:themeColor="text1"/>
          <w:lang w:eastAsia="en-GB"/>
        </w:rPr>
        <w:t xml:space="preserve"> that</w:t>
      </w:r>
      <w:r w:rsidR="00C23C0F" w:rsidRPr="00B42628">
        <w:rPr>
          <w:rFonts w:ascii="Arial" w:eastAsia="Times New Roman" w:hAnsi="Arial" w:cs="Arial"/>
          <w:color w:val="000000" w:themeColor="text1"/>
          <w:lang w:eastAsia="en-GB"/>
        </w:rPr>
        <w:t xml:space="preserve"> future SIA must address. They emphasise that tomorrow’s SIA must shift </w:t>
      </w:r>
      <w:r w:rsidR="00CA221A">
        <w:rPr>
          <w:rFonts w:ascii="Arial" w:eastAsia="Times New Roman" w:hAnsi="Arial" w:cs="Arial"/>
          <w:color w:val="000000" w:themeColor="text1"/>
          <w:lang w:eastAsia="en-GB"/>
        </w:rPr>
        <w:t xml:space="preserve">its </w:t>
      </w:r>
      <w:r w:rsidR="00C23C0F" w:rsidRPr="00B42628">
        <w:rPr>
          <w:rFonts w:ascii="Arial" w:eastAsia="Times New Roman" w:hAnsi="Arial" w:cs="Arial"/>
          <w:color w:val="000000" w:themeColor="text1"/>
          <w:lang w:eastAsia="en-GB"/>
        </w:rPr>
        <w:t xml:space="preserve">perspective beyond the project scale to genuinely incorporate communities’ experiences and raise SIA to a more strategic level. Such action, they assert, would </w:t>
      </w:r>
      <w:r w:rsidR="00CA221A">
        <w:rPr>
          <w:rFonts w:ascii="Arial" w:eastAsia="Times New Roman" w:hAnsi="Arial" w:cs="Arial"/>
          <w:color w:val="000000" w:themeColor="text1"/>
          <w:lang w:eastAsia="en-GB"/>
        </w:rPr>
        <w:t>transform</w:t>
      </w:r>
      <w:r w:rsidR="00CA221A" w:rsidRPr="00B42628">
        <w:rPr>
          <w:rFonts w:ascii="Arial" w:eastAsia="Times New Roman" w:hAnsi="Arial" w:cs="Arial"/>
          <w:color w:val="000000" w:themeColor="text1"/>
          <w:lang w:eastAsia="en-GB"/>
        </w:rPr>
        <w:t xml:space="preserve"> </w:t>
      </w:r>
      <w:r w:rsidR="00726004">
        <w:rPr>
          <w:rFonts w:ascii="Arial" w:eastAsia="Times New Roman" w:hAnsi="Arial" w:cs="Arial"/>
          <w:color w:val="000000" w:themeColor="text1"/>
          <w:lang w:eastAsia="en-GB"/>
        </w:rPr>
        <w:t xml:space="preserve">the </w:t>
      </w:r>
      <w:r w:rsidR="00C23C0F" w:rsidRPr="00B42628">
        <w:rPr>
          <w:rFonts w:ascii="Arial" w:eastAsia="Times New Roman" w:hAnsi="Arial" w:cs="Arial"/>
          <w:color w:val="000000" w:themeColor="text1"/>
          <w:lang w:eastAsia="en-GB"/>
        </w:rPr>
        <w:t xml:space="preserve">next generation SIA </w:t>
      </w:r>
      <w:r w:rsidR="00CA221A">
        <w:rPr>
          <w:rFonts w:ascii="Arial" w:eastAsia="Times New Roman" w:hAnsi="Arial" w:cs="Arial"/>
          <w:color w:val="000000" w:themeColor="text1"/>
          <w:lang w:eastAsia="en-GB"/>
        </w:rPr>
        <w:t xml:space="preserve">into </w:t>
      </w:r>
      <w:r w:rsidR="00C23C0F" w:rsidRPr="00B42628">
        <w:rPr>
          <w:rFonts w:ascii="Arial" w:eastAsia="Times New Roman" w:hAnsi="Arial" w:cs="Arial"/>
          <w:color w:val="000000" w:themeColor="text1"/>
          <w:lang w:eastAsia="en-GB"/>
        </w:rPr>
        <w:t>an assessment that goes beyond box-ticking to one that</w:t>
      </w:r>
      <w:r w:rsidR="000E600A" w:rsidRPr="00B42628">
        <w:rPr>
          <w:rFonts w:ascii="Arial" w:eastAsia="Times New Roman" w:hAnsi="Arial" w:cs="Arial"/>
          <w:color w:val="000000" w:themeColor="text1"/>
          <w:lang w:eastAsia="en-GB"/>
        </w:rPr>
        <w:t xml:space="preserve"> becomes a leading governance tool promoting and supporting desired outcomes. </w:t>
      </w:r>
      <w:r w:rsidR="00C23C0F" w:rsidRPr="00B42628">
        <w:rPr>
          <w:rFonts w:ascii="Arial" w:eastAsia="Times New Roman" w:hAnsi="Arial" w:cs="Arial"/>
          <w:color w:val="000000" w:themeColor="text1"/>
          <w:lang w:eastAsia="en-GB"/>
        </w:rPr>
        <w:t xml:space="preserve"> </w:t>
      </w:r>
    </w:p>
    <w:p w14:paraId="3B0D33AB" w14:textId="77777777" w:rsidR="006C2436" w:rsidRPr="00B42628" w:rsidRDefault="006C2436" w:rsidP="000F7AF2">
      <w:pPr>
        <w:spacing w:after="0" w:line="360" w:lineRule="auto"/>
        <w:rPr>
          <w:rFonts w:ascii="Arial" w:eastAsia="Times New Roman" w:hAnsi="Arial" w:cs="Arial"/>
          <w:color w:val="000000" w:themeColor="text1"/>
          <w:lang w:eastAsia="en-GB"/>
        </w:rPr>
      </w:pPr>
    </w:p>
    <w:p w14:paraId="7CED3A8B" w14:textId="48924512" w:rsidR="000F7AF2" w:rsidRPr="00B42628" w:rsidRDefault="008074AA" w:rsidP="000F7AF2">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lastRenderedPageBreak/>
        <w:t>Many</w:t>
      </w:r>
      <w:r w:rsidR="00C115B2" w:rsidRPr="00B42628">
        <w:rPr>
          <w:rFonts w:ascii="Arial" w:eastAsia="Times New Roman" w:hAnsi="Arial" w:cs="Arial"/>
          <w:color w:val="000000" w:themeColor="text1"/>
          <w:lang w:eastAsia="en-GB"/>
        </w:rPr>
        <w:t xml:space="preserve"> other types of IA </w:t>
      </w:r>
      <w:r w:rsidR="003A38B7" w:rsidRPr="00B42628">
        <w:rPr>
          <w:rFonts w:ascii="Arial" w:eastAsia="Times New Roman" w:hAnsi="Arial" w:cs="Arial"/>
          <w:color w:val="000000" w:themeColor="text1"/>
          <w:lang w:eastAsia="en-GB"/>
        </w:rPr>
        <w:t xml:space="preserve">have and </w:t>
      </w:r>
      <w:r w:rsidR="008D50E1" w:rsidRPr="00B42628">
        <w:rPr>
          <w:rFonts w:ascii="Arial" w:eastAsia="Times New Roman" w:hAnsi="Arial" w:cs="Arial"/>
          <w:color w:val="000000" w:themeColor="text1"/>
          <w:lang w:eastAsia="en-GB"/>
        </w:rPr>
        <w:t>are continuing</w:t>
      </w:r>
      <w:r w:rsidR="003A38B7" w:rsidRPr="00B42628">
        <w:rPr>
          <w:rFonts w:ascii="Arial" w:eastAsia="Times New Roman" w:hAnsi="Arial" w:cs="Arial"/>
          <w:color w:val="000000" w:themeColor="text1"/>
          <w:lang w:eastAsia="en-GB"/>
        </w:rPr>
        <w:t xml:space="preserve"> to gain</w:t>
      </w:r>
      <w:r w:rsidR="00C115B2" w:rsidRPr="00B42628">
        <w:rPr>
          <w:rFonts w:ascii="Arial" w:eastAsia="Times New Roman" w:hAnsi="Arial" w:cs="Arial"/>
          <w:color w:val="000000" w:themeColor="text1"/>
          <w:lang w:eastAsia="en-GB"/>
        </w:rPr>
        <w:t xml:space="preserve"> in importance, including </w:t>
      </w:r>
      <w:r w:rsidRPr="00B42628">
        <w:rPr>
          <w:rFonts w:ascii="Arial" w:eastAsia="Times New Roman" w:hAnsi="Arial" w:cs="Arial"/>
          <w:color w:val="000000" w:themeColor="text1"/>
          <w:lang w:eastAsia="en-GB"/>
        </w:rPr>
        <w:t>human rights impact assessment (HRIA (</w:t>
      </w:r>
      <w:r w:rsidR="00A93221" w:rsidRPr="00B42628">
        <w:rPr>
          <w:rFonts w:ascii="Arial" w:eastAsia="Times New Roman" w:hAnsi="Arial" w:cs="Arial"/>
          <w:color w:val="000000" w:themeColor="text1"/>
          <w:lang w:eastAsia="en-GB"/>
        </w:rPr>
        <w:t xml:space="preserve">see e.g. the </w:t>
      </w:r>
      <w:r w:rsidR="000F7AF2" w:rsidRPr="00B42628">
        <w:rPr>
          <w:rFonts w:ascii="Arial" w:eastAsia="Times New Roman" w:hAnsi="Arial" w:cs="Arial"/>
          <w:color w:val="000000" w:themeColor="text1"/>
          <w:lang w:eastAsia="en-GB"/>
        </w:rPr>
        <w:t xml:space="preserve">recent </w:t>
      </w:r>
      <w:r w:rsidR="000F7AF2" w:rsidRPr="00B42628">
        <w:rPr>
          <w:rFonts w:ascii="Arial" w:eastAsia="Times New Roman" w:hAnsi="Arial" w:cs="Arial"/>
          <w:i/>
          <w:iCs/>
          <w:color w:val="000000" w:themeColor="text1"/>
          <w:lang w:eastAsia="en-GB"/>
        </w:rPr>
        <w:t>Handbook on Human Rights Impact Assessment</w:t>
      </w:r>
      <w:r w:rsidR="000F7AF2" w:rsidRPr="00B42628">
        <w:rPr>
          <w:rFonts w:ascii="Arial" w:eastAsia="Times New Roman" w:hAnsi="Arial" w:cs="Arial"/>
          <w:color w:val="000000" w:themeColor="text1"/>
          <w:lang w:eastAsia="en-GB"/>
        </w:rPr>
        <w:t xml:space="preserve"> edited by </w:t>
      </w:r>
      <w:proofErr w:type="spellStart"/>
      <w:r w:rsidR="00A93221" w:rsidRPr="00B42628">
        <w:rPr>
          <w:rFonts w:ascii="Arial" w:eastAsia="Times New Roman" w:hAnsi="Arial" w:cs="Arial"/>
          <w:color w:val="000000" w:themeColor="text1"/>
          <w:lang w:eastAsia="en-GB"/>
        </w:rPr>
        <w:t>Gotzmann</w:t>
      </w:r>
      <w:proofErr w:type="spellEnd"/>
      <w:r w:rsidR="000F7AF2" w:rsidRPr="00B42628">
        <w:rPr>
          <w:rFonts w:ascii="Arial" w:eastAsia="Times New Roman" w:hAnsi="Arial" w:cs="Arial"/>
          <w:color w:val="000000" w:themeColor="text1"/>
          <w:lang w:eastAsia="en-GB"/>
        </w:rPr>
        <w:t>, 2019)</w:t>
      </w:r>
      <w:r w:rsidR="00C115B2" w:rsidRPr="00B42628">
        <w:rPr>
          <w:rFonts w:ascii="Arial" w:eastAsia="Times New Roman" w:hAnsi="Arial" w:cs="Arial"/>
          <w:color w:val="000000" w:themeColor="text1"/>
          <w:lang w:eastAsia="en-GB"/>
        </w:rPr>
        <w:t xml:space="preserve"> and health impact assessment (HIA</w:t>
      </w:r>
      <w:r w:rsidR="005F4FC2" w:rsidRPr="00B42628">
        <w:rPr>
          <w:rFonts w:ascii="Arial" w:eastAsia="Times New Roman" w:hAnsi="Arial" w:cs="Arial"/>
          <w:color w:val="000000" w:themeColor="text1"/>
          <w:lang w:eastAsia="en-GB"/>
        </w:rPr>
        <w:t xml:space="preserve">; see e.g. two special issues of </w:t>
      </w:r>
      <w:r w:rsidR="005F4FC2" w:rsidRPr="008D724D">
        <w:rPr>
          <w:rFonts w:ascii="Arial" w:eastAsia="Times New Roman" w:hAnsi="Arial" w:cs="Arial"/>
          <w:i/>
          <w:iCs/>
          <w:color w:val="000000" w:themeColor="text1"/>
          <w:lang w:eastAsia="en-GB"/>
        </w:rPr>
        <w:t>IAPA</w:t>
      </w:r>
      <w:r w:rsidR="005F4FC2" w:rsidRPr="00B42628">
        <w:rPr>
          <w:rFonts w:ascii="Arial" w:eastAsia="Times New Roman" w:hAnsi="Arial" w:cs="Arial"/>
          <w:color w:val="000000" w:themeColor="text1"/>
          <w:lang w:eastAsia="en-GB"/>
        </w:rPr>
        <w:t xml:space="preserve">; 2017-1 </w:t>
      </w:r>
      <w:r w:rsidR="00662A9F" w:rsidRPr="00B42628">
        <w:rPr>
          <w:rFonts w:ascii="Arial" w:eastAsia="Times New Roman" w:hAnsi="Arial" w:cs="Arial"/>
          <w:color w:val="000000" w:themeColor="text1"/>
          <w:lang w:eastAsia="en-GB"/>
        </w:rPr>
        <w:t xml:space="preserve">related to SIA </w:t>
      </w:r>
      <w:r w:rsidR="005F4FC2" w:rsidRPr="00B42628">
        <w:rPr>
          <w:rFonts w:ascii="Arial" w:eastAsia="Times New Roman" w:hAnsi="Arial" w:cs="Arial"/>
          <w:color w:val="000000" w:themeColor="text1"/>
          <w:lang w:eastAsia="en-GB"/>
        </w:rPr>
        <w:t xml:space="preserve">with an editorial by Vanclay and </w:t>
      </w:r>
      <w:r w:rsidR="00D95301" w:rsidRPr="00B42628">
        <w:rPr>
          <w:rFonts w:ascii="Arial" w:eastAsia="Times New Roman" w:hAnsi="Arial" w:cs="Arial"/>
          <w:color w:val="000000" w:themeColor="text1"/>
          <w:lang w:eastAsia="en-GB"/>
        </w:rPr>
        <w:t xml:space="preserve">Kemp, </w:t>
      </w:r>
      <w:r w:rsidR="005F4FC2" w:rsidRPr="00B42628">
        <w:rPr>
          <w:rFonts w:ascii="Arial" w:eastAsia="Times New Roman" w:hAnsi="Arial" w:cs="Arial"/>
          <w:color w:val="000000" w:themeColor="text1"/>
          <w:lang w:eastAsia="en-GB"/>
        </w:rPr>
        <w:t xml:space="preserve">2017; and </w:t>
      </w:r>
      <w:r w:rsidR="00726004">
        <w:rPr>
          <w:rFonts w:ascii="Arial" w:eastAsia="Times New Roman" w:hAnsi="Arial" w:cs="Arial"/>
          <w:color w:val="000000" w:themeColor="text1"/>
          <w:lang w:eastAsia="en-GB"/>
        </w:rPr>
        <w:t xml:space="preserve">the above mentioned </w:t>
      </w:r>
      <w:r w:rsidR="005F4FC2" w:rsidRPr="00B42628">
        <w:rPr>
          <w:rFonts w:ascii="Arial" w:eastAsia="Times New Roman" w:hAnsi="Arial" w:cs="Arial"/>
          <w:color w:val="000000" w:themeColor="text1"/>
          <w:lang w:eastAsia="en-GB"/>
        </w:rPr>
        <w:t xml:space="preserve">2018-2 </w:t>
      </w:r>
      <w:r w:rsidR="00726004">
        <w:rPr>
          <w:rFonts w:ascii="Arial" w:eastAsia="Times New Roman" w:hAnsi="Arial" w:cs="Arial"/>
          <w:color w:val="000000" w:themeColor="text1"/>
          <w:lang w:eastAsia="en-GB"/>
        </w:rPr>
        <w:t>special health in IA issue</w:t>
      </w:r>
      <w:r w:rsidR="00C115B2" w:rsidRPr="00B42628">
        <w:rPr>
          <w:rFonts w:ascii="Arial" w:eastAsia="Times New Roman" w:hAnsi="Arial" w:cs="Arial"/>
          <w:color w:val="000000" w:themeColor="text1"/>
          <w:lang w:eastAsia="en-GB"/>
        </w:rPr>
        <w:t xml:space="preserve">). </w:t>
      </w:r>
      <w:r w:rsidR="003A38B7" w:rsidRPr="00B42628">
        <w:rPr>
          <w:rFonts w:ascii="Arial" w:eastAsia="Times New Roman" w:hAnsi="Arial" w:cs="Arial"/>
          <w:color w:val="000000" w:themeColor="text1"/>
          <w:lang w:eastAsia="en-GB"/>
        </w:rPr>
        <w:t xml:space="preserve">In this context, </w:t>
      </w:r>
      <w:r w:rsidR="00B433BD" w:rsidRPr="00B42628">
        <w:rPr>
          <w:rFonts w:ascii="Arial" w:eastAsia="Times New Roman" w:hAnsi="Arial" w:cs="Arial"/>
          <w:color w:val="000000" w:themeColor="text1"/>
          <w:lang w:eastAsia="en-GB"/>
        </w:rPr>
        <w:t xml:space="preserve">an important question about </w:t>
      </w:r>
      <w:r w:rsidR="00C115B2" w:rsidRPr="00B42628">
        <w:rPr>
          <w:rFonts w:ascii="Arial" w:eastAsia="Times New Roman" w:hAnsi="Arial" w:cs="Arial"/>
          <w:color w:val="000000" w:themeColor="text1"/>
          <w:lang w:eastAsia="en-GB"/>
        </w:rPr>
        <w:t xml:space="preserve">whether the purpose of </w:t>
      </w:r>
      <w:r w:rsidR="003A38B7" w:rsidRPr="00B42628">
        <w:rPr>
          <w:rFonts w:ascii="Arial" w:eastAsia="Times New Roman" w:hAnsi="Arial" w:cs="Arial"/>
          <w:color w:val="000000" w:themeColor="text1"/>
          <w:lang w:eastAsia="en-GB"/>
        </w:rPr>
        <w:t xml:space="preserve">different </w:t>
      </w:r>
      <w:r w:rsidR="00C115B2" w:rsidRPr="00B42628">
        <w:rPr>
          <w:rFonts w:ascii="Arial" w:eastAsia="Times New Roman" w:hAnsi="Arial" w:cs="Arial"/>
          <w:color w:val="000000" w:themeColor="text1"/>
          <w:lang w:eastAsia="en-GB"/>
        </w:rPr>
        <w:t xml:space="preserve">IAs are fulfilled best by conducting </w:t>
      </w:r>
      <w:r w:rsidR="003A38B7" w:rsidRPr="00B42628">
        <w:rPr>
          <w:rFonts w:ascii="Arial" w:eastAsia="Times New Roman" w:hAnsi="Arial" w:cs="Arial"/>
          <w:color w:val="000000" w:themeColor="text1"/>
          <w:lang w:eastAsia="en-GB"/>
        </w:rPr>
        <w:t xml:space="preserve">them </w:t>
      </w:r>
      <w:r w:rsidR="00C115B2" w:rsidRPr="00B42628">
        <w:rPr>
          <w:rFonts w:ascii="Arial" w:eastAsia="Times New Roman" w:hAnsi="Arial" w:cs="Arial"/>
          <w:color w:val="000000" w:themeColor="text1"/>
          <w:lang w:eastAsia="en-GB"/>
        </w:rPr>
        <w:t xml:space="preserve">separately or </w:t>
      </w:r>
      <w:r w:rsidR="00DC0174">
        <w:rPr>
          <w:rFonts w:ascii="Arial" w:eastAsia="Times New Roman" w:hAnsi="Arial" w:cs="Arial"/>
          <w:color w:val="000000" w:themeColor="text1"/>
          <w:lang w:eastAsia="en-GB"/>
        </w:rPr>
        <w:t>in an integrated manner</w:t>
      </w:r>
      <w:r w:rsidR="00DC0174" w:rsidRPr="00B42628">
        <w:rPr>
          <w:rFonts w:ascii="Arial" w:eastAsia="Times New Roman" w:hAnsi="Arial" w:cs="Arial"/>
          <w:color w:val="000000" w:themeColor="text1"/>
          <w:lang w:eastAsia="en-GB"/>
        </w:rPr>
        <w:t xml:space="preserve"> </w:t>
      </w:r>
      <w:r w:rsidR="00B433BD" w:rsidRPr="00B42628">
        <w:rPr>
          <w:rFonts w:ascii="Arial" w:eastAsia="Times New Roman" w:hAnsi="Arial" w:cs="Arial"/>
          <w:color w:val="000000" w:themeColor="text1"/>
          <w:lang w:eastAsia="en-GB"/>
        </w:rPr>
        <w:t>is arising</w:t>
      </w:r>
      <w:r w:rsidR="00C115B2" w:rsidRPr="00B42628">
        <w:rPr>
          <w:rFonts w:ascii="Arial" w:eastAsia="Times New Roman" w:hAnsi="Arial" w:cs="Arial"/>
          <w:color w:val="000000" w:themeColor="text1"/>
          <w:lang w:eastAsia="en-GB"/>
        </w:rPr>
        <w:t xml:space="preserve">. </w:t>
      </w:r>
      <w:r w:rsidR="000F7AF2" w:rsidRPr="00B42628">
        <w:rPr>
          <w:rFonts w:ascii="Arial" w:eastAsia="Times New Roman" w:hAnsi="Arial" w:cs="Arial"/>
          <w:color w:val="000000" w:themeColor="text1"/>
          <w:lang w:eastAsia="en-GB"/>
        </w:rPr>
        <w:t xml:space="preserve">Those arguing for </w:t>
      </w:r>
      <w:r w:rsidR="00726004">
        <w:rPr>
          <w:rFonts w:ascii="Arial" w:eastAsia="Times New Roman" w:hAnsi="Arial" w:cs="Arial"/>
          <w:color w:val="000000" w:themeColor="text1"/>
          <w:lang w:eastAsia="en-GB"/>
        </w:rPr>
        <w:t xml:space="preserve">deep </w:t>
      </w:r>
      <w:r w:rsidR="000F7AF2" w:rsidRPr="00B42628">
        <w:rPr>
          <w:rFonts w:ascii="Arial" w:eastAsia="Times New Roman" w:hAnsi="Arial" w:cs="Arial"/>
          <w:color w:val="000000" w:themeColor="text1"/>
          <w:lang w:eastAsia="en-GB"/>
        </w:rPr>
        <w:t>integration make strong cases for cumulative effects assessment (CEA)</w:t>
      </w:r>
      <w:r w:rsidR="00B433BD" w:rsidRPr="00B42628">
        <w:rPr>
          <w:rFonts w:ascii="Arial" w:eastAsia="Times New Roman" w:hAnsi="Arial" w:cs="Arial"/>
          <w:color w:val="000000" w:themeColor="text1"/>
          <w:lang w:eastAsia="en-GB"/>
        </w:rPr>
        <w:t xml:space="preserve"> (Canter, 2015)</w:t>
      </w:r>
      <w:r w:rsidR="000F7AF2" w:rsidRPr="00B42628">
        <w:rPr>
          <w:rFonts w:ascii="Arial" w:eastAsia="Times New Roman" w:hAnsi="Arial" w:cs="Arial"/>
          <w:color w:val="000000" w:themeColor="text1"/>
          <w:lang w:eastAsia="en-GB"/>
        </w:rPr>
        <w:t xml:space="preserve">, cumulative impact assessment (CIA) and sustainability assessment (SA) (see e.g. </w:t>
      </w:r>
      <w:proofErr w:type="spellStart"/>
      <w:r w:rsidR="000F7AF2" w:rsidRPr="00B42628">
        <w:rPr>
          <w:rFonts w:ascii="Arial" w:eastAsia="Times New Roman" w:hAnsi="Arial" w:cs="Arial"/>
          <w:color w:val="000000" w:themeColor="text1"/>
          <w:lang w:eastAsia="en-GB"/>
        </w:rPr>
        <w:t>Nielsson</w:t>
      </w:r>
      <w:proofErr w:type="spellEnd"/>
      <w:r w:rsidR="000F7AF2" w:rsidRPr="00B42628">
        <w:rPr>
          <w:rFonts w:ascii="Arial" w:eastAsia="Times New Roman" w:hAnsi="Arial" w:cs="Arial"/>
          <w:color w:val="000000" w:themeColor="text1"/>
          <w:lang w:eastAsia="en-GB"/>
        </w:rPr>
        <w:t xml:space="preserve">, 2009). But </w:t>
      </w:r>
      <w:r w:rsidR="00C115B2" w:rsidRPr="00B42628">
        <w:rPr>
          <w:rFonts w:ascii="Arial" w:eastAsia="Times New Roman" w:hAnsi="Arial" w:cs="Arial"/>
          <w:color w:val="000000" w:themeColor="text1"/>
          <w:lang w:eastAsia="en-GB"/>
        </w:rPr>
        <w:t xml:space="preserve">others </w:t>
      </w:r>
      <w:r w:rsidR="000F7AF2" w:rsidRPr="00B42628">
        <w:rPr>
          <w:rFonts w:ascii="Arial" w:eastAsia="Times New Roman" w:hAnsi="Arial" w:cs="Arial"/>
          <w:color w:val="000000" w:themeColor="text1"/>
          <w:lang w:eastAsia="en-GB"/>
        </w:rPr>
        <w:t xml:space="preserve">remain </w:t>
      </w:r>
      <w:r w:rsidR="00C115B2" w:rsidRPr="00B42628">
        <w:rPr>
          <w:rFonts w:ascii="Arial" w:eastAsia="Times New Roman" w:hAnsi="Arial" w:cs="Arial"/>
          <w:color w:val="000000" w:themeColor="text1"/>
          <w:lang w:eastAsia="en-GB"/>
        </w:rPr>
        <w:t>more cautious</w:t>
      </w:r>
      <w:r w:rsidR="00662A9F" w:rsidRPr="00B42628">
        <w:rPr>
          <w:rFonts w:ascii="Arial" w:eastAsia="Times New Roman" w:hAnsi="Arial" w:cs="Arial"/>
          <w:color w:val="000000" w:themeColor="text1"/>
          <w:lang w:eastAsia="en-GB"/>
        </w:rPr>
        <w:t xml:space="preserve">, asking for </w:t>
      </w:r>
      <w:r w:rsidR="000F7AF2" w:rsidRPr="00B42628">
        <w:rPr>
          <w:rFonts w:ascii="Arial" w:eastAsia="Times New Roman" w:hAnsi="Arial" w:cs="Arial"/>
          <w:color w:val="000000" w:themeColor="text1"/>
          <w:lang w:eastAsia="en-GB"/>
        </w:rPr>
        <w:t xml:space="preserve">better </w:t>
      </w:r>
      <w:r w:rsidR="00662A9F" w:rsidRPr="00B42628">
        <w:rPr>
          <w:rFonts w:ascii="Arial" w:eastAsia="Times New Roman" w:hAnsi="Arial" w:cs="Arial"/>
          <w:color w:val="000000" w:themeColor="text1"/>
          <w:lang w:eastAsia="en-GB"/>
        </w:rPr>
        <w:t xml:space="preserve">evidence </w:t>
      </w:r>
      <w:r w:rsidR="000F7AF2" w:rsidRPr="00B42628">
        <w:rPr>
          <w:rFonts w:ascii="Arial" w:eastAsia="Times New Roman" w:hAnsi="Arial" w:cs="Arial"/>
          <w:color w:val="000000" w:themeColor="text1"/>
          <w:lang w:eastAsia="en-GB"/>
        </w:rPr>
        <w:t xml:space="preserve">about </w:t>
      </w:r>
      <w:r w:rsidR="00662A9F" w:rsidRPr="00B42628">
        <w:rPr>
          <w:rFonts w:ascii="Arial" w:eastAsia="Times New Roman" w:hAnsi="Arial" w:cs="Arial"/>
          <w:color w:val="000000" w:themeColor="text1"/>
          <w:lang w:eastAsia="en-GB"/>
        </w:rPr>
        <w:t>what can work how, where and when</w:t>
      </w:r>
      <w:r w:rsidR="00C115B2" w:rsidRPr="00B42628">
        <w:rPr>
          <w:rFonts w:ascii="Arial" w:eastAsia="Times New Roman" w:hAnsi="Arial" w:cs="Arial"/>
          <w:color w:val="000000" w:themeColor="text1"/>
          <w:lang w:eastAsia="en-GB"/>
        </w:rPr>
        <w:t xml:space="preserve"> (Tajima and Fischer, 2012). </w:t>
      </w:r>
      <w:r w:rsidR="00D95301" w:rsidRPr="00B42628">
        <w:rPr>
          <w:rFonts w:ascii="Arial" w:eastAsia="Times New Roman" w:hAnsi="Arial" w:cs="Arial"/>
          <w:color w:val="000000" w:themeColor="text1"/>
          <w:lang w:eastAsia="en-GB"/>
        </w:rPr>
        <w:t xml:space="preserve">Furthermore, the </w:t>
      </w:r>
      <w:r w:rsidR="00662A9F" w:rsidRPr="00B42628">
        <w:rPr>
          <w:rFonts w:ascii="Arial" w:eastAsia="Times New Roman" w:hAnsi="Arial" w:cs="Arial"/>
          <w:color w:val="000000" w:themeColor="text1"/>
          <w:lang w:eastAsia="en-GB"/>
        </w:rPr>
        <w:t xml:space="preserve">apparently </w:t>
      </w:r>
      <w:r w:rsidR="00D95301" w:rsidRPr="00B42628">
        <w:rPr>
          <w:rFonts w:ascii="Arial" w:eastAsia="Times New Roman" w:hAnsi="Arial" w:cs="Arial"/>
          <w:color w:val="000000" w:themeColor="text1"/>
          <w:lang w:eastAsia="en-GB"/>
        </w:rPr>
        <w:t xml:space="preserve">never </w:t>
      </w:r>
      <w:r w:rsidR="00662A9F" w:rsidRPr="00B42628">
        <w:rPr>
          <w:rFonts w:ascii="Arial" w:eastAsia="Times New Roman" w:hAnsi="Arial" w:cs="Arial"/>
          <w:color w:val="000000" w:themeColor="text1"/>
          <w:lang w:eastAsia="en-GB"/>
        </w:rPr>
        <w:t xml:space="preserve">ending </w:t>
      </w:r>
      <w:r w:rsidR="00D95301" w:rsidRPr="00B42628">
        <w:rPr>
          <w:rFonts w:ascii="Arial" w:eastAsia="Times New Roman" w:hAnsi="Arial" w:cs="Arial"/>
          <w:color w:val="000000" w:themeColor="text1"/>
          <w:lang w:eastAsia="en-GB"/>
        </w:rPr>
        <w:t xml:space="preserve">‘invention’ of new IA tools has attracted criticism (see a related special issue </w:t>
      </w:r>
      <w:r w:rsidR="00034834" w:rsidRPr="00B42628">
        <w:rPr>
          <w:rFonts w:ascii="Arial" w:eastAsia="Times New Roman" w:hAnsi="Arial" w:cs="Arial"/>
          <w:color w:val="000000" w:themeColor="text1"/>
          <w:lang w:eastAsia="en-GB"/>
        </w:rPr>
        <w:t xml:space="preserve">of IAPA </w:t>
      </w:r>
      <w:r w:rsidR="00D95301" w:rsidRPr="00B42628">
        <w:rPr>
          <w:rFonts w:ascii="Arial" w:eastAsia="Times New Roman" w:hAnsi="Arial" w:cs="Arial"/>
          <w:color w:val="000000" w:themeColor="text1"/>
          <w:lang w:eastAsia="en-GB"/>
        </w:rPr>
        <w:t xml:space="preserve">with an editorial by Morrison-Saunders et al, 2014). </w:t>
      </w:r>
    </w:p>
    <w:p w14:paraId="221928CA" w14:textId="77777777" w:rsidR="005F24D2" w:rsidRPr="00B42628" w:rsidRDefault="005F24D2" w:rsidP="000F7AF2">
      <w:pPr>
        <w:spacing w:after="0" w:line="360" w:lineRule="auto"/>
        <w:rPr>
          <w:rFonts w:ascii="Arial" w:hAnsi="Arial" w:cs="Arial"/>
          <w:i/>
          <w:iCs/>
        </w:rPr>
      </w:pPr>
    </w:p>
    <w:p w14:paraId="39B46BB9" w14:textId="06165720" w:rsidR="003812B0" w:rsidRPr="00B42628" w:rsidRDefault="005F24D2" w:rsidP="000F7AF2">
      <w:pPr>
        <w:spacing w:after="0" w:line="360" w:lineRule="auto"/>
        <w:rPr>
          <w:rFonts w:ascii="Arial" w:hAnsi="Arial" w:cs="Arial"/>
          <w:i/>
          <w:iCs/>
        </w:rPr>
      </w:pPr>
      <w:r w:rsidRPr="00B42628">
        <w:rPr>
          <w:rFonts w:ascii="Arial" w:hAnsi="Arial" w:cs="Arial"/>
          <w:i/>
          <w:iCs/>
        </w:rPr>
        <w:t>Developments in practice</w:t>
      </w:r>
    </w:p>
    <w:p w14:paraId="2DEA7974" w14:textId="16F4D7FC" w:rsidR="00486F7F" w:rsidRPr="00B42628" w:rsidRDefault="000F7AF2"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 xml:space="preserve">The future of IA raises questions not only about what types of IA will be most effective but also about </w:t>
      </w:r>
      <w:r w:rsidRPr="00B42628">
        <w:rPr>
          <w:rFonts w:ascii="Arial" w:eastAsia="Times New Roman" w:hAnsi="Arial" w:cs="Arial"/>
          <w:i/>
          <w:iCs/>
          <w:color w:val="000000" w:themeColor="text1"/>
          <w:lang w:eastAsia="en-GB"/>
        </w:rPr>
        <w:t>how</w:t>
      </w:r>
      <w:r w:rsidRPr="00B42628">
        <w:rPr>
          <w:rFonts w:ascii="Arial" w:eastAsia="Times New Roman" w:hAnsi="Arial" w:cs="Arial"/>
          <w:color w:val="000000" w:themeColor="text1"/>
          <w:lang w:eastAsia="en-GB"/>
        </w:rPr>
        <w:t xml:space="preserve"> IA will be carried out. The </w:t>
      </w:r>
      <w:r w:rsidR="00950D27" w:rsidRPr="00B42628">
        <w:rPr>
          <w:rFonts w:ascii="Arial" w:eastAsia="Times New Roman" w:hAnsi="Arial" w:cs="Arial"/>
          <w:color w:val="000000" w:themeColor="text1"/>
          <w:lang w:eastAsia="en-GB"/>
        </w:rPr>
        <w:t xml:space="preserve">use of digital documentation is seen as an important </w:t>
      </w:r>
      <w:r w:rsidR="003A38B7" w:rsidRPr="00B42628">
        <w:rPr>
          <w:rFonts w:ascii="Arial" w:eastAsia="Times New Roman" w:hAnsi="Arial" w:cs="Arial"/>
          <w:color w:val="000000" w:themeColor="text1"/>
          <w:lang w:eastAsia="en-GB"/>
        </w:rPr>
        <w:t xml:space="preserve">step into the </w:t>
      </w:r>
      <w:r w:rsidR="00950D27" w:rsidRPr="00B42628">
        <w:rPr>
          <w:rFonts w:ascii="Arial" w:eastAsia="Times New Roman" w:hAnsi="Arial" w:cs="Arial"/>
          <w:color w:val="000000" w:themeColor="text1"/>
          <w:lang w:eastAsia="en-GB"/>
        </w:rPr>
        <w:t>future</w:t>
      </w:r>
      <w:r w:rsidR="00BD455C" w:rsidRPr="00B42628">
        <w:rPr>
          <w:rFonts w:ascii="Arial" w:eastAsia="Times New Roman" w:hAnsi="Arial" w:cs="Arial"/>
          <w:color w:val="000000" w:themeColor="text1"/>
          <w:lang w:eastAsia="en-GB"/>
        </w:rPr>
        <w:t xml:space="preserve">. </w:t>
      </w:r>
      <w:r w:rsidR="00941AD2" w:rsidRPr="00B42628">
        <w:rPr>
          <w:rFonts w:ascii="Arial" w:eastAsia="Times New Roman" w:hAnsi="Arial" w:cs="Arial"/>
          <w:color w:val="000000" w:themeColor="text1"/>
          <w:lang w:eastAsia="en-GB"/>
        </w:rPr>
        <w:t>IAIA2015</w:t>
      </w:r>
      <w:r w:rsidR="007B25EF" w:rsidRPr="00B42628">
        <w:rPr>
          <w:rFonts w:ascii="Arial" w:eastAsia="Times New Roman" w:hAnsi="Arial" w:cs="Arial"/>
          <w:color w:val="000000" w:themeColor="text1"/>
          <w:lang w:eastAsia="en-GB"/>
        </w:rPr>
        <w:t xml:space="preserve"> </w:t>
      </w:r>
      <w:r w:rsidR="00941AD2" w:rsidRPr="00B42628">
        <w:rPr>
          <w:rFonts w:ascii="Arial" w:eastAsia="Times New Roman" w:hAnsi="Arial" w:cs="Arial"/>
          <w:color w:val="000000" w:themeColor="text1"/>
          <w:lang w:eastAsia="en-GB"/>
        </w:rPr>
        <w:t>in Florence sparked this discussion through its theme of</w:t>
      </w:r>
      <w:r w:rsidR="007B25EF" w:rsidRPr="00B42628">
        <w:rPr>
          <w:rFonts w:ascii="Arial" w:eastAsia="Times New Roman" w:hAnsi="Arial" w:cs="Arial"/>
          <w:color w:val="000000" w:themeColor="text1"/>
          <w:lang w:eastAsia="en-GB"/>
        </w:rPr>
        <w:t xml:space="preserve"> </w:t>
      </w:r>
      <w:r w:rsidR="00E62FE9" w:rsidRPr="00B42628">
        <w:rPr>
          <w:rFonts w:ascii="Arial" w:eastAsia="Times New Roman" w:hAnsi="Arial" w:cs="Arial"/>
          <w:color w:val="000000" w:themeColor="text1"/>
          <w:lang w:eastAsia="en-GB"/>
        </w:rPr>
        <w:t>‘IA in the digital era</w:t>
      </w:r>
      <w:r w:rsidR="00662A9F" w:rsidRPr="00B42628">
        <w:rPr>
          <w:rFonts w:ascii="Arial" w:eastAsia="Times New Roman" w:hAnsi="Arial" w:cs="Arial"/>
          <w:color w:val="000000" w:themeColor="text1"/>
          <w:lang w:eastAsia="en-GB"/>
        </w:rPr>
        <w:t>’</w:t>
      </w:r>
      <w:r w:rsidR="00950D27" w:rsidRPr="00B42628">
        <w:rPr>
          <w:rFonts w:ascii="Arial" w:eastAsia="Times New Roman" w:hAnsi="Arial" w:cs="Arial"/>
          <w:color w:val="000000" w:themeColor="text1"/>
          <w:lang w:eastAsia="en-GB"/>
        </w:rPr>
        <w:t>.</w:t>
      </w:r>
      <w:r w:rsidR="007B25EF" w:rsidRPr="00B42628">
        <w:rPr>
          <w:rFonts w:ascii="Arial" w:eastAsia="Times New Roman" w:hAnsi="Arial" w:cs="Arial"/>
          <w:color w:val="000000" w:themeColor="text1"/>
          <w:lang w:eastAsia="en-GB"/>
        </w:rPr>
        <w:t xml:space="preserve"> </w:t>
      </w:r>
      <w:r w:rsidRPr="00B42628">
        <w:rPr>
          <w:rFonts w:ascii="Arial" w:eastAsia="Times New Roman" w:hAnsi="Arial" w:cs="Arial"/>
          <w:color w:val="000000" w:themeColor="text1"/>
          <w:lang w:eastAsia="en-GB"/>
        </w:rPr>
        <w:t xml:space="preserve">In 2020, the IAIA annual conference </w:t>
      </w:r>
      <w:r w:rsidR="00941AD2" w:rsidRPr="00B42628">
        <w:rPr>
          <w:rFonts w:ascii="Arial" w:eastAsia="Times New Roman" w:hAnsi="Arial" w:cs="Arial"/>
          <w:color w:val="000000" w:themeColor="text1"/>
          <w:lang w:eastAsia="en-GB"/>
        </w:rPr>
        <w:t xml:space="preserve">in Seville </w:t>
      </w:r>
      <w:r w:rsidRPr="00B42628">
        <w:rPr>
          <w:rFonts w:ascii="Arial" w:eastAsia="Times New Roman" w:hAnsi="Arial" w:cs="Arial"/>
          <w:color w:val="000000" w:themeColor="text1"/>
          <w:lang w:eastAsia="en-GB"/>
        </w:rPr>
        <w:t xml:space="preserve">will </w:t>
      </w:r>
      <w:r w:rsidR="00941AD2" w:rsidRPr="00B42628">
        <w:rPr>
          <w:rFonts w:ascii="Arial" w:eastAsia="Times New Roman" w:hAnsi="Arial" w:cs="Arial"/>
          <w:color w:val="000000" w:themeColor="text1"/>
          <w:lang w:eastAsia="en-GB"/>
        </w:rPr>
        <w:t xml:space="preserve">return focus to the implications of emerging technology for IA practice </w:t>
      </w:r>
      <w:r w:rsidRPr="00B42628">
        <w:rPr>
          <w:rFonts w:ascii="Arial" w:eastAsia="Times New Roman" w:hAnsi="Arial" w:cs="Arial"/>
          <w:color w:val="000000" w:themeColor="text1"/>
          <w:lang w:eastAsia="en-GB"/>
        </w:rPr>
        <w:t xml:space="preserve">when delegates explore the theme of ‘Smartening impact assessment’. </w:t>
      </w:r>
      <w:r w:rsidR="003812B0" w:rsidRPr="00B42628">
        <w:rPr>
          <w:rFonts w:ascii="Arial" w:eastAsia="Times New Roman" w:hAnsi="Arial" w:cs="Arial"/>
          <w:color w:val="000000" w:themeColor="text1"/>
          <w:lang w:eastAsia="en-GB"/>
        </w:rPr>
        <w:t>Such focus is especially important considering that the</w:t>
      </w:r>
      <w:r w:rsidR="00515C35" w:rsidRPr="00B42628">
        <w:rPr>
          <w:rFonts w:ascii="Arial" w:hAnsi="Arial" w:cs="Arial"/>
        </w:rPr>
        <w:t xml:space="preserve"> role of IA </w:t>
      </w:r>
      <w:r w:rsidR="001D2C3E" w:rsidRPr="00B42628">
        <w:rPr>
          <w:rFonts w:ascii="Arial" w:hAnsi="Arial" w:cs="Arial"/>
        </w:rPr>
        <w:t xml:space="preserve">is acknowledged as important but remains largely unexplored </w:t>
      </w:r>
      <w:r w:rsidR="00515C35" w:rsidRPr="00B42628">
        <w:rPr>
          <w:rFonts w:ascii="Arial" w:hAnsi="Arial" w:cs="Arial"/>
        </w:rPr>
        <w:t xml:space="preserve">in </w:t>
      </w:r>
      <w:r w:rsidR="001D2C3E">
        <w:rPr>
          <w:rFonts w:ascii="Arial" w:hAnsi="Arial" w:cs="Arial"/>
        </w:rPr>
        <w:t>key areas, including</w:t>
      </w:r>
      <w:r w:rsidR="001D2C3E" w:rsidRPr="00B42628">
        <w:rPr>
          <w:rFonts w:ascii="Arial" w:hAnsi="Arial" w:cs="Arial"/>
        </w:rPr>
        <w:t xml:space="preserve"> </w:t>
      </w:r>
      <w:r w:rsidR="00515C35" w:rsidRPr="00B42628">
        <w:rPr>
          <w:rFonts w:ascii="Arial" w:hAnsi="Arial" w:cs="Arial"/>
        </w:rPr>
        <w:t xml:space="preserve">‘deployment of highly automated digitised systems constituted through combination of 3D printing, advanced industrial robotics, autonomous transport, Internet of Things, and Artificial Intelligence over the next decade’ (Dusik et al, 2018). </w:t>
      </w:r>
      <w:r w:rsidR="00486F7F" w:rsidRPr="00B42628">
        <w:rPr>
          <w:rFonts w:ascii="Arial" w:eastAsia="Times New Roman" w:hAnsi="Arial" w:cs="Arial"/>
          <w:color w:val="000000" w:themeColor="text1"/>
          <w:lang w:eastAsia="en-GB"/>
        </w:rPr>
        <w:t xml:space="preserve">Furthermore, </w:t>
      </w:r>
      <w:r w:rsidR="007B25EF" w:rsidRPr="00B42628">
        <w:rPr>
          <w:rFonts w:ascii="Arial" w:eastAsia="Times New Roman" w:hAnsi="Arial" w:cs="Arial"/>
          <w:color w:val="000000" w:themeColor="text1"/>
          <w:lang w:eastAsia="en-GB"/>
        </w:rPr>
        <w:t xml:space="preserve">as </w:t>
      </w:r>
      <w:r w:rsidR="00486F7F" w:rsidRPr="00B42628">
        <w:rPr>
          <w:rFonts w:ascii="Arial" w:eastAsia="Times New Roman" w:hAnsi="Arial" w:cs="Arial"/>
          <w:color w:val="000000" w:themeColor="text1"/>
          <w:lang w:eastAsia="en-GB"/>
        </w:rPr>
        <w:t>artificial intelligence (AI)</w:t>
      </w:r>
      <w:r w:rsidR="007B25EF" w:rsidRPr="00B42628">
        <w:rPr>
          <w:rFonts w:ascii="Arial" w:eastAsia="Times New Roman" w:hAnsi="Arial" w:cs="Arial"/>
          <w:color w:val="000000" w:themeColor="text1"/>
          <w:lang w:eastAsia="en-GB"/>
        </w:rPr>
        <w:t xml:space="preserve"> advances</w:t>
      </w:r>
      <w:r w:rsidR="00486F7F" w:rsidRPr="00B42628">
        <w:rPr>
          <w:rFonts w:ascii="Arial" w:eastAsia="Times New Roman" w:hAnsi="Arial" w:cs="Arial"/>
          <w:color w:val="000000" w:themeColor="text1"/>
          <w:lang w:eastAsia="en-GB"/>
        </w:rPr>
        <w:t xml:space="preserve">, </w:t>
      </w:r>
      <w:r w:rsidR="00662A9F" w:rsidRPr="00B42628">
        <w:rPr>
          <w:rFonts w:ascii="Arial" w:eastAsia="Times New Roman" w:hAnsi="Arial" w:cs="Arial"/>
          <w:color w:val="000000" w:themeColor="text1"/>
          <w:lang w:eastAsia="en-GB"/>
        </w:rPr>
        <w:t xml:space="preserve">a question </w:t>
      </w:r>
      <w:r w:rsidR="001D2C3E">
        <w:rPr>
          <w:rFonts w:ascii="Arial" w:eastAsia="Times New Roman" w:hAnsi="Arial" w:cs="Arial"/>
          <w:color w:val="000000" w:themeColor="text1"/>
          <w:lang w:eastAsia="en-GB"/>
        </w:rPr>
        <w:t xml:space="preserve">is </w:t>
      </w:r>
      <w:r w:rsidR="00662A9F" w:rsidRPr="00B42628">
        <w:rPr>
          <w:rFonts w:ascii="Arial" w:eastAsia="Times New Roman" w:hAnsi="Arial" w:cs="Arial"/>
          <w:color w:val="000000" w:themeColor="text1"/>
          <w:lang w:eastAsia="en-GB"/>
        </w:rPr>
        <w:t xml:space="preserve">arising </w:t>
      </w:r>
      <w:r w:rsidR="00E741C5" w:rsidRPr="00B42628">
        <w:rPr>
          <w:rFonts w:ascii="Arial" w:eastAsia="Times New Roman" w:hAnsi="Arial" w:cs="Arial"/>
          <w:color w:val="000000" w:themeColor="text1"/>
          <w:lang w:eastAsia="en-GB"/>
        </w:rPr>
        <w:t xml:space="preserve">about </w:t>
      </w:r>
      <w:r w:rsidR="00486F7F" w:rsidRPr="00B42628">
        <w:rPr>
          <w:rFonts w:ascii="Arial" w:eastAsia="Times New Roman" w:hAnsi="Arial" w:cs="Arial"/>
          <w:color w:val="000000" w:themeColor="text1"/>
          <w:lang w:eastAsia="en-GB"/>
        </w:rPr>
        <w:t>whether IA processes as we know them will become redundant</w:t>
      </w:r>
      <w:r w:rsidR="001D2C3E">
        <w:rPr>
          <w:rFonts w:ascii="Arial" w:eastAsia="Times New Roman" w:hAnsi="Arial" w:cs="Arial"/>
          <w:color w:val="000000" w:themeColor="text1"/>
          <w:lang w:eastAsia="en-GB"/>
        </w:rPr>
        <w:t xml:space="preserve"> (Orenstein, 2017)</w:t>
      </w:r>
      <w:r w:rsidR="00B070DA" w:rsidRPr="00B42628">
        <w:rPr>
          <w:rFonts w:ascii="Arial" w:eastAsia="Times New Roman" w:hAnsi="Arial" w:cs="Arial"/>
          <w:color w:val="000000" w:themeColor="text1"/>
          <w:lang w:eastAsia="en-GB"/>
        </w:rPr>
        <w:t>? If AI makes ‘</w:t>
      </w:r>
      <w:r w:rsidR="00486F7F" w:rsidRPr="00B42628">
        <w:rPr>
          <w:rFonts w:ascii="Arial" w:eastAsia="Times New Roman" w:hAnsi="Arial" w:cs="Arial"/>
          <w:color w:val="000000" w:themeColor="text1"/>
          <w:lang w:eastAsia="en-GB"/>
        </w:rPr>
        <w:t>optimal decisions</w:t>
      </w:r>
      <w:r w:rsidR="00B070DA" w:rsidRPr="00B42628">
        <w:rPr>
          <w:rFonts w:ascii="Arial" w:eastAsia="Times New Roman" w:hAnsi="Arial" w:cs="Arial"/>
          <w:color w:val="000000" w:themeColor="text1"/>
          <w:lang w:eastAsia="en-GB"/>
        </w:rPr>
        <w:t>’</w:t>
      </w:r>
      <w:r w:rsidR="00486F7F" w:rsidRPr="00B42628">
        <w:rPr>
          <w:rFonts w:ascii="Arial" w:eastAsia="Times New Roman" w:hAnsi="Arial" w:cs="Arial"/>
          <w:color w:val="000000" w:themeColor="text1"/>
          <w:lang w:eastAsia="en-GB"/>
        </w:rPr>
        <w:t xml:space="preserve"> </w:t>
      </w:r>
      <w:r w:rsidR="00B070DA" w:rsidRPr="00B42628">
        <w:rPr>
          <w:rFonts w:ascii="Arial" w:eastAsia="Times New Roman" w:hAnsi="Arial" w:cs="Arial"/>
          <w:color w:val="000000" w:themeColor="text1"/>
          <w:lang w:eastAsia="en-GB"/>
        </w:rPr>
        <w:t xml:space="preserve">then what role will human assessors play? Or is AI’s potential </w:t>
      </w:r>
      <w:r w:rsidR="00515C35" w:rsidRPr="00B42628">
        <w:rPr>
          <w:rFonts w:ascii="Arial" w:eastAsia="Times New Roman" w:hAnsi="Arial" w:cs="Arial"/>
          <w:color w:val="000000" w:themeColor="text1"/>
          <w:lang w:eastAsia="en-GB"/>
        </w:rPr>
        <w:t xml:space="preserve">in this context </w:t>
      </w:r>
      <w:r w:rsidR="003A38B7" w:rsidRPr="00B42628">
        <w:rPr>
          <w:rFonts w:ascii="Arial" w:eastAsia="Times New Roman" w:hAnsi="Arial" w:cs="Arial"/>
          <w:color w:val="000000" w:themeColor="text1"/>
          <w:lang w:eastAsia="en-GB"/>
        </w:rPr>
        <w:t>overrated</w:t>
      </w:r>
      <w:r w:rsidR="00B070DA" w:rsidRPr="00B42628">
        <w:rPr>
          <w:rFonts w:ascii="Arial" w:eastAsia="Times New Roman" w:hAnsi="Arial" w:cs="Arial"/>
          <w:color w:val="000000" w:themeColor="text1"/>
          <w:lang w:eastAsia="en-GB"/>
        </w:rPr>
        <w:t>?</w:t>
      </w:r>
      <w:r w:rsidR="00486F7F" w:rsidRPr="00B42628">
        <w:rPr>
          <w:rFonts w:ascii="Arial" w:eastAsia="Times New Roman" w:hAnsi="Arial" w:cs="Arial"/>
          <w:color w:val="000000" w:themeColor="text1"/>
          <w:lang w:eastAsia="en-GB"/>
        </w:rPr>
        <w:t xml:space="preserve"> </w:t>
      </w:r>
      <w:r w:rsidR="00515C35" w:rsidRPr="00B42628">
        <w:rPr>
          <w:rFonts w:ascii="Arial" w:eastAsia="Times New Roman" w:hAnsi="Arial" w:cs="Arial"/>
          <w:color w:val="000000" w:themeColor="text1"/>
          <w:lang w:eastAsia="en-GB"/>
        </w:rPr>
        <w:t xml:space="preserve"> </w:t>
      </w:r>
    </w:p>
    <w:p w14:paraId="559F8C70" w14:textId="3E750233" w:rsidR="005F24D2" w:rsidRPr="00B42628" w:rsidRDefault="005F24D2" w:rsidP="003A38B7">
      <w:pPr>
        <w:spacing w:after="0" w:line="360" w:lineRule="auto"/>
        <w:rPr>
          <w:rFonts w:ascii="Arial" w:eastAsia="Times New Roman" w:hAnsi="Arial" w:cs="Arial"/>
          <w:color w:val="000000" w:themeColor="text1"/>
          <w:lang w:eastAsia="en-GB"/>
        </w:rPr>
      </w:pPr>
    </w:p>
    <w:p w14:paraId="29E22B8E" w14:textId="4A0E99AA" w:rsidR="00341639" w:rsidRPr="00B42628" w:rsidRDefault="00341639"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Technology is also playing a major role in compressing space and time, bringing previously distal geographies much closer together. Johann Köppel (Berlin Institute of Technology) explores this issue in depth in his contribution to the issue. Here, he argues that the ‘</w:t>
      </w:r>
      <w:proofErr w:type="spellStart"/>
      <w:r w:rsidRPr="00B42628">
        <w:rPr>
          <w:rFonts w:ascii="Arial" w:eastAsia="Times New Roman" w:hAnsi="Arial" w:cs="Arial"/>
          <w:color w:val="000000" w:themeColor="text1"/>
          <w:lang w:eastAsia="en-GB"/>
        </w:rPr>
        <w:t>telecoupling</w:t>
      </w:r>
      <w:proofErr w:type="spellEnd"/>
      <w:r w:rsidRPr="00B42628">
        <w:rPr>
          <w:rFonts w:ascii="Arial" w:eastAsia="Times New Roman" w:hAnsi="Arial" w:cs="Arial"/>
          <w:color w:val="000000" w:themeColor="text1"/>
          <w:lang w:eastAsia="en-GB"/>
        </w:rPr>
        <w:t>’ of environmental and socio-economic effects over large distances through technology including mass transport mobilisation, the internet, big data and AI, demands an ontological shift from ‘place-based’ to ‘flow-based’ IA. Flow-based IA would break down traditional IA silos while addressing our increasing interconnectedness</w:t>
      </w:r>
      <w:r w:rsidR="003711D0">
        <w:rPr>
          <w:rFonts w:ascii="Arial" w:eastAsia="Times New Roman" w:hAnsi="Arial" w:cs="Arial"/>
          <w:color w:val="000000" w:themeColor="text1"/>
          <w:lang w:eastAsia="en-GB"/>
        </w:rPr>
        <w:t xml:space="preserve"> </w:t>
      </w:r>
      <w:r w:rsidR="003711D0" w:rsidRPr="00B42628">
        <w:rPr>
          <w:rFonts w:ascii="Arial" w:eastAsia="Times New Roman" w:hAnsi="Arial" w:cs="Arial"/>
          <w:color w:val="000000" w:themeColor="text1"/>
          <w:lang w:eastAsia="en-GB"/>
        </w:rPr>
        <w:t>more effectively</w:t>
      </w:r>
      <w:r w:rsidRPr="00B42628">
        <w:rPr>
          <w:rFonts w:ascii="Arial" w:eastAsia="Times New Roman" w:hAnsi="Arial" w:cs="Arial"/>
          <w:color w:val="000000" w:themeColor="text1"/>
          <w:lang w:eastAsia="en-GB"/>
        </w:rPr>
        <w:t xml:space="preserve">. </w:t>
      </w:r>
    </w:p>
    <w:p w14:paraId="15E4644B" w14:textId="77777777" w:rsidR="00FC4CF9" w:rsidRPr="00B42628" w:rsidRDefault="00FC4CF9" w:rsidP="003A38B7">
      <w:pPr>
        <w:spacing w:after="0" w:line="360" w:lineRule="auto"/>
        <w:rPr>
          <w:rFonts w:ascii="Arial" w:eastAsia="Times New Roman" w:hAnsi="Arial" w:cs="Arial"/>
          <w:color w:val="000000" w:themeColor="text1"/>
          <w:lang w:eastAsia="en-GB"/>
        </w:rPr>
      </w:pPr>
    </w:p>
    <w:p w14:paraId="2E5283F1" w14:textId="2D29F4A9" w:rsidR="00FC4CF9" w:rsidRDefault="00FC4CF9"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lastRenderedPageBreak/>
        <w:t>Gernot Stöglehner (University of Natural Resources and Life Sciences Vienna) makes an aligned argument when he argues that environmental planning and assessment must be raised to a systemic level. He positions ‘double-loop learning’ as one viable pathway for encouraging a ‘co-evolution’ of planning systems and environmental assessments. Such an approach would advance ‘</w:t>
      </w:r>
      <w:proofErr w:type="spellStart"/>
      <w:r w:rsidRPr="00B42628">
        <w:rPr>
          <w:rFonts w:ascii="Arial" w:eastAsia="Times New Roman" w:hAnsi="Arial" w:cs="Arial"/>
          <w:color w:val="000000" w:themeColor="text1"/>
          <w:lang w:eastAsia="en-GB"/>
        </w:rPr>
        <w:t>strategicness</w:t>
      </w:r>
      <w:proofErr w:type="spellEnd"/>
      <w:r w:rsidRPr="00B42628">
        <w:rPr>
          <w:rFonts w:ascii="Arial" w:eastAsia="Times New Roman" w:hAnsi="Arial" w:cs="Arial"/>
          <w:color w:val="000000" w:themeColor="text1"/>
          <w:lang w:eastAsia="en-GB"/>
        </w:rPr>
        <w:t xml:space="preserve">’ in environmental planning and assessment while encouraging examination of visions and objectives to generate better system level alternatives than those offered by processes-as-usual. </w:t>
      </w:r>
    </w:p>
    <w:p w14:paraId="1A566447" w14:textId="7F51C27E" w:rsidR="00000B20" w:rsidRDefault="00000B20" w:rsidP="003A38B7">
      <w:pPr>
        <w:spacing w:after="0" w:line="360" w:lineRule="auto"/>
        <w:rPr>
          <w:rFonts w:ascii="Arial" w:eastAsia="Times New Roman" w:hAnsi="Arial" w:cs="Arial"/>
          <w:color w:val="000000" w:themeColor="text1"/>
          <w:lang w:eastAsia="en-GB"/>
        </w:rPr>
      </w:pPr>
    </w:p>
    <w:p w14:paraId="7E9F5FA5" w14:textId="23DA336E" w:rsidR="00000B20" w:rsidRPr="00B42628" w:rsidRDefault="00000B20" w:rsidP="003A38B7">
      <w:pPr>
        <w:spacing w:after="0"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Maria Partidario (</w:t>
      </w:r>
      <w:r w:rsidRPr="00000B20">
        <w:rPr>
          <w:rFonts w:ascii="Arial" w:eastAsia="Times New Roman" w:hAnsi="Arial" w:cs="Arial"/>
          <w:color w:val="000000" w:themeColor="text1"/>
          <w:lang w:eastAsia="en-GB"/>
        </w:rPr>
        <w:t>IST - Instituto Superior Técnico</w:t>
      </w:r>
      <w:r>
        <w:rPr>
          <w:rFonts w:ascii="Arial" w:eastAsia="Times New Roman" w:hAnsi="Arial" w:cs="Arial"/>
          <w:color w:val="000000" w:themeColor="text1"/>
          <w:lang w:eastAsia="en-GB"/>
        </w:rPr>
        <w:t>)</w:t>
      </w:r>
      <w:r w:rsidRPr="00000B20">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asserts that IA must make a concerted effort to be more integrative, collaborative and constructive. She draws on adaptive governance as a means of better gearing future IA towards increased public participation and related citizens’ rights in decision-making, improved transparency and integration of public values. Such an approach also offers opportunities to improve IA’s capacity to deal with complex environmental issues and to support broader achievement of sustainable development. </w:t>
      </w:r>
    </w:p>
    <w:p w14:paraId="1607C910" w14:textId="77777777" w:rsidR="00BB0C95" w:rsidRPr="00B42628" w:rsidRDefault="00BB0C95" w:rsidP="003A38B7">
      <w:pPr>
        <w:spacing w:after="0" w:line="360" w:lineRule="auto"/>
        <w:rPr>
          <w:rFonts w:ascii="Arial" w:eastAsia="Times New Roman" w:hAnsi="Arial" w:cs="Arial"/>
          <w:color w:val="000000" w:themeColor="text1"/>
          <w:lang w:eastAsia="en-GB"/>
        </w:rPr>
      </w:pPr>
    </w:p>
    <w:p w14:paraId="05A3348A" w14:textId="7FB056F6" w:rsidR="00FC4CF9" w:rsidRPr="00B42628" w:rsidRDefault="00BB0C95"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Francois Retief (North West University, South Africa) and colleagues also engage questions of value in future IA practice when they explore an administrative justice perspective on EIA effectiveness. Their contribution illustrates the alignment of administrative justice to the types of decision-making EIA prizes and highlights the lack of interconnection between administrative justice and EIA literature and practice. For EIA to be both successful and meaningful well into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 it must come to grips with this fundamental perspective. </w:t>
      </w:r>
    </w:p>
    <w:p w14:paraId="220419E8" w14:textId="77777777" w:rsidR="00FC4CF9" w:rsidRPr="00B42628" w:rsidRDefault="00FC4CF9" w:rsidP="003A38B7">
      <w:pPr>
        <w:spacing w:after="0" w:line="360" w:lineRule="auto"/>
        <w:rPr>
          <w:rFonts w:ascii="Arial" w:eastAsia="Times New Roman" w:hAnsi="Arial" w:cs="Arial"/>
          <w:color w:val="000000" w:themeColor="text1"/>
          <w:lang w:eastAsia="en-GB"/>
        </w:rPr>
      </w:pPr>
    </w:p>
    <w:p w14:paraId="3246C7AA" w14:textId="382BF41F" w:rsidR="00B67326" w:rsidRPr="00B42628" w:rsidRDefault="005F24D2"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i/>
          <w:iCs/>
          <w:color w:val="000000" w:themeColor="text1"/>
          <w:lang w:eastAsia="en-GB"/>
        </w:rPr>
        <w:t>The growth of IA in East and Southeast Asia</w:t>
      </w:r>
    </w:p>
    <w:p w14:paraId="606694A1" w14:textId="6D46BA95" w:rsidR="00B67326" w:rsidRPr="00B42628" w:rsidRDefault="00B67326"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And finally, there are still many countries where IA is not yet fully developed</w:t>
      </w:r>
      <w:r w:rsidR="00662A9F" w:rsidRPr="00B42628">
        <w:rPr>
          <w:rFonts w:ascii="Arial" w:eastAsia="Times New Roman" w:hAnsi="Arial" w:cs="Arial"/>
          <w:color w:val="000000" w:themeColor="text1"/>
          <w:lang w:eastAsia="en-GB"/>
        </w:rPr>
        <w:t>, poorly applied</w:t>
      </w:r>
      <w:r w:rsidRPr="00B42628">
        <w:rPr>
          <w:rFonts w:ascii="Arial" w:eastAsia="Times New Roman" w:hAnsi="Arial" w:cs="Arial"/>
          <w:color w:val="000000" w:themeColor="text1"/>
          <w:lang w:eastAsia="en-GB"/>
        </w:rPr>
        <w:t xml:space="preserve"> </w:t>
      </w:r>
      <w:r w:rsidR="009B025D" w:rsidRPr="00B42628">
        <w:rPr>
          <w:rFonts w:ascii="Arial" w:eastAsia="Times New Roman" w:hAnsi="Arial" w:cs="Arial"/>
          <w:color w:val="000000" w:themeColor="text1"/>
          <w:lang w:eastAsia="en-GB"/>
        </w:rPr>
        <w:t xml:space="preserve">or </w:t>
      </w:r>
      <w:r w:rsidRPr="00B42628">
        <w:rPr>
          <w:rFonts w:ascii="Arial" w:eastAsia="Times New Roman" w:hAnsi="Arial" w:cs="Arial"/>
          <w:color w:val="000000" w:themeColor="text1"/>
          <w:lang w:eastAsia="en-GB"/>
        </w:rPr>
        <w:t xml:space="preserve">underexplored (see e.g. Fischer and Onyango, 2012). In this context, a </w:t>
      </w:r>
      <w:r w:rsidR="00662A9F" w:rsidRPr="00B42628">
        <w:rPr>
          <w:rFonts w:ascii="Arial" w:eastAsia="Times New Roman" w:hAnsi="Arial" w:cs="Arial"/>
          <w:color w:val="000000" w:themeColor="text1"/>
          <w:lang w:eastAsia="en-GB"/>
        </w:rPr>
        <w:t xml:space="preserve">key </w:t>
      </w:r>
      <w:r w:rsidRPr="00B42628">
        <w:rPr>
          <w:rFonts w:ascii="Arial" w:eastAsia="Times New Roman" w:hAnsi="Arial" w:cs="Arial"/>
          <w:color w:val="000000" w:themeColor="text1"/>
          <w:lang w:eastAsia="en-GB"/>
        </w:rPr>
        <w:t xml:space="preserve">issue is that even in systems that formally have IA, the instrument is infrequently </w:t>
      </w:r>
      <w:r w:rsidR="008A1CEC" w:rsidRPr="00B42628">
        <w:rPr>
          <w:rFonts w:ascii="Arial" w:eastAsia="Times New Roman" w:hAnsi="Arial" w:cs="Arial"/>
          <w:color w:val="000000" w:themeColor="text1"/>
          <w:lang w:eastAsia="en-GB"/>
        </w:rPr>
        <w:t>used,</w:t>
      </w:r>
      <w:r w:rsidRPr="00B42628">
        <w:rPr>
          <w:rFonts w:ascii="Arial" w:eastAsia="Times New Roman" w:hAnsi="Arial" w:cs="Arial"/>
          <w:color w:val="000000" w:themeColor="text1"/>
          <w:lang w:eastAsia="en-GB"/>
        </w:rPr>
        <w:t xml:space="preserve"> leaving many gaps (Khosravi et al, 2019). </w:t>
      </w:r>
      <w:r w:rsidR="003711D0">
        <w:rPr>
          <w:rFonts w:ascii="Arial" w:eastAsia="Times New Roman" w:hAnsi="Arial" w:cs="Arial"/>
          <w:color w:val="000000" w:themeColor="text1"/>
          <w:lang w:eastAsia="en-GB"/>
        </w:rPr>
        <w:t>In other words, where</w:t>
      </w:r>
      <w:r w:rsidR="00662A9F" w:rsidRPr="00B42628">
        <w:rPr>
          <w:rFonts w:ascii="Arial" w:eastAsia="Times New Roman" w:hAnsi="Arial" w:cs="Arial"/>
          <w:color w:val="000000" w:themeColor="text1"/>
          <w:lang w:eastAsia="en-GB"/>
        </w:rPr>
        <w:t xml:space="preserve"> IA </w:t>
      </w:r>
      <w:r w:rsidR="003711D0">
        <w:rPr>
          <w:rFonts w:ascii="Arial" w:eastAsia="Times New Roman" w:hAnsi="Arial" w:cs="Arial"/>
          <w:color w:val="000000" w:themeColor="text1"/>
          <w:lang w:eastAsia="en-GB"/>
        </w:rPr>
        <w:t>is</w:t>
      </w:r>
      <w:r w:rsidR="00662A9F" w:rsidRPr="00B42628">
        <w:rPr>
          <w:rFonts w:ascii="Arial" w:eastAsia="Times New Roman" w:hAnsi="Arial" w:cs="Arial"/>
          <w:color w:val="000000" w:themeColor="text1"/>
          <w:lang w:eastAsia="en-GB"/>
        </w:rPr>
        <w:t xml:space="preserve"> dismissed as ineffective, it is</w:t>
      </w:r>
      <w:r w:rsidR="00EB7AD3" w:rsidRPr="00B42628">
        <w:rPr>
          <w:rFonts w:ascii="Arial" w:eastAsia="Times New Roman" w:hAnsi="Arial" w:cs="Arial"/>
          <w:color w:val="000000" w:themeColor="text1"/>
          <w:lang w:eastAsia="en-GB"/>
        </w:rPr>
        <w:t xml:space="preserve"> </w:t>
      </w:r>
      <w:r w:rsidR="003F34D5" w:rsidRPr="00B42628">
        <w:rPr>
          <w:rFonts w:ascii="Arial" w:eastAsia="Times New Roman" w:hAnsi="Arial" w:cs="Arial"/>
          <w:color w:val="000000" w:themeColor="text1"/>
          <w:lang w:eastAsia="en-GB"/>
        </w:rPr>
        <w:t xml:space="preserve">perhaps </w:t>
      </w:r>
      <w:r w:rsidR="00662A9F" w:rsidRPr="00B42628">
        <w:rPr>
          <w:rFonts w:ascii="Arial" w:eastAsia="Times New Roman" w:hAnsi="Arial" w:cs="Arial"/>
          <w:color w:val="000000" w:themeColor="text1"/>
          <w:lang w:eastAsia="en-GB"/>
        </w:rPr>
        <w:t>n</w:t>
      </w:r>
      <w:r w:rsidR="00EB7AD3" w:rsidRPr="00B42628">
        <w:rPr>
          <w:rFonts w:ascii="Arial" w:eastAsia="Times New Roman" w:hAnsi="Arial" w:cs="Arial"/>
          <w:color w:val="000000" w:themeColor="text1"/>
          <w:lang w:eastAsia="en-GB"/>
        </w:rPr>
        <w:t>o</w:t>
      </w:r>
      <w:r w:rsidR="00662A9F" w:rsidRPr="00B42628">
        <w:rPr>
          <w:rFonts w:ascii="Arial" w:eastAsia="Times New Roman" w:hAnsi="Arial" w:cs="Arial"/>
          <w:color w:val="000000" w:themeColor="text1"/>
          <w:lang w:eastAsia="en-GB"/>
        </w:rPr>
        <w:t xml:space="preserve">t the </w:t>
      </w:r>
      <w:r w:rsidR="003711D0">
        <w:rPr>
          <w:rFonts w:ascii="Arial" w:eastAsia="Times New Roman" w:hAnsi="Arial" w:cs="Arial"/>
          <w:color w:val="000000" w:themeColor="text1"/>
          <w:lang w:eastAsia="en-GB"/>
        </w:rPr>
        <w:t xml:space="preserve">poor </w:t>
      </w:r>
      <w:r w:rsidR="00662A9F" w:rsidRPr="00B42628">
        <w:rPr>
          <w:rFonts w:ascii="Arial" w:eastAsia="Times New Roman" w:hAnsi="Arial" w:cs="Arial"/>
          <w:color w:val="000000" w:themeColor="text1"/>
          <w:lang w:eastAsia="en-GB"/>
        </w:rPr>
        <w:t xml:space="preserve">application of the instrument, but rather the </w:t>
      </w:r>
      <w:r w:rsidR="003711D0">
        <w:rPr>
          <w:rFonts w:ascii="Arial" w:eastAsia="Times New Roman" w:hAnsi="Arial" w:cs="Arial"/>
          <w:color w:val="000000" w:themeColor="text1"/>
          <w:lang w:eastAsia="en-GB"/>
        </w:rPr>
        <w:t xml:space="preserve">total </w:t>
      </w:r>
      <w:r w:rsidR="00662A9F" w:rsidRPr="00B42628">
        <w:rPr>
          <w:rFonts w:ascii="Arial" w:eastAsia="Times New Roman" w:hAnsi="Arial" w:cs="Arial"/>
          <w:color w:val="000000" w:themeColor="text1"/>
          <w:lang w:eastAsia="en-GB"/>
        </w:rPr>
        <w:t xml:space="preserve">lack thereof </w:t>
      </w:r>
      <w:r w:rsidR="003711D0">
        <w:rPr>
          <w:rFonts w:ascii="Arial" w:eastAsia="Times New Roman" w:hAnsi="Arial" w:cs="Arial"/>
          <w:color w:val="000000" w:themeColor="text1"/>
          <w:lang w:eastAsia="en-GB"/>
        </w:rPr>
        <w:t>that</w:t>
      </w:r>
      <w:r w:rsidR="003711D0" w:rsidRPr="00B42628">
        <w:rPr>
          <w:rFonts w:ascii="Arial" w:eastAsia="Times New Roman" w:hAnsi="Arial" w:cs="Arial"/>
          <w:color w:val="000000" w:themeColor="text1"/>
          <w:lang w:eastAsia="en-GB"/>
        </w:rPr>
        <w:t xml:space="preserve"> </w:t>
      </w:r>
      <w:r w:rsidR="00662A9F" w:rsidRPr="00B42628">
        <w:rPr>
          <w:rFonts w:ascii="Arial" w:eastAsia="Times New Roman" w:hAnsi="Arial" w:cs="Arial"/>
          <w:color w:val="000000" w:themeColor="text1"/>
          <w:lang w:eastAsia="en-GB"/>
        </w:rPr>
        <w:t>is the main issue.</w:t>
      </w:r>
      <w:r w:rsidR="003F34D5" w:rsidRPr="00B42628">
        <w:rPr>
          <w:rFonts w:ascii="Arial" w:eastAsia="Times New Roman" w:hAnsi="Arial" w:cs="Arial"/>
          <w:color w:val="000000" w:themeColor="text1"/>
          <w:lang w:eastAsia="en-GB"/>
        </w:rPr>
        <w:t xml:space="preserve"> The question of effectiveness is addressed</w:t>
      </w:r>
      <w:r w:rsidR="00CC55C7" w:rsidRPr="00B42628">
        <w:rPr>
          <w:rFonts w:ascii="Arial" w:eastAsia="Times New Roman" w:hAnsi="Arial" w:cs="Arial"/>
          <w:color w:val="000000" w:themeColor="text1"/>
          <w:lang w:eastAsia="en-GB"/>
        </w:rPr>
        <w:t xml:space="preserve"> head-on in this issue when Chaunjit Chanchitpricha (</w:t>
      </w:r>
      <w:proofErr w:type="spellStart"/>
      <w:r w:rsidR="00CC55C7" w:rsidRPr="00B42628">
        <w:rPr>
          <w:rFonts w:ascii="Arial" w:eastAsia="Times New Roman" w:hAnsi="Arial" w:cs="Arial"/>
          <w:color w:val="000000" w:themeColor="text1"/>
          <w:lang w:eastAsia="en-GB"/>
        </w:rPr>
        <w:t>Suranaree</w:t>
      </w:r>
      <w:proofErr w:type="spellEnd"/>
      <w:r w:rsidR="00CC55C7" w:rsidRPr="00B42628">
        <w:rPr>
          <w:rFonts w:ascii="Arial" w:eastAsia="Times New Roman" w:hAnsi="Arial" w:cs="Arial"/>
          <w:color w:val="000000" w:themeColor="text1"/>
          <w:lang w:eastAsia="en-GB"/>
        </w:rPr>
        <w:t xml:space="preserve"> University of Technology) and </w:t>
      </w:r>
      <w:r w:rsidR="00322ED4">
        <w:rPr>
          <w:rFonts w:ascii="Arial" w:eastAsia="Times New Roman" w:hAnsi="Arial" w:cs="Arial"/>
          <w:color w:val="000000" w:themeColor="text1"/>
          <w:lang w:eastAsia="en-GB"/>
        </w:rPr>
        <w:t xml:space="preserve">Alan </w:t>
      </w:r>
      <w:r w:rsidR="00CC55C7" w:rsidRPr="00B42628">
        <w:rPr>
          <w:rFonts w:ascii="Arial" w:eastAsia="Times New Roman" w:hAnsi="Arial" w:cs="Arial"/>
          <w:color w:val="000000" w:themeColor="text1"/>
          <w:lang w:eastAsia="en-GB"/>
        </w:rPr>
        <w:t>Bond</w:t>
      </w:r>
      <w:r w:rsidR="00C0610F">
        <w:rPr>
          <w:rFonts w:ascii="Arial" w:eastAsia="Times New Roman" w:hAnsi="Arial" w:cs="Arial"/>
          <w:color w:val="000000" w:themeColor="text1"/>
          <w:lang w:eastAsia="en-GB"/>
        </w:rPr>
        <w:t xml:space="preserve"> (University of East </w:t>
      </w:r>
      <w:proofErr w:type="spellStart"/>
      <w:r w:rsidR="00C0610F">
        <w:rPr>
          <w:rFonts w:ascii="Arial" w:eastAsia="Times New Roman" w:hAnsi="Arial" w:cs="Arial"/>
          <w:color w:val="000000" w:themeColor="text1"/>
          <w:lang w:eastAsia="en-GB"/>
        </w:rPr>
        <w:t>Annglia</w:t>
      </w:r>
      <w:proofErr w:type="spellEnd"/>
      <w:r w:rsidR="00C0610F">
        <w:rPr>
          <w:rFonts w:ascii="Arial" w:eastAsia="Times New Roman" w:hAnsi="Arial" w:cs="Arial"/>
          <w:color w:val="000000" w:themeColor="text1"/>
          <w:lang w:eastAsia="en-GB"/>
        </w:rPr>
        <w:t>)</w:t>
      </w:r>
      <w:r w:rsidR="00CC55C7" w:rsidRPr="00B42628">
        <w:rPr>
          <w:rFonts w:ascii="Arial" w:eastAsia="Times New Roman" w:hAnsi="Arial" w:cs="Arial"/>
          <w:color w:val="000000" w:themeColor="text1"/>
          <w:lang w:eastAsia="en-GB"/>
        </w:rPr>
        <w:t xml:space="preserve"> investigate the effectiveness of IA in Thailand. Through their case study they find that as we look to IA’s future it is critical to remember that much of IA’s influence and success depends on those </w:t>
      </w:r>
      <w:r w:rsidR="003711D0">
        <w:rPr>
          <w:rFonts w:ascii="Arial" w:eastAsia="Times New Roman" w:hAnsi="Arial" w:cs="Arial"/>
          <w:color w:val="000000" w:themeColor="text1"/>
          <w:lang w:eastAsia="en-GB"/>
        </w:rPr>
        <w:t>who</w:t>
      </w:r>
      <w:r w:rsidR="00CC55C7" w:rsidRPr="00B42628">
        <w:rPr>
          <w:rFonts w:ascii="Arial" w:eastAsia="Times New Roman" w:hAnsi="Arial" w:cs="Arial"/>
          <w:color w:val="000000" w:themeColor="text1"/>
          <w:lang w:eastAsia="en-GB"/>
        </w:rPr>
        <w:t xml:space="preserve"> ‘influence practice and arbitrate legitimacy’. Their contribution emphasises that future viability will occur through evolution, not revolution, but that efforts towards improved effectiveness must be strategic and assertive. </w:t>
      </w:r>
    </w:p>
    <w:p w14:paraId="605516D7" w14:textId="3B5A2FF1" w:rsidR="00CC55C7" w:rsidRPr="00B42628" w:rsidRDefault="00CC55C7" w:rsidP="003A38B7">
      <w:pPr>
        <w:spacing w:after="0" w:line="360" w:lineRule="auto"/>
        <w:rPr>
          <w:rFonts w:ascii="Arial" w:eastAsia="Times New Roman" w:hAnsi="Arial" w:cs="Arial"/>
          <w:color w:val="000000" w:themeColor="text1"/>
          <w:lang w:eastAsia="en-GB"/>
        </w:rPr>
      </w:pPr>
    </w:p>
    <w:p w14:paraId="0DEDF15E" w14:textId="7A3352F1" w:rsidR="00CC55C7" w:rsidRPr="00B42628" w:rsidRDefault="00C0610F" w:rsidP="003A38B7">
      <w:pPr>
        <w:spacing w:after="0"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 xml:space="preserve">Sara </w:t>
      </w:r>
      <w:r w:rsidR="00CC55C7" w:rsidRPr="00B42628">
        <w:rPr>
          <w:rFonts w:ascii="Arial" w:eastAsia="Times New Roman" w:hAnsi="Arial" w:cs="Arial"/>
          <w:color w:val="000000" w:themeColor="text1"/>
          <w:lang w:eastAsia="en-GB"/>
        </w:rPr>
        <w:t xml:space="preserve">Bice and </w:t>
      </w:r>
      <w:proofErr w:type="spellStart"/>
      <w:r w:rsidR="00CC55C7" w:rsidRPr="00B42628">
        <w:rPr>
          <w:rFonts w:ascii="Arial" w:eastAsia="Times New Roman" w:hAnsi="Arial" w:cs="Arial"/>
          <w:color w:val="000000" w:themeColor="text1"/>
          <w:lang w:eastAsia="en-GB"/>
        </w:rPr>
        <w:t>Myungjin</w:t>
      </w:r>
      <w:proofErr w:type="spellEnd"/>
      <w:r w:rsidR="00CC55C7" w:rsidRPr="00B42628">
        <w:rPr>
          <w:rFonts w:ascii="Arial" w:eastAsia="Times New Roman" w:hAnsi="Arial" w:cs="Arial"/>
          <w:color w:val="000000" w:themeColor="text1"/>
          <w:lang w:eastAsia="en-GB"/>
        </w:rPr>
        <w:t xml:space="preserve"> Kim (Korea</w:t>
      </w:r>
      <w:r w:rsidR="00D84C2C" w:rsidRPr="00B42628">
        <w:rPr>
          <w:rFonts w:ascii="Arial" w:eastAsia="Times New Roman" w:hAnsi="Arial" w:cs="Arial"/>
          <w:color w:val="000000" w:themeColor="text1"/>
          <w:lang w:eastAsia="en-GB"/>
        </w:rPr>
        <w:t>n Society of Environmental Impact Assessment) take a regional view in a</w:t>
      </w:r>
      <w:r w:rsidR="00BD3517" w:rsidRPr="00B42628">
        <w:rPr>
          <w:rFonts w:ascii="Arial" w:eastAsia="Times New Roman" w:hAnsi="Arial" w:cs="Arial"/>
          <w:color w:val="000000" w:themeColor="text1"/>
          <w:lang w:eastAsia="en-GB"/>
        </w:rPr>
        <w:t>n</w:t>
      </w:r>
      <w:r w:rsidR="00D84C2C" w:rsidRPr="00B42628">
        <w:rPr>
          <w:rFonts w:ascii="Arial" w:eastAsia="Times New Roman" w:hAnsi="Arial" w:cs="Arial"/>
          <w:color w:val="000000" w:themeColor="text1"/>
          <w:lang w:eastAsia="en-GB"/>
        </w:rPr>
        <w:t xml:space="preserve"> effort to distil perspectives from East Asia, especially China, South Korea and Japan. Drawing upon the recent work of regional IA Affiliates and related conferences and symposia they identify three key areas shaping the future of IA in East Asia: cultural backgrounds, improved integration of IA into policy</w:t>
      </w:r>
      <w:r w:rsidR="00CC55C7" w:rsidRPr="00B42628">
        <w:rPr>
          <w:rFonts w:ascii="Arial" w:eastAsia="Times New Roman" w:hAnsi="Arial" w:cs="Arial"/>
          <w:color w:val="000000" w:themeColor="text1"/>
          <w:lang w:eastAsia="en-GB"/>
        </w:rPr>
        <w:t xml:space="preserve"> </w:t>
      </w:r>
      <w:r w:rsidR="00D84C2C" w:rsidRPr="00B42628">
        <w:rPr>
          <w:rFonts w:ascii="Arial" w:eastAsia="Times New Roman" w:hAnsi="Arial" w:cs="Arial"/>
          <w:color w:val="000000" w:themeColor="text1"/>
          <w:lang w:eastAsia="en-GB"/>
        </w:rPr>
        <w:t>and increased public participation. As East Asia continues to grow as an economic power, largely through the dominance of China, it will be important for the global IA community to understand the ways in which Confucian, Buddhist and Taoist philosophies colour IA and related policies in the region, how widespread and rapidly growing access to and adoption of digital technologies is shaping a new generation of East Asians</w:t>
      </w:r>
      <w:r w:rsidR="004876EB" w:rsidRPr="00B42628">
        <w:rPr>
          <w:rFonts w:ascii="Arial" w:eastAsia="Times New Roman" w:hAnsi="Arial" w:cs="Arial"/>
          <w:color w:val="000000" w:themeColor="text1"/>
          <w:lang w:eastAsia="en-GB"/>
        </w:rPr>
        <w:t>,</w:t>
      </w:r>
      <w:r w:rsidR="00D84C2C" w:rsidRPr="00B42628">
        <w:rPr>
          <w:rFonts w:ascii="Arial" w:eastAsia="Times New Roman" w:hAnsi="Arial" w:cs="Arial"/>
          <w:color w:val="000000" w:themeColor="text1"/>
          <w:lang w:eastAsia="en-GB"/>
        </w:rPr>
        <w:t xml:space="preserve"> and the potentials and paradoxes of public participation, especially where governments assert top-down authority. </w:t>
      </w:r>
    </w:p>
    <w:p w14:paraId="33946976" w14:textId="140EE593" w:rsidR="004876EB" w:rsidRPr="00B42628" w:rsidRDefault="004876EB" w:rsidP="003A38B7">
      <w:pPr>
        <w:spacing w:after="0" w:line="360" w:lineRule="auto"/>
        <w:rPr>
          <w:rFonts w:ascii="Arial" w:eastAsia="Times New Roman" w:hAnsi="Arial" w:cs="Arial"/>
          <w:color w:val="000000" w:themeColor="text1"/>
          <w:lang w:eastAsia="en-GB"/>
        </w:rPr>
      </w:pPr>
    </w:p>
    <w:p w14:paraId="1A89EF07" w14:textId="02CB182C" w:rsidR="0007412D" w:rsidRPr="00B42628" w:rsidRDefault="0007412D" w:rsidP="003A38B7">
      <w:pPr>
        <w:spacing w:after="0" w:line="360" w:lineRule="auto"/>
        <w:rPr>
          <w:rFonts w:ascii="Arial" w:eastAsia="Times New Roman" w:hAnsi="Arial" w:cs="Arial"/>
          <w:color w:val="000000" w:themeColor="text1"/>
          <w:lang w:eastAsia="en-GB"/>
        </w:rPr>
      </w:pPr>
      <w:r w:rsidRPr="00B42628">
        <w:rPr>
          <w:rFonts w:ascii="Arial" w:eastAsia="Times New Roman" w:hAnsi="Arial" w:cs="Arial"/>
          <w:color w:val="000000" w:themeColor="text1"/>
          <w:lang w:eastAsia="en-GB"/>
        </w:rPr>
        <w:t>Together, the contributions to this Special Issue on ‘Impact assessment for the 21</w:t>
      </w:r>
      <w:r w:rsidRPr="00B42628">
        <w:rPr>
          <w:rFonts w:ascii="Arial" w:eastAsia="Times New Roman" w:hAnsi="Arial" w:cs="Arial"/>
          <w:color w:val="000000" w:themeColor="text1"/>
          <w:vertAlign w:val="superscript"/>
          <w:lang w:eastAsia="en-GB"/>
        </w:rPr>
        <w:t>st</w:t>
      </w:r>
      <w:r w:rsidRPr="00B42628">
        <w:rPr>
          <w:rFonts w:ascii="Arial" w:eastAsia="Times New Roman" w:hAnsi="Arial" w:cs="Arial"/>
          <w:color w:val="000000" w:themeColor="text1"/>
          <w:lang w:eastAsia="en-GB"/>
        </w:rPr>
        <w:t xml:space="preserve"> century—What future?’ aim to stimulate, challenge and provoke our individual and collective thinking. What will be the make-or-break factors for IA in the decades to come? How can we ensure that our scholarship and practice </w:t>
      </w:r>
      <w:proofErr w:type="gramStart"/>
      <w:r w:rsidRPr="00B42628">
        <w:rPr>
          <w:rFonts w:ascii="Arial" w:eastAsia="Times New Roman" w:hAnsi="Arial" w:cs="Arial"/>
          <w:color w:val="000000" w:themeColor="text1"/>
          <w:lang w:eastAsia="en-GB"/>
        </w:rPr>
        <w:t>contributes</w:t>
      </w:r>
      <w:proofErr w:type="gramEnd"/>
      <w:r w:rsidRPr="00B42628">
        <w:rPr>
          <w:rFonts w:ascii="Arial" w:eastAsia="Times New Roman" w:hAnsi="Arial" w:cs="Arial"/>
          <w:color w:val="000000" w:themeColor="text1"/>
          <w:lang w:eastAsia="en-GB"/>
        </w:rPr>
        <w:t xml:space="preserve"> to the decisions necessary to address the greatest collective challenge humanity has ever faced</w:t>
      </w:r>
      <w:r w:rsidR="00C0610F">
        <w:rPr>
          <w:rFonts w:ascii="Arial" w:eastAsia="Times New Roman" w:hAnsi="Arial" w:cs="Arial"/>
          <w:color w:val="000000" w:themeColor="text1"/>
          <w:lang w:eastAsia="en-GB"/>
        </w:rPr>
        <w:t xml:space="preserve"> and counter manipulation through ‘alternative facts’</w:t>
      </w:r>
      <w:r w:rsidRPr="00B42628">
        <w:rPr>
          <w:rFonts w:ascii="Arial" w:eastAsia="Times New Roman" w:hAnsi="Arial" w:cs="Arial"/>
          <w:color w:val="000000" w:themeColor="text1"/>
          <w:lang w:eastAsia="en-GB"/>
        </w:rPr>
        <w:t xml:space="preserve">? What can IA do to maintain not only its relevance but to assert its necessity? </w:t>
      </w:r>
      <w:r w:rsidR="00771623" w:rsidRPr="00B42628">
        <w:rPr>
          <w:rFonts w:ascii="Arial" w:eastAsia="Times New Roman" w:hAnsi="Arial" w:cs="Arial"/>
          <w:color w:val="000000" w:themeColor="text1"/>
          <w:lang w:eastAsia="en-GB"/>
        </w:rPr>
        <w:t xml:space="preserve">We invite you to engage in the discussion with our contributors, to discern and debate as we consider the future of IA. </w:t>
      </w:r>
    </w:p>
    <w:p w14:paraId="61804014" w14:textId="77777777" w:rsidR="004876EB" w:rsidRPr="00B42628" w:rsidRDefault="004876EB" w:rsidP="004876EB">
      <w:pPr>
        <w:rPr>
          <w:rFonts w:ascii="Arial" w:hAnsi="Arial" w:cs="Arial"/>
          <w:b/>
          <w:color w:val="000000" w:themeColor="text1"/>
        </w:rPr>
      </w:pPr>
    </w:p>
    <w:p w14:paraId="4853E2F6" w14:textId="77777777" w:rsidR="004876EB" w:rsidRPr="00B42628" w:rsidRDefault="004876EB" w:rsidP="004876EB">
      <w:pPr>
        <w:rPr>
          <w:rFonts w:ascii="Arial" w:hAnsi="Arial" w:cs="Arial"/>
          <w:b/>
          <w:color w:val="000000" w:themeColor="text1"/>
        </w:rPr>
      </w:pPr>
    </w:p>
    <w:p w14:paraId="7E2AA99B" w14:textId="77777777" w:rsidR="000D4900" w:rsidRPr="00B42628" w:rsidRDefault="000D4900">
      <w:pPr>
        <w:rPr>
          <w:rFonts w:ascii="Arial" w:hAnsi="Arial" w:cs="Arial"/>
          <w:b/>
          <w:color w:val="000000" w:themeColor="text1"/>
        </w:rPr>
      </w:pPr>
      <w:r w:rsidRPr="00B42628">
        <w:rPr>
          <w:rFonts w:ascii="Arial" w:hAnsi="Arial" w:cs="Arial"/>
          <w:b/>
          <w:color w:val="000000" w:themeColor="text1"/>
        </w:rPr>
        <w:br w:type="page"/>
      </w:r>
    </w:p>
    <w:p w14:paraId="63859E0B" w14:textId="73F0F66D" w:rsidR="008D50E1" w:rsidRPr="00B42628" w:rsidRDefault="008D50E1" w:rsidP="00362BD8">
      <w:pPr>
        <w:rPr>
          <w:rFonts w:ascii="Arial" w:hAnsi="Arial" w:cs="Arial"/>
          <w:b/>
          <w:color w:val="000000" w:themeColor="text1"/>
        </w:rPr>
      </w:pPr>
      <w:r w:rsidRPr="00B42628">
        <w:rPr>
          <w:rFonts w:ascii="Arial" w:hAnsi="Arial" w:cs="Arial"/>
          <w:b/>
          <w:color w:val="000000" w:themeColor="text1"/>
        </w:rPr>
        <w:lastRenderedPageBreak/>
        <w:t>References</w:t>
      </w:r>
    </w:p>
    <w:p w14:paraId="4C22A44B" w14:textId="5F22B66F" w:rsidR="00AB6E45" w:rsidRPr="00B42628" w:rsidRDefault="00AB6E45" w:rsidP="008D50E1">
      <w:pPr>
        <w:autoSpaceDE w:val="0"/>
        <w:autoSpaceDN w:val="0"/>
        <w:adjustRightInd w:val="0"/>
        <w:spacing w:after="0" w:line="360" w:lineRule="auto"/>
        <w:rPr>
          <w:rFonts w:ascii="Arial" w:hAnsi="Arial" w:cs="Arial"/>
          <w:color w:val="222222"/>
          <w:shd w:val="clear" w:color="auto" w:fill="FFFFFF"/>
        </w:rPr>
      </w:pPr>
      <w:r w:rsidRPr="00B42628">
        <w:rPr>
          <w:rFonts w:ascii="Arial" w:hAnsi="Arial" w:cs="Arial"/>
          <w:color w:val="222222"/>
          <w:shd w:val="clear" w:color="auto" w:fill="FFFFFF"/>
        </w:rPr>
        <w:t xml:space="preserve">Banhalmi-Zakar, Z., Gronow, C., Wilkinson, L., Jenkins, B., Pope, J., Squires, G., Witt, K., Williams, G. and Womersley, J., 2018. Evolution or revolution: where next for impact </w:t>
      </w:r>
      <w:proofErr w:type="gramStart"/>
      <w:r w:rsidRPr="00B42628">
        <w:rPr>
          <w:rFonts w:ascii="Arial" w:hAnsi="Arial" w:cs="Arial"/>
          <w:color w:val="222222"/>
          <w:shd w:val="clear" w:color="auto" w:fill="FFFFFF"/>
        </w:rPr>
        <w:t>assessment?.</w:t>
      </w:r>
      <w:proofErr w:type="gramEnd"/>
      <w:r w:rsidRPr="00B42628">
        <w:rPr>
          <w:rFonts w:ascii="Arial" w:hAnsi="Arial" w:cs="Arial"/>
          <w:color w:val="222222"/>
          <w:shd w:val="clear" w:color="auto" w:fill="FFFFFF"/>
        </w:rPr>
        <w:t> </w:t>
      </w:r>
      <w:r w:rsidRPr="00B42628">
        <w:rPr>
          <w:rFonts w:ascii="Arial" w:hAnsi="Arial" w:cs="Arial"/>
          <w:i/>
          <w:iCs/>
          <w:color w:val="222222"/>
          <w:shd w:val="clear" w:color="auto" w:fill="FFFFFF"/>
        </w:rPr>
        <w:t>Impact Assessment and Project Appraisal</w:t>
      </w:r>
      <w:r w:rsidRPr="00B42628">
        <w:rPr>
          <w:rFonts w:ascii="Arial" w:hAnsi="Arial" w:cs="Arial"/>
          <w:color w:val="222222"/>
          <w:shd w:val="clear" w:color="auto" w:fill="FFFFFF"/>
        </w:rPr>
        <w:t>, </w:t>
      </w:r>
      <w:r w:rsidRPr="00B42628">
        <w:rPr>
          <w:rFonts w:ascii="Arial" w:hAnsi="Arial" w:cs="Arial"/>
          <w:i/>
          <w:iCs/>
          <w:color w:val="222222"/>
          <w:shd w:val="clear" w:color="auto" w:fill="FFFFFF"/>
        </w:rPr>
        <w:t>36</w:t>
      </w:r>
      <w:r w:rsidRPr="00B42628">
        <w:rPr>
          <w:rFonts w:ascii="Arial" w:hAnsi="Arial" w:cs="Arial"/>
          <w:color w:val="222222"/>
          <w:shd w:val="clear" w:color="auto" w:fill="FFFFFF"/>
        </w:rPr>
        <w:t>(6), pp.506-515.</w:t>
      </w:r>
    </w:p>
    <w:p w14:paraId="51BDA0FB" w14:textId="77777777" w:rsidR="00AB6E45" w:rsidRPr="00B42628" w:rsidRDefault="00AB6E45" w:rsidP="008D50E1">
      <w:pPr>
        <w:autoSpaceDE w:val="0"/>
        <w:autoSpaceDN w:val="0"/>
        <w:adjustRightInd w:val="0"/>
        <w:spacing w:after="0" w:line="360" w:lineRule="auto"/>
        <w:rPr>
          <w:rStyle w:val="authors"/>
          <w:rFonts w:ascii="Arial" w:hAnsi="Arial" w:cs="Arial"/>
          <w:color w:val="333333"/>
          <w:shd w:val="clear" w:color="auto" w:fill="FFFFFF"/>
        </w:rPr>
      </w:pPr>
    </w:p>
    <w:p w14:paraId="4B52D26E" w14:textId="2A02E547" w:rsidR="00D7722A" w:rsidRPr="00B42628" w:rsidRDefault="00D7722A" w:rsidP="008D50E1">
      <w:pPr>
        <w:autoSpaceDE w:val="0"/>
        <w:autoSpaceDN w:val="0"/>
        <w:adjustRightInd w:val="0"/>
        <w:spacing w:after="0" w:line="360" w:lineRule="auto"/>
        <w:rPr>
          <w:rFonts w:ascii="Arial" w:hAnsi="Arial" w:cs="Arial"/>
          <w:color w:val="000000" w:themeColor="text1"/>
        </w:rPr>
      </w:pPr>
      <w:r w:rsidRPr="00B42628">
        <w:rPr>
          <w:rStyle w:val="authors"/>
          <w:rFonts w:ascii="Arial" w:hAnsi="Arial" w:cs="Arial"/>
          <w:color w:val="333333"/>
          <w:shd w:val="clear" w:color="auto" w:fill="FFFFFF"/>
        </w:rPr>
        <w:t>Bice</w:t>
      </w:r>
      <w:r w:rsidRPr="00B42628">
        <w:rPr>
          <w:rFonts w:ascii="Arial" w:hAnsi="Arial" w:cs="Arial"/>
          <w:color w:val="333333"/>
          <w:shd w:val="clear" w:color="auto" w:fill="FFFFFF"/>
        </w:rPr>
        <w:t xml:space="preserve">, S. </w:t>
      </w:r>
      <w:r w:rsidRPr="00B42628">
        <w:rPr>
          <w:rStyle w:val="Date1"/>
          <w:rFonts w:ascii="Arial" w:hAnsi="Arial" w:cs="Arial"/>
          <w:color w:val="333333"/>
          <w:shd w:val="clear" w:color="auto" w:fill="FFFFFF"/>
        </w:rPr>
        <w:t>2015.</w:t>
      </w:r>
      <w:r w:rsidRPr="00B42628">
        <w:rPr>
          <w:rFonts w:ascii="Arial" w:hAnsi="Arial" w:cs="Arial"/>
          <w:color w:val="333333"/>
          <w:shd w:val="clear" w:color="auto" w:fill="FFFFFF"/>
        </w:rPr>
        <w:t> </w:t>
      </w:r>
      <w:r w:rsidRPr="00B42628">
        <w:rPr>
          <w:rStyle w:val="arttitle"/>
          <w:rFonts w:ascii="Arial" w:hAnsi="Arial" w:cs="Arial"/>
          <w:color w:val="333333"/>
          <w:shd w:val="clear" w:color="auto" w:fill="FFFFFF"/>
        </w:rPr>
        <w:t>Bridging corporate social responsibility and social impact assessment,</w:t>
      </w:r>
      <w:r w:rsidRPr="00B42628">
        <w:rPr>
          <w:rFonts w:ascii="Arial" w:hAnsi="Arial" w:cs="Arial"/>
          <w:color w:val="333333"/>
          <w:shd w:val="clear" w:color="auto" w:fill="FFFFFF"/>
        </w:rPr>
        <w:t> </w:t>
      </w:r>
      <w:r w:rsidRPr="00B42628">
        <w:rPr>
          <w:rStyle w:val="serialtitle"/>
          <w:rFonts w:ascii="Arial" w:hAnsi="Arial" w:cs="Arial"/>
          <w:i/>
          <w:iCs/>
          <w:color w:val="333333"/>
          <w:shd w:val="clear" w:color="auto" w:fill="FFFFFF"/>
        </w:rPr>
        <w:t>Impact Assessment and Project Appraisal</w:t>
      </w:r>
      <w:r w:rsidRPr="00B42628">
        <w:rPr>
          <w:rStyle w:val="serialtitle"/>
          <w:rFonts w:ascii="Arial" w:hAnsi="Arial" w:cs="Arial"/>
          <w:color w:val="333333"/>
          <w:shd w:val="clear" w:color="auto" w:fill="FFFFFF"/>
        </w:rPr>
        <w:t>,</w:t>
      </w:r>
      <w:r w:rsidRPr="00B42628">
        <w:rPr>
          <w:rFonts w:ascii="Arial" w:hAnsi="Arial" w:cs="Arial"/>
          <w:color w:val="333333"/>
          <w:shd w:val="clear" w:color="auto" w:fill="FFFFFF"/>
        </w:rPr>
        <w:t> </w:t>
      </w:r>
      <w:r w:rsidRPr="00B42628">
        <w:rPr>
          <w:rStyle w:val="volumeissue"/>
          <w:rFonts w:ascii="Arial" w:hAnsi="Arial" w:cs="Arial"/>
          <w:color w:val="333333"/>
          <w:shd w:val="clear" w:color="auto" w:fill="FFFFFF"/>
        </w:rPr>
        <w:t>33:2,</w:t>
      </w:r>
      <w:r w:rsidRPr="00B42628">
        <w:rPr>
          <w:rFonts w:ascii="Arial" w:hAnsi="Arial" w:cs="Arial"/>
          <w:color w:val="333333"/>
          <w:shd w:val="clear" w:color="auto" w:fill="FFFFFF"/>
        </w:rPr>
        <w:t> </w:t>
      </w:r>
      <w:r w:rsidRPr="00B42628">
        <w:rPr>
          <w:rStyle w:val="pagerange"/>
          <w:rFonts w:ascii="Arial" w:hAnsi="Arial" w:cs="Arial"/>
          <w:color w:val="333333"/>
          <w:shd w:val="clear" w:color="auto" w:fill="FFFFFF"/>
        </w:rPr>
        <w:t>160-166.</w:t>
      </w:r>
    </w:p>
    <w:p w14:paraId="48F431CF" w14:textId="77777777" w:rsidR="00D7722A" w:rsidRPr="00B42628" w:rsidRDefault="00D7722A" w:rsidP="008D50E1">
      <w:pPr>
        <w:autoSpaceDE w:val="0"/>
        <w:autoSpaceDN w:val="0"/>
        <w:adjustRightInd w:val="0"/>
        <w:spacing w:after="0" w:line="360" w:lineRule="auto"/>
        <w:rPr>
          <w:rFonts w:ascii="Arial" w:hAnsi="Arial" w:cs="Arial"/>
          <w:color w:val="000000" w:themeColor="text1"/>
        </w:rPr>
      </w:pPr>
    </w:p>
    <w:p w14:paraId="0B9E1C01" w14:textId="34CE5ADA" w:rsidR="009179E0" w:rsidRPr="00B42628" w:rsidRDefault="009179E0" w:rsidP="008D50E1">
      <w:pPr>
        <w:autoSpaceDE w:val="0"/>
        <w:autoSpaceDN w:val="0"/>
        <w:adjustRightInd w:val="0"/>
        <w:spacing w:after="0" w:line="360" w:lineRule="auto"/>
        <w:rPr>
          <w:rFonts w:ascii="Arial" w:hAnsi="Arial" w:cs="Arial"/>
          <w:color w:val="222222"/>
          <w:shd w:val="clear" w:color="auto" w:fill="FFFFFF"/>
        </w:rPr>
      </w:pPr>
      <w:r w:rsidRPr="00B42628">
        <w:rPr>
          <w:rFonts w:ascii="Arial" w:hAnsi="Arial" w:cs="Arial"/>
          <w:color w:val="222222"/>
          <w:shd w:val="clear" w:color="auto" w:fill="FFFFFF"/>
        </w:rPr>
        <w:t xml:space="preserve">Bice, S., Neely, K. and </w:t>
      </w:r>
      <w:proofErr w:type="spellStart"/>
      <w:r w:rsidRPr="00B42628">
        <w:rPr>
          <w:rFonts w:ascii="Arial" w:hAnsi="Arial" w:cs="Arial"/>
          <w:color w:val="222222"/>
          <w:shd w:val="clear" w:color="auto" w:fill="FFFFFF"/>
        </w:rPr>
        <w:t>Einfeld</w:t>
      </w:r>
      <w:proofErr w:type="spellEnd"/>
      <w:r w:rsidRPr="00B42628">
        <w:rPr>
          <w:rFonts w:ascii="Arial" w:hAnsi="Arial" w:cs="Arial"/>
          <w:color w:val="222222"/>
          <w:shd w:val="clear" w:color="auto" w:fill="FFFFFF"/>
        </w:rPr>
        <w:t>, C., 2019. Next generation engagement: Setting a research agenda for community engagement in Australia's infrastructure sector. </w:t>
      </w:r>
      <w:r w:rsidRPr="00B42628">
        <w:rPr>
          <w:rFonts w:ascii="Arial" w:hAnsi="Arial" w:cs="Arial"/>
          <w:i/>
          <w:iCs/>
          <w:color w:val="222222"/>
          <w:shd w:val="clear" w:color="auto" w:fill="FFFFFF"/>
        </w:rPr>
        <w:t>Australian Journal of Public Administration</w:t>
      </w:r>
      <w:r w:rsidRPr="00B42628">
        <w:rPr>
          <w:rFonts w:ascii="Arial" w:hAnsi="Arial" w:cs="Arial"/>
          <w:color w:val="222222"/>
          <w:shd w:val="clear" w:color="auto" w:fill="FFFFFF"/>
        </w:rPr>
        <w:t>, </w:t>
      </w:r>
      <w:r w:rsidRPr="00B42628">
        <w:rPr>
          <w:rFonts w:ascii="Arial" w:hAnsi="Arial" w:cs="Arial"/>
          <w:i/>
          <w:iCs/>
          <w:color w:val="222222"/>
          <w:shd w:val="clear" w:color="auto" w:fill="FFFFFF"/>
        </w:rPr>
        <w:t>78</w:t>
      </w:r>
      <w:r w:rsidRPr="00B42628">
        <w:rPr>
          <w:rFonts w:ascii="Arial" w:hAnsi="Arial" w:cs="Arial"/>
          <w:color w:val="222222"/>
          <w:shd w:val="clear" w:color="auto" w:fill="FFFFFF"/>
        </w:rPr>
        <w:t>(2), pp.290-310.</w:t>
      </w:r>
    </w:p>
    <w:p w14:paraId="6B8036A8" w14:textId="77777777" w:rsidR="009179E0" w:rsidRPr="00B42628" w:rsidRDefault="009179E0" w:rsidP="008D50E1">
      <w:pPr>
        <w:autoSpaceDE w:val="0"/>
        <w:autoSpaceDN w:val="0"/>
        <w:adjustRightInd w:val="0"/>
        <w:spacing w:after="0" w:line="360" w:lineRule="auto"/>
        <w:rPr>
          <w:rFonts w:ascii="Arial" w:hAnsi="Arial" w:cs="Arial"/>
          <w:color w:val="000000" w:themeColor="text1"/>
        </w:rPr>
      </w:pPr>
    </w:p>
    <w:p w14:paraId="180CFA4B" w14:textId="09C2A770" w:rsidR="00515C35" w:rsidRPr="00B42628" w:rsidRDefault="00515C35" w:rsidP="008D50E1">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 xml:space="preserve">Caldwell, L. 1988. Environmental impact analysis (EIA): origins, evolution and future directions, </w:t>
      </w:r>
      <w:r w:rsidRPr="00B42628">
        <w:rPr>
          <w:rFonts w:ascii="Arial" w:hAnsi="Arial" w:cs="Arial"/>
          <w:i/>
          <w:color w:val="000000" w:themeColor="text1"/>
        </w:rPr>
        <w:t>Review of Policy Research</w:t>
      </w:r>
      <w:r w:rsidRPr="00B42628">
        <w:rPr>
          <w:rFonts w:ascii="Arial" w:hAnsi="Arial" w:cs="Arial"/>
          <w:color w:val="000000" w:themeColor="text1"/>
        </w:rPr>
        <w:t>, 8: 75-83.</w:t>
      </w:r>
    </w:p>
    <w:p w14:paraId="57076CF7" w14:textId="77777777" w:rsidR="00B433BD" w:rsidRPr="00B42628" w:rsidRDefault="00B433BD" w:rsidP="008D50E1">
      <w:pPr>
        <w:autoSpaceDE w:val="0"/>
        <w:autoSpaceDN w:val="0"/>
        <w:adjustRightInd w:val="0"/>
        <w:spacing w:after="0" w:line="360" w:lineRule="auto"/>
        <w:rPr>
          <w:rFonts w:ascii="Arial" w:hAnsi="Arial" w:cs="Arial"/>
          <w:color w:val="000000" w:themeColor="text1"/>
        </w:rPr>
      </w:pPr>
    </w:p>
    <w:p w14:paraId="44EAD11C" w14:textId="42CB3BB2" w:rsidR="00515C35" w:rsidRPr="00B42628" w:rsidRDefault="00B433BD" w:rsidP="008D50E1">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 xml:space="preserve">Canter, L. 2015. </w:t>
      </w:r>
      <w:r w:rsidRPr="00B42628">
        <w:rPr>
          <w:rFonts w:ascii="Arial" w:hAnsi="Arial" w:cs="Arial"/>
          <w:i/>
          <w:iCs/>
          <w:color w:val="000000" w:themeColor="text1"/>
        </w:rPr>
        <w:t>Cumulative effects assessment and management: Principles, processes and practices</w:t>
      </w:r>
      <w:r w:rsidRPr="00B42628">
        <w:rPr>
          <w:rFonts w:ascii="Arial" w:hAnsi="Arial" w:cs="Arial"/>
          <w:color w:val="000000" w:themeColor="text1"/>
        </w:rPr>
        <w:t xml:space="preserve">. Horseshoe Bay: EIA Press. </w:t>
      </w:r>
      <w:r w:rsidRPr="00B42628">
        <w:rPr>
          <w:rFonts w:ascii="Arial" w:hAnsi="Arial" w:cs="Arial"/>
          <w:i/>
          <w:iCs/>
          <w:color w:val="000000" w:themeColor="text1"/>
        </w:rPr>
        <w:t xml:space="preserve"> </w:t>
      </w:r>
      <w:r w:rsidRPr="00B42628">
        <w:rPr>
          <w:rFonts w:ascii="Arial" w:hAnsi="Arial" w:cs="Arial"/>
          <w:color w:val="000000" w:themeColor="text1"/>
        </w:rPr>
        <w:t xml:space="preserve"> </w:t>
      </w:r>
    </w:p>
    <w:p w14:paraId="497DA69A" w14:textId="0470ADF8" w:rsidR="00B433BD" w:rsidRPr="00B42628" w:rsidRDefault="00B433BD" w:rsidP="008D50E1">
      <w:pPr>
        <w:autoSpaceDE w:val="0"/>
        <w:autoSpaceDN w:val="0"/>
        <w:adjustRightInd w:val="0"/>
        <w:spacing w:after="0" w:line="360" w:lineRule="auto"/>
        <w:rPr>
          <w:rFonts w:ascii="Arial" w:hAnsi="Arial" w:cs="Arial"/>
          <w:color w:val="000000" w:themeColor="text1"/>
        </w:rPr>
      </w:pPr>
    </w:p>
    <w:p w14:paraId="71CEA628" w14:textId="5AFB5609" w:rsidR="00581ABF" w:rsidRPr="00B42628" w:rsidRDefault="00581ABF" w:rsidP="008D50E1">
      <w:pPr>
        <w:autoSpaceDE w:val="0"/>
        <w:autoSpaceDN w:val="0"/>
        <w:adjustRightInd w:val="0"/>
        <w:spacing w:after="0" w:line="360" w:lineRule="auto"/>
        <w:rPr>
          <w:rFonts w:ascii="Arial" w:hAnsi="Arial" w:cs="Arial"/>
          <w:color w:val="222222"/>
          <w:shd w:val="clear" w:color="auto" w:fill="FFFFFF"/>
        </w:rPr>
      </w:pPr>
      <w:r w:rsidRPr="00B42628">
        <w:rPr>
          <w:rFonts w:ascii="Arial" w:hAnsi="Arial" w:cs="Arial"/>
          <w:color w:val="222222"/>
          <w:shd w:val="clear" w:color="auto" w:fill="FFFFFF"/>
        </w:rPr>
        <w:t>Castells, M., 2018. </w:t>
      </w:r>
      <w:r w:rsidRPr="00B42628">
        <w:rPr>
          <w:rFonts w:ascii="Arial" w:hAnsi="Arial" w:cs="Arial"/>
          <w:i/>
          <w:iCs/>
          <w:color w:val="222222"/>
          <w:shd w:val="clear" w:color="auto" w:fill="FFFFFF"/>
        </w:rPr>
        <w:t>Rupture: The crisis of liberal democracy</w:t>
      </w:r>
      <w:r w:rsidRPr="00B42628">
        <w:rPr>
          <w:rFonts w:ascii="Arial" w:hAnsi="Arial" w:cs="Arial"/>
          <w:color w:val="222222"/>
          <w:shd w:val="clear" w:color="auto" w:fill="FFFFFF"/>
        </w:rPr>
        <w:t xml:space="preserve">. </w:t>
      </w:r>
      <w:r w:rsidR="00F4730E" w:rsidRPr="00B42628">
        <w:rPr>
          <w:rFonts w:ascii="Arial" w:hAnsi="Arial" w:cs="Arial"/>
          <w:color w:val="222222"/>
          <w:shd w:val="clear" w:color="auto" w:fill="FFFFFF"/>
        </w:rPr>
        <w:t xml:space="preserve">Cambridge: Polity Press, </w:t>
      </w:r>
      <w:r w:rsidRPr="00B42628">
        <w:rPr>
          <w:rFonts w:ascii="Arial" w:hAnsi="Arial" w:cs="Arial"/>
          <w:color w:val="222222"/>
          <w:shd w:val="clear" w:color="auto" w:fill="FFFFFF"/>
        </w:rPr>
        <w:t>John Wiley &amp; Sons.</w:t>
      </w:r>
    </w:p>
    <w:p w14:paraId="15D8842D" w14:textId="77777777" w:rsidR="00581ABF" w:rsidRPr="00B42628" w:rsidRDefault="00581ABF" w:rsidP="008D50E1">
      <w:pPr>
        <w:autoSpaceDE w:val="0"/>
        <w:autoSpaceDN w:val="0"/>
        <w:adjustRightInd w:val="0"/>
        <w:spacing w:after="0" w:line="360" w:lineRule="auto"/>
        <w:rPr>
          <w:rFonts w:ascii="Arial" w:hAnsi="Arial" w:cs="Arial"/>
          <w:color w:val="000000" w:themeColor="text1"/>
        </w:rPr>
      </w:pPr>
    </w:p>
    <w:p w14:paraId="7F64EC0B" w14:textId="52EC2CC0" w:rsidR="00515C35" w:rsidRPr="00B42628" w:rsidRDefault="00515C35" w:rsidP="008D50E1">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 xml:space="preserve">Dusik, J., Fischer, T. B., Sadler, B., 2018. Therivel, R. and </w:t>
      </w:r>
      <w:proofErr w:type="spellStart"/>
      <w:r w:rsidRPr="00B42628">
        <w:rPr>
          <w:rFonts w:ascii="Arial" w:hAnsi="Arial" w:cs="Arial"/>
          <w:color w:val="000000" w:themeColor="text1"/>
        </w:rPr>
        <w:t>Saric</w:t>
      </w:r>
      <w:proofErr w:type="spellEnd"/>
      <w:r w:rsidRPr="00B42628">
        <w:rPr>
          <w:rFonts w:ascii="Arial" w:hAnsi="Arial" w:cs="Arial"/>
          <w:color w:val="000000" w:themeColor="text1"/>
        </w:rPr>
        <w:t xml:space="preserve">. I. </w:t>
      </w:r>
      <w:r w:rsidRPr="00B42628">
        <w:rPr>
          <w:rFonts w:ascii="Arial" w:hAnsi="Arial" w:cs="Arial"/>
        </w:rPr>
        <w:t xml:space="preserve">Strategic Environmental and Social Assessment of Automation: Scoping Working Paper, </w:t>
      </w:r>
      <w:hyperlink r:id="rId10" w:history="1">
        <w:r w:rsidRPr="00B42628">
          <w:rPr>
            <w:rStyle w:val="Hyperlink"/>
            <w:rFonts w:ascii="Arial" w:hAnsi="Arial" w:cs="Arial"/>
          </w:rPr>
          <w:t>https://www.researchgate.net/publication/326461326_Strategic_Environmental_and_Social_Assessment_of_Automation_Scoping_Working_Paper</w:t>
        </w:r>
      </w:hyperlink>
      <w:r w:rsidRPr="00B42628">
        <w:rPr>
          <w:rFonts w:ascii="Arial" w:hAnsi="Arial" w:cs="Arial"/>
        </w:rPr>
        <w:t xml:space="preserve">. </w:t>
      </w:r>
    </w:p>
    <w:p w14:paraId="5DC07022" w14:textId="77777777" w:rsidR="00515C35" w:rsidRPr="00B42628" w:rsidRDefault="00515C35" w:rsidP="008D50E1">
      <w:pPr>
        <w:autoSpaceDE w:val="0"/>
        <w:autoSpaceDN w:val="0"/>
        <w:adjustRightInd w:val="0"/>
        <w:spacing w:after="0" w:line="360" w:lineRule="auto"/>
        <w:rPr>
          <w:rFonts w:ascii="Arial" w:hAnsi="Arial" w:cs="Arial"/>
          <w:color w:val="000000" w:themeColor="text1"/>
        </w:rPr>
      </w:pPr>
    </w:p>
    <w:p w14:paraId="727978C0" w14:textId="228F7A08" w:rsidR="00C07005" w:rsidRPr="00B42628" w:rsidRDefault="00C07005" w:rsidP="008D50E1">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Edelman</w:t>
      </w:r>
      <w:r w:rsidR="00142210" w:rsidRPr="00B42628">
        <w:rPr>
          <w:rFonts w:ascii="Arial" w:hAnsi="Arial" w:cs="Arial"/>
          <w:color w:val="000000" w:themeColor="text1"/>
        </w:rPr>
        <w:t xml:space="preserve">. 2019. 2019 Edelman Trust Barometer: Global Report. Chicago: Edelman. </w:t>
      </w:r>
    </w:p>
    <w:p w14:paraId="1A461CC0" w14:textId="77777777" w:rsidR="00142210" w:rsidRPr="00B42628" w:rsidRDefault="00142210" w:rsidP="008D50E1">
      <w:pPr>
        <w:autoSpaceDE w:val="0"/>
        <w:autoSpaceDN w:val="0"/>
        <w:adjustRightInd w:val="0"/>
        <w:spacing w:after="0" w:line="360" w:lineRule="auto"/>
        <w:rPr>
          <w:rFonts w:ascii="Arial" w:hAnsi="Arial" w:cs="Arial"/>
          <w:color w:val="000000" w:themeColor="text1"/>
        </w:rPr>
      </w:pPr>
    </w:p>
    <w:p w14:paraId="3A9AB838" w14:textId="75495B72" w:rsidR="008D50E1" w:rsidRPr="00B42628" w:rsidRDefault="008D50E1" w:rsidP="008D50E1">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 xml:space="preserve">Fischer, T. B. 2018a. Impact Assessment for measurable positive change, </w:t>
      </w:r>
      <w:r w:rsidRPr="00B42628">
        <w:rPr>
          <w:rFonts w:ascii="Arial" w:hAnsi="Arial" w:cs="Arial"/>
          <w:i/>
          <w:color w:val="000000" w:themeColor="text1"/>
        </w:rPr>
        <w:t>Impact Assessment and Project Appraisal</w:t>
      </w:r>
      <w:r w:rsidRPr="00B42628">
        <w:rPr>
          <w:rFonts w:ascii="Arial" w:hAnsi="Arial" w:cs="Arial"/>
          <w:color w:val="000000" w:themeColor="text1"/>
        </w:rPr>
        <w:t>, 36 (4): 286-286</w:t>
      </w:r>
    </w:p>
    <w:p w14:paraId="5C9A1D73" w14:textId="77777777" w:rsidR="008D50E1" w:rsidRPr="00B42628" w:rsidRDefault="008D50E1" w:rsidP="008D50E1">
      <w:pPr>
        <w:autoSpaceDE w:val="0"/>
        <w:autoSpaceDN w:val="0"/>
        <w:adjustRightInd w:val="0"/>
        <w:spacing w:after="0" w:line="360" w:lineRule="auto"/>
        <w:rPr>
          <w:rFonts w:ascii="Arial" w:hAnsi="Arial" w:cs="Arial"/>
          <w:color w:val="000000" w:themeColor="text1"/>
        </w:rPr>
      </w:pPr>
    </w:p>
    <w:p w14:paraId="1F68AE34" w14:textId="77777777" w:rsidR="00486F7F" w:rsidRPr="00B42628" w:rsidRDefault="00486F7F" w:rsidP="003A38B7">
      <w:pPr>
        <w:autoSpaceDE w:val="0"/>
        <w:autoSpaceDN w:val="0"/>
        <w:adjustRightInd w:val="0"/>
        <w:spacing w:after="0" w:line="360" w:lineRule="auto"/>
        <w:rPr>
          <w:rFonts w:ascii="Arial" w:hAnsi="Arial" w:cs="Arial"/>
          <w:color w:val="000000" w:themeColor="text1"/>
        </w:rPr>
      </w:pPr>
      <w:r w:rsidRPr="00B42628">
        <w:rPr>
          <w:rFonts w:ascii="Arial" w:hAnsi="Arial" w:cs="Arial"/>
          <w:color w:val="000000" w:themeColor="text1"/>
        </w:rPr>
        <w:t>Fischer, T. B. 2018</w:t>
      </w:r>
      <w:r w:rsidR="002A1CE5" w:rsidRPr="00B42628">
        <w:rPr>
          <w:rFonts w:ascii="Arial" w:hAnsi="Arial" w:cs="Arial"/>
          <w:color w:val="000000" w:themeColor="text1"/>
        </w:rPr>
        <w:t>a</w:t>
      </w:r>
      <w:r w:rsidRPr="00B42628">
        <w:rPr>
          <w:rFonts w:ascii="Arial" w:hAnsi="Arial" w:cs="Arial"/>
          <w:color w:val="000000" w:themeColor="text1"/>
        </w:rPr>
        <w:t xml:space="preserve">. Editorial: IA, alternative facts and fake news – Is the post-factual turn starting to turn? </w:t>
      </w:r>
      <w:r w:rsidRPr="00B42628">
        <w:rPr>
          <w:rFonts w:ascii="Arial" w:hAnsi="Arial" w:cs="Arial"/>
          <w:i/>
          <w:color w:val="000000" w:themeColor="text1"/>
        </w:rPr>
        <w:t>Impact Assessment and Project Appraisal</w:t>
      </w:r>
      <w:r w:rsidR="002A1CE5" w:rsidRPr="00B42628">
        <w:rPr>
          <w:rFonts w:ascii="Arial" w:hAnsi="Arial" w:cs="Arial"/>
          <w:color w:val="000000" w:themeColor="text1"/>
        </w:rPr>
        <w:t xml:space="preserve">, 36 (3): </w:t>
      </w:r>
    </w:p>
    <w:p w14:paraId="0DEFCA2D" w14:textId="77777777" w:rsidR="002A1CE5" w:rsidRPr="00B42628" w:rsidRDefault="002A1CE5" w:rsidP="003A38B7">
      <w:pPr>
        <w:spacing w:after="0" w:line="360" w:lineRule="auto"/>
        <w:jc w:val="both"/>
        <w:rPr>
          <w:rFonts w:ascii="Arial" w:hAnsi="Arial" w:cs="Arial"/>
          <w:color w:val="000000" w:themeColor="text1"/>
        </w:rPr>
      </w:pPr>
    </w:p>
    <w:p w14:paraId="432BC630" w14:textId="77777777" w:rsidR="004908DD" w:rsidRPr="00B42628" w:rsidRDefault="004908DD" w:rsidP="003A38B7">
      <w:pPr>
        <w:spacing w:after="0" w:line="360" w:lineRule="auto"/>
        <w:jc w:val="both"/>
        <w:rPr>
          <w:rFonts w:ascii="Arial" w:hAnsi="Arial" w:cs="Arial"/>
          <w:color w:val="000000" w:themeColor="text1"/>
        </w:rPr>
      </w:pPr>
      <w:r w:rsidRPr="00B42628">
        <w:rPr>
          <w:rFonts w:ascii="Arial" w:hAnsi="Arial" w:cs="Arial"/>
          <w:color w:val="000000" w:themeColor="text1"/>
        </w:rPr>
        <w:t xml:space="preserve">Fischer, T. B. and Cave, B. 2018. Health in Impact Assessments – Introduction to a special issue, </w:t>
      </w:r>
      <w:r w:rsidRPr="00B42628">
        <w:rPr>
          <w:rFonts w:ascii="Arial" w:hAnsi="Arial" w:cs="Arial"/>
          <w:i/>
          <w:color w:val="000000" w:themeColor="text1"/>
        </w:rPr>
        <w:t>Impact Assessment and Project Appraisal</w:t>
      </w:r>
      <w:r w:rsidRPr="00B42628">
        <w:rPr>
          <w:rFonts w:ascii="Arial" w:hAnsi="Arial" w:cs="Arial"/>
          <w:color w:val="000000" w:themeColor="text1"/>
        </w:rPr>
        <w:t>, 36(1): 1-4.</w:t>
      </w:r>
    </w:p>
    <w:p w14:paraId="015EEEDE" w14:textId="77777777" w:rsidR="004908DD" w:rsidRPr="00B42628" w:rsidRDefault="004908DD" w:rsidP="003A38B7">
      <w:pPr>
        <w:spacing w:after="0" w:line="360" w:lineRule="auto"/>
        <w:jc w:val="both"/>
        <w:rPr>
          <w:rFonts w:ascii="Arial" w:hAnsi="Arial" w:cs="Arial"/>
          <w:color w:val="000000" w:themeColor="text1"/>
        </w:rPr>
      </w:pPr>
    </w:p>
    <w:p w14:paraId="31FE5C71" w14:textId="77777777" w:rsidR="00E920C9" w:rsidRPr="00B42628" w:rsidRDefault="00E920C9" w:rsidP="003A38B7">
      <w:pPr>
        <w:spacing w:after="0" w:line="360" w:lineRule="auto"/>
        <w:jc w:val="both"/>
        <w:rPr>
          <w:rFonts w:ascii="Arial" w:hAnsi="Arial" w:cs="Arial"/>
          <w:i/>
          <w:color w:val="000000" w:themeColor="text1"/>
        </w:rPr>
      </w:pPr>
      <w:r w:rsidRPr="00B42628">
        <w:rPr>
          <w:rFonts w:ascii="Arial" w:hAnsi="Arial" w:cs="Arial"/>
          <w:color w:val="000000" w:themeColor="text1"/>
        </w:rPr>
        <w:t xml:space="preserve">Fischer, T.B.; Therivel, R.; Bond, A.; Fothergill, J. and Marshall, R. 2016. The revised EIA Directive – possible implications for practice in England, </w:t>
      </w:r>
      <w:r w:rsidRPr="00B42628">
        <w:rPr>
          <w:rFonts w:ascii="Arial" w:hAnsi="Arial" w:cs="Arial"/>
          <w:i/>
          <w:color w:val="000000" w:themeColor="text1"/>
        </w:rPr>
        <w:t>UVP Report</w:t>
      </w:r>
      <w:r w:rsidRPr="00B42628">
        <w:rPr>
          <w:rFonts w:ascii="Arial" w:hAnsi="Arial" w:cs="Arial"/>
          <w:color w:val="000000" w:themeColor="text1"/>
        </w:rPr>
        <w:t xml:space="preserve">, </w:t>
      </w:r>
      <w:r w:rsidRPr="00B42628">
        <w:rPr>
          <w:rFonts w:ascii="Arial" w:hAnsi="Arial" w:cs="Arial"/>
          <w:bCs/>
          <w:color w:val="000000" w:themeColor="text1"/>
          <w:lang w:eastAsia="en-GB"/>
        </w:rPr>
        <w:t xml:space="preserve">30(2):  106-112; </w:t>
      </w:r>
      <w:hyperlink r:id="rId11" w:history="1">
        <w:r w:rsidRPr="00B42628">
          <w:rPr>
            <w:rStyle w:val="Hyperlink"/>
            <w:rFonts w:ascii="Arial" w:hAnsi="Arial" w:cs="Arial"/>
            <w:color w:val="000000" w:themeColor="text1"/>
          </w:rPr>
          <w:t>http://www.uvp.de/de/uvp-report/jg30/jg30h2/866-uvp-report-030-19</w:t>
        </w:r>
      </w:hyperlink>
      <w:r w:rsidRPr="00B42628">
        <w:rPr>
          <w:rFonts w:ascii="Arial" w:hAnsi="Arial" w:cs="Arial"/>
          <w:i/>
          <w:color w:val="000000" w:themeColor="text1"/>
        </w:rPr>
        <w:t>.</w:t>
      </w:r>
    </w:p>
    <w:p w14:paraId="062D31D3" w14:textId="77777777" w:rsidR="00B67326" w:rsidRPr="00B42628" w:rsidRDefault="00B67326" w:rsidP="003A38B7">
      <w:pPr>
        <w:spacing w:after="0" w:line="360" w:lineRule="auto"/>
        <w:jc w:val="both"/>
        <w:rPr>
          <w:rFonts w:ascii="Arial" w:hAnsi="Arial" w:cs="Arial"/>
          <w:color w:val="000000" w:themeColor="text1"/>
        </w:rPr>
      </w:pPr>
    </w:p>
    <w:p w14:paraId="0EDD114F" w14:textId="77777777" w:rsidR="009B025D" w:rsidRPr="00B42628" w:rsidRDefault="009B025D" w:rsidP="009B025D">
      <w:pPr>
        <w:pStyle w:val="msonospacing0"/>
        <w:spacing w:line="360" w:lineRule="auto"/>
        <w:rPr>
          <w:rFonts w:ascii="Arial" w:hAnsi="Arial" w:cs="Arial"/>
        </w:rPr>
      </w:pPr>
      <w:r w:rsidRPr="00B42628">
        <w:rPr>
          <w:rFonts w:ascii="Arial" w:hAnsi="Arial" w:cs="Arial"/>
        </w:rPr>
        <w:t xml:space="preserve">Fischer, T. B. and Onyango, V. 2012. </w:t>
      </w:r>
      <w:r w:rsidRPr="00B42628">
        <w:rPr>
          <w:rFonts w:ascii="Arial" w:hAnsi="Arial" w:cs="Arial"/>
          <w:bCs/>
        </w:rPr>
        <w:t>SEA related research projects and journal articles: an overview of the past 20 years</w:t>
      </w:r>
      <w:r w:rsidRPr="00B42628">
        <w:rPr>
          <w:rFonts w:ascii="Arial" w:hAnsi="Arial" w:cs="Arial"/>
        </w:rPr>
        <w:t xml:space="preserve">, </w:t>
      </w:r>
      <w:r w:rsidRPr="00B42628">
        <w:rPr>
          <w:rFonts w:ascii="Arial" w:hAnsi="Arial" w:cs="Arial"/>
          <w:i/>
        </w:rPr>
        <w:t>Impact Assessment and Project Appraisal</w:t>
      </w:r>
      <w:r w:rsidRPr="00B42628">
        <w:rPr>
          <w:rFonts w:ascii="Arial" w:hAnsi="Arial" w:cs="Arial"/>
        </w:rPr>
        <w:t>, 30(4): 253-263.</w:t>
      </w:r>
    </w:p>
    <w:p w14:paraId="51EDAE85" w14:textId="77777777" w:rsidR="009B025D" w:rsidRPr="00B42628" w:rsidRDefault="009B025D" w:rsidP="009B025D">
      <w:pPr>
        <w:spacing w:after="0" w:line="360" w:lineRule="auto"/>
        <w:jc w:val="both"/>
        <w:rPr>
          <w:rFonts w:ascii="Arial" w:hAnsi="Arial" w:cs="Arial"/>
          <w:color w:val="000000" w:themeColor="text1"/>
        </w:rPr>
      </w:pPr>
    </w:p>
    <w:p w14:paraId="264D09F5" w14:textId="77777777" w:rsidR="00B67326" w:rsidRPr="00B42628" w:rsidRDefault="00B67326" w:rsidP="00B67326">
      <w:pPr>
        <w:spacing w:after="0" w:line="360" w:lineRule="auto"/>
        <w:rPr>
          <w:rFonts w:ascii="Arial" w:hAnsi="Arial" w:cs="Arial"/>
        </w:rPr>
      </w:pPr>
      <w:r w:rsidRPr="00B42628">
        <w:rPr>
          <w:rFonts w:ascii="Arial" w:hAnsi="Arial" w:cs="Arial"/>
          <w:color w:val="000000" w:themeColor="text1"/>
        </w:rPr>
        <w:t xml:space="preserve">Khosravi, F., Jha-Thakur, U. and Fischer, T. B. 2019. </w:t>
      </w:r>
      <w:r w:rsidRPr="00B42628">
        <w:rPr>
          <w:rFonts w:ascii="Arial" w:hAnsi="Arial" w:cs="Arial"/>
        </w:rPr>
        <w:t xml:space="preserve">The role of environmental assessment (EA) in Iranian water management, </w:t>
      </w:r>
      <w:r w:rsidRPr="00B42628">
        <w:rPr>
          <w:rFonts w:ascii="Arial" w:hAnsi="Arial" w:cs="Arial"/>
          <w:i/>
        </w:rPr>
        <w:t>Impact Assessment and Project Appraisal</w:t>
      </w:r>
      <w:r w:rsidRPr="00B42628">
        <w:rPr>
          <w:rFonts w:ascii="Arial" w:hAnsi="Arial" w:cs="Arial"/>
        </w:rPr>
        <w:t xml:space="preserve"> 37 (1): 57-70.</w:t>
      </w:r>
    </w:p>
    <w:p w14:paraId="7483D1DE" w14:textId="77777777" w:rsidR="00034834" w:rsidRPr="00B42628" w:rsidRDefault="00034834" w:rsidP="00034834">
      <w:pPr>
        <w:pStyle w:val="Heading1"/>
        <w:spacing w:line="360" w:lineRule="auto"/>
        <w:rPr>
          <w:rFonts w:ascii="Arial" w:hAnsi="Arial" w:cs="Arial"/>
          <w:b w:val="0"/>
          <w:sz w:val="22"/>
          <w:szCs w:val="22"/>
        </w:rPr>
      </w:pPr>
      <w:r w:rsidRPr="00B42628">
        <w:rPr>
          <w:rFonts w:ascii="Arial" w:hAnsi="Arial" w:cs="Arial"/>
          <w:b w:val="0"/>
          <w:color w:val="000000" w:themeColor="text1"/>
          <w:sz w:val="22"/>
          <w:szCs w:val="22"/>
        </w:rPr>
        <w:t xml:space="preserve">Morrison-Saunders, A., Pope, J., Gunn, J. A. E., Bond, A. and Retief, F. 2014. </w:t>
      </w:r>
      <w:r w:rsidRPr="00B42628">
        <w:rPr>
          <w:rFonts w:ascii="Arial" w:hAnsi="Arial" w:cs="Arial"/>
          <w:b w:val="0"/>
          <w:sz w:val="22"/>
          <w:szCs w:val="22"/>
        </w:rPr>
        <w:t xml:space="preserve">Strengthening impact assessment: a call for integration and focus, </w:t>
      </w:r>
      <w:r w:rsidRPr="00B42628">
        <w:rPr>
          <w:rFonts w:ascii="Arial" w:hAnsi="Arial" w:cs="Arial"/>
          <w:b w:val="0"/>
          <w:i/>
          <w:sz w:val="22"/>
          <w:szCs w:val="22"/>
        </w:rPr>
        <w:t>Impact Assessment and Project Appraisal</w:t>
      </w:r>
      <w:r w:rsidRPr="00B42628">
        <w:rPr>
          <w:rFonts w:ascii="Arial" w:hAnsi="Arial" w:cs="Arial"/>
          <w:b w:val="0"/>
          <w:sz w:val="22"/>
          <w:szCs w:val="22"/>
        </w:rPr>
        <w:t>, 32: 2-8.</w:t>
      </w:r>
    </w:p>
    <w:p w14:paraId="00173800" w14:textId="178E33F1" w:rsidR="003D2158" w:rsidRPr="00B42628" w:rsidRDefault="003D2158" w:rsidP="00034834">
      <w:pPr>
        <w:pStyle w:val="msonospacing0"/>
        <w:spacing w:line="360" w:lineRule="auto"/>
        <w:rPr>
          <w:rFonts w:ascii="Arial" w:hAnsi="Arial" w:cs="Arial"/>
          <w:color w:val="000000" w:themeColor="text1"/>
        </w:rPr>
      </w:pPr>
      <w:proofErr w:type="spellStart"/>
      <w:r w:rsidRPr="00B42628">
        <w:rPr>
          <w:rFonts w:ascii="Arial" w:hAnsi="Arial" w:cs="Arial"/>
          <w:color w:val="000000" w:themeColor="text1"/>
        </w:rPr>
        <w:t>Nielsson</w:t>
      </w:r>
      <w:proofErr w:type="spellEnd"/>
      <w:r w:rsidRPr="00B42628">
        <w:rPr>
          <w:rFonts w:ascii="Arial" w:hAnsi="Arial" w:cs="Arial"/>
          <w:color w:val="000000" w:themeColor="text1"/>
        </w:rPr>
        <w:t xml:space="preserve">, M. (2009) ‘On (re)focusing SEA on the natural environment’ </w:t>
      </w:r>
      <w:r w:rsidRPr="00B42628">
        <w:rPr>
          <w:rFonts w:ascii="Arial" w:hAnsi="Arial" w:cs="Arial"/>
          <w:i/>
          <w:iCs/>
          <w:color w:val="000000" w:themeColor="text1"/>
        </w:rPr>
        <w:t xml:space="preserve">Environmental Impact Assessment Review </w:t>
      </w:r>
      <w:r w:rsidRPr="00B42628">
        <w:rPr>
          <w:rFonts w:ascii="Arial" w:hAnsi="Arial" w:cs="Arial"/>
          <w:color w:val="000000" w:themeColor="text1"/>
        </w:rPr>
        <w:t xml:space="preserve">29: 76–77. </w:t>
      </w:r>
    </w:p>
    <w:p w14:paraId="456B6C68" w14:textId="77777777" w:rsidR="005D6E5D" w:rsidRPr="00B42628" w:rsidRDefault="005D6E5D" w:rsidP="00034834">
      <w:pPr>
        <w:pStyle w:val="msonospacing0"/>
        <w:spacing w:line="360" w:lineRule="auto"/>
        <w:rPr>
          <w:rFonts w:ascii="Arial" w:hAnsi="Arial" w:cs="Arial"/>
          <w:color w:val="000000" w:themeColor="text1"/>
        </w:rPr>
      </w:pPr>
    </w:p>
    <w:p w14:paraId="72575A84" w14:textId="4FFBFEE2" w:rsidR="001D2C3E" w:rsidRPr="008D724D" w:rsidRDefault="001D2C3E" w:rsidP="003A38B7">
      <w:pPr>
        <w:pStyle w:val="msonospacing0"/>
        <w:spacing w:line="360" w:lineRule="auto"/>
        <w:rPr>
          <w:rFonts w:ascii="Arial" w:hAnsi="Arial" w:cs="Arial"/>
        </w:rPr>
      </w:pPr>
      <w:r w:rsidRPr="001D2C3E">
        <w:rPr>
          <w:rFonts w:ascii="Arial" w:hAnsi="Arial" w:cs="Arial"/>
          <w:color w:val="222222"/>
          <w:shd w:val="clear" w:color="auto" w:fill="FFFFFF"/>
        </w:rPr>
        <w:t>Orenstein, M. (2017). Emerging Technology and the Future of Impact Ass</w:t>
      </w:r>
      <w:r w:rsidRPr="003711D0">
        <w:rPr>
          <w:rFonts w:ascii="Arial" w:hAnsi="Arial" w:cs="Arial"/>
          <w:color w:val="222222"/>
          <w:shd w:val="clear" w:color="auto" w:fill="FFFFFF"/>
        </w:rPr>
        <w:t xml:space="preserve">essment. </w:t>
      </w:r>
      <w:r w:rsidRPr="001D2C3E">
        <w:rPr>
          <w:rFonts w:ascii="Arial" w:hAnsi="Arial" w:cs="Arial"/>
          <w:color w:val="222222"/>
          <w:shd w:val="clear" w:color="auto" w:fill="FFFFFF"/>
        </w:rPr>
        <w:t xml:space="preserve">International Association for Impact Assessment Blog post. Available: </w:t>
      </w:r>
      <w:hyperlink r:id="rId12" w:history="1">
        <w:r w:rsidRPr="008D724D">
          <w:rPr>
            <w:rStyle w:val="Hyperlink"/>
            <w:rFonts w:ascii="Arial" w:hAnsi="Arial" w:cs="Arial"/>
          </w:rPr>
          <w:t>https://www.linkedin.com/pulse/emerging-technology-future-impact-assessment-marla-orenstein/</w:t>
        </w:r>
      </w:hyperlink>
      <w:r w:rsidRPr="008D724D">
        <w:rPr>
          <w:rFonts w:ascii="Arial" w:hAnsi="Arial" w:cs="Arial"/>
        </w:rPr>
        <w:t xml:space="preserve">. </w:t>
      </w:r>
    </w:p>
    <w:p w14:paraId="116DFE65" w14:textId="77777777" w:rsidR="001D2C3E" w:rsidRDefault="001D2C3E" w:rsidP="003A38B7">
      <w:pPr>
        <w:pStyle w:val="msonospacing0"/>
        <w:spacing w:line="360" w:lineRule="auto"/>
        <w:rPr>
          <w:rFonts w:ascii="Arial" w:hAnsi="Arial" w:cs="Arial"/>
          <w:color w:val="222222"/>
          <w:shd w:val="clear" w:color="auto" w:fill="FFFFFF"/>
        </w:rPr>
      </w:pPr>
    </w:p>
    <w:p w14:paraId="15CBFF57" w14:textId="63D4B602" w:rsidR="003D2158" w:rsidRPr="00B42628" w:rsidRDefault="005D6E5D" w:rsidP="003A38B7">
      <w:pPr>
        <w:pStyle w:val="msonospacing0"/>
        <w:spacing w:line="360" w:lineRule="auto"/>
        <w:rPr>
          <w:rFonts w:ascii="Arial" w:hAnsi="Arial" w:cs="Arial"/>
          <w:color w:val="000000" w:themeColor="text1"/>
        </w:rPr>
      </w:pPr>
      <w:r w:rsidRPr="00B42628">
        <w:rPr>
          <w:rFonts w:ascii="Arial" w:hAnsi="Arial" w:cs="Arial"/>
          <w:color w:val="222222"/>
          <w:shd w:val="clear" w:color="auto" w:fill="FFFFFF"/>
        </w:rPr>
        <w:t>Retief, F., Bond, A., Pope, J., Morrison-Saunders, A. and King, N., 2016. Global megatrends and their implications for environmental assessment practice. </w:t>
      </w:r>
      <w:r w:rsidRPr="00B42628">
        <w:rPr>
          <w:rFonts w:ascii="Arial" w:hAnsi="Arial" w:cs="Arial"/>
          <w:i/>
          <w:iCs/>
          <w:color w:val="222222"/>
          <w:shd w:val="clear" w:color="auto" w:fill="FFFFFF"/>
        </w:rPr>
        <w:t>Environmental Impact Assessment Review</w:t>
      </w:r>
      <w:r w:rsidRPr="00B42628">
        <w:rPr>
          <w:rFonts w:ascii="Arial" w:hAnsi="Arial" w:cs="Arial"/>
          <w:color w:val="222222"/>
          <w:shd w:val="clear" w:color="auto" w:fill="FFFFFF"/>
        </w:rPr>
        <w:t>, </w:t>
      </w:r>
      <w:r w:rsidRPr="00B42628">
        <w:rPr>
          <w:rFonts w:ascii="Arial" w:hAnsi="Arial" w:cs="Arial"/>
          <w:i/>
          <w:iCs/>
          <w:color w:val="222222"/>
          <w:shd w:val="clear" w:color="auto" w:fill="FFFFFF"/>
        </w:rPr>
        <w:t>61</w:t>
      </w:r>
      <w:r w:rsidRPr="00B42628">
        <w:rPr>
          <w:rFonts w:ascii="Arial" w:hAnsi="Arial" w:cs="Arial"/>
          <w:color w:val="222222"/>
          <w:shd w:val="clear" w:color="auto" w:fill="FFFFFF"/>
        </w:rPr>
        <w:t>, pp.52-60.</w:t>
      </w:r>
    </w:p>
    <w:p w14:paraId="122357A2" w14:textId="77777777" w:rsidR="005D6E5D" w:rsidRPr="00B42628" w:rsidRDefault="005D6E5D" w:rsidP="003A38B7">
      <w:pPr>
        <w:pStyle w:val="msonospacing0"/>
        <w:spacing w:line="360" w:lineRule="auto"/>
        <w:rPr>
          <w:rFonts w:ascii="Arial" w:hAnsi="Arial" w:cs="Arial"/>
          <w:color w:val="000000" w:themeColor="text1"/>
        </w:rPr>
      </w:pPr>
    </w:p>
    <w:p w14:paraId="4E0F6DF2" w14:textId="452AB30A" w:rsidR="00C115B2" w:rsidRPr="00B42628" w:rsidRDefault="00C115B2" w:rsidP="003A38B7">
      <w:pPr>
        <w:pStyle w:val="msonospacing0"/>
        <w:spacing w:line="360" w:lineRule="auto"/>
        <w:rPr>
          <w:rFonts w:ascii="Arial" w:hAnsi="Arial" w:cs="Arial"/>
          <w:color w:val="000000" w:themeColor="text1"/>
        </w:rPr>
      </w:pPr>
      <w:r w:rsidRPr="00B42628">
        <w:rPr>
          <w:rFonts w:ascii="Arial" w:hAnsi="Arial" w:cs="Arial"/>
          <w:color w:val="000000" w:themeColor="text1"/>
        </w:rPr>
        <w:t xml:space="preserve">Tajima, R. and Fischer, T. B. </w:t>
      </w:r>
      <w:bookmarkStart w:id="1" w:name="_Toc302398634"/>
      <w:r w:rsidRPr="00B42628">
        <w:rPr>
          <w:rFonts w:ascii="Arial" w:hAnsi="Arial" w:cs="Arial"/>
          <w:color w:val="000000" w:themeColor="text1"/>
        </w:rPr>
        <w:t xml:space="preserve">2013. </w:t>
      </w:r>
      <w:bookmarkEnd w:id="1"/>
      <w:r w:rsidRPr="00B42628">
        <w:rPr>
          <w:rFonts w:ascii="Arial" w:hAnsi="Arial" w:cs="Arial"/>
          <w:color w:val="000000" w:themeColor="text1"/>
        </w:rPr>
        <w:t xml:space="preserve">Should different impact assessment instruments be integrated? Evidence from English spatial planning, </w:t>
      </w:r>
      <w:r w:rsidRPr="00B42628">
        <w:rPr>
          <w:rFonts w:ascii="Arial" w:hAnsi="Arial" w:cs="Arial"/>
          <w:i/>
          <w:color w:val="000000" w:themeColor="text1"/>
        </w:rPr>
        <w:t xml:space="preserve">Environmental Impact Assessment Review, </w:t>
      </w:r>
      <w:r w:rsidRPr="00B42628">
        <w:rPr>
          <w:rFonts w:ascii="Arial" w:hAnsi="Arial" w:cs="Arial"/>
          <w:color w:val="000000" w:themeColor="text1"/>
        </w:rPr>
        <w:t>41: 29-37.</w:t>
      </w:r>
    </w:p>
    <w:p w14:paraId="40F9AD08" w14:textId="77777777" w:rsidR="008D50E1" w:rsidRPr="00B42628" w:rsidRDefault="008D50E1" w:rsidP="003A38B7">
      <w:pPr>
        <w:spacing w:after="0" w:line="360" w:lineRule="auto"/>
        <w:rPr>
          <w:rFonts w:ascii="Arial" w:hAnsi="Arial" w:cs="Arial"/>
          <w:color w:val="000000" w:themeColor="text1"/>
        </w:rPr>
      </w:pPr>
      <w:r w:rsidRPr="00B42628">
        <w:rPr>
          <w:rFonts w:ascii="Arial" w:hAnsi="Arial" w:cs="Arial"/>
          <w:color w:val="000000" w:themeColor="text1"/>
        </w:rPr>
        <w:t xml:space="preserve"> </w:t>
      </w:r>
    </w:p>
    <w:p w14:paraId="456FE48C" w14:textId="77777777" w:rsidR="00C115B2" w:rsidRPr="00B42628" w:rsidRDefault="008D50E1" w:rsidP="003A38B7">
      <w:pPr>
        <w:spacing w:after="0" w:line="360" w:lineRule="auto"/>
        <w:rPr>
          <w:rFonts w:ascii="Arial" w:hAnsi="Arial" w:cs="Arial"/>
          <w:color w:val="000000" w:themeColor="text1"/>
        </w:rPr>
      </w:pPr>
      <w:r w:rsidRPr="00B42628">
        <w:rPr>
          <w:rFonts w:ascii="Arial" w:hAnsi="Arial" w:cs="Arial"/>
          <w:color w:val="000000" w:themeColor="text1"/>
        </w:rPr>
        <w:t xml:space="preserve">Therivel, R. and Gonzalez, A. 2019. Introducing SEA effectiveness, </w:t>
      </w:r>
      <w:r w:rsidR="00D95301" w:rsidRPr="00B42628">
        <w:rPr>
          <w:rFonts w:ascii="Arial" w:hAnsi="Arial" w:cs="Arial"/>
          <w:i/>
          <w:color w:val="000000" w:themeColor="text1"/>
        </w:rPr>
        <w:t>Impact Assessment and Project Appraisal</w:t>
      </w:r>
      <w:r w:rsidR="00D95301" w:rsidRPr="00B42628">
        <w:rPr>
          <w:rFonts w:ascii="Arial" w:hAnsi="Arial" w:cs="Arial"/>
          <w:color w:val="000000" w:themeColor="text1"/>
        </w:rPr>
        <w:t xml:space="preserve">, </w:t>
      </w:r>
      <w:r w:rsidRPr="00B42628">
        <w:rPr>
          <w:rFonts w:ascii="Arial" w:hAnsi="Arial" w:cs="Arial"/>
          <w:color w:val="000000" w:themeColor="text1"/>
        </w:rPr>
        <w:t>37 (3+4).</w:t>
      </w:r>
    </w:p>
    <w:p w14:paraId="709FA420" w14:textId="7FC61251" w:rsidR="00D95301" w:rsidRPr="00B42628" w:rsidRDefault="00D95301" w:rsidP="003A38B7">
      <w:pPr>
        <w:spacing w:after="0" w:line="360" w:lineRule="auto"/>
        <w:rPr>
          <w:rFonts w:ascii="Arial" w:hAnsi="Arial" w:cs="Arial"/>
          <w:color w:val="000000" w:themeColor="text1"/>
        </w:rPr>
      </w:pPr>
    </w:p>
    <w:p w14:paraId="6CB9A53C" w14:textId="2541B98D" w:rsidR="00C839DA" w:rsidRPr="00B42628" w:rsidRDefault="00C839DA" w:rsidP="003A38B7">
      <w:pPr>
        <w:spacing w:after="0" w:line="360" w:lineRule="auto"/>
        <w:rPr>
          <w:rFonts w:ascii="Arial" w:hAnsi="Arial" w:cs="Arial"/>
          <w:color w:val="000000" w:themeColor="text1"/>
        </w:rPr>
      </w:pPr>
      <w:r w:rsidRPr="00B42628">
        <w:rPr>
          <w:rFonts w:ascii="Arial" w:hAnsi="Arial" w:cs="Arial"/>
          <w:color w:val="000000" w:themeColor="text1"/>
        </w:rPr>
        <w:t xml:space="preserve">UNEP (United Nations Environment Programme). 2019. Emissions Gap Report: 2019. United Nations: Geneva.  </w:t>
      </w:r>
    </w:p>
    <w:p w14:paraId="4468CA3D" w14:textId="77777777" w:rsidR="00B33B34" w:rsidRPr="00B42628" w:rsidRDefault="00B33B34" w:rsidP="003A38B7">
      <w:pPr>
        <w:spacing w:after="0" w:line="360" w:lineRule="auto"/>
        <w:rPr>
          <w:rFonts w:ascii="Arial" w:hAnsi="Arial" w:cs="Arial"/>
          <w:color w:val="222222"/>
          <w:shd w:val="clear" w:color="auto" w:fill="FFFFFF"/>
        </w:rPr>
      </w:pPr>
    </w:p>
    <w:p w14:paraId="66A269EA" w14:textId="7C28B088" w:rsidR="00C839DA" w:rsidRPr="00B42628" w:rsidRDefault="00B33B34" w:rsidP="003A38B7">
      <w:pPr>
        <w:spacing w:after="0" w:line="360" w:lineRule="auto"/>
        <w:rPr>
          <w:rFonts w:ascii="Arial" w:hAnsi="Arial" w:cs="Arial"/>
          <w:color w:val="000000" w:themeColor="text1"/>
        </w:rPr>
      </w:pPr>
      <w:r w:rsidRPr="00B42628">
        <w:rPr>
          <w:rFonts w:ascii="Arial" w:hAnsi="Arial" w:cs="Arial"/>
          <w:color w:val="222222"/>
          <w:shd w:val="clear" w:color="auto" w:fill="FFFFFF"/>
        </w:rPr>
        <w:lastRenderedPageBreak/>
        <w:t xml:space="preserve">Vanclay, F., Esteves, A.M., Aucamp, I. and Franks, D.M., 2015. Social Impact Assessment: Guidance for assessing and managing the social impacts of projects. Fargo: International Association for Impact Assessment. </w:t>
      </w:r>
    </w:p>
    <w:p w14:paraId="0009C776" w14:textId="77777777" w:rsidR="00B33B34" w:rsidRPr="00B42628" w:rsidRDefault="00B33B34" w:rsidP="003A38B7">
      <w:pPr>
        <w:spacing w:after="0" w:line="360" w:lineRule="auto"/>
        <w:rPr>
          <w:rFonts w:ascii="Arial" w:hAnsi="Arial" w:cs="Arial"/>
          <w:color w:val="000000" w:themeColor="text1"/>
        </w:rPr>
      </w:pPr>
    </w:p>
    <w:p w14:paraId="37685497" w14:textId="032365EC" w:rsidR="00D95301" w:rsidRPr="00B42628" w:rsidRDefault="00D95301" w:rsidP="003A38B7">
      <w:pPr>
        <w:spacing w:after="0" w:line="360" w:lineRule="auto"/>
        <w:rPr>
          <w:rFonts w:ascii="Arial" w:hAnsi="Arial" w:cs="Arial"/>
          <w:color w:val="000000" w:themeColor="text1"/>
        </w:rPr>
      </w:pPr>
      <w:r w:rsidRPr="00B42628">
        <w:rPr>
          <w:rFonts w:ascii="Arial" w:hAnsi="Arial" w:cs="Arial"/>
          <w:color w:val="000000" w:themeColor="text1"/>
        </w:rPr>
        <w:t xml:space="preserve">Vanclay, F. and Kemp, D. 2017. Displacement, Resettlement and </w:t>
      </w:r>
      <w:proofErr w:type="spellStart"/>
      <w:r w:rsidRPr="00B42628">
        <w:rPr>
          <w:rFonts w:ascii="Arial" w:hAnsi="Arial" w:cs="Arial"/>
          <w:color w:val="000000" w:themeColor="text1"/>
        </w:rPr>
        <w:t>Liverlihoods</w:t>
      </w:r>
      <w:proofErr w:type="spellEnd"/>
      <w:r w:rsidRPr="00B42628">
        <w:rPr>
          <w:rFonts w:ascii="Arial" w:hAnsi="Arial" w:cs="Arial"/>
          <w:color w:val="000000" w:themeColor="text1"/>
        </w:rPr>
        <w:t xml:space="preserve">. </w:t>
      </w:r>
      <w:r w:rsidRPr="00B42628">
        <w:rPr>
          <w:rFonts w:ascii="Arial" w:hAnsi="Arial" w:cs="Arial"/>
          <w:i/>
          <w:color w:val="000000" w:themeColor="text1"/>
        </w:rPr>
        <w:t>Impact Assessment and Project Appraisal</w:t>
      </w:r>
      <w:r w:rsidRPr="00B42628">
        <w:rPr>
          <w:rFonts w:ascii="Arial" w:hAnsi="Arial" w:cs="Arial"/>
          <w:color w:val="000000" w:themeColor="text1"/>
        </w:rPr>
        <w:t>, 36(1): 2.</w:t>
      </w:r>
    </w:p>
    <w:sectPr w:rsidR="00D95301" w:rsidRPr="00B42628" w:rsidSect="00734CF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09DD" w14:textId="77777777" w:rsidR="00B70EC7" w:rsidRDefault="00B70EC7" w:rsidP="00B433BD">
      <w:pPr>
        <w:spacing w:after="0" w:line="240" w:lineRule="auto"/>
      </w:pPr>
      <w:r>
        <w:separator/>
      </w:r>
    </w:p>
  </w:endnote>
  <w:endnote w:type="continuationSeparator" w:id="0">
    <w:p w14:paraId="4E565435" w14:textId="77777777" w:rsidR="00B70EC7" w:rsidRDefault="00B70EC7" w:rsidP="00B4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908475"/>
      <w:docPartObj>
        <w:docPartGallery w:val="Page Numbers (Bottom of Page)"/>
        <w:docPartUnique/>
      </w:docPartObj>
    </w:sdtPr>
    <w:sdtEndPr>
      <w:rPr>
        <w:noProof/>
      </w:rPr>
    </w:sdtEndPr>
    <w:sdtContent>
      <w:p w14:paraId="4F5C12D6" w14:textId="5D57B660" w:rsidR="00B433BD" w:rsidRDefault="00B433BD">
        <w:pPr>
          <w:pStyle w:val="Footer"/>
          <w:jc w:val="right"/>
        </w:pPr>
        <w:r>
          <w:fldChar w:fldCharType="begin"/>
        </w:r>
        <w:r>
          <w:instrText xml:space="preserve"> PAGE   \* MERGEFORMAT </w:instrText>
        </w:r>
        <w:r>
          <w:fldChar w:fldCharType="separate"/>
        </w:r>
        <w:r w:rsidR="00322ED4">
          <w:rPr>
            <w:noProof/>
          </w:rPr>
          <w:t>7</w:t>
        </w:r>
        <w:r>
          <w:rPr>
            <w:noProof/>
          </w:rPr>
          <w:fldChar w:fldCharType="end"/>
        </w:r>
      </w:p>
    </w:sdtContent>
  </w:sdt>
  <w:p w14:paraId="7415ABB2" w14:textId="77777777" w:rsidR="00B433BD" w:rsidRDefault="00B4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0315" w14:textId="77777777" w:rsidR="00B70EC7" w:rsidRDefault="00B70EC7" w:rsidP="00B433BD">
      <w:pPr>
        <w:spacing w:after="0" w:line="240" w:lineRule="auto"/>
      </w:pPr>
      <w:r>
        <w:separator/>
      </w:r>
    </w:p>
  </w:footnote>
  <w:footnote w:type="continuationSeparator" w:id="0">
    <w:p w14:paraId="2124CB36" w14:textId="77777777" w:rsidR="00B70EC7" w:rsidRDefault="00B70EC7" w:rsidP="00B4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6FA6"/>
    <w:multiLevelType w:val="hybridMultilevel"/>
    <w:tmpl w:val="F854685C"/>
    <w:lvl w:ilvl="0" w:tplc="02585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F4EC4"/>
    <w:multiLevelType w:val="hybridMultilevel"/>
    <w:tmpl w:val="F528979A"/>
    <w:lvl w:ilvl="0" w:tplc="5854D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6762E"/>
    <w:multiLevelType w:val="hybridMultilevel"/>
    <w:tmpl w:val="1398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65BF7"/>
    <w:multiLevelType w:val="multilevel"/>
    <w:tmpl w:val="A49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179DE"/>
    <w:multiLevelType w:val="hybridMultilevel"/>
    <w:tmpl w:val="ADF89364"/>
    <w:lvl w:ilvl="0" w:tplc="5E6818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A2"/>
    <w:rsid w:val="00000B20"/>
    <w:rsid w:val="00032188"/>
    <w:rsid w:val="00034834"/>
    <w:rsid w:val="00040B63"/>
    <w:rsid w:val="000629FF"/>
    <w:rsid w:val="0007412D"/>
    <w:rsid w:val="00075BBD"/>
    <w:rsid w:val="00080C07"/>
    <w:rsid w:val="00084A0D"/>
    <w:rsid w:val="00085300"/>
    <w:rsid w:val="000D22FF"/>
    <w:rsid w:val="000D4900"/>
    <w:rsid w:val="000D677F"/>
    <w:rsid w:val="000D7711"/>
    <w:rsid w:val="000E600A"/>
    <w:rsid w:val="000F7AF2"/>
    <w:rsid w:val="00105FB2"/>
    <w:rsid w:val="00112B88"/>
    <w:rsid w:val="00142210"/>
    <w:rsid w:val="001B4B40"/>
    <w:rsid w:val="001D2C3E"/>
    <w:rsid w:val="00244CDE"/>
    <w:rsid w:val="00262D28"/>
    <w:rsid w:val="002A18F3"/>
    <w:rsid w:val="002A1CE5"/>
    <w:rsid w:val="002C59C2"/>
    <w:rsid w:val="00322ED4"/>
    <w:rsid w:val="00341639"/>
    <w:rsid w:val="00362BD8"/>
    <w:rsid w:val="003711D0"/>
    <w:rsid w:val="003812B0"/>
    <w:rsid w:val="003851DB"/>
    <w:rsid w:val="003A38B7"/>
    <w:rsid w:val="003A3A50"/>
    <w:rsid w:val="003D2158"/>
    <w:rsid w:val="003F34D5"/>
    <w:rsid w:val="004175F5"/>
    <w:rsid w:val="004343D3"/>
    <w:rsid w:val="004514F8"/>
    <w:rsid w:val="00486F7F"/>
    <w:rsid w:val="004876EB"/>
    <w:rsid w:val="004908DD"/>
    <w:rsid w:val="004B4FA2"/>
    <w:rsid w:val="004D4556"/>
    <w:rsid w:val="004D7FBE"/>
    <w:rsid w:val="004E3E7F"/>
    <w:rsid w:val="00515C35"/>
    <w:rsid w:val="005557D6"/>
    <w:rsid w:val="005679E7"/>
    <w:rsid w:val="00581ABF"/>
    <w:rsid w:val="00597855"/>
    <w:rsid w:val="005C0E22"/>
    <w:rsid w:val="005D6E5D"/>
    <w:rsid w:val="005E41C6"/>
    <w:rsid w:val="005F24D2"/>
    <w:rsid w:val="005F4035"/>
    <w:rsid w:val="005F4FC2"/>
    <w:rsid w:val="006036F3"/>
    <w:rsid w:val="00660592"/>
    <w:rsid w:val="00662A9F"/>
    <w:rsid w:val="006764A6"/>
    <w:rsid w:val="00683584"/>
    <w:rsid w:val="00691B4F"/>
    <w:rsid w:val="00697206"/>
    <w:rsid w:val="006C2436"/>
    <w:rsid w:val="006E17FF"/>
    <w:rsid w:val="00720DE6"/>
    <w:rsid w:val="00726004"/>
    <w:rsid w:val="00734CF9"/>
    <w:rsid w:val="007429AC"/>
    <w:rsid w:val="00771623"/>
    <w:rsid w:val="00790B7B"/>
    <w:rsid w:val="007A681C"/>
    <w:rsid w:val="007A7D50"/>
    <w:rsid w:val="007B25EF"/>
    <w:rsid w:val="007E5E0C"/>
    <w:rsid w:val="007F68A4"/>
    <w:rsid w:val="0080081F"/>
    <w:rsid w:val="00806DE6"/>
    <w:rsid w:val="008074AA"/>
    <w:rsid w:val="008327A5"/>
    <w:rsid w:val="008663FF"/>
    <w:rsid w:val="008A1CEC"/>
    <w:rsid w:val="008D50E1"/>
    <w:rsid w:val="008D724D"/>
    <w:rsid w:val="009179E0"/>
    <w:rsid w:val="00941AD2"/>
    <w:rsid w:val="00950D27"/>
    <w:rsid w:val="009B025D"/>
    <w:rsid w:val="00A10FC5"/>
    <w:rsid w:val="00A36051"/>
    <w:rsid w:val="00A63124"/>
    <w:rsid w:val="00A8589B"/>
    <w:rsid w:val="00A92B9F"/>
    <w:rsid w:val="00A93221"/>
    <w:rsid w:val="00AB6E45"/>
    <w:rsid w:val="00AE4F22"/>
    <w:rsid w:val="00B070DA"/>
    <w:rsid w:val="00B15E87"/>
    <w:rsid w:val="00B33B34"/>
    <w:rsid w:val="00B42628"/>
    <w:rsid w:val="00B433BD"/>
    <w:rsid w:val="00B65FBE"/>
    <w:rsid w:val="00B67326"/>
    <w:rsid w:val="00B70E49"/>
    <w:rsid w:val="00B70EC7"/>
    <w:rsid w:val="00B74398"/>
    <w:rsid w:val="00BB0C95"/>
    <w:rsid w:val="00BD3517"/>
    <w:rsid w:val="00BD455C"/>
    <w:rsid w:val="00C0610F"/>
    <w:rsid w:val="00C07005"/>
    <w:rsid w:val="00C115B2"/>
    <w:rsid w:val="00C23C0F"/>
    <w:rsid w:val="00C376B9"/>
    <w:rsid w:val="00C704F0"/>
    <w:rsid w:val="00C839DA"/>
    <w:rsid w:val="00C91B57"/>
    <w:rsid w:val="00CA221A"/>
    <w:rsid w:val="00CC55C7"/>
    <w:rsid w:val="00CE3971"/>
    <w:rsid w:val="00CE611E"/>
    <w:rsid w:val="00CF2451"/>
    <w:rsid w:val="00D10856"/>
    <w:rsid w:val="00D37F62"/>
    <w:rsid w:val="00D41378"/>
    <w:rsid w:val="00D6746A"/>
    <w:rsid w:val="00D7722A"/>
    <w:rsid w:val="00D84C2C"/>
    <w:rsid w:val="00D95301"/>
    <w:rsid w:val="00D97936"/>
    <w:rsid w:val="00DC0174"/>
    <w:rsid w:val="00DD16A4"/>
    <w:rsid w:val="00E139A4"/>
    <w:rsid w:val="00E43A09"/>
    <w:rsid w:val="00E62FE9"/>
    <w:rsid w:val="00E741C5"/>
    <w:rsid w:val="00E920C9"/>
    <w:rsid w:val="00EB7AD3"/>
    <w:rsid w:val="00EC77D1"/>
    <w:rsid w:val="00EF1ED1"/>
    <w:rsid w:val="00EF3AFF"/>
    <w:rsid w:val="00EF6D4B"/>
    <w:rsid w:val="00F26F1F"/>
    <w:rsid w:val="00F4730E"/>
    <w:rsid w:val="00F473CC"/>
    <w:rsid w:val="00F502E7"/>
    <w:rsid w:val="00F74DE4"/>
    <w:rsid w:val="00FA3E58"/>
    <w:rsid w:val="00FC4C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299"/>
  <w15:docId w15:val="{988968AF-8DCA-48F6-ABCC-D218ACA7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CF9"/>
  </w:style>
  <w:style w:type="paragraph" w:styleId="Heading1">
    <w:name w:val="heading 1"/>
    <w:basedOn w:val="Normal"/>
    <w:link w:val="Heading1Char"/>
    <w:uiPriority w:val="9"/>
    <w:qFormat/>
    <w:rsid w:val="00034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20C9"/>
    <w:rPr>
      <w:color w:val="0000FF"/>
      <w:u w:val="single"/>
    </w:rPr>
  </w:style>
  <w:style w:type="paragraph" w:customStyle="1" w:styleId="msonospacing0">
    <w:name w:val="msonospacing"/>
    <w:basedOn w:val="Normal"/>
    <w:rsid w:val="00C115B2"/>
    <w:pPr>
      <w:spacing w:after="0" w:line="240" w:lineRule="auto"/>
    </w:pPr>
    <w:rPr>
      <w:rFonts w:ascii="Calibri" w:eastAsia="Calibri" w:hAnsi="Calibri" w:cs="Times New Roman"/>
      <w:lang w:eastAsia="en-GB"/>
    </w:rPr>
  </w:style>
  <w:style w:type="character" w:customStyle="1" w:styleId="articleentryauthorslinks">
    <w:name w:val="articleentryauthorslinks"/>
    <w:basedOn w:val="DefaultParagraphFont"/>
    <w:rsid w:val="00034834"/>
  </w:style>
  <w:style w:type="character" w:customStyle="1" w:styleId="Heading1Char">
    <w:name w:val="Heading 1 Char"/>
    <w:basedOn w:val="DefaultParagraphFont"/>
    <w:link w:val="Heading1"/>
    <w:uiPriority w:val="9"/>
    <w:rsid w:val="00034834"/>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034834"/>
  </w:style>
  <w:style w:type="paragraph" w:styleId="BalloonText">
    <w:name w:val="Balloon Text"/>
    <w:basedOn w:val="Normal"/>
    <w:link w:val="BalloonTextChar"/>
    <w:uiPriority w:val="99"/>
    <w:semiHidden/>
    <w:unhideWhenUsed/>
    <w:rsid w:val="00F2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1F"/>
    <w:rPr>
      <w:rFonts w:ascii="Segoe UI" w:hAnsi="Segoe UI" w:cs="Segoe UI"/>
      <w:sz w:val="18"/>
      <w:szCs w:val="18"/>
    </w:rPr>
  </w:style>
  <w:style w:type="character" w:styleId="CommentReference">
    <w:name w:val="annotation reference"/>
    <w:basedOn w:val="DefaultParagraphFont"/>
    <w:uiPriority w:val="99"/>
    <w:semiHidden/>
    <w:unhideWhenUsed/>
    <w:rsid w:val="00B070DA"/>
    <w:rPr>
      <w:sz w:val="16"/>
      <w:szCs w:val="16"/>
    </w:rPr>
  </w:style>
  <w:style w:type="paragraph" w:styleId="CommentText">
    <w:name w:val="annotation text"/>
    <w:basedOn w:val="Normal"/>
    <w:link w:val="CommentTextChar"/>
    <w:uiPriority w:val="99"/>
    <w:semiHidden/>
    <w:unhideWhenUsed/>
    <w:rsid w:val="00B070DA"/>
    <w:pPr>
      <w:spacing w:line="240" w:lineRule="auto"/>
    </w:pPr>
    <w:rPr>
      <w:sz w:val="20"/>
      <w:szCs w:val="20"/>
    </w:rPr>
  </w:style>
  <w:style w:type="character" w:customStyle="1" w:styleId="CommentTextChar">
    <w:name w:val="Comment Text Char"/>
    <w:basedOn w:val="DefaultParagraphFont"/>
    <w:link w:val="CommentText"/>
    <w:uiPriority w:val="99"/>
    <w:semiHidden/>
    <w:rsid w:val="00B070DA"/>
    <w:rPr>
      <w:sz w:val="20"/>
      <w:szCs w:val="20"/>
    </w:rPr>
  </w:style>
  <w:style w:type="paragraph" w:styleId="CommentSubject">
    <w:name w:val="annotation subject"/>
    <w:basedOn w:val="CommentText"/>
    <w:next w:val="CommentText"/>
    <w:link w:val="CommentSubjectChar"/>
    <w:uiPriority w:val="99"/>
    <w:semiHidden/>
    <w:unhideWhenUsed/>
    <w:rsid w:val="00B070DA"/>
    <w:rPr>
      <w:b/>
      <w:bCs/>
    </w:rPr>
  </w:style>
  <w:style w:type="character" w:customStyle="1" w:styleId="CommentSubjectChar">
    <w:name w:val="Comment Subject Char"/>
    <w:basedOn w:val="CommentTextChar"/>
    <w:link w:val="CommentSubject"/>
    <w:uiPriority w:val="99"/>
    <w:semiHidden/>
    <w:rsid w:val="00B070DA"/>
    <w:rPr>
      <w:b/>
      <w:bCs/>
      <w:sz w:val="20"/>
      <w:szCs w:val="20"/>
    </w:rPr>
  </w:style>
  <w:style w:type="character" w:customStyle="1" w:styleId="authors">
    <w:name w:val="authors"/>
    <w:basedOn w:val="DefaultParagraphFont"/>
    <w:rsid w:val="00D7722A"/>
  </w:style>
  <w:style w:type="character" w:customStyle="1" w:styleId="Date1">
    <w:name w:val="Date1"/>
    <w:basedOn w:val="DefaultParagraphFont"/>
    <w:rsid w:val="00D7722A"/>
  </w:style>
  <w:style w:type="character" w:customStyle="1" w:styleId="arttitle">
    <w:name w:val="art_title"/>
    <w:basedOn w:val="DefaultParagraphFont"/>
    <w:rsid w:val="00D7722A"/>
  </w:style>
  <w:style w:type="character" w:customStyle="1" w:styleId="serialtitle">
    <w:name w:val="serial_title"/>
    <w:basedOn w:val="DefaultParagraphFont"/>
    <w:rsid w:val="00D7722A"/>
  </w:style>
  <w:style w:type="character" w:customStyle="1" w:styleId="volumeissue">
    <w:name w:val="volume_issue"/>
    <w:basedOn w:val="DefaultParagraphFont"/>
    <w:rsid w:val="00D7722A"/>
  </w:style>
  <w:style w:type="character" w:customStyle="1" w:styleId="pagerange">
    <w:name w:val="page_range"/>
    <w:basedOn w:val="DefaultParagraphFont"/>
    <w:rsid w:val="00D7722A"/>
  </w:style>
  <w:style w:type="paragraph" w:styleId="Header">
    <w:name w:val="header"/>
    <w:basedOn w:val="Normal"/>
    <w:link w:val="HeaderChar"/>
    <w:uiPriority w:val="99"/>
    <w:unhideWhenUsed/>
    <w:rsid w:val="00B4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BD"/>
  </w:style>
  <w:style w:type="paragraph" w:styleId="Footer">
    <w:name w:val="footer"/>
    <w:basedOn w:val="Normal"/>
    <w:link w:val="FooterChar"/>
    <w:uiPriority w:val="99"/>
    <w:unhideWhenUsed/>
    <w:rsid w:val="00B4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BD"/>
  </w:style>
  <w:style w:type="paragraph" w:styleId="ListParagraph">
    <w:name w:val="List Paragraph"/>
    <w:basedOn w:val="Normal"/>
    <w:uiPriority w:val="34"/>
    <w:qFormat/>
    <w:rsid w:val="003812B0"/>
    <w:pPr>
      <w:ind w:left="720"/>
      <w:contextualSpacing/>
    </w:pPr>
    <w:rPr>
      <w:lang w:val="en-US"/>
    </w:rPr>
  </w:style>
  <w:style w:type="paragraph" w:styleId="Revision">
    <w:name w:val="Revision"/>
    <w:hidden/>
    <w:uiPriority w:val="99"/>
    <w:semiHidden/>
    <w:rsid w:val="00597855"/>
    <w:pPr>
      <w:spacing w:after="0" w:line="240" w:lineRule="auto"/>
    </w:pPr>
  </w:style>
  <w:style w:type="character" w:styleId="FollowedHyperlink">
    <w:name w:val="FollowedHyperlink"/>
    <w:basedOn w:val="DefaultParagraphFont"/>
    <w:uiPriority w:val="99"/>
    <w:semiHidden/>
    <w:unhideWhenUsed/>
    <w:rsid w:val="000D677F"/>
    <w:rPr>
      <w:color w:val="954F72" w:themeColor="followedHyperlink"/>
      <w:u w:val="single"/>
    </w:rPr>
  </w:style>
  <w:style w:type="character" w:styleId="UnresolvedMention">
    <w:name w:val="Unresolved Mention"/>
    <w:basedOn w:val="DefaultParagraphFont"/>
    <w:uiPriority w:val="99"/>
    <w:semiHidden/>
    <w:unhideWhenUsed/>
    <w:rsid w:val="008D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3489">
      <w:bodyDiv w:val="1"/>
      <w:marLeft w:val="0"/>
      <w:marRight w:val="0"/>
      <w:marTop w:val="0"/>
      <w:marBottom w:val="0"/>
      <w:divBdr>
        <w:top w:val="none" w:sz="0" w:space="0" w:color="auto"/>
        <w:left w:val="none" w:sz="0" w:space="0" w:color="auto"/>
        <w:bottom w:val="none" w:sz="0" w:space="0" w:color="auto"/>
        <w:right w:val="none" w:sz="0" w:space="0" w:color="auto"/>
      </w:divBdr>
      <w:divsChild>
        <w:div w:id="998192807">
          <w:marLeft w:val="0"/>
          <w:marRight w:val="0"/>
          <w:marTop w:val="0"/>
          <w:marBottom w:val="0"/>
          <w:divBdr>
            <w:top w:val="none" w:sz="0" w:space="0" w:color="auto"/>
            <w:left w:val="none" w:sz="0" w:space="0" w:color="auto"/>
            <w:bottom w:val="none" w:sz="0" w:space="0" w:color="auto"/>
            <w:right w:val="none" w:sz="0" w:space="0" w:color="auto"/>
          </w:divBdr>
          <w:divsChild>
            <w:div w:id="2067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63">
      <w:bodyDiv w:val="1"/>
      <w:marLeft w:val="0"/>
      <w:marRight w:val="0"/>
      <w:marTop w:val="0"/>
      <w:marBottom w:val="0"/>
      <w:divBdr>
        <w:top w:val="none" w:sz="0" w:space="0" w:color="auto"/>
        <w:left w:val="none" w:sz="0" w:space="0" w:color="auto"/>
        <w:bottom w:val="none" w:sz="0" w:space="0" w:color="auto"/>
        <w:right w:val="none" w:sz="0" w:space="0" w:color="auto"/>
      </w:divBdr>
      <w:divsChild>
        <w:div w:id="1867480591">
          <w:marLeft w:val="0"/>
          <w:marRight w:val="0"/>
          <w:marTop w:val="0"/>
          <w:marBottom w:val="0"/>
          <w:divBdr>
            <w:top w:val="none" w:sz="0" w:space="0" w:color="auto"/>
            <w:left w:val="none" w:sz="0" w:space="0" w:color="auto"/>
            <w:bottom w:val="none" w:sz="0" w:space="0" w:color="auto"/>
            <w:right w:val="none" w:sz="0" w:space="0" w:color="auto"/>
          </w:divBdr>
          <w:divsChild>
            <w:div w:id="640227853">
              <w:marLeft w:val="0"/>
              <w:marRight w:val="0"/>
              <w:marTop w:val="0"/>
              <w:marBottom w:val="0"/>
              <w:divBdr>
                <w:top w:val="none" w:sz="0" w:space="0" w:color="auto"/>
                <w:left w:val="none" w:sz="0" w:space="0" w:color="auto"/>
                <w:bottom w:val="none" w:sz="0" w:space="0" w:color="auto"/>
                <w:right w:val="none" w:sz="0" w:space="0" w:color="auto"/>
              </w:divBdr>
              <w:divsChild>
                <w:div w:id="1698461645">
                  <w:marLeft w:val="0"/>
                  <w:marRight w:val="0"/>
                  <w:marTop w:val="0"/>
                  <w:marBottom w:val="0"/>
                  <w:divBdr>
                    <w:top w:val="none" w:sz="0" w:space="0" w:color="auto"/>
                    <w:left w:val="none" w:sz="0" w:space="0" w:color="auto"/>
                    <w:bottom w:val="none" w:sz="0" w:space="0" w:color="auto"/>
                    <w:right w:val="none" w:sz="0" w:space="0" w:color="auto"/>
                  </w:divBdr>
                  <w:divsChild>
                    <w:div w:id="1089084811">
                      <w:marLeft w:val="0"/>
                      <w:marRight w:val="0"/>
                      <w:marTop w:val="0"/>
                      <w:marBottom w:val="0"/>
                      <w:divBdr>
                        <w:top w:val="none" w:sz="0" w:space="0" w:color="auto"/>
                        <w:left w:val="none" w:sz="0" w:space="0" w:color="auto"/>
                        <w:bottom w:val="none" w:sz="0" w:space="0" w:color="auto"/>
                        <w:right w:val="none" w:sz="0" w:space="0" w:color="auto"/>
                      </w:divBdr>
                      <w:divsChild>
                        <w:div w:id="1070614254">
                          <w:marLeft w:val="0"/>
                          <w:marRight w:val="0"/>
                          <w:marTop w:val="0"/>
                          <w:marBottom w:val="0"/>
                          <w:divBdr>
                            <w:top w:val="none" w:sz="0" w:space="0" w:color="auto"/>
                            <w:left w:val="none" w:sz="0" w:space="0" w:color="auto"/>
                            <w:bottom w:val="none" w:sz="0" w:space="0" w:color="auto"/>
                            <w:right w:val="none" w:sz="0" w:space="0" w:color="auto"/>
                          </w:divBdr>
                          <w:divsChild>
                            <w:div w:id="271013479">
                              <w:marLeft w:val="0"/>
                              <w:marRight w:val="0"/>
                              <w:marTop w:val="0"/>
                              <w:marBottom w:val="0"/>
                              <w:divBdr>
                                <w:top w:val="none" w:sz="0" w:space="0" w:color="auto"/>
                                <w:left w:val="none" w:sz="0" w:space="0" w:color="auto"/>
                                <w:bottom w:val="none" w:sz="0" w:space="0" w:color="auto"/>
                                <w:right w:val="none" w:sz="0" w:space="0" w:color="auto"/>
                              </w:divBdr>
                              <w:divsChild>
                                <w:div w:id="19333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7213">
      <w:bodyDiv w:val="1"/>
      <w:marLeft w:val="0"/>
      <w:marRight w:val="0"/>
      <w:marTop w:val="0"/>
      <w:marBottom w:val="0"/>
      <w:divBdr>
        <w:top w:val="none" w:sz="0" w:space="0" w:color="auto"/>
        <w:left w:val="none" w:sz="0" w:space="0" w:color="auto"/>
        <w:bottom w:val="none" w:sz="0" w:space="0" w:color="auto"/>
        <w:right w:val="none" w:sz="0" w:space="0" w:color="auto"/>
      </w:divBdr>
      <w:divsChild>
        <w:div w:id="1267079774">
          <w:marLeft w:val="0"/>
          <w:marRight w:val="0"/>
          <w:marTop w:val="0"/>
          <w:marBottom w:val="0"/>
          <w:divBdr>
            <w:top w:val="none" w:sz="0" w:space="0" w:color="auto"/>
            <w:left w:val="none" w:sz="0" w:space="0" w:color="auto"/>
            <w:bottom w:val="none" w:sz="0" w:space="0" w:color="auto"/>
            <w:right w:val="none" w:sz="0" w:space="0" w:color="auto"/>
          </w:divBdr>
        </w:div>
        <w:div w:id="607857613">
          <w:marLeft w:val="0"/>
          <w:marRight w:val="0"/>
          <w:marTop w:val="0"/>
          <w:marBottom w:val="0"/>
          <w:divBdr>
            <w:top w:val="none" w:sz="0" w:space="0" w:color="auto"/>
            <w:left w:val="none" w:sz="0" w:space="0" w:color="auto"/>
            <w:bottom w:val="none" w:sz="0" w:space="0" w:color="auto"/>
            <w:right w:val="none" w:sz="0" w:space="0" w:color="auto"/>
          </w:divBdr>
        </w:div>
      </w:divsChild>
    </w:div>
    <w:div w:id="20533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Bice@an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pulse/emerging-technology-future-impact-assessment-marla-orenste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p.de/de/uvp-report/jg30/jg30h2/866-uvp-report-03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ublication/326461326_Strategic_Environmental_and_Social_Assessment_of_Automation_Scoping_Working_Paper" TargetMode="External"/><Relationship Id="rId4" Type="http://schemas.openxmlformats.org/officeDocument/2006/relationships/settings" Target="settings.xml"/><Relationship Id="rId9" Type="http://schemas.openxmlformats.org/officeDocument/2006/relationships/hyperlink" Target="mailto:fischer@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7A75-5B19-4EBE-99B0-F23BB82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Thomas</dc:creator>
  <cp:lastModifiedBy>Fischer, Thomas</cp:lastModifiedBy>
  <cp:revision>4</cp:revision>
  <dcterms:created xsi:type="dcterms:W3CDTF">2020-02-14T10:41:00Z</dcterms:created>
  <dcterms:modified xsi:type="dcterms:W3CDTF">2020-10-20T14:54:00Z</dcterms:modified>
</cp:coreProperties>
</file>