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3D80C" w14:textId="77777777" w:rsidR="00997966" w:rsidRDefault="00997966" w:rsidP="00997966">
      <w:pPr>
        <w:spacing w:line="480" w:lineRule="auto"/>
        <w:jc w:val="center"/>
        <w:rPr>
          <w:b/>
        </w:rPr>
      </w:pPr>
    </w:p>
    <w:p w14:paraId="559F7948" w14:textId="77777777" w:rsidR="00997966" w:rsidRDefault="00997966" w:rsidP="00997966">
      <w:pPr>
        <w:spacing w:line="480" w:lineRule="auto"/>
        <w:jc w:val="center"/>
        <w:rPr>
          <w:b/>
        </w:rPr>
      </w:pPr>
    </w:p>
    <w:p w14:paraId="326F4158" w14:textId="77777777" w:rsidR="00997966" w:rsidRDefault="00997966" w:rsidP="00997966">
      <w:pPr>
        <w:spacing w:line="480" w:lineRule="auto"/>
        <w:jc w:val="center"/>
        <w:rPr>
          <w:b/>
        </w:rPr>
      </w:pPr>
    </w:p>
    <w:p w14:paraId="0B6DEEF6" w14:textId="77777777" w:rsidR="00997966" w:rsidRDefault="00997966" w:rsidP="00997966">
      <w:pPr>
        <w:spacing w:line="480" w:lineRule="auto"/>
        <w:jc w:val="center"/>
        <w:rPr>
          <w:b/>
        </w:rPr>
      </w:pPr>
    </w:p>
    <w:p w14:paraId="0DB0C5D5" w14:textId="77777777" w:rsidR="00997966" w:rsidRDefault="00997966" w:rsidP="00997966">
      <w:pPr>
        <w:spacing w:line="480" w:lineRule="auto"/>
        <w:jc w:val="center"/>
        <w:rPr>
          <w:b/>
        </w:rPr>
      </w:pPr>
    </w:p>
    <w:p w14:paraId="57A1B831" w14:textId="77777777" w:rsidR="00997966" w:rsidRDefault="00997966" w:rsidP="00997966">
      <w:pPr>
        <w:spacing w:line="480" w:lineRule="auto"/>
        <w:jc w:val="center"/>
        <w:rPr>
          <w:b/>
          <w:sz w:val="28"/>
          <w:szCs w:val="28"/>
        </w:rPr>
      </w:pPr>
      <w:r w:rsidRPr="00997966">
        <w:rPr>
          <w:b/>
          <w:sz w:val="28"/>
          <w:szCs w:val="28"/>
        </w:rPr>
        <w:t xml:space="preserve">         Colonial Terror:</w:t>
      </w:r>
    </w:p>
    <w:p w14:paraId="29D5F716" w14:textId="3403C384" w:rsidR="00997966" w:rsidRPr="00997966" w:rsidRDefault="00997966" w:rsidP="00997966">
      <w:pPr>
        <w:spacing w:line="480" w:lineRule="auto"/>
        <w:jc w:val="center"/>
        <w:rPr>
          <w:b/>
          <w:sz w:val="28"/>
          <w:szCs w:val="28"/>
        </w:rPr>
      </w:pPr>
      <w:r>
        <w:rPr>
          <w:b/>
          <w:sz w:val="28"/>
          <w:szCs w:val="28"/>
        </w:rPr>
        <w:t xml:space="preserve">        </w:t>
      </w:r>
      <w:r w:rsidRPr="00997966">
        <w:rPr>
          <w:b/>
          <w:sz w:val="28"/>
          <w:szCs w:val="28"/>
        </w:rPr>
        <w:t>Torture</w:t>
      </w:r>
      <w:r w:rsidRPr="00997966">
        <w:rPr>
          <w:b/>
          <w:sz w:val="28"/>
          <w:szCs w:val="28"/>
        </w:rPr>
        <w:t xml:space="preserve"> and State Violence in Colonial India</w:t>
      </w:r>
    </w:p>
    <w:p w14:paraId="4B1AF06C" w14:textId="6430D14B" w:rsidR="00997966" w:rsidRPr="00997966" w:rsidRDefault="00997966" w:rsidP="00997966">
      <w:pPr>
        <w:spacing w:line="480" w:lineRule="auto"/>
        <w:ind w:firstLine="720"/>
        <w:contextualSpacing/>
        <w:jc w:val="center"/>
        <w:rPr>
          <w:b/>
          <w:sz w:val="28"/>
          <w:szCs w:val="28"/>
        </w:rPr>
      </w:pPr>
      <w:r w:rsidRPr="00997966">
        <w:rPr>
          <w:b/>
          <w:sz w:val="28"/>
          <w:szCs w:val="28"/>
        </w:rPr>
        <w:t xml:space="preserve">(forthcoming, </w:t>
      </w:r>
      <w:r w:rsidRPr="00997966">
        <w:rPr>
          <w:b/>
          <w:i/>
          <w:iCs/>
          <w:sz w:val="28"/>
          <w:szCs w:val="28"/>
        </w:rPr>
        <w:t xml:space="preserve">Oxford University Press, </w:t>
      </w:r>
      <w:r w:rsidRPr="00997966">
        <w:rPr>
          <w:b/>
          <w:sz w:val="28"/>
          <w:szCs w:val="28"/>
        </w:rPr>
        <w:t>2021)</w:t>
      </w:r>
    </w:p>
    <w:p w14:paraId="674D0D4B" w14:textId="1203D5A2" w:rsidR="00997966" w:rsidRPr="00997966" w:rsidRDefault="00997966" w:rsidP="00997966">
      <w:pPr>
        <w:spacing w:line="480" w:lineRule="auto"/>
        <w:ind w:firstLine="720"/>
        <w:contextualSpacing/>
        <w:jc w:val="center"/>
        <w:rPr>
          <w:b/>
          <w:sz w:val="40"/>
          <w:szCs w:val="40"/>
        </w:rPr>
      </w:pPr>
    </w:p>
    <w:p w14:paraId="38276418" w14:textId="5A37C80E" w:rsidR="00997966" w:rsidRPr="00997966" w:rsidRDefault="00997966" w:rsidP="00997966">
      <w:pPr>
        <w:spacing w:line="480" w:lineRule="auto"/>
        <w:ind w:firstLine="720"/>
        <w:contextualSpacing/>
        <w:jc w:val="center"/>
        <w:rPr>
          <w:b/>
          <w:sz w:val="40"/>
          <w:szCs w:val="40"/>
        </w:rPr>
      </w:pPr>
    </w:p>
    <w:p w14:paraId="2902AB09" w14:textId="66684BF6" w:rsidR="00997966" w:rsidRPr="00997966" w:rsidRDefault="00997966" w:rsidP="00997966">
      <w:pPr>
        <w:spacing w:line="480" w:lineRule="auto"/>
        <w:ind w:firstLine="720"/>
        <w:contextualSpacing/>
        <w:jc w:val="center"/>
        <w:rPr>
          <w:b/>
          <w:sz w:val="40"/>
          <w:szCs w:val="40"/>
        </w:rPr>
      </w:pPr>
    </w:p>
    <w:p w14:paraId="4A371873" w14:textId="3EB1C5D3" w:rsidR="00997966" w:rsidRPr="00997966" w:rsidRDefault="00997966" w:rsidP="00997966">
      <w:pPr>
        <w:spacing w:line="480" w:lineRule="auto"/>
        <w:ind w:firstLine="720"/>
        <w:contextualSpacing/>
        <w:jc w:val="center"/>
        <w:rPr>
          <w:b/>
          <w:sz w:val="40"/>
          <w:szCs w:val="40"/>
        </w:rPr>
      </w:pPr>
    </w:p>
    <w:p w14:paraId="44FF0585" w14:textId="06839F4E" w:rsidR="00997966" w:rsidRPr="00997966" w:rsidRDefault="00997966" w:rsidP="00997966">
      <w:pPr>
        <w:spacing w:line="480" w:lineRule="auto"/>
        <w:ind w:firstLine="720"/>
        <w:contextualSpacing/>
        <w:jc w:val="center"/>
        <w:rPr>
          <w:b/>
          <w:sz w:val="40"/>
          <w:szCs w:val="40"/>
        </w:rPr>
      </w:pPr>
    </w:p>
    <w:p w14:paraId="02831A9A" w14:textId="7AA04050" w:rsidR="00997966" w:rsidRPr="00997966" w:rsidRDefault="00997966" w:rsidP="00997966">
      <w:pPr>
        <w:spacing w:line="480" w:lineRule="auto"/>
        <w:ind w:firstLine="720"/>
        <w:contextualSpacing/>
        <w:jc w:val="center"/>
        <w:rPr>
          <w:b/>
          <w:sz w:val="40"/>
          <w:szCs w:val="40"/>
        </w:rPr>
      </w:pPr>
    </w:p>
    <w:p w14:paraId="70D02A02" w14:textId="547A769E" w:rsidR="00997966" w:rsidRPr="00997966" w:rsidRDefault="00997966" w:rsidP="005A65B8">
      <w:pPr>
        <w:spacing w:line="480" w:lineRule="auto"/>
        <w:contextualSpacing/>
        <w:jc w:val="center"/>
        <w:rPr>
          <w:b/>
          <w:sz w:val="28"/>
          <w:szCs w:val="28"/>
        </w:rPr>
      </w:pPr>
      <w:r w:rsidRPr="00997966">
        <w:rPr>
          <w:b/>
          <w:sz w:val="28"/>
          <w:szCs w:val="28"/>
        </w:rPr>
        <w:t>Deana Heath</w:t>
      </w:r>
    </w:p>
    <w:p w14:paraId="1BE1DB2F" w14:textId="77777777" w:rsidR="00997966" w:rsidRDefault="00997966">
      <w:pPr>
        <w:rPr>
          <w:b/>
        </w:rPr>
      </w:pPr>
      <w:r>
        <w:rPr>
          <w:b/>
        </w:rPr>
        <w:br w:type="page"/>
      </w:r>
    </w:p>
    <w:p w14:paraId="42A25126" w14:textId="7FB35B4E" w:rsidR="00997966" w:rsidRPr="00052FD8" w:rsidRDefault="005A65B8" w:rsidP="00997966">
      <w:pPr>
        <w:spacing w:line="480" w:lineRule="auto"/>
        <w:jc w:val="center"/>
        <w:rPr>
          <w:b/>
        </w:rPr>
      </w:pPr>
      <w:r>
        <w:rPr>
          <w:b/>
        </w:rPr>
        <w:lastRenderedPageBreak/>
        <w:t xml:space="preserve">         </w:t>
      </w:r>
      <w:r w:rsidR="00997966" w:rsidRPr="00052FD8">
        <w:rPr>
          <w:b/>
        </w:rPr>
        <w:t>Introduction</w:t>
      </w:r>
    </w:p>
    <w:p w14:paraId="680FE5AF" w14:textId="77777777" w:rsidR="00997966" w:rsidRPr="00052FD8" w:rsidRDefault="00997966" w:rsidP="00997966">
      <w:pPr>
        <w:spacing w:line="480" w:lineRule="auto"/>
        <w:ind w:firstLine="720"/>
        <w:contextualSpacing/>
        <w:jc w:val="center"/>
        <w:rPr>
          <w:b/>
        </w:rPr>
      </w:pPr>
      <w:r w:rsidRPr="00052FD8">
        <w:rPr>
          <w:b/>
        </w:rPr>
        <w:t>Torture, Empire</w:t>
      </w:r>
      <w:r>
        <w:rPr>
          <w:b/>
        </w:rPr>
        <w:t>,</w:t>
      </w:r>
      <w:r w:rsidRPr="00052FD8">
        <w:rPr>
          <w:b/>
        </w:rPr>
        <w:t xml:space="preserve"> and the Exception</w:t>
      </w:r>
    </w:p>
    <w:p w14:paraId="34F38A2A" w14:textId="77777777" w:rsidR="00997966" w:rsidRPr="00052FD8" w:rsidRDefault="00997966" w:rsidP="00997966">
      <w:pPr>
        <w:spacing w:line="480" w:lineRule="auto"/>
        <w:ind w:firstLine="720"/>
        <w:contextualSpacing/>
        <w:jc w:val="center"/>
        <w:rPr>
          <w:b/>
        </w:rPr>
      </w:pPr>
    </w:p>
    <w:p w14:paraId="1074E04F" w14:textId="77777777" w:rsidR="00997966" w:rsidRPr="00052FD8" w:rsidRDefault="00997966" w:rsidP="00997966">
      <w:pPr>
        <w:autoSpaceDE w:val="0"/>
        <w:autoSpaceDN w:val="0"/>
        <w:adjustRightInd w:val="0"/>
        <w:spacing w:after="0" w:line="480" w:lineRule="auto"/>
      </w:pPr>
    </w:p>
    <w:p w14:paraId="6ECDFDF4" w14:textId="77777777" w:rsidR="00997966" w:rsidRPr="00052FD8" w:rsidRDefault="00997966" w:rsidP="00997966">
      <w:pPr>
        <w:spacing w:line="480" w:lineRule="auto"/>
        <w:ind w:left="720"/>
      </w:pPr>
      <w:r w:rsidRPr="00052FD8">
        <w:rPr>
          <w:color w:val="000000"/>
        </w:rPr>
        <w:t>The colonial regime owes its legitimacy to force and at no time tries to hide this aspect of things.</w:t>
      </w:r>
      <w:r w:rsidRPr="00052FD8">
        <w:rPr>
          <w:rStyle w:val="FootnoteReference"/>
          <w:color w:val="000000"/>
        </w:rPr>
        <w:footnoteReference w:id="1"/>
      </w:r>
      <w:r w:rsidRPr="00052FD8">
        <w:rPr>
          <w:color w:val="000000"/>
        </w:rPr>
        <w:t xml:space="preserve"> </w:t>
      </w:r>
    </w:p>
    <w:p w14:paraId="6F946FE0" w14:textId="77777777" w:rsidR="00997966" w:rsidRPr="00052FD8" w:rsidRDefault="00997966" w:rsidP="00997966">
      <w:pPr>
        <w:rPr>
          <w:color w:val="000000"/>
          <w:shd w:val="clear" w:color="auto" w:fill="FFFFFF"/>
        </w:rPr>
      </w:pPr>
    </w:p>
    <w:p w14:paraId="2C94D67E" w14:textId="77777777" w:rsidR="00997966" w:rsidRPr="00052FD8" w:rsidRDefault="00997966" w:rsidP="00997966">
      <w:pPr>
        <w:spacing w:line="480" w:lineRule="auto"/>
        <w:ind w:firstLine="720"/>
        <w:contextualSpacing/>
      </w:pPr>
      <w:r w:rsidRPr="00052FD8">
        <w:t>In 2011 the High Court of England and Wales heard a historic case that exposed facets of the brutal violence that sustained Britain’s empire. The issue at stake was whether five poor and elderly Kenyans,</w:t>
      </w:r>
      <w:r w:rsidRPr="00052FD8">
        <w:rPr>
          <w:rStyle w:val="FootnoteReference"/>
        </w:rPr>
        <w:footnoteReference w:id="2"/>
      </w:r>
      <w:r w:rsidRPr="00052FD8">
        <w:t xml:space="preserve"> who had been subjected to </w:t>
      </w:r>
      <w:r>
        <w:t>‘</w:t>
      </w:r>
      <w:r w:rsidRPr="00052FD8">
        <w:rPr>
          <w:color w:val="000000"/>
        </w:rPr>
        <w:t>physical mistreatment of the most serious kind, including torture, rape, castration and severe beatings</w:t>
      </w:r>
      <w:r>
        <w:rPr>
          <w:color w:val="000000"/>
        </w:rPr>
        <w:t>’</w:t>
      </w:r>
      <w:r w:rsidRPr="00052FD8">
        <w:t xml:space="preserve"> by British colonial officials during what was known as the 1952</w:t>
      </w:r>
      <w:r>
        <w:t>-</w:t>
      </w:r>
      <w:r w:rsidRPr="00052FD8">
        <w:t xml:space="preserve">60 Kenyan Emergency had, as the Hon. </w:t>
      </w:r>
      <w:bookmarkStart w:id="0" w:name="_Hlk40108157"/>
      <w:r w:rsidRPr="00052FD8">
        <w:t>Mr. Justice McCom</w:t>
      </w:r>
      <w:bookmarkEnd w:id="0"/>
      <w:r w:rsidRPr="00052FD8">
        <w:t xml:space="preserve">be remarked in his judgment summary, </w:t>
      </w:r>
      <w:r>
        <w:t>‘</w:t>
      </w:r>
      <w:r w:rsidRPr="00052FD8">
        <w:t>a viable claim in law</w:t>
      </w:r>
      <w:r>
        <w:t>’</w:t>
      </w:r>
      <w:r w:rsidRPr="00052FD8">
        <w:t xml:space="preserve"> for their case to be heard in Britain.</w:t>
      </w:r>
      <w:r w:rsidRPr="00052FD8">
        <w:rPr>
          <w:rStyle w:val="FootnoteReference"/>
        </w:rPr>
        <w:footnoteReference w:id="3"/>
      </w:r>
      <w:r w:rsidRPr="00052FD8">
        <w:t xml:space="preserve"> The question before the court was not, therefore, whether the </w:t>
      </w:r>
      <w:r w:rsidRPr="00052FD8">
        <w:lastRenderedPageBreak/>
        <w:t xml:space="preserve">allegations of the claimants were true (though McCombe noted that </w:t>
      </w:r>
      <w:r>
        <w:t>‘</w:t>
      </w:r>
      <w:r w:rsidRPr="00052FD8">
        <w:t>no doubt has been cast upon them by the evidence before the court</w:t>
      </w:r>
      <w:r>
        <w:t>’</w:t>
      </w:r>
      <w:r w:rsidRPr="00052FD8">
        <w:t>), or whether the British government was liable for the injuries they had suffered, but whether they could, after a lapse of over half a century, be tried in Britain.</w:t>
      </w:r>
      <w:r w:rsidRPr="00052FD8">
        <w:rPr>
          <w:rStyle w:val="FootnoteReference"/>
        </w:rPr>
        <w:footnoteReference w:id="4"/>
      </w:r>
      <w:r w:rsidRPr="00052FD8">
        <w:t xml:space="preserve"> For the defendants, the Foreign and Commonwealth Office (FCO), the answer to this question was a resounding </w:t>
      </w:r>
      <w:r>
        <w:t>‘</w:t>
      </w:r>
      <w:r w:rsidRPr="00052FD8">
        <w:t>n</w:t>
      </w:r>
      <w:r>
        <w:t xml:space="preserve">o’; </w:t>
      </w:r>
      <w:r w:rsidRPr="00052FD8">
        <w:t xml:space="preserve">the colonial government in Kenya had been </w:t>
      </w:r>
      <w:r>
        <w:t>‘</w:t>
      </w:r>
      <w:r w:rsidRPr="00052FD8">
        <w:t>separate and distinct from that of the UK Government</w:t>
      </w:r>
      <w:r>
        <w:t>’, it argued,</w:t>
      </w:r>
      <w:r w:rsidRPr="00052FD8">
        <w:t xml:space="preserve"> and hence liability for colonial violence rested, following Kenya’s independence from Britain in 1963, with the Kenyan government.</w:t>
      </w:r>
      <w:r w:rsidRPr="00052FD8">
        <w:rPr>
          <w:rStyle w:val="FootnoteReference"/>
        </w:rPr>
        <w:footnoteReference w:id="5"/>
      </w:r>
      <w:r w:rsidRPr="00052FD8">
        <w:t xml:space="preserve"> Britain, according to such logic, was not responsible for the torture and other forms of violence committed by its colonial officials on the bodies of its formerly coloni</w:t>
      </w:r>
      <w:r>
        <w:t>z</w:t>
      </w:r>
      <w:r w:rsidRPr="00052FD8">
        <w:t xml:space="preserve">ed subjects. According to what I shall call the displacement of colonial blame thesis, it was the former colonial subjects themselves, or their descendants, who instead bore such a burden. </w:t>
      </w:r>
    </w:p>
    <w:p w14:paraId="64F56BD3" w14:textId="77777777" w:rsidR="00997966" w:rsidRPr="00052FD8" w:rsidRDefault="00997966" w:rsidP="00997966">
      <w:pPr>
        <w:spacing w:line="480" w:lineRule="auto"/>
        <w:ind w:firstLine="720"/>
        <w:contextualSpacing/>
      </w:pPr>
      <w:r w:rsidRPr="00052FD8">
        <w:t>For the claimants, however, it was impossible for Britain to so flagrantly airbrush its responsibility for the brutal violence to which they had been subject.</w:t>
      </w:r>
      <w:r w:rsidRPr="00052FD8">
        <w:rPr>
          <w:rStyle w:val="FootnoteReference"/>
        </w:rPr>
        <w:footnoteReference w:id="6"/>
      </w:r>
      <w:r w:rsidRPr="00052FD8">
        <w:t xml:space="preserve"> In addition to the fact that the liability of the colonial administration in Kenya devolved upon the British </w:t>
      </w:r>
      <w:r w:rsidRPr="00052FD8">
        <w:lastRenderedPageBreak/>
        <w:t xml:space="preserve">government in 1963, rather than the Kenyan, the British government was </w:t>
      </w:r>
      <w:r>
        <w:t>‘</w:t>
      </w:r>
      <w:r w:rsidRPr="00052FD8">
        <w:t>directly liable to the claimants . . . for having encouraged, procured, acquiesced in, or otherwise having been complicit in, the creation and maintenance of the ‘system’ under which the claimants were mistreated</w:t>
      </w:r>
      <w:r>
        <w:t>’</w:t>
      </w:r>
      <w:r w:rsidRPr="00052FD8">
        <w:t>.</w:t>
      </w:r>
      <w:r w:rsidRPr="00052FD8">
        <w:rPr>
          <w:rStyle w:val="FootnoteReference"/>
        </w:rPr>
        <w:footnoteReference w:id="7"/>
      </w:r>
      <w:r w:rsidRPr="00052FD8">
        <w:t xml:space="preserve"> The British government was liable, furthermore, for violating </w:t>
      </w:r>
      <w:r>
        <w:t>‘</w:t>
      </w:r>
      <w:r w:rsidRPr="00052FD8">
        <w:t>a common law duty of care</w:t>
      </w:r>
      <w:r>
        <w:t>’</w:t>
      </w:r>
      <w:r w:rsidRPr="00052FD8">
        <w:t xml:space="preserve"> in failing to end the systematic use of torture and other forms of violence on Kenyan bodies when it had the clear capacity to do so.</w:t>
      </w:r>
      <w:r w:rsidRPr="00052FD8">
        <w:rPr>
          <w:rStyle w:val="FootnoteReference"/>
        </w:rPr>
        <w:footnoteReference w:id="8"/>
      </w:r>
      <w:r w:rsidRPr="00052FD8">
        <w:t xml:space="preserve"> What made such a duty of care clear, for the claimants, was that in addition to their being British subjects at the time they were subjected to torture, residing in a colony created by the Crown, </w:t>
      </w:r>
      <w:r>
        <w:t>‘</w:t>
      </w:r>
      <w:r w:rsidRPr="00052FD8">
        <w:t>The source of the risk of harm to [them] . . . was the Colonial Government itself</w:t>
      </w:r>
      <w:r>
        <w:t>’</w:t>
      </w:r>
      <w:r w:rsidRPr="00052FD8">
        <w:t>.</w:t>
      </w:r>
      <w:r w:rsidRPr="00052FD8">
        <w:rPr>
          <w:rStyle w:val="FootnoteReference"/>
        </w:rPr>
        <w:footnoteReference w:id="9"/>
      </w:r>
    </w:p>
    <w:p w14:paraId="36366581" w14:textId="77777777" w:rsidR="00997966" w:rsidRPr="00052FD8" w:rsidRDefault="00997966" w:rsidP="00997966">
      <w:pPr>
        <w:spacing w:line="480" w:lineRule="auto"/>
        <w:ind w:firstLine="720"/>
        <w:contextualSpacing/>
      </w:pPr>
      <w:r w:rsidRPr="00052FD8">
        <w:t xml:space="preserve">McCombe agreed with them. In addition to the fact that the existence of a colonial government did not </w:t>
      </w:r>
      <w:r>
        <w:t>‘</w:t>
      </w:r>
      <w:r w:rsidRPr="00052FD8">
        <w:t xml:space="preserve">preclude . . . a separate and individual role for the paramount </w:t>
      </w:r>
      <w:r>
        <w:t>g</w:t>
      </w:r>
      <w:r w:rsidRPr="00052FD8">
        <w:t>overnment of the country whose colony a particular territory is</w:t>
      </w:r>
      <w:r>
        <w:t>’</w:t>
      </w:r>
      <w:r w:rsidRPr="00052FD8">
        <w:t>, the evidence before him suggested that Britain was as culpable as its colonial government in Kenya in the way in which the Emergency was managed.</w:t>
      </w:r>
      <w:r w:rsidRPr="00052FD8">
        <w:rPr>
          <w:rStyle w:val="FootnoteReference"/>
        </w:rPr>
        <w:footnoteReference w:id="10"/>
      </w:r>
      <w:r w:rsidRPr="00052FD8">
        <w:t xml:space="preserve"> Indeed, McCombe argued, the idea that torture could have been so widely perpetrated as it appears to have been in colonial Kenya had the British </w:t>
      </w:r>
      <w:r>
        <w:t>G</w:t>
      </w:r>
      <w:r w:rsidRPr="00052FD8">
        <w:t xml:space="preserve">overnment genuinely wished to put a stop to it seemed highly unlikely. </w:t>
      </w:r>
      <w:r>
        <w:t>But e</w:t>
      </w:r>
      <w:r w:rsidRPr="00052FD8">
        <w:t xml:space="preserve">ven had the British government done no more than stand by and do nothing, </w:t>
      </w:r>
      <w:r>
        <w:t>‘[t]</w:t>
      </w:r>
      <w:r w:rsidRPr="00052FD8">
        <w:t xml:space="preserve">he time must come when standing by and doing nothing, by those with authority and ability to stop the abuse, becomes </w:t>
      </w:r>
      <w:r w:rsidRPr="00052FD8">
        <w:lastRenderedPageBreak/>
        <w:t>a positive policy to continue it</w:t>
      </w:r>
      <w:r>
        <w:t>’</w:t>
      </w:r>
      <w:r w:rsidRPr="00052FD8">
        <w:t>.</w:t>
      </w:r>
      <w:r w:rsidRPr="00052FD8">
        <w:rPr>
          <w:rStyle w:val="FootnoteReference"/>
        </w:rPr>
        <w:footnoteReference w:id="11"/>
      </w:r>
      <w:r w:rsidRPr="00052FD8">
        <w:t xml:space="preserve"> The judge was satisfied, therefore, that the claimants had a legitimate case that the British government owed them a duty of care.</w:t>
      </w:r>
      <w:r w:rsidRPr="00052FD8">
        <w:rPr>
          <w:rStyle w:val="FootnoteReference"/>
        </w:rPr>
        <w:footnoteReference w:id="12"/>
      </w:r>
    </w:p>
    <w:p w14:paraId="5FE0D642" w14:textId="77777777" w:rsidR="00997966" w:rsidRPr="00052FD8" w:rsidRDefault="00997966" w:rsidP="00997966">
      <w:pPr>
        <w:spacing w:line="480" w:lineRule="auto"/>
        <w:ind w:firstLine="720"/>
        <w:contextualSpacing/>
        <w:rPr>
          <w:color w:val="444751"/>
          <w:shd w:val="clear" w:color="auto" w:fill="FFFFFF"/>
        </w:rPr>
      </w:pPr>
      <w:r w:rsidRPr="00052FD8">
        <w:t xml:space="preserve">McCombe went as far, in fact, as to suggest that because the case involved torture, it was </w:t>
      </w:r>
      <w:r>
        <w:t>‘</w:t>
      </w:r>
      <w:r w:rsidRPr="00052FD8">
        <w:rPr>
          <w:color w:val="000000"/>
        </w:rPr>
        <w:t xml:space="preserve">of such a nature that judicial policy might positively </w:t>
      </w:r>
      <w:r w:rsidRPr="00052FD8">
        <w:rPr>
          <w:i/>
          <w:iCs/>
          <w:color w:val="000000"/>
        </w:rPr>
        <w:t>demand</w:t>
      </w:r>
      <w:r w:rsidRPr="00052FD8">
        <w:rPr>
          <w:color w:val="000000"/>
        </w:rPr>
        <w:t xml:space="preserve"> the existence of a duty of care</w:t>
      </w:r>
      <w:r>
        <w:rPr>
          <w:color w:val="000000"/>
        </w:rPr>
        <w:t>’</w:t>
      </w:r>
      <w:r w:rsidRPr="00052FD8">
        <w:rPr>
          <w:color w:val="000000"/>
        </w:rPr>
        <w:t xml:space="preserve"> in light of </w:t>
      </w:r>
      <w:r>
        <w:rPr>
          <w:color w:val="000000"/>
        </w:rPr>
        <w:t>‘</w:t>
      </w:r>
      <w:r w:rsidRPr="00052FD8">
        <w:rPr>
          <w:color w:val="000000"/>
        </w:rPr>
        <w:t>the revulsion with which the English law regards torture</w:t>
      </w:r>
      <w:r>
        <w:rPr>
          <w:color w:val="000000"/>
        </w:rPr>
        <w:t>’</w:t>
      </w:r>
      <w:r w:rsidRPr="00052FD8">
        <w:rPr>
          <w:color w:val="000000"/>
        </w:rPr>
        <w:t>.</w:t>
      </w:r>
      <w:r w:rsidRPr="00052FD8">
        <w:rPr>
          <w:rStyle w:val="FootnoteReference"/>
          <w:color w:val="000000"/>
        </w:rPr>
        <w:footnoteReference w:id="13"/>
      </w:r>
      <w:r w:rsidRPr="00052FD8">
        <w:rPr>
          <w:color w:val="000000"/>
        </w:rPr>
        <w:t xml:space="preserve"> </w:t>
      </w:r>
      <w:r>
        <w:rPr>
          <w:color w:val="000000"/>
        </w:rPr>
        <w:t>Evidence</w:t>
      </w:r>
      <w:r w:rsidRPr="00052FD8">
        <w:rPr>
          <w:color w:val="000000"/>
        </w:rPr>
        <w:t xml:space="preserve"> could be plucked from numerous cases to substantiate </w:t>
      </w:r>
      <w:r>
        <w:rPr>
          <w:color w:val="000000"/>
        </w:rPr>
        <w:t>such revulsion</w:t>
      </w:r>
      <w:r w:rsidRPr="00052FD8">
        <w:rPr>
          <w:color w:val="000000"/>
        </w:rPr>
        <w:t xml:space="preserve">, he argued, </w:t>
      </w:r>
      <w:r>
        <w:rPr>
          <w:color w:val="000000"/>
        </w:rPr>
        <w:t>such as</w:t>
      </w:r>
      <w:r w:rsidRPr="00052FD8">
        <w:rPr>
          <w:color w:val="000000"/>
        </w:rPr>
        <w:t xml:space="preserve"> a 2005 House of Lords appeal judgment </w:t>
      </w:r>
      <w:r>
        <w:rPr>
          <w:color w:val="000000"/>
        </w:rPr>
        <w:t>that</w:t>
      </w:r>
      <w:r w:rsidRPr="00052FD8">
        <w:rPr>
          <w:color w:val="000000"/>
        </w:rPr>
        <w:t xml:space="preserve"> declared </w:t>
      </w:r>
      <w:r>
        <w:rPr>
          <w:color w:val="000000"/>
        </w:rPr>
        <w:t xml:space="preserve">the fact </w:t>
      </w:r>
      <w:r w:rsidRPr="00052FD8">
        <w:rPr>
          <w:color w:val="000000"/>
        </w:rPr>
        <w:t>that English common law had abolished judicial torture at a time it was still routine in Europe</w:t>
      </w:r>
      <w:r>
        <w:rPr>
          <w:color w:val="000000"/>
        </w:rPr>
        <w:t xml:space="preserve"> </w:t>
      </w:r>
      <w:r w:rsidRPr="00052FD8">
        <w:rPr>
          <w:color w:val="000000"/>
        </w:rPr>
        <w:t xml:space="preserve">a source of national pride, since </w:t>
      </w:r>
      <w:r>
        <w:rPr>
          <w:color w:val="000000"/>
        </w:rPr>
        <w:t>in addition to being</w:t>
      </w:r>
      <w:r w:rsidRPr="00052FD8">
        <w:rPr>
          <w:color w:val="000000"/>
        </w:rPr>
        <w:t xml:space="preserve"> </w:t>
      </w:r>
      <w:r>
        <w:rPr>
          <w:color w:val="000000"/>
        </w:rPr>
        <w:t>‘”</w:t>
      </w:r>
      <w:r w:rsidRPr="00052FD8">
        <w:rPr>
          <w:color w:val="000000"/>
        </w:rPr>
        <w:t>dishonourable</w:t>
      </w:r>
      <w:r>
        <w:rPr>
          <w:color w:val="000000"/>
        </w:rPr>
        <w:t>”’</w:t>
      </w:r>
      <w:r w:rsidRPr="00052FD8">
        <w:rPr>
          <w:color w:val="000000"/>
        </w:rPr>
        <w:t xml:space="preserve"> </w:t>
      </w:r>
      <w:r>
        <w:rPr>
          <w:color w:val="000000"/>
        </w:rPr>
        <w:t>torture</w:t>
      </w:r>
      <w:r w:rsidRPr="00052FD8">
        <w:rPr>
          <w:color w:val="000000"/>
        </w:rPr>
        <w:t xml:space="preserve"> corrupted and degraded </w:t>
      </w:r>
      <w:r>
        <w:rPr>
          <w:color w:val="000000"/>
        </w:rPr>
        <w:t>‘”</w:t>
      </w:r>
      <w:r w:rsidRPr="00052FD8">
        <w:rPr>
          <w:color w:val="000000"/>
        </w:rPr>
        <w:t>the state which uses it and the legal system which accepts it</w:t>
      </w:r>
      <w:r>
        <w:rPr>
          <w:color w:val="000000"/>
        </w:rPr>
        <w:t>”’</w:t>
      </w:r>
      <w:r w:rsidRPr="00052FD8">
        <w:rPr>
          <w:color w:val="000000"/>
        </w:rPr>
        <w:t>.</w:t>
      </w:r>
      <w:r w:rsidRPr="00052FD8">
        <w:rPr>
          <w:rStyle w:val="FootnoteReference"/>
          <w:color w:val="000000"/>
        </w:rPr>
        <w:footnoteReference w:id="14"/>
      </w:r>
      <w:r w:rsidRPr="00052FD8">
        <w:rPr>
          <w:color w:val="000000"/>
        </w:rPr>
        <w:t xml:space="preserve"> McCombe thus agreed with the claimants that the United Kingdom had not just a national but an international duty to protect against torture, particularly since it was a signatory to the 1987 UN Convention Against Torture and </w:t>
      </w:r>
      <w:r w:rsidRPr="00052FD8">
        <w:rPr>
          <w:rFonts w:eastAsia="Times New Roman"/>
          <w:color w:val="000000"/>
          <w:lang w:eastAsia="en-GB"/>
        </w:rPr>
        <w:t>Other Cruel, Inhuman or Degrading Treatment, under which it was obliged to ensure legal redress to victims of torture.</w:t>
      </w:r>
      <w:r w:rsidRPr="00052FD8">
        <w:rPr>
          <w:rStyle w:val="FootnoteReference"/>
          <w:rFonts w:eastAsia="Times New Roman"/>
          <w:color w:val="000000"/>
          <w:lang w:eastAsia="en-GB"/>
        </w:rPr>
        <w:footnoteReference w:id="15"/>
      </w:r>
      <w:r w:rsidRPr="00052FD8">
        <w:rPr>
          <w:rFonts w:eastAsia="Times New Roman"/>
          <w:color w:val="000000"/>
          <w:lang w:eastAsia="en-GB"/>
        </w:rPr>
        <w:t xml:space="preserve"> When it came to the </w:t>
      </w:r>
      <w:r>
        <w:rPr>
          <w:rFonts w:eastAsia="Times New Roman"/>
          <w:color w:val="000000"/>
          <w:lang w:eastAsia="en-GB"/>
        </w:rPr>
        <w:t>‘</w:t>
      </w:r>
      <w:r w:rsidRPr="00052FD8">
        <w:rPr>
          <w:rFonts w:eastAsia="Times New Roman"/>
          <w:color w:val="000000"/>
          <w:lang w:eastAsia="en-GB"/>
        </w:rPr>
        <w:t>exceptional case</w:t>
      </w:r>
      <w:r>
        <w:rPr>
          <w:rFonts w:eastAsia="Times New Roman"/>
          <w:color w:val="000000"/>
          <w:lang w:eastAsia="en-GB"/>
        </w:rPr>
        <w:t>’</w:t>
      </w:r>
      <w:r w:rsidRPr="00052FD8">
        <w:rPr>
          <w:rFonts w:eastAsia="Times New Roman"/>
          <w:color w:val="000000"/>
          <w:lang w:eastAsia="en-GB"/>
        </w:rPr>
        <w:t xml:space="preserve"> before him, therefore, </w:t>
      </w:r>
      <w:r w:rsidRPr="00052FD8">
        <w:rPr>
          <w:rFonts w:eastAsia="Times New Roman"/>
          <w:color w:val="000000"/>
          <w:lang w:eastAsia="en-GB"/>
        </w:rPr>
        <w:lastRenderedPageBreak/>
        <w:t xml:space="preserve">he regarded is as </w:t>
      </w:r>
      <w:r>
        <w:rPr>
          <w:rFonts w:eastAsia="Times New Roman"/>
          <w:color w:val="000000"/>
          <w:lang w:eastAsia="en-GB"/>
        </w:rPr>
        <w:t>‘</w:t>
      </w:r>
      <w:r w:rsidRPr="00052FD8">
        <w:rPr>
          <w:rFonts w:eastAsia="Times New Roman"/>
          <w:color w:val="000000"/>
          <w:lang w:eastAsia="en-GB"/>
        </w:rPr>
        <w:t>dishonourable</w:t>
      </w:r>
      <w:r>
        <w:rPr>
          <w:rFonts w:eastAsia="Times New Roman"/>
          <w:color w:val="000000"/>
          <w:lang w:eastAsia="en-GB"/>
        </w:rPr>
        <w:t>’</w:t>
      </w:r>
      <w:r w:rsidRPr="00052FD8">
        <w:rPr>
          <w:rFonts w:eastAsia="Times New Roman"/>
          <w:color w:val="000000"/>
          <w:lang w:eastAsia="en-GB"/>
        </w:rPr>
        <w:t xml:space="preserve"> that a legal system tha</w:t>
      </w:r>
      <w:bookmarkStart w:id="1" w:name="para154"/>
      <w:r w:rsidRPr="00052FD8">
        <w:rPr>
          <w:color w:val="000000"/>
        </w:rPr>
        <w:t xml:space="preserve">t </w:t>
      </w:r>
      <w:r>
        <w:rPr>
          <w:color w:val="000000"/>
        </w:rPr>
        <w:t>‘</w:t>
      </w:r>
      <w:r w:rsidRPr="00052FD8">
        <w:rPr>
          <w:color w:val="000000"/>
        </w:rPr>
        <w:t>will not in any circumstances admit into its proceedings evidence obtained by torture should yet refuse to entertain a claim against the Government in its own jurisdiction for that government's allegedly negligent failure to prevent torture which it had the means to prevent</w:t>
      </w:r>
      <w:bookmarkEnd w:id="1"/>
      <w:r w:rsidRPr="00052FD8">
        <w:rPr>
          <w:color w:val="000000"/>
        </w:rPr>
        <w:t xml:space="preserve"> . . . </w:t>
      </w:r>
      <w:r>
        <w:rPr>
          <w:color w:val="000000"/>
        </w:rPr>
        <w:t>‘</w:t>
      </w:r>
      <w:r w:rsidRPr="00052FD8">
        <w:rPr>
          <w:rStyle w:val="FootnoteReference"/>
          <w:color w:val="000000"/>
        </w:rPr>
        <w:footnoteReference w:id="16"/>
      </w:r>
      <w:r w:rsidRPr="00052FD8">
        <w:rPr>
          <w:color w:val="000000"/>
        </w:rPr>
        <w:t xml:space="preserve"> In a landmark ruling</w:t>
      </w:r>
      <w:r>
        <w:t>—</w:t>
      </w:r>
      <w:r>
        <w:rPr>
          <w:color w:val="000000"/>
        </w:rPr>
        <w:t>‘</w:t>
      </w:r>
      <w:r w:rsidRPr="00052FD8">
        <w:rPr>
          <w:shd w:val="clear" w:color="auto" w:fill="FFFFFF"/>
        </w:rPr>
        <w:t>the first time</w:t>
      </w:r>
      <w:r>
        <w:rPr>
          <w:shd w:val="clear" w:color="auto" w:fill="FFFFFF"/>
        </w:rPr>
        <w:t>’</w:t>
      </w:r>
      <w:r w:rsidRPr="00052FD8">
        <w:rPr>
          <w:shd w:val="clear" w:color="auto" w:fill="FFFFFF"/>
        </w:rPr>
        <w:t xml:space="preserve">, as the claimant’s law form </w:t>
      </w:r>
      <w:r>
        <w:rPr>
          <w:shd w:val="clear" w:color="auto" w:fill="FFFFFF"/>
        </w:rPr>
        <w:t>declared</w:t>
      </w:r>
      <w:r w:rsidRPr="00052FD8">
        <w:rPr>
          <w:shd w:val="clear" w:color="auto" w:fill="FFFFFF"/>
        </w:rPr>
        <w:t xml:space="preserve">, </w:t>
      </w:r>
      <w:r>
        <w:rPr>
          <w:shd w:val="clear" w:color="auto" w:fill="FFFFFF"/>
        </w:rPr>
        <w:t>‘</w:t>
      </w:r>
      <w:r w:rsidRPr="00052FD8">
        <w:rPr>
          <w:shd w:val="clear" w:color="auto" w:fill="FFFFFF"/>
        </w:rPr>
        <w:t>the British Government had been held to account for colonial era abuses</w:t>
      </w:r>
      <w:r>
        <w:rPr>
          <w:color w:val="444751"/>
          <w:shd w:val="clear" w:color="auto" w:fill="FFFFFF"/>
        </w:rPr>
        <w:t>’</w:t>
      </w:r>
      <w:r>
        <w:t>—</w:t>
      </w:r>
      <w:r w:rsidRPr="00052FD8">
        <w:rPr>
          <w:color w:val="000000"/>
        </w:rPr>
        <w:t>McCombe therefore found in favour of the claimants.</w:t>
      </w:r>
      <w:r w:rsidRPr="00052FD8">
        <w:rPr>
          <w:rStyle w:val="FootnoteReference"/>
          <w:color w:val="000000"/>
        </w:rPr>
        <w:footnoteReference w:id="17"/>
      </w:r>
      <w:r w:rsidRPr="00052FD8">
        <w:rPr>
          <w:color w:val="000000"/>
        </w:rPr>
        <w:t xml:space="preserve"> </w:t>
      </w:r>
      <w:r>
        <w:rPr>
          <w:color w:val="000000"/>
        </w:rPr>
        <w:t xml:space="preserve">Two years later, following </w:t>
      </w:r>
      <w:r w:rsidRPr="00052FD8">
        <w:rPr>
          <w:color w:val="000000"/>
        </w:rPr>
        <w:t xml:space="preserve">an unsuccessful appeal by the FCO, </w:t>
      </w:r>
      <w:r w:rsidRPr="00052FD8">
        <w:rPr>
          <w:shd w:val="clear" w:color="auto" w:fill="FFFFFF"/>
        </w:rPr>
        <w:t xml:space="preserve">the British government finally </w:t>
      </w:r>
      <w:r w:rsidRPr="00052FD8">
        <w:rPr>
          <w:color w:val="000000"/>
        </w:rPr>
        <w:t xml:space="preserve">awarded an out of court settlement of </w:t>
      </w:r>
      <w:r w:rsidRPr="00052FD8">
        <w:t>£19.9 million</w:t>
      </w:r>
      <w:r w:rsidRPr="00052FD8">
        <w:rPr>
          <w:color w:val="000000"/>
        </w:rPr>
        <w:t>.</w:t>
      </w:r>
      <w:r w:rsidRPr="00052FD8">
        <w:rPr>
          <w:rStyle w:val="FootnoteReference"/>
          <w:color w:val="000000"/>
        </w:rPr>
        <w:footnoteReference w:id="18"/>
      </w:r>
    </w:p>
    <w:p w14:paraId="4F889E5B" w14:textId="77777777" w:rsidR="00997966" w:rsidRPr="00052FD8" w:rsidRDefault="00997966" w:rsidP="00997966">
      <w:pPr>
        <w:spacing w:line="480" w:lineRule="auto"/>
        <w:ind w:firstLine="720"/>
        <w:contextualSpacing/>
        <w:rPr>
          <w:color w:val="000000"/>
        </w:rPr>
      </w:pPr>
      <w:r w:rsidRPr="00052FD8">
        <w:rPr>
          <w:color w:val="000000"/>
        </w:rPr>
        <w:lastRenderedPageBreak/>
        <w:t xml:space="preserve">McCombe was right that torture had long been prohibited in British law, and that this </w:t>
      </w:r>
      <w:r>
        <w:rPr>
          <w:color w:val="000000"/>
        </w:rPr>
        <w:t>is</w:t>
      </w:r>
      <w:r w:rsidRPr="00052FD8">
        <w:rPr>
          <w:color w:val="000000"/>
        </w:rPr>
        <w:t xml:space="preserve"> a source of pride in Britain as a sign of its much</w:t>
      </w:r>
      <w:r>
        <w:rPr>
          <w:color w:val="000000"/>
        </w:rPr>
        <w:t>-</w:t>
      </w:r>
      <w:r w:rsidRPr="00052FD8">
        <w:rPr>
          <w:color w:val="000000"/>
        </w:rPr>
        <w:t xml:space="preserve">vaunted </w:t>
      </w:r>
      <w:r>
        <w:rPr>
          <w:color w:val="000000"/>
        </w:rPr>
        <w:t>‘</w:t>
      </w:r>
      <w:r w:rsidRPr="00052FD8">
        <w:rPr>
          <w:color w:val="000000"/>
        </w:rPr>
        <w:t>rule of law</w:t>
      </w:r>
      <w:r>
        <w:rPr>
          <w:color w:val="000000"/>
        </w:rPr>
        <w:t>’</w:t>
      </w:r>
      <w:r w:rsidRPr="00052FD8">
        <w:rPr>
          <w:color w:val="000000"/>
        </w:rPr>
        <w:t xml:space="preserve"> (as journalist Ian Cobain puts it, it is a common perception that </w:t>
      </w:r>
      <w:r>
        <w:rPr>
          <w:color w:val="000000"/>
        </w:rPr>
        <w:t>‘</w:t>
      </w:r>
      <w:r w:rsidRPr="00052FD8">
        <w:rPr>
          <w:color w:val="000000"/>
        </w:rPr>
        <w:t>the British avoid torture, if only because it is British so to do</w:t>
      </w:r>
      <w:r>
        <w:rPr>
          <w:color w:val="000000"/>
        </w:rPr>
        <w:t>’</w:t>
      </w:r>
      <w:r w:rsidRPr="00052FD8">
        <w:rPr>
          <w:color w:val="000000"/>
        </w:rPr>
        <w:t>).</w:t>
      </w:r>
      <w:r w:rsidRPr="00052FD8">
        <w:rPr>
          <w:rStyle w:val="FootnoteReference"/>
          <w:color w:val="000000"/>
        </w:rPr>
        <w:footnoteReference w:id="19"/>
      </w:r>
      <w:r w:rsidRPr="00052FD8">
        <w:rPr>
          <w:color w:val="000000"/>
        </w:rPr>
        <w:t xml:space="preserve"> Such pride became, in fact, a chief justification for Britain’s </w:t>
      </w:r>
      <w:r>
        <w:rPr>
          <w:color w:val="000000"/>
        </w:rPr>
        <w:t>‘</w:t>
      </w:r>
      <w:r w:rsidRPr="00052FD8">
        <w:rPr>
          <w:color w:val="000000"/>
        </w:rPr>
        <w:t>civili</w:t>
      </w:r>
      <w:r>
        <w:rPr>
          <w:color w:val="000000"/>
        </w:rPr>
        <w:t>z</w:t>
      </w:r>
      <w:r w:rsidRPr="00052FD8">
        <w:rPr>
          <w:color w:val="000000"/>
        </w:rPr>
        <w:t>ing mission</w:t>
      </w:r>
      <w:r>
        <w:rPr>
          <w:color w:val="000000"/>
        </w:rPr>
        <w:t>’</w:t>
      </w:r>
      <w:r w:rsidRPr="00052FD8">
        <w:rPr>
          <w:color w:val="000000"/>
        </w:rPr>
        <w:t xml:space="preserve"> in colonies from Kiribati to Kenya (one of what Caroline Elkins refers to as the </w:t>
      </w:r>
      <w:r w:rsidRPr="00052FD8">
        <w:rPr>
          <w:color w:val="000000"/>
        </w:rPr>
        <w:lastRenderedPageBreak/>
        <w:t xml:space="preserve">many </w:t>
      </w:r>
      <w:r>
        <w:rPr>
          <w:color w:val="000000"/>
        </w:rPr>
        <w:t>‘</w:t>
      </w:r>
      <w:r w:rsidRPr="00052FD8">
        <w:rPr>
          <w:color w:val="000000"/>
        </w:rPr>
        <w:t>fictions of colonial benevolence</w:t>
      </w:r>
      <w:r>
        <w:rPr>
          <w:color w:val="000000"/>
        </w:rPr>
        <w:t>’</w:t>
      </w:r>
      <w:r w:rsidRPr="00052FD8">
        <w:rPr>
          <w:color w:val="000000"/>
        </w:rPr>
        <w:t xml:space="preserve"> that the British government has long </w:t>
      </w:r>
      <w:r>
        <w:rPr>
          <w:color w:val="000000"/>
        </w:rPr>
        <w:t>‘</w:t>
      </w:r>
      <w:r w:rsidRPr="00052FD8">
        <w:rPr>
          <w:color w:val="000000"/>
        </w:rPr>
        <w:t>crafted and affirmed</w:t>
      </w:r>
      <w:r>
        <w:rPr>
          <w:color w:val="000000"/>
        </w:rPr>
        <w:t>’</w:t>
      </w:r>
      <w:r w:rsidRPr="00052FD8">
        <w:rPr>
          <w:color w:val="000000"/>
        </w:rPr>
        <w:t>).</w:t>
      </w:r>
      <w:r w:rsidRPr="00052FD8">
        <w:rPr>
          <w:rStyle w:val="FootnoteReference"/>
          <w:color w:val="000000"/>
        </w:rPr>
        <w:footnoteReference w:id="20"/>
      </w:r>
      <w:r w:rsidRPr="00052FD8">
        <w:rPr>
          <w:color w:val="000000"/>
        </w:rPr>
        <w:t xml:space="preserve"> He did not reflect, however, or perhaps did not wish to reflect, on how it was possible that a country in which torture was regarded as dishonourable, corrupting</w:t>
      </w:r>
      <w:r>
        <w:rPr>
          <w:color w:val="000000"/>
        </w:rPr>
        <w:t>,</w:t>
      </w:r>
      <w:r w:rsidRPr="00052FD8">
        <w:rPr>
          <w:color w:val="000000"/>
        </w:rPr>
        <w:t xml:space="preserve"> and degrading, and as undermining the </w:t>
      </w:r>
      <w:r>
        <w:rPr>
          <w:color w:val="000000"/>
        </w:rPr>
        <w:t>‘</w:t>
      </w:r>
      <w:r w:rsidRPr="00052FD8">
        <w:rPr>
          <w:color w:val="000000"/>
        </w:rPr>
        <w:t>rule of law</w:t>
      </w:r>
      <w:r>
        <w:rPr>
          <w:color w:val="000000"/>
        </w:rPr>
        <w:t>’</w:t>
      </w:r>
      <w:r w:rsidRPr="00052FD8">
        <w:rPr>
          <w:color w:val="000000"/>
        </w:rPr>
        <w:t>, could nonetheless be culpable for its systemati</w:t>
      </w:r>
      <w:r>
        <w:rPr>
          <w:color w:val="000000"/>
        </w:rPr>
        <w:t>z</w:t>
      </w:r>
      <w:r w:rsidRPr="00052FD8">
        <w:rPr>
          <w:color w:val="000000"/>
        </w:rPr>
        <w:t xml:space="preserve">ation under </w:t>
      </w:r>
      <w:r>
        <w:rPr>
          <w:color w:val="000000"/>
        </w:rPr>
        <w:t>‘</w:t>
      </w:r>
      <w:r w:rsidRPr="00052FD8">
        <w:rPr>
          <w:color w:val="000000"/>
        </w:rPr>
        <w:t>emergency</w:t>
      </w:r>
      <w:r>
        <w:rPr>
          <w:color w:val="000000"/>
        </w:rPr>
        <w:t>’</w:t>
      </w:r>
      <w:r w:rsidRPr="00052FD8">
        <w:rPr>
          <w:color w:val="000000"/>
        </w:rPr>
        <w:t xml:space="preserve"> conditions in Kenya as part of a genocidal drive to eliminate the Kikuyu, who bore the brunt of such inhumanity.</w:t>
      </w:r>
      <w:r w:rsidRPr="00052FD8">
        <w:rPr>
          <w:rStyle w:val="FootnoteReference"/>
          <w:color w:val="000000"/>
        </w:rPr>
        <w:footnoteReference w:id="21"/>
      </w:r>
      <w:r w:rsidRPr="00052FD8">
        <w:rPr>
          <w:color w:val="000000"/>
        </w:rPr>
        <w:t xml:space="preserve"> McCombe also did not, </w:t>
      </w:r>
      <w:r w:rsidRPr="00052FD8">
        <w:rPr>
          <w:color w:val="000000"/>
        </w:rPr>
        <w:lastRenderedPageBreak/>
        <w:t xml:space="preserve">notably, question how </w:t>
      </w:r>
      <w:r>
        <w:rPr>
          <w:color w:val="000000"/>
        </w:rPr>
        <w:t>‘</w:t>
      </w:r>
      <w:r w:rsidRPr="00052FD8">
        <w:rPr>
          <w:color w:val="000000"/>
        </w:rPr>
        <w:t>exceptional</w:t>
      </w:r>
      <w:r>
        <w:rPr>
          <w:color w:val="000000"/>
        </w:rPr>
        <w:t>’</w:t>
      </w:r>
      <w:r w:rsidRPr="00052FD8">
        <w:rPr>
          <w:color w:val="000000"/>
        </w:rPr>
        <w:t xml:space="preserve"> the case before him actually was, despite not only the existence of states of emergency in British colonies that coincided with that in Kenya (such as in Malaya 1948</w:t>
      </w:r>
      <w:r>
        <w:rPr>
          <w:color w:val="000000"/>
        </w:rPr>
        <w:t>-</w:t>
      </w:r>
      <w:r w:rsidRPr="00052FD8">
        <w:rPr>
          <w:color w:val="000000"/>
        </w:rPr>
        <w:t>1960 and in Cyprus in 1955</w:t>
      </w:r>
      <w:r>
        <w:rPr>
          <w:color w:val="000000"/>
        </w:rPr>
        <w:t>-</w:t>
      </w:r>
      <w:r w:rsidRPr="00052FD8">
        <w:rPr>
          <w:color w:val="000000"/>
        </w:rPr>
        <w:t>1959)</w:t>
      </w:r>
      <w:r w:rsidRPr="00052FD8">
        <w:rPr>
          <w:rStyle w:val="FootnoteReference"/>
          <w:color w:val="000000"/>
        </w:rPr>
        <w:footnoteReference w:id="22"/>
      </w:r>
      <w:r w:rsidRPr="00052FD8">
        <w:rPr>
          <w:color w:val="000000"/>
        </w:rPr>
        <w:t xml:space="preserve"> but the revelation, during the course of the trial, of a secret FCO archive of documents detailing horrific abuses in no less than 37 British colonies</w:t>
      </w:r>
      <w:r w:rsidRPr="00052FD8">
        <w:rPr>
          <w:color w:val="121212"/>
          <w:shd w:val="clear" w:color="auto" w:fill="FFFFFF"/>
        </w:rPr>
        <w:t>.</w:t>
      </w:r>
      <w:r w:rsidRPr="00052FD8">
        <w:rPr>
          <w:rStyle w:val="FootnoteReference"/>
          <w:color w:val="121212"/>
          <w:shd w:val="clear" w:color="auto" w:fill="FFFFFF"/>
        </w:rPr>
        <w:footnoteReference w:id="23"/>
      </w:r>
      <w:r w:rsidRPr="00052FD8">
        <w:rPr>
          <w:color w:val="000000"/>
        </w:rPr>
        <w:t xml:space="preserve"> Nor did he query the justification of such an </w:t>
      </w:r>
      <w:r>
        <w:rPr>
          <w:color w:val="000000"/>
        </w:rPr>
        <w:t>‘</w:t>
      </w:r>
      <w:r w:rsidRPr="00052FD8">
        <w:rPr>
          <w:color w:val="000000"/>
        </w:rPr>
        <w:t>emergency</w:t>
      </w:r>
      <w:r>
        <w:rPr>
          <w:color w:val="000000"/>
        </w:rPr>
        <w:t>’</w:t>
      </w:r>
      <w:r w:rsidRPr="00052FD8">
        <w:rPr>
          <w:color w:val="000000"/>
        </w:rPr>
        <w:t xml:space="preserve"> or the legitimacy </w:t>
      </w:r>
      <w:r w:rsidRPr="00052FD8">
        <w:rPr>
          <w:color w:val="000000"/>
        </w:rPr>
        <w:lastRenderedPageBreak/>
        <w:t>of the colonial regime that it sought to defend</w:t>
      </w:r>
      <w:r>
        <w:t>—</w:t>
      </w:r>
      <w:r w:rsidRPr="00052FD8">
        <w:rPr>
          <w:color w:val="000000"/>
        </w:rPr>
        <w:t xml:space="preserve">of, in other words, </w:t>
      </w:r>
      <w:r>
        <w:rPr>
          <w:color w:val="000000"/>
        </w:rPr>
        <w:t>‘</w:t>
      </w:r>
      <w:r w:rsidRPr="00052FD8">
        <w:rPr>
          <w:color w:val="000000"/>
        </w:rPr>
        <w:t>the distinctive wrongness of colonialism</w:t>
      </w:r>
      <w:r>
        <w:rPr>
          <w:color w:val="000000"/>
        </w:rPr>
        <w:t>’</w:t>
      </w:r>
      <w:r>
        <w:t>—</w:t>
      </w:r>
      <w:r w:rsidRPr="00052FD8">
        <w:rPr>
          <w:color w:val="000000"/>
        </w:rPr>
        <w:t>even though the torture and other forms of violence to which Kenyans had been subjected were done with the aim of preserving a system of white racial privilege.</w:t>
      </w:r>
      <w:r w:rsidRPr="00052FD8">
        <w:rPr>
          <w:rStyle w:val="FootnoteReference"/>
          <w:color w:val="000000"/>
        </w:rPr>
        <w:footnoteReference w:id="24"/>
      </w:r>
      <w:r w:rsidRPr="00052FD8">
        <w:rPr>
          <w:color w:val="000000"/>
        </w:rPr>
        <w:t xml:space="preserve"> He did not consider, lastly, why it took over half a century for colonial torture victims to seek or </w:t>
      </w:r>
      <w:r w:rsidRPr="00052FD8">
        <w:rPr>
          <w:color w:val="000000"/>
        </w:rPr>
        <w:lastRenderedPageBreak/>
        <w:t>receive justice,</w:t>
      </w:r>
      <w:r w:rsidRPr="00052FD8">
        <w:rPr>
          <w:rStyle w:val="FootnoteReference"/>
          <w:color w:val="000000"/>
        </w:rPr>
        <w:footnoteReference w:id="25"/>
      </w:r>
      <w:r w:rsidRPr="00052FD8">
        <w:rPr>
          <w:color w:val="000000"/>
        </w:rPr>
        <w:t xml:space="preserve"> despite the fact that questions had been raised, and voluminous evidence presented, of British brutality during the Emergency</w:t>
      </w:r>
      <w:r>
        <w:t>—</w:t>
      </w:r>
      <w:r w:rsidRPr="00052FD8">
        <w:rPr>
          <w:color w:val="000000"/>
        </w:rPr>
        <w:t xml:space="preserve">though this was all dismissed at the time through the use of what David Anderson terms the </w:t>
      </w:r>
      <w:r>
        <w:rPr>
          <w:color w:val="000000"/>
        </w:rPr>
        <w:t>‘</w:t>
      </w:r>
      <w:r w:rsidRPr="00052FD8">
        <w:rPr>
          <w:color w:val="000000"/>
        </w:rPr>
        <w:t>dispositional</w:t>
      </w:r>
      <w:r>
        <w:rPr>
          <w:color w:val="000000"/>
        </w:rPr>
        <w:t>-</w:t>
      </w:r>
      <w:r w:rsidRPr="00052FD8">
        <w:rPr>
          <w:color w:val="000000"/>
        </w:rPr>
        <w:t>individual</w:t>
      </w:r>
      <w:r>
        <w:rPr>
          <w:color w:val="000000"/>
        </w:rPr>
        <w:t>’</w:t>
      </w:r>
      <w:r w:rsidRPr="00052FD8">
        <w:rPr>
          <w:color w:val="000000"/>
        </w:rPr>
        <w:t xml:space="preserve"> or </w:t>
      </w:r>
      <w:r>
        <w:rPr>
          <w:color w:val="000000"/>
        </w:rPr>
        <w:t>‘</w:t>
      </w:r>
      <w:r w:rsidRPr="00052FD8">
        <w:rPr>
          <w:color w:val="000000"/>
        </w:rPr>
        <w:t>bad apple</w:t>
      </w:r>
      <w:r>
        <w:rPr>
          <w:color w:val="000000"/>
        </w:rPr>
        <w:t>’</w:t>
      </w:r>
      <w:r w:rsidRPr="00052FD8">
        <w:rPr>
          <w:color w:val="000000"/>
        </w:rPr>
        <w:t xml:space="preserve"> thesis, or Purnima Bose refers to as the </w:t>
      </w:r>
      <w:r>
        <w:rPr>
          <w:color w:val="000000"/>
        </w:rPr>
        <w:t>‘</w:t>
      </w:r>
      <w:r w:rsidRPr="00052FD8">
        <w:rPr>
          <w:color w:val="000000"/>
        </w:rPr>
        <w:t>rogue</w:t>
      </w:r>
      <w:r>
        <w:rPr>
          <w:color w:val="000000"/>
        </w:rPr>
        <w:t>-</w:t>
      </w:r>
      <w:r w:rsidRPr="00052FD8">
        <w:rPr>
          <w:color w:val="000000"/>
        </w:rPr>
        <w:t>colonial individualism</w:t>
      </w:r>
      <w:r>
        <w:rPr>
          <w:color w:val="000000"/>
        </w:rPr>
        <w:t>’</w:t>
      </w:r>
      <w:r w:rsidRPr="00052FD8">
        <w:rPr>
          <w:color w:val="000000"/>
        </w:rPr>
        <w:t xml:space="preserve"> theory, through which </w:t>
      </w:r>
      <w:r w:rsidRPr="00052FD8">
        <w:t xml:space="preserve">systemic colonial violence is displaced onto </w:t>
      </w:r>
      <w:r>
        <w:t xml:space="preserve">select </w:t>
      </w:r>
      <w:r w:rsidRPr="00052FD8">
        <w:t>individuals as a means of distancing empires from their constitutive violence</w:t>
      </w:r>
      <w:r w:rsidRPr="00052FD8">
        <w:rPr>
          <w:color w:val="000000"/>
        </w:rPr>
        <w:t>.</w:t>
      </w:r>
      <w:r w:rsidRPr="00052FD8">
        <w:rPr>
          <w:rStyle w:val="FootnoteReference"/>
          <w:color w:val="000000"/>
        </w:rPr>
        <w:footnoteReference w:id="26"/>
      </w:r>
      <w:r w:rsidRPr="00052FD8">
        <w:rPr>
          <w:color w:val="000000"/>
        </w:rPr>
        <w:t xml:space="preserve">  </w:t>
      </w:r>
    </w:p>
    <w:p w14:paraId="472FF6FA" w14:textId="77777777" w:rsidR="00997966" w:rsidRPr="00052FD8" w:rsidRDefault="00997966" w:rsidP="00997966">
      <w:pPr>
        <w:spacing w:line="480" w:lineRule="auto"/>
        <w:ind w:firstLine="720"/>
        <w:contextualSpacing/>
        <w:rPr>
          <w:color w:val="121212"/>
          <w:shd w:val="clear" w:color="auto" w:fill="FFFFFF"/>
        </w:rPr>
      </w:pPr>
      <w:r w:rsidRPr="00052FD8">
        <w:rPr>
          <w:rFonts w:eastAsia="Times New Roman"/>
          <w:color w:val="000000"/>
          <w:lang w:eastAsia="en-GB"/>
        </w:rPr>
        <w:t xml:space="preserve">The </w:t>
      </w:r>
      <w:r w:rsidRPr="00052FD8">
        <w:rPr>
          <w:rFonts w:eastAsia="Times New Roman"/>
          <w:i/>
          <w:iCs/>
          <w:color w:val="000000"/>
          <w:lang w:eastAsia="en-GB"/>
        </w:rPr>
        <w:t>Mutua</w:t>
      </w:r>
      <w:r w:rsidRPr="00052FD8">
        <w:rPr>
          <w:rFonts w:eastAsia="Times New Roman"/>
          <w:color w:val="000000"/>
          <w:lang w:eastAsia="en-GB"/>
        </w:rPr>
        <w:t xml:space="preserve"> judgment was</w:t>
      </w:r>
      <w:r>
        <w:rPr>
          <w:rFonts w:eastAsia="Times New Roman"/>
          <w:color w:val="000000"/>
          <w:lang w:eastAsia="en-GB"/>
        </w:rPr>
        <w:t xml:space="preserve"> nonetheless</w:t>
      </w:r>
      <w:r w:rsidRPr="00052FD8">
        <w:rPr>
          <w:rFonts w:eastAsia="Times New Roman"/>
          <w:color w:val="000000"/>
          <w:lang w:eastAsia="en-GB"/>
        </w:rPr>
        <w:t xml:space="preserve"> seminal. As such it raised the hopes of thousands of other</w:t>
      </w:r>
      <w:r>
        <w:rPr>
          <w:rFonts w:eastAsia="Times New Roman"/>
          <w:color w:val="000000"/>
          <w:lang w:eastAsia="en-GB"/>
        </w:rPr>
        <w:t>s</w:t>
      </w:r>
      <w:r w:rsidRPr="00052FD8">
        <w:rPr>
          <w:rFonts w:eastAsia="Times New Roman"/>
          <w:color w:val="000000"/>
          <w:lang w:eastAsia="en-GB"/>
        </w:rPr>
        <w:t xml:space="preserve"> victim</w:t>
      </w:r>
      <w:r>
        <w:rPr>
          <w:rFonts w:eastAsia="Times New Roman"/>
          <w:color w:val="000000"/>
          <w:lang w:eastAsia="en-GB"/>
        </w:rPr>
        <w:t>ized</w:t>
      </w:r>
      <w:r w:rsidRPr="00052FD8">
        <w:rPr>
          <w:rFonts w:eastAsia="Times New Roman"/>
          <w:color w:val="000000"/>
          <w:lang w:eastAsia="en-GB"/>
        </w:rPr>
        <w:t xml:space="preserve"> </w:t>
      </w:r>
      <w:r>
        <w:rPr>
          <w:rFonts w:eastAsia="Times New Roman"/>
          <w:color w:val="000000"/>
          <w:lang w:eastAsia="en-GB"/>
        </w:rPr>
        <w:t>by</w:t>
      </w:r>
      <w:r w:rsidRPr="00052FD8">
        <w:rPr>
          <w:rFonts w:eastAsia="Times New Roman"/>
          <w:color w:val="000000"/>
          <w:lang w:eastAsia="en-GB"/>
        </w:rPr>
        <w:t xml:space="preserve"> torture at the hands of British colonial regimes.</w:t>
      </w:r>
      <w:r w:rsidRPr="00052FD8">
        <w:rPr>
          <w:rStyle w:val="FootnoteReference"/>
          <w:rFonts w:eastAsia="Times New Roman"/>
          <w:color w:val="000000"/>
          <w:lang w:eastAsia="en-GB"/>
        </w:rPr>
        <w:footnoteReference w:id="27"/>
      </w:r>
      <w:r w:rsidRPr="00052FD8">
        <w:rPr>
          <w:rFonts w:eastAsia="Times New Roman"/>
          <w:color w:val="000000"/>
          <w:lang w:eastAsia="en-GB"/>
        </w:rPr>
        <w:t xml:space="preserve"> But </w:t>
      </w:r>
      <w:r w:rsidRPr="00052FD8">
        <w:rPr>
          <w:rFonts w:eastAsia="Times New Roman"/>
          <w:color w:val="000000"/>
          <w:lang w:eastAsia="en-GB"/>
        </w:rPr>
        <w:lastRenderedPageBreak/>
        <w:t xml:space="preserve">although the Foreign </w:t>
      </w:r>
      <w:r>
        <w:rPr>
          <w:rFonts w:eastAsia="Times New Roman"/>
          <w:color w:val="000000"/>
          <w:lang w:eastAsia="en-GB"/>
        </w:rPr>
        <w:t xml:space="preserve">Office </w:t>
      </w:r>
      <w:r w:rsidRPr="00052FD8">
        <w:rPr>
          <w:rFonts w:eastAsia="Times New Roman"/>
          <w:color w:val="000000"/>
          <w:lang w:eastAsia="en-GB"/>
        </w:rPr>
        <w:t xml:space="preserve">insisted that </w:t>
      </w:r>
      <w:r>
        <w:rPr>
          <w:color w:val="121212"/>
          <w:shd w:val="clear" w:color="auto" w:fill="FFFFFF"/>
        </w:rPr>
        <w:t>‘</w:t>
      </w:r>
      <w:r w:rsidRPr="00052FD8">
        <w:rPr>
          <w:color w:val="121212"/>
          <w:shd w:val="clear" w:color="auto" w:fill="FFFFFF"/>
        </w:rPr>
        <w:t>there should be a debate about the past</w:t>
      </w:r>
      <w:r>
        <w:rPr>
          <w:color w:val="121212"/>
          <w:shd w:val="clear" w:color="auto" w:fill="FFFFFF"/>
        </w:rPr>
        <w:t>’</w:t>
      </w:r>
      <w:r w:rsidRPr="00052FD8">
        <w:rPr>
          <w:color w:val="121212"/>
          <w:shd w:val="clear" w:color="auto" w:fill="FFFFFF"/>
        </w:rPr>
        <w:t xml:space="preserve"> in order to learn from it, it continued to deny legal culpability for Britain’s colonial history.</w:t>
      </w:r>
      <w:r w:rsidRPr="00052FD8">
        <w:rPr>
          <w:rStyle w:val="FootnoteReference"/>
          <w:color w:val="121212"/>
          <w:shd w:val="clear" w:color="auto" w:fill="FFFFFF"/>
        </w:rPr>
        <w:footnoteReference w:id="28"/>
      </w:r>
      <w:r w:rsidRPr="00052FD8">
        <w:rPr>
          <w:color w:val="121212"/>
          <w:shd w:val="clear" w:color="auto" w:fill="FFFFFF"/>
        </w:rPr>
        <w:t xml:space="preserve"> British taxpayers, according to their government, should not pay for historic crimes they </w:t>
      </w:r>
      <w:r>
        <w:rPr>
          <w:color w:val="121212"/>
          <w:shd w:val="clear" w:color="auto" w:fill="FFFFFF"/>
        </w:rPr>
        <w:t xml:space="preserve">had </w:t>
      </w:r>
      <w:r w:rsidRPr="00052FD8">
        <w:rPr>
          <w:color w:val="121212"/>
          <w:shd w:val="clear" w:color="auto" w:fill="FFFFFF"/>
        </w:rPr>
        <w:t>played no role in committing (despite the fact that, for victims still living with its consequences, torture cannot be quite so neatly relegated to the past).</w:t>
      </w:r>
      <w:r w:rsidRPr="00052FD8">
        <w:rPr>
          <w:rStyle w:val="FootnoteReference"/>
          <w:color w:val="121212"/>
          <w:shd w:val="clear" w:color="auto" w:fill="FFFFFF"/>
        </w:rPr>
        <w:footnoteReference w:id="29"/>
      </w:r>
      <w:r w:rsidRPr="00052FD8">
        <w:rPr>
          <w:color w:val="121212"/>
          <w:shd w:val="clear" w:color="auto" w:fill="FFFFFF"/>
        </w:rPr>
        <w:t xml:space="preserve"> </w:t>
      </w:r>
      <w:r w:rsidRPr="00052FD8">
        <w:rPr>
          <w:shd w:val="clear" w:color="auto" w:fill="FFFFFF"/>
        </w:rPr>
        <w:t>States such as Germany may therefore be continuing to apologi</w:t>
      </w:r>
      <w:r>
        <w:rPr>
          <w:shd w:val="clear" w:color="auto" w:fill="FFFFFF"/>
        </w:rPr>
        <w:t>z</w:t>
      </w:r>
      <w:r w:rsidRPr="00052FD8">
        <w:rPr>
          <w:shd w:val="clear" w:color="auto" w:fill="FFFFFF"/>
        </w:rPr>
        <w:t>e</w:t>
      </w:r>
      <w:r>
        <w:t>—</w:t>
      </w:r>
      <w:r w:rsidRPr="00052FD8">
        <w:rPr>
          <w:shd w:val="clear" w:color="auto" w:fill="FFFFFF"/>
        </w:rPr>
        <w:t>and pay compensation for</w:t>
      </w:r>
      <w:r>
        <w:t>—</w:t>
      </w:r>
      <w:r w:rsidRPr="00052FD8">
        <w:rPr>
          <w:shd w:val="clear" w:color="auto" w:fill="FFFFFF"/>
        </w:rPr>
        <w:t>crimes which few contemporary Germans played any role in committing, but Britain, according to such logic, was to be exempt from such a reckoning</w:t>
      </w:r>
      <w:r>
        <w:rPr>
          <w:shd w:val="clear" w:color="auto" w:fill="FFFFFF"/>
        </w:rPr>
        <w:t xml:space="preserve">. </w:t>
      </w:r>
      <w:r w:rsidRPr="00052FD8">
        <w:rPr>
          <w:color w:val="121212"/>
          <w:shd w:val="clear" w:color="auto" w:fill="FFFFFF"/>
        </w:rPr>
        <w:t>Little wonder that, though restorative justice may have swept through many parts of the world in recent decades</w:t>
      </w:r>
      <w:r w:rsidRPr="00052FD8">
        <w:t xml:space="preserve"> it has largely passed Britain by.</w:t>
      </w:r>
      <w:r w:rsidRPr="00052FD8">
        <w:rPr>
          <w:rStyle w:val="FootnoteReference"/>
        </w:rPr>
        <w:footnoteReference w:id="30"/>
      </w:r>
      <w:r w:rsidRPr="00052FD8">
        <w:rPr>
          <w:color w:val="121212"/>
          <w:shd w:val="clear" w:color="auto" w:fill="FFFFFF"/>
        </w:rPr>
        <w:t xml:space="preserve"> </w:t>
      </w:r>
    </w:p>
    <w:p w14:paraId="1622C092" w14:textId="77777777" w:rsidR="00997966" w:rsidRPr="001A49EE" w:rsidRDefault="00997966" w:rsidP="00997966">
      <w:pPr>
        <w:spacing w:line="480" w:lineRule="auto"/>
        <w:ind w:firstLine="720"/>
        <w:contextualSpacing/>
        <w:rPr>
          <w:color w:val="000000"/>
          <w:shd w:val="clear" w:color="auto" w:fill="FFFFFF"/>
        </w:rPr>
      </w:pPr>
      <w:r w:rsidRPr="00052FD8">
        <w:rPr>
          <w:color w:val="121212"/>
          <w:shd w:val="clear" w:color="auto" w:fill="FFFFFF"/>
        </w:rPr>
        <w:lastRenderedPageBreak/>
        <w:t xml:space="preserve">To be sure, the British government made some concessions. In what was a rare admission of the falsity of the </w:t>
      </w:r>
      <w:r>
        <w:rPr>
          <w:color w:val="121212"/>
          <w:shd w:val="clear" w:color="auto" w:fill="FFFFFF"/>
        </w:rPr>
        <w:t>‘</w:t>
      </w:r>
      <w:r w:rsidRPr="00052FD8">
        <w:rPr>
          <w:color w:val="121212"/>
          <w:shd w:val="clear" w:color="auto" w:fill="FFFFFF"/>
        </w:rPr>
        <w:t>bad apple</w:t>
      </w:r>
      <w:r>
        <w:rPr>
          <w:color w:val="121212"/>
          <w:shd w:val="clear" w:color="auto" w:fill="FFFFFF"/>
        </w:rPr>
        <w:t>’</w:t>
      </w:r>
      <w:r w:rsidRPr="00052FD8">
        <w:rPr>
          <w:color w:val="121212"/>
          <w:shd w:val="clear" w:color="auto" w:fill="FFFFFF"/>
        </w:rPr>
        <w:t xml:space="preserve"> thesis it acknowledged</w:t>
      </w:r>
      <w:r>
        <w:rPr>
          <w:color w:val="121212"/>
          <w:shd w:val="clear" w:color="auto" w:fill="FFFFFF"/>
        </w:rPr>
        <w:t xml:space="preserve"> </w:t>
      </w:r>
      <w:r w:rsidRPr="00052FD8">
        <w:rPr>
          <w:color w:val="121212"/>
          <w:shd w:val="clear" w:color="auto" w:fill="FFFFFF"/>
        </w:rPr>
        <w:t xml:space="preserve">that Kenyans had been subjected to torture </w:t>
      </w:r>
      <w:r>
        <w:rPr>
          <w:color w:val="121212"/>
          <w:shd w:val="clear" w:color="auto" w:fill="FFFFFF"/>
        </w:rPr>
        <w:t>by</w:t>
      </w:r>
      <w:r w:rsidRPr="00052FD8">
        <w:rPr>
          <w:color w:val="121212"/>
          <w:shd w:val="clear" w:color="auto" w:fill="FFFFFF"/>
        </w:rPr>
        <w:t xml:space="preserve"> the colonial regime. But it sought to mitigate the inhumanity to which Kenyans had been subject through marshalling a version of the displacement of colonial blame thesis, according to which, as Foreign Secretary William Hague put it, </w:t>
      </w:r>
      <w:r>
        <w:rPr>
          <w:color w:val="121212"/>
          <w:shd w:val="clear" w:color="auto" w:fill="FFFFFF"/>
        </w:rPr>
        <w:t>‘</w:t>
      </w:r>
      <w:r w:rsidRPr="00052FD8">
        <w:rPr>
          <w:color w:val="000000"/>
          <w:shd w:val="clear" w:color="auto" w:fill="FFFFFF"/>
        </w:rPr>
        <w:t>widespread violence</w:t>
      </w:r>
      <w:r>
        <w:rPr>
          <w:color w:val="000000"/>
          <w:shd w:val="clear" w:color="auto" w:fill="FFFFFF"/>
        </w:rPr>
        <w:t>’</w:t>
      </w:r>
      <w:r w:rsidRPr="00052FD8">
        <w:rPr>
          <w:color w:val="000000"/>
          <w:shd w:val="clear" w:color="auto" w:fill="FFFFFF"/>
        </w:rPr>
        <w:t xml:space="preserve"> and </w:t>
      </w:r>
      <w:r>
        <w:rPr>
          <w:color w:val="000000"/>
          <w:shd w:val="clear" w:color="auto" w:fill="FFFFFF"/>
        </w:rPr>
        <w:t>‘</w:t>
      </w:r>
      <w:r w:rsidRPr="00052FD8">
        <w:rPr>
          <w:color w:val="000000"/>
          <w:shd w:val="clear" w:color="auto" w:fill="FFFFFF"/>
        </w:rPr>
        <w:t>terrible acts</w:t>
      </w:r>
      <w:r>
        <w:rPr>
          <w:color w:val="000000"/>
          <w:shd w:val="clear" w:color="auto" w:fill="FFFFFF"/>
        </w:rPr>
        <w:t>’</w:t>
      </w:r>
      <w:r w:rsidRPr="00052FD8">
        <w:rPr>
          <w:color w:val="000000"/>
          <w:shd w:val="clear" w:color="auto" w:fill="FFFFFF"/>
        </w:rPr>
        <w:t xml:space="preserve"> had been </w:t>
      </w:r>
      <w:r>
        <w:rPr>
          <w:color w:val="000000"/>
          <w:shd w:val="clear" w:color="auto" w:fill="FFFFFF"/>
        </w:rPr>
        <w:t>‘</w:t>
      </w:r>
      <w:r w:rsidRPr="00052FD8">
        <w:rPr>
          <w:color w:val="000000"/>
          <w:shd w:val="clear" w:color="auto" w:fill="FFFFFF"/>
        </w:rPr>
        <w:t xml:space="preserve">committed on </w:t>
      </w:r>
      <w:r w:rsidRPr="00052FD8">
        <w:rPr>
          <w:i/>
          <w:iCs/>
          <w:color w:val="000000"/>
          <w:shd w:val="clear" w:color="auto" w:fill="FFFFFF"/>
        </w:rPr>
        <w:t>both</w:t>
      </w:r>
      <w:r w:rsidRPr="00052FD8">
        <w:rPr>
          <w:color w:val="000000"/>
          <w:shd w:val="clear" w:color="auto" w:fill="FFFFFF"/>
        </w:rPr>
        <w:t xml:space="preserve"> sides</w:t>
      </w:r>
      <w:r>
        <w:rPr>
          <w:color w:val="000000"/>
          <w:shd w:val="clear" w:color="auto" w:fill="FFFFFF"/>
        </w:rPr>
        <w:t>’</w:t>
      </w:r>
      <w:r w:rsidRPr="00052FD8">
        <w:rPr>
          <w:color w:val="000000"/>
          <w:shd w:val="clear" w:color="auto" w:fill="FFFFFF"/>
        </w:rPr>
        <w:t xml:space="preserve"> (emphasis added)</w:t>
      </w:r>
      <w:r>
        <w:t>—</w:t>
      </w:r>
      <w:r w:rsidRPr="00052FD8">
        <w:rPr>
          <w:color w:val="000000"/>
          <w:shd w:val="clear" w:color="auto" w:fill="FFFFFF"/>
        </w:rPr>
        <w:t>a vindication of the violence of white supremacy reminiscent of U.S. President Donald Trump’s defence of the murder of civil rights activist Heather Heyer by white nationalist James Alex Fields, Jr.</w:t>
      </w:r>
      <w:r w:rsidRPr="00052FD8">
        <w:rPr>
          <w:rStyle w:val="FootnoteReference"/>
          <w:color w:val="121212"/>
          <w:shd w:val="clear" w:color="auto" w:fill="FFFFFF"/>
        </w:rPr>
        <w:footnoteReference w:id="31"/>
      </w:r>
      <w:r w:rsidRPr="00052FD8">
        <w:rPr>
          <w:color w:val="121212"/>
          <w:shd w:val="clear" w:color="auto" w:fill="FFFFFF"/>
        </w:rPr>
        <w:t xml:space="preserve"> </w:t>
      </w:r>
      <w:r w:rsidRPr="00052FD8">
        <w:rPr>
          <w:color w:val="000000"/>
          <w:shd w:val="clear" w:color="auto" w:fill="FFFFFF"/>
        </w:rPr>
        <w:t xml:space="preserve">For Hague, therefore, the murders of </w:t>
      </w:r>
      <w:r>
        <w:rPr>
          <w:color w:val="000000"/>
          <w:shd w:val="clear" w:color="auto" w:fill="FFFFFF"/>
        </w:rPr>
        <w:t>‘</w:t>
      </w:r>
      <w:r w:rsidRPr="00052FD8">
        <w:rPr>
          <w:color w:val="000000"/>
          <w:shd w:val="clear" w:color="auto" w:fill="FFFFFF"/>
        </w:rPr>
        <w:t>thirty</w:t>
      </w:r>
      <w:r>
        <w:rPr>
          <w:color w:val="000000"/>
          <w:shd w:val="clear" w:color="auto" w:fill="FFFFFF"/>
        </w:rPr>
        <w:t>-</w:t>
      </w:r>
      <w:r w:rsidRPr="00052FD8">
        <w:rPr>
          <w:color w:val="000000"/>
          <w:shd w:val="clear" w:color="auto" w:fill="FFFFFF"/>
        </w:rPr>
        <w:t>two European settlers . . . in horrific circumstances</w:t>
      </w:r>
      <w:r>
        <w:rPr>
          <w:color w:val="000000"/>
          <w:shd w:val="clear" w:color="auto" w:fill="FFFFFF"/>
        </w:rPr>
        <w:t>’</w:t>
      </w:r>
      <w:r w:rsidRPr="00052FD8">
        <w:rPr>
          <w:color w:val="000000"/>
          <w:shd w:val="clear" w:color="auto" w:fill="FFFFFF"/>
        </w:rPr>
        <w:t xml:space="preserve"> at the hands of a coloni</w:t>
      </w:r>
      <w:r>
        <w:rPr>
          <w:color w:val="000000"/>
          <w:shd w:val="clear" w:color="auto" w:fill="FFFFFF"/>
        </w:rPr>
        <w:t>z</w:t>
      </w:r>
      <w:r w:rsidRPr="00052FD8">
        <w:rPr>
          <w:color w:val="000000"/>
          <w:shd w:val="clear" w:color="auto" w:fill="FFFFFF"/>
        </w:rPr>
        <w:t>ed people was equivalent to, and justified, the torture, maiming, or execution of an estimated 90,000 Kenyans; anti</w:t>
      </w:r>
      <w:r>
        <w:rPr>
          <w:color w:val="000000"/>
          <w:shd w:val="clear" w:color="auto" w:fill="FFFFFF"/>
        </w:rPr>
        <w:t>-</w:t>
      </w:r>
      <w:r w:rsidRPr="00052FD8">
        <w:rPr>
          <w:color w:val="000000"/>
          <w:shd w:val="clear" w:color="auto" w:fill="FFFFFF"/>
        </w:rPr>
        <w:t xml:space="preserve">colonial insurgency was reduced, </w:t>
      </w:r>
      <w:r>
        <w:rPr>
          <w:color w:val="000000"/>
          <w:shd w:val="clear" w:color="auto" w:fill="FFFFFF"/>
        </w:rPr>
        <w:t>in addition</w:t>
      </w:r>
      <w:r w:rsidRPr="00052FD8">
        <w:rPr>
          <w:color w:val="000000"/>
          <w:shd w:val="clear" w:color="auto" w:fill="FFFFFF"/>
        </w:rPr>
        <w:t xml:space="preserve">, to </w:t>
      </w:r>
      <w:r>
        <w:rPr>
          <w:color w:val="000000"/>
          <w:shd w:val="clear" w:color="auto" w:fill="FFFFFF"/>
        </w:rPr>
        <w:t>‘</w:t>
      </w:r>
      <w:r w:rsidRPr="00052FD8">
        <w:rPr>
          <w:color w:val="000000"/>
          <w:shd w:val="clear" w:color="auto" w:fill="FFFFFF"/>
        </w:rPr>
        <w:t>terrorist actions</w:t>
      </w:r>
      <w:r>
        <w:rPr>
          <w:color w:val="000000"/>
          <w:shd w:val="clear" w:color="auto" w:fill="FFFFFF"/>
        </w:rPr>
        <w:t>’</w:t>
      </w:r>
      <w:r w:rsidRPr="00052FD8">
        <w:rPr>
          <w:color w:val="121212"/>
          <w:shd w:val="clear" w:color="auto" w:fill="FFFFFF"/>
        </w:rPr>
        <w:t>.</w:t>
      </w:r>
      <w:r w:rsidRPr="00052FD8">
        <w:rPr>
          <w:rStyle w:val="FootnoteReference"/>
          <w:color w:val="121212"/>
          <w:shd w:val="clear" w:color="auto" w:fill="FFFFFF"/>
        </w:rPr>
        <w:footnoteReference w:id="32"/>
      </w:r>
      <w:r w:rsidRPr="00052FD8">
        <w:rPr>
          <w:color w:val="121212"/>
          <w:shd w:val="clear" w:color="auto" w:fill="FFFFFF"/>
        </w:rPr>
        <w:t xml:space="preserve"> Displacing the blame for colonial violence onto its recipients made it possible, in turn, to avoid having to apologise for it; Hague instead </w:t>
      </w:r>
      <w:r w:rsidRPr="00052FD8">
        <w:rPr>
          <w:color w:val="121212"/>
          <w:shd w:val="clear" w:color="auto" w:fill="FFFFFF"/>
        </w:rPr>
        <w:lastRenderedPageBreak/>
        <w:t xml:space="preserve">merely expressed </w:t>
      </w:r>
      <w:r>
        <w:rPr>
          <w:color w:val="121212"/>
          <w:shd w:val="clear" w:color="auto" w:fill="FFFFFF"/>
        </w:rPr>
        <w:t>‘</w:t>
      </w:r>
      <w:r w:rsidRPr="00052FD8">
        <w:rPr>
          <w:color w:val="121212"/>
          <w:shd w:val="clear" w:color="auto" w:fill="FFFFFF"/>
        </w:rPr>
        <w:t>sincere regret</w:t>
      </w:r>
      <w:r>
        <w:rPr>
          <w:color w:val="121212"/>
          <w:shd w:val="clear" w:color="auto" w:fill="FFFFFF"/>
        </w:rPr>
        <w:t>’</w:t>
      </w:r>
      <w:r w:rsidRPr="00052FD8">
        <w:rPr>
          <w:rStyle w:val="FootnoteReference"/>
          <w:color w:val="121212"/>
          <w:shd w:val="clear" w:color="auto" w:fill="FFFFFF"/>
        </w:rPr>
        <w:footnoteReference w:id="33"/>
      </w:r>
      <w:r w:rsidRPr="00052FD8">
        <w:rPr>
          <w:color w:val="121212"/>
          <w:shd w:val="clear" w:color="auto" w:fill="FFFFFF"/>
        </w:rPr>
        <w:t xml:space="preserve"> for both the torture and</w:t>
      </w:r>
      <w:r>
        <w:t>—</w:t>
      </w:r>
      <w:r w:rsidRPr="00052FD8">
        <w:rPr>
          <w:color w:val="121212"/>
          <w:shd w:val="clear" w:color="auto" w:fill="FFFFFF"/>
        </w:rPr>
        <w:t xml:space="preserve">lest anyone forget that Britain had been in Kenya to </w:t>
      </w:r>
      <w:r>
        <w:rPr>
          <w:color w:val="121212"/>
          <w:shd w:val="clear" w:color="auto" w:fill="FFFFFF"/>
        </w:rPr>
        <w:t>‘</w:t>
      </w:r>
      <w:r w:rsidRPr="00052FD8">
        <w:rPr>
          <w:color w:val="121212"/>
          <w:shd w:val="clear" w:color="auto" w:fill="FFFFFF"/>
        </w:rPr>
        <w:t>civili</w:t>
      </w:r>
      <w:r>
        <w:rPr>
          <w:color w:val="121212"/>
          <w:shd w:val="clear" w:color="auto" w:fill="FFFFFF"/>
        </w:rPr>
        <w:t>z</w:t>
      </w:r>
      <w:r w:rsidRPr="00052FD8">
        <w:rPr>
          <w:color w:val="121212"/>
          <w:shd w:val="clear" w:color="auto" w:fill="FFFFFF"/>
        </w:rPr>
        <w:t>e</w:t>
      </w:r>
      <w:r>
        <w:rPr>
          <w:color w:val="121212"/>
          <w:shd w:val="clear" w:color="auto" w:fill="FFFFFF"/>
        </w:rPr>
        <w:t>’</w:t>
      </w:r>
      <w:r w:rsidRPr="00052FD8">
        <w:rPr>
          <w:color w:val="121212"/>
          <w:shd w:val="clear" w:color="auto" w:fill="FFFFFF"/>
        </w:rPr>
        <w:t xml:space="preserve"> it</w:t>
      </w:r>
      <w:r>
        <w:t>—</w:t>
      </w:r>
      <w:r w:rsidRPr="00052FD8">
        <w:rPr>
          <w:color w:val="121212"/>
          <w:shd w:val="clear" w:color="auto" w:fill="FFFFFF"/>
        </w:rPr>
        <w:t xml:space="preserve">that such torture had </w:t>
      </w:r>
      <w:r>
        <w:rPr>
          <w:color w:val="121212"/>
          <w:shd w:val="clear" w:color="auto" w:fill="FFFFFF"/>
        </w:rPr>
        <w:t>‘</w:t>
      </w:r>
      <w:r w:rsidRPr="00052FD8">
        <w:rPr>
          <w:color w:val="121212"/>
          <w:shd w:val="clear" w:color="auto" w:fill="FFFFFF"/>
        </w:rPr>
        <w:t>marred Kenya’s progress towards independence</w:t>
      </w:r>
      <w:r>
        <w:rPr>
          <w:color w:val="121212"/>
          <w:shd w:val="clear" w:color="auto" w:fill="FFFFFF"/>
        </w:rPr>
        <w:t>’</w:t>
      </w:r>
      <w:r w:rsidRPr="00052FD8">
        <w:rPr>
          <w:color w:val="121212"/>
          <w:shd w:val="clear" w:color="auto" w:fill="FFFFFF"/>
        </w:rPr>
        <w:t xml:space="preserve"> (which, by implication, Britain had been working to bring about).</w:t>
      </w:r>
      <w:r w:rsidRPr="00052FD8">
        <w:rPr>
          <w:rStyle w:val="FootnoteReference"/>
          <w:color w:val="121212"/>
          <w:shd w:val="clear" w:color="auto" w:fill="FFFFFF"/>
        </w:rPr>
        <w:footnoteReference w:id="34"/>
      </w:r>
      <w:r w:rsidRPr="00052FD8">
        <w:rPr>
          <w:color w:val="121212"/>
          <w:shd w:val="clear" w:color="auto" w:fill="FFFFFF"/>
        </w:rPr>
        <w:t xml:space="preserve"> Apologies were clearly therefore for other, less </w:t>
      </w:r>
      <w:r>
        <w:rPr>
          <w:color w:val="121212"/>
          <w:shd w:val="clear" w:color="auto" w:fill="FFFFFF"/>
        </w:rPr>
        <w:t>‘</w:t>
      </w:r>
      <w:r w:rsidRPr="00052FD8">
        <w:rPr>
          <w:color w:val="121212"/>
          <w:shd w:val="clear" w:color="auto" w:fill="FFFFFF"/>
        </w:rPr>
        <w:t>civili</w:t>
      </w:r>
      <w:r>
        <w:rPr>
          <w:color w:val="121212"/>
          <w:shd w:val="clear" w:color="auto" w:fill="FFFFFF"/>
        </w:rPr>
        <w:t>z</w:t>
      </w:r>
      <w:r w:rsidRPr="00052FD8">
        <w:rPr>
          <w:color w:val="121212"/>
          <w:shd w:val="clear" w:color="auto" w:fill="FFFFFF"/>
        </w:rPr>
        <w:t>ed</w:t>
      </w:r>
      <w:r>
        <w:rPr>
          <w:color w:val="121212"/>
          <w:shd w:val="clear" w:color="auto" w:fill="FFFFFF"/>
        </w:rPr>
        <w:t>’</w:t>
      </w:r>
      <w:r w:rsidRPr="00052FD8">
        <w:rPr>
          <w:color w:val="121212"/>
          <w:shd w:val="clear" w:color="auto" w:fill="FFFFFF"/>
        </w:rPr>
        <w:t xml:space="preserve"> states, ones without what Hague referred to as Britain’s </w:t>
      </w:r>
      <w:r>
        <w:rPr>
          <w:color w:val="121212"/>
          <w:shd w:val="clear" w:color="auto" w:fill="FFFFFF"/>
        </w:rPr>
        <w:t>‘</w:t>
      </w:r>
      <w:r w:rsidRPr="00052FD8">
        <w:rPr>
          <w:color w:val="000000"/>
          <w:shd w:val="clear" w:color="auto" w:fill="FFFFFF"/>
        </w:rPr>
        <w:t>high standards of human rights . . .</w:t>
      </w:r>
      <w:r>
        <w:rPr>
          <w:color w:val="000000"/>
          <w:shd w:val="clear" w:color="auto" w:fill="FFFFFF"/>
        </w:rPr>
        <w:t>’</w:t>
      </w:r>
      <w:r w:rsidRPr="008D4EBF">
        <w:t xml:space="preserve"> </w:t>
      </w:r>
      <w:r>
        <w:t>—</w:t>
      </w:r>
      <w:r w:rsidRPr="00052FD8">
        <w:rPr>
          <w:color w:val="000000"/>
          <w:shd w:val="clear" w:color="auto" w:fill="FFFFFF"/>
        </w:rPr>
        <w:t xml:space="preserve">such as the apology that Britain wrested out of Libya’s revolutionary leadership, during the course of the </w:t>
      </w:r>
      <w:r w:rsidRPr="00052FD8">
        <w:rPr>
          <w:i/>
          <w:iCs/>
          <w:color w:val="000000"/>
          <w:shd w:val="clear" w:color="auto" w:fill="FFFFFF"/>
        </w:rPr>
        <w:t xml:space="preserve">Matua </w:t>
      </w:r>
      <w:r w:rsidRPr="00052FD8">
        <w:rPr>
          <w:color w:val="000000"/>
          <w:shd w:val="clear" w:color="auto" w:fill="FFFFFF"/>
        </w:rPr>
        <w:t xml:space="preserve">trial (and on behalf of the </w:t>
      </w:r>
      <w:r w:rsidRPr="00052FD8">
        <w:rPr>
          <w:color w:val="000000"/>
          <w:shd w:val="clear" w:color="auto" w:fill="FFFFFF"/>
        </w:rPr>
        <w:lastRenderedPageBreak/>
        <w:t xml:space="preserve">Libyan people), </w:t>
      </w:r>
      <w:r w:rsidRPr="00052FD8">
        <w:rPr>
          <w:shd w:val="clear" w:color="auto" w:fill="FFFFFF"/>
        </w:rPr>
        <w:t>for acts committed by the regime of the very man it was struggling to overthrow, Muammar Gaddafi.</w:t>
      </w:r>
      <w:r w:rsidRPr="00052FD8">
        <w:rPr>
          <w:rStyle w:val="FootnoteReference"/>
          <w:shd w:val="clear" w:color="auto" w:fill="FFFFFF"/>
        </w:rPr>
        <w:footnoteReference w:id="35"/>
      </w:r>
    </w:p>
    <w:p w14:paraId="4E425C28" w14:textId="77777777" w:rsidR="00997966" w:rsidRPr="00052FD8" w:rsidRDefault="00997966" w:rsidP="00997966">
      <w:pPr>
        <w:spacing w:line="480" w:lineRule="auto"/>
        <w:ind w:firstLine="720"/>
        <w:contextualSpacing/>
      </w:pPr>
      <w:r w:rsidRPr="00052FD8">
        <w:rPr>
          <w:shd w:val="clear" w:color="auto" w:fill="FFFFFF"/>
        </w:rPr>
        <w:t xml:space="preserve">The </w:t>
      </w:r>
      <w:r w:rsidRPr="00052FD8">
        <w:rPr>
          <w:i/>
          <w:iCs/>
          <w:shd w:val="clear" w:color="auto" w:fill="FFFFFF"/>
        </w:rPr>
        <w:t>Matua</w:t>
      </w:r>
      <w:r w:rsidRPr="00052FD8">
        <w:rPr>
          <w:shd w:val="clear" w:color="auto" w:fill="FFFFFF"/>
        </w:rPr>
        <w:t xml:space="preserve"> case and its aftermath thus offer </w:t>
      </w:r>
      <w:proofErr w:type="gramStart"/>
      <w:r w:rsidRPr="00052FD8">
        <w:rPr>
          <w:shd w:val="clear" w:color="auto" w:fill="FFFFFF"/>
        </w:rPr>
        <w:t>a number of</w:t>
      </w:r>
      <w:proofErr w:type="gramEnd"/>
      <w:r w:rsidRPr="00052FD8">
        <w:rPr>
          <w:shd w:val="clear" w:color="auto" w:fill="FFFFFF"/>
        </w:rPr>
        <w:t xml:space="preserve"> insights into colonial violence and how it operates. </w:t>
      </w:r>
      <w:r>
        <w:rPr>
          <w:shd w:val="clear" w:color="auto" w:fill="FFFFFF"/>
        </w:rPr>
        <w:t>The case</w:t>
      </w:r>
      <w:r w:rsidRPr="00052FD8">
        <w:rPr>
          <w:shd w:val="clear" w:color="auto" w:fill="FFFFFF"/>
        </w:rPr>
        <w:t xml:space="preserve"> reveals, to begin with, that such violence was often systemati</w:t>
      </w:r>
      <w:r>
        <w:rPr>
          <w:shd w:val="clear" w:color="auto" w:fill="FFFFFF"/>
        </w:rPr>
        <w:t>z</w:t>
      </w:r>
      <w:r w:rsidRPr="00052FD8">
        <w:rPr>
          <w:shd w:val="clear" w:color="auto" w:fill="FFFFFF"/>
        </w:rPr>
        <w:t>ed, with whole swathes of coloni</w:t>
      </w:r>
      <w:r>
        <w:rPr>
          <w:shd w:val="clear" w:color="auto" w:fill="FFFFFF"/>
        </w:rPr>
        <w:t>z</w:t>
      </w:r>
      <w:r w:rsidRPr="00052FD8">
        <w:rPr>
          <w:shd w:val="clear" w:color="auto" w:fill="FFFFFF"/>
        </w:rPr>
        <w:t>ed populations</w:t>
      </w:r>
      <w:r>
        <w:t>—</w:t>
      </w:r>
      <w:r w:rsidRPr="00052FD8">
        <w:rPr>
          <w:shd w:val="clear" w:color="auto" w:fill="FFFFFF"/>
        </w:rPr>
        <w:t>in the case of the Kikuyu, an entire ethnic group</w:t>
      </w:r>
      <w:r>
        <w:t>—</w:t>
      </w:r>
      <w:r w:rsidRPr="00052FD8">
        <w:rPr>
          <w:shd w:val="clear" w:color="auto" w:fill="FFFFFF"/>
        </w:rPr>
        <w:t xml:space="preserve">abandoned by the state. It demonstrates, secondly, that although Britain might conceive of torture as a </w:t>
      </w:r>
      <w:r w:rsidRPr="00052FD8">
        <w:t xml:space="preserve">barbaric practice long relegated to its past, as in the case of other liberal democratic states such violence has, instead, been central both to the disciplining, or </w:t>
      </w:r>
      <w:r>
        <w:t>‘</w:t>
      </w:r>
      <w:r w:rsidRPr="00052FD8">
        <w:t>civili</w:t>
      </w:r>
      <w:r>
        <w:t>z</w:t>
      </w:r>
      <w:r w:rsidRPr="00052FD8">
        <w:t>ing</w:t>
      </w:r>
      <w:r>
        <w:t>’</w:t>
      </w:r>
      <w:r w:rsidRPr="00052FD8">
        <w:t xml:space="preserve">, of what Sara Ahmed refers to as </w:t>
      </w:r>
      <w:r>
        <w:t>‘</w:t>
      </w:r>
      <w:r w:rsidRPr="00052FD8">
        <w:t>other others</w:t>
      </w:r>
      <w:r>
        <w:t>’</w:t>
      </w:r>
      <w:r w:rsidRPr="00052FD8">
        <w:t>, as well as to the maintenance of its sovereignty.</w:t>
      </w:r>
      <w:r w:rsidRPr="00052FD8">
        <w:rPr>
          <w:rStyle w:val="FootnoteReference"/>
        </w:rPr>
        <w:footnoteReference w:id="36"/>
      </w:r>
      <w:r w:rsidRPr="00052FD8">
        <w:t xml:space="preserve"> Thirdly, the case illustrates some of the many discourses </w:t>
      </w:r>
      <w:r w:rsidRPr="00052FD8">
        <w:lastRenderedPageBreak/>
        <w:t xml:space="preserve">and practices of denial regarding British culpability for torture and other forms of colonial violence. Since the voluminous nature of the evidence made it impossible for the British government to </w:t>
      </w:r>
      <w:r>
        <w:t xml:space="preserve">completely </w:t>
      </w:r>
      <w:r w:rsidRPr="00052FD8">
        <w:t>deny its accountability for systemati</w:t>
      </w:r>
      <w:r>
        <w:t>z</w:t>
      </w:r>
      <w:r w:rsidRPr="00052FD8">
        <w:t>ed torture in Kenya it sought, instead, to rename (</w:t>
      </w:r>
      <w:r>
        <w:t>‘</w:t>
      </w:r>
      <w:r w:rsidRPr="00052FD8">
        <w:t>terrible acts</w:t>
      </w:r>
      <w:r>
        <w:t>’</w:t>
      </w:r>
      <w:r w:rsidRPr="00052FD8">
        <w:t>), discredit (</w:t>
      </w:r>
      <w:r>
        <w:t>‘</w:t>
      </w:r>
      <w:r w:rsidRPr="00052FD8">
        <w:t>bad apples</w:t>
      </w:r>
      <w:r>
        <w:t>’</w:t>
      </w:r>
      <w:r w:rsidRPr="00052FD8">
        <w:t>; we do not torture because we are British)</w:t>
      </w:r>
      <w:r>
        <w:t>,</w:t>
      </w:r>
      <w:r w:rsidRPr="00052FD8">
        <w:t xml:space="preserve"> and justify such violence through victim</w:t>
      </w:r>
      <w:r>
        <w:t>-</w:t>
      </w:r>
      <w:r w:rsidRPr="00052FD8">
        <w:t>blaming (</w:t>
      </w:r>
      <w:r>
        <w:t>‘</w:t>
      </w:r>
      <w:r w:rsidRPr="00052FD8">
        <w:t>terrorist actions</w:t>
      </w:r>
      <w:r>
        <w:t>’</w:t>
      </w:r>
      <w:r w:rsidRPr="00052FD8">
        <w:t>).</w:t>
      </w:r>
      <w:r w:rsidRPr="00052FD8">
        <w:rPr>
          <w:rStyle w:val="FootnoteReference"/>
        </w:rPr>
        <w:footnoteReference w:id="37"/>
      </w:r>
    </w:p>
    <w:p w14:paraId="62D6506F" w14:textId="77777777" w:rsidR="00997966" w:rsidRPr="00052FD8" w:rsidRDefault="00997966" w:rsidP="00997966">
      <w:pPr>
        <w:spacing w:line="480" w:lineRule="auto"/>
        <w:ind w:firstLine="720"/>
        <w:contextualSpacing/>
      </w:pPr>
      <w:r w:rsidRPr="00052FD8">
        <w:t xml:space="preserve">But while disclosing the nature of colonial violence, </w:t>
      </w:r>
      <w:r w:rsidRPr="00052FD8">
        <w:rPr>
          <w:i/>
          <w:iCs/>
        </w:rPr>
        <w:t>Matua</w:t>
      </w:r>
      <w:r w:rsidRPr="00052FD8">
        <w:t xml:space="preserve"> </w:t>
      </w:r>
      <w:r>
        <w:t>also made</w:t>
      </w:r>
      <w:r w:rsidRPr="00052FD8">
        <w:t xml:space="preserve"> such violence appear as exceptional, resorted to only </w:t>
      </w:r>
      <w:r>
        <w:t>‘</w:t>
      </w:r>
      <w:r w:rsidRPr="00052FD8">
        <w:t>in times of crisis</w:t>
      </w:r>
      <w:r>
        <w:t>’</w:t>
      </w:r>
      <w:r w:rsidRPr="00052FD8">
        <w:t xml:space="preserve">, such as the </w:t>
      </w:r>
      <w:r>
        <w:t>‘</w:t>
      </w:r>
      <w:r w:rsidRPr="00052FD8">
        <w:t>endgame</w:t>
      </w:r>
      <w:r>
        <w:t>’</w:t>
      </w:r>
      <w:r w:rsidRPr="00052FD8">
        <w:t xml:space="preserve"> of empire or, more recently, the new imperial, biopolitical</w:t>
      </w:r>
      <w:r>
        <w:t>,</w:t>
      </w:r>
      <w:r w:rsidRPr="00052FD8">
        <w:t xml:space="preserve"> and exceptional global order generated by United States</w:t>
      </w:r>
      <w:r>
        <w:t>-</w:t>
      </w:r>
      <w:r w:rsidRPr="00052FD8">
        <w:t xml:space="preserve">led </w:t>
      </w:r>
      <w:r>
        <w:t>‘</w:t>
      </w:r>
      <w:r w:rsidRPr="00052FD8">
        <w:t>war on terror</w:t>
      </w:r>
      <w:r>
        <w:t>’</w:t>
      </w:r>
      <w:r w:rsidRPr="00052FD8">
        <w:t>.</w:t>
      </w:r>
      <w:r w:rsidRPr="00052FD8">
        <w:rPr>
          <w:rStyle w:val="FootnoteReference"/>
        </w:rPr>
        <w:footnoteReference w:id="38"/>
      </w:r>
      <w:r w:rsidRPr="00052FD8">
        <w:t xml:space="preserve"> The global torture regime established by the United States </w:t>
      </w:r>
      <w:r w:rsidRPr="00052FD8">
        <w:lastRenderedPageBreak/>
        <w:t xml:space="preserve">against those </w:t>
      </w:r>
      <w:r>
        <w:t>‘</w:t>
      </w:r>
      <w:r w:rsidRPr="00052FD8">
        <w:t>other others</w:t>
      </w:r>
      <w:r>
        <w:t>’</w:t>
      </w:r>
      <w:r w:rsidRPr="00052FD8">
        <w:t xml:space="preserve"> (primarily Muslims) who, in Judith Butler’s words, are not regarded as </w:t>
      </w:r>
      <w:r>
        <w:t>‘</w:t>
      </w:r>
      <w:r w:rsidRPr="00052FD8">
        <w:t>grievable</w:t>
      </w:r>
      <w:r>
        <w:t>’</w:t>
      </w:r>
      <w:r w:rsidRPr="00052FD8">
        <w:t>, undoubtedly serves as a sign of the ways in which, as Giorgio Agamben has argued, the exception has become the norm.</w:t>
      </w:r>
      <w:r w:rsidRPr="00052FD8">
        <w:rPr>
          <w:rStyle w:val="FootnoteReference"/>
        </w:rPr>
        <w:footnoteReference w:id="39"/>
      </w:r>
      <w:r w:rsidRPr="00052FD8">
        <w:t xml:space="preserve"> Britain has also, despite how </w:t>
      </w:r>
      <w:r>
        <w:lastRenderedPageBreak/>
        <w:t>‘</w:t>
      </w:r>
      <w:r w:rsidRPr="00052FD8">
        <w:t>well</w:t>
      </w:r>
      <w:r>
        <w:t>-</w:t>
      </w:r>
      <w:r w:rsidRPr="00052FD8">
        <w:t>rehearsed</w:t>
      </w:r>
      <w:r>
        <w:t>’</w:t>
      </w:r>
      <w:r w:rsidRPr="00052FD8">
        <w:t xml:space="preserve"> the denial of torture has become in a country whose history has been so entwined with empire, played a key role in the establishment and maintenance of such a system</w:t>
      </w:r>
      <w:r>
        <w:t>—</w:t>
      </w:r>
      <w:r w:rsidRPr="00052FD8">
        <w:t xml:space="preserve">and in the process developed what Ruth Blakely and Sam Raphael refer to as a </w:t>
      </w:r>
      <w:r>
        <w:t>‘</w:t>
      </w:r>
      <w:r w:rsidRPr="00052FD8">
        <w:t>peculiarly British</w:t>
      </w:r>
      <w:r>
        <w:t>’</w:t>
      </w:r>
      <w:r w:rsidRPr="00052FD8">
        <w:t xml:space="preserve">, or </w:t>
      </w:r>
      <w:r>
        <w:t>‘</w:t>
      </w:r>
      <w:r w:rsidRPr="00052FD8">
        <w:t>neo</w:t>
      </w:r>
      <w:r>
        <w:t>-</w:t>
      </w:r>
      <w:r w:rsidRPr="00052FD8">
        <w:t>colonial</w:t>
      </w:r>
      <w:r>
        <w:t>’</w:t>
      </w:r>
      <w:r w:rsidRPr="00052FD8">
        <w:t xml:space="preserve"> approach to torture.</w:t>
      </w:r>
      <w:r w:rsidRPr="00052FD8">
        <w:rPr>
          <w:rStyle w:val="FootnoteReference"/>
        </w:rPr>
        <w:footnoteReference w:id="40"/>
      </w:r>
      <w:r w:rsidRPr="00052FD8">
        <w:t xml:space="preserve"> According to Blakely and </w:t>
      </w:r>
      <w:r w:rsidRPr="00052FD8">
        <w:lastRenderedPageBreak/>
        <w:t xml:space="preserve">Raphael, in the colonial era </w:t>
      </w:r>
      <w:bookmarkStart w:id="8" w:name="_Hlk41570930"/>
      <w:r>
        <w:t>‘</w:t>
      </w:r>
      <w:r w:rsidRPr="00052FD8">
        <w:t>torture formed part of a broader strategy of imperial policing and, as a result, could be blatant, widespread and extremely brutal, with British officials playing a direct role</w:t>
      </w:r>
      <w:r>
        <w:t>’</w:t>
      </w:r>
      <w:r w:rsidRPr="00052FD8">
        <w:t>.</w:t>
      </w:r>
      <w:r w:rsidRPr="00052FD8">
        <w:rPr>
          <w:rStyle w:val="FootnoteReference"/>
        </w:rPr>
        <w:footnoteReference w:id="41"/>
      </w:r>
      <w:r w:rsidRPr="00052FD8">
        <w:t xml:space="preserve"> Beginning in the early 1970s, however, revelations of the routine use of torture by British security services in Northern Ireland led, they argue, to the generation of policy and legal constrictions on the enactment of violence by British officials, and with it the development of a </w:t>
      </w:r>
      <w:r>
        <w:t>‘</w:t>
      </w:r>
      <w:r w:rsidRPr="00052FD8">
        <w:t>neo</w:t>
      </w:r>
      <w:r>
        <w:t>-</w:t>
      </w:r>
      <w:r w:rsidRPr="00052FD8">
        <w:t>colonial</w:t>
      </w:r>
      <w:r>
        <w:t>’</w:t>
      </w:r>
      <w:r w:rsidRPr="00052FD8">
        <w:t xml:space="preserve"> form of torture.</w:t>
      </w:r>
      <w:r w:rsidRPr="00052FD8">
        <w:rPr>
          <w:rStyle w:val="FootnoteReference"/>
        </w:rPr>
        <w:footnoteReference w:id="42"/>
      </w:r>
      <w:r w:rsidRPr="00052FD8">
        <w:t xml:space="preserve"> Such a form entails British agents assuming a facilitatory rather than direct role in the torture enacted by United States security services and those of other states </w:t>
      </w:r>
      <w:bookmarkEnd w:id="8"/>
      <w:r w:rsidRPr="00052FD8">
        <w:t xml:space="preserve">while engaging in a </w:t>
      </w:r>
      <w:r>
        <w:t>‘”</w:t>
      </w:r>
      <w:r w:rsidRPr="00052FD8">
        <w:t>cautious pantomime of legal and procedural adherence</w:t>
      </w:r>
      <w:r>
        <w:t>”’</w:t>
      </w:r>
      <w:r w:rsidRPr="00052FD8">
        <w:t xml:space="preserve"> that enables Britain to </w:t>
      </w:r>
      <w:r w:rsidRPr="00052FD8">
        <w:rPr>
          <w:i/>
          <w:iCs/>
        </w:rPr>
        <w:t>appear</w:t>
      </w:r>
      <w:r w:rsidRPr="00052FD8">
        <w:t xml:space="preserve"> to be observing national and international human rights norms.</w:t>
      </w:r>
      <w:r w:rsidRPr="00052FD8">
        <w:rPr>
          <w:rStyle w:val="FootnoteReference"/>
        </w:rPr>
        <w:footnoteReference w:id="43"/>
      </w:r>
      <w:r w:rsidRPr="00052FD8">
        <w:t xml:space="preserve"> Drawing upon Judith Butler, the authors argue that </w:t>
      </w:r>
      <w:r w:rsidRPr="00052FD8">
        <w:lastRenderedPageBreak/>
        <w:t xml:space="preserve">playing such a facilitatory role in torture has been made possible by a new entwinement of sovereignty with governmentality, in which virtually unchecked power is given to unelected officials, or what Butler refers to as </w:t>
      </w:r>
      <w:r>
        <w:t>‘</w:t>
      </w:r>
      <w:r w:rsidRPr="00052FD8">
        <w:t>petty sovereigns</w:t>
      </w:r>
      <w:r>
        <w:t>’</w:t>
      </w:r>
      <w:r w:rsidRPr="00052FD8">
        <w:t>.</w:t>
      </w:r>
      <w:r w:rsidRPr="00052FD8">
        <w:rPr>
          <w:rStyle w:val="FootnoteReference"/>
        </w:rPr>
        <w:footnoteReference w:id="44"/>
      </w:r>
      <w:r w:rsidRPr="00052FD8">
        <w:t xml:space="preserve"> Such </w:t>
      </w:r>
      <w:r>
        <w:t>‘</w:t>
      </w:r>
      <w:r w:rsidRPr="00052FD8">
        <w:t>sovereigns</w:t>
      </w:r>
      <w:r>
        <w:t>’</w:t>
      </w:r>
      <w:r w:rsidRPr="00052FD8">
        <w:t xml:space="preserve"> have engaged in acts ranging from the apprehension and detention of suspects to </w:t>
      </w:r>
      <w:r>
        <w:t>‘</w:t>
      </w:r>
      <w:r w:rsidRPr="00052FD8">
        <w:t>disappearing</w:t>
      </w:r>
      <w:r>
        <w:t>’</w:t>
      </w:r>
      <w:r w:rsidRPr="00052FD8">
        <w:t xml:space="preserve"> them into secret prisons, as well as providing intelligence that laid the basis for torture or receiving intelligence acquired through torture.</w:t>
      </w:r>
      <w:r w:rsidRPr="00052FD8">
        <w:rPr>
          <w:rStyle w:val="FootnoteReference"/>
        </w:rPr>
        <w:footnoteReference w:id="45"/>
      </w:r>
      <w:r w:rsidRPr="00052FD8">
        <w:t xml:space="preserve"> The British government has, in addition, further </w:t>
      </w:r>
      <w:r w:rsidRPr="00052FD8">
        <w:lastRenderedPageBreak/>
        <w:t>facilitated such activities through such means as the 2001 Anti</w:t>
      </w:r>
      <w:r>
        <w:t>-</w:t>
      </w:r>
      <w:r w:rsidRPr="00052FD8">
        <w:t>Terrorism, Crime and Security Act (which authorises the indefinite detention without trial of foreign nationals who cannot be deported because they are at risk of being tortured), enabling its territory to be used as a vital administrative hub by the United States in the maintenance of its global detention and torture network</w:t>
      </w:r>
      <w:r>
        <w:t>,</w:t>
      </w:r>
      <w:r w:rsidRPr="00052FD8">
        <w:t xml:space="preserve"> and the rendition of suspects</w:t>
      </w:r>
      <w:r>
        <w:t>—</w:t>
      </w:r>
      <w:r w:rsidRPr="00052FD8">
        <w:t>all while repeatedly declaring Britain’s commitments to human rights.</w:t>
      </w:r>
      <w:r w:rsidRPr="00052FD8">
        <w:rPr>
          <w:rStyle w:val="FootnoteReference"/>
        </w:rPr>
        <w:footnoteReference w:id="46"/>
      </w:r>
    </w:p>
    <w:p w14:paraId="52D88D5C" w14:textId="77777777" w:rsidR="00997966" w:rsidRPr="00052FD8" w:rsidRDefault="00997966" w:rsidP="00997966">
      <w:pPr>
        <w:spacing w:line="480" w:lineRule="auto"/>
        <w:ind w:firstLine="720"/>
        <w:contextualSpacing/>
        <w:rPr>
          <w:color w:val="000000"/>
        </w:rPr>
      </w:pPr>
      <w:r w:rsidRPr="00052FD8">
        <w:lastRenderedPageBreak/>
        <w:t xml:space="preserve">Blakely and Raphael are undoubtedly right to point to the facilitatory role of British security services, acting as </w:t>
      </w:r>
      <w:r>
        <w:t>‘</w:t>
      </w:r>
      <w:r w:rsidRPr="00052FD8">
        <w:t>petty sovereigns</w:t>
      </w:r>
      <w:r>
        <w:t>’</w:t>
      </w:r>
      <w:r w:rsidRPr="00052FD8">
        <w:t xml:space="preserve">, in the perpetuation of torture in the </w:t>
      </w:r>
      <w:r>
        <w:t>‘</w:t>
      </w:r>
      <w:r w:rsidRPr="00052FD8">
        <w:t>war on terror</w:t>
      </w:r>
      <w:r>
        <w:t>’</w:t>
      </w:r>
      <w:r w:rsidRPr="00052FD8">
        <w:t xml:space="preserve">. But </w:t>
      </w:r>
      <w:r>
        <w:t>al</w:t>
      </w:r>
      <w:r w:rsidRPr="00052FD8">
        <w:t>though there may be something decidedly British about such a role, there is, however, nothing new, or neo</w:t>
      </w:r>
      <w:r>
        <w:t>-</w:t>
      </w:r>
      <w:r w:rsidRPr="00052FD8">
        <w:t xml:space="preserve">colonial, about it, nor is it possible to posit a distinct break between the deployment of torture against </w:t>
      </w:r>
      <w:r>
        <w:t>‘</w:t>
      </w:r>
      <w:r w:rsidRPr="00052FD8">
        <w:t>other others</w:t>
      </w:r>
      <w:r>
        <w:t>’</w:t>
      </w:r>
      <w:r w:rsidRPr="00052FD8">
        <w:t xml:space="preserve"> in the colonial versus post</w:t>
      </w:r>
      <w:r>
        <w:t>-</w:t>
      </w:r>
      <w:r w:rsidRPr="00052FD8">
        <w:t>colonial eras.</w:t>
      </w:r>
      <w:r w:rsidRPr="00052FD8">
        <w:rPr>
          <w:rStyle w:val="FootnoteReference"/>
        </w:rPr>
        <w:footnoteReference w:id="47"/>
      </w:r>
      <w:r w:rsidRPr="00052FD8">
        <w:t xml:space="preserve"> Novel configurations of colonial governance undoubtedly emerged in the aftermath of the Second World War, as they did after the first, but as Kim Wagner argues, </w:t>
      </w:r>
      <w:r>
        <w:t>‘</w:t>
      </w:r>
      <w:r w:rsidRPr="00052FD8">
        <w:t>the logic that underpinned the violence by which they were sustained was anything but new</w:t>
      </w:r>
      <w:r>
        <w:t>’</w:t>
      </w:r>
      <w:r w:rsidRPr="00052FD8">
        <w:t>.</w:t>
      </w:r>
      <w:r w:rsidRPr="00052FD8">
        <w:rPr>
          <w:rStyle w:val="FootnoteReference"/>
        </w:rPr>
        <w:footnoteReference w:id="48"/>
      </w:r>
      <w:r w:rsidRPr="00052FD8">
        <w:t xml:space="preserve"> Late colonial regimes simply </w:t>
      </w:r>
      <w:r w:rsidRPr="00052FD8">
        <w:rPr>
          <w:i/>
          <w:iCs/>
        </w:rPr>
        <w:t xml:space="preserve">seem </w:t>
      </w:r>
      <w:r w:rsidRPr="00052FD8">
        <w:t>to have become more repressive following the emergence of anti</w:t>
      </w:r>
      <w:r>
        <w:t>-</w:t>
      </w:r>
      <w:r w:rsidRPr="00052FD8">
        <w:t>colonial nationalist movements because they have been largely analy</w:t>
      </w:r>
      <w:r>
        <w:t>z</w:t>
      </w:r>
      <w:r w:rsidRPr="00052FD8">
        <w:t>ed in isolation from the structural and systemic violence that not only made colonial rule possible but that gave birth to such movements.</w:t>
      </w:r>
      <w:r w:rsidRPr="00052FD8">
        <w:rPr>
          <w:rStyle w:val="FootnoteReference"/>
        </w:rPr>
        <w:footnoteReference w:id="49"/>
      </w:r>
      <w:r w:rsidRPr="00052FD8">
        <w:t xml:space="preserve"> Torture and other form</w:t>
      </w:r>
      <w:r>
        <w:t>s</w:t>
      </w:r>
      <w:r w:rsidRPr="00052FD8">
        <w:t xml:space="preserve"> of brutal violence may, therefore, have been perpetuated by colonial regimes in </w:t>
      </w:r>
      <w:r>
        <w:t>‘</w:t>
      </w:r>
      <w:r w:rsidRPr="00052FD8">
        <w:t>exceptional</w:t>
      </w:r>
      <w:r>
        <w:t>’</w:t>
      </w:r>
      <w:r w:rsidRPr="00052FD8">
        <w:t xml:space="preserve"> or </w:t>
      </w:r>
      <w:r>
        <w:t>‘</w:t>
      </w:r>
      <w:r w:rsidRPr="00052FD8">
        <w:t>emergency</w:t>
      </w:r>
      <w:r>
        <w:t>’</w:t>
      </w:r>
      <w:r w:rsidRPr="00052FD8">
        <w:t xml:space="preserve"> conditions but such violence was </w:t>
      </w:r>
      <w:r>
        <w:t>f</w:t>
      </w:r>
      <w:r w:rsidRPr="00052FD8">
        <w:t>ar from exceptional.</w:t>
      </w:r>
      <w:r w:rsidRPr="00052FD8">
        <w:rPr>
          <w:rStyle w:val="FootnoteReference"/>
        </w:rPr>
        <w:footnoteReference w:id="50"/>
      </w:r>
      <w:r w:rsidRPr="00052FD8">
        <w:t xml:space="preserve"> To assume it was is to ignore that the exception is </w:t>
      </w:r>
      <w:r w:rsidRPr="00052FD8">
        <w:lastRenderedPageBreak/>
        <w:t xml:space="preserve">merely the explosion, into the open, of violence </w:t>
      </w:r>
      <w:r>
        <w:t>‘</w:t>
      </w:r>
      <w:r w:rsidRPr="00052FD8">
        <w:t>that is normally contained</w:t>
      </w:r>
      <w:r>
        <w:t>’</w:t>
      </w:r>
      <w:r w:rsidRPr="00052FD8">
        <w:t>, as well as to purge colonialism of its constitutive violence</w:t>
      </w:r>
      <w:r w:rsidRPr="00052FD8">
        <w:rPr>
          <w:color w:val="000000"/>
        </w:rPr>
        <w:t>.</w:t>
      </w:r>
      <w:r w:rsidRPr="00052FD8">
        <w:rPr>
          <w:rStyle w:val="FootnoteReference"/>
          <w:color w:val="000000"/>
        </w:rPr>
        <w:footnoteReference w:id="51"/>
      </w:r>
      <w:r w:rsidRPr="00052FD8">
        <w:rPr>
          <w:color w:val="000000"/>
        </w:rPr>
        <w:t xml:space="preserve"> This is not to deny that colonial violence takes different forms, or that there are different degrees or practices of torture. It is, in fact, a key contention of this book that we need to pay attention to the forms that colonial violence takes </w:t>
      </w:r>
      <w:proofErr w:type="gramStart"/>
      <w:r w:rsidRPr="00052FD8">
        <w:rPr>
          <w:color w:val="000000"/>
        </w:rPr>
        <w:t>in order to</w:t>
      </w:r>
      <w:proofErr w:type="gramEnd"/>
      <w:r w:rsidRPr="00052FD8">
        <w:rPr>
          <w:color w:val="000000"/>
        </w:rPr>
        <w:t xml:space="preserve"> understand the rationales behind it. But though the nature of the violence to which coloni</w:t>
      </w:r>
      <w:r>
        <w:rPr>
          <w:color w:val="000000"/>
        </w:rPr>
        <w:t>z</w:t>
      </w:r>
      <w:r w:rsidRPr="00052FD8">
        <w:rPr>
          <w:color w:val="000000"/>
        </w:rPr>
        <w:t>ed bodies were subjected to may have varied</w:t>
      </w:r>
      <w:r>
        <w:t>—</w:t>
      </w:r>
      <w:r w:rsidRPr="00052FD8">
        <w:rPr>
          <w:color w:val="000000"/>
        </w:rPr>
        <w:t xml:space="preserve">assaulting them with whips embedded with small pieces of iron and then rubbing salt into the wounds in order to extract information, as happened to members of the Cypriot independence EOKA movement, for example, would have posed problems for Indian police officers seeking confessions that </w:t>
      </w:r>
      <w:r w:rsidRPr="00052FD8">
        <w:rPr>
          <w:color w:val="000000"/>
        </w:rPr>
        <w:lastRenderedPageBreak/>
        <w:t>would hold up in a court of law</w:t>
      </w:r>
      <w:r>
        <w:t>—</w:t>
      </w:r>
      <w:r w:rsidRPr="00052FD8">
        <w:rPr>
          <w:color w:val="000000"/>
        </w:rPr>
        <w:t xml:space="preserve">it was nonetheless </w:t>
      </w:r>
      <w:r>
        <w:rPr>
          <w:color w:val="000000"/>
        </w:rPr>
        <w:t>‘</w:t>
      </w:r>
      <w:r w:rsidRPr="00052FD8">
        <w:rPr>
          <w:color w:val="000000"/>
        </w:rPr>
        <w:t>baked into the everyday experience of empire</w:t>
      </w:r>
      <w:r>
        <w:rPr>
          <w:color w:val="000000"/>
        </w:rPr>
        <w:t>’</w:t>
      </w:r>
      <w:r w:rsidRPr="00052FD8">
        <w:rPr>
          <w:color w:val="000000"/>
        </w:rPr>
        <w:t xml:space="preserve">, part of its </w:t>
      </w:r>
      <w:r>
        <w:rPr>
          <w:color w:val="000000"/>
        </w:rPr>
        <w:t>‘</w:t>
      </w:r>
      <w:r w:rsidRPr="00052FD8">
        <w:rPr>
          <w:color w:val="000000"/>
        </w:rPr>
        <w:t>normal (repressive) functioning</w:t>
      </w:r>
      <w:r>
        <w:rPr>
          <w:color w:val="000000"/>
        </w:rPr>
        <w:t>’</w:t>
      </w:r>
      <w:r w:rsidRPr="00052FD8">
        <w:rPr>
          <w:color w:val="000000"/>
        </w:rPr>
        <w:t>.</w:t>
      </w:r>
      <w:r w:rsidRPr="00052FD8">
        <w:rPr>
          <w:rStyle w:val="FootnoteReference"/>
          <w:color w:val="000000"/>
        </w:rPr>
        <w:footnoteReference w:id="52"/>
      </w:r>
      <w:r w:rsidRPr="00052FD8">
        <w:rPr>
          <w:color w:val="000000"/>
        </w:rPr>
        <w:t xml:space="preserve"> </w:t>
      </w:r>
    </w:p>
    <w:p w14:paraId="58B3F6DC" w14:textId="77777777" w:rsidR="00997966" w:rsidRPr="00052FD8" w:rsidRDefault="00997966" w:rsidP="00997966">
      <w:pPr>
        <w:spacing w:line="480" w:lineRule="auto"/>
        <w:ind w:firstLine="720"/>
        <w:contextualSpacing/>
        <w:rPr>
          <w:color w:val="000000"/>
        </w:rPr>
      </w:pPr>
      <w:r w:rsidRPr="00052FD8">
        <w:rPr>
          <w:color w:val="000000"/>
        </w:rPr>
        <w:t xml:space="preserve">The aim of </w:t>
      </w:r>
      <w:r w:rsidRPr="00052FD8">
        <w:rPr>
          <w:i/>
          <w:iCs/>
          <w:color w:val="000000"/>
        </w:rPr>
        <w:t xml:space="preserve">Colonial Terror </w:t>
      </w:r>
      <w:r w:rsidRPr="00052FD8">
        <w:rPr>
          <w:color w:val="000000"/>
        </w:rPr>
        <w:t>is to demonstrate that extraordinary violence was part of the ordinary operation of colonial states.</w:t>
      </w:r>
      <w:r w:rsidRPr="00052FD8">
        <w:rPr>
          <w:i/>
          <w:iCs/>
          <w:color w:val="000000"/>
        </w:rPr>
        <w:t xml:space="preserve"> </w:t>
      </w:r>
      <w:r w:rsidRPr="00052FD8">
        <w:rPr>
          <w:color w:val="000000"/>
        </w:rPr>
        <w:t xml:space="preserve">Focusing on India between the early nineteenth century and the First World War, this book explores </w:t>
      </w:r>
      <w:r w:rsidRPr="00052FD8">
        <w:t>the centrality of the torture of Indian bodies to the law</w:t>
      </w:r>
      <w:r>
        <w:t>-</w:t>
      </w:r>
      <w:r w:rsidRPr="00052FD8">
        <w:t>preserving violence of colonial rule.</w:t>
      </w:r>
      <w:r w:rsidRPr="00052FD8">
        <w:rPr>
          <w:rStyle w:val="FootnoteReference"/>
        </w:rPr>
        <w:footnoteReference w:id="53"/>
      </w:r>
      <w:r w:rsidRPr="00052FD8">
        <w:rPr>
          <w:color w:val="000000"/>
        </w:rPr>
        <w:t xml:space="preserve"> </w:t>
      </w:r>
      <w:r w:rsidRPr="00052FD8">
        <w:t xml:space="preserve">Since the Indian state, like all colonial regimes, was reliant on what have conventionally been termed </w:t>
      </w:r>
      <w:r>
        <w:t>‘</w:t>
      </w:r>
      <w:r w:rsidRPr="00052FD8">
        <w:t>intermediaries</w:t>
      </w:r>
      <w:r>
        <w:t>’</w:t>
      </w:r>
      <w:r w:rsidRPr="00052FD8">
        <w:t xml:space="preserve">, which included large numbers of what I shall refer to, pace Martha K. Huggins, Mika </w:t>
      </w:r>
      <w:r w:rsidRPr="00052FD8">
        <w:lastRenderedPageBreak/>
        <w:t>Haritos</w:t>
      </w:r>
      <w:r>
        <w:t>-</w:t>
      </w:r>
      <w:r w:rsidRPr="00052FD8">
        <w:t>Fatouros</w:t>
      </w:r>
      <w:r>
        <w:t>,</w:t>
      </w:r>
      <w:r w:rsidRPr="00052FD8">
        <w:t xml:space="preserve"> and Philip G. Zimbardo, as </w:t>
      </w:r>
      <w:r>
        <w:t>‘</w:t>
      </w:r>
      <w:r w:rsidRPr="00052FD8">
        <w:t>violence workers</w:t>
      </w:r>
      <w:r>
        <w:t>’</w:t>
      </w:r>
      <w:r w:rsidRPr="00052FD8">
        <w:t xml:space="preserve">, the torture that I will be examining was, therefore, enacted largely by Indians, acting as </w:t>
      </w:r>
      <w:r>
        <w:t>‘</w:t>
      </w:r>
      <w:r w:rsidRPr="00052FD8">
        <w:t>petty sovereigns</w:t>
      </w:r>
      <w:r>
        <w:t>’</w:t>
      </w:r>
      <w:r w:rsidRPr="00052FD8">
        <w:t>, on Indian bodies.</w:t>
      </w:r>
      <w:r w:rsidRPr="00052FD8">
        <w:rPr>
          <w:rStyle w:val="FootnoteReference"/>
        </w:rPr>
        <w:footnoteReference w:id="54"/>
      </w:r>
      <w:r w:rsidRPr="00052FD8">
        <w:t xml:space="preserve"> But regardless of the motivations of the torturers (which I will examine in chapter four), torture was facilitated, systemati</w:t>
      </w:r>
      <w:r>
        <w:t>z</w:t>
      </w:r>
      <w:r w:rsidRPr="00052FD8">
        <w:t>ed</w:t>
      </w:r>
      <w:r>
        <w:t>,</w:t>
      </w:r>
      <w:r w:rsidRPr="00052FD8">
        <w:t xml:space="preserve"> and ultimately sanctioned by first the East India Company and, later, the Raj. This is because the torture carried out by colonial officials, particularly the police</w:t>
      </w:r>
      <w:r>
        <w:t>—</w:t>
      </w:r>
      <w:r w:rsidRPr="00052FD8">
        <w:t xml:space="preserve">the </w:t>
      </w:r>
      <w:r>
        <w:t>‘</w:t>
      </w:r>
      <w:r w:rsidRPr="00052FD8">
        <w:t>official, instituted go</w:t>
      </w:r>
      <w:r>
        <w:t>-</w:t>
      </w:r>
      <w:r w:rsidRPr="00052FD8">
        <w:t>betweens</w:t>
      </w:r>
      <w:r>
        <w:t>’</w:t>
      </w:r>
      <w:r w:rsidRPr="00052FD8">
        <w:t xml:space="preserve"> that connected the colonial state to its coloni</w:t>
      </w:r>
      <w:r>
        <w:t>z</w:t>
      </w:r>
      <w:r w:rsidRPr="00052FD8">
        <w:t>ed population</w:t>
      </w:r>
      <w:r>
        <w:t>—</w:t>
      </w:r>
      <w:r w:rsidRPr="00052FD8">
        <w:t>benefitted the colonial regime, since in rendering the police a source of terror such violence workers played a key role in the construction and maintenance of state sovereignty.</w:t>
      </w:r>
      <w:r w:rsidRPr="00052FD8">
        <w:rPr>
          <w:rStyle w:val="FootnoteReference"/>
        </w:rPr>
        <w:footnoteReference w:id="55"/>
      </w:r>
      <w:r w:rsidRPr="00052FD8">
        <w:t xml:space="preserve"> It was because torture was so advantageous that neither the Company nor the Raj made concerted efforts to eradicate it, resorting instead to disowning and, occasionally, punishing their violence workers whenever torture erupted into scandal in order to uphold the illusion that torture was a barbaric, atavistic habit that they were keen to </w:t>
      </w:r>
      <w:r w:rsidRPr="00052FD8">
        <w:lastRenderedPageBreak/>
        <w:t>suppress.</w:t>
      </w:r>
      <w:r w:rsidRPr="00052FD8">
        <w:rPr>
          <w:rStyle w:val="FootnoteReference"/>
        </w:rPr>
        <w:footnoteReference w:id="56"/>
      </w:r>
      <w:r w:rsidRPr="00052FD8">
        <w:t xml:space="preserve"> </w:t>
      </w:r>
      <w:r w:rsidRPr="00052FD8">
        <w:rPr>
          <w:bCs/>
        </w:rPr>
        <w:t xml:space="preserve">This book explores </w:t>
      </w:r>
      <w:r w:rsidRPr="00052FD8">
        <w:rPr>
          <w:bCs/>
          <w:i/>
        </w:rPr>
        <w:t>why</w:t>
      </w:r>
      <w:r w:rsidRPr="00052FD8">
        <w:rPr>
          <w:bCs/>
        </w:rPr>
        <w:t xml:space="preserve"> and </w:t>
      </w:r>
      <w:r w:rsidRPr="00052FD8">
        <w:rPr>
          <w:bCs/>
          <w:i/>
        </w:rPr>
        <w:t xml:space="preserve">how </w:t>
      </w:r>
      <w:r w:rsidRPr="00052FD8">
        <w:rPr>
          <w:bCs/>
        </w:rPr>
        <w:t>the police in colonial India came to operate as a form of terror, and examines the role of torture as a terrori</w:t>
      </w:r>
      <w:r>
        <w:rPr>
          <w:bCs/>
        </w:rPr>
        <w:t>z</w:t>
      </w:r>
      <w:r w:rsidRPr="00052FD8">
        <w:rPr>
          <w:bCs/>
        </w:rPr>
        <w:t>ing tactic of colonial policing.</w:t>
      </w:r>
      <w:r w:rsidRPr="00052FD8">
        <w:rPr>
          <w:rStyle w:val="FootnoteReference"/>
          <w:bCs/>
        </w:rPr>
        <w:footnoteReference w:id="57"/>
      </w:r>
      <w:r w:rsidRPr="00052FD8">
        <w:rPr>
          <w:bCs/>
        </w:rPr>
        <w:t xml:space="preserve"> </w:t>
      </w:r>
    </w:p>
    <w:p w14:paraId="0B123A1B" w14:textId="77777777" w:rsidR="00997966" w:rsidRPr="00052FD8" w:rsidRDefault="00997966" w:rsidP="00997966">
      <w:pPr>
        <w:spacing w:line="480" w:lineRule="auto"/>
        <w:ind w:firstLine="720"/>
        <w:contextualSpacing/>
        <w:rPr>
          <w:bCs/>
        </w:rPr>
      </w:pPr>
      <w:r w:rsidRPr="00052FD8">
        <w:rPr>
          <w:bCs/>
        </w:rPr>
        <w:t xml:space="preserve">Drawing upon the work of both Giorgio Agamben and Michel Foucault, </w:t>
      </w:r>
      <w:r w:rsidRPr="00052FD8">
        <w:rPr>
          <w:bCs/>
          <w:i/>
          <w:iCs/>
        </w:rPr>
        <w:t>Colonial Terror</w:t>
      </w:r>
      <w:r w:rsidRPr="00052FD8">
        <w:rPr>
          <w:bCs/>
        </w:rPr>
        <w:t xml:space="preserve"> argues, furthermore, that it is only possible to understand the terrori</w:t>
      </w:r>
      <w:r>
        <w:rPr>
          <w:bCs/>
        </w:rPr>
        <w:t>z</w:t>
      </w:r>
      <w:r w:rsidRPr="00052FD8">
        <w:rPr>
          <w:bCs/>
        </w:rPr>
        <w:t xml:space="preserve">ing nature of the colonial police in India by viewing the colonial regime as what I term a </w:t>
      </w:r>
      <w:r>
        <w:rPr>
          <w:bCs/>
        </w:rPr>
        <w:t>‘</w:t>
      </w:r>
      <w:r w:rsidRPr="00052FD8">
        <w:rPr>
          <w:bCs/>
        </w:rPr>
        <w:t>regime of exception</w:t>
      </w:r>
      <w:r>
        <w:rPr>
          <w:bCs/>
        </w:rPr>
        <w:t>’</w:t>
      </w:r>
      <w:r w:rsidRPr="00052FD8">
        <w:rPr>
          <w:bCs/>
        </w:rPr>
        <w:t xml:space="preserve">. My goal, in using such a term, is to offer new insights into the nature and operation of both colonial law and state sovereignty. Although there has been considerable debate as to whether colonial regimes functioned according to a </w:t>
      </w:r>
      <w:r>
        <w:rPr>
          <w:bCs/>
        </w:rPr>
        <w:t>‘</w:t>
      </w:r>
      <w:r w:rsidRPr="00052FD8">
        <w:rPr>
          <w:bCs/>
        </w:rPr>
        <w:t>rule of law</w:t>
      </w:r>
      <w:r>
        <w:rPr>
          <w:bCs/>
        </w:rPr>
        <w:t>’</w:t>
      </w:r>
      <w:r w:rsidRPr="00052FD8">
        <w:rPr>
          <w:bCs/>
        </w:rPr>
        <w:t xml:space="preserve">, or whether they </w:t>
      </w:r>
      <w:r w:rsidRPr="00052FD8">
        <w:rPr>
          <w:bCs/>
        </w:rPr>
        <w:lastRenderedPageBreak/>
        <w:t>can be viewed as states of exception,</w:t>
      </w:r>
      <w:r w:rsidRPr="00052FD8">
        <w:rPr>
          <w:rStyle w:val="FootnoteReference"/>
          <w:bCs/>
        </w:rPr>
        <w:footnoteReference w:id="58"/>
      </w:r>
      <w:r w:rsidRPr="00052FD8">
        <w:rPr>
          <w:bCs/>
        </w:rPr>
        <w:t xml:space="preserve"> I seek to demonstrate that in the case of India two different forms, or levels, of extraordinarity, had come to characteri</w:t>
      </w:r>
      <w:r>
        <w:rPr>
          <w:bCs/>
        </w:rPr>
        <w:t>z</w:t>
      </w:r>
      <w:r w:rsidRPr="00052FD8">
        <w:rPr>
          <w:bCs/>
        </w:rPr>
        <w:t xml:space="preserve">e the </w:t>
      </w:r>
      <w:r>
        <w:rPr>
          <w:bCs/>
        </w:rPr>
        <w:t xml:space="preserve">British </w:t>
      </w:r>
      <w:r w:rsidRPr="00052FD8">
        <w:rPr>
          <w:bCs/>
        </w:rPr>
        <w:t xml:space="preserve">colonial </w:t>
      </w:r>
      <w:r w:rsidRPr="00052FD8">
        <w:rPr>
          <w:bCs/>
        </w:rPr>
        <w:lastRenderedPageBreak/>
        <w:t>regime in the operation of its sovereignty by the early nineteenth century.</w:t>
      </w:r>
      <w:r w:rsidRPr="00052FD8">
        <w:rPr>
          <w:rStyle w:val="FootnoteReference"/>
          <w:bCs/>
        </w:rPr>
        <w:footnoteReference w:id="59"/>
      </w:r>
      <w:r w:rsidRPr="00052FD8">
        <w:rPr>
          <w:bCs/>
        </w:rPr>
        <w:t xml:space="preserve"> The first involved the creation of a state, or spaces, of exception, an </w:t>
      </w:r>
      <w:r>
        <w:rPr>
          <w:bCs/>
        </w:rPr>
        <w:t>‘</w:t>
      </w:r>
      <w:r w:rsidRPr="00052FD8">
        <w:rPr>
          <w:bCs/>
        </w:rPr>
        <w:t>insidious politics of emergency</w:t>
      </w:r>
      <w:r>
        <w:rPr>
          <w:bCs/>
        </w:rPr>
        <w:t>’</w:t>
      </w:r>
      <w:r w:rsidRPr="00052FD8">
        <w:rPr>
          <w:bCs/>
        </w:rPr>
        <w:t xml:space="preserve"> wrought by widespread emergency regulations through which particular groups or segments of the Indian population were excluded from the law.</w:t>
      </w:r>
      <w:r w:rsidRPr="00052FD8">
        <w:rPr>
          <w:rStyle w:val="FootnoteReference"/>
          <w:bCs/>
        </w:rPr>
        <w:footnoteReference w:id="60"/>
      </w:r>
      <w:r w:rsidRPr="00052FD8">
        <w:rPr>
          <w:bCs/>
        </w:rPr>
        <w:t xml:space="preserve"> The second level of exceptionality was generated by </w:t>
      </w:r>
      <w:r>
        <w:rPr>
          <w:bCs/>
        </w:rPr>
        <w:t>‘</w:t>
      </w:r>
      <w:r w:rsidRPr="00052FD8">
        <w:rPr>
          <w:bCs/>
        </w:rPr>
        <w:t>petty sovereigns</w:t>
      </w:r>
      <w:r>
        <w:rPr>
          <w:bCs/>
        </w:rPr>
        <w:t>’</w:t>
      </w:r>
      <w:r w:rsidRPr="00052FD8">
        <w:rPr>
          <w:bCs/>
        </w:rPr>
        <w:t>, who through the enactment of illegal violence in the operation of the law</w:t>
      </w:r>
      <w:r>
        <w:t>—</w:t>
      </w:r>
      <w:r w:rsidRPr="00052FD8">
        <w:rPr>
          <w:bCs/>
        </w:rPr>
        <w:t xml:space="preserve">namely an </w:t>
      </w:r>
      <w:r>
        <w:rPr>
          <w:bCs/>
        </w:rPr>
        <w:t>‘</w:t>
      </w:r>
      <w:r w:rsidRPr="00052FD8">
        <w:rPr>
          <w:bCs/>
        </w:rPr>
        <w:t>accommodation of the illegal</w:t>
      </w:r>
      <w:r>
        <w:rPr>
          <w:bCs/>
        </w:rPr>
        <w:t>’</w:t>
      </w:r>
      <w:r w:rsidRPr="00052FD8">
        <w:rPr>
          <w:bCs/>
        </w:rPr>
        <w:t xml:space="preserve">, or </w:t>
      </w:r>
      <w:r>
        <w:rPr>
          <w:bCs/>
        </w:rPr>
        <w:t>‘</w:t>
      </w:r>
      <w:r w:rsidRPr="00052FD8">
        <w:rPr>
          <w:bCs/>
        </w:rPr>
        <w:t>lawless enforcement of the laws</w:t>
      </w:r>
      <w:r>
        <w:rPr>
          <w:bCs/>
        </w:rPr>
        <w:t>’</w:t>
      </w:r>
      <w:r>
        <w:t>—</w:t>
      </w:r>
      <w:r w:rsidRPr="00052FD8">
        <w:rPr>
          <w:bCs/>
        </w:rPr>
        <w:t>created what Didier Fassin has characteri</w:t>
      </w:r>
      <w:r>
        <w:rPr>
          <w:bCs/>
        </w:rPr>
        <w:t>z</w:t>
      </w:r>
      <w:r w:rsidRPr="00052FD8">
        <w:rPr>
          <w:bCs/>
        </w:rPr>
        <w:t xml:space="preserve">ed as </w:t>
      </w:r>
      <w:r>
        <w:rPr>
          <w:bCs/>
        </w:rPr>
        <w:t>‘</w:t>
      </w:r>
      <w:r w:rsidRPr="00052FD8">
        <w:rPr>
          <w:bCs/>
        </w:rPr>
        <w:t>petty states of exception</w:t>
      </w:r>
      <w:r>
        <w:rPr>
          <w:bCs/>
        </w:rPr>
        <w:t>’</w:t>
      </w:r>
      <w:r w:rsidRPr="00052FD8">
        <w:rPr>
          <w:bCs/>
        </w:rPr>
        <w:t>.</w:t>
      </w:r>
      <w:r w:rsidRPr="00052FD8">
        <w:rPr>
          <w:rStyle w:val="FootnoteReference"/>
          <w:bCs/>
        </w:rPr>
        <w:footnoteReference w:id="61"/>
      </w:r>
      <w:r w:rsidRPr="00052FD8">
        <w:rPr>
          <w:bCs/>
        </w:rPr>
        <w:t xml:space="preserve"> This </w:t>
      </w:r>
      <w:r w:rsidRPr="00052FD8">
        <w:rPr>
          <w:bCs/>
        </w:rPr>
        <w:lastRenderedPageBreak/>
        <w:t xml:space="preserve">is not to suggest, however, that the rule of law was absent in such regimes of exception. Such regimes encompassed, instead, </w:t>
      </w:r>
      <w:r w:rsidRPr="00052FD8">
        <w:rPr>
          <w:bCs/>
          <w:i/>
          <w:iCs/>
        </w:rPr>
        <w:t xml:space="preserve">both </w:t>
      </w:r>
      <w:r w:rsidRPr="00052FD8">
        <w:rPr>
          <w:bCs/>
        </w:rPr>
        <w:t xml:space="preserve">the suspension of the law </w:t>
      </w:r>
      <w:r w:rsidRPr="00052FD8">
        <w:rPr>
          <w:bCs/>
          <w:i/>
          <w:iCs/>
        </w:rPr>
        <w:t>and</w:t>
      </w:r>
      <w:r w:rsidRPr="00052FD8">
        <w:rPr>
          <w:bCs/>
        </w:rPr>
        <w:t xml:space="preserve"> the legali</w:t>
      </w:r>
      <w:r>
        <w:rPr>
          <w:bCs/>
        </w:rPr>
        <w:t>z</w:t>
      </w:r>
      <w:r w:rsidRPr="00052FD8">
        <w:rPr>
          <w:bCs/>
        </w:rPr>
        <w:t xml:space="preserve">ation of exceptional measures and practices, transforming law into what John Comaroff refers to as </w:t>
      </w:r>
      <w:r>
        <w:rPr>
          <w:bCs/>
        </w:rPr>
        <w:t>‘</w:t>
      </w:r>
      <w:r w:rsidRPr="00052FD8">
        <w:rPr>
          <w:bCs/>
        </w:rPr>
        <w:t>lawfare</w:t>
      </w:r>
      <w:r>
        <w:rPr>
          <w:bCs/>
        </w:rPr>
        <w:t>’</w:t>
      </w:r>
      <w:r w:rsidRPr="00052FD8">
        <w:rPr>
          <w:bCs/>
        </w:rPr>
        <w:t xml:space="preserve">. </w:t>
      </w:r>
      <w:r w:rsidRPr="00052FD8">
        <w:rPr>
          <w:rStyle w:val="FootnoteReference"/>
          <w:bCs/>
        </w:rPr>
        <w:footnoteReference w:id="62"/>
      </w:r>
      <w:r w:rsidRPr="00052FD8">
        <w:rPr>
          <w:bCs/>
        </w:rPr>
        <w:t xml:space="preserve"> The varying modes of operation of sovereign power in colonial India mean that colonial subjects were thus both </w:t>
      </w:r>
      <w:r w:rsidRPr="00052FD8">
        <w:rPr>
          <w:bCs/>
          <w:i/>
          <w:iCs/>
        </w:rPr>
        <w:t>included</w:t>
      </w:r>
      <w:r w:rsidRPr="00052FD8">
        <w:rPr>
          <w:bCs/>
        </w:rPr>
        <w:t xml:space="preserve"> within the domain of colonial law while also being </w:t>
      </w:r>
      <w:r w:rsidRPr="00052FD8">
        <w:rPr>
          <w:bCs/>
          <w:i/>
          <w:iCs/>
        </w:rPr>
        <w:t>abandoned</w:t>
      </w:r>
      <w:r w:rsidRPr="00052FD8">
        <w:rPr>
          <w:bCs/>
        </w:rPr>
        <w:t xml:space="preserve"> by it.</w:t>
      </w:r>
      <w:r w:rsidRPr="00052FD8">
        <w:rPr>
          <w:rStyle w:val="FootnoteReference"/>
          <w:bCs/>
        </w:rPr>
        <w:footnoteReference w:id="63"/>
      </w:r>
      <w:r w:rsidRPr="00052FD8">
        <w:rPr>
          <w:bCs/>
        </w:rPr>
        <w:t xml:space="preserve"> It was in such fertile ground that torture was able to flourish.</w:t>
      </w:r>
    </w:p>
    <w:p w14:paraId="554BCBAA" w14:textId="77777777" w:rsidR="00997966" w:rsidRPr="00052FD8" w:rsidRDefault="00997966" w:rsidP="00997966">
      <w:pPr>
        <w:spacing w:line="480" w:lineRule="auto"/>
        <w:contextualSpacing/>
        <w:rPr>
          <w:bCs/>
        </w:rPr>
      </w:pPr>
    </w:p>
    <w:p w14:paraId="57D118E4" w14:textId="77777777" w:rsidR="00997966" w:rsidRPr="00052FD8" w:rsidRDefault="00997966" w:rsidP="00997966">
      <w:pPr>
        <w:spacing w:line="480" w:lineRule="auto"/>
        <w:contextualSpacing/>
        <w:rPr>
          <w:b/>
        </w:rPr>
      </w:pPr>
      <w:r w:rsidRPr="00052FD8">
        <w:rPr>
          <w:b/>
        </w:rPr>
        <w:t>The Violence of Empire</w:t>
      </w:r>
    </w:p>
    <w:p w14:paraId="0BB4BE65" w14:textId="77777777" w:rsidR="00997966" w:rsidRPr="00052FD8" w:rsidRDefault="00997966" w:rsidP="00997966">
      <w:pPr>
        <w:spacing w:line="480" w:lineRule="auto"/>
        <w:contextualSpacing/>
        <w:rPr>
          <w:bCs/>
        </w:rPr>
      </w:pPr>
    </w:p>
    <w:p w14:paraId="2FF8DAD2" w14:textId="77777777" w:rsidR="00997966" w:rsidRPr="00052FD8" w:rsidRDefault="00997966" w:rsidP="00997966">
      <w:pPr>
        <w:spacing w:line="480" w:lineRule="auto"/>
        <w:ind w:left="720"/>
      </w:pPr>
      <w:r w:rsidRPr="00052FD8">
        <w:t>What animates effective rather than idle colonial history is not its timelines</w:t>
      </w:r>
      <w:r>
        <w:t>s—</w:t>
      </w:r>
      <w:r w:rsidRPr="00052FD8">
        <w:t>how well it fits current politics and the stories long rehearse</w:t>
      </w:r>
      <w:r>
        <w:t>d—</w:t>
      </w:r>
      <w:r w:rsidRPr="00052FD8">
        <w:t xml:space="preserve">but how deeply it disrupts the stories we seek to tell, what untimely incisions it makes into received narratives, </w:t>
      </w:r>
      <w:r w:rsidRPr="00052FD8">
        <w:lastRenderedPageBreak/>
        <w:t>how much it refuses to yield to the pathos of moral outrage or to new heroes, subaltern or otherwise.</w:t>
      </w:r>
      <w:r w:rsidRPr="00052FD8">
        <w:rPr>
          <w:rStyle w:val="FootnoteReference"/>
        </w:rPr>
        <w:footnoteReference w:id="64"/>
      </w:r>
      <w:r w:rsidRPr="00052FD8">
        <w:t xml:space="preserve"> </w:t>
      </w:r>
    </w:p>
    <w:p w14:paraId="78EF719E" w14:textId="77777777" w:rsidR="00997966" w:rsidRPr="00052FD8" w:rsidRDefault="00997966" w:rsidP="00997966">
      <w:pPr>
        <w:spacing w:line="480" w:lineRule="auto"/>
        <w:contextualSpacing/>
        <w:rPr>
          <w:bCs/>
        </w:rPr>
      </w:pPr>
    </w:p>
    <w:p w14:paraId="14E6B79B" w14:textId="77777777" w:rsidR="00997966" w:rsidRPr="00052FD8" w:rsidRDefault="00997966" w:rsidP="00997966">
      <w:pPr>
        <w:spacing w:line="480" w:lineRule="auto"/>
        <w:contextualSpacing/>
        <w:rPr>
          <w:bCs/>
        </w:rPr>
      </w:pPr>
      <w:r w:rsidRPr="00052FD8">
        <w:rPr>
          <w:bCs/>
        </w:rPr>
        <w:tab/>
        <w:t>For at least a third of Britons the British empire is something to be proud of, and Britain’s former colonies are better off for having been coloni</w:t>
      </w:r>
      <w:r>
        <w:rPr>
          <w:bCs/>
        </w:rPr>
        <w:t>z</w:t>
      </w:r>
      <w:r w:rsidRPr="00052FD8">
        <w:rPr>
          <w:bCs/>
        </w:rPr>
        <w:t>ed; no less than a quarter, moreover, wish that Britain still had an empire.</w:t>
      </w:r>
      <w:r w:rsidRPr="00052FD8">
        <w:rPr>
          <w:rStyle w:val="FootnoteReference"/>
          <w:bCs/>
        </w:rPr>
        <w:footnoteReference w:id="65"/>
      </w:r>
      <w:r w:rsidRPr="00052FD8">
        <w:rPr>
          <w:bCs/>
        </w:rPr>
        <w:t xml:space="preserve"> Few regard it as a source of shame.</w:t>
      </w:r>
      <w:r w:rsidRPr="00052FD8">
        <w:rPr>
          <w:rStyle w:val="FootnoteReference"/>
          <w:bCs/>
        </w:rPr>
        <w:footnoteReference w:id="66"/>
      </w:r>
      <w:r w:rsidRPr="00052FD8">
        <w:rPr>
          <w:bCs/>
        </w:rPr>
        <w:t xml:space="preserve"> The belief of British empire</w:t>
      </w:r>
      <w:r>
        <w:rPr>
          <w:bCs/>
        </w:rPr>
        <w:t>-</w:t>
      </w:r>
      <w:r w:rsidRPr="00052FD8">
        <w:rPr>
          <w:bCs/>
        </w:rPr>
        <w:t xml:space="preserve">builders that </w:t>
      </w:r>
      <w:r>
        <w:rPr>
          <w:color w:val="231F20"/>
          <w:lang w:eastAsia="en-GB"/>
        </w:rPr>
        <w:t>‘</w:t>
      </w:r>
      <w:r w:rsidRPr="00052FD8">
        <w:rPr>
          <w:color w:val="231F20"/>
          <w:lang w:eastAsia="en-GB"/>
        </w:rPr>
        <w:t xml:space="preserve">the </w:t>
      </w:r>
      <w:r w:rsidRPr="00052FD8">
        <w:t>British Empire was not a violent concern . . .</w:t>
      </w:r>
      <w:r>
        <w:t>’</w:t>
      </w:r>
      <w:r w:rsidRPr="00052FD8">
        <w:rPr>
          <w:bCs/>
        </w:rPr>
        <w:t xml:space="preserve">, at </w:t>
      </w:r>
      <w:r w:rsidRPr="00052FD8">
        <w:rPr>
          <w:bCs/>
        </w:rPr>
        <w:lastRenderedPageBreak/>
        <w:t>least not in comparison to the Belgian, Dutch</w:t>
      </w:r>
      <w:r>
        <w:rPr>
          <w:bCs/>
        </w:rPr>
        <w:t>,</w:t>
      </w:r>
      <w:r w:rsidRPr="00052FD8">
        <w:rPr>
          <w:bCs/>
        </w:rPr>
        <w:t xml:space="preserve"> or German empires, </w:t>
      </w:r>
      <w:r w:rsidRPr="00052FD8">
        <w:t>continues, therefore, to be widely held.</w:t>
      </w:r>
      <w:r w:rsidRPr="00052FD8">
        <w:rPr>
          <w:rStyle w:val="FootnoteReference"/>
        </w:rPr>
        <w:footnoteReference w:id="67"/>
      </w:r>
      <w:r w:rsidRPr="00052FD8">
        <w:rPr>
          <w:bCs/>
        </w:rPr>
        <w:t xml:space="preserve"> Such a belief is sustained by an education system from which knowledge about or discussion of empire is sedulously excluded,</w:t>
      </w:r>
      <w:r w:rsidRPr="00052FD8">
        <w:rPr>
          <w:rStyle w:val="FootnoteReference"/>
          <w:bCs/>
        </w:rPr>
        <w:footnoteReference w:id="68"/>
      </w:r>
      <w:r w:rsidRPr="00052FD8">
        <w:rPr>
          <w:bCs/>
        </w:rPr>
        <w:t xml:space="preserve"> a media and popular publishing industry that revels in </w:t>
      </w:r>
      <w:r>
        <w:rPr>
          <w:bCs/>
        </w:rPr>
        <w:t>‘</w:t>
      </w:r>
      <w:r w:rsidRPr="00052FD8">
        <w:rPr>
          <w:bCs/>
        </w:rPr>
        <w:t>obfuscatory nostalgia</w:t>
      </w:r>
      <w:r>
        <w:rPr>
          <w:bCs/>
        </w:rPr>
        <w:t>’</w:t>
      </w:r>
      <w:r w:rsidRPr="00052FD8">
        <w:rPr>
          <w:bCs/>
        </w:rPr>
        <w:t xml:space="preserve"> about empire,</w:t>
      </w:r>
      <w:r w:rsidRPr="00052FD8">
        <w:rPr>
          <w:rStyle w:val="FootnoteReference"/>
          <w:bCs/>
        </w:rPr>
        <w:footnoteReference w:id="69"/>
      </w:r>
      <w:r w:rsidRPr="00052FD8">
        <w:rPr>
          <w:bCs/>
        </w:rPr>
        <w:t xml:space="preserve"> and a wide range of academic </w:t>
      </w:r>
      <w:r w:rsidRPr="00052FD8">
        <w:rPr>
          <w:bCs/>
        </w:rPr>
        <w:lastRenderedPageBreak/>
        <w:t>scholarship, from imperial history to anthropology and international relations,</w:t>
      </w:r>
      <w:r w:rsidRPr="00052FD8">
        <w:rPr>
          <w:rStyle w:val="FootnoteReference"/>
          <w:bCs/>
        </w:rPr>
        <w:footnoteReference w:id="70"/>
      </w:r>
      <w:r w:rsidRPr="00052FD8">
        <w:rPr>
          <w:bCs/>
        </w:rPr>
        <w:t xml:space="preserve"> that continues to ignore the violence, exploitation</w:t>
      </w:r>
      <w:r>
        <w:rPr>
          <w:bCs/>
        </w:rPr>
        <w:t>,</w:t>
      </w:r>
      <w:r w:rsidRPr="00052FD8">
        <w:rPr>
          <w:bCs/>
        </w:rPr>
        <w:t xml:space="preserve"> and social suffering upon which empire was </w:t>
      </w:r>
      <w:r w:rsidRPr="00052FD8">
        <w:rPr>
          <w:bCs/>
        </w:rPr>
        <w:lastRenderedPageBreak/>
        <w:t>built and sustained.</w:t>
      </w:r>
      <w:r w:rsidRPr="00052FD8">
        <w:rPr>
          <w:rStyle w:val="FootnoteReference"/>
          <w:bCs/>
        </w:rPr>
        <w:footnoteReference w:id="71"/>
      </w:r>
      <w:r w:rsidRPr="00052FD8">
        <w:rPr>
          <w:bCs/>
        </w:rPr>
        <w:t xml:space="preserve"> The work of scholars of imperial and colonial violence has, </w:t>
      </w:r>
      <w:r>
        <w:rPr>
          <w:bCs/>
        </w:rPr>
        <w:t>additionally</w:t>
      </w:r>
      <w:r w:rsidRPr="00052FD8">
        <w:rPr>
          <w:bCs/>
        </w:rPr>
        <w:t>, often been widely dismissed.</w:t>
      </w:r>
      <w:r w:rsidRPr="00052FD8">
        <w:rPr>
          <w:rStyle w:val="FootnoteReference"/>
          <w:bCs/>
        </w:rPr>
        <w:footnoteReference w:id="72"/>
      </w:r>
      <w:r w:rsidRPr="00052FD8">
        <w:rPr>
          <w:bCs/>
        </w:rPr>
        <w:t xml:space="preserve"> For some scholars, it seems, violence is simply too banal to be worth bothering with; as the eminent Oxford professor of imperial and global history, John Darwin, recently observed, studying the violence wrought by empire would not </w:t>
      </w:r>
      <w:r>
        <w:rPr>
          <w:bCs/>
        </w:rPr>
        <w:t>‘”</w:t>
      </w:r>
      <w:r w:rsidRPr="00052FD8">
        <w:t>add much to the sum of knowledge</w:t>
      </w:r>
      <w:r>
        <w:t>”’</w:t>
      </w:r>
      <w:r w:rsidRPr="00052FD8">
        <w:t>.</w:t>
      </w:r>
      <w:r w:rsidRPr="00052FD8">
        <w:rPr>
          <w:rStyle w:val="FootnoteReference"/>
        </w:rPr>
        <w:footnoteReference w:id="73"/>
      </w:r>
      <w:r w:rsidRPr="00052FD8">
        <w:t xml:space="preserve"> For others aspects of such violence, such as British </w:t>
      </w:r>
      <w:r>
        <w:lastRenderedPageBreak/>
        <w:t>‘</w:t>
      </w:r>
      <w:r w:rsidRPr="00052FD8">
        <w:t>counterinsurgency</w:t>
      </w:r>
      <w:r>
        <w:t>’</w:t>
      </w:r>
      <w:r w:rsidRPr="00052FD8">
        <w:t xml:space="preserve"> operations, serve as an inspirational toolkit for grappling with twenty</w:t>
      </w:r>
      <w:r>
        <w:t>-</w:t>
      </w:r>
      <w:r w:rsidRPr="00052FD8">
        <w:t>first century conflicts.</w:t>
      </w:r>
      <w:r w:rsidRPr="00052FD8">
        <w:rPr>
          <w:rStyle w:val="FootnoteReference"/>
        </w:rPr>
        <w:footnoteReference w:id="74"/>
      </w:r>
      <w:r w:rsidRPr="00052FD8">
        <w:t xml:space="preserve"> </w:t>
      </w:r>
    </w:p>
    <w:p w14:paraId="721E7CDD" w14:textId="77777777" w:rsidR="00997966" w:rsidRPr="00052FD8" w:rsidRDefault="00997966" w:rsidP="00997966">
      <w:pPr>
        <w:spacing w:line="480" w:lineRule="auto"/>
        <w:ind w:firstLine="720"/>
        <w:contextualSpacing/>
        <w:rPr>
          <w:bCs/>
        </w:rPr>
      </w:pPr>
      <w:r w:rsidRPr="00052FD8">
        <w:t>As a result there is, arguably, a far larger and richer body of scholarship on the violence of colonial knowledge than there is on the physical violence unleashed by empire.</w:t>
      </w:r>
      <w:r w:rsidRPr="00052FD8">
        <w:rPr>
          <w:rStyle w:val="FootnoteReference"/>
        </w:rPr>
        <w:footnoteReference w:id="75"/>
      </w:r>
      <w:r w:rsidRPr="00052FD8">
        <w:t xml:space="preserve"> </w:t>
      </w:r>
      <w:r w:rsidRPr="00052FD8">
        <w:lastRenderedPageBreak/>
        <w:t xml:space="preserve">The scholarship on violence that does exist focuses, in addition, primarily on cataclysmic events like the Indian Revolt of 1857 and the </w:t>
      </w:r>
      <w:r>
        <w:t xml:space="preserve">1919 </w:t>
      </w:r>
      <w:r w:rsidRPr="00052FD8">
        <w:t xml:space="preserve">Jallianwallagh Bagh massacre, which tend to be regarded as </w:t>
      </w:r>
      <w:r>
        <w:t>‘</w:t>
      </w:r>
      <w:r w:rsidRPr="00052FD8">
        <w:t>discrete event[s] and as little more than . . . item[s] on the so</w:t>
      </w:r>
      <w:r>
        <w:t>-</w:t>
      </w:r>
      <w:r w:rsidRPr="00052FD8">
        <w:t xml:space="preserve">called </w:t>
      </w:r>
      <w:r>
        <w:t>“</w:t>
      </w:r>
      <w:r w:rsidRPr="00052FD8">
        <w:t>balance</w:t>
      </w:r>
      <w:r>
        <w:t>-</w:t>
      </w:r>
      <w:r w:rsidRPr="00052FD8">
        <w:t>sheet</w:t>
      </w:r>
      <w:r>
        <w:t>”</w:t>
      </w:r>
      <w:r w:rsidRPr="00052FD8">
        <w:t xml:space="preserve"> of empire</w:t>
      </w:r>
      <w:r>
        <w:t>’—</w:t>
      </w:r>
      <w:r w:rsidRPr="00052FD8">
        <w:t>not, in other words, as symptoms of the structural and systemic violence of colonialism.</w:t>
      </w:r>
      <w:r w:rsidRPr="00052FD8">
        <w:rPr>
          <w:rStyle w:val="FootnoteReference"/>
        </w:rPr>
        <w:footnoteReference w:id="76"/>
      </w:r>
      <w:r w:rsidRPr="00052FD8">
        <w:t xml:space="preserve"> Even the literature on colonial warfare largely evades, astonishingly, the actual experience of violence, and concentrates primarily on decoloni</w:t>
      </w:r>
      <w:r>
        <w:t>z</w:t>
      </w:r>
      <w:r w:rsidRPr="00052FD8">
        <w:t>ation rather than on conquest.</w:t>
      </w:r>
      <w:r w:rsidRPr="00052FD8">
        <w:rPr>
          <w:rStyle w:val="FootnoteReference"/>
        </w:rPr>
        <w:footnoteReference w:id="77"/>
      </w:r>
      <w:r w:rsidRPr="00052FD8">
        <w:t xml:space="preserve"> </w:t>
      </w:r>
    </w:p>
    <w:p w14:paraId="16A91609" w14:textId="77777777" w:rsidR="00997966" w:rsidRPr="00052FD8" w:rsidRDefault="00997966" w:rsidP="00997966">
      <w:pPr>
        <w:spacing w:line="480" w:lineRule="auto"/>
        <w:ind w:firstLine="720"/>
        <w:contextualSpacing/>
      </w:pPr>
      <w:r w:rsidRPr="00052FD8">
        <w:rPr>
          <w:bCs/>
        </w:rPr>
        <w:t xml:space="preserve">Since </w:t>
      </w:r>
      <w:r>
        <w:rPr>
          <w:bCs/>
        </w:rPr>
        <w:t>‘</w:t>
      </w:r>
      <w:r w:rsidRPr="00052FD8">
        <w:t>[t]o inhabit imperialist society is virtually by definition to be blind to the cruel reality of imperial domination</w:t>
      </w:r>
      <w:r>
        <w:t>’</w:t>
      </w:r>
      <w:r w:rsidRPr="00052FD8">
        <w:t xml:space="preserve">, </w:t>
      </w:r>
      <w:r>
        <w:t>such perspectives on empire are</w:t>
      </w:r>
      <w:r w:rsidRPr="00052FD8">
        <w:rPr>
          <w:bCs/>
        </w:rPr>
        <w:t xml:space="preserve"> sustained by a culture of denial.</w:t>
      </w:r>
      <w:r w:rsidRPr="00052FD8">
        <w:rPr>
          <w:rStyle w:val="FootnoteReference"/>
          <w:bCs/>
        </w:rPr>
        <w:footnoteReference w:id="78"/>
      </w:r>
      <w:r w:rsidRPr="00052FD8">
        <w:rPr>
          <w:bCs/>
        </w:rPr>
        <w:t xml:space="preserve"> In addition to being built into </w:t>
      </w:r>
      <w:r w:rsidRPr="00052FD8">
        <w:t xml:space="preserve">state ideologies, as the </w:t>
      </w:r>
      <w:r w:rsidRPr="00052FD8">
        <w:rPr>
          <w:i/>
          <w:iCs/>
        </w:rPr>
        <w:t>Matua</w:t>
      </w:r>
      <w:r w:rsidRPr="00052FD8">
        <w:t xml:space="preserve"> case demonstrates, </w:t>
      </w:r>
      <w:r w:rsidRPr="00052FD8">
        <w:lastRenderedPageBreak/>
        <w:t>entire societies can slide into forms of collective denial</w:t>
      </w:r>
      <w:r>
        <w:t>—</w:t>
      </w:r>
      <w:r w:rsidRPr="00052FD8">
        <w:t>of, for example, forms of cruelty, discrimination or exclusion which are well known but never openly acknowledged.</w:t>
      </w:r>
      <w:r w:rsidRPr="00052FD8">
        <w:rPr>
          <w:rStyle w:val="FootnoteReference"/>
        </w:rPr>
        <w:footnoteReference w:id="79"/>
      </w:r>
      <w:r w:rsidRPr="00052FD8">
        <w:t xml:space="preserve"> Such </w:t>
      </w:r>
      <w:r>
        <w:t>disavowa</w:t>
      </w:r>
      <w:r w:rsidRPr="00052FD8">
        <w:t xml:space="preserve">l can, however, be shattered, as it was for the British in the face of the shock they experienced at the </w:t>
      </w:r>
      <w:r>
        <w:t>‘”</w:t>
      </w:r>
      <w:r w:rsidRPr="00052FD8">
        <w:t>reign of terror</w:t>
      </w:r>
      <w:r>
        <w:t>”’</w:t>
      </w:r>
      <w:r w:rsidRPr="00052FD8">
        <w:t xml:space="preserve"> perpetrated against Indians </w:t>
      </w:r>
      <w:r>
        <w:t xml:space="preserve">by British troops </w:t>
      </w:r>
      <w:r w:rsidRPr="00052FD8">
        <w:t>during the Revolt of 1857</w:t>
      </w:r>
      <w:r>
        <w:t>-</w:t>
      </w:r>
      <w:r w:rsidRPr="00052FD8">
        <w:t xml:space="preserve">58 (referred to in imperial historiography as a </w:t>
      </w:r>
      <w:r>
        <w:t>‘</w:t>
      </w:r>
      <w:r w:rsidRPr="00052FD8">
        <w:t>mutiny</w:t>
      </w:r>
      <w:r>
        <w:t>’</w:t>
      </w:r>
      <w:r w:rsidRPr="00052FD8">
        <w:t xml:space="preserve">), or what one commentator regarded as </w:t>
      </w:r>
      <w:r>
        <w:t>‘”</w:t>
      </w:r>
      <w:r w:rsidRPr="00052FD8">
        <w:t>a war of extermination . . . in which pity was unknown</w:t>
      </w:r>
      <w:r>
        <w:t>”’</w:t>
      </w:r>
      <w:r w:rsidRPr="00052FD8">
        <w:t>.</w:t>
      </w:r>
      <w:r w:rsidRPr="00052FD8">
        <w:rPr>
          <w:rStyle w:val="FootnoteReference"/>
        </w:rPr>
        <w:footnoteReference w:id="80"/>
      </w:r>
      <w:r w:rsidRPr="00052FD8">
        <w:t xml:space="preserve"> According to Christopher Herbert </w:t>
      </w:r>
      <w:r>
        <w:t>it was the realization</w:t>
      </w:r>
      <w:r w:rsidRPr="00052FD8">
        <w:t xml:space="preserve"> that a </w:t>
      </w:r>
      <w:r>
        <w:t>‘</w:t>
      </w:r>
      <w:r w:rsidRPr="00052FD8">
        <w:t>strain of genocidal cruelty</w:t>
      </w:r>
      <w:r>
        <w:t>’</w:t>
      </w:r>
      <w:r w:rsidRPr="00052FD8">
        <w:t xml:space="preserve"> was inherent in </w:t>
      </w:r>
      <w:r>
        <w:t>Britain’s</w:t>
      </w:r>
      <w:r w:rsidRPr="00052FD8">
        <w:t xml:space="preserve"> </w:t>
      </w:r>
      <w:r>
        <w:t>‘</w:t>
      </w:r>
      <w:r w:rsidRPr="00052FD8">
        <w:t>humanitarian Christian virtue . . .</w:t>
      </w:r>
      <w:r>
        <w:t>’</w:t>
      </w:r>
      <w:r w:rsidRPr="00052FD8">
        <w:t xml:space="preserve"> </w:t>
      </w:r>
      <w:r>
        <w:t xml:space="preserve">that led to the generation of </w:t>
      </w:r>
      <w:r w:rsidRPr="00052FD8">
        <w:lastRenderedPageBreak/>
        <w:t xml:space="preserve">profound psychological trauma in </w:t>
      </w:r>
      <w:r>
        <w:t>British</w:t>
      </w:r>
      <w:r w:rsidRPr="00052FD8">
        <w:t xml:space="preserve"> society.</w:t>
      </w:r>
      <w:r w:rsidRPr="00052FD8">
        <w:rPr>
          <w:rStyle w:val="FootnoteReference"/>
        </w:rPr>
        <w:footnoteReference w:id="81"/>
      </w:r>
      <w:r w:rsidRPr="00052FD8">
        <w:t xml:space="preserve"> For those not so enlightened, denial renders its members what Michael Rothberg refers to as </w:t>
      </w:r>
      <w:r>
        <w:t>‘</w:t>
      </w:r>
      <w:r w:rsidRPr="00052FD8">
        <w:t>implicated subjects</w:t>
      </w:r>
      <w:r>
        <w:t>’</w:t>
      </w:r>
      <w:r w:rsidRPr="00052FD8">
        <w:t>, whose actions, while neither those of victim, perpetrator</w:t>
      </w:r>
      <w:r>
        <w:t>,</w:t>
      </w:r>
      <w:r w:rsidRPr="00052FD8">
        <w:t xml:space="preserve"> nor bystander, help to produce and perpetuate the legacies of imperial and colonial violence and sustain the configurations of inequality that shape the present.</w:t>
      </w:r>
      <w:r w:rsidRPr="00052FD8">
        <w:rPr>
          <w:rStyle w:val="FootnoteReference"/>
        </w:rPr>
        <w:footnoteReference w:id="82"/>
      </w:r>
    </w:p>
    <w:p w14:paraId="6FBF1289" w14:textId="77777777" w:rsidR="00997966" w:rsidRPr="00052FD8" w:rsidRDefault="00997966" w:rsidP="00997966">
      <w:pPr>
        <w:spacing w:line="480" w:lineRule="auto"/>
        <w:contextualSpacing/>
      </w:pPr>
      <w:r w:rsidRPr="00052FD8">
        <w:lastRenderedPageBreak/>
        <w:tab/>
        <w:t xml:space="preserve">This is not to suggest that the violence of empire has been completely expunged from historical memory in Britain. The evidence, particularly during moments of crisis, is simply too extensive to enable such forgetting. </w:t>
      </w:r>
      <w:r>
        <w:t xml:space="preserve">But </w:t>
      </w:r>
      <w:r w:rsidRPr="00052FD8">
        <w:t xml:space="preserve">as the </w:t>
      </w:r>
      <w:r w:rsidRPr="00052FD8">
        <w:rPr>
          <w:i/>
          <w:iCs/>
        </w:rPr>
        <w:t xml:space="preserve">Matua </w:t>
      </w:r>
      <w:r w:rsidRPr="00052FD8">
        <w:t xml:space="preserve">case reveals, </w:t>
      </w:r>
      <w:r>
        <w:t xml:space="preserve">rather than being forgotten, such violence </w:t>
      </w:r>
      <w:r w:rsidRPr="00052FD8">
        <w:t xml:space="preserve">is instead repeatedly </w:t>
      </w:r>
      <w:r>
        <w:t>‘</w:t>
      </w:r>
      <w:r w:rsidRPr="00052FD8">
        <w:t>rediscovered</w:t>
      </w:r>
      <w:r>
        <w:t>’</w:t>
      </w:r>
      <w:r w:rsidRPr="00052FD8">
        <w:t xml:space="preserve">, its visibility, like that of empire itself, </w:t>
      </w:r>
      <w:r>
        <w:t>‘</w:t>
      </w:r>
      <w:r w:rsidRPr="00052FD8">
        <w:t>a political artefact that has waxed and waned</w:t>
      </w:r>
      <w:r>
        <w:t>’</w:t>
      </w:r>
      <w:r w:rsidRPr="00052FD8">
        <w:t>.</w:t>
      </w:r>
      <w:r w:rsidRPr="00052FD8">
        <w:rPr>
          <w:rStyle w:val="FootnoteReference"/>
        </w:rPr>
        <w:footnoteReference w:id="83"/>
      </w:r>
      <w:r w:rsidRPr="00052FD8">
        <w:t xml:space="preserve"> What is at stake when it comes to empire, Ann Stoler argues, is </w:t>
      </w:r>
      <w:r>
        <w:t>‘</w:t>
      </w:r>
      <w:r w:rsidRPr="00052FD8">
        <w:t>a dismembering, a difficulty speaking, a difficulty generating a vocabulary that associates appropriate words and concepts with appropriate things</w:t>
      </w:r>
      <w:r>
        <w:t>’</w:t>
      </w:r>
      <w:r w:rsidRPr="00052FD8">
        <w:t>.</w:t>
      </w:r>
      <w:r w:rsidRPr="00052FD8">
        <w:rPr>
          <w:rStyle w:val="FootnoteReference"/>
        </w:rPr>
        <w:footnoteReference w:id="84"/>
      </w:r>
      <w:r w:rsidRPr="00052FD8">
        <w:t xml:space="preserve"> The violence of empire is rediscovered, according to Stoler, when it is deemed safe for public consumption and scholarly investigation; the spurt of publications </w:t>
      </w:r>
      <w:r>
        <w:t>‘</w:t>
      </w:r>
      <w:r w:rsidRPr="00052FD8">
        <w:t>disclosing</w:t>
      </w:r>
      <w:r>
        <w:t>’</w:t>
      </w:r>
      <w:r w:rsidRPr="00052FD8">
        <w:t xml:space="preserve"> the French use of torture against Algerians in the Algerian War of Independence </w:t>
      </w:r>
      <w:r>
        <w:t>since the turn of the twenty-first century</w:t>
      </w:r>
      <w:r w:rsidRPr="00052FD8">
        <w:t xml:space="preserve">, she argues, may now be deemed </w:t>
      </w:r>
      <w:r>
        <w:t>‘</w:t>
      </w:r>
      <w:r w:rsidRPr="00052FD8">
        <w:t>safe</w:t>
      </w:r>
      <w:r>
        <w:t>’</w:t>
      </w:r>
      <w:r w:rsidRPr="00052FD8">
        <w:t xml:space="preserve"> because such works offer redemption to those willing to speak (as well as listen to) what had long remained unspoken while leaving </w:t>
      </w:r>
      <w:r w:rsidRPr="00052FD8">
        <w:lastRenderedPageBreak/>
        <w:t xml:space="preserve">unquestioned the systematic violence that is inherent to the </w:t>
      </w:r>
      <w:r>
        <w:t>‘</w:t>
      </w:r>
      <w:r w:rsidRPr="00052FD8">
        <w:t>normal</w:t>
      </w:r>
      <w:r>
        <w:t>’</w:t>
      </w:r>
      <w:r w:rsidRPr="00052FD8">
        <w:t xml:space="preserve"> operation of colonial regimes.</w:t>
      </w:r>
      <w:r w:rsidRPr="00052FD8">
        <w:rPr>
          <w:rStyle w:val="FootnoteReference"/>
        </w:rPr>
        <w:footnoteReference w:id="85"/>
      </w:r>
    </w:p>
    <w:p w14:paraId="1037059D" w14:textId="77777777" w:rsidR="00997966" w:rsidRPr="00052FD8" w:rsidRDefault="00997966" w:rsidP="00997966">
      <w:pPr>
        <w:spacing w:line="480" w:lineRule="auto"/>
        <w:contextualSpacing/>
      </w:pPr>
      <w:r w:rsidRPr="00052FD8">
        <w:tab/>
        <w:t xml:space="preserve">Stoler’s suggestion that colonial violence is rediscovered when it is </w:t>
      </w:r>
      <w:r>
        <w:t>‘</w:t>
      </w:r>
      <w:r w:rsidRPr="00052FD8">
        <w:t>safe</w:t>
      </w:r>
      <w:r>
        <w:t>’</w:t>
      </w:r>
      <w:r w:rsidRPr="00052FD8">
        <w:t xml:space="preserve"> to do so raises interesting questions about the growing body of scholarship that has emerged since the onset of the </w:t>
      </w:r>
      <w:r>
        <w:t>‘</w:t>
      </w:r>
      <w:r w:rsidRPr="00052FD8">
        <w:t>war on terror</w:t>
      </w:r>
      <w:r>
        <w:t>’</w:t>
      </w:r>
      <w:r w:rsidRPr="00052FD8">
        <w:t xml:space="preserve"> in 2001 that seeks not only to reassess claims that the British empire was not a </w:t>
      </w:r>
      <w:r>
        <w:t>‘</w:t>
      </w:r>
      <w:r w:rsidRPr="00052FD8">
        <w:t>violent concern</w:t>
      </w:r>
      <w:r>
        <w:t>’</w:t>
      </w:r>
      <w:r w:rsidRPr="00052FD8">
        <w:t xml:space="preserve"> but to examine the connections between Britain’s (post)</w:t>
      </w:r>
      <w:r>
        <w:t>-</w:t>
      </w:r>
      <w:r w:rsidRPr="00052FD8">
        <w:t>imperial present and its imperial past.</w:t>
      </w:r>
      <w:r w:rsidRPr="00052FD8">
        <w:rPr>
          <w:rStyle w:val="FootnoteReference"/>
        </w:rPr>
        <w:footnoteReference w:id="86"/>
      </w:r>
      <w:r w:rsidRPr="00052FD8">
        <w:t xml:space="preserve"> The wide range of issues such scholarship has tackled include: the dynamics of colonial violence;</w:t>
      </w:r>
      <w:r w:rsidRPr="00052FD8">
        <w:rPr>
          <w:rStyle w:val="FootnoteReference"/>
        </w:rPr>
        <w:footnoteReference w:id="87"/>
      </w:r>
      <w:r w:rsidRPr="00052FD8">
        <w:t xml:space="preserve"> sovereignty and state violence;</w:t>
      </w:r>
      <w:r w:rsidRPr="00052FD8">
        <w:rPr>
          <w:rStyle w:val="FootnoteReference"/>
        </w:rPr>
        <w:footnoteReference w:id="88"/>
      </w:r>
      <w:r w:rsidRPr="00052FD8">
        <w:t xml:space="preserve"> </w:t>
      </w:r>
      <w:r w:rsidRPr="00052FD8">
        <w:lastRenderedPageBreak/>
        <w:t>emergency/decoloni</w:t>
      </w:r>
      <w:r>
        <w:t>z</w:t>
      </w:r>
      <w:r w:rsidRPr="00052FD8">
        <w:t>ing/</w:t>
      </w:r>
      <w:r>
        <w:t>’</w:t>
      </w:r>
      <w:r w:rsidRPr="00052FD8">
        <w:t>counterinsurgency</w:t>
      </w:r>
      <w:r>
        <w:t>’</w:t>
      </w:r>
      <w:r w:rsidRPr="00052FD8">
        <w:t xml:space="preserve"> violence</w:t>
      </w:r>
      <w:r w:rsidRPr="00052FD8">
        <w:rPr>
          <w:rStyle w:val="FootnoteReference"/>
        </w:rPr>
        <w:footnoteReference w:id="89"/>
      </w:r>
      <w:r w:rsidRPr="00052FD8">
        <w:t>; massacre;</w:t>
      </w:r>
      <w:r w:rsidRPr="00052FD8">
        <w:rPr>
          <w:rStyle w:val="FootnoteReference"/>
        </w:rPr>
        <w:footnoteReference w:id="90"/>
      </w:r>
      <w:r w:rsidRPr="00052FD8">
        <w:t xml:space="preserve"> genocide;</w:t>
      </w:r>
      <w:r w:rsidRPr="00052FD8">
        <w:rPr>
          <w:rStyle w:val="FootnoteReference"/>
        </w:rPr>
        <w:footnoteReference w:id="91"/>
      </w:r>
      <w:r w:rsidRPr="00052FD8">
        <w:t xml:space="preserve"> frontier violence;</w:t>
      </w:r>
      <w:r w:rsidRPr="00052FD8">
        <w:rPr>
          <w:rStyle w:val="FootnoteReference"/>
        </w:rPr>
        <w:footnoteReference w:id="92"/>
      </w:r>
      <w:r w:rsidRPr="00052FD8">
        <w:t xml:space="preserve"> settler violence;</w:t>
      </w:r>
      <w:r w:rsidRPr="00052FD8">
        <w:rPr>
          <w:rStyle w:val="FootnoteReference"/>
        </w:rPr>
        <w:footnoteReference w:id="93"/>
      </w:r>
      <w:r w:rsidRPr="00052FD8">
        <w:t xml:space="preserve"> the violence of colonial law;</w:t>
      </w:r>
      <w:r w:rsidRPr="00052FD8">
        <w:rPr>
          <w:rStyle w:val="FootnoteReference"/>
        </w:rPr>
        <w:footnoteReference w:id="94"/>
      </w:r>
      <w:r w:rsidRPr="00052FD8">
        <w:t xml:space="preserve"> the violence of colonial </w:t>
      </w:r>
      <w:r w:rsidRPr="00052FD8">
        <w:lastRenderedPageBreak/>
        <w:t>policing;</w:t>
      </w:r>
      <w:r w:rsidRPr="00052FD8">
        <w:rPr>
          <w:rStyle w:val="FootnoteReference"/>
        </w:rPr>
        <w:footnoteReference w:id="95"/>
      </w:r>
      <w:r w:rsidRPr="00052FD8">
        <w:t xml:space="preserve"> </w:t>
      </w:r>
      <w:r>
        <w:t>the violence of colonial prisons;</w:t>
      </w:r>
      <w:r>
        <w:rPr>
          <w:rStyle w:val="FootnoteReference"/>
        </w:rPr>
        <w:footnoteReference w:id="96"/>
      </w:r>
      <w:r>
        <w:t xml:space="preserve"> convicts, transportation, and </w:t>
      </w:r>
      <w:r w:rsidRPr="00052FD8">
        <w:t>indentured labour;</w:t>
      </w:r>
      <w:r w:rsidRPr="00052FD8">
        <w:rPr>
          <w:rStyle w:val="FootnoteReference"/>
        </w:rPr>
        <w:footnoteReference w:id="97"/>
      </w:r>
      <w:r w:rsidRPr="00052FD8">
        <w:t xml:space="preserve"> camps;</w:t>
      </w:r>
      <w:r w:rsidRPr="00052FD8">
        <w:rPr>
          <w:rStyle w:val="FootnoteReference"/>
        </w:rPr>
        <w:footnoteReference w:id="98"/>
      </w:r>
      <w:r w:rsidRPr="00052FD8">
        <w:t xml:space="preserve"> </w:t>
      </w:r>
      <w:r>
        <w:t>‘</w:t>
      </w:r>
      <w:r w:rsidRPr="00052FD8">
        <w:t>white</w:t>
      </w:r>
      <w:r>
        <w:t>’</w:t>
      </w:r>
      <w:r w:rsidRPr="00052FD8">
        <w:t xml:space="preserve"> violence</w:t>
      </w:r>
      <w:r w:rsidRPr="00052FD8">
        <w:rPr>
          <w:rStyle w:val="FootnoteReference"/>
        </w:rPr>
        <w:footnoteReference w:id="99"/>
      </w:r>
      <w:r w:rsidRPr="00052FD8">
        <w:t>; gendered and sexual violence;</w:t>
      </w:r>
      <w:r w:rsidRPr="00052FD8">
        <w:rPr>
          <w:rStyle w:val="FootnoteReference"/>
        </w:rPr>
        <w:footnoteReference w:id="100"/>
      </w:r>
      <w:r w:rsidRPr="00052FD8">
        <w:t xml:space="preserve"> torture;</w:t>
      </w:r>
      <w:r w:rsidRPr="00052FD8">
        <w:rPr>
          <w:rStyle w:val="FootnoteReference"/>
        </w:rPr>
        <w:footnoteReference w:id="101"/>
      </w:r>
      <w:r w:rsidRPr="00052FD8">
        <w:t xml:space="preserve"> flogging;</w:t>
      </w:r>
      <w:r w:rsidRPr="00052FD8">
        <w:rPr>
          <w:rStyle w:val="FootnoteReference"/>
        </w:rPr>
        <w:footnoteReference w:id="102"/>
      </w:r>
      <w:r w:rsidRPr="00052FD8">
        <w:t xml:space="preserve"> </w:t>
      </w:r>
      <w:r w:rsidRPr="00052FD8">
        <w:lastRenderedPageBreak/>
        <w:t>the representation, poetics</w:t>
      </w:r>
      <w:r>
        <w:t>,</w:t>
      </w:r>
      <w:r w:rsidRPr="00052FD8">
        <w:t xml:space="preserve"> and aesthetics of colonial violence;</w:t>
      </w:r>
      <w:r w:rsidRPr="00052FD8">
        <w:rPr>
          <w:rStyle w:val="FootnoteReference"/>
        </w:rPr>
        <w:footnoteReference w:id="103"/>
      </w:r>
      <w:r w:rsidRPr="00052FD8">
        <w:t xml:space="preserve"> violence and humanitarianism;</w:t>
      </w:r>
      <w:r w:rsidRPr="00052FD8">
        <w:rPr>
          <w:rStyle w:val="FootnoteReference"/>
        </w:rPr>
        <w:footnoteReference w:id="104"/>
      </w:r>
      <w:r w:rsidRPr="00052FD8">
        <w:t xml:space="preserve"> the scandal of colonial violence;</w:t>
      </w:r>
      <w:r w:rsidRPr="00052FD8">
        <w:rPr>
          <w:rStyle w:val="FootnoteReference"/>
        </w:rPr>
        <w:footnoteReference w:id="105"/>
      </w:r>
      <w:r w:rsidRPr="00052FD8">
        <w:t xml:space="preserve"> the psychology of colonial </w:t>
      </w:r>
      <w:r w:rsidRPr="00052FD8">
        <w:lastRenderedPageBreak/>
        <w:t>violence;</w:t>
      </w:r>
      <w:r w:rsidRPr="00052FD8">
        <w:rPr>
          <w:rStyle w:val="FootnoteReference"/>
        </w:rPr>
        <w:footnoteReference w:id="106"/>
      </w:r>
      <w:r w:rsidRPr="00052FD8">
        <w:t xml:space="preserve"> pain, suffering</w:t>
      </w:r>
      <w:r>
        <w:t>,</w:t>
      </w:r>
      <w:r w:rsidRPr="00052FD8">
        <w:t xml:space="preserve"> and trauma;</w:t>
      </w:r>
      <w:r w:rsidRPr="00052FD8">
        <w:rPr>
          <w:rStyle w:val="FootnoteReference"/>
        </w:rPr>
        <w:footnoteReference w:id="107"/>
      </w:r>
      <w:r w:rsidRPr="00052FD8">
        <w:t xml:space="preserve"> and violence and the archive.</w:t>
      </w:r>
      <w:r w:rsidRPr="00052FD8">
        <w:rPr>
          <w:rStyle w:val="FootnoteReference"/>
        </w:rPr>
        <w:footnoteReference w:id="108"/>
      </w:r>
      <w:r w:rsidRPr="00052FD8">
        <w:t xml:space="preserve"> Scholars have also sought to write violence back in to the narrative of empire.</w:t>
      </w:r>
      <w:r w:rsidRPr="00052FD8">
        <w:rPr>
          <w:rStyle w:val="FootnoteReference"/>
        </w:rPr>
        <w:footnoteReference w:id="109"/>
      </w:r>
      <w:r w:rsidRPr="00052FD8">
        <w:t xml:space="preserve"> This growing corpus </w:t>
      </w:r>
      <w:r>
        <w:t xml:space="preserve">of </w:t>
      </w:r>
      <w:r>
        <w:lastRenderedPageBreak/>
        <w:t xml:space="preserve">literature </w:t>
      </w:r>
      <w:r w:rsidRPr="00052FD8">
        <w:t xml:space="preserve">has done a great deal, Darwin’s scepticism notwithstanding, to add to our </w:t>
      </w:r>
      <w:r>
        <w:t>‘</w:t>
      </w:r>
      <w:r w:rsidRPr="00052FD8">
        <w:t>sum of knowledge</w:t>
      </w:r>
      <w:r>
        <w:t>’</w:t>
      </w:r>
      <w:r w:rsidRPr="00052FD8">
        <w:t xml:space="preserve"> about empire. But that such scholarship has undoubtedly become more </w:t>
      </w:r>
      <w:r>
        <w:t>‘</w:t>
      </w:r>
      <w:r w:rsidRPr="00052FD8">
        <w:t>safe</w:t>
      </w:r>
      <w:r>
        <w:t>’</w:t>
      </w:r>
      <w:r w:rsidRPr="00052FD8">
        <w:t xml:space="preserve"> to pursue is not just a product of widespread opposition to the invasions of Afghanistan and Iraq, and awareness of the torture and other forms of violence that have been perpetrated as a result of these. To some extent it may also be because much of it, good intentions notwithstanding, elides the structural and quotidian violence of colonialism. As Elizabeth Kolsky has argued in regard to the scholarly focus on the violence of big events, it is in fact </w:t>
      </w:r>
      <w:r>
        <w:t>‘</w:t>
      </w:r>
      <w:r w:rsidRPr="00052FD8">
        <w:t>the micro</w:t>
      </w:r>
      <w:r>
        <w:t>-</w:t>
      </w:r>
      <w:r w:rsidRPr="00052FD8">
        <w:t>moments betwixt and between these macro</w:t>
      </w:r>
      <w:r>
        <w:t>-</w:t>
      </w:r>
      <w:r w:rsidRPr="00052FD8">
        <w:t>events where the violence central to the workings of empire can be found</w:t>
      </w:r>
      <w:r>
        <w:t>’</w:t>
      </w:r>
      <w:r w:rsidRPr="00052FD8">
        <w:t>.</w:t>
      </w:r>
      <w:r w:rsidRPr="00052FD8">
        <w:rPr>
          <w:rStyle w:val="FootnoteReference"/>
        </w:rPr>
        <w:footnoteReference w:id="110"/>
      </w:r>
      <w:r w:rsidRPr="00052FD8">
        <w:t xml:space="preserve"> The same could be said for the focus on </w:t>
      </w:r>
      <w:r>
        <w:t>‘</w:t>
      </w:r>
      <w:r w:rsidRPr="00052FD8">
        <w:t>bad apples</w:t>
      </w:r>
      <w:r>
        <w:t>’</w:t>
      </w:r>
      <w:r w:rsidRPr="00052FD8">
        <w:t xml:space="preserve">, or states of emergency. Focusing on such </w:t>
      </w:r>
      <w:r>
        <w:t>‘</w:t>
      </w:r>
      <w:r w:rsidRPr="00052FD8">
        <w:t>moments</w:t>
      </w:r>
      <w:r>
        <w:t>’</w:t>
      </w:r>
      <w:r w:rsidRPr="00052FD8">
        <w:t>, in other words, or on violence committed by identifiable agents can serve to exonerate empire of its most constitutive violence.</w:t>
      </w:r>
    </w:p>
    <w:p w14:paraId="29DF049F" w14:textId="77777777" w:rsidR="00997966" w:rsidRPr="00052FD8" w:rsidRDefault="00997966" w:rsidP="00997966">
      <w:pPr>
        <w:spacing w:line="480" w:lineRule="auto"/>
        <w:contextualSpacing/>
      </w:pPr>
      <w:r w:rsidRPr="00052FD8">
        <w:tab/>
        <w:t>The problem, perhaps, is how scholars of empire approach violence. Gyanendra Pandey has observed, in regard to the historiography o</w:t>
      </w:r>
      <w:r>
        <w:t>n</w:t>
      </w:r>
      <w:r w:rsidRPr="00052FD8">
        <w:t xml:space="preserve"> modern India, that violence is largely treated </w:t>
      </w:r>
      <w:r>
        <w:t>‘</w:t>
      </w:r>
      <w:r w:rsidRPr="00052FD8">
        <w:t xml:space="preserve">as </w:t>
      </w:r>
      <w:r w:rsidRPr="00052FD8">
        <w:rPr>
          <w:iCs/>
        </w:rPr>
        <w:t>aberration</w:t>
      </w:r>
      <w:r w:rsidRPr="00052FD8">
        <w:rPr>
          <w:i/>
        </w:rPr>
        <w:t xml:space="preserve"> </w:t>
      </w:r>
      <w:r w:rsidRPr="00052FD8">
        <w:t xml:space="preserve">and as </w:t>
      </w:r>
      <w:r w:rsidRPr="00052FD8">
        <w:rPr>
          <w:iCs/>
        </w:rPr>
        <w:t>absence</w:t>
      </w:r>
      <w:r>
        <w:t>’</w:t>
      </w:r>
      <w:r w:rsidRPr="00052FD8">
        <w:t xml:space="preserve">; as aberration because </w:t>
      </w:r>
      <w:r>
        <w:t>‘</w:t>
      </w:r>
      <w:r w:rsidRPr="00052FD8">
        <w:t>violence is seen as something removed from the general run of Indian history: a distorted form, an exceptional moment, not the ‘real’ history of India at all</w:t>
      </w:r>
      <w:r>
        <w:t>’</w:t>
      </w:r>
      <w:r w:rsidRPr="00052FD8">
        <w:t xml:space="preserve">, and as absence because of the difficulties in encapsulating and signifying the </w:t>
      </w:r>
      <w:r>
        <w:t>‘</w:t>
      </w:r>
      <w:r w:rsidRPr="00052FD8">
        <w:t>moment</w:t>
      </w:r>
      <w:r>
        <w:t>’</w:t>
      </w:r>
      <w:r w:rsidRPr="00052FD8">
        <w:t xml:space="preserve"> of violence (emphasis in original).</w:t>
      </w:r>
      <w:r w:rsidRPr="00052FD8">
        <w:rPr>
          <w:rStyle w:val="FootnoteReference"/>
        </w:rPr>
        <w:footnoteReference w:id="111"/>
      </w:r>
      <w:r w:rsidRPr="00052FD8">
        <w:t xml:space="preserve"> The focus on violence in South Asian historiography has largely been, in other words, on the context surrounding </w:t>
      </w:r>
      <w:r w:rsidRPr="00052FD8">
        <w:lastRenderedPageBreak/>
        <w:t>violence rather than on the violence itself.</w:t>
      </w:r>
      <w:r w:rsidRPr="00052FD8">
        <w:rPr>
          <w:rStyle w:val="FootnoteReference"/>
        </w:rPr>
        <w:footnoteReference w:id="112"/>
      </w:r>
      <w:r w:rsidRPr="00052FD8">
        <w:t xml:space="preserve"> Since the discipline of history as a whole tends to treat violence as epiphenomenal, namely as a side</w:t>
      </w:r>
      <w:r>
        <w:t>-</w:t>
      </w:r>
      <w:r w:rsidRPr="00052FD8">
        <w:t>effect of historical events rather than as a subject of analysis in its own right, such a phenomena is by no means</w:t>
      </w:r>
      <w:r>
        <w:t xml:space="preserve"> </w:t>
      </w:r>
      <w:r w:rsidRPr="00052FD8">
        <w:t>unique</w:t>
      </w:r>
      <w:r>
        <w:t xml:space="preserve">, </w:t>
      </w:r>
      <w:r w:rsidRPr="00052FD8">
        <w:t>however, to South Asian historiography.</w:t>
      </w:r>
      <w:r w:rsidRPr="00052FD8">
        <w:rPr>
          <w:rStyle w:val="FootnoteReference"/>
        </w:rPr>
        <w:footnoteReference w:id="113"/>
      </w:r>
      <w:r w:rsidRPr="00052FD8">
        <w:t xml:space="preserve"> </w:t>
      </w:r>
    </w:p>
    <w:p w14:paraId="6BC0FE28" w14:textId="77777777" w:rsidR="00997966" w:rsidRPr="00052FD8" w:rsidRDefault="00997966" w:rsidP="00997966">
      <w:pPr>
        <w:spacing w:line="480" w:lineRule="auto"/>
        <w:contextualSpacing/>
      </w:pPr>
      <w:r w:rsidRPr="00052FD8">
        <w:tab/>
        <w:t xml:space="preserve">Violence tends, furthermore, to be regarded </w:t>
      </w:r>
      <w:r>
        <w:t xml:space="preserve">solely </w:t>
      </w:r>
      <w:r w:rsidRPr="00052FD8">
        <w:t>as an act, and not just by scholars of colonialism.</w:t>
      </w:r>
      <w:r w:rsidRPr="00052FD8">
        <w:rPr>
          <w:rStyle w:val="FootnoteReference"/>
        </w:rPr>
        <w:footnoteReference w:id="114"/>
      </w:r>
      <w:r w:rsidRPr="00052FD8">
        <w:rPr>
          <w:lang w:val="en-US"/>
        </w:rPr>
        <w:t xml:space="preserve"> In his influential essay on violence David Riches, for example, refers to it as </w:t>
      </w:r>
      <w:r>
        <w:t>‘</w:t>
      </w:r>
      <w:r w:rsidRPr="00052FD8">
        <w:t>an act of physical hurt deemed legitimate by the performer and illegitimate by (some) witnesses</w:t>
      </w:r>
      <w:r>
        <w:t>’</w:t>
      </w:r>
      <w:r w:rsidRPr="00052FD8">
        <w:t>.</w:t>
      </w:r>
      <w:r w:rsidRPr="00052FD8">
        <w:rPr>
          <w:rStyle w:val="FootnoteReference"/>
        </w:rPr>
        <w:footnoteReference w:id="115"/>
      </w:r>
      <w:r w:rsidRPr="00052FD8">
        <w:t xml:space="preserve"> According to Slavoj </w:t>
      </w:r>
      <w:r w:rsidRPr="00052FD8">
        <w:rPr>
          <w:rFonts w:eastAsia="MS Mincho"/>
          <w:bCs/>
        </w:rPr>
        <w:t>Ž</w:t>
      </w:r>
      <w:r w:rsidRPr="00052FD8">
        <w:rPr>
          <w:bCs/>
        </w:rPr>
        <w:t>i</w:t>
      </w:r>
      <w:r w:rsidRPr="00052FD8">
        <w:rPr>
          <w:rFonts w:eastAsia="MS Mincho"/>
          <w:bCs/>
        </w:rPr>
        <w:t>ž</w:t>
      </w:r>
      <w:r w:rsidRPr="00052FD8">
        <w:rPr>
          <w:bCs/>
        </w:rPr>
        <w:t>ek</w:t>
      </w:r>
      <w:r w:rsidRPr="00052FD8">
        <w:t xml:space="preserve"> there are, however, two distinct forms of violence</w:t>
      </w:r>
      <w:r>
        <w:t xml:space="preserve">. The first, </w:t>
      </w:r>
      <w:r w:rsidRPr="00052FD8">
        <w:rPr>
          <w:i/>
        </w:rPr>
        <w:t>subjective</w:t>
      </w:r>
      <w:r w:rsidRPr="00052FD8">
        <w:t xml:space="preserve"> violence</w:t>
      </w:r>
      <w:r>
        <w:t xml:space="preserve">, consists of the sort of violence that Riches is referring to, namely acts that are both visible and performed by identifiable agents; for </w:t>
      </w:r>
      <w:r w:rsidRPr="00052FD8">
        <w:rPr>
          <w:rFonts w:eastAsia="MS Mincho"/>
          <w:bCs/>
        </w:rPr>
        <w:t>Ž</w:t>
      </w:r>
      <w:r w:rsidRPr="00052FD8">
        <w:rPr>
          <w:bCs/>
        </w:rPr>
        <w:t>i</w:t>
      </w:r>
      <w:r w:rsidRPr="00052FD8">
        <w:rPr>
          <w:rFonts w:eastAsia="MS Mincho"/>
          <w:bCs/>
        </w:rPr>
        <w:t>ž</w:t>
      </w:r>
      <w:r w:rsidRPr="00052FD8">
        <w:rPr>
          <w:bCs/>
        </w:rPr>
        <w:t>ek</w:t>
      </w:r>
      <w:r>
        <w:t xml:space="preserve"> such a form of violence disrupts ‘</w:t>
      </w:r>
      <w:r w:rsidRPr="00052FD8">
        <w:t>the ‘normal’, peaceful state of things</w:t>
      </w:r>
      <w:r>
        <w:t>’.</w:t>
      </w:r>
      <w:r>
        <w:rPr>
          <w:rStyle w:val="FootnoteReference"/>
        </w:rPr>
        <w:footnoteReference w:id="116"/>
      </w:r>
      <w:r>
        <w:t xml:space="preserve"> The second, </w:t>
      </w:r>
      <w:r w:rsidRPr="00052FD8">
        <w:rPr>
          <w:i/>
        </w:rPr>
        <w:t>objective</w:t>
      </w:r>
      <w:r w:rsidRPr="00052FD8">
        <w:t xml:space="preserve"> violence</w:t>
      </w:r>
      <w:r>
        <w:t>,</w:t>
      </w:r>
      <w:r w:rsidRPr="00052FD8">
        <w:t xml:space="preserve"> includes </w:t>
      </w:r>
      <w:r>
        <w:t xml:space="preserve">forms of violence that can be construed of more as processes than as acts, such as </w:t>
      </w:r>
      <w:r w:rsidRPr="00052FD8">
        <w:t>structural and symbolic violence</w:t>
      </w:r>
      <w:r>
        <w:t>. Yet since such forms of violence lack clear agents and are largely invisible to us, we tend not to view them as forms of violence—although they play an important role in sustaining ‘</w:t>
      </w:r>
      <w:r w:rsidRPr="00052FD8">
        <w:t>the very zero</w:t>
      </w:r>
      <w:r>
        <w:t>-</w:t>
      </w:r>
      <w:r w:rsidRPr="00052FD8">
        <w:t xml:space="preserve">level standard against which we perceive </w:t>
      </w:r>
      <w:r w:rsidRPr="00052FD8">
        <w:lastRenderedPageBreak/>
        <w:t>something as subjectively violent</w:t>
      </w:r>
      <w:r>
        <w:t>’</w:t>
      </w:r>
      <w:r w:rsidRPr="00052FD8">
        <w:t>.</w:t>
      </w:r>
      <w:r w:rsidRPr="00052FD8">
        <w:rPr>
          <w:rStyle w:val="FootnoteReference"/>
        </w:rPr>
        <w:footnoteReference w:id="117"/>
      </w:r>
      <w:r w:rsidRPr="00052FD8">
        <w:t xml:space="preserve"> </w:t>
      </w:r>
      <w:r w:rsidRPr="00052FD8">
        <w:rPr>
          <w:bCs/>
        </w:rPr>
        <w:t xml:space="preserve">That violence is generally only </w:t>
      </w:r>
      <w:r>
        <w:rPr>
          <w:bCs/>
        </w:rPr>
        <w:t>regarded</w:t>
      </w:r>
      <w:r w:rsidRPr="00052FD8">
        <w:rPr>
          <w:bCs/>
        </w:rPr>
        <w:t xml:space="preserve"> as encompassing subjective forms is deeply problematic, </w:t>
      </w:r>
      <w:r w:rsidRPr="00052FD8">
        <w:t xml:space="preserve">for </w:t>
      </w:r>
      <w:r w:rsidRPr="00052FD8">
        <w:rPr>
          <w:rFonts w:eastAsia="MS Mincho"/>
          <w:bCs/>
        </w:rPr>
        <w:t>Ž</w:t>
      </w:r>
      <w:r w:rsidRPr="00052FD8">
        <w:rPr>
          <w:bCs/>
        </w:rPr>
        <w:t>i</w:t>
      </w:r>
      <w:r w:rsidRPr="00052FD8">
        <w:rPr>
          <w:rFonts w:eastAsia="MS Mincho"/>
          <w:bCs/>
        </w:rPr>
        <w:t>ž</w:t>
      </w:r>
      <w:r w:rsidRPr="00052FD8">
        <w:rPr>
          <w:bCs/>
        </w:rPr>
        <w:t>ek, since in focusing on evil individuals, big events</w:t>
      </w:r>
      <w:r>
        <w:rPr>
          <w:bCs/>
        </w:rPr>
        <w:t>,</w:t>
      </w:r>
      <w:r w:rsidRPr="00052FD8">
        <w:rPr>
          <w:bCs/>
        </w:rPr>
        <w:t xml:space="preserve"> or fanatical crowds we lose sight both of the causes of such violence and the myriad forms that violence can take (which, in turn, ensures the perpetuation of less visible forms of violence).</w:t>
      </w:r>
      <w:r w:rsidRPr="00052FD8">
        <w:rPr>
          <w:rStyle w:val="FootnoteReference"/>
          <w:bCs/>
        </w:rPr>
        <w:footnoteReference w:id="118"/>
      </w:r>
      <w:r w:rsidRPr="00052FD8">
        <w:t xml:space="preserve"> The focus on violence as a violative act also emphasi</w:t>
      </w:r>
      <w:r>
        <w:t>z</w:t>
      </w:r>
      <w:r w:rsidRPr="00052FD8">
        <w:t>es the deviance of violence, which masks not only the similarities between, for example, state and anti</w:t>
      </w:r>
      <w:r>
        <w:t>-</w:t>
      </w:r>
      <w:r w:rsidRPr="00052FD8">
        <w:t xml:space="preserve">state violences (although the former benefits from the discursive advantage of being able to reconfigure violence so that it no longer </w:t>
      </w:r>
      <w:r w:rsidRPr="00052FD8">
        <w:rPr>
          <w:iCs/>
        </w:rPr>
        <w:t>appears</w:t>
      </w:r>
      <w:r w:rsidRPr="00052FD8">
        <w:t xml:space="preserve"> as violence)</w:t>
      </w:r>
      <w:r>
        <w:t>,</w:t>
      </w:r>
      <w:r w:rsidRPr="00052FD8">
        <w:t xml:space="preserve"> but the ways in which both serve to restructure the world of the peoples touched by them.</w:t>
      </w:r>
      <w:r w:rsidRPr="00052FD8">
        <w:rPr>
          <w:rStyle w:val="FootnoteReference"/>
        </w:rPr>
        <w:footnoteReference w:id="119"/>
      </w:r>
      <w:r w:rsidRPr="00052FD8">
        <w:t xml:space="preserve"> As John Galtung contends in a seminal article</w:t>
      </w:r>
      <w:r>
        <w:t xml:space="preserve"> on violence</w:t>
      </w:r>
      <w:r w:rsidRPr="00052FD8">
        <w:t xml:space="preserve">, </w:t>
      </w:r>
      <w:r>
        <w:t>‘</w:t>
      </w:r>
      <w:r w:rsidRPr="00052FD8">
        <w:rPr>
          <w:i/>
        </w:rPr>
        <w:t>Violence is that which increases the distance between the potential and the actual</w:t>
      </w:r>
      <w:r w:rsidRPr="00052FD8">
        <w:t>, and that which impedes the decrease of this distance</w:t>
      </w:r>
      <w:r>
        <w:t>’</w:t>
      </w:r>
      <w:r w:rsidRPr="00052FD8">
        <w:t xml:space="preserve"> (emphasis in </w:t>
      </w:r>
      <w:r w:rsidRPr="00052FD8">
        <w:lastRenderedPageBreak/>
        <w:t>original).</w:t>
      </w:r>
      <w:r w:rsidRPr="00052FD8">
        <w:rPr>
          <w:rStyle w:val="FootnoteReference"/>
        </w:rPr>
        <w:footnoteReference w:id="120"/>
      </w:r>
      <w:r w:rsidRPr="00052FD8">
        <w:t xml:space="preserve"> For Galtung</w:t>
      </w:r>
      <w:r>
        <w:t xml:space="preserve"> </w:t>
      </w:r>
      <w:r w:rsidRPr="00052FD8">
        <w:t xml:space="preserve">a life expectancy of only 30 years, though the norm in the Neolithic era, would </w:t>
      </w:r>
      <w:r>
        <w:t xml:space="preserve">thus </w:t>
      </w:r>
      <w:r w:rsidRPr="00052FD8">
        <w:t>be seen as a form of structural violence today since our potential life expectancies are higher than 30.</w:t>
      </w:r>
      <w:r w:rsidRPr="00052FD8">
        <w:rPr>
          <w:rStyle w:val="FootnoteReference"/>
        </w:rPr>
        <w:footnoteReference w:id="121"/>
      </w:r>
      <w:r w:rsidRPr="00052FD8">
        <w:t xml:space="preserve"> Famine is likewise a form of violence if people starve when such suffering could be avoided</w:t>
      </w:r>
      <w:r>
        <w:t>—</w:t>
      </w:r>
      <w:r w:rsidRPr="00052FD8">
        <w:t xml:space="preserve">if it is a product, in other words, of what Akhil Gupta terms </w:t>
      </w:r>
      <w:r>
        <w:t>‘</w:t>
      </w:r>
      <w:r w:rsidRPr="00052FD8">
        <w:t>malign neglect</w:t>
      </w:r>
      <w:r>
        <w:t>’</w:t>
      </w:r>
      <w:r w:rsidRPr="00052FD8">
        <w:t>.</w:t>
      </w:r>
      <w:r w:rsidRPr="00052FD8">
        <w:rPr>
          <w:rStyle w:val="FootnoteReference"/>
        </w:rPr>
        <w:footnoteReference w:id="122"/>
      </w:r>
      <w:r w:rsidRPr="00052FD8">
        <w:t xml:space="preserve"> When it comes to empire, therefore, what Riches terms </w:t>
      </w:r>
      <w:r>
        <w:t>‘</w:t>
      </w:r>
      <w:r w:rsidRPr="00052FD8">
        <w:t xml:space="preserve">violative </w:t>
      </w:r>
      <w:r w:rsidRPr="00052FD8">
        <w:lastRenderedPageBreak/>
        <w:t>violence</w:t>
      </w:r>
      <w:r>
        <w:t>’</w:t>
      </w:r>
      <w:r w:rsidRPr="00052FD8">
        <w:t xml:space="preserve"> may be the most visible form of violence but the most pervasive, and arguably most long</w:t>
      </w:r>
      <w:r>
        <w:t>-</w:t>
      </w:r>
      <w:r w:rsidRPr="00052FD8">
        <w:t xml:space="preserve">lasting in its effects, is </w:t>
      </w:r>
      <w:r>
        <w:t>‘</w:t>
      </w:r>
      <w:r w:rsidRPr="00052FD8">
        <w:t>the structural violence that results from how the people within and between nations are ordered in terms of life chances</w:t>
      </w:r>
      <w:r>
        <w:t>’</w:t>
      </w:r>
      <w:r w:rsidRPr="00052FD8">
        <w:t>.</w:t>
      </w:r>
      <w:r w:rsidRPr="00052FD8">
        <w:rPr>
          <w:rStyle w:val="Heading1Char"/>
          <w:rFonts w:ascii="Times New Roman" w:eastAsiaTheme="minorHAnsi" w:hAnsi="Times New Roman" w:cs="Times New Roman"/>
          <w:sz w:val="24"/>
          <w:szCs w:val="24"/>
        </w:rPr>
        <w:t xml:space="preserve"> </w:t>
      </w:r>
      <w:r w:rsidRPr="00052FD8">
        <w:rPr>
          <w:rStyle w:val="FootnoteReference"/>
        </w:rPr>
        <w:footnoteReference w:id="123"/>
      </w:r>
    </w:p>
    <w:p w14:paraId="65E33FC9" w14:textId="77777777" w:rsidR="00997966" w:rsidRPr="00052FD8" w:rsidRDefault="00997966" w:rsidP="00997966">
      <w:pPr>
        <w:spacing w:line="480" w:lineRule="auto"/>
        <w:ind w:firstLine="720"/>
        <w:contextualSpacing/>
      </w:pPr>
      <w:r w:rsidRPr="00052FD8">
        <w:t xml:space="preserve">As this discussion of violence suggests, </w:t>
      </w:r>
      <w:r>
        <w:t xml:space="preserve">what constitutes </w:t>
      </w:r>
      <w:r w:rsidRPr="00052FD8">
        <w:t xml:space="preserve">colonial violence and how it operates </w:t>
      </w:r>
      <w:r>
        <w:t>are</w:t>
      </w:r>
      <w:r w:rsidRPr="00052FD8">
        <w:t xml:space="preserve"> in much greater need of </w:t>
      </w:r>
      <w:r>
        <w:t>theoriz</w:t>
      </w:r>
      <w:r w:rsidRPr="00052FD8">
        <w:t xml:space="preserve">ation. What are the connections, for example, between objective forms of violence such as famine and subjective forms such as massacre? Between structural and domestic violence? Between symbolic violence and what the British in colonial India referred to as </w:t>
      </w:r>
      <w:r>
        <w:t>‘</w:t>
      </w:r>
      <w:r w:rsidRPr="00052FD8">
        <w:t>anarchism</w:t>
      </w:r>
      <w:r>
        <w:t>’</w:t>
      </w:r>
      <w:r w:rsidRPr="00052FD8">
        <w:t xml:space="preserve"> or </w:t>
      </w:r>
      <w:r>
        <w:t>‘</w:t>
      </w:r>
      <w:r w:rsidRPr="00052FD8">
        <w:t>revolutionary terrorism</w:t>
      </w:r>
      <w:r>
        <w:t>’</w:t>
      </w:r>
      <w:r w:rsidRPr="00052FD8">
        <w:t>? Between, in other words, not only state and non</w:t>
      </w:r>
      <w:r>
        <w:t>-</w:t>
      </w:r>
      <w:r w:rsidRPr="00052FD8">
        <w:t xml:space="preserve">state forms, but different types of violence? We need, in short, to take fuller account </w:t>
      </w:r>
      <w:proofErr w:type="gramStart"/>
      <w:r w:rsidRPr="00052FD8">
        <w:t>both of the sheer</w:t>
      </w:r>
      <w:proofErr w:type="gramEnd"/>
      <w:r w:rsidRPr="00052FD8">
        <w:t xml:space="preserve"> physicality of colonialism and its impact on coloni</w:t>
      </w:r>
      <w:r>
        <w:t>z</w:t>
      </w:r>
      <w:r w:rsidRPr="00052FD8">
        <w:t xml:space="preserve">ed bodies and minds. As Ranabir Samaddar observes, </w:t>
      </w:r>
      <w:r>
        <w:t>‘</w:t>
      </w:r>
      <w:r w:rsidRPr="00052FD8">
        <w:t>colonial wars, violence, and terror were a physical reality</w:t>
      </w:r>
      <w:r>
        <w:t>—</w:t>
      </w:r>
      <w:r w:rsidRPr="00052FD8">
        <w:t>bodies were being tormented, killed, forced into labour, starved to death, dumped, or confined and controlled in multiple ways</w:t>
      </w:r>
      <w:r>
        <w:t>’</w:t>
      </w:r>
      <w:r w:rsidRPr="00052FD8">
        <w:t xml:space="preserve">, all of which marked, furthermore, the </w:t>
      </w:r>
      <w:r w:rsidRPr="00052FD8">
        <w:lastRenderedPageBreak/>
        <w:t>ways in which politics was articulated.</w:t>
      </w:r>
      <w:r w:rsidRPr="00052FD8">
        <w:rPr>
          <w:rStyle w:val="FootnoteReference"/>
        </w:rPr>
        <w:footnoteReference w:id="124"/>
      </w:r>
      <w:r w:rsidRPr="00052FD8">
        <w:t xml:space="preserve"> Yet literature on the corporeality of empire remains scanty, particularly in regard to violence; far more attention has arguably been paid to the bodily experience of Europeans </w:t>
      </w:r>
      <w:r>
        <w:rPr>
          <w:i/>
          <w:iCs/>
        </w:rPr>
        <w:t>with</w:t>
      </w:r>
      <w:r w:rsidRPr="003A6059">
        <w:rPr>
          <w:i/>
          <w:iCs/>
        </w:rPr>
        <w:t>in</w:t>
      </w:r>
      <w:r w:rsidRPr="00052FD8">
        <w:t xml:space="preserve"> empire than to the suffering and pain inflicted on coloni</w:t>
      </w:r>
      <w:r>
        <w:t>z</w:t>
      </w:r>
      <w:r w:rsidRPr="00052FD8">
        <w:t xml:space="preserve">ed bodies as a </w:t>
      </w:r>
      <w:r w:rsidRPr="003A6059">
        <w:rPr>
          <w:i/>
          <w:iCs/>
        </w:rPr>
        <w:t>result</w:t>
      </w:r>
      <w:r w:rsidRPr="00052FD8">
        <w:t xml:space="preserve"> of </w:t>
      </w:r>
      <w:r>
        <w:t>it</w:t>
      </w:r>
      <w:r w:rsidRPr="00052FD8">
        <w:t>.</w:t>
      </w:r>
      <w:r w:rsidRPr="00052FD8">
        <w:rPr>
          <w:rStyle w:val="FootnoteReference"/>
        </w:rPr>
        <w:footnoteReference w:id="125"/>
      </w:r>
      <w:r w:rsidRPr="00052FD8">
        <w:t xml:space="preserve"> </w:t>
      </w:r>
    </w:p>
    <w:p w14:paraId="5A12FA94" w14:textId="77777777" w:rsidR="00997966" w:rsidRPr="00052FD8" w:rsidRDefault="00997966" w:rsidP="00997966">
      <w:pPr>
        <w:spacing w:line="480" w:lineRule="auto"/>
        <w:ind w:firstLine="720"/>
        <w:contextualSpacing/>
      </w:pPr>
      <w:r w:rsidRPr="00052FD8">
        <w:t xml:space="preserve">In addition, </w:t>
      </w:r>
      <w:r>
        <w:t>al</w:t>
      </w:r>
      <w:r w:rsidRPr="00052FD8">
        <w:t xml:space="preserve">though discursive analyses have, since the </w:t>
      </w:r>
      <w:r>
        <w:t>‘</w:t>
      </w:r>
      <w:r w:rsidRPr="00052FD8">
        <w:t>cultural turn</w:t>
      </w:r>
      <w:r>
        <w:t>’</w:t>
      </w:r>
      <w:r w:rsidRPr="00052FD8">
        <w:t xml:space="preserve"> in historical writing four decades ago, long been regarded as a means of listening to the voices of those who have been silenced,</w:t>
      </w:r>
      <w:r w:rsidRPr="00052FD8">
        <w:rPr>
          <w:rStyle w:val="FootnoteReference"/>
        </w:rPr>
        <w:footnoteReference w:id="126"/>
      </w:r>
      <w:r w:rsidRPr="00052FD8">
        <w:t xml:space="preserve"> they can also serve to silence,</w:t>
      </w:r>
      <w:r w:rsidRPr="00052FD8">
        <w:rPr>
          <w:rStyle w:val="FootnoteReference"/>
        </w:rPr>
        <w:footnoteReference w:id="127"/>
      </w:r>
      <w:r w:rsidRPr="00052FD8">
        <w:t xml:space="preserve"> particularly the sounds of bodies </w:t>
      </w:r>
      <w:r w:rsidRPr="00052FD8">
        <w:lastRenderedPageBreak/>
        <w:t>in pain. Since pain involves a transgression of the boundary between what is inside the body and what is extraneous to it, it separates us from others while also connecting us to them.</w:t>
      </w:r>
      <w:r w:rsidRPr="00052FD8">
        <w:rPr>
          <w:rStyle w:val="FootnoteReference"/>
        </w:rPr>
        <w:footnoteReference w:id="128"/>
      </w:r>
      <w:r w:rsidRPr="00052FD8">
        <w:t xml:space="preserve"> Our affective responses to the pain of others serve, </w:t>
      </w:r>
      <w:r>
        <w:t>furthermore</w:t>
      </w:r>
      <w:r w:rsidRPr="00052FD8">
        <w:t>, to construct the border between selves and others</w:t>
      </w:r>
      <w:r>
        <w:t>—</w:t>
      </w:r>
      <w:r w:rsidRPr="00052FD8">
        <w:t xml:space="preserve">and, since culture and language shape our experience of pain, between selves and </w:t>
      </w:r>
      <w:r>
        <w:t>‘</w:t>
      </w:r>
      <w:r w:rsidRPr="00052FD8">
        <w:t>other others</w:t>
      </w:r>
      <w:r>
        <w:t>’</w:t>
      </w:r>
      <w:r w:rsidRPr="00052FD8">
        <w:t>.</w:t>
      </w:r>
      <w:r w:rsidRPr="00052FD8">
        <w:rPr>
          <w:rStyle w:val="FootnoteReference"/>
        </w:rPr>
        <w:footnoteReference w:id="129"/>
      </w:r>
      <w:r w:rsidRPr="00052FD8">
        <w:t xml:space="preserve"> But while separating us from others pain also connects us to them, since its existence is verified by others bearing witness to it (which </w:t>
      </w:r>
      <w:r>
        <w:t xml:space="preserve">thus </w:t>
      </w:r>
      <w:r w:rsidRPr="00052FD8">
        <w:t xml:space="preserve">makes pain, </w:t>
      </w:r>
      <w:r>
        <w:t>in addition</w:t>
      </w:r>
      <w:r w:rsidRPr="00052FD8">
        <w:t>, a sign of truth).</w:t>
      </w:r>
      <w:r w:rsidRPr="00052FD8">
        <w:rPr>
          <w:rStyle w:val="FootnoteReference"/>
        </w:rPr>
        <w:footnoteReference w:id="130"/>
      </w:r>
      <w:r w:rsidRPr="00052FD8">
        <w:t xml:space="preserve"> Language plays a key role in this process, since though </w:t>
      </w:r>
      <w:r w:rsidRPr="00052FD8">
        <w:lastRenderedPageBreak/>
        <w:t>pain is difficult to articulate, and hence to communicate to others</w:t>
      </w:r>
      <w:r>
        <w:t>—</w:t>
      </w:r>
      <w:r w:rsidRPr="00052FD8">
        <w:t>which can render pain, and with it, individuals in pain, invisible</w:t>
      </w:r>
      <w:r>
        <w:t>—</w:t>
      </w:r>
      <w:r w:rsidRPr="00052FD8">
        <w:t>in revealing pain language discloses something that would have remained hidden.</w:t>
      </w:r>
      <w:r w:rsidRPr="00052FD8">
        <w:rPr>
          <w:rStyle w:val="FootnoteReference"/>
        </w:rPr>
        <w:footnoteReference w:id="131"/>
      </w:r>
      <w:r w:rsidRPr="00052FD8">
        <w:t xml:space="preserve"> Pain is, therefore, </w:t>
      </w:r>
      <w:r>
        <w:t>‘</w:t>
      </w:r>
      <w:r w:rsidRPr="00052FD8">
        <w:t>a way of being</w:t>
      </w:r>
      <w:r>
        <w:t>-</w:t>
      </w:r>
      <w:r w:rsidRPr="00052FD8">
        <w:t>in</w:t>
      </w:r>
      <w:r>
        <w:t>-</w:t>
      </w:r>
      <w:r w:rsidRPr="00052FD8">
        <w:t>the</w:t>
      </w:r>
      <w:r>
        <w:t>-</w:t>
      </w:r>
      <w:r w:rsidRPr="00052FD8">
        <w:t>world</w:t>
      </w:r>
      <w:r>
        <w:t>’</w:t>
      </w:r>
      <w:r w:rsidRPr="00052FD8">
        <w:t>, which is constituted through language, social interactions</w:t>
      </w:r>
      <w:r>
        <w:t>,</w:t>
      </w:r>
      <w:r w:rsidRPr="00052FD8">
        <w:t xml:space="preserve"> and bodily conduct.</w:t>
      </w:r>
      <w:r w:rsidRPr="00052FD8">
        <w:rPr>
          <w:rStyle w:val="FootnoteReference"/>
        </w:rPr>
        <w:footnoteReference w:id="132"/>
      </w:r>
      <w:r w:rsidRPr="00052FD8">
        <w:t xml:space="preserve"> But intense pain, such as that inflicted through torture, destroys such being</w:t>
      </w:r>
      <w:r>
        <w:t>-</w:t>
      </w:r>
      <w:r w:rsidRPr="00052FD8">
        <w:t>in</w:t>
      </w:r>
      <w:r>
        <w:t>-</w:t>
      </w:r>
      <w:r w:rsidRPr="00052FD8">
        <w:t>the</w:t>
      </w:r>
      <w:r>
        <w:t>-</w:t>
      </w:r>
      <w:r w:rsidRPr="00052FD8">
        <w:t>world</w:t>
      </w:r>
      <w:r>
        <w:t>—</w:t>
      </w:r>
      <w:r w:rsidRPr="00052FD8">
        <w:t xml:space="preserve">it is, as Elaine Scarry argues, </w:t>
      </w:r>
      <w:r>
        <w:t>‘</w:t>
      </w:r>
      <w:r w:rsidRPr="00052FD8">
        <w:t>world</w:t>
      </w:r>
      <w:r>
        <w:t>-</w:t>
      </w:r>
      <w:r w:rsidRPr="00052FD8">
        <w:t>destroying.</w:t>
      </w:r>
      <w:r>
        <w:t>’</w:t>
      </w:r>
      <w:r w:rsidRPr="00052FD8">
        <w:rPr>
          <w:rStyle w:val="FootnoteReference"/>
        </w:rPr>
        <w:footnoteReference w:id="133"/>
      </w:r>
      <w:r w:rsidRPr="00052FD8">
        <w:t xml:space="preserve"> In her exploration of the dialectic between the infliction of pain through torture and the ostensible goal of torture, to elicit truth through interrogation, </w:t>
      </w:r>
      <w:r w:rsidRPr="00052FD8">
        <w:lastRenderedPageBreak/>
        <w:t xml:space="preserve">Scarry suggests that </w:t>
      </w:r>
      <w:r>
        <w:t xml:space="preserve">in addition to rendering </w:t>
      </w:r>
      <w:r w:rsidRPr="00052FD8">
        <w:t xml:space="preserve">the quest for truth insignificant </w:t>
      </w:r>
      <w:r>
        <w:t>the agony of the victim of torture</w:t>
      </w:r>
      <w:r w:rsidRPr="00052FD8">
        <w:t xml:space="preserve"> nullifies the world to which such a quest belongs, since in forcing individuals to confess the torturer compels such victims to attest to the world</w:t>
      </w:r>
      <w:r>
        <w:t>-</w:t>
      </w:r>
      <w:r w:rsidRPr="00052FD8">
        <w:t>destroying nature of their pain and thus to serve as agents of their own self</w:t>
      </w:r>
      <w:r>
        <w:t>-</w:t>
      </w:r>
      <w:r w:rsidRPr="00052FD8">
        <w:t>annihilation.</w:t>
      </w:r>
      <w:r w:rsidRPr="00052FD8">
        <w:rPr>
          <w:rStyle w:val="FootnoteReference"/>
        </w:rPr>
        <w:footnoteReference w:id="134"/>
      </w:r>
      <w:r w:rsidRPr="00052FD8">
        <w:t xml:space="preserve"> For Scarry, therefore, </w:t>
      </w:r>
      <w:r>
        <w:t>‘</w:t>
      </w:r>
      <w:r w:rsidRPr="00052FD8">
        <w:t>what is quite literally at stake in the body in pain is the making and unmaking of the world</w:t>
      </w:r>
      <w:r>
        <w:t>’,</w:t>
      </w:r>
      <w:r w:rsidRPr="00052FD8">
        <w:t xml:space="preserve"> since pain </w:t>
      </w:r>
      <w:r>
        <w:t>‘</w:t>
      </w:r>
      <w:r w:rsidRPr="00052FD8">
        <w:t>self</w:t>
      </w:r>
      <w:r>
        <w:t>-</w:t>
      </w:r>
      <w:r w:rsidRPr="00052FD8">
        <w:t>consciously and explicitly announces its own nature as an undoing of civilization, acts out the uncreating of the created contents of consciousness</w:t>
      </w:r>
      <w:r>
        <w:t>’</w:t>
      </w:r>
      <w:r w:rsidRPr="00052FD8">
        <w:t>.</w:t>
      </w:r>
      <w:r w:rsidRPr="00052FD8">
        <w:rPr>
          <w:rStyle w:val="FootnoteReference"/>
        </w:rPr>
        <w:footnoteReference w:id="135"/>
      </w:r>
      <w:r w:rsidRPr="00052FD8">
        <w:t xml:space="preserve"> Extreme pain is thus, in short, dehumani</w:t>
      </w:r>
      <w:r>
        <w:t>z</w:t>
      </w:r>
      <w:r w:rsidRPr="00052FD8">
        <w:t>ing.</w:t>
      </w:r>
      <w:r w:rsidRPr="00052FD8">
        <w:rPr>
          <w:rStyle w:val="FootnoteReference"/>
        </w:rPr>
        <w:footnoteReference w:id="136"/>
      </w:r>
    </w:p>
    <w:p w14:paraId="2523E392" w14:textId="77777777" w:rsidR="00997966" w:rsidRPr="00052FD8" w:rsidRDefault="00997966" w:rsidP="00997966">
      <w:pPr>
        <w:spacing w:line="480" w:lineRule="auto"/>
        <w:ind w:firstLine="720"/>
        <w:contextualSpacing/>
      </w:pPr>
      <w:r w:rsidRPr="00052FD8">
        <w:t xml:space="preserve">The challenge pain poses to historians is obvious, for although it is intimately bound up with power the ways in which it is verbally represented shapes the ways in which it is, in turn, politically represented. Such a phenomenon explains why torture can be described, for </w:t>
      </w:r>
      <w:r w:rsidRPr="00052FD8">
        <w:lastRenderedPageBreak/>
        <w:t xml:space="preserve">example, as </w:t>
      </w:r>
      <w:r>
        <w:t>‘</w:t>
      </w:r>
      <w:r w:rsidRPr="00052FD8">
        <w:t>information</w:t>
      </w:r>
      <w:r>
        <w:t>-</w:t>
      </w:r>
      <w:r w:rsidRPr="00052FD8">
        <w:t>gathering</w:t>
      </w:r>
      <w:r>
        <w:t>’</w:t>
      </w:r>
      <w:r w:rsidRPr="00052FD8">
        <w:t xml:space="preserve"> or </w:t>
      </w:r>
      <w:r>
        <w:t>‘</w:t>
      </w:r>
      <w:r w:rsidRPr="00052FD8">
        <w:t>intelligence</w:t>
      </w:r>
      <w:r>
        <w:t>-</w:t>
      </w:r>
      <w:r w:rsidRPr="00052FD8">
        <w:t>gathering</w:t>
      </w:r>
      <w:r>
        <w:t>’</w:t>
      </w:r>
      <w:r w:rsidRPr="00052FD8">
        <w:rPr>
          <w:lang w:val="en-US"/>
        </w:rPr>
        <w:t>.</w:t>
      </w:r>
      <w:r w:rsidRPr="00052FD8">
        <w:rPr>
          <w:rStyle w:val="FootnoteReference"/>
          <w:lang w:val="en-US"/>
        </w:rPr>
        <w:footnoteReference w:id="137"/>
      </w:r>
      <w:r w:rsidRPr="00052FD8">
        <w:rPr>
          <w:lang w:val="en-US"/>
        </w:rPr>
        <w:t xml:space="preserve"> </w:t>
      </w:r>
      <w:r w:rsidRPr="00052FD8">
        <w:t>Listening to bodies in pain also risks fetishizing the wound by transforming it into a form of identity, which negates its historicity, transforms survivors into victims</w:t>
      </w:r>
      <w:r>
        <w:t>,</w:t>
      </w:r>
      <w:r w:rsidRPr="00052FD8">
        <w:t xml:space="preserve"> and makes political action impossible.</w:t>
      </w:r>
      <w:r w:rsidRPr="00052FD8">
        <w:rPr>
          <w:rStyle w:val="FootnoteReference"/>
        </w:rPr>
        <w:footnoteReference w:id="138"/>
      </w:r>
      <w:r w:rsidRPr="00052FD8">
        <w:t xml:space="preserve"> In rethinking empire as what J. M. Coetzee refers to as an </w:t>
      </w:r>
      <w:r>
        <w:t>‘</w:t>
      </w:r>
      <w:r w:rsidRPr="00052FD8">
        <w:t>empire of pain</w:t>
      </w:r>
      <w:r>
        <w:t>’</w:t>
      </w:r>
      <w:r w:rsidRPr="00052FD8">
        <w:t xml:space="preserve"> my aim, instead, is to remember how Indian bodies came to be wounded in the first place in order to carve out a sphere for political action.</w:t>
      </w:r>
      <w:r w:rsidRPr="00052FD8">
        <w:rPr>
          <w:rStyle w:val="FootnoteReference"/>
        </w:rPr>
        <w:footnoteReference w:id="139"/>
      </w:r>
      <w:r w:rsidRPr="00052FD8">
        <w:t xml:space="preserve"> </w:t>
      </w:r>
      <w:r>
        <w:t>Through</w:t>
      </w:r>
      <w:r w:rsidRPr="00052FD8">
        <w:t xml:space="preserve"> analy</w:t>
      </w:r>
      <w:r>
        <w:t>z</w:t>
      </w:r>
      <w:r w:rsidRPr="00052FD8">
        <w:t xml:space="preserve">ing the nature of colonial violence and offering a theory of how it operated, </w:t>
      </w:r>
      <w:r w:rsidRPr="00052FD8">
        <w:rPr>
          <w:i/>
          <w:iCs/>
        </w:rPr>
        <w:t>Colonial Terror</w:t>
      </w:r>
      <w:r w:rsidRPr="00052FD8">
        <w:t xml:space="preserve"> endeavours to contribute, therefore, to understanding the materiality of colonialism and its impact on subaltern bodies and lives.</w:t>
      </w:r>
    </w:p>
    <w:p w14:paraId="6CDE2FC7" w14:textId="77777777" w:rsidR="00997966" w:rsidRPr="00052FD8" w:rsidRDefault="00997966" w:rsidP="00997966">
      <w:pPr>
        <w:rPr>
          <w:shd w:val="clear" w:color="auto" w:fill="FFFFFF"/>
        </w:rPr>
      </w:pPr>
    </w:p>
    <w:p w14:paraId="22DBDA09" w14:textId="77777777" w:rsidR="00997966" w:rsidRPr="00052FD8" w:rsidRDefault="00997966" w:rsidP="00997966">
      <w:pPr>
        <w:rPr>
          <w:b/>
          <w:bCs/>
          <w:shd w:val="clear" w:color="auto" w:fill="FFFFFF"/>
        </w:rPr>
      </w:pPr>
    </w:p>
    <w:p w14:paraId="67483EBE" w14:textId="77777777" w:rsidR="00997966" w:rsidRPr="00052FD8" w:rsidRDefault="00997966" w:rsidP="00997966">
      <w:pPr>
        <w:rPr>
          <w:b/>
          <w:bCs/>
          <w:shd w:val="clear" w:color="auto" w:fill="FFFFFF"/>
        </w:rPr>
      </w:pPr>
      <w:r w:rsidRPr="00052FD8">
        <w:rPr>
          <w:b/>
          <w:bCs/>
          <w:shd w:val="clear" w:color="auto" w:fill="FFFFFF"/>
        </w:rPr>
        <w:t>Policing, Law</w:t>
      </w:r>
      <w:r>
        <w:rPr>
          <w:b/>
          <w:bCs/>
          <w:shd w:val="clear" w:color="auto" w:fill="FFFFFF"/>
        </w:rPr>
        <w:t>,</w:t>
      </w:r>
      <w:r w:rsidRPr="00052FD8">
        <w:rPr>
          <w:b/>
          <w:bCs/>
          <w:shd w:val="clear" w:color="auto" w:fill="FFFFFF"/>
        </w:rPr>
        <w:t xml:space="preserve"> and the Colonial State</w:t>
      </w:r>
    </w:p>
    <w:p w14:paraId="599BF70F" w14:textId="77777777" w:rsidR="00997966" w:rsidRPr="00052FD8" w:rsidRDefault="00997966" w:rsidP="00997966">
      <w:pPr>
        <w:spacing w:line="480" w:lineRule="auto"/>
        <w:ind w:left="720"/>
      </w:pPr>
    </w:p>
    <w:p w14:paraId="4F61D3D7" w14:textId="77777777" w:rsidR="00997966" w:rsidRDefault="00997966" w:rsidP="00997966">
      <w:pPr>
        <w:spacing w:line="480" w:lineRule="auto"/>
        <w:ind w:left="720"/>
      </w:pPr>
      <w:r w:rsidRPr="00052FD8">
        <w:lastRenderedPageBreak/>
        <w:t>Whether government is by men, or by law, depends to a marked extent on the nature of the Police.</w:t>
      </w:r>
      <w:r w:rsidRPr="00052FD8">
        <w:rPr>
          <w:rStyle w:val="FootnoteReference"/>
        </w:rPr>
        <w:footnoteReference w:id="140"/>
      </w:r>
    </w:p>
    <w:p w14:paraId="7708AD54" w14:textId="77777777" w:rsidR="00997966" w:rsidRPr="00052FD8" w:rsidRDefault="00997966" w:rsidP="00997966">
      <w:pPr>
        <w:spacing w:line="480" w:lineRule="auto"/>
        <w:ind w:left="720"/>
      </w:pPr>
    </w:p>
    <w:p w14:paraId="22EE61A2" w14:textId="77777777" w:rsidR="00997966" w:rsidRPr="00052FD8" w:rsidRDefault="00997966" w:rsidP="00997966">
      <w:pPr>
        <w:spacing w:line="480" w:lineRule="auto"/>
        <w:ind w:firstLine="720"/>
        <w:rPr>
          <w:shd w:val="clear" w:color="auto" w:fill="FFFFFF"/>
        </w:rPr>
      </w:pPr>
      <w:r w:rsidRPr="00052FD8">
        <w:rPr>
          <w:shd w:val="clear" w:color="auto" w:fill="FFFFFF"/>
        </w:rPr>
        <w:t>Like the corporality of colonialism, colonial policing remains both considerably under</w:t>
      </w:r>
      <w:r>
        <w:rPr>
          <w:shd w:val="clear" w:color="auto" w:fill="FFFFFF"/>
        </w:rPr>
        <w:t>-</w:t>
      </w:r>
      <w:r w:rsidRPr="00052FD8">
        <w:rPr>
          <w:shd w:val="clear" w:color="auto" w:fill="FFFFFF"/>
        </w:rPr>
        <w:t>studied and under</w:t>
      </w:r>
      <w:r>
        <w:rPr>
          <w:shd w:val="clear" w:color="auto" w:fill="FFFFFF"/>
        </w:rPr>
        <w:t>-</w:t>
      </w:r>
      <w:r w:rsidRPr="00052FD8">
        <w:rPr>
          <w:shd w:val="clear" w:color="auto" w:fill="FFFFFF"/>
        </w:rPr>
        <w:t>theori</w:t>
      </w:r>
      <w:r>
        <w:rPr>
          <w:shd w:val="clear" w:color="auto" w:fill="FFFFFF"/>
        </w:rPr>
        <w:t>z</w:t>
      </w:r>
      <w:r w:rsidRPr="00052FD8">
        <w:rPr>
          <w:shd w:val="clear" w:color="auto" w:fill="FFFFFF"/>
        </w:rPr>
        <w:t>ed.</w:t>
      </w:r>
      <w:r w:rsidRPr="00052FD8">
        <w:rPr>
          <w:rStyle w:val="FootnoteReference"/>
          <w:shd w:val="clear" w:color="auto" w:fill="FFFFFF"/>
        </w:rPr>
        <w:footnoteReference w:id="141"/>
      </w:r>
      <w:r w:rsidRPr="00052FD8">
        <w:rPr>
          <w:shd w:val="clear" w:color="auto" w:fill="FFFFFF"/>
        </w:rPr>
        <w:t xml:space="preserve"> In the case of colonial India, until relatively recently </w:t>
      </w:r>
      <w:r w:rsidRPr="00052FD8">
        <w:rPr>
          <w:shd w:val="clear" w:color="auto" w:fill="FFFFFF"/>
        </w:rPr>
        <w:lastRenderedPageBreak/>
        <w:t>the literature on colonial policing was dominated largely by the memoirs of former, primarily British, police officials.</w:t>
      </w:r>
      <w:r w:rsidRPr="00052FD8">
        <w:rPr>
          <w:rStyle w:val="FootnoteReference"/>
          <w:shd w:val="clear" w:color="auto" w:fill="FFFFFF"/>
        </w:rPr>
        <w:footnoteReference w:id="142"/>
      </w:r>
      <w:r w:rsidRPr="00052FD8">
        <w:rPr>
          <w:shd w:val="clear" w:color="auto" w:fill="FFFFFF"/>
        </w:rPr>
        <w:t xml:space="preserve"> The scholarship that has emerged since then has concentrated </w:t>
      </w:r>
      <w:r>
        <w:rPr>
          <w:shd w:val="clear" w:color="auto" w:fill="FFFFFF"/>
        </w:rPr>
        <w:lastRenderedPageBreak/>
        <w:t>predominantly</w:t>
      </w:r>
      <w:r w:rsidRPr="00052FD8">
        <w:rPr>
          <w:shd w:val="clear" w:color="auto" w:fill="FFFFFF"/>
        </w:rPr>
        <w:t xml:space="preserve"> on the establishment and development of a system of colonial policing,</w:t>
      </w:r>
      <w:r w:rsidRPr="00052FD8">
        <w:rPr>
          <w:rStyle w:val="FootnoteReference"/>
          <w:shd w:val="clear" w:color="auto" w:fill="FFFFFF"/>
        </w:rPr>
        <w:footnoteReference w:id="143"/>
      </w:r>
      <w:r w:rsidRPr="00052FD8">
        <w:rPr>
          <w:shd w:val="clear" w:color="auto" w:fill="FFFFFF"/>
        </w:rPr>
        <w:t xml:space="preserve"> as well as on the role of the Indian police in the maintenance</w:t>
      </w:r>
      <w:r w:rsidRPr="00052FD8">
        <w:rPr>
          <w:rStyle w:val="FootnoteReference"/>
          <w:shd w:val="clear" w:color="auto" w:fill="FFFFFF"/>
        </w:rPr>
        <w:footnoteReference w:id="144"/>
      </w:r>
      <w:r>
        <w:t>—</w:t>
      </w:r>
      <w:r w:rsidRPr="00052FD8">
        <w:rPr>
          <w:shd w:val="clear" w:color="auto" w:fill="FFFFFF"/>
        </w:rPr>
        <w:t>and demise</w:t>
      </w:r>
      <w:r w:rsidRPr="00052FD8">
        <w:rPr>
          <w:rStyle w:val="FootnoteReference"/>
          <w:shd w:val="clear" w:color="auto" w:fill="FFFFFF"/>
        </w:rPr>
        <w:footnoteReference w:id="145"/>
      </w:r>
      <w:r>
        <w:t>—</w:t>
      </w:r>
      <w:r w:rsidRPr="00052FD8">
        <w:rPr>
          <w:shd w:val="clear" w:color="auto" w:fill="FFFFFF"/>
        </w:rPr>
        <w:t xml:space="preserve">of colonial </w:t>
      </w:r>
      <w:r w:rsidRPr="00052FD8">
        <w:rPr>
          <w:shd w:val="clear" w:color="auto" w:fill="FFFFFF"/>
        </w:rPr>
        <w:lastRenderedPageBreak/>
        <w:t>rule, and some of the challenges this posed to the colonial regime.</w:t>
      </w:r>
      <w:r w:rsidRPr="00052FD8">
        <w:rPr>
          <w:rStyle w:val="FootnoteReference"/>
          <w:shd w:val="clear" w:color="auto" w:fill="FFFFFF"/>
        </w:rPr>
        <w:footnoteReference w:id="146"/>
      </w:r>
      <w:r w:rsidRPr="00052FD8">
        <w:rPr>
          <w:shd w:val="clear" w:color="auto" w:fill="FFFFFF"/>
        </w:rPr>
        <w:t xml:space="preserve"> Yet despite the widespread acknowledgement in such scholarship of their coercive nature</w:t>
      </w:r>
      <w:r>
        <w:t>—</w:t>
      </w:r>
      <w:r w:rsidRPr="00052FD8">
        <w:rPr>
          <w:shd w:val="clear" w:color="auto" w:fill="FFFFFF"/>
        </w:rPr>
        <w:t xml:space="preserve">as K. S. Dhillon puts it, the Indian police were </w:t>
      </w:r>
      <w:r>
        <w:t>‘</w:t>
      </w:r>
      <w:r w:rsidRPr="00052FD8">
        <w:t xml:space="preserve">the main instrument of repression and subjugation of the Indian peoples in the 90 years of British rule in India after the cataclysmic events of </w:t>
      </w:r>
      <w:r w:rsidRPr="00052FD8">
        <w:lastRenderedPageBreak/>
        <w:t>1857</w:t>
      </w:r>
      <w:r>
        <w:t>’</w:t>
      </w:r>
      <w:r w:rsidRPr="00052FD8">
        <w:rPr>
          <w:rStyle w:val="FootnoteReference"/>
        </w:rPr>
        <w:footnoteReference w:id="147"/>
      </w:r>
      <w:r>
        <w:t>—</w:t>
      </w:r>
      <w:r w:rsidRPr="00052FD8">
        <w:rPr>
          <w:shd w:val="clear" w:color="auto" w:fill="FFFFFF"/>
        </w:rPr>
        <w:t>relatively little attention has been paid to everyday policing,</w:t>
      </w:r>
      <w:r w:rsidRPr="00052FD8">
        <w:rPr>
          <w:rStyle w:val="FootnoteReference"/>
          <w:shd w:val="clear" w:color="auto" w:fill="FFFFFF"/>
        </w:rPr>
        <w:footnoteReference w:id="148"/>
      </w:r>
      <w:r w:rsidRPr="00052FD8">
        <w:rPr>
          <w:shd w:val="clear" w:color="auto" w:fill="FFFFFF"/>
        </w:rPr>
        <w:t xml:space="preserve"> or to the rationales behind or dynamics of police violence, although some attention has been </w:t>
      </w:r>
      <w:r>
        <w:rPr>
          <w:shd w:val="clear" w:color="auto" w:fill="FFFFFF"/>
        </w:rPr>
        <w:t>devoted</w:t>
      </w:r>
      <w:r w:rsidRPr="00052FD8">
        <w:rPr>
          <w:shd w:val="clear" w:color="auto" w:fill="FFFFFF"/>
        </w:rPr>
        <w:t xml:space="preserve"> to the use of torture to extract confessions.</w:t>
      </w:r>
      <w:r w:rsidRPr="00052FD8">
        <w:rPr>
          <w:rStyle w:val="FootnoteReference"/>
          <w:shd w:val="clear" w:color="auto" w:fill="FFFFFF"/>
        </w:rPr>
        <w:footnoteReference w:id="149"/>
      </w:r>
      <w:r w:rsidRPr="00052FD8">
        <w:rPr>
          <w:shd w:val="clear" w:color="auto" w:fill="FFFFFF"/>
        </w:rPr>
        <w:t xml:space="preserve"> Such work takes the colonial regime at its word, however, </w:t>
      </w:r>
      <w:r w:rsidRPr="00052FD8">
        <w:rPr>
          <w:shd w:val="clear" w:color="auto" w:fill="FFFFFF"/>
        </w:rPr>
        <w:lastRenderedPageBreak/>
        <w:t>in its oft</w:t>
      </w:r>
      <w:r>
        <w:rPr>
          <w:shd w:val="clear" w:color="auto" w:fill="FFFFFF"/>
        </w:rPr>
        <w:t>-</w:t>
      </w:r>
      <w:r w:rsidRPr="00052FD8">
        <w:rPr>
          <w:shd w:val="clear" w:color="auto" w:fill="FFFFFF"/>
        </w:rPr>
        <w:t>proclaimed desire to eradicate police torture.</w:t>
      </w:r>
      <w:r w:rsidRPr="00052FD8">
        <w:rPr>
          <w:rStyle w:val="FootnoteReference"/>
          <w:shd w:val="clear" w:color="auto" w:fill="FFFFFF"/>
        </w:rPr>
        <w:footnoteReference w:id="150"/>
      </w:r>
      <w:r w:rsidRPr="00052FD8">
        <w:rPr>
          <w:shd w:val="clear" w:color="auto" w:fill="FFFFFF"/>
        </w:rPr>
        <w:t xml:space="preserve"> Following Ann Stoler’s elucidation of the importance of reading </w:t>
      </w:r>
      <w:r w:rsidRPr="00052FD8">
        <w:rPr>
          <w:i/>
          <w:iCs/>
          <w:shd w:val="clear" w:color="auto" w:fill="FFFFFF"/>
        </w:rPr>
        <w:t>along</w:t>
      </w:r>
      <w:r w:rsidRPr="00052FD8">
        <w:rPr>
          <w:shd w:val="clear" w:color="auto" w:fill="FFFFFF"/>
        </w:rPr>
        <w:t xml:space="preserve"> rather than </w:t>
      </w:r>
      <w:r w:rsidRPr="00052FD8">
        <w:rPr>
          <w:i/>
          <w:iCs/>
          <w:shd w:val="clear" w:color="auto" w:fill="FFFFFF"/>
        </w:rPr>
        <w:t>against</w:t>
      </w:r>
      <w:r w:rsidRPr="00052FD8">
        <w:rPr>
          <w:shd w:val="clear" w:color="auto" w:fill="FFFFFF"/>
        </w:rPr>
        <w:t xml:space="preserve"> the archival grain in order to interrogate the colonial archive </w:t>
      </w:r>
      <w:r>
        <w:rPr>
          <w:shd w:val="clear" w:color="auto" w:fill="FFFFFF"/>
        </w:rPr>
        <w:t>‘</w:t>
      </w:r>
      <w:r w:rsidRPr="00052FD8">
        <w:rPr>
          <w:shd w:val="clear" w:color="auto" w:fill="FFFFFF"/>
        </w:rPr>
        <w:t>for its regularities, for its logic of recall, for its densities and distributions, for its consistencies of misinformation, omission, and mistake</w:t>
      </w:r>
      <w:r>
        <w:rPr>
          <w:shd w:val="clear" w:color="auto" w:fill="FFFFFF"/>
        </w:rPr>
        <w:t>’</w:t>
      </w:r>
      <w:r w:rsidRPr="00052FD8">
        <w:rPr>
          <w:shd w:val="clear" w:color="auto" w:fill="FFFFFF"/>
        </w:rPr>
        <w:t xml:space="preserve">, </w:t>
      </w:r>
      <w:r w:rsidRPr="00052FD8">
        <w:rPr>
          <w:i/>
          <w:iCs/>
          <w:shd w:val="clear" w:color="auto" w:fill="FFFFFF"/>
        </w:rPr>
        <w:t>Colonial Terror</w:t>
      </w:r>
      <w:r w:rsidRPr="00052FD8">
        <w:rPr>
          <w:shd w:val="clear" w:color="auto" w:fill="FFFFFF"/>
        </w:rPr>
        <w:t xml:space="preserve"> suggests that such desire needs to be radically reassessed.</w:t>
      </w:r>
      <w:r w:rsidRPr="00052FD8">
        <w:rPr>
          <w:rStyle w:val="FootnoteReference"/>
          <w:shd w:val="clear" w:color="auto" w:fill="FFFFFF"/>
        </w:rPr>
        <w:footnoteReference w:id="151"/>
      </w:r>
      <w:r w:rsidRPr="00052FD8">
        <w:rPr>
          <w:shd w:val="clear" w:color="auto" w:fill="FFFFFF"/>
        </w:rPr>
        <w:t xml:space="preserve"> </w:t>
      </w:r>
    </w:p>
    <w:p w14:paraId="2E244FE8" w14:textId="77777777" w:rsidR="00997966" w:rsidRPr="00052FD8" w:rsidRDefault="00997966" w:rsidP="00997966">
      <w:pPr>
        <w:spacing w:line="480" w:lineRule="auto"/>
        <w:ind w:firstLine="720"/>
        <w:rPr>
          <w:shd w:val="clear" w:color="auto" w:fill="FFFFFF"/>
        </w:rPr>
      </w:pPr>
      <w:r w:rsidRPr="00052FD8">
        <w:rPr>
          <w:shd w:val="clear" w:color="auto" w:fill="FFFFFF"/>
        </w:rPr>
        <w:t xml:space="preserve">The lack of analysis of the dynamics of or rationales behind police violence in colonial India is perhaps surprising given the primacy </w:t>
      </w:r>
      <w:r>
        <w:rPr>
          <w:shd w:val="clear" w:color="auto" w:fill="FFFFFF"/>
        </w:rPr>
        <w:t>accorded</w:t>
      </w:r>
      <w:r w:rsidRPr="00052FD8">
        <w:rPr>
          <w:shd w:val="clear" w:color="auto" w:fill="FFFFFF"/>
        </w:rPr>
        <w:t xml:space="preserve"> to coercion and violence among scholars at the forefront of policing studies, including </w:t>
      </w:r>
      <w:r>
        <w:rPr>
          <w:shd w:val="clear" w:color="auto" w:fill="FFFFFF"/>
        </w:rPr>
        <w:t>those working on</w:t>
      </w:r>
      <w:r w:rsidRPr="00052FD8">
        <w:rPr>
          <w:shd w:val="clear" w:color="auto" w:fill="FFFFFF"/>
        </w:rPr>
        <w:t xml:space="preserve"> post</w:t>
      </w:r>
      <w:r>
        <w:rPr>
          <w:shd w:val="clear" w:color="auto" w:fill="FFFFFF"/>
        </w:rPr>
        <w:t>-</w:t>
      </w:r>
      <w:r w:rsidRPr="00052FD8">
        <w:rPr>
          <w:shd w:val="clear" w:color="auto" w:fill="FFFFFF"/>
        </w:rPr>
        <w:t>colonial India</w:t>
      </w:r>
      <w:r w:rsidRPr="00052FD8">
        <w:t>,</w:t>
      </w:r>
      <w:r w:rsidRPr="00052FD8">
        <w:rPr>
          <w:rStyle w:val="FootnoteReference"/>
        </w:rPr>
        <w:footnoteReference w:id="152"/>
      </w:r>
      <w:r w:rsidRPr="00052FD8">
        <w:t xml:space="preserve"> as well as to the fact that social theorists have credited the police with virtually </w:t>
      </w:r>
      <w:r w:rsidRPr="00052FD8">
        <w:lastRenderedPageBreak/>
        <w:t>unchecked power.</w:t>
      </w:r>
      <w:r w:rsidRPr="00052FD8">
        <w:rPr>
          <w:rStyle w:val="FootnoteReference"/>
        </w:rPr>
        <w:footnoteReference w:id="153"/>
      </w:r>
      <w:r w:rsidRPr="00052FD8">
        <w:t xml:space="preserve"> </w:t>
      </w:r>
      <w:r w:rsidRPr="00052FD8">
        <w:rPr>
          <w:color w:val="000000"/>
        </w:rPr>
        <w:t xml:space="preserve">The ongoing prevalence of a Weberian conception of a bureaucratic, rational state with a monopoly over legitimate violence, though not existing in reality, has </w:t>
      </w:r>
      <w:r w:rsidRPr="00052FD8">
        <w:rPr>
          <w:color w:val="000000"/>
        </w:rPr>
        <w:lastRenderedPageBreak/>
        <w:t>undoubtedly impeded discussion of the nature of or limits upon state violence, and not just in regard to colonial India.</w:t>
      </w:r>
      <w:r w:rsidRPr="00052FD8">
        <w:rPr>
          <w:rStyle w:val="FootnoteReference"/>
          <w:color w:val="000000"/>
        </w:rPr>
        <w:footnoteReference w:id="154"/>
      </w:r>
      <w:r w:rsidRPr="00052FD8">
        <w:rPr>
          <w:color w:val="000000"/>
        </w:rPr>
        <w:t xml:space="preserve"> So too has </w:t>
      </w:r>
      <w:r w:rsidRPr="00052FD8">
        <w:t>the neglect of policing as an attribute of state power in studies of the colonial Indian state.</w:t>
      </w:r>
      <w:r w:rsidRPr="00052FD8">
        <w:rPr>
          <w:rStyle w:val="FootnoteReference"/>
        </w:rPr>
        <w:footnoteReference w:id="155"/>
      </w:r>
      <w:r w:rsidRPr="00052FD8">
        <w:rPr>
          <w:color w:val="000000"/>
        </w:rPr>
        <w:t xml:space="preserve"> </w:t>
      </w:r>
      <w:r w:rsidRPr="00052FD8">
        <w:rPr>
          <w:shd w:val="clear" w:color="auto" w:fill="FFFFFF"/>
        </w:rPr>
        <w:t xml:space="preserve">Furthermore, although scholars have explored some of </w:t>
      </w:r>
      <w:r w:rsidRPr="00052FD8">
        <w:rPr>
          <w:shd w:val="clear" w:color="auto" w:fill="FFFFFF"/>
        </w:rPr>
        <w:lastRenderedPageBreak/>
        <w:t>the limitations that relying upon a largely poor and indigenous police force placed upon the British colonial regime in India</w:t>
      </w:r>
      <w:r w:rsidRPr="00052FD8">
        <w:rPr>
          <w:rStyle w:val="FootnoteReference"/>
          <w:shd w:val="clear" w:color="auto" w:fill="FFFFFF"/>
        </w:rPr>
        <w:t xml:space="preserve"> </w:t>
      </w:r>
      <w:r w:rsidRPr="00052FD8">
        <w:rPr>
          <w:rStyle w:val="FootnoteReference"/>
          <w:shd w:val="clear" w:color="auto" w:fill="FFFFFF"/>
        </w:rPr>
        <w:footnoteReference w:id="156"/>
      </w:r>
      <w:r w:rsidRPr="00052FD8">
        <w:rPr>
          <w:shd w:val="clear" w:color="auto" w:fill="FFFFFF"/>
        </w:rPr>
        <w:t xml:space="preserve"> little attention has been paid to the lives and experiences of such men, or to what drove members of what T. K. Vinod Kumar and Arvind Verma term the </w:t>
      </w:r>
      <w:r>
        <w:rPr>
          <w:shd w:val="clear" w:color="auto" w:fill="FFFFFF"/>
        </w:rPr>
        <w:t>‘</w:t>
      </w:r>
      <w:r w:rsidRPr="00052FD8">
        <w:rPr>
          <w:shd w:val="clear" w:color="auto" w:fill="FFFFFF"/>
        </w:rPr>
        <w:t>subjugated masses</w:t>
      </w:r>
      <w:r>
        <w:rPr>
          <w:shd w:val="clear" w:color="auto" w:fill="FFFFFF"/>
        </w:rPr>
        <w:t>’</w:t>
      </w:r>
      <w:r w:rsidRPr="00052FD8">
        <w:rPr>
          <w:shd w:val="clear" w:color="auto" w:fill="FFFFFF"/>
        </w:rPr>
        <w:t xml:space="preserve"> to become its violence workers</w:t>
      </w:r>
      <w:r>
        <w:t>—</w:t>
      </w:r>
      <w:r w:rsidRPr="00052FD8">
        <w:rPr>
          <w:shd w:val="clear" w:color="auto" w:fill="FFFFFF"/>
        </w:rPr>
        <w:t xml:space="preserve">nor, as I aim to demonstrate, to the ways in which dependence upon such workers in many ways benefitted the colonial regime by enabling it to deploy the displacement of colonial blame thesis </w:t>
      </w:r>
      <w:r>
        <w:rPr>
          <w:shd w:val="clear" w:color="auto" w:fill="FFFFFF"/>
        </w:rPr>
        <w:t>through</w:t>
      </w:r>
      <w:r w:rsidRPr="00052FD8">
        <w:rPr>
          <w:shd w:val="clear" w:color="auto" w:fill="FFFFFF"/>
        </w:rPr>
        <w:t xml:space="preserve"> shifting the blame for its inherent violence onto its victims.</w:t>
      </w:r>
      <w:r w:rsidRPr="00052FD8">
        <w:rPr>
          <w:rStyle w:val="FootnoteReference"/>
          <w:shd w:val="clear" w:color="auto" w:fill="FFFFFF"/>
        </w:rPr>
        <w:footnoteReference w:id="157"/>
      </w:r>
    </w:p>
    <w:p w14:paraId="421A38C5" w14:textId="77777777" w:rsidR="00997966" w:rsidRPr="00052FD8" w:rsidRDefault="00997966" w:rsidP="00997966">
      <w:pPr>
        <w:spacing w:line="480" w:lineRule="auto"/>
        <w:ind w:firstLine="720"/>
      </w:pPr>
      <w:r w:rsidRPr="00052FD8">
        <w:lastRenderedPageBreak/>
        <w:t xml:space="preserve">For many scholars of policing the roots of police violence can be traced </w:t>
      </w:r>
      <w:r w:rsidRPr="00795FBD">
        <w:t>either</w:t>
      </w:r>
      <w:r w:rsidRPr="00052FD8">
        <w:t xml:space="preserve"> to practices of normalising discipline wrought through bureaucracies </w:t>
      </w:r>
      <w:r w:rsidRPr="00795FBD">
        <w:t>or</w:t>
      </w:r>
      <w:r w:rsidRPr="00052FD8">
        <w:t xml:space="preserve"> to manifestations and relations of sovereignty.</w:t>
      </w:r>
      <w:r w:rsidRPr="00052FD8">
        <w:rPr>
          <w:rStyle w:val="FootnoteReference"/>
        </w:rPr>
        <w:footnoteReference w:id="158"/>
      </w:r>
      <w:r w:rsidRPr="00052FD8">
        <w:t xml:space="preserve"> In the case of India, the disciplinary functions of the police, along </w:t>
      </w:r>
      <w:r w:rsidRPr="00052FD8">
        <w:lastRenderedPageBreak/>
        <w:t>with their growing bureaucrati</w:t>
      </w:r>
      <w:r>
        <w:t>z</w:t>
      </w:r>
      <w:r w:rsidRPr="00052FD8">
        <w:t>ation, are clear from at least the 1830s, as are the ways in which such bureaucrati</w:t>
      </w:r>
      <w:r>
        <w:t>z</w:t>
      </w:r>
      <w:r w:rsidRPr="00052FD8">
        <w:t xml:space="preserve">ation </w:t>
      </w:r>
      <w:r>
        <w:t>enabled</w:t>
      </w:r>
      <w:r w:rsidRPr="00052FD8">
        <w:t xml:space="preserve"> police violence.</w:t>
      </w:r>
      <w:r w:rsidRPr="00052FD8">
        <w:rPr>
          <w:rStyle w:val="FootnoteReference"/>
        </w:rPr>
        <w:footnoteReference w:id="159"/>
      </w:r>
      <w:r w:rsidRPr="00052FD8">
        <w:t xml:space="preserve"> What is apparent far earlier, however, are the ways in which the Indian police served to both construct and maintain the sovereignty of the colonial state. There has, to be sure, been considerable discussion among scholars of policing in colonial India of the extent to which the Indian police followed </w:t>
      </w:r>
      <w:r>
        <w:t xml:space="preserve">either </w:t>
      </w:r>
      <w:r w:rsidRPr="00052FD8">
        <w:t xml:space="preserve">the civilian model of policing developed in Britain from the early nineteenth century or the </w:t>
      </w:r>
      <w:r w:rsidRPr="00052FD8">
        <w:lastRenderedPageBreak/>
        <w:t xml:space="preserve">paramilitary model known as the </w:t>
      </w:r>
      <w:r>
        <w:t>‘</w:t>
      </w:r>
      <w:r w:rsidRPr="00052FD8">
        <w:t>Irish model</w:t>
      </w:r>
      <w:r>
        <w:t>’</w:t>
      </w:r>
      <w:r w:rsidRPr="00052FD8">
        <w:t>.</w:t>
      </w:r>
      <w:r w:rsidRPr="00052FD8">
        <w:rPr>
          <w:rStyle w:val="FootnoteReference"/>
        </w:rPr>
        <w:footnoteReference w:id="160"/>
      </w:r>
      <w:r w:rsidRPr="00052FD8">
        <w:t xml:space="preserve"> But while other colonial police forces were undoubtedly more militari</w:t>
      </w:r>
      <w:r>
        <w:t>z</w:t>
      </w:r>
      <w:r w:rsidRPr="00052FD8">
        <w:t>ed than the Indian police</w:t>
      </w:r>
      <w:r>
        <w:t>—</w:t>
      </w:r>
      <w:r w:rsidRPr="00052FD8">
        <w:t>as is evident in the emphasis placed, in the ostensibly new system of civilian policing developed after the 1857 Revolt, on drill and parade, weapons training, a hierarchical and regimented structure, armed units</w:t>
      </w:r>
      <w:r>
        <w:t>,</w:t>
      </w:r>
      <w:r w:rsidRPr="00052FD8">
        <w:t xml:space="preserve"> and the supremacy of an officer cadre consisting of ex</w:t>
      </w:r>
      <w:r>
        <w:t>-</w:t>
      </w:r>
      <w:r w:rsidRPr="00052FD8">
        <w:t>military men</w:t>
      </w:r>
      <w:r>
        <w:t>—</w:t>
      </w:r>
      <w:r w:rsidRPr="00052FD8">
        <w:t xml:space="preserve">the police in India were nonetheless </w:t>
      </w:r>
      <w:r>
        <w:t>structured</w:t>
      </w:r>
      <w:r w:rsidRPr="00052FD8">
        <w:t xml:space="preserve"> according to </w:t>
      </w:r>
      <w:r>
        <w:t>‘</w:t>
      </w:r>
      <w:r w:rsidRPr="00052FD8">
        <w:t xml:space="preserve">the </w:t>
      </w:r>
      <w:r w:rsidRPr="00052FD8">
        <w:rPr>
          <w:i/>
          <w:iCs/>
        </w:rPr>
        <w:t>notion</w:t>
      </w:r>
      <w:r w:rsidRPr="00052FD8">
        <w:t xml:space="preserve"> of . . . a para</w:t>
      </w:r>
      <w:r>
        <w:t>-</w:t>
      </w:r>
      <w:r w:rsidRPr="00052FD8">
        <w:t>military organization</w:t>
      </w:r>
      <w:r>
        <w:t>’</w:t>
      </w:r>
      <w:r w:rsidRPr="00052FD8">
        <w:t xml:space="preserve"> (emphasis added).</w:t>
      </w:r>
      <w:r w:rsidRPr="00052FD8">
        <w:rPr>
          <w:rStyle w:val="FootnoteReference"/>
        </w:rPr>
        <w:footnoteReference w:id="161"/>
      </w:r>
      <w:r w:rsidRPr="00052FD8">
        <w:t xml:space="preserve"> </w:t>
      </w:r>
      <w:bookmarkStart w:id="35" w:name="_Hlk528873417"/>
      <w:r w:rsidRPr="00052FD8">
        <w:t xml:space="preserve">Rather than disciplinary power gradually usurping sovereign power, as Michel Foucault has argued happened in Europe beginning in the eighteenth century, what the Indian police therefore reveal are the ways in which sovereign power could, at the hands of </w:t>
      </w:r>
      <w:r>
        <w:t>‘</w:t>
      </w:r>
      <w:r w:rsidRPr="00052FD8">
        <w:t xml:space="preserve">petty </w:t>
      </w:r>
      <w:r w:rsidRPr="00052FD8">
        <w:lastRenderedPageBreak/>
        <w:t>sovereigns</w:t>
      </w:r>
      <w:r>
        <w:t>’</w:t>
      </w:r>
      <w:r w:rsidRPr="00052FD8">
        <w:t xml:space="preserve">, continue to predominate in colonial contexts by working </w:t>
      </w:r>
      <w:r w:rsidRPr="00052FD8">
        <w:rPr>
          <w:i/>
          <w:iCs/>
        </w:rPr>
        <w:t>through</w:t>
      </w:r>
      <w:r w:rsidRPr="00052FD8">
        <w:t xml:space="preserve"> disciplinary power.</w:t>
      </w:r>
      <w:r w:rsidRPr="00052FD8">
        <w:rPr>
          <w:rStyle w:val="FootnoteReference"/>
        </w:rPr>
        <w:footnoteReference w:id="162"/>
      </w:r>
      <w:r w:rsidRPr="00052FD8">
        <w:t xml:space="preserve"> </w:t>
      </w:r>
    </w:p>
    <w:p w14:paraId="0300ADF8" w14:textId="77777777" w:rsidR="00997966" w:rsidRPr="00052FD8" w:rsidRDefault="00997966" w:rsidP="00997966">
      <w:pPr>
        <w:spacing w:line="480" w:lineRule="auto"/>
        <w:ind w:firstLine="720"/>
      </w:pPr>
      <w:r w:rsidRPr="00052FD8">
        <w:t xml:space="preserve">Their role in the maintenance of sovereign power demonstrates, furthermore, that despite their virtual absence from studies of the Indian state the police in colonial India were, to borrow from Jean and John Comaroff, </w:t>
      </w:r>
      <w:r>
        <w:rPr>
          <w:color w:val="000000"/>
        </w:rPr>
        <w:t>‘</w:t>
      </w:r>
      <w:r w:rsidRPr="00052FD8">
        <w:rPr>
          <w:color w:val="000000"/>
        </w:rPr>
        <w:t xml:space="preserve">a privileged site for staging efforts . . . to summon the active presence of the state into being, to render it perceptible to the public eye, </w:t>
      </w:r>
      <w:r>
        <w:rPr>
          <w:color w:val="000000"/>
        </w:rPr>
        <w:t xml:space="preserve">[and] </w:t>
      </w:r>
      <w:r w:rsidRPr="00052FD8">
        <w:rPr>
          <w:color w:val="000000"/>
        </w:rPr>
        <w:t>to produce both rulers and subjects who recognize its legitimacy</w:t>
      </w:r>
      <w:r>
        <w:rPr>
          <w:color w:val="000000"/>
        </w:rPr>
        <w:t>’</w:t>
      </w:r>
      <w:r w:rsidRPr="00052FD8">
        <w:rPr>
          <w:color w:val="000000"/>
        </w:rPr>
        <w:t>.</w:t>
      </w:r>
      <w:r w:rsidRPr="00052FD8">
        <w:rPr>
          <w:rStyle w:val="FootnoteReference"/>
          <w:color w:val="000000"/>
        </w:rPr>
        <w:footnoteReference w:id="163"/>
      </w:r>
      <w:r w:rsidRPr="00052FD8">
        <w:rPr>
          <w:color w:val="000000"/>
        </w:rPr>
        <w:t xml:space="preserve"> In other words, it was through their performance of the colonial state that the police made it real. Such an insight builds on the work of scholars such as Philip Abrams, who argues that rather than being a material object, either concrete or abstract, the state is instead imagined into existence by societies in diverse ways.</w:t>
      </w:r>
      <w:r w:rsidRPr="00052FD8">
        <w:rPr>
          <w:rStyle w:val="FootnoteReference"/>
          <w:color w:val="000000"/>
        </w:rPr>
        <w:footnoteReference w:id="164"/>
      </w:r>
      <w:r w:rsidRPr="00052FD8">
        <w:rPr>
          <w:color w:val="000000"/>
        </w:rPr>
        <w:t xml:space="preserve"> For Timothy Mitchell, drawing upon Michel Foucault’s understandings of the ways in which practices of discipline and governmentality de</w:t>
      </w:r>
      <w:r>
        <w:rPr>
          <w:color w:val="000000"/>
        </w:rPr>
        <w:t>-</w:t>
      </w:r>
      <w:r w:rsidRPr="00052FD8">
        <w:rPr>
          <w:color w:val="000000"/>
        </w:rPr>
        <w:t xml:space="preserve">centre the state, states come to be imagined through the </w:t>
      </w:r>
      <w:r w:rsidRPr="00052FD8">
        <w:t xml:space="preserve">metaphysical effect of practices that make </w:t>
      </w:r>
      <w:r>
        <w:t>them,</w:t>
      </w:r>
      <w:r w:rsidRPr="00052FD8">
        <w:t xml:space="preserve"> </w:t>
      </w:r>
      <w:r w:rsidRPr="00052FD8">
        <w:lastRenderedPageBreak/>
        <w:t>as a structural effect</w:t>
      </w:r>
      <w:r>
        <w:t>,</w:t>
      </w:r>
      <w:r w:rsidRPr="00052FD8">
        <w:t xml:space="preserve"> appear to exist</w:t>
      </w:r>
      <w:r w:rsidRPr="00052FD8">
        <w:rPr>
          <w:color w:val="000000"/>
        </w:rPr>
        <w:t>.</w:t>
      </w:r>
      <w:r w:rsidRPr="00052FD8">
        <w:rPr>
          <w:rStyle w:val="FootnoteReference"/>
          <w:color w:val="000000"/>
        </w:rPr>
        <w:footnoteReference w:id="165"/>
      </w:r>
      <w:r w:rsidRPr="00052FD8">
        <w:rPr>
          <w:color w:val="000000"/>
        </w:rPr>
        <w:t xml:space="preserve"> Although historians have tended to study the colonial state as a monolithic entity</w:t>
      </w:r>
      <w:r>
        <w:rPr>
          <w:color w:val="000000"/>
        </w:rPr>
        <w:t xml:space="preserve"> </w:t>
      </w:r>
      <w:r w:rsidRPr="00052FD8">
        <w:rPr>
          <w:color w:val="000000"/>
        </w:rPr>
        <w:t xml:space="preserve">such insights show that </w:t>
      </w:r>
      <w:r>
        <w:rPr>
          <w:color w:val="000000"/>
        </w:rPr>
        <w:t>‘</w:t>
      </w:r>
      <w:r w:rsidRPr="00052FD8">
        <w:t xml:space="preserve">[t]he </w:t>
      </w:r>
      <w:r>
        <w:t>“</w:t>
      </w:r>
      <w:r w:rsidRPr="00052FD8">
        <w:t>colonial state</w:t>
      </w:r>
      <w:r>
        <w:t>”</w:t>
      </w:r>
      <w:r w:rsidRPr="00052FD8">
        <w:t xml:space="preserve"> describes not a thing but a genus of historically fluid forms and processes. . .</w:t>
      </w:r>
      <w:r>
        <w:t>’</w:t>
      </w:r>
      <w:r w:rsidRPr="00052FD8">
        <w:rPr>
          <w:rStyle w:val="FootnoteReference"/>
        </w:rPr>
        <w:footnoteReference w:id="166"/>
      </w:r>
      <w:r w:rsidRPr="00052FD8">
        <w:t xml:space="preserve"> Colonial states were thus not only imaginary and performative constructs but fragmentary and </w:t>
      </w:r>
      <w:r>
        <w:t>‘</w:t>
      </w:r>
      <w:r w:rsidRPr="00052FD8">
        <w:t>fuzzy</w:t>
      </w:r>
      <w:r>
        <w:t>’</w:t>
      </w:r>
      <w:r w:rsidRPr="00052FD8">
        <w:t xml:space="preserve"> ones as well.</w:t>
      </w:r>
      <w:r w:rsidRPr="00052FD8">
        <w:rPr>
          <w:rStyle w:val="FootnoteReference"/>
        </w:rPr>
        <w:footnoteReference w:id="167"/>
      </w:r>
      <w:r w:rsidRPr="00052FD8">
        <w:t xml:space="preserve"> </w:t>
      </w:r>
    </w:p>
    <w:p w14:paraId="4C1EB2BF" w14:textId="77777777" w:rsidR="00997966" w:rsidRPr="00052FD8" w:rsidRDefault="00997966" w:rsidP="00997966">
      <w:pPr>
        <w:spacing w:line="480" w:lineRule="auto"/>
        <w:ind w:firstLine="720"/>
      </w:pPr>
      <w:r w:rsidRPr="00052FD8">
        <w:rPr>
          <w:color w:val="000000"/>
        </w:rPr>
        <w:lastRenderedPageBreak/>
        <w:t>In response to such insights a growing body of scholarship has begun to explore the everyday state in colonial India, as well as how it was experienced by its coloni</w:t>
      </w:r>
      <w:r>
        <w:rPr>
          <w:color w:val="000000"/>
        </w:rPr>
        <w:t>z</w:t>
      </w:r>
      <w:r w:rsidRPr="00052FD8">
        <w:rPr>
          <w:color w:val="000000"/>
        </w:rPr>
        <w:t>ed subjects, although relatively little attention has yet been paid to the role played by Indian subordinates in its construction.</w:t>
      </w:r>
      <w:r w:rsidRPr="00052FD8">
        <w:rPr>
          <w:rStyle w:val="FootnoteReference"/>
          <w:color w:val="000000"/>
        </w:rPr>
        <w:footnoteReference w:id="168"/>
      </w:r>
      <w:r w:rsidRPr="00052FD8">
        <w:rPr>
          <w:color w:val="000000"/>
        </w:rPr>
        <w:t xml:space="preserve"> Yet the Indian state was not, as Ranajit Guha insists, </w:t>
      </w:r>
      <w:r>
        <w:t>‘</w:t>
      </w:r>
      <w:r w:rsidRPr="00052FD8">
        <w:t xml:space="preserve">an absolute </w:t>
      </w:r>
      <w:r w:rsidRPr="00052FD8">
        <w:lastRenderedPageBreak/>
        <w:t>externality . . . with no mediating depths, no space . . . for transactions between the will of the rulers and that of the ruled</w:t>
      </w:r>
      <w:r>
        <w:t>’</w:t>
      </w:r>
      <w:r w:rsidRPr="00052FD8">
        <w:t>.</w:t>
      </w:r>
      <w:r w:rsidRPr="00052FD8">
        <w:rPr>
          <w:rStyle w:val="FootnoteReference"/>
        </w:rPr>
        <w:footnoteReference w:id="169"/>
      </w:r>
      <w:r w:rsidRPr="00052FD8">
        <w:t xml:space="preserve"> The vast numbers of Indian subalterns who constituted its labour force made such a rigid boundary between state and society impossible, and nowhere is this more apparent than in the role played by the police, </w:t>
      </w:r>
      <w:r>
        <w:t>‘”</w:t>
      </w:r>
      <w:r w:rsidRPr="00052FD8">
        <w:t xml:space="preserve">the edge of where </w:t>
      </w:r>
      <w:r>
        <w:t>‘</w:t>
      </w:r>
      <w:r w:rsidRPr="00052FD8">
        <w:t>the state</w:t>
      </w:r>
      <w:r>
        <w:t>’</w:t>
      </w:r>
      <w:r w:rsidRPr="00052FD8">
        <w:t xml:space="preserve"> meets ‘. . . society’</w:t>
      </w:r>
      <w:r>
        <w:t>”’</w:t>
      </w:r>
      <w:r w:rsidRPr="00052FD8">
        <w:t>.</w:t>
      </w:r>
      <w:r w:rsidRPr="00052FD8">
        <w:rPr>
          <w:rStyle w:val="FootnoteReference"/>
        </w:rPr>
        <w:footnoteReference w:id="170"/>
      </w:r>
      <w:r w:rsidRPr="00052FD8">
        <w:t xml:space="preserve"> </w:t>
      </w:r>
      <w:r>
        <w:t>This is because i</w:t>
      </w:r>
      <w:r w:rsidRPr="00052FD8">
        <w:t xml:space="preserve">n addition to being the most visible, quotidian </w:t>
      </w:r>
      <w:r w:rsidRPr="00052FD8">
        <w:lastRenderedPageBreak/>
        <w:t>emblem of state power they were also deeply embedded in local social and political networks.</w:t>
      </w:r>
      <w:r w:rsidRPr="00052FD8">
        <w:rPr>
          <w:rStyle w:val="FootnoteReference"/>
        </w:rPr>
        <w:footnoteReference w:id="171"/>
      </w:r>
      <w:r w:rsidRPr="00052FD8">
        <w:t xml:space="preserve"> Although some scholars have suggested that the police were effectively amalgamated into the colonial state, Lata Singh contends that </w:t>
      </w:r>
      <w:r>
        <w:t>‘</w:t>
      </w:r>
      <w:r w:rsidRPr="00052FD8">
        <w:t>they could not be reduced to a mere mechanised and dehumanised agent of colonial control</w:t>
      </w:r>
      <w:r>
        <w:t>’</w:t>
      </w:r>
      <w:r w:rsidRPr="00052FD8">
        <w:t>.</w:t>
      </w:r>
      <w:r w:rsidRPr="00052FD8">
        <w:rPr>
          <w:rStyle w:val="FootnoteReference"/>
        </w:rPr>
        <w:footnoteReference w:id="172"/>
      </w:r>
      <w:r w:rsidRPr="00052FD8">
        <w:t xml:space="preserve"> Their frequent involvement in collective violence intimates the impossibility of such a task.</w:t>
      </w:r>
      <w:r w:rsidRPr="00052FD8">
        <w:rPr>
          <w:rStyle w:val="FootnoteReference"/>
        </w:rPr>
        <w:footnoteReference w:id="173"/>
      </w:r>
      <w:r w:rsidRPr="00052FD8">
        <w:t xml:space="preserve"> The Indian police were, instead </w:t>
      </w:r>
      <w:r>
        <w:t>‘</w:t>
      </w:r>
      <w:r w:rsidRPr="00052FD8">
        <w:t>split subject[s]</w:t>
      </w:r>
      <w:r>
        <w:t>’</w:t>
      </w:r>
      <w:r w:rsidRPr="00052FD8">
        <w:t>, who drew upon state power to protect the interests of local elites while tyrannizing more marginal members of society.</w:t>
      </w:r>
      <w:r w:rsidRPr="00052FD8">
        <w:rPr>
          <w:rStyle w:val="FootnoteReference"/>
        </w:rPr>
        <w:footnoteReference w:id="174"/>
      </w:r>
      <w:r w:rsidRPr="00052FD8">
        <w:t xml:space="preserve"> But </w:t>
      </w:r>
      <w:r>
        <w:t>although</w:t>
      </w:r>
      <w:r w:rsidRPr="00052FD8">
        <w:t xml:space="preserve"> police violence </w:t>
      </w:r>
      <w:r w:rsidRPr="00052FD8">
        <w:lastRenderedPageBreak/>
        <w:t xml:space="preserve">ostensibly undermined the authority of the colonial state, Nandini Gooptu suggests that police tyranny was given </w:t>
      </w:r>
      <w:r>
        <w:t>‘</w:t>
      </w:r>
      <w:r w:rsidRPr="00052FD8">
        <w:t>free reign</w:t>
      </w:r>
      <w:r>
        <w:t>’</w:t>
      </w:r>
      <w:r w:rsidRPr="00052FD8">
        <w:t xml:space="preserve"> because of its disciplinary value.</w:t>
      </w:r>
      <w:r w:rsidRPr="00052FD8">
        <w:rPr>
          <w:rStyle w:val="FootnoteReference"/>
        </w:rPr>
        <w:footnoteReference w:id="175"/>
      </w:r>
      <w:r w:rsidRPr="00052FD8">
        <w:t xml:space="preserve"> </w:t>
      </w:r>
      <w:r>
        <w:t>Thus, while t</w:t>
      </w:r>
      <w:r w:rsidRPr="00052FD8">
        <w:t>he police themselves needed to be harshly disciplined in order to prevent them from enacting the state to suit their own purposes, and not all elements of the state (notably the higher echelons of the legal system) regarded police violence in the same way, their performance of the state as powerful and oppressive was ultimately a boon for the colonial regime.</w:t>
      </w:r>
      <w:r w:rsidRPr="00052FD8">
        <w:rPr>
          <w:rStyle w:val="FootnoteReference"/>
        </w:rPr>
        <w:footnoteReference w:id="176"/>
      </w:r>
      <w:r w:rsidRPr="00052FD8">
        <w:t xml:space="preserve"> </w:t>
      </w:r>
    </w:p>
    <w:p w14:paraId="50BC374F" w14:textId="77777777" w:rsidR="00997966" w:rsidRPr="00052FD8" w:rsidRDefault="00997966" w:rsidP="00997966">
      <w:pPr>
        <w:spacing w:line="480" w:lineRule="auto"/>
        <w:ind w:firstLine="720"/>
      </w:pPr>
      <w:r w:rsidRPr="00052FD8">
        <w:t>The fragmentary and performative nature of the colonial state in India means that regulation inevitably co</w:t>
      </w:r>
      <w:r>
        <w:t>-</w:t>
      </w:r>
      <w:r w:rsidRPr="00052FD8">
        <w:t>existed with resistance, power with paralysis, and legitimacy with illegality, but this does not translate into a state that was inherently fragile.</w:t>
      </w:r>
      <w:r w:rsidRPr="00052FD8">
        <w:rPr>
          <w:rStyle w:val="FootnoteReference"/>
        </w:rPr>
        <w:footnoteReference w:id="177"/>
      </w:r>
      <w:r w:rsidRPr="00052FD8">
        <w:t xml:space="preserve"> Its cultural and ideological grounding in conquest, which made militarism one of its defining features, </w:t>
      </w:r>
      <w:r w:rsidRPr="00052FD8">
        <w:lastRenderedPageBreak/>
        <w:t>ensured that this was impossible.</w:t>
      </w:r>
      <w:r w:rsidRPr="00052FD8">
        <w:rPr>
          <w:rStyle w:val="FootnoteReference"/>
        </w:rPr>
        <w:footnoteReference w:id="178"/>
      </w:r>
      <w:r w:rsidRPr="00052FD8">
        <w:t xml:space="preserve"> Although there is an ongoing tension in studies of the colonial state, between views of it as intrusive, uncompromising</w:t>
      </w:r>
      <w:r>
        <w:t>,</w:t>
      </w:r>
      <w:r w:rsidRPr="00052FD8">
        <w:t xml:space="preserve"> and virtually omnipotent, and as effecting a major transformation of Indian society, to a </w:t>
      </w:r>
      <w:r>
        <w:t>‘</w:t>
      </w:r>
      <w:r w:rsidRPr="00052FD8">
        <w:t>limited Raj</w:t>
      </w:r>
      <w:r>
        <w:t>’</w:t>
      </w:r>
      <w:r w:rsidRPr="00052FD8">
        <w:t xml:space="preserve"> that was weak and lacking in the resources and will to be so intrusive</w:t>
      </w:r>
      <w:r>
        <w:t>—</w:t>
      </w:r>
      <w:r w:rsidRPr="00052FD8">
        <w:t>or as having, as Ranajit Guha has argued, dominance without hegemony</w:t>
      </w:r>
      <w:r>
        <w:t>—</w:t>
      </w:r>
      <w:r w:rsidRPr="00052FD8">
        <w:t xml:space="preserve">focusing on the Indian police reveals that </w:t>
      </w:r>
      <w:r>
        <w:t>‘</w:t>
      </w:r>
      <w:r w:rsidRPr="00052FD8">
        <w:t>the truth lies somewhere in between . . .</w:t>
      </w:r>
      <w:r>
        <w:t>’</w:t>
      </w:r>
      <w:r w:rsidRPr="00052FD8">
        <w:rPr>
          <w:rStyle w:val="FootnoteReference"/>
        </w:rPr>
        <w:footnoteReference w:id="179"/>
      </w:r>
      <w:r w:rsidRPr="00052FD8">
        <w:t xml:space="preserve"> The violence of the colonial state undoubtedly was, as a </w:t>
      </w:r>
      <w:r w:rsidRPr="00052FD8">
        <w:lastRenderedPageBreak/>
        <w:t>number of scholars have shown, a product of its real and perceived vulnerabilities.</w:t>
      </w:r>
      <w:r w:rsidRPr="00052FD8">
        <w:rPr>
          <w:rStyle w:val="FootnoteReference"/>
        </w:rPr>
        <w:footnoteReference w:id="180"/>
      </w:r>
      <w:r w:rsidRPr="00052FD8">
        <w:t xml:space="preserve"> This is particularly true of its most spectacular and exceptional forms. But the structural and systemic violence perpetrated by the Indian police also reveals a state for which its inherent weakness</w:t>
      </w:r>
      <w:r>
        <w:t>—</w:t>
      </w:r>
      <w:r w:rsidRPr="00052FD8">
        <w:t>of its need, in other words, to rely on Indian subordinates</w:t>
      </w:r>
      <w:r>
        <w:t>—</w:t>
      </w:r>
      <w:r w:rsidRPr="00052FD8">
        <w:t xml:space="preserve">was also the key to its strength, </w:t>
      </w:r>
      <w:r>
        <w:t>since</w:t>
      </w:r>
      <w:r w:rsidRPr="00052FD8">
        <w:t xml:space="preserve"> it was their performance of the state that ultimately made India governable for its alien occupiers.</w:t>
      </w:r>
    </w:p>
    <w:p w14:paraId="5FA2AE16" w14:textId="77777777" w:rsidR="00997966" w:rsidRPr="00052FD8" w:rsidRDefault="00997966" w:rsidP="00997966">
      <w:pPr>
        <w:spacing w:line="480" w:lineRule="auto"/>
        <w:ind w:firstLine="720"/>
      </w:pPr>
      <w:r w:rsidRPr="00052FD8">
        <w:t xml:space="preserve">But if the state in colonial India was dependent on police violence, what does this reveal about the state’s relationship to the </w:t>
      </w:r>
      <w:r>
        <w:t>‘</w:t>
      </w:r>
      <w:r w:rsidRPr="00052FD8">
        <w:t>rule of law</w:t>
      </w:r>
      <w:r>
        <w:t>’</w:t>
      </w:r>
      <w:r w:rsidRPr="00052FD8">
        <w:t>, not least since the Indian police were regarded as law’s emissary</w:t>
      </w:r>
      <w:r>
        <w:t>—</w:t>
      </w:r>
      <w:r w:rsidRPr="00052FD8">
        <w:t>as being central, in other words, to the construction of such a rule?</w:t>
      </w:r>
      <w:r w:rsidRPr="00052FD8">
        <w:rPr>
          <w:rStyle w:val="FootnoteReference"/>
        </w:rPr>
        <w:footnoteReference w:id="181"/>
      </w:r>
      <w:r w:rsidRPr="00052FD8">
        <w:t xml:space="preserve"> The </w:t>
      </w:r>
      <w:r>
        <w:t>‘</w:t>
      </w:r>
      <w:r w:rsidRPr="00052FD8">
        <w:t>rule of law</w:t>
      </w:r>
      <w:r>
        <w:t>’</w:t>
      </w:r>
      <w:r w:rsidRPr="00052FD8">
        <w:t xml:space="preserve">, through which the British had begun to cloak the moral legitimacy of their rule in India from the late eighteenth century, became the foremost signifier of </w:t>
      </w:r>
      <w:r>
        <w:t>‘</w:t>
      </w:r>
      <w:r w:rsidRPr="00052FD8">
        <w:t>civili</w:t>
      </w:r>
      <w:r>
        <w:t>z</w:t>
      </w:r>
      <w:r w:rsidRPr="00052FD8">
        <w:t>ation</w:t>
      </w:r>
      <w:r>
        <w:t>’</w:t>
      </w:r>
      <w:r w:rsidRPr="00052FD8">
        <w:t xml:space="preserve"> and state legitimacy in a raciali</w:t>
      </w:r>
      <w:r>
        <w:t>z</w:t>
      </w:r>
      <w:r w:rsidRPr="00052FD8">
        <w:t xml:space="preserve">ed political system in which consent could not </w:t>
      </w:r>
      <w:r w:rsidRPr="00052FD8">
        <w:lastRenderedPageBreak/>
        <w:t>be secured through electoral processes.</w:t>
      </w:r>
      <w:r w:rsidRPr="00052FD8">
        <w:rPr>
          <w:rStyle w:val="FootnoteReference"/>
        </w:rPr>
        <w:footnoteReference w:id="182"/>
      </w:r>
      <w:r w:rsidRPr="00052FD8">
        <w:t xml:space="preserve"> It thus not only bound the colonial state together but legitimi</w:t>
      </w:r>
      <w:r>
        <w:t>z</w:t>
      </w:r>
      <w:r w:rsidRPr="00052FD8">
        <w:t xml:space="preserve">ed </w:t>
      </w:r>
      <w:r>
        <w:t>‘</w:t>
      </w:r>
      <w:r w:rsidRPr="00052FD8">
        <w:rPr>
          <w:i/>
          <w:iCs/>
        </w:rPr>
        <w:t>all</w:t>
      </w:r>
      <w:r w:rsidRPr="00052FD8">
        <w:t xml:space="preserve"> aspects of [its] power, capillary and coercive, volitional and violent, arterial and instrumental</w:t>
      </w:r>
      <w:r>
        <w:t>’</w:t>
      </w:r>
      <w:r w:rsidRPr="00052FD8">
        <w:t xml:space="preserve"> (emphasis added).</w:t>
      </w:r>
      <w:r w:rsidRPr="00052FD8">
        <w:rPr>
          <w:rStyle w:val="FootnoteReference"/>
        </w:rPr>
        <w:footnoteReference w:id="183"/>
      </w:r>
      <w:r w:rsidRPr="00052FD8">
        <w:t xml:space="preserve"> That law could legitimate such a diverse array of state practices of power demonstrates that colonial law, like the states that it served to construct, had neither the coherence nor consistency that it tends to be granted, particularly </w:t>
      </w:r>
      <w:r w:rsidRPr="00052FD8">
        <w:lastRenderedPageBreak/>
        <w:t>since the bulk of the scholarship on law in colonial India focuses on its legislative aspects.</w:t>
      </w:r>
      <w:r w:rsidRPr="00052FD8">
        <w:rPr>
          <w:rStyle w:val="FootnoteReference"/>
        </w:rPr>
        <w:footnoteReference w:id="184"/>
      </w:r>
      <w:r w:rsidRPr="00052FD8">
        <w:t xml:space="preserve"> It was made up, instead, of a complex gallimaufry of institutions and practices.</w:t>
      </w:r>
      <w:r w:rsidRPr="00052FD8">
        <w:rPr>
          <w:rStyle w:val="FootnoteReference"/>
        </w:rPr>
        <w:footnoteReference w:id="185"/>
      </w:r>
      <w:r w:rsidRPr="00052FD8">
        <w:t xml:space="preserve"> </w:t>
      </w:r>
    </w:p>
    <w:p w14:paraId="7EFD5A67" w14:textId="77777777" w:rsidR="00997966" w:rsidRDefault="00997966" w:rsidP="00997966">
      <w:pPr>
        <w:spacing w:line="480" w:lineRule="auto"/>
        <w:ind w:firstLine="720"/>
      </w:pPr>
      <w:r w:rsidRPr="00052FD8">
        <w:t>Violence was, in addition, central to its construction, particularly objective forms.</w:t>
      </w:r>
      <w:r w:rsidRPr="00052FD8">
        <w:rPr>
          <w:rStyle w:val="FootnoteReference"/>
        </w:rPr>
        <w:footnoteReference w:id="186"/>
      </w:r>
      <w:r w:rsidRPr="00052FD8">
        <w:t xml:space="preserve"> As Austin Sarat </w:t>
      </w:r>
      <w:r>
        <w:t>argues</w:t>
      </w:r>
      <w:r w:rsidRPr="00052FD8">
        <w:t xml:space="preserve">, the violence </w:t>
      </w:r>
      <w:r>
        <w:t>‘</w:t>
      </w:r>
      <w:r w:rsidRPr="00052FD8">
        <w:t xml:space="preserve">authorized . . . or condoned by law occurs with all the </w:t>
      </w:r>
      <w:r w:rsidRPr="00052FD8">
        <w:lastRenderedPageBreak/>
        <w:t>abnormality of bureaucratic abstraction</w:t>
      </w:r>
      <w:r>
        <w:t>’</w:t>
      </w:r>
      <w:r w:rsidRPr="00052FD8">
        <w:t xml:space="preserve">; it is generally, therefore, </w:t>
      </w:r>
      <w:r>
        <w:t>‘</w:t>
      </w:r>
      <w:r w:rsidRPr="00052FD8">
        <w:t>untraceably dispersed</w:t>
      </w:r>
      <w:r>
        <w:t>’</w:t>
      </w:r>
      <w:r w:rsidRPr="00052FD8">
        <w:t>.</w:t>
      </w:r>
      <w:r w:rsidRPr="00052FD8">
        <w:rPr>
          <w:rStyle w:val="FootnoteReference"/>
        </w:rPr>
        <w:footnoteReference w:id="187"/>
      </w:r>
      <w:r w:rsidRPr="00052FD8">
        <w:t xml:space="preserve"> But such dispersal</w:t>
      </w:r>
      <w:r>
        <w:t>—</w:t>
      </w:r>
      <w:r w:rsidRPr="00052FD8">
        <w:t xml:space="preserve">including at the hands, for example, of the police acting as </w:t>
      </w:r>
      <w:r>
        <w:t>‘</w:t>
      </w:r>
      <w:r w:rsidRPr="00052FD8">
        <w:t>petty sovereigns</w:t>
      </w:r>
      <w:r>
        <w:t>’—</w:t>
      </w:r>
      <w:r w:rsidRPr="00052FD8">
        <w:t>also ma</w:t>
      </w:r>
      <w:r>
        <w:t>kes</w:t>
      </w:r>
      <w:r w:rsidRPr="00052FD8">
        <w:t xml:space="preserve"> the violence of the law difficult to control. The problem for the British was that despite former Indian police official J. C. Curry’s contention that </w:t>
      </w:r>
      <w:r>
        <w:t>‘</w:t>
      </w:r>
      <w:r w:rsidRPr="00052FD8">
        <w:t>[e]very official act of every police officer in India</w:t>
      </w:r>
      <w:r>
        <w:t>—</w:t>
      </w:r>
      <w:r w:rsidRPr="00052FD8">
        <w:t>from the highest to the lowest</w:t>
      </w:r>
      <w:r>
        <w:t>—</w:t>
      </w:r>
      <w:r w:rsidRPr="00052FD8">
        <w:t>is based on law and on the ‘Rule of Law’</w:t>
      </w:r>
      <w:r>
        <w:t>’</w:t>
      </w:r>
      <w:r w:rsidRPr="00052FD8">
        <w:t xml:space="preserve"> [sic], the police as an arm of legality could only operate in a field of illegality, namely both through and beyond the law, which created a blurred boundary between where the force of law ended and the law of force began.</w:t>
      </w:r>
      <w:r w:rsidRPr="00052FD8">
        <w:rPr>
          <w:rStyle w:val="FootnoteReference"/>
        </w:rPr>
        <w:footnoteReference w:id="188"/>
      </w:r>
      <w:r w:rsidRPr="00052FD8">
        <w:t xml:space="preserve"> It was thus through the colonial police that the rule of law was most intimately linked to legal exceptionalism. While this undoubtedly posed problems for the colonial regime, that such a boundary even existed </w:t>
      </w:r>
      <w:r w:rsidRPr="00052FD8">
        <w:lastRenderedPageBreak/>
        <w:t>was obscured by a largely overlooked aspect of colonial law, namely its performative nature.</w:t>
      </w:r>
      <w:r w:rsidRPr="00052FD8">
        <w:rPr>
          <w:rStyle w:val="FootnoteReference"/>
        </w:rPr>
        <w:footnoteReference w:id="189"/>
      </w:r>
      <w:r w:rsidRPr="00052FD8">
        <w:t xml:space="preserve"> As former District Magistrate Robert Carstairs put it, even though colonial officials had little faith in the efficacy of colonial law they had to </w:t>
      </w:r>
      <w:r>
        <w:t>‘</w:t>
      </w:r>
      <w:r w:rsidRPr="00052FD8">
        <w:t>go through the form</w:t>
      </w:r>
      <w:r>
        <w:t>’</w:t>
      </w:r>
      <w:r w:rsidRPr="00052FD8">
        <w:t xml:space="preserve"> of performing it.</w:t>
      </w:r>
      <w:r w:rsidRPr="00052FD8">
        <w:rPr>
          <w:rStyle w:val="FootnoteReference"/>
        </w:rPr>
        <w:footnoteReference w:id="190"/>
      </w:r>
      <w:r w:rsidRPr="00052FD8">
        <w:t xml:space="preserve"> For the colonial regime the existence of a rule of law was less important, in other words, than maintaining the </w:t>
      </w:r>
      <w:r w:rsidRPr="00052FD8">
        <w:rPr>
          <w:i/>
          <w:iCs/>
        </w:rPr>
        <w:t>facade</w:t>
      </w:r>
      <w:r w:rsidRPr="00052FD8">
        <w:t xml:space="preserve"> of one.</w:t>
      </w:r>
      <w:r w:rsidRPr="00052FD8">
        <w:rPr>
          <w:rStyle w:val="FootnoteReference"/>
        </w:rPr>
        <w:footnoteReference w:id="191"/>
      </w:r>
    </w:p>
    <w:p w14:paraId="58822E82" w14:textId="77777777" w:rsidR="00997966" w:rsidRPr="00052FD8" w:rsidRDefault="00997966" w:rsidP="00997966">
      <w:pPr>
        <w:spacing w:line="480" w:lineRule="auto"/>
        <w:ind w:firstLine="720"/>
      </w:pPr>
    </w:p>
    <w:bookmarkEnd w:id="35"/>
    <w:p w14:paraId="153F0C44" w14:textId="77777777" w:rsidR="00997966" w:rsidRDefault="00997966" w:rsidP="00997966">
      <w:pPr>
        <w:rPr>
          <w:b/>
          <w:bCs/>
          <w:shd w:val="clear" w:color="auto" w:fill="FFFFFF"/>
        </w:rPr>
      </w:pPr>
      <w:r w:rsidRPr="00052FD8">
        <w:rPr>
          <w:b/>
          <w:bCs/>
          <w:shd w:val="clear" w:color="auto" w:fill="FFFFFF"/>
        </w:rPr>
        <w:t>Sovereignty, Torture and Terror</w:t>
      </w:r>
    </w:p>
    <w:p w14:paraId="2EC65AC8" w14:textId="77777777" w:rsidR="00997966" w:rsidRPr="0031272C" w:rsidRDefault="00997966" w:rsidP="00997966">
      <w:pPr>
        <w:rPr>
          <w:b/>
          <w:bCs/>
          <w:shd w:val="clear" w:color="auto" w:fill="FFFFFF"/>
        </w:rPr>
      </w:pPr>
    </w:p>
    <w:p w14:paraId="0A95687A" w14:textId="77777777" w:rsidR="00997966" w:rsidRDefault="00997966" w:rsidP="00997966">
      <w:pPr>
        <w:spacing w:line="480" w:lineRule="auto"/>
        <w:ind w:left="720"/>
        <w:contextualSpacing/>
      </w:pPr>
    </w:p>
    <w:p w14:paraId="20D5BE2E" w14:textId="77777777" w:rsidR="00997966" w:rsidRPr="00052FD8" w:rsidRDefault="00997966" w:rsidP="00997966">
      <w:pPr>
        <w:spacing w:line="480" w:lineRule="auto"/>
        <w:ind w:left="720"/>
        <w:contextualSpacing/>
      </w:pPr>
      <w:r w:rsidRPr="00052FD8">
        <w:t>Sovereignty is often more myth than reality, more a story that polities tell about their own power than a definite quality they possess.</w:t>
      </w:r>
      <w:r w:rsidRPr="00052FD8">
        <w:rPr>
          <w:rStyle w:val="FootnoteReference"/>
        </w:rPr>
        <w:footnoteReference w:id="192"/>
      </w:r>
    </w:p>
    <w:p w14:paraId="42EDA47B" w14:textId="77777777" w:rsidR="00997966" w:rsidRDefault="00997966" w:rsidP="00997966">
      <w:pPr>
        <w:contextualSpacing/>
      </w:pPr>
    </w:p>
    <w:p w14:paraId="31CBDE3F" w14:textId="77777777" w:rsidR="00997966" w:rsidRPr="00052FD8" w:rsidRDefault="00997966" w:rsidP="00997966">
      <w:pPr>
        <w:contextualSpacing/>
      </w:pPr>
    </w:p>
    <w:p w14:paraId="7519EF60" w14:textId="77777777" w:rsidR="00997966" w:rsidRPr="00052FD8" w:rsidRDefault="00997966" w:rsidP="00997966">
      <w:pPr>
        <w:spacing w:line="480" w:lineRule="auto"/>
        <w:ind w:firstLine="720"/>
      </w:pPr>
      <w:r w:rsidRPr="00052FD8">
        <w:t xml:space="preserve">That the British clung to the notion that they were bringing the </w:t>
      </w:r>
      <w:r>
        <w:t>‘</w:t>
      </w:r>
      <w:r w:rsidRPr="00052FD8">
        <w:t>rule of law</w:t>
      </w:r>
      <w:r>
        <w:t>’</w:t>
      </w:r>
      <w:r w:rsidRPr="00052FD8">
        <w:t xml:space="preserve"> to India despite voluminous evidence that the law they brought served only their own political and economic interests is surely a sign of the </w:t>
      </w:r>
      <w:r>
        <w:t>‘</w:t>
      </w:r>
      <w:r w:rsidRPr="00052FD8">
        <w:t>hallucinatory effects</w:t>
      </w:r>
      <w:r>
        <w:t>’</w:t>
      </w:r>
      <w:r w:rsidRPr="00052FD8">
        <w:t xml:space="preserve"> of their own ideology.</w:t>
      </w:r>
      <w:r w:rsidRPr="00052FD8">
        <w:rPr>
          <w:rStyle w:val="FootnoteReference"/>
        </w:rPr>
        <w:footnoteReference w:id="193"/>
      </w:r>
      <w:r w:rsidRPr="00052FD8">
        <w:t xml:space="preserve"> But </w:t>
      </w:r>
      <w:r w:rsidRPr="00052FD8">
        <w:lastRenderedPageBreak/>
        <w:t xml:space="preserve">such a notion may also have been spurred by the discomfort, as William Rasch </w:t>
      </w:r>
      <w:r>
        <w:t>submits</w:t>
      </w:r>
      <w:r w:rsidRPr="00052FD8">
        <w:t xml:space="preserve">, generated by the figure of the sovereign in democratic states; for the British sovereignty was replaced by the rule of law, according to such a reading, because such a rule supplanted </w:t>
      </w:r>
      <w:r>
        <w:t>‘</w:t>
      </w:r>
      <w:r w:rsidRPr="00052FD8">
        <w:t>the naked and arbitrary force of a wilful sovereign power . . .</w:t>
      </w:r>
      <w:r>
        <w:t>’</w:t>
      </w:r>
      <w:r w:rsidRPr="00052FD8">
        <w:rPr>
          <w:rStyle w:val="FootnoteReference"/>
        </w:rPr>
        <w:footnoteReference w:id="194"/>
      </w:r>
      <w:r w:rsidRPr="00052FD8">
        <w:t xml:space="preserve"> This is not to </w:t>
      </w:r>
      <w:r>
        <w:t>propose</w:t>
      </w:r>
      <w:r w:rsidRPr="00052FD8">
        <w:t xml:space="preserve"> that the aim of the rule of law in colonial India was to place constraints on executive authority. It was, instead, to make the implementation of sovereign power more respectable, to couch </w:t>
      </w:r>
      <w:r>
        <w:t>‘</w:t>
      </w:r>
      <w:r w:rsidRPr="00052FD8">
        <w:t>the colonial state’s iron fist in a velvet glove</w:t>
      </w:r>
      <w:r>
        <w:t>’</w:t>
      </w:r>
      <w:r w:rsidRPr="00052FD8">
        <w:t>.</w:t>
      </w:r>
      <w:r w:rsidRPr="00052FD8">
        <w:rPr>
          <w:rStyle w:val="FootnoteReference"/>
        </w:rPr>
        <w:footnoteReference w:id="195"/>
      </w:r>
    </w:p>
    <w:p w14:paraId="7F012391" w14:textId="77777777" w:rsidR="00997966" w:rsidRPr="00052FD8" w:rsidRDefault="00997966" w:rsidP="00997966">
      <w:pPr>
        <w:spacing w:line="480" w:lineRule="auto"/>
        <w:ind w:firstLine="720"/>
      </w:pPr>
      <w:r w:rsidRPr="00052FD8">
        <w:t>The needs of a regime of conquest required, in short, placing strong discretionary authority in executive power.</w:t>
      </w:r>
      <w:r w:rsidRPr="00052FD8">
        <w:rPr>
          <w:rStyle w:val="FootnoteReference"/>
        </w:rPr>
        <w:footnoteReference w:id="196"/>
      </w:r>
      <w:r w:rsidRPr="00052FD8">
        <w:t xml:space="preserve"> </w:t>
      </w:r>
      <w:r>
        <w:t>T</w:t>
      </w:r>
      <w:r w:rsidRPr="00052FD8">
        <w:t>he coloni</w:t>
      </w:r>
      <w:r>
        <w:t>z</w:t>
      </w:r>
      <w:r w:rsidRPr="00052FD8">
        <w:t xml:space="preserve">ers </w:t>
      </w:r>
      <w:r>
        <w:t>may have endeavoured</w:t>
      </w:r>
      <w:r w:rsidRPr="00052FD8">
        <w:t xml:space="preserve"> to retain such authority in European hands, </w:t>
      </w:r>
      <w:r>
        <w:t xml:space="preserve">but </w:t>
      </w:r>
      <w:r w:rsidRPr="00052FD8">
        <w:t>in light of their small numbers the ability to wield sovereign power</w:t>
      </w:r>
      <w:r>
        <w:t>—</w:t>
      </w:r>
      <w:r w:rsidRPr="00052FD8">
        <w:t>including through the subversion of the rule of law</w:t>
      </w:r>
      <w:r>
        <w:t>—</w:t>
      </w:r>
      <w:r w:rsidRPr="00052FD8">
        <w:t xml:space="preserve">had </w:t>
      </w:r>
      <w:r>
        <w:t xml:space="preserve">out of necessity </w:t>
      </w:r>
      <w:r w:rsidRPr="00052FD8">
        <w:t xml:space="preserve">to be accorded to even the lowliest police official in order to ensure the maintenance of colonial rule. </w:t>
      </w:r>
      <w:r>
        <w:t>Yet</w:t>
      </w:r>
      <w:r w:rsidRPr="00052FD8">
        <w:t xml:space="preserve"> although the colonial regime routinely resorted to attempts to maintain its sovereignty through suspending the rule of law in what it regarded as exceptional situations</w:t>
      </w:r>
      <w:r>
        <w:t>—</w:t>
      </w:r>
      <w:r w:rsidRPr="00052FD8">
        <w:t>for Lauren Benton a key characteristic of colonial states with divided or quasi</w:t>
      </w:r>
      <w:r>
        <w:t>-</w:t>
      </w:r>
      <w:r w:rsidRPr="00052FD8">
        <w:lastRenderedPageBreak/>
        <w:t>sovereignty</w:t>
      </w:r>
      <w:r w:rsidRPr="00052FD8">
        <w:rPr>
          <w:rStyle w:val="FootnoteReference"/>
        </w:rPr>
        <w:footnoteReference w:id="197"/>
      </w:r>
      <w:r>
        <w:t>—</w:t>
      </w:r>
      <w:r w:rsidRPr="00052FD8">
        <w:t>it also accommodated the torture and other forms of violence perpetrated by the police as an expression of sovereign power through the institutionali</w:t>
      </w:r>
      <w:r>
        <w:t>z</w:t>
      </w:r>
      <w:r w:rsidRPr="00052FD8">
        <w:t xml:space="preserve">ed acceptance of the illegal </w:t>
      </w:r>
      <w:r w:rsidRPr="00052FD8">
        <w:rPr>
          <w:i/>
          <w:iCs/>
        </w:rPr>
        <w:t>within</w:t>
      </w:r>
      <w:r w:rsidRPr="00052FD8">
        <w:t xml:space="preserve"> the rule of law.</w:t>
      </w:r>
      <w:r w:rsidRPr="00052FD8">
        <w:rPr>
          <w:rStyle w:val="FootnoteReference"/>
        </w:rPr>
        <w:footnoteReference w:id="198"/>
      </w:r>
      <w:r w:rsidRPr="00052FD8">
        <w:t xml:space="preserve"> Such accommodation demonstrates the ways in which </w:t>
      </w:r>
      <w:r>
        <w:t>emergency powers</w:t>
      </w:r>
      <w:r w:rsidRPr="00052FD8">
        <w:t xml:space="preserve"> operated in colonial contexts as </w:t>
      </w:r>
      <w:r>
        <w:t>‘</w:t>
      </w:r>
      <w:r w:rsidRPr="00052FD8">
        <w:t>an institutional . . . and racialised technique of governance</w:t>
      </w:r>
      <w:r>
        <w:t>’</w:t>
      </w:r>
      <w:r w:rsidRPr="00052FD8">
        <w:t xml:space="preserve"> rather than simply being a temporary response to a perceived crisis.</w:t>
      </w:r>
      <w:r w:rsidRPr="00052FD8">
        <w:rPr>
          <w:rStyle w:val="FootnoteReference"/>
        </w:rPr>
        <w:footnoteReference w:id="199"/>
      </w:r>
      <w:r w:rsidRPr="00052FD8">
        <w:t xml:space="preserve"> It also reveals the role of the police in colonial India both in making state sovereignty manifest and in constructing what I have referred to as a regime of exception.</w:t>
      </w:r>
      <w:r w:rsidRPr="00052FD8">
        <w:rPr>
          <w:rStyle w:val="FootnoteReference"/>
        </w:rPr>
        <w:footnoteReference w:id="200"/>
      </w:r>
      <w:r w:rsidRPr="00052FD8">
        <w:t xml:space="preserve"> </w:t>
      </w:r>
    </w:p>
    <w:p w14:paraId="69BE6EE1" w14:textId="77777777" w:rsidR="00997966" w:rsidRPr="00052FD8" w:rsidRDefault="00997966" w:rsidP="00997966">
      <w:pPr>
        <w:spacing w:line="480" w:lineRule="auto"/>
        <w:ind w:firstLine="720"/>
      </w:pPr>
      <w:r w:rsidRPr="00052FD8">
        <w:t>In contrast to the standard orthodoxy that modern notions of state sovereignty emerged in the aftermath of the 1648 Peace of Westphalia, critical</w:t>
      </w:r>
      <w:r>
        <w:t>-</w:t>
      </w:r>
      <w:r w:rsidRPr="00052FD8">
        <w:t xml:space="preserve">legal scholars have demonstrated that they were </w:t>
      </w:r>
      <w:r>
        <w:t xml:space="preserve">instead </w:t>
      </w:r>
      <w:r w:rsidRPr="00052FD8">
        <w:t>shaped by colonial encounters from the late fifteenth century.</w:t>
      </w:r>
      <w:r w:rsidRPr="00052FD8">
        <w:rPr>
          <w:rStyle w:val="FootnoteReference"/>
        </w:rPr>
        <w:footnoteReference w:id="201"/>
      </w:r>
      <w:r w:rsidRPr="00052FD8">
        <w:t xml:space="preserve"> In the positivist international law that emerged as a result of such encounters </w:t>
      </w:r>
      <w:r w:rsidRPr="00052FD8">
        <w:lastRenderedPageBreak/>
        <w:t>indigenous peoples were designated as inferior to Europeans, disqualified as sovereigns, and denied dominion over their lands, while being rendered liable to physical force if they challenged such claims.</w:t>
      </w:r>
      <w:r w:rsidRPr="00052FD8">
        <w:rPr>
          <w:rStyle w:val="FootnoteReference"/>
        </w:rPr>
        <w:footnoteReference w:id="202"/>
      </w:r>
      <w:r w:rsidRPr="00052FD8">
        <w:t xml:space="preserve"> But the process of acquiring sovereignty over such peoples entailed more than simply claiming a monopoly over the legitimate use of violence.</w:t>
      </w:r>
      <w:r w:rsidRPr="00052FD8">
        <w:rPr>
          <w:rStyle w:val="FootnoteReference"/>
        </w:rPr>
        <w:footnoteReference w:id="203"/>
      </w:r>
      <w:r w:rsidRPr="00052FD8">
        <w:t xml:space="preserve"> It also involved, as Julie Evans argues, legally transforming them from </w:t>
      </w:r>
      <w:r>
        <w:t>‘</w:t>
      </w:r>
      <w:r w:rsidRPr="00052FD8">
        <w:t>the abandoned subjects of international law (and, therefore, the objects of its force)</w:t>
      </w:r>
      <w:r>
        <w:t>’</w:t>
      </w:r>
      <w:r w:rsidRPr="00052FD8">
        <w:t xml:space="preserve"> to subjects who were </w:t>
      </w:r>
      <w:r>
        <w:t>‘</w:t>
      </w:r>
      <w:r w:rsidRPr="00052FD8">
        <w:rPr>
          <w:i/>
          <w:iCs/>
        </w:rPr>
        <w:t>more fully</w:t>
      </w:r>
      <w:r w:rsidRPr="00052FD8">
        <w:t xml:space="preserve"> within the pale of the individual colony’s domestic legal system </w:t>
      </w:r>
      <w:r w:rsidRPr="00052FD8">
        <w:rPr>
          <w:i/>
          <w:iCs/>
        </w:rPr>
        <w:t xml:space="preserve">in another, different, form of </w:t>
      </w:r>
      <w:r w:rsidRPr="00052FD8">
        <w:rPr>
          <w:i/>
          <w:iCs/>
        </w:rPr>
        <w:lastRenderedPageBreak/>
        <w:t>subjection</w:t>
      </w:r>
      <w:r w:rsidRPr="00052FD8">
        <w:t xml:space="preserve"> to violence and discrimination otherwise condemned in law</w:t>
      </w:r>
      <w:r>
        <w:t>’</w:t>
      </w:r>
      <w:r w:rsidRPr="00052FD8">
        <w:t xml:space="preserve"> (emphases added).</w:t>
      </w:r>
      <w:r w:rsidRPr="00052FD8">
        <w:rPr>
          <w:rStyle w:val="FootnoteReference"/>
        </w:rPr>
        <w:footnoteReference w:id="204"/>
      </w:r>
      <w:r w:rsidRPr="00052FD8">
        <w:t xml:space="preserve"> Such variable incorporation of subjects under the rule of law illumines the ways in which empire served to fracture conceptions of subjectivity as law came to distinguish different </w:t>
      </w:r>
      <w:r>
        <w:t>‘</w:t>
      </w:r>
      <w:r w:rsidRPr="00052FD8">
        <w:t>kinds of people</w:t>
      </w:r>
      <w:r>
        <w:t>’</w:t>
      </w:r>
      <w:r w:rsidRPr="00052FD8">
        <w:t xml:space="preserve"> living under its protection.</w:t>
      </w:r>
      <w:r w:rsidRPr="00052FD8">
        <w:rPr>
          <w:rStyle w:val="FootnoteReference"/>
        </w:rPr>
        <w:footnoteReference w:id="205"/>
      </w:r>
      <w:r w:rsidRPr="00052FD8">
        <w:t xml:space="preserve"> This does not mean, however, that law was absent in colonial contexts, even during states of emergency.</w:t>
      </w:r>
      <w:r w:rsidRPr="00052FD8">
        <w:rPr>
          <w:rStyle w:val="FootnoteReference"/>
        </w:rPr>
        <w:footnoteReference w:id="206"/>
      </w:r>
      <w:r w:rsidRPr="00052FD8">
        <w:t xml:space="preserve"> When necessary illegal </w:t>
      </w:r>
      <w:r w:rsidRPr="00052FD8">
        <w:lastRenderedPageBreak/>
        <w:t xml:space="preserve">violence could be legalized retroactively, moreover, through either the declaration of martial law, in which </w:t>
      </w:r>
      <w:r>
        <w:t>‘</w:t>
      </w:r>
      <w:r w:rsidRPr="00052FD8">
        <w:t>normal</w:t>
      </w:r>
      <w:r>
        <w:t>’</w:t>
      </w:r>
      <w:r w:rsidRPr="00052FD8">
        <w:t xml:space="preserve"> law is suspended and is replaced by military authorities acting according to a different legal lexicon, or the passage of emergency legislation.</w:t>
      </w:r>
      <w:r w:rsidRPr="00052FD8">
        <w:rPr>
          <w:rStyle w:val="FootnoteReference"/>
        </w:rPr>
        <w:footnoteReference w:id="207"/>
      </w:r>
      <w:r w:rsidRPr="00052FD8">
        <w:t xml:space="preserve"> </w:t>
      </w:r>
    </w:p>
    <w:p w14:paraId="49B09BA8" w14:textId="77777777" w:rsidR="00997966" w:rsidRPr="00052FD8" w:rsidRDefault="00997966" w:rsidP="00997966">
      <w:pPr>
        <w:spacing w:line="480" w:lineRule="auto"/>
        <w:ind w:firstLine="720"/>
        <w:rPr>
          <w:shd w:val="clear" w:color="auto" w:fill="FFFFFF"/>
        </w:rPr>
      </w:pPr>
      <w:r w:rsidRPr="00052FD8">
        <w:t xml:space="preserve">As torture is </w:t>
      </w:r>
      <w:r>
        <w:rPr>
          <w:shd w:val="clear" w:color="auto" w:fill="FFFFFF"/>
        </w:rPr>
        <w:t>‘</w:t>
      </w:r>
      <w:r w:rsidRPr="00052FD8">
        <w:rPr>
          <w:shd w:val="clear" w:color="auto" w:fill="FFFFFF"/>
        </w:rPr>
        <w:t>the quintessential act of exception</w:t>
      </w:r>
      <w:r>
        <w:rPr>
          <w:shd w:val="clear" w:color="auto" w:fill="FFFFFF"/>
        </w:rPr>
        <w:t>’</w:t>
      </w:r>
      <w:r w:rsidRPr="00052FD8">
        <w:rPr>
          <w:shd w:val="clear" w:color="auto" w:fill="FFFFFF"/>
        </w:rPr>
        <w:t xml:space="preserve"> the torture perpetrated by the police in colonial India offers an important lens through which to study such processes.</w:t>
      </w:r>
      <w:r w:rsidRPr="00052FD8">
        <w:rPr>
          <w:rStyle w:val="FootnoteReference"/>
          <w:shd w:val="clear" w:color="auto" w:fill="FFFFFF"/>
        </w:rPr>
        <w:footnoteReference w:id="208"/>
      </w:r>
      <w:r w:rsidRPr="00052FD8">
        <w:rPr>
          <w:shd w:val="clear" w:color="auto" w:fill="FFFFFF"/>
        </w:rPr>
        <w:t xml:space="preserve"> I</w:t>
      </w:r>
      <w:r w:rsidRPr="00052FD8">
        <w:t>n his magisterial study of torture perpetrated by democratic states Darius Rejali outlines several means through which democratic states come to enact torture.</w:t>
      </w:r>
      <w:r w:rsidRPr="00052FD8">
        <w:rPr>
          <w:rStyle w:val="FootnoteReference"/>
        </w:rPr>
        <w:footnoteReference w:id="209"/>
      </w:r>
      <w:r w:rsidRPr="00052FD8">
        <w:t xml:space="preserve"> In what he refers to as the </w:t>
      </w:r>
      <w:r>
        <w:t>‘</w:t>
      </w:r>
      <w:r w:rsidRPr="00052FD8">
        <w:t>national security</w:t>
      </w:r>
      <w:r>
        <w:t>’</w:t>
      </w:r>
      <w:r w:rsidRPr="00052FD8">
        <w:t xml:space="preserve"> model torture is perpetuated in states of emergency or exception as a </w:t>
      </w:r>
      <w:r w:rsidRPr="00052FD8">
        <w:lastRenderedPageBreak/>
        <w:t>means of re</w:t>
      </w:r>
      <w:r>
        <w:t>-</w:t>
      </w:r>
      <w:r w:rsidRPr="00052FD8">
        <w:t xml:space="preserve">asserting state sovereignty, as we have seen in the case of </w:t>
      </w:r>
      <w:r>
        <w:t xml:space="preserve">colonial </w:t>
      </w:r>
      <w:r w:rsidRPr="00052FD8">
        <w:t>Kenya.</w:t>
      </w:r>
      <w:r w:rsidRPr="00052FD8">
        <w:rPr>
          <w:rStyle w:val="FootnoteReference"/>
        </w:rPr>
        <w:footnoteReference w:id="210"/>
      </w:r>
      <w:r w:rsidRPr="00052FD8">
        <w:t xml:space="preserve"> In the juridical model, on the other hand, torture does not emerge where </w:t>
      </w:r>
      <w:r>
        <w:t>‘</w:t>
      </w:r>
      <w:r w:rsidRPr="00052FD8">
        <w:t>normal</w:t>
      </w:r>
      <w:r>
        <w:t>’</w:t>
      </w:r>
      <w:r w:rsidRPr="00052FD8">
        <w:t xml:space="preserve"> law is suspended; it is a product, instead, of the way in which law operates in </w:t>
      </w:r>
      <w:r>
        <w:t>‘</w:t>
      </w:r>
      <w:r w:rsidRPr="00052FD8">
        <w:t>normal</w:t>
      </w:r>
      <w:r>
        <w:t>’</w:t>
      </w:r>
      <w:r w:rsidRPr="00052FD8">
        <w:t xml:space="preserve"> times.</w:t>
      </w:r>
      <w:r w:rsidRPr="00052FD8">
        <w:rPr>
          <w:rStyle w:val="FootnoteReference"/>
        </w:rPr>
        <w:footnoteReference w:id="211"/>
      </w:r>
      <w:r w:rsidRPr="00052FD8">
        <w:t xml:space="preserve"> It is this model, in which </w:t>
      </w:r>
      <w:r>
        <w:t>‘</w:t>
      </w:r>
      <w:r w:rsidRPr="00052FD8">
        <w:t>an enabling legal environment . . . plants the seeds of torture</w:t>
      </w:r>
      <w:r>
        <w:t>’</w:t>
      </w:r>
      <w:r w:rsidRPr="00052FD8">
        <w:t>, which according to Rejali it does primarily through privileging confessions as forms of evidence, that most concerns me in this book.</w:t>
      </w:r>
      <w:r w:rsidRPr="00052FD8">
        <w:rPr>
          <w:rStyle w:val="FootnoteReference"/>
        </w:rPr>
        <w:footnoteReference w:id="212"/>
      </w:r>
      <w:r w:rsidRPr="00052FD8">
        <w:t xml:space="preserve"> </w:t>
      </w:r>
      <w:r w:rsidRPr="00052FD8">
        <w:rPr>
          <w:shd w:val="clear" w:color="auto" w:fill="FFFFFF"/>
        </w:rPr>
        <w:t xml:space="preserve">In this model torture largely operated according to Jeremy Bentham’s unpublished musings as an act in which </w:t>
      </w:r>
      <w:r>
        <w:rPr>
          <w:color w:val="000000"/>
          <w:shd w:val="clear" w:color="auto" w:fill="FFFFFF"/>
        </w:rPr>
        <w:t>‘”</w:t>
      </w:r>
      <w:r w:rsidRPr="00052FD8">
        <w:rPr>
          <w:color w:val="000000"/>
          <w:shd w:val="clear" w:color="auto" w:fill="FFFFFF"/>
        </w:rPr>
        <w:t>a person is made to suffer any violent pain of body in order to compel [them] to do something or to desist from doing something which done or desisted from the penal application is immediately made to cease</w:t>
      </w:r>
      <w:r>
        <w:rPr>
          <w:color w:val="000000"/>
          <w:shd w:val="clear" w:color="auto" w:fill="FFFFFF"/>
        </w:rPr>
        <w:t>”’</w:t>
      </w:r>
      <w:r w:rsidRPr="00052FD8">
        <w:rPr>
          <w:color w:val="000000"/>
          <w:shd w:val="clear" w:color="auto" w:fill="FFFFFF"/>
        </w:rPr>
        <w:t>.</w:t>
      </w:r>
      <w:r w:rsidRPr="00052FD8">
        <w:rPr>
          <w:rStyle w:val="FootnoteReference"/>
          <w:color w:val="000000"/>
          <w:shd w:val="clear" w:color="auto" w:fill="FFFFFF"/>
        </w:rPr>
        <w:footnoteReference w:id="213"/>
      </w:r>
      <w:r w:rsidRPr="00052FD8">
        <w:t xml:space="preserve"> </w:t>
      </w:r>
      <w:r w:rsidRPr="00052FD8">
        <w:rPr>
          <w:shd w:val="clear" w:color="auto" w:fill="FFFFFF"/>
        </w:rPr>
        <w:t xml:space="preserve">For Bentham, writing in the aftermath of the 1798 Irish Rebellion, torture could be </w:t>
      </w:r>
      <w:r w:rsidRPr="00052FD8">
        <w:rPr>
          <w:shd w:val="clear" w:color="auto" w:fill="FFFFFF"/>
        </w:rPr>
        <w:lastRenderedPageBreak/>
        <w:t>justified on utilitarian grounds</w:t>
      </w:r>
      <w:r>
        <w:t>—</w:t>
      </w:r>
      <w:r w:rsidRPr="00052FD8">
        <w:rPr>
          <w:shd w:val="clear" w:color="auto" w:fill="FFFFFF"/>
        </w:rPr>
        <w:t>namely by inducing the victim to disclose information that will benefit society at large</w:t>
      </w:r>
      <w:r>
        <w:t>—</w:t>
      </w:r>
      <w:r w:rsidRPr="00052FD8">
        <w:rPr>
          <w:shd w:val="clear" w:color="auto" w:fill="FFFFFF"/>
        </w:rPr>
        <w:t xml:space="preserve">as a means of dealing with recalcitrant colonial subjects, who in addition to being </w:t>
      </w:r>
      <w:r>
        <w:rPr>
          <w:shd w:val="clear" w:color="auto" w:fill="FFFFFF"/>
        </w:rPr>
        <w:t>‘</w:t>
      </w:r>
      <w:r w:rsidRPr="00052FD8">
        <w:rPr>
          <w:color w:val="000000"/>
          <w:shd w:val="clear" w:color="auto" w:fill="FFFFFF"/>
        </w:rPr>
        <w:t xml:space="preserve">at once . . . </w:t>
      </w:r>
      <w:r>
        <w:rPr>
          <w:color w:val="000000"/>
          <w:shd w:val="clear" w:color="auto" w:fill="FFFFFF"/>
        </w:rPr>
        <w:t>“</w:t>
      </w:r>
      <w:r w:rsidRPr="00052FD8">
        <w:rPr>
          <w:color w:val="000000"/>
          <w:shd w:val="clear" w:color="auto" w:fill="FFFFFF"/>
        </w:rPr>
        <w:t>criminal[s]</w:t>
      </w:r>
      <w:r>
        <w:rPr>
          <w:color w:val="000000"/>
          <w:shd w:val="clear" w:color="auto" w:fill="FFFFFF"/>
        </w:rPr>
        <w:t>”</w:t>
      </w:r>
      <w:r w:rsidRPr="00052FD8">
        <w:rPr>
          <w:color w:val="000000"/>
          <w:shd w:val="clear" w:color="auto" w:fill="FFFFFF"/>
        </w:rPr>
        <w:t xml:space="preserve"> and . . . enemy soldier[s], or rather neither quite one nor the other</w:t>
      </w:r>
      <w:r>
        <w:rPr>
          <w:color w:val="000000"/>
          <w:shd w:val="clear" w:color="auto" w:fill="FFFFFF"/>
        </w:rPr>
        <w:t>’</w:t>
      </w:r>
      <w:r w:rsidRPr="00052FD8">
        <w:rPr>
          <w:color w:val="000000"/>
          <w:shd w:val="clear" w:color="auto" w:fill="FFFFFF"/>
        </w:rPr>
        <w:t xml:space="preserve"> </w:t>
      </w:r>
      <w:r>
        <w:rPr>
          <w:color w:val="000000"/>
          <w:shd w:val="clear" w:color="auto" w:fill="FFFFFF"/>
        </w:rPr>
        <w:t>endeavoured</w:t>
      </w:r>
      <w:r w:rsidRPr="00052FD8">
        <w:rPr>
          <w:color w:val="000000"/>
          <w:shd w:val="clear" w:color="auto" w:fill="FFFFFF"/>
        </w:rPr>
        <w:t xml:space="preserve"> to assume the status of sovereign by declaring themselves</w:t>
      </w:r>
      <w:r w:rsidRPr="00052FD8">
        <w:rPr>
          <w:i/>
          <w:iCs/>
          <w:color w:val="000000"/>
          <w:shd w:val="clear" w:color="auto" w:fill="FFFFFF"/>
        </w:rPr>
        <w:t xml:space="preserve"> </w:t>
      </w:r>
      <w:r w:rsidRPr="00052FD8">
        <w:rPr>
          <w:color w:val="000000"/>
          <w:shd w:val="clear" w:color="auto" w:fill="FFFFFF"/>
        </w:rPr>
        <w:t>an exception to the law</w:t>
      </w:r>
      <w:r w:rsidRPr="00052FD8">
        <w:rPr>
          <w:shd w:val="clear" w:color="auto" w:fill="FFFFFF"/>
        </w:rPr>
        <w:t>.</w:t>
      </w:r>
      <w:r w:rsidRPr="00052FD8">
        <w:rPr>
          <w:rStyle w:val="FootnoteReference"/>
          <w:shd w:val="clear" w:color="auto" w:fill="FFFFFF"/>
        </w:rPr>
        <w:footnoteReference w:id="214"/>
      </w:r>
      <w:r w:rsidRPr="00052FD8">
        <w:rPr>
          <w:shd w:val="clear" w:color="auto" w:fill="FFFFFF"/>
        </w:rPr>
        <w:t xml:space="preserve"> </w:t>
      </w:r>
      <w:r>
        <w:rPr>
          <w:shd w:val="clear" w:color="auto" w:fill="FFFFFF"/>
        </w:rPr>
        <w:t>T</w:t>
      </w:r>
      <w:r w:rsidRPr="00052FD8">
        <w:rPr>
          <w:shd w:val="clear" w:color="auto" w:fill="FFFFFF"/>
        </w:rPr>
        <w:t xml:space="preserve">orture was not legal in colonial India and was rarely explicitly justified, </w:t>
      </w:r>
      <w:r>
        <w:rPr>
          <w:shd w:val="clear" w:color="auto" w:fill="FFFFFF"/>
        </w:rPr>
        <w:t xml:space="preserve">but </w:t>
      </w:r>
      <w:r w:rsidRPr="00052FD8">
        <w:rPr>
          <w:shd w:val="clear" w:color="auto" w:fill="FFFFFF"/>
        </w:rPr>
        <w:t xml:space="preserve">its use was, as we shall see, nonetheless legitimated as a practice of law. Its operation thus </w:t>
      </w:r>
      <w:r>
        <w:rPr>
          <w:shd w:val="clear" w:color="auto" w:fill="FFFFFF"/>
        </w:rPr>
        <w:t>demonstrate</w:t>
      </w:r>
      <w:r w:rsidRPr="00052FD8">
        <w:rPr>
          <w:shd w:val="clear" w:color="auto" w:fill="FFFFFF"/>
        </w:rPr>
        <w:t xml:space="preserve">s the ways in which torture violates the rule of law </w:t>
      </w:r>
      <w:r>
        <w:rPr>
          <w:shd w:val="clear" w:color="auto" w:fill="FFFFFF"/>
        </w:rPr>
        <w:t>while maintaining</w:t>
      </w:r>
      <w:r w:rsidRPr="00052FD8">
        <w:rPr>
          <w:shd w:val="clear" w:color="auto" w:fill="FFFFFF"/>
        </w:rPr>
        <w:t xml:space="preserve"> a connection to the juridical order, since the victim of torture, though deprived of rights in the face of the sovereign power of the state, is nevertheless encapsulated within the state’s notion of order.</w:t>
      </w:r>
      <w:r w:rsidRPr="00052FD8">
        <w:rPr>
          <w:rStyle w:val="FootnoteReference"/>
          <w:shd w:val="clear" w:color="auto" w:fill="FFFFFF"/>
        </w:rPr>
        <w:footnoteReference w:id="215"/>
      </w:r>
      <w:r w:rsidRPr="00052FD8">
        <w:rPr>
          <w:shd w:val="clear" w:color="auto" w:fill="FFFFFF"/>
        </w:rPr>
        <w:t xml:space="preserve"> It is through the institutionali</w:t>
      </w:r>
      <w:r>
        <w:rPr>
          <w:shd w:val="clear" w:color="auto" w:fill="FFFFFF"/>
        </w:rPr>
        <w:t>z</w:t>
      </w:r>
      <w:r w:rsidRPr="00052FD8">
        <w:rPr>
          <w:shd w:val="clear" w:color="auto" w:fill="FFFFFF"/>
        </w:rPr>
        <w:t>ation of torture that the exception</w:t>
      </w:r>
      <w:r>
        <w:rPr>
          <w:shd w:val="clear" w:color="auto" w:fill="FFFFFF"/>
        </w:rPr>
        <w:t xml:space="preserve"> </w:t>
      </w:r>
      <w:r w:rsidRPr="00052FD8">
        <w:rPr>
          <w:shd w:val="clear" w:color="auto" w:fill="FFFFFF"/>
        </w:rPr>
        <w:t>becomes</w:t>
      </w:r>
      <w:r>
        <w:rPr>
          <w:shd w:val="clear" w:color="auto" w:fill="FFFFFF"/>
        </w:rPr>
        <w:t xml:space="preserve">, in addition, </w:t>
      </w:r>
      <w:r w:rsidRPr="00052FD8">
        <w:rPr>
          <w:shd w:val="clear" w:color="auto" w:fill="FFFFFF"/>
        </w:rPr>
        <w:t>normativi</w:t>
      </w:r>
      <w:r>
        <w:rPr>
          <w:shd w:val="clear" w:color="auto" w:fill="FFFFFF"/>
        </w:rPr>
        <w:t>z</w:t>
      </w:r>
      <w:r w:rsidRPr="00052FD8">
        <w:rPr>
          <w:shd w:val="clear" w:color="auto" w:fill="FFFFFF"/>
        </w:rPr>
        <w:t>ed.</w:t>
      </w:r>
      <w:r w:rsidRPr="00052FD8">
        <w:rPr>
          <w:rStyle w:val="FootnoteReference"/>
          <w:shd w:val="clear" w:color="auto" w:fill="FFFFFF"/>
        </w:rPr>
        <w:footnoteReference w:id="216"/>
      </w:r>
      <w:r w:rsidRPr="00052FD8">
        <w:rPr>
          <w:shd w:val="clear" w:color="auto" w:fill="FFFFFF"/>
        </w:rPr>
        <w:t xml:space="preserve"> </w:t>
      </w:r>
    </w:p>
    <w:p w14:paraId="175067C8" w14:textId="77777777" w:rsidR="00997966" w:rsidRPr="00052FD8" w:rsidRDefault="00997966" w:rsidP="00997966">
      <w:pPr>
        <w:spacing w:line="480" w:lineRule="auto"/>
        <w:ind w:firstLine="720"/>
      </w:pPr>
      <w:r w:rsidRPr="00052FD8">
        <w:rPr>
          <w:shd w:val="clear" w:color="auto" w:fill="FFFFFF"/>
        </w:rPr>
        <w:lastRenderedPageBreak/>
        <w:t>But if the act of torture marks the threshold between the inside and the outsid</w:t>
      </w:r>
      <w:r>
        <w:rPr>
          <w:shd w:val="clear" w:color="auto" w:fill="FFFFFF"/>
        </w:rPr>
        <w:t>e, and thus operates</w:t>
      </w:r>
      <w:r w:rsidRPr="00052FD8">
        <w:rPr>
          <w:shd w:val="clear" w:color="auto" w:fill="FFFFFF"/>
        </w:rPr>
        <w:t xml:space="preserve">, to borrow from Giorgio Agamben, </w:t>
      </w:r>
      <w:r>
        <w:rPr>
          <w:shd w:val="clear" w:color="auto" w:fill="FFFFFF"/>
        </w:rPr>
        <w:t xml:space="preserve">as a form </w:t>
      </w:r>
      <w:r w:rsidRPr="00052FD8">
        <w:rPr>
          <w:shd w:val="clear" w:color="auto" w:fill="FFFFFF"/>
        </w:rPr>
        <w:t xml:space="preserve">of </w:t>
      </w:r>
      <w:r>
        <w:rPr>
          <w:shd w:val="clear" w:color="auto" w:fill="FFFFFF"/>
        </w:rPr>
        <w:t>‘</w:t>
      </w:r>
      <w:r w:rsidRPr="00052FD8">
        <w:rPr>
          <w:shd w:val="clear" w:color="auto" w:fill="FFFFFF"/>
        </w:rPr>
        <w:t>inclusive exclusion</w:t>
      </w:r>
      <w:r>
        <w:rPr>
          <w:shd w:val="clear" w:color="auto" w:fill="FFFFFF"/>
        </w:rPr>
        <w:t>’</w:t>
      </w:r>
      <w:r>
        <w:t xml:space="preserve">, </w:t>
      </w:r>
      <w:r w:rsidRPr="00052FD8">
        <w:rPr>
          <w:shd w:val="clear" w:color="auto" w:fill="FFFFFF"/>
        </w:rPr>
        <w:t xml:space="preserve">then it also serves to reduce its victims to what Agamben refers to as </w:t>
      </w:r>
      <w:r>
        <w:rPr>
          <w:shd w:val="clear" w:color="auto" w:fill="FFFFFF"/>
        </w:rPr>
        <w:t>‘</w:t>
      </w:r>
      <w:r w:rsidRPr="00052FD8">
        <w:rPr>
          <w:i/>
          <w:iCs/>
          <w:shd w:val="clear" w:color="auto" w:fill="FFFFFF"/>
        </w:rPr>
        <w:t>homo sacer</w:t>
      </w:r>
      <w:r>
        <w:rPr>
          <w:shd w:val="clear" w:color="auto" w:fill="FFFFFF"/>
        </w:rPr>
        <w:t>’</w:t>
      </w:r>
      <w:r w:rsidRPr="00052FD8">
        <w:rPr>
          <w:shd w:val="clear" w:color="auto" w:fill="FFFFFF"/>
        </w:rPr>
        <w:t xml:space="preserve">, or a form of </w:t>
      </w:r>
      <w:r>
        <w:rPr>
          <w:shd w:val="clear" w:color="auto" w:fill="FFFFFF"/>
        </w:rPr>
        <w:t>‘</w:t>
      </w:r>
      <w:r w:rsidRPr="00052FD8">
        <w:rPr>
          <w:shd w:val="clear" w:color="auto" w:fill="FFFFFF"/>
        </w:rPr>
        <w:t>bare life</w:t>
      </w:r>
      <w:r>
        <w:rPr>
          <w:shd w:val="clear" w:color="auto" w:fill="FFFFFF"/>
        </w:rPr>
        <w:t>’</w:t>
      </w:r>
      <w:r w:rsidRPr="00052FD8">
        <w:rPr>
          <w:shd w:val="clear" w:color="auto" w:fill="FFFFFF"/>
        </w:rPr>
        <w:t>, namely those who are capable of being killed with impunity.</w:t>
      </w:r>
      <w:r w:rsidRPr="00052FD8">
        <w:rPr>
          <w:rStyle w:val="FootnoteReference"/>
          <w:shd w:val="clear" w:color="auto" w:fill="FFFFFF"/>
        </w:rPr>
        <w:footnoteReference w:id="217"/>
      </w:r>
      <w:r w:rsidRPr="00052FD8">
        <w:rPr>
          <w:shd w:val="clear" w:color="auto" w:fill="FFFFFF"/>
        </w:rPr>
        <w:t xml:space="preserve"> In her study of police torture in contemporary India, where approximately 1500 people die in custody each year, Rachel Wahl argues that for the Indian police there are two groups of people: those who they regard as worthy of rights under the law and those who they do not, and who thus, in the </w:t>
      </w:r>
      <w:r w:rsidRPr="00052FD8">
        <w:rPr>
          <w:shd w:val="clear" w:color="auto" w:fill="FFFFFF"/>
        </w:rPr>
        <w:lastRenderedPageBreak/>
        <w:t xml:space="preserve">words of one police officer, </w:t>
      </w:r>
      <w:r>
        <w:rPr>
          <w:shd w:val="clear" w:color="auto" w:fill="FFFFFF"/>
        </w:rPr>
        <w:t>‘”</w:t>
      </w:r>
      <w:r w:rsidRPr="00052FD8">
        <w:rPr>
          <w:shd w:val="clear" w:color="auto" w:fill="FFFFFF"/>
        </w:rPr>
        <w:t>must be eradicated like . . . weeds</w:t>
      </w:r>
      <w:r>
        <w:rPr>
          <w:shd w:val="clear" w:color="auto" w:fill="FFFFFF"/>
        </w:rPr>
        <w:t>”’</w:t>
      </w:r>
      <w:r w:rsidRPr="00052FD8">
        <w:rPr>
          <w:shd w:val="clear" w:color="auto" w:fill="FFFFFF"/>
        </w:rPr>
        <w:t>.</w:t>
      </w:r>
      <w:r w:rsidRPr="00052FD8">
        <w:rPr>
          <w:rStyle w:val="FootnoteReference"/>
          <w:shd w:val="clear" w:color="auto" w:fill="FFFFFF"/>
        </w:rPr>
        <w:footnoteReference w:id="218"/>
      </w:r>
      <w:r w:rsidRPr="00052FD8">
        <w:rPr>
          <w:shd w:val="clear" w:color="auto" w:fill="FFFFFF"/>
        </w:rPr>
        <w:t xml:space="preserve"> Though not couched in the language of rights, the police in colonial India likewise viewed Indian society in terms of </w:t>
      </w:r>
      <w:r>
        <w:rPr>
          <w:shd w:val="clear" w:color="auto" w:fill="FFFFFF"/>
        </w:rPr>
        <w:t>‘”</w:t>
      </w:r>
      <w:r w:rsidRPr="00052FD8">
        <w:rPr>
          <w:shd w:val="clear" w:color="auto" w:fill="FFFFFF"/>
        </w:rPr>
        <w:t>gradations</w:t>
      </w:r>
      <w:r>
        <w:rPr>
          <w:shd w:val="clear" w:color="auto" w:fill="FFFFFF"/>
        </w:rPr>
        <w:t>”’</w:t>
      </w:r>
      <w:r w:rsidRPr="00052FD8">
        <w:rPr>
          <w:shd w:val="clear" w:color="auto" w:fill="FFFFFF"/>
        </w:rPr>
        <w:t>, in which the most marginal members, namely the lower castes and religious minorities, were deemed the most expendable.</w:t>
      </w:r>
      <w:r w:rsidRPr="00052FD8">
        <w:rPr>
          <w:rStyle w:val="FootnoteReference"/>
          <w:shd w:val="clear" w:color="auto" w:fill="FFFFFF"/>
        </w:rPr>
        <w:footnoteReference w:id="219"/>
      </w:r>
      <w:r w:rsidRPr="00052FD8">
        <w:rPr>
          <w:shd w:val="clear" w:color="auto" w:fill="FFFFFF"/>
        </w:rPr>
        <w:t xml:space="preserve"> But as it was largely the lower rungs of the colonial police</w:t>
      </w:r>
      <w:r>
        <w:t>—</w:t>
      </w:r>
      <w:r w:rsidRPr="00052FD8">
        <w:rPr>
          <w:shd w:val="clear" w:color="auto" w:fill="FFFFFF"/>
        </w:rPr>
        <w:t xml:space="preserve">men who, like so many of their victims, were, in the words of former Indian police official T. C. Arthur, kept in such a state of impoverishment that they were little more than </w:t>
      </w:r>
      <w:r>
        <w:rPr>
          <w:shd w:val="clear" w:color="auto" w:fill="FFFFFF"/>
        </w:rPr>
        <w:t>‘</w:t>
      </w:r>
      <w:r w:rsidRPr="00052FD8">
        <w:rPr>
          <w:shd w:val="clear" w:color="auto" w:fill="FFFFFF"/>
        </w:rPr>
        <w:t>shambling scarecrows</w:t>
      </w:r>
      <w:r>
        <w:rPr>
          <w:shd w:val="clear" w:color="auto" w:fill="FFFFFF"/>
        </w:rPr>
        <w:t>’</w:t>
      </w:r>
      <w:r>
        <w:t>—</w:t>
      </w:r>
      <w:r w:rsidRPr="00052FD8">
        <w:rPr>
          <w:shd w:val="clear" w:color="auto" w:fill="FFFFFF"/>
        </w:rPr>
        <w:t xml:space="preserve">who enacted torture and the police, like the torturer (for our purposes largely one and the same) are both inside and outside the field of sovereign </w:t>
      </w:r>
      <w:r w:rsidRPr="00052FD8">
        <w:rPr>
          <w:shd w:val="clear" w:color="auto" w:fill="FFFFFF"/>
        </w:rPr>
        <w:lastRenderedPageBreak/>
        <w:t xml:space="preserve">decision, then </w:t>
      </w:r>
      <w:r>
        <w:rPr>
          <w:shd w:val="clear" w:color="auto" w:fill="FFFFFF"/>
        </w:rPr>
        <w:t>‘</w:t>
      </w:r>
      <w:r w:rsidRPr="00052FD8">
        <w:rPr>
          <w:shd w:val="clear" w:color="auto" w:fill="FFFFFF"/>
        </w:rPr>
        <w:t>victims</w:t>
      </w:r>
      <w:r>
        <w:rPr>
          <w:shd w:val="clear" w:color="auto" w:fill="FFFFFF"/>
        </w:rPr>
        <w:t>’</w:t>
      </w:r>
      <w:r w:rsidRPr="00052FD8">
        <w:rPr>
          <w:shd w:val="clear" w:color="auto" w:fill="FFFFFF"/>
        </w:rPr>
        <w:t xml:space="preserve"> and </w:t>
      </w:r>
      <w:r>
        <w:rPr>
          <w:shd w:val="clear" w:color="auto" w:fill="FFFFFF"/>
        </w:rPr>
        <w:t>‘</w:t>
      </w:r>
      <w:r w:rsidRPr="00052FD8">
        <w:rPr>
          <w:shd w:val="clear" w:color="auto" w:fill="FFFFFF"/>
        </w:rPr>
        <w:t>perpetrators</w:t>
      </w:r>
      <w:r>
        <w:rPr>
          <w:shd w:val="clear" w:color="auto" w:fill="FFFFFF"/>
        </w:rPr>
        <w:t>’</w:t>
      </w:r>
      <w:r w:rsidRPr="00052FD8">
        <w:rPr>
          <w:shd w:val="clear" w:color="auto" w:fill="FFFFFF"/>
        </w:rPr>
        <w:t xml:space="preserve"> were not immutable categories in colonial India.</w:t>
      </w:r>
      <w:r w:rsidRPr="00052FD8">
        <w:rPr>
          <w:rStyle w:val="FootnoteReference"/>
          <w:shd w:val="clear" w:color="auto" w:fill="FFFFFF"/>
        </w:rPr>
        <w:footnoteReference w:id="220"/>
      </w:r>
      <w:r w:rsidRPr="00052FD8">
        <w:rPr>
          <w:shd w:val="clear" w:color="auto" w:fill="FFFFFF"/>
        </w:rPr>
        <w:t xml:space="preserve"> As in the case of the estimated 5,000 subordinate police who were </w:t>
      </w:r>
      <w:r>
        <w:rPr>
          <w:shd w:val="clear" w:color="auto" w:fill="FFFFFF"/>
        </w:rPr>
        <w:t>‘</w:t>
      </w:r>
      <w:r w:rsidRPr="00052FD8">
        <w:rPr>
          <w:shd w:val="clear" w:color="auto" w:fill="FFFFFF"/>
        </w:rPr>
        <w:t>sent adrift</w:t>
      </w:r>
      <w:r>
        <w:rPr>
          <w:shd w:val="clear" w:color="auto" w:fill="FFFFFF"/>
        </w:rPr>
        <w:t>’</w:t>
      </w:r>
      <w:r w:rsidRPr="00052FD8">
        <w:rPr>
          <w:shd w:val="clear" w:color="auto" w:fill="FFFFFF"/>
        </w:rPr>
        <w:t xml:space="preserve"> during </w:t>
      </w:r>
      <w:r w:rsidRPr="00052FD8">
        <w:t>a famine as part of an attempt to reduce police expenditure</w:t>
      </w:r>
      <w:r>
        <w:t>—</w:t>
      </w:r>
      <w:r w:rsidRPr="00052FD8">
        <w:t>or, doubtless, some of the one</w:t>
      </w:r>
      <w:r>
        <w:t>-</w:t>
      </w:r>
      <w:r w:rsidRPr="00052FD8">
        <w:t xml:space="preserve">third of the entire police force of the province of Bengal who were, in any given year, deemed </w:t>
      </w:r>
      <w:r>
        <w:t>‘</w:t>
      </w:r>
      <w:r w:rsidRPr="00052FD8">
        <w:t>unfit</w:t>
      </w:r>
      <w:r>
        <w:t>’</w:t>
      </w:r>
      <w:r w:rsidRPr="00052FD8">
        <w:t xml:space="preserve"> for service</w:t>
      </w:r>
      <w:r>
        <w:t>—</w:t>
      </w:r>
      <w:r w:rsidRPr="00052FD8">
        <w:t xml:space="preserve">the colonial regime’s violence workers, like their victims, could be rendered </w:t>
      </w:r>
      <w:r w:rsidRPr="00052FD8">
        <w:rPr>
          <w:i/>
          <w:iCs/>
        </w:rPr>
        <w:t>homo sacer</w:t>
      </w:r>
      <w:r w:rsidRPr="00052FD8">
        <w:rPr>
          <w:shd w:val="clear" w:color="auto" w:fill="FFFFFF"/>
        </w:rPr>
        <w:t>.</w:t>
      </w:r>
      <w:r w:rsidRPr="00052FD8">
        <w:rPr>
          <w:rStyle w:val="FootnoteReference"/>
          <w:shd w:val="clear" w:color="auto" w:fill="FFFFFF"/>
        </w:rPr>
        <w:footnoteReference w:id="221"/>
      </w:r>
    </w:p>
    <w:p w14:paraId="02AA1EC7" w14:textId="77777777" w:rsidR="00997966" w:rsidRPr="00052FD8" w:rsidRDefault="00997966" w:rsidP="00997966">
      <w:pPr>
        <w:spacing w:line="480" w:lineRule="auto"/>
        <w:ind w:firstLine="720"/>
        <w:rPr>
          <w:shd w:val="clear" w:color="auto" w:fill="FFFFFF"/>
        </w:rPr>
      </w:pPr>
      <w:r w:rsidRPr="00052FD8">
        <w:rPr>
          <w:shd w:val="clear" w:color="auto" w:fill="FFFFFF"/>
        </w:rPr>
        <w:lastRenderedPageBreak/>
        <w:t>They were not expendable, however, as a means of eradicating torture, since few police officers were sentenced to death for committing torture in colonial India, even when torture resulted in the demise of the victim. Abolishing torture was no more an aim of the British colonial state in India than was the eradication of corruption in light of the role of both in constructing the state’s sovereignty.</w:t>
      </w:r>
      <w:r w:rsidRPr="00052FD8">
        <w:rPr>
          <w:rStyle w:val="FootnoteReference"/>
          <w:shd w:val="clear" w:color="auto" w:fill="FFFFFF"/>
        </w:rPr>
        <w:footnoteReference w:id="222"/>
      </w:r>
      <w:r w:rsidRPr="00052FD8">
        <w:rPr>
          <w:shd w:val="clear" w:color="auto" w:fill="FFFFFF"/>
        </w:rPr>
        <w:t xml:space="preserve"> What made the subordinate police expendable, </w:t>
      </w:r>
      <w:r w:rsidRPr="00052FD8">
        <w:rPr>
          <w:shd w:val="clear" w:color="auto" w:fill="FFFFFF"/>
        </w:rPr>
        <w:lastRenderedPageBreak/>
        <w:t>instead, was the role the state’s disciplining of them played in such construction. For the problem for the colonial regime was that the security value of the Indian police resided not only in their oppressive or disciplinary functions but in their value as informants.</w:t>
      </w:r>
      <w:r w:rsidRPr="00052FD8">
        <w:rPr>
          <w:rStyle w:val="FootnoteReference"/>
          <w:shd w:val="clear" w:color="auto" w:fill="FFFFFF"/>
        </w:rPr>
        <w:footnoteReference w:id="223"/>
      </w:r>
      <w:r w:rsidRPr="00052FD8">
        <w:rPr>
          <w:shd w:val="clear" w:color="auto" w:fill="FFFFFF"/>
        </w:rPr>
        <w:t xml:space="preserve"> As an occupying force such a regime was reliant, as numerous scholars have demonstrated, on information</w:t>
      </w:r>
      <w:r>
        <w:t>—</w:t>
      </w:r>
      <w:r w:rsidRPr="00052FD8">
        <w:rPr>
          <w:shd w:val="clear" w:color="auto" w:fill="FFFFFF"/>
        </w:rPr>
        <w:t>on, in particular, the function of the police as intermediaries between the state and society.</w:t>
      </w:r>
      <w:r w:rsidRPr="00052FD8">
        <w:rPr>
          <w:rStyle w:val="FootnoteReference"/>
          <w:shd w:val="clear" w:color="auto" w:fill="FFFFFF"/>
        </w:rPr>
        <w:footnoteReference w:id="224"/>
      </w:r>
      <w:r w:rsidRPr="00052FD8">
        <w:rPr>
          <w:shd w:val="clear" w:color="auto" w:fill="FFFFFF"/>
        </w:rPr>
        <w:t xml:space="preserve"> As a security tool their use therefore had to be finely calibrated since they posed a threat to the colonial regime if they were given either too </w:t>
      </w:r>
      <w:r w:rsidRPr="00052FD8">
        <w:rPr>
          <w:i/>
          <w:iCs/>
          <w:shd w:val="clear" w:color="auto" w:fill="FFFFFF"/>
        </w:rPr>
        <w:t>little</w:t>
      </w:r>
      <w:r w:rsidRPr="00052FD8">
        <w:rPr>
          <w:shd w:val="clear" w:color="auto" w:fill="FFFFFF"/>
        </w:rPr>
        <w:t xml:space="preserve"> or too </w:t>
      </w:r>
      <w:r w:rsidRPr="00052FD8">
        <w:rPr>
          <w:i/>
          <w:iCs/>
          <w:shd w:val="clear" w:color="auto" w:fill="FFFFFF"/>
        </w:rPr>
        <w:t xml:space="preserve">much </w:t>
      </w:r>
      <w:r w:rsidRPr="00052FD8">
        <w:rPr>
          <w:shd w:val="clear" w:color="auto" w:fill="FFFFFF"/>
        </w:rPr>
        <w:t xml:space="preserve">free reign. The colonial state’s sovereignty, then, was constructed as much through </w:t>
      </w:r>
      <w:r w:rsidRPr="00052FD8">
        <w:rPr>
          <w:i/>
          <w:iCs/>
          <w:shd w:val="clear" w:color="auto" w:fill="FFFFFF"/>
        </w:rPr>
        <w:t>reining in</w:t>
      </w:r>
      <w:r w:rsidRPr="00052FD8">
        <w:rPr>
          <w:shd w:val="clear" w:color="auto" w:fill="FFFFFF"/>
        </w:rPr>
        <w:t xml:space="preserve"> the Indian police, of disciplining them, as it was through giving them free reign.</w:t>
      </w:r>
      <w:r w:rsidRPr="00052FD8">
        <w:rPr>
          <w:rStyle w:val="FootnoteReference"/>
          <w:shd w:val="clear" w:color="auto" w:fill="FFFFFF"/>
        </w:rPr>
        <w:footnoteReference w:id="225"/>
      </w:r>
      <w:r w:rsidRPr="00052FD8">
        <w:rPr>
          <w:shd w:val="clear" w:color="auto" w:fill="FFFFFF"/>
        </w:rPr>
        <w:t xml:space="preserve"> As such the colonial regime had no need to improve the dire condition of its subordinate police; such a condition </w:t>
      </w:r>
      <w:r w:rsidRPr="00052FD8">
        <w:rPr>
          <w:shd w:val="clear" w:color="auto" w:fill="FFFFFF"/>
        </w:rPr>
        <w:lastRenderedPageBreak/>
        <w:t>instead made it possible for it to displace blame for the violence on which it depended on coloni</w:t>
      </w:r>
      <w:r>
        <w:rPr>
          <w:shd w:val="clear" w:color="auto" w:fill="FFFFFF"/>
        </w:rPr>
        <w:t>z</w:t>
      </w:r>
      <w:r w:rsidRPr="00052FD8">
        <w:rPr>
          <w:shd w:val="clear" w:color="auto" w:fill="FFFFFF"/>
        </w:rPr>
        <w:t>ed men who were as much victims of such violence as perpetrators of it.</w:t>
      </w:r>
      <w:r w:rsidRPr="00052FD8">
        <w:rPr>
          <w:rStyle w:val="FootnoteReference"/>
          <w:shd w:val="clear" w:color="auto" w:fill="FFFFFF"/>
        </w:rPr>
        <w:footnoteReference w:id="226"/>
      </w:r>
    </w:p>
    <w:p w14:paraId="536B77D5" w14:textId="77777777" w:rsidR="00997966" w:rsidRPr="00052FD8" w:rsidRDefault="00997966" w:rsidP="00997966">
      <w:pPr>
        <w:spacing w:line="480" w:lineRule="auto"/>
        <w:ind w:firstLine="720"/>
        <w:rPr>
          <w:shd w:val="clear" w:color="auto" w:fill="FFFFFF"/>
        </w:rPr>
      </w:pPr>
      <w:r w:rsidRPr="00052FD8">
        <w:rPr>
          <w:shd w:val="clear" w:color="auto" w:fill="FFFFFF"/>
        </w:rPr>
        <w:t>When it came to torture, therefore, it was only when the colonial regime’s demand or expectation for the police to enact it became too obvious</w:t>
      </w:r>
      <w:r>
        <w:t>—</w:t>
      </w:r>
      <w:r w:rsidRPr="00052FD8">
        <w:rPr>
          <w:shd w:val="clear" w:color="auto" w:fill="FFFFFF"/>
        </w:rPr>
        <w:t>when it</w:t>
      </w:r>
      <w:r>
        <w:rPr>
          <w:shd w:val="clear" w:color="auto" w:fill="FFFFFF"/>
        </w:rPr>
        <w:t xml:space="preserve"> erupted,</w:t>
      </w:r>
      <w:r w:rsidRPr="00052FD8">
        <w:rPr>
          <w:shd w:val="clear" w:color="auto" w:fill="FFFFFF"/>
        </w:rPr>
        <w:t xml:space="preserve"> in other words</w:t>
      </w:r>
      <w:r>
        <w:rPr>
          <w:shd w:val="clear" w:color="auto" w:fill="FFFFFF"/>
        </w:rPr>
        <w:t>,</w:t>
      </w:r>
      <w:r w:rsidRPr="00052FD8">
        <w:rPr>
          <w:shd w:val="clear" w:color="auto" w:fill="FFFFFF"/>
        </w:rPr>
        <w:t xml:space="preserve"> into scandal</w:t>
      </w:r>
      <w:r>
        <w:t>—</w:t>
      </w:r>
      <w:r w:rsidRPr="00052FD8">
        <w:rPr>
          <w:shd w:val="clear" w:color="auto" w:fill="FFFFFF"/>
        </w:rPr>
        <w:t>that the state made ostensible attempts to eradicate it as a policing practice.</w:t>
      </w:r>
      <w:r w:rsidRPr="00052FD8">
        <w:rPr>
          <w:rStyle w:val="FootnoteReference"/>
        </w:rPr>
        <w:footnoteReference w:id="227"/>
      </w:r>
      <w:r w:rsidRPr="00052FD8">
        <w:rPr>
          <w:shd w:val="clear" w:color="auto" w:fill="FFFFFF"/>
        </w:rPr>
        <w:t xml:space="preserve"> </w:t>
      </w:r>
      <w:r w:rsidRPr="00052FD8">
        <w:rPr>
          <w:color w:val="000000"/>
        </w:rPr>
        <w:t xml:space="preserve">According to Nicholas Dirks, </w:t>
      </w:r>
      <w:r w:rsidRPr="00052FD8">
        <w:t xml:space="preserve">no imperial ambition can ever be divorced from scandal since scandal is, ultimately, </w:t>
      </w:r>
      <w:r>
        <w:t>‘</w:t>
      </w:r>
      <w:r w:rsidRPr="00052FD8">
        <w:t>what empire is all about</w:t>
      </w:r>
      <w:r>
        <w:t>’</w:t>
      </w:r>
      <w:r w:rsidRPr="00052FD8">
        <w:t>.</w:t>
      </w:r>
      <w:r w:rsidRPr="00052FD8">
        <w:rPr>
          <w:rStyle w:val="FootnoteReference"/>
        </w:rPr>
        <w:footnoteReference w:id="228"/>
      </w:r>
      <w:r w:rsidRPr="00052FD8">
        <w:t xml:space="preserve">. But rather than undermining empire, </w:t>
      </w:r>
      <w:r w:rsidRPr="00052FD8">
        <w:rPr>
          <w:color w:val="000000"/>
        </w:rPr>
        <w:t xml:space="preserve">such </w:t>
      </w:r>
      <w:r w:rsidRPr="00052FD8">
        <w:t xml:space="preserve">scandals </w:t>
      </w:r>
      <w:r>
        <w:t>‘</w:t>
      </w:r>
      <w:r w:rsidRPr="00052FD8">
        <w:t>become ritual moments in which the sacrifice of the reputation of one or more individuals allows many more to continue their scandalous ways</w:t>
      </w:r>
      <w:r>
        <w:t>’</w:t>
      </w:r>
      <w:r w:rsidRPr="00052FD8">
        <w:t>.</w:t>
      </w:r>
      <w:r w:rsidRPr="00052FD8">
        <w:rPr>
          <w:rStyle w:val="FootnoteReference"/>
        </w:rPr>
        <w:footnoteReference w:id="229"/>
      </w:r>
      <w:r w:rsidRPr="00052FD8">
        <w:t xml:space="preserve"> As Dirks argues, what must be erased is</w:t>
      </w:r>
      <w:r>
        <w:t xml:space="preserve"> </w:t>
      </w:r>
      <w:r w:rsidRPr="00052FD8">
        <w:t>not the underlying systemic causes of scandal but the scandal itself. W</w:t>
      </w:r>
      <w:r w:rsidRPr="00052FD8">
        <w:rPr>
          <w:color w:val="000000"/>
        </w:rPr>
        <w:t xml:space="preserve">hen it comes to empire, scandalous revelations about transgressions of the rule of law simply serve, </w:t>
      </w:r>
      <w:r w:rsidRPr="00052FD8">
        <w:rPr>
          <w:color w:val="000000"/>
        </w:rPr>
        <w:lastRenderedPageBreak/>
        <w:t>therefore, to ensure the re</w:t>
      </w:r>
      <w:r>
        <w:rPr>
          <w:color w:val="000000"/>
        </w:rPr>
        <w:t>-</w:t>
      </w:r>
      <w:r w:rsidRPr="00052FD8">
        <w:rPr>
          <w:color w:val="000000"/>
        </w:rPr>
        <w:t>legitimi</w:t>
      </w:r>
      <w:r>
        <w:rPr>
          <w:color w:val="000000"/>
        </w:rPr>
        <w:t>z</w:t>
      </w:r>
      <w:r w:rsidRPr="00052FD8">
        <w:rPr>
          <w:color w:val="000000"/>
        </w:rPr>
        <w:t>ation of existing norms while making empire appear to be a natural expansion of the sovereignty of the conquering power.</w:t>
      </w:r>
      <w:r w:rsidRPr="00052FD8">
        <w:rPr>
          <w:rStyle w:val="FootnoteReference"/>
          <w:color w:val="000000"/>
        </w:rPr>
        <w:footnoteReference w:id="230"/>
      </w:r>
      <w:r w:rsidRPr="00052FD8">
        <w:rPr>
          <w:color w:val="000000"/>
        </w:rPr>
        <w:t xml:space="preserve"> </w:t>
      </w:r>
    </w:p>
    <w:p w14:paraId="5CE1016B" w14:textId="77777777" w:rsidR="00997966" w:rsidRDefault="00997966" w:rsidP="00997966">
      <w:pPr>
        <w:spacing w:line="480" w:lineRule="auto"/>
        <w:ind w:firstLine="720"/>
      </w:pPr>
      <w:r w:rsidRPr="00052FD8">
        <w:t>Since institutionali</w:t>
      </w:r>
      <w:r>
        <w:t>z</w:t>
      </w:r>
      <w:r w:rsidRPr="00052FD8">
        <w:t xml:space="preserve">ed torture operates as a form of terror, one that seeks to infiltrate the </w:t>
      </w:r>
      <w:r>
        <w:t>‘</w:t>
      </w:r>
      <w:r w:rsidRPr="00052FD8">
        <w:t>life</w:t>
      </w:r>
      <w:r>
        <w:t>-</w:t>
      </w:r>
      <w:r w:rsidRPr="00052FD8">
        <w:t>worlds</w:t>
      </w:r>
      <w:r>
        <w:t>’</w:t>
      </w:r>
      <w:r w:rsidRPr="00052FD8">
        <w:t xml:space="preserve"> of the peoples who are subjected to it,</w:t>
      </w:r>
      <w:r w:rsidRPr="00052FD8">
        <w:rPr>
          <w:color w:val="000000"/>
        </w:rPr>
        <w:t xml:space="preserve"> the eruption of torture into</w:t>
      </w:r>
      <w:r w:rsidRPr="00052FD8">
        <w:rPr>
          <w:shd w:val="clear" w:color="auto" w:fill="FFFFFF"/>
        </w:rPr>
        <w:t xml:space="preserve"> scandal did nothing, therefore, to undermine the reliance of the British colonial regime in India on the terror perpetrated by the police, or the power of police </w:t>
      </w:r>
      <w:r w:rsidRPr="00052FD8">
        <w:rPr>
          <w:i/>
          <w:iCs/>
          <w:shd w:val="clear" w:color="auto" w:fill="FFFFFF"/>
        </w:rPr>
        <w:t xml:space="preserve">thanas </w:t>
      </w:r>
      <w:r w:rsidRPr="00052FD8">
        <w:rPr>
          <w:shd w:val="clear" w:color="auto" w:fill="FFFFFF"/>
        </w:rPr>
        <w:t xml:space="preserve">(stations) </w:t>
      </w:r>
      <w:r>
        <w:rPr>
          <w:shd w:val="clear" w:color="auto" w:fill="FFFFFF"/>
        </w:rPr>
        <w:t>‘</w:t>
      </w:r>
      <w:r w:rsidRPr="00052FD8">
        <w:rPr>
          <w:shd w:val="clear" w:color="auto" w:fill="FFFFFF"/>
        </w:rPr>
        <w:t>to</w:t>
      </w:r>
      <w:r w:rsidRPr="00052FD8">
        <w:t xml:space="preserve"> symbolise the authority, the primary unit of the alleged </w:t>
      </w:r>
      <w:r>
        <w:t>“</w:t>
      </w:r>
      <w:r w:rsidRPr="00052FD8">
        <w:t>Rule of Law</w:t>
      </w:r>
      <w:r>
        <w:t>”</w:t>
      </w:r>
      <w:r w:rsidRPr="00052FD8">
        <w:t>, its attendant terror and the exploitative nature of . . . alien rule.</w:t>
      </w:r>
      <w:r>
        <w:t>’</w:t>
      </w:r>
      <w:r w:rsidRPr="00052FD8">
        <w:rPr>
          <w:rStyle w:val="FootnoteReference"/>
        </w:rPr>
        <w:footnoteReference w:id="231"/>
      </w:r>
      <w:r w:rsidRPr="00052FD8">
        <w:t xml:space="preserve"> This was inevitable in light both of the salutary role that </w:t>
      </w:r>
      <w:r>
        <w:t>‘”</w:t>
      </w:r>
      <w:r w:rsidRPr="00052FD8">
        <w:t>a proper degree of terror</w:t>
      </w:r>
      <w:r>
        <w:t>”’</w:t>
      </w:r>
      <w:r w:rsidRPr="00052FD8">
        <w:t xml:space="preserve"> was regarded as having in the governance of coloni</w:t>
      </w:r>
      <w:r>
        <w:t>z</w:t>
      </w:r>
      <w:r w:rsidRPr="00052FD8">
        <w:t xml:space="preserve">ed peoples, and because torture operated as a form of </w:t>
      </w:r>
      <w:r w:rsidRPr="00052FD8">
        <w:rPr>
          <w:i/>
          <w:iCs/>
        </w:rPr>
        <w:t>collective</w:t>
      </w:r>
      <w:r w:rsidRPr="00052FD8">
        <w:t xml:space="preserve"> disciplining.</w:t>
      </w:r>
      <w:r w:rsidRPr="00052FD8">
        <w:rPr>
          <w:rStyle w:val="FootnoteReference"/>
        </w:rPr>
        <w:footnoteReference w:id="232"/>
      </w:r>
      <w:r w:rsidRPr="00052FD8">
        <w:t xml:space="preserve"> </w:t>
      </w:r>
      <w:r>
        <w:t>While m</w:t>
      </w:r>
      <w:r w:rsidRPr="00052FD8">
        <w:t>any scholars have noted the reliance of colonial regimes on terror during times of crisis</w:t>
      </w:r>
      <w:r>
        <w:t xml:space="preserve"> w</w:t>
      </w:r>
      <w:r w:rsidRPr="00052FD8">
        <w:t xml:space="preserve">hat I am suggesting in </w:t>
      </w:r>
      <w:r w:rsidRPr="00052FD8">
        <w:rPr>
          <w:i/>
          <w:iCs/>
        </w:rPr>
        <w:t>Colonial Terror</w:t>
      </w:r>
      <w:r w:rsidRPr="00052FD8">
        <w:t xml:space="preserve">, </w:t>
      </w:r>
      <w:r>
        <w:t>therefore</w:t>
      </w:r>
      <w:r w:rsidRPr="00052FD8">
        <w:t xml:space="preserve">, is that </w:t>
      </w:r>
      <w:r>
        <w:t>terror</w:t>
      </w:r>
      <w:r w:rsidRPr="00052FD8">
        <w:t xml:space="preserve"> was central to the operation of colonial systems of rule.</w:t>
      </w:r>
    </w:p>
    <w:p w14:paraId="3F004AF3" w14:textId="77777777" w:rsidR="00997966" w:rsidRDefault="00997966" w:rsidP="00997966">
      <w:pPr>
        <w:spacing w:line="480" w:lineRule="auto"/>
        <w:ind w:firstLine="720"/>
      </w:pPr>
    </w:p>
    <w:p w14:paraId="09482765" w14:textId="77777777" w:rsidR="00997966" w:rsidRPr="00935451" w:rsidRDefault="00997966" w:rsidP="00997966">
      <w:pPr>
        <w:spacing w:line="480" w:lineRule="auto"/>
      </w:pPr>
      <w:r w:rsidRPr="00935451">
        <w:rPr>
          <w:b/>
        </w:rPr>
        <w:t>Colonial Terror</w:t>
      </w:r>
    </w:p>
    <w:p w14:paraId="301BFC5F" w14:textId="77777777" w:rsidR="00997966" w:rsidRDefault="00997966" w:rsidP="00997966">
      <w:pPr>
        <w:spacing w:line="480" w:lineRule="auto"/>
        <w:ind w:firstLine="720"/>
      </w:pPr>
    </w:p>
    <w:p w14:paraId="3CADA892" w14:textId="77777777" w:rsidR="00997966" w:rsidRPr="00052FD8" w:rsidRDefault="00997966" w:rsidP="00997966">
      <w:pPr>
        <w:spacing w:line="480" w:lineRule="auto"/>
        <w:ind w:firstLine="720"/>
      </w:pPr>
      <w:r w:rsidRPr="00052FD8">
        <w:rPr>
          <w:i/>
          <w:iCs/>
        </w:rPr>
        <w:t xml:space="preserve">Colonial Terror </w:t>
      </w:r>
      <w:r w:rsidRPr="00052FD8">
        <w:t xml:space="preserve">begins, however, not with torture or terror but with a reconsideration of the nature of colonial violence, since as I argue in Chapter One, </w:t>
      </w:r>
      <w:r>
        <w:t>‘</w:t>
      </w:r>
      <w:r w:rsidRPr="00052FD8">
        <w:t>Violence, the Exception and Bare Life</w:t>
      </w:r>
      <w:r>
        <w:t>’</w:t>
      </w:r>
      <w:r w:rsidRPr="00052FD8">
        <w:t xml:space="preserve">, rather than being an aberrant act of violence </w:t>
      </w:r>
      <w:r>
        <w:t xml:space="preserve">police </w:t>
      </w:r>
      <w:r w:rsidRPr="00052FD8">
        <w:t>torture</w:t>
      </w:r>
      <w:r>
        <w:t xml:space="preserve"> in colonial India</w:t>
      </w:r>
      <w:r w:rsidRPr="00052FD8">
        <w:t xml:space="preserve"> was instead simply a visible m</w:t>
      </w:r>
      <w:r w:rsidRPr="00052FD8">
        <w:rPr>
          <w:color w:val="000000"/>
        </w:rPr>
        <w:t>anifestation of a much broader history of quotidian, structural</w:t>
      </w:r>
      <w:r>
        <w:rPr>
          <w:color w:val="000000"/>
        </w:rPr>
        <w:t>,</w:t>
      </w:r>
      <w:r w:rsidRPr="00052FD8">
        <w:rPr>
          <w:color w:val="000000"/>
        </w:rPr>
        <w:t xml:space="preserve"> and </w:t>
      </w:r>
      <w:r>
        <w:rPr>
          <w:color w:val="000000"/>
        </w:rPr>
        <w:t>‘</w:t>
      </w:r>
      <w:r w:rsidRPr="00052FD8">
        <w:rPr>
          <w:color w:val="000000"/>
        </w:rPr>
        <w:t>civili</w:t>
      </w:r>
      <w:r>
        <w:rPr>
          <w:color w:val="000000"/>
        </w:rPr>
        <w:t>z</w:t>
      </w:r>
      <w:r w:rsidRPr="00052FD8">
        <w:rPr>
          <w:color w:val="000000"/>
        </w:rPr>
        <w:t>ing</w:t>
      </w:r>
      <w:r>
        <w:rPr>
          <w:color w:val="000000"/>
        </w:rPr>
        <w:t>’</w:t>
      </w:r>
      <w:r w:rsidRPr="00052FD8">
        <w:rPr>
          <w:color w:val="000000"/>
        </w:rPr>
        <w:t xml:space="preserve"> violence</w:t>
      </w:r>
      <w:r w:rsidRPr="00052FD8">
        <w:t xml:space="preserve">. Such </w:t>
      </w:r>
      <w:r>
        <w:t>forms</w:t>
      </w:r>
      <w:r w:rsidRPr="00052FD8">
        <w:t xml:space="preserve"> of violence, the chapter suggests, </w:t>
      </w:r>
      <w:proofErr w:type="gramStart"/>
      <w:r w:rsidRPr="00052FD8">
        <w:t>ruptured</w:t>
      </w:r>
      <w:proofErr w:type="gramEnd"/>
      <w:r w:rsidRPr="00052FD8">
        <w:t xml:space="preserve"> </w:t>
      </w:r>
      <w:r>
        <w:t xml:space="preserve">and unmade </w:t>
      </w:r>
      <w:r w:rsidRPr="00052FD8">
        <w:t>the world of the coloni</w:t>
      </w:r>
      <w:r>
        <w:t>z</w:t>
      </w:r>
      <w:r w:rsidRPr="00052FD8">
        <w:t>ed, who in turn resorted to violence as a means of world</w:t>
      </w:r>
      <w:r>
        <w:t>-</w:t>
      </w:r>
      <w:r w:rsidRPr="00052FD8">
        <w:t>making or re</w:t>
      </w:r>
      <w:r>
        <w:t>-</w:t>
      </w:r>
      <w:r w:rsidRPr="00052FD8">
        <w:t xml:space="preserve">worlding. The chapter </w:t>
      </w:r>
      <w:r>
        <w:t>examines, in addition,</w:t>
      </w:r>
      <w:r w:rsidRPr="00052FD8">
        <w:t xml:space="preserve"> how violence operated in relation to the exception </w:t>
      </w:r>
      <w:r w:rsidRPr="00052FD8">
        <w:rPr>
          <w:color w:val="000000"/>
        </w:rPr>
        <w:t>through engaging with both Giorgio Agamben’s work on states of exception and Foucault’s insights on governmentality</w:t>
      </w:r>
      <w:r>
        <w:rPr>
          <w:color w:val="000000"/>
        </w:rPr>
        <w:t>, and argues that</w:t>
      </w:r>
      <w:r w:rsidRPr="00052FD8">
        <w:rPr>
          <w:color w:val="000000"/>
        </w:rPr>
        <w:t xml:space="preserve"> two levels of exceptionality were in operation in contexts such as colonial India that essentially rendered them regimes of exception in which </w:t>
      </w:r>
      <w:r w:rsidRPr="00052FD8">
        <w:rPr>
          <w:bCs/>
        </w:rPr>
        <w:t>much of the coloni</w:t>
      </w:r>
      <w:r>
        <w:rPr>
          <w:bCs/>
        </w:rPr>
        <w:t>z</w:t>
      </w:r>
      <w:r w:rsidRPr="00052FD8">
        <w:rPr>
          <w:bCs/>
        </w:rPr>
        <w:t xml:space="preserve">ed population was </w:t>
      </w:r>
      <w:r>
        <w:rPr>
          <w:bCs/>
        </w:rPr>
        <w:t xml:space="preserve">rendered </w:t>
      </w:r>
      <w:r>
        <w:rPr>
          <w:bCs/>
          <w:i/>
          <w:iCs/>
        </w:rPr>
        <w:t>homo sacer</w:t>
      </w:r>
      <w:r w:rsidRPr="00052FD8">
        <w:rPr>
          <w:bCs/>
        </w:rPr>
        <w:t>.</w:t>
      </w:r>
    </w:p>
    <w:p w14:paraId="6D28BDA1" w14:textId="77777777" w:rsidR="00997966" w:rsidRPr="00052FD8" w:rsidRDefault="00997966" w:rsidP="00997966">
      <w:pPr>
        <w:spacing w:line="480" w:lineRule="auto"/>
        <w:ind w:firstLine="720"/>
        <w:contextualSpacing/>
      </w:pPr>
      <w:r w:rsidRPr="00052FD8">
        <w:t xml:space="preserve">Chapter Two, </w:t>
      </w:r>
      <w:r>
        <w:t>‘</w:t>
      </w:r>
      <w:r w:rsidRPr="00052FD8">
        <w:t>The Facilitators I: Policing</w:t>
      </w:r>
      <w:r>
        <w:t>’</w:t>
      </w:r>
      <w:r w:rsidRPr="00052FD8">
        <w:t>, focuses on the role of atrocity facilitators, particularly colonial officials and the British government, in the governmentali</w:t>
      </w:r>
      <w:r>
        <w:t>z</w:t>
      </w:r>
      <w:r w:rsidRPr="00052FD8">
        <w:t>ation of torture by the police and other officials in colonial India, and examines the ways in which, following the transfer of India’s governance from the East India Company to the Crown in 1858, the extra</w:t>
      </w:r>
      <w:r>
        <w:t>-</w:t>
      </w:r>
      <w:r w:rsidRPr="00052FD8">
        <w:t>legal violence of torture became systemati</w:t>
      </w:r>
      <w:r>
        <w:t>z</w:t>
      </w:r>
      <w:r w:rsidRPr="00052FD8">
        <w:t xml:space="preserve">ed in India as a technology of colonial rule. Beginning with an analysis of what led to the perpetration of torture by state officials, the existence of which had long been known in both India and Britain, to erupt into scandal in 1854, the chapter interrogates how the commission set up to investigate torture led to the emergence of a new facilitatory discourse that served both to deny the existence of torture and the structural violence that underpinned it, as well as to displace blame for it from </w:t>
      </w:r>
      <w:r w:rsidRPr="00052FD8">
        <w:lastRenderedPageBreak/>
        <w:t>the colonial regime to its Indian subordinates. The chapter further explores how</w:t>
      </w:r>
      <w:r>
        <w:t xml:space="preserve"> police reform in the commission’s aftermath was designed</w:t>
      </w:r>
      <w:r w:rsidRPr="00052FD8">
        <w:t xml:space="preserve"> not to eradicate torture or ensure the welfare of the Indian populace but to safeguard the coercive and terrori</w:t>
      </w:r>
      <w:r>
        <w:t>z</w:t>
      </w:r>
      <w:r w:rsidRPr="00052FD8">
        <w:t xml:space="preserve">ing powers of the </w:t>
      </w:r>
      <w:r>
        <w:t xml:space="preserve">colonial </w:t>
      </w:r>
      <w:r w:rsidRPr="00052FD8">
        <w:t xml:space="preserve">state. </w:t>
      </w:r>
    </w:p>
    <w:p w14:paraId="4EFFCC76" w14:textId="77777777" w:rsidR="00997966" w:rsidRPr="00052FD8" w:rsidRDefault="00997966" w:rsidP="00997966">
      <w:pPr>
        <w:spacing w:line="480" w:lineRule="auto"/>
        <w:ind w:firstLine="720"/>
        <w:contextualSpacing/>
      </w:pPr>
      <w:r w:rsidRPr="00052FD8">
        <w:t xml:space="preserve">The third chapter, </w:t>
      </w:r>
      <w:r>
        <w:t>‘</w:t>
      </w:r>
      <w:r w:rsidRPr="00052FD8">
        <w:t>The Facilitators II: Law and Justice</w:t>
      </w:r>
      <w:r>
        <w:t>’</w:t>
      </w:r>
      <w:r w:rsidRPr="00052FD8">
        <w:t>, continues the exploration of the ways in which torture was facilitated in colonial India by analy</w:t>
      </w:r>
      <w:r>
        <w:t>z</w:t>
      </w:r>
      <w:r w:rsidRPr="00052FD8">
        <w:t xml:space="preserve">ing the role of the judicial system in such a process. It argues that the creation of an enabling legal environment for torture was vital to the construction of India as a </w:t>
      </w:r>
      <w:r>
        <w:t>regime</w:t>
      </w:r>
      <w:r w:rsidRPr="00052FD8">
        <w:t xml:space="preserve"> of exception. The chapter examines how, although extra</w:t>
      </w:r>
      <w:r>
        <w:t>-</w:t>
      </w:r>
      <w:r w:rsidRPr="00052FD8">
        <w:t>legal torture was enshrined as an offence in the Indian Penal Code and other legal provisions were made during the course of the nineteenth century to make it more difficult for the police to commit torture, the law, and with it the wider judicial system, ultimately did little to limit their official discretion to do so</w:t>
      </w:r>
      <w:r>
        <w:t>, most notably through privileging confessions over other forms of evidence</w:t>
      </w:r>
      <w:r w:rsidRPr="00052FD8">
        <w:t xml:space="preserve">. The chapter also considers the nature and operation of the judicial system in the nineteenth and twentieth centuries, </w:t>
      </w:r>
      <w:r>
        <w:t xml:space="preserve">particularly how </w:t>
      </w:r>
      <w:r w:rsidRPr="00052FD8">
        <w:t>the recruitment and training (or lack thereof) of magistrates and judges</w:t>
      </w:r>
      <w:r>
        <w:t>, colonial evidentiary norms, the over-reliance on medical testimony, the management of police violence extra-judiciously, and</w:t>
      </w:r>
      <w:r w:rsidRPr="00052FD8">
        <w:t xml:space="preserve"> the </w:t>
      </w:r>
      <w:r>
        <w:t xml:space="preserve">lack of separation of powers </w:t>
      </w:r>
      <w:r w:rsidRPr="00052FD8">
        <w:t>between the judiciary and the executive</w:t>
      </w:r>
      <w:r>
        <w:t xml:space="preserve"> enabled police torture</w:t>
      </w:r>
      <w:r w:rsidRPr="00052FD8">
        <w:t>.</w:t>
      </w:r>
    </w:p>
    <w:p w14:paraId="4653B830" w14:textId="77777777" w:rsidR="00997966" w:rsidRDefault="00997966" w:rsidP="00997966">
      <w:pPr>
        <w:spacing w:line="480" w:lineRule="auto"/>
        <w:ind w:firstLine="720"/>
        <w:contextualSpacing/>
      </w:pPr>
      <w:r w:rsidRPr="00052FD8">
        <w:t xml:space="preserve">Chapter Four, </w:t>
      </w:r>
      <w:r>
        <w:t>‘</w:t>
      </w:r>
      <w:r w:rsidRPr="00052FD8">
        <w:t>The Perpetrators</w:t>
      </w:r>
      <w:r>
        <w:t>’</w:t>
      </w:r>
      <w:r w:rsidRPr="00052FD8">
        <w:t>, turns from the facilitation of torture to its perpetration. It endeavours to explicate the agency of the torturers, especially why they chose to do what they did, through analy</w:t>
      </w:r>
      <w:r>
        <w:t>z</w:t>
      </w:r>
      <w:r w:rsidRPr="00052FD8">
        <w:t>ing the key factors that transformed Indian police officers into perpetrators of torture</w:t>
      </w:r>
      <w:r>
        <w:t xml:space="preserve">, </w:t>
      </w:r>
      <w:r w:rsidRPr="00052FD8">
        <w:t>who the police tortured</w:t>
      </w:r>
      <w:r>
        <w:t>,</w:t>
      </w:r>
      <w:r w:rsidRPr="00052FD8">
        <w:t xml:space="preserve"> and how they did so. Focusing on why sexual violence, in particular, became a key component of Indian policing, the chapter draws upon what Ervin Straub terms the</w:t>
      </w:r>
      <w:r w:rsidRPr="00052FD8">
        <w:rPr>
          <w:bCs/>
        </w:rPr>
        <w:t xml:space="preserve"> </w:t>
      </w:r>
      <w:r>
        <w:rPr>
          <w:bCs/>
        </w:rPr>
        <w:t>‘</w:t>
      </w:r>
      <w:r w:rsidRPr="00052FD8">
        <w:rPr>
          <w:bCs/>
        </w:rPr>
        <w:t>three levels</w:t>
      </w:r>
      <w:r>
        <w:rPr>
          <w:bCs/>
        </w:rPr>
        <w:t>’</w:t>
      </w:r>
      <w:r w:rsidRPr="00052FD8">
        <w:rPr>
          <w:bCs/>
        </w:rPr>
        <w:t xml:space="preserve"> of torture in order to elucidate the motivations and psychological processes that drove subaltern Indian men to become torturers, the particular group dynamics and institutional structures that led to the production of a </w:t>
      </w:r>
      <w:r w:rsidRPr="00052FD8">
        <w:rPr>
          <w:bCs/>
        </w:rPr>
        <w:lastRenderedPageBreak/>
        <w:t>culture of torture in the Indian police</w:t>
      </w:r>
      <w:r>
        <w:rPr>
          <w:bCs/>
        </w:rPr>
        <w:t>,</w:t>
      </w:r>
      <w:r w:rsidRPr="00052FD8">
        <w:rPr>
          <w:bCs/>
        </w:rPr>
        <w:t xml:space="preserve"> and the historical processes and cultural characteristics that provided fertile ground for the emergence of torture and other forms of extreme harm doing.</w:t>
      </w:r>
      <w:r w:rsidRPr="00052FD8">
        <w:rPr>
          <w:rStyle w:val="FootnoteReference"/>
          <w:bCs/>
        </w:rPr>
        <w:footnoteReference w:id="233"/>
      </w:r>
      <w:r w:rsidRPr="00052FD8">
        <w:t xml:space="preserve"> Since torturers are made, not born, the </w:t>
      </w:r>
      <w:r>
        <w:t>chapter suggests, in addition,</w:t>
      </w:r>
      <w:r w:rsidRPr="00052FD8">
        <w:t xml:space="preserve"> that police torturers in colonial India be viewed not only as perpetrators of colonial violence but</w:t>
      </w:r>
      <w:r>
        <w:t xml:space="preserve"> </w:t>
      </w:r>
      <w:r w:rsidRPr="00052FD8">
        <w:t>as victims of it.</w:t>
      </w:r>
    </w:p>
    <w:p w14:paraId="14CDE3CE" w14:textId="77777777" w:rsidR="00997966" w:rsidRPr="009265C4" w:rsidRDefault="00997966" w:rsidP="00997966">
      <w:pPr>
        <w:spacing w:line="480" w:lineRule="auto"/>
        <w:ind w:firstLine="720"/>
      </w:pPr>
      <w:r w:rsidRPr="00650D81">
        <w:rPr>
          <w:i/>
        </w:rPr>
        <w:t>Colonial Terror</w:t>
      </w:r>
      <w:r w:rsidRPr="00650D81">
        <w:t xml:space="preserve"> concludes by exploring how the colonial regime’s attempts, in the decades following the Madras torture commission, to deny the ongoing prevalence of torture in the Indian police began to unravel in the early twentieth century thanks to the emergence of a voluble Indian press</w:t>
      </w:r>
      <w:r>
        <w:t xml:space="preserve"> and</w:t>
      </w:r>
      <w:r w:rsidRPr="00650D81">
        <w:t xml:space="preserve"> a mass nationalist movement</w:t>
      </w:r>
      <w:r>
        <w:t xml:space="preserve">. But it was not until 1909, following the </w:t>
      </w:r>
      <w:r w:rsidRPr="00650D81">
        <w:t>failures of a series of high</w:t>
      </w:r>
      <w:r>
        <w:t>-</w:t>
      </w:r>
      <w:r w:rsidRPr="00650D81">
        <w:t xml:space="preserve">profile </w:t>
      </w:r>
      <w:r>
        <w:t>‘</w:t>
      </w:r>
      <w:r w:rsidRPr="00650D81">
        <w:t>conspiracy</w:t>
      </w:r>
      <w:r>
        <w:t>’</w:t>
      </w:r>
      <w:r w:rsidRPr="00650D81">
        <w:t xml:space="preserve"> trials due to the ongoing reliance of the police on extorted confessions</w:t>
      </w:r>
      <w:r>
        <w:t xml:space="preserve"> as their primary form of evidence, combined with p</w:t>
      </w:r>
      <w:r w:rsidRPr="00650D81">
        <w:t>ressure exerted by yet another group of reformist MPs</w:t>
      </w:r>
      <w:r>
        <w:t>, that torture once again erupted into scandal. The Indian and British governments were thus forced to act, but although the actions they took exposed the sheer scale of police torture in colonial India, they did little, once again, to attempt to eradicate it, since eradication was impossible thanks to the importance of torture to the maintenance of colonial rule. They endeavoured, instead, therefore, to make it disappear by renaming it, as well as to transform India into a fully-fledged state of exception in which police torture could continue to flourish, freed from the constraints placed on it by the rule of law.</w:t>
      </w:r>
    </w:p>
    <w:p w14:paraId="39A90B8F" w14:textId="77777777" w:rsidR="00997966" w:rsidRPr="00052FD8" w:rsidRDefault="00997966" w:rsidP="00997966">
      <w:pPr>
        <w:spacing w:line="480" w:lineRule="auto"/>
        <w:ind w:firstLine="720"/>
        <w:rPr>
          <w:color w:val="222222"/>
        </w:rPr>
      </w:pPr>
      <w:r w:rsidRPr="00052FD8">
        <w:t>As this introduction has undoubtedly made clear, this book is a work of history. But it is history that is deeply theoretically formed. As such it takes Ethan Kleinberg, Joan Wallach Scott</w:t>
      </w:r>
      <w:r>
        <w:t>,</w:t>
      </w:r>
      <w:r w:rsidRPr="00052FD8">
        <w:t xml:space="preserve"> and Gary Wilder’s paean to Clio, the muse of history, seriously, namely that without </w:t>
      </w:r>
      <w:r w:rsidRPr="00052FD8">
        <w:lastRenderedPageBreak/>
        <w:t xml:space="preserve">theory history is but tales that signify little beyond themselves, leaving </w:t>
      </w:r>
      <w:r>
        <w:t>‘</w:t>
      </w:r>
      <w:r w:rsidRPr="00052FD8">
        <w:rPr>
          <w:color w:val="222222"/>
        </w:rPr>
        <w:t>the operations of power/and sources of injustice . . . mystified,/impenetrable to us mortals.</w:t>
      </w:r>
      <w:r>
        <w:rPr>
          <w:color w:val="222222"/>
        </w:rPr>
        <w:t>’</w:t>
      </w:r>
      <w:r w:rsidRPr="00052FD8">
        <w:rPr>
          <w:rStyle w:val="FootnoteReference"/>
          <w:color w:val="222222"/>
        </w:rPr>
        <w:footnoteReference w:id="234"/>
      </w:r>
      <w:r w:rsidRPr="00052FD8">
        <w:rPr>
          <w:color w:val="222222"/>
        </w:rPr>
        <w:t xml:space="preserve"> This is a work, therefore, of critical history. As such it treats theory as a </w:t>
      </w:r>
      <w:r>
        <w:rPr>
          <w:color w:val="222222"/>
        </w:rPr>
        <w:t>‘</w:t>
      </w:r>
      <w:r w:rsidRPr="00052FD8">
        <w:rPr>
          <w:color w:val="222222"/>
        </w:rPr>
        <w:t>worldly practice</w:t>
      </w:r>
      <w:r>
        <w:rPr>
          <w:color w:val="222222"/>
        </w:rPr>
        <w:t>’</w:t>
      </w:r>
      <w:r w:rsidRPr="00052FD8">
        <w:rPr>
          <w:color w:val="222222"/>
        </w:rPr>
        <w:t xml:space="preserve"> through seeking not only to link the present to the past but to challenge the logic of both in order to question the certainties of the present and to generate possibilities for a different sort of world.</w:t>
      </w:r>
      <w:r w:rsidRPr="00052FD8">
        <w:rPr>
          <w:rStyle w:val="FootnoteReference"/>
          <w:color w:val="222222"/>
        </w:rPr>
        <w:footnoteReference w:id="235"/>
      </w:r>
      <w:r w:rsidRPr="00052FD8">
        <w:rPr>
          <w:color w:val="222222"/>
        </w:rPr>
        <w:t xml:space="preserve"> This book has been a long time in the making, during the course of which right</w:t>
      </w:r>
      <w:r>
        <w:rPr>
          <w:color w:val="222222"/>
        </w:rPr>
        <w:t>-</w:t>
      </w:r>
      <w:r w:rsidRPr="00052FD8">
        <w:rPr>
          <w:color w:val="222222"/>
        </w:rPr>
        <w:t>wing regimes have risen to power in the United States, Britain, India</w:t>
      </w:r>
      <w:r>
        <w:rPr>
          <w:color w:val="222222"/>
        </w:rPr>
        <w:t>,</w:t>
      </w:r>
      <w:r w:rsidRPr="00052FD8">
        <w:rPr>
          <w:color w:val="222222"/>
        </w:rPr>
        <w:t xml:space="preserve"> and other parts of the world that are predicated on a politics of hate, of a purported </w:t>
      </w:r>
      <w:r>
        <w:rPr>
          <w:color w:val="222222"/>
        </w:rPr>
        <w:t>‘</w:t>
      </w:r>
      <w:r w:rsidRPr="00052FD8">
        <w:rPr>
          <w:color w:val="222222"/>
        </w:rPr>
        <w:t>us</w:t>
      </w:r>
      <w:r>
        <w:rPr>
          <w:color w:val="222222"/>
        </w:rPr>
        <w:t>’</w:t>
      </w:r>
      <w:r w:rsidRPr="00052FD8">
        <w:rPr>
          <w:color w:val="222222"/>
        </w:rPr>
        <w:t xml:space="preserve"> versus </w:t>
      </w:r>
      <w:r>
        <w:rPr>
          <w:color w:val="222222"/>
        </w:rPr>
        <w:t>‘</w:t>
      </w:r>
      <w:r w:rsidRPr="00052FD8">
        <w:rPr>
          <w:color w:val="222222"/>
        </w:rPr>
        <w:t>them</w:t>
      </w:r>
      <w:r>
        <w:rPr>
          <w:color w:val="222222"/>
        </w:rPr>
        <w:t>’</w:t>
      </w:r>
      <w:r w:rsidRPr="00052FD8">
        <w:rPr>
          <w:color w:val="222222"/>
        </w:rPr>
        <w:t>, and which have been fuelled in innumerable ways by empire and its legacies. Such developments, and the many forms of resistance that have arisen in response to them, have played out in events ranging from Brexit to national responses to the covid pandemic, and made apparent what is all too often ignored or unseen by those implicated in the structural and economic violence</w:t>
      </w:r>
      <w:r>
        <w:t>—</w:t>
      </w:r>
      <w:r w:rsidRPr="00052FD8">
        <w:rPr>
          <w:color w:val="222222"/>
        </w:rPr>
        <w:t>including torture</w:t>
      </w:r>
      <w:r>
        <w:t>—</w:t>
      </w:r>
      <w:r w:rsidRPr="00052FD8">
        <w:rPr>
          <w:color w:val="222222"/>
        </w:rPr>
        <w:t>that continues to thrive in empire’s wake, namely its ongoing impact on the bodies of those regarded as racial, ethnic, religious</w:t>
      </w:r>
      <w:r>
        <w:rPr>
          <w:color w:val="222222"/>
        </w:rPr>
        <w:t>,</w:t>
      </w:r>
      <w:r w:rsidRPr="00052FD8">
        <w:rPr>
          <w:color w:val="222222"/>
        </w:rPr>
        <w:t xml:space="preserve"> or cultural others. The time has therefore never been more pressing to offer new interventions into debates and struggles regarding colonial history and its legacies.</w:t>
      </w:r>
    </w:p>
    <w:p w14:paraId="252D4FDB" w14:textId="77777777" w:rsidR="00997966" w:rsidRDefault="00997966"/>
    <w:sectPr w:rsidR="009979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85036" w14:textId="77777777" w:rsidR="006437F1" w:rsidRDefault="006437F1" w:rsidP="00997966">
      <w:pPr>
        <w:spacing w:after="0" w:line="240" w:lineRule="auto"/>
      </w:pPr>
      <w:r>
        <w:separator/>
      </w:r>
    </w:p>
  </w:endnote>
  <w:endnote w:type="continuationSeparator" w:id="0">
    <w:p w14:paraId="0CBEFB85" w14:textId="77777777" w:rsidR="006437F1" w:rsidRDefault="006437F1" w:rsidP="00997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ArialUnicodeM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71DD9" w14:textId="77777777" w:rsidR="006437F1" w:rsidRDefault="006437F1" w:rsidP="00997966">
      <w:pPr>
        <w:spacing w:after="0" w:line="240" w:lineRule="auto"/>
      </w:pPr>
      <w:r>
        <w:separator/>
      </w:r>
    </w:p>
  </w:footnote>
  <w:footnote w:type="continuationSeparator" w:id="0">
    <w:p w14:paraId="7A16FB73" w14:textId="77777777" w:rsidR="006437F1" w:rsidRDefault="006437F1" w:rsidP="00997966">
      <w:pPr>
        <w:spacing w:after="0" w:line="240" w:lineRule="auto"/>
      </w:pPr>
      <w:r>
        <w:continuationSeparator/>
      </w:r>
    </w:p>
  </w:footnote>
  <w:footnote w:id="1">
    <w:p w14:paraId="33A856C3" w14:textId="77777777" w:rsidR="00997966" w:rsidRPr="008562F2" w:rsidRDefault="00997966" w:rsidP="00997966">
      <w:pPr>
        <w:pStyle w:val="FootnoteText"/>
        <w:spacing w:line="480" w:lineRule="auto"/>
        <w:contextualSpacing/>
        <w:rPr>
          <w:sz w:val="24"/>
          <w:szCs w:val="24"/>
          <w:lang w:val="en-US"/>
        </w:rPr>
      </w:pPr>
      <w:r w:rsidRPr="00A84A20">
        <w:rPr>
          <w:rStyle w:val="FootnoteReference"/>
          <w:sz w:val="24"/>
          <w:szCs w:val="24"/>
        </w:rPr>
        <w:footnoteRef/>
      </w:r>
      <w:r w:rsidRPr="00A84A20">
        <w:rPr>
          <w:sz w:val="24"/>
          <w:szCs w:val="24"/>
        </w:rPr>
        <w:t xml:space="preserve"> Frantz Fanon, </w:t>
      </w:r>
      <w:r w:rsidRPr="00A84A20">
        <w:rPr>
          <w:bCs/>
          <w:i/>
          <w:sz w:val="24"/>
          <w:szCs w:val="24"/>
        </w:rPr>
        <w:t>Concerning Violence</w:t>
      </w:r>
      <w:r>
        <w:rPr>
          <w:bCs/>
          <w:sz w:val="24"/>
          <w:szCs w:val="24"/>
        </w:rPr>
        <w:t xml:space="preserve"> (</w:t>
      </w:r>
      <w:r>
        <w:rPr>
          <w:iCs/>
          <w:sz w:val="24"/>
          <w:szCs w:val="24"/>
          <w:lang w:val="en-US"/>
        </w:rPr>
        <w:t xml:space="preserve">first published in 1961, </w:t>
      </w:r>
      <w:r w:rsidRPr="00052FD8">
        <w:rPr>
          <w:sz w:val="24"/>
          <w:szCs w:val="24"/>
          <w:lang w:val="en-US"/>
        </w:rPr>
        <w:t>Constance Farrington</w:t>
      </w:r>
      <w:r>
        <w:rPr>
          <w:sz w:val="24"/>
          <w:szCs w:val="24"/>
          <w:lang w:val="en-US"/>
        </w:rPr>
        <w:t xml:space="preserve"> tr,</w:t>
      </w:r>
      <w:r w:rsidRPr="00052FD8">
        <w:rPr>
          <w:sz w:val="24"/>
          <w:szCs w:val="24"/>
          <w:lang w:val="en-US"/>
        </w:rPr>
        <w:t xml:space="preserve"> London: Penguin, 2008)</w:t>
      </w:r>
      <w:r w:rsidRPr="00A84A20">
        <w:rPr>
          <w:sz w:val="24"/>
          <w:szCs w:val="24"/>
        </w:rPr>
        <w:t>, 57</w:t>
      </w:r>
      <w:r>
        <w:rPr>
          <w:sz w:val="24"/>
          <w:szCs w:val="24"/>
        </w:rPr>
        <w:t xml:space="preserve"> (hereafter Fanon, </w:t>
      </w:r>
      <w:r>
        <w:rPr>
          <w:i/>
          <w:iCs/>
          <w:sz w:val="24"/>
          <w:szCs w:val="24"/>
        </w:rPr>
        <w:t>Concerning Violence</w:t>
      </w:r>
      <w:r>
        <w:rPr>
          <w:sz w:val="24"/>
          <w:szCs w:val="24"/>
        </w:rPr>
        <w:t>)</w:t>
      </w:r>
      <w:r w:rsidRPr="00A84A20">
        <w:rPr>
          <w:sz w:val="24"/>
          <w:szCs w:val="24"/>
        </w:rPr>
        <w:t>.</w:t>
      </w:r>
    </w:p>
  </w:footnote>
  <w:footnote w:id="2">
    <w:p w14:paraId="5C1535B4"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The five complainants were Ndiku Mutwiwa Mutua, Paulo Nzili, Wambugu wa Nyingi, Susan Ngondi</w:t>
      </w:r>
      <w:r>
        <w:rPr>
          <w:sz w:val="24"/>
          <w:szCs w:val="24"/>
        </w:rPr>
        <w:t>,</w:t>
      </w:r>
      <w:r w:rsidRPr="00A84A20">
        <w:rPr>
          <w:sz w:val="24"/>
          <w:szCs w:val="24"/>
        </w:rPr>
        <w:t xml:space="preserve"> and Jane Muthoni Mara. Susan Ngondi, however, died the year before the case was heard, and </w:t>
      </w:r>
      <w:r w:rsidRPr="00A84A20">
        <w:rPr>
          <w:rFonts w:eastAsia="Times New Roman"/>
          <w:sz w:val="24"/>
          <w:szCs w:val="24"/>
          <w:lang w:eastAsia="en-GB"/>
        </w:rPr>
        <w:t xml:space="preserve">Ndiku Mutwiwa Mutua died in 2012, before the British government settled the case. </w:t>
      </w:r>
      <w:r w:rsidRPr="00A84A20">
        <w:rPr>
          <w:sz w:val="24"/>
          <w:szCs w:val="24"/>
        </w:rPr>
        <w:t xml:space="preserve">David M. Anderson, </w:t>
      </w:r>
      <w:r>
        <w:rPr>
          <w:sz w:val="24"/>
          <w:szCs w:val="24"/>
        </w:rPr>
        <w:t>‘</w:t>
      </w:r>
      <w:r w:rsidRPr="00A84A20">
        <w:rPr>
          <w:sz w:val="24"/>
          <w:szCs w:val="24"/>
        </w:rPr>
        <w:t xml:space="preserve">Mau Mau in the High </w:t>
      </w:r>
      <w:r>
        <w:rPr>
          <w:sz w:val="24"/>
          <w:szCs w:val="24"/>
        </w:rPr>
        <w:t>C</w:t>
      </w:r>
      <w:r w:rsidRPr="00A84A20">
        <w:rPr>
          <w:sz w:val="24"/>
          <w:szCs w:val="24"/>
        </w:rPr>
        <w:t>ourt and the ‘Lost’ British Empire Archives: Colonial Conspiracy or a Bureaucratic Bungle?</w:t>
      </w:r>
      <w:r>
        <w:rPr>
          <w:sz w:val="24"/>
          <w:szCs w:val="24"/>
        </w:rPr>
        <w:t>’</w:t>
      </w:r>
      <w:r w:rsidRPr="00A84A20">
        <w:rPr>
          <w:sz w:val="24"/>
          <w:szCs w:val="24"/>
        </w:rPr>
        <w:t xml:space="preserve">, </w:t>
      </w:r>
      <w:r w:rsidRPr="00A84A20">
        <w:rPr>
          <w:i/>
          <w:iCs/>
          <w:sz w:val="24"/>
          <w:szCs w:val="24"/>
        </w:rPr>
        <w:t>The Journal of Imperial and Commonwealth History</w:t>
      </w:r>
      <w:r w:rsidRPr="00A84A20">
        <w:rPr>
          <w:sz w:val="24"/>
          <w:szCs w:val="24"/>
        </w:rPr>
        <w:t xml:space="preserve"> 39</w:t>
      </w:r>
      <w:r>
        <w:rPr>
          <w:sz w:val="24"/>
          <w:szCs w:val="24"/>
        </w:rPr>
        <w:t>/</w:t>
      </w:r>
      <w:r w:rsidRPr="00A84A20">
        <w:rPr>
          <w:sz w:val="24"/>
          <w:szCs w:val="24"/>
        </w:rPr>
        <w:t>5 (2011), 700</w:t>
      </w:r>
      <w:r>
        <w:rPr>
          <w:sz w:val="24"/>
          <w:szCs w:val="24"/>
        </w:rPr>
        <w:t xml:space="preserve"> (hereafter Anderson, ‘Mau Mau’)</w:t>
      </w:r>
      <w:r w:rsidRPr="00A84A20">
        <w:rPr>
          <w:sz w:val="24"/>
          <w:szCs w:val="24"/>
        </w:rPr>
        <w:t>.</w:t>
      </w:r>
    </w:p>
  </w:footnote>
  <w:footnote w:id="3">
    <w:p w14:paraId="34BA2371"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w:t>
      </w:r>
      <w:r w:rsidRPr="00A84A20">
        <w:rPr>
          <w:i/>
          <w:iCs/>
          <w:sz w:val="24"/>
          <w:szCs w:val="24"/>
        </w:rPr>
        <w:t xml:space="preserve">Mutua &amp; </w:t>
      </w:r>
      <w:r>
        <w:rPr>
          <w:i/>
          <w:iCs/>
          <w:sz w:val="24"/>
          <w:szCs w:val="24"/>
        </w:rPr>
        <w:t>Or</w:t>
      </w:r>
      <w:r w:rsidRPr="00A84A20">
        <w:rPr>
          <w:i/>
          <w:iCs/>
          <w:sz w:val="24"/>
          <w:szCs w:val="24"/>
        </w:rPr>
        <w:t xml:space="preserve">s v. The Foreign and Commonwealth Office </w:t>
      </w:r>
      <w:r w:rsidRPr="00A84A20">
        <w:rPr>
          <w:sz w:val="24"/>
          <w:szCs w:val="24"/>
        </w:rPr>
        <w:t>[2011] EWHC 1913 (QB), 21 July 2011</w:t>
      </w:r>
      <w:r>
        <w:rPr>
          <w:sz w:val="24"/>
          <w:szCs w:val="24"/>
        </w:rPr>
        <w:t xml:space="preserve"> [</w:t>
      </w:r>
      <w:r w:rsidRPr="00A84A20">
        <w:rPr>
          <w:sz w:val="24"/>
          <w:szCs w:val="24"/>
        </w:rPr>
        <w:t>A1</w:t>
      </w:r>
      <w:r>
        <w:rPr>
          <w:sz w:val="24"/>
          <w:szCs w:val="24"/>
        </w:rPr>
        <w:t>]</w:t>
      </w:r>
      <w:r w:rsidRPr="00A84A20">
        <w:rPr>
          <w:sz w:val="24"/>
          <w:szCs w:val="24"/>
        </w:rPr>
        <w:t xml:space="preserve">, </w:t>
      </w:r>
      <w:r>
        <w:rPr>
          <w:sz w:val="24"/>
          <w:szCs w:val="24"/>
        </w:rPr>
        <w:t>[</w:t>
      </w:r>
      <w:r w:rsidRPr="00A84A20">
        <w:rPr>
          <w:sz w:val="24"/>
          <w:szCs w:val="24"/>
        </w:rPr>
        <w:t>A2</w:t>
      </w:r>
      <w:r>
        <w:rPr>
          <w:sz w:val="24"/>
          <w:szCs w:val="24"/>
        </w:rPr>
        <w:t xml:space="preserve">] (hereafter </w:t>
      </w:r>
      <w:r>
        <w:rPr>
          <w:i/>
          <w:iCs/>
          <w:sz w:val="24"/>
          <w:szCs w:val="24"/>
        </w:rPr>
        <w:t>Matua &amp; Ors</w:t>
      </w:r>
      <w:r>
        <w:rPr>
          <w:sz w:val="24"/>
          <w:szCs w:val="24"/>
        </w:rPr>
        <w:t>)</w:t>
      </w:r>
      <w:r w:rsidRPr="00A84A20">
        <w:rPr>
          <w:sz w:val="24"/>
          <w:szCs w:val="24"/>
        </w:rPr>
        <w:t>.</w:t>
      </w:r>
    </w:p>
  </w:footnote>
  <w:footnote w:id="4">
    <w:p w14:paraId="63EE72DA"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Ibid</w:t>
      </w:r>
      <w:r>
        <w:rPr>
          <w:sz w:val="24"/>
          <w:szCs w:val="24"/>
        </w:rPr>
        <w:t xml:space="preserve"> [</w:t>
      </w:r>
      <w:r w:rsidRPr="00A84A20">
        <w:rPr>
          <w:sz w:val="24"/>
          <w:szCs w:val="24"/>
        </w:rPr>
        <w:t>A1</w:t>
      </w:r>
      <w:r>
        <w:rPr>
          <w:sz w:val="24"/>
          <w:szCs w:val="24"/>
        </w:rPr>
        <w:t>]</w:t>
      </w:r>
      <w:r w:rsidRPr="00A84A20">
        <w:rPr>
          <w:color w:val="000000"/>
          <w:sz w:val="24"/>
          <w:szCs w:val="24"/>
        </w:rPr>
        <w:t xml:space="preserve">. As United Kingdom (UK) law does not recognise torture as a specific tort (a legacy, perhaps, of its imperial past?), the action brought was, instead, regarding a claim for the tort of trespass to the person, which according to Devika Hovell </w:t>
      </w:r>
      <w:r>
        <w:rPr>
          <w:color w:val="000000"/>
          <w:sz w:val="24"/>
          <w:szCs w:val="24"/>
        </w:rPr>
        <w:t>‘</w:t>
      </w:r>
      <w:r w:rsidRPr="00A84A20">
        <w:rPr>
          <w:sz w:val="24"/>
          <w:szCs w:val="24"/>
        </w:rPr>
        <w:t>distract[s] from important legal implications of torture</w:t>
      </w:r>
      <w:r>
        <w:rPr>
          <w:sz w:val="24"/>
          <w:szCs w:val="24"/>
        </w:rPr>
        <w:t>’</w:t>
      </w:r>
      <w:r w:rsidRPr="00A84A20">
        <w:rPr>
          <w:color w:val="000000"/>
          <w:sz w:val="24"/>
          <w:szCs w:val="24"/>
        </w:rPr>
        <w:t xml:space="preserve">. </w:t>
      </w:r>
      <w:r w:rsidRPr="00A84A20">
        <w:rPr>
          <w:sz w:val="24"/>
          <w:szCs w:val="24"/>
        </w:rPr>
        <w:t xml:space="preserve">Devika Hovell, </w:t>
      </w:r>
      <w:r>
        <w:rPr>
          <w:sz w:val="24"/>
          <w:szCs w:val="24"/>
        </w:rPr>
        <w:t>‘</w:t>
      </w:r>
      <w:r w:rsidRPr="00A84A20">
        <w:rPr>
          <w:sz w:val="24"/>
          <w:szCs w:val="24"/>
        </w:rPr>
        <w:t>The Gulf between Tortious and Torturous: UK Responsibility for Mistreatment of the Mau Mau in Colonial Kenya</w:t>
      </w:r>
      <w:r>
        <w:rPr>
          <w:sz w:val="24"/>
          <w:szCs w:val="24"/>
        </w:rPr>
        <w:t>’</w:t>
      </w:r>
      <w:r w:rsidRPr="00A84A20">
        <w:rPr>
          <w:sz w:val="24"/>
          <w:szCs w:val="24"/>
        </w:rPr>
        <w:t xml:space="preserve">, </w:t>
      </w:r>
      <w:r w:rsidRPr="00A84A20">
        <w:rPr>
          <w:i/>
          <w:iCs/>
          <w:sz w:val="24"/>
          <w:szCs w:val="24"/>
        </w:rPr>
        <w:t>Journal of International Criminal Justice</w:t>
      </w:r>
      <w:r w:rsidRPr="00A84A20">
        <w:rPr>
          <w:sz w:val="24"/>
          <w:szCs w:val="24"/>
        </w:rPr>
        <w:t xml:space="preserve"> 11 (2013), 224</w:t>
      </w:r>
      <w:r>
        <w:rPr>
          <w:sz w:val="24"/>
          <w:szCs w:val="24"/>
        </w:rPr>
        <w:t xml:space="preserve"> (hereafter Hovell, ‘</w:t>
      </w:r>
      <w:r w:rsidRPr="00A84A20">
        <w:rPr>
          <w:sz w:val="24"/>
          <w:szCs w:val="24"/>
        </w:rPr>
        <w:t>The Gulf between Tortious and Torturous</w:t>
      </w:r>
      <w:r>
        <w:rPr>
          <w:sz w:val="24"/>
          <w:szCs w:val="24"/>
        </w:rPr>
        <w:t>’)</w:t>
      </w:r>
      <w:r w:rsidRPr="00A84A20">
        <w:rPr>
          <w:sz w:val="24"/>
          <w:szCs w:val="24"/>
        </w:rPr>
        <w:t>.</w:t>
      </w:r>
    </w:p>
  </w:footnote>
  <w:footnote w:id="5">
    <w:p w14:paraId="4DB8F601"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Ibid </w:t>
      </w:r>
      <w:r>
        <w:rPr>
          <w:sz w:val="24"/>
          <w:szCs w:val="24"/>
        </w:rPr>
        <w:t>[</w:t>
      </w:r>
      <w:r w:rsidRPr="00A84A20">
        <w:rPr>
          <w:sz w:val="24"/>
          <w:szCs w:val="24"/>
        </w:rPr>
        <w:t>C11</w:t>
      </w:r>
      <w:r>
        <w:rPr>
          <w:sz w:val="24"/>
          <w:szCs w:val="24"/>
        </w:rPr>
        <w:t>]</w:t>
      </w:r>
      <w:r w:rsidRPr="00A84A20">
        <w:rPr>
          <w:sz w:val="24"/>
          <w:szCs w:val="24"/>
        </w:rPr>
        <w:t>.</w:t>
      </w:r>
    </w:p>
  </w:footnote>
  <w:footnote w:id="6">
    <w:p w14:paraId="4BC251EA"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Ibid </w:t>
      </w:r>
      <w:r>
        <w:rPr>
          <w:sz w:val="24"/>
          <w:szCs w:val="24"/>
        </w:rPr>
        <w:t>[</w:t>
      </w:r>
      <w:r w:rsidRPr="00A84A20">
        <w:rPr>
          <w:sz w:val="24"/>
          <w:szCs w:val="24"/>
        </w:rPr>
        <w:t>D27</w:t>
      </w:r>
      <w:r>
        <w:rPr>
          <w:sz w:val="24"/>
          <w:szCs w:val="24"/>
        </w:rPr>
        <w:t>]</w:t>
      </w:r>
      <w:r w:rsidRPr="00A84A20">
        <w:rPr>
          <w:sz w:val="24"/>
          <w:szCs w:val="24"/>
        </w:rPr>
        <w:t>.</w:t>
      </w:r>
    </w:p>
  </w:footnote>
  <w:footnote w:id="7">
    <w:p w14:paraId="78CD57C5"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Ibid</w:t>
      </w:r>
      <w:r>
        <w:rPr>
          <w:sz w:val="24"/>
          <w:szCs w:val="24"/>
        </w:rPr>
        <w:t xml:space="preserve"> [</w:t>
      </w:r>
      <w:r w:rsidRPr="00A84A20">
        <w:rPr>
          <w:sz w:val="24"/>
          <w:szCs w:val="24"/>
        </w:rPr>
        <w:t>C13.</w:t>
      </w:r>
    </w:p>
  </w:footnote>
  <w:footnote w:id="8">
    <w:p w14:paraId="78AD11A1"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Ibid. See also David Anderson, </w:t>
      </w:r>
      <w:r>
        <w:rPr>
          <w:sz w:val="24"/>
          <w:szCs w:val="24"/>
        </w:rPr>
        <w:t>‘</w:t>
      </w:r>
      <w:r w:rsidRPr="00A84A20">
        <w:rPr>
          <w:sz w:val="24"/>
          <w:szCs w:val="24"/>
        </w:rPr>
        <w:t>British Abuse and Torture in Kenya’s Counter</w:t>
      </w:r>
      <w:r>
        <w:rPr>
          <w:sz w:val="24"/>
          <w:szCs w:val="24"/>
        </w:rPr>
        <w:t>-</w:t>
      </w:r>
      <w:r w:rsidRPr="00A84A20">
        <w:rPr>
          <w:sz w:val="24"/>
          <w:szCs w:val="24"/>
        </w:rPr>
        <w:t>insurgency, 1952</w:t>
      </w:r>
      <w:r>
        <w:rPr>
          <w:sz w:val="24"/>
          <w:szCs w:val="24"/>
        </w:rPr>
        <w:t>-</w:t>
      </w:r>
      <w:r w:rsidRPr="00A84A20">
        <w:rPr>
          <w:sz w:val="24"/>
          <w:szCs w:val="24"/>
        </w:rPr>
        <w:t>1960</w:t>
      </w:r>
      <w:r>
        <w:rPr>
          <w:sz w:val="24"/>
          <w:szCs w:val="24"/>
        </w:rPr>
        <w:t>’</w:t>
      </w:r>
      <w:r w:rsidRPr="00A84A20">
        <w:rPr>
          <w:sz w:val="24"/>
          <w:szCs w:val="24"/>
        </w:rPr>
        <w:t xml:space="preserve"> 23</w:t>
      </w:r>
      <w:r>
        <w:rPr>
          <w:sz w:val="24"/>
          <w:szCs w:val="24"/>
        </w:rPr>
        <w:t>/</w:t>
      </w:r>
      <w:r w:rsidRPr="00A84A20">
        <w:rPr>
          <w:sz w:val="24"/>
          <w:szCs w:val="24"/>
        </w:rPr>
        <w:t>4</w:t>
      </w:r>
      <w:r>
        <w:rPr>
          <w:sz w:val="24"/>
          <w:szCs w:val="24"/>
        </w:rPr>
        <w:t>-</w:t>
      </w:r>
      <w:r w:rsidRPr="00A84A20">
        <w:rPr>
          <w:sz w:val="24"/>
          <w:szCs w:val="24"/>
        </w:rPr>
        <w:t>5 (2012), 701</w:t>
      </w:r>
      <w:r>
        <w:rPr>
          <w:sz w:val="24"/>
          <w:szCs w:val="24"/>
        </w:rPr>
        <w:t xml:space="preserve"> (hereafter Anderson, ‘British Abuse’)</w:t>
      </w:r>
      <w:r w:rsidRPr="00A84A20">
        <w:rPr>
          <w:sz w:val="24"/>
          <w:szCs w:val="24"/>
        </w:rPr>
        <w:t>.</w:t>
      </w:r>
    </w:p>
  </w:footnote>
  <w:footnote w:id="9">
    <w:p w14:paraId="228A5170"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Ibid</w:t>
      </w:r>
      <w:r>
        <w:rPr>
          <w:sz w:val="24"/>
          <w:szCs w:val="24"/>
        </w:rPr>
        <w:t xml:space="preserve"> [</w:t>
      </w:r>
      <w:r w:rsidRPr="00A84A20">
        <w:rPr>
          <w:sz w:val="24"/>
          <w:szCs w:val="24"/>
        </w:rPr>
        <w:t>K156</w:t>
      </w:r>
      <w:r>
        <w:rPr>
          <w:sz w:val="24"/>
          <w:szCs w:val="24"/>
        </w:rPr>
        <w:t>]</w:t>
      </w:r>
      <w:r w:rsidRPr="00A84A20">
        <w:rPr>
          <w:sz w:val="24"/>
          <w:szCs w:val="24"/>
        </w:rPr>
        <w:t>.</w:t>
      </w:r>
    </w:p>
  </w:footnote>
  <w:footnote w:id="10">
    <w:p w14:paraId="2F630A95"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Ibid</w:t>
      </w:r>
      <w:r>
        <w:rPr>
          <w:sz w:val="24"/>
          <w:szCs w:val="24"/>
        </w:rPr>
        <w:t xml:space="preserve"> [</w:t>
      </w:r>
      <w:r w:rsidRPr="00A84A20">
        <w:rPr>
          <w:sz w:val="24"/>
          <w:szCs w:val="24"/>
        </w:rPr>
        <w:t>J132</w:t>
      </w:r>
      <w:r>
        <w:rPr>
          <w:sz w:val="24"/>
          <w:szCs w:val="24"/>
        </w:rPr>
        <w:t>]</w:t>
      </w:r>
      <w:r w:rsidRPr="00A84A20">
        <w:rPr>
          <w:sz w:val="24"/>
          <w:szCs w:val="24"/>
        </w:rPr>
        <w:t>.</w:t>
      </w:r>
    </w:p>
  </w:footnote>
  <w:footnote w:id="11">
    <w:p w14:paraId="0599C841"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Ibid</w:t>
      </w:r>
      <w:r>
        <w:rPr>
          <w:sz w:val="24"/>
          <w:szCs w:val="24"/>
        </w:rPr>
        <w:t xml:space="preserve"> [</w:t>
      </w:r>
      <w:r w:rsidRPr="00A84A20">
        <w:rPr>
          <w:sz w:val="24"/>
          <w:szCs w:val="24"/>
        </w:rPr>
        <w:t>K143</w:t>
      </w:r>
      <w:r>
        <w:rPr>
          <w:sz w:val="24"/>
          <w:szCs w:val="24"/>
        </w:rPr>
        <w:t>]</w:t>
      </w:r>
      <w:r w:rsidRPr="00A84A20">
        <w:rPr>
          <w:sz w:val="24"/>
          <w:szCs w:val="24"/>
        </w:rPr>
        <w:t xml:space="preserve">, </w:t>
      </w:r>
      <w:r>
        <w:rPr>
          <w:sz w:val="24"/>
          <w:szCs w:val="24"/>
        </w:rPr>
        <w:t>[</w:t>
      </w:r>
      <w:r w:rsidRPr="00A84A20">
        <w:rPr>
          <w:sz w:val="24"/>
          <w:szCs w:val="24"/>
        </w:rPr>
        <w:t>144</w:t>
      </w:r>
      <w:r>
        <w:rPr>
          <w:sz w:val="24"/>
          <w:szCs w:val="24"/>
        </w:rPr>
        <w:t>]</w:t>
      </w:r>
      <w:r w:rsidRPr="00A84A20">
        <w:rPr>
          <w:sz w:val="24"/>
          <w:szCs w:val="24"/>
        </w:rPr>
        <w:t>.</w:t>
      </w:r>
    </w:p>
  </w:footnote>
  <w:footnote w:id="12">
    <w:p w14:paraId="77A41C15"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Ibid</w:t>
      </w:r>
      <w:r>
        <w:rPr>
          <w:sz w:val="24"/>
          <w:szCs w:val="24"/>
        </w:rPr>
        <w:t xml:space="preserve"> [</w:t>
      </w:r>
      <w:r w:rsidRPr="00A84A20">
        <w:rPr>
          <w:sz w:val="24"/>
          <w:szCs w:val="24"/>
        </w:rPr>
        <w:t>K138</w:t>
      </w:r>
      <w:r>
        <w:rPr>
          <w:sz w:val="24"/>
          <w:szCs w:val="24"/>
        </w:rPr>
        <w:t>]</w:t>
      </w:r>
      <w:r w:rsidRPr="00A84A20">
        <w:rPr>
          <w:sz w:val="24"/>
          <w:szCs w:val="24"/>
        </w:rPr>
        <w:t xml:space="preserve">. The law regarding the UK government’s vicarious liability for the conduct of former colonial governments is, however, still </w:t>
      </w:r>
      <w:proofErr w:type="gramStart"/>
      <w:r w:rsidRPr="00A84A20">
        <w:rPr>
          <w:sz w:val="24"/>
          <w:szCs w:val="24"/>
        </w:rPr>
        <w:t>an unresolved</w:t>
      </w:r>
      <w:proofErr w:type="gramEnd"/>
      <w:r w:rsidRPr="00A84A20">
        <w:rPr>
          <w:sz w:val="24"/>
          <w:szCs w:val="24"/>
        </w:rPr>
        <w:t xml:space="preserve">. Hovell, </w:t>
      </w:r>
      <w:r>
        <w:rPr>
          <w:sz w:val="24"/>
          <w:szCs w:val="24"/>
        </w:rPr>
        <w:t>‘</w:t>
      </w:r>
      <w:r w:rsidRPr="00A84A20">
        <w:rPr>
          <w:sz w:val="24"/>
          <w:szCs w:val="24"/>
        </w:rPr>
        <w:t>The Gulf between Tortious and Torturous</w:t>
      </w:r>
      <w:r>
        <w:rPr>
          <w:sz w:val="24"/>
          <w:szCs w:val="24"/>
        </w:rPr>
        <w:t>’ (n 4)</w:t>
      </w:r>
      <w:r w:rsidRPr="00A84A20">
        <w:rPr>
          <w:sz w:val="24"/>
          <w:szCs w:val="24"/>
        </w:rPr>
        <w:t xml:space="preserve"> 236</w:t>
      </w:r>
      <w:r>
        <w:rPr>
          <w:sz w:val="24"/>
          <w:szCs w:val="24"/>
        </w:rPr>
        <w:t>.</w:t>
      </w:r>
    </w:p>
  </w:footnote>
  <w:footnote w:id="13">
    <w:p w14:paraId="6DD653DA"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Ibid</w:t>
      </w:r>
      <w:r>
        <w:rPr>
          <w:sz w:val="24"/>
          <w:szCs w:val="24"/>
        </w:rPr>
        <w:t xml:space="preserve"> [</w:t>
      </w:r>
      <w:r w:rsidRPr="00A84A20">
        <w:rPr>
          <w:sz w:val="24"/>
          <w:szCs w:val="24"/>
        </w:rPr>
        <w:t>K153</w:t>
      </w:r>
      <w:r>
        <w:rPr>
          <w:sz w:val="24"/>
          <w:szCs w:val="24"/>
        </w:rPr>
        <w:t>]</w:t>
      </w:r>
      <w:r w:rsidRPr="00A84A20">
        <w:rPr>
          <w:sz w:val="24"/>
          <w:szCs w:val="24"/>
        </w:rPr>
        <w:t>.</w:t>
      </w:r>
    </w:p>
  </w:footnote>
  <w:footnote w:id="14">
    <w:p w14:paraId="525BC6B5"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w:t>
      </w:r>
      <w:r w:rsidRPr="00A84A20">
        <w:rPr>
          <w:i/>
          <w:iCs/>
          <w:color w:val="000000"/>
          <w:sz w:val="24"/>
          <w:szCs w:val="24"/>
        </w:rPr>
        <w:t xml:space="preserve">A </w:t>
      </w:r>
      <w:r w:rsidRPr="00A84A20">
        <w:rPr>
          <w:color w:val="000000"/>
          <w:sz w:val="24"/>
          <w:szCs w:val="24"/>
        </w:rPr>
        <w:t>v</w:t>
      </w:r>
      <w:r w:rsidRPr="00A84A20">
        <w:rPr>
          <w:i/>
          <w:iCs/>
          <w:color w:val="000000"/>
          <w:sz w:val="24"/>
          <w:szCs w:val="24"/>
        </w:rPr>
        <w:t xml:space="preserve"> Secretary of State for the Home Department (No.2)</w:t>
      </w:r>
      <w:r w:rsidRPr="00A84A20">
        <w:rPr>
          <w:i/>
          <w:iCs/>
          <w:sz w:val="24"/>
          <w:szCs w:val="24"/>
        </w:rPr>
        <w:t> </w:t>
      </w:r>
      <w:hyperlink r:id="rId1" w:tooltip="Link to BAILII version" w:history="1">
        <w:r w:rsidRPr="00A84A20">
          <w:rPr>
            <w:rStyle w:val="Hyperlink"/>
            <w:color w:val="auto"/>
            <w:sz w:val="24"/>
            <w:szCs w:val="24"/>
            <w:u w:val="none"/>
          </w:rPr>
          <w:t>[2005] UKHL 71</w:t>
        </w:r>
      </w:hyperlink>
      <w:r>
        <w:rPr>
          <w:rStyle w:val="Hyperlink"/>
          <w:color w:val="auto"/>
          <w:sz w:val="24"/>
          <w:szCs w:val="24"/>
          <w:u w:val="none"/>
        </w:rPr>
        <w:t xml:space="preserve"> [</w:t>
      </w:r>
      <w:r w:rsidRPr="00A84A20">
        <w:rPr>
          <w:rStyle w:val="Hyperlink"/>
          <w:color w:val="auto"/>
          <w:sz w:val="24"/>
          <w:szCs w:val="24"/>
          <w:u w:val="none"/>
        </w:rPr>
        <w:t>82</w:t>
      </w:r>
      <w:r>
        <w:rPr>
          <w:rStyle w:val="Hyperlink"/>
          <w:color w:val="auto"/>
          <w:sz w:val="24"/>
          <w:szCs w:val="24"/>
          <w:u w:val="none"/>
        </w:rPr>
        <w:t>]</w:t>
      </w:r>
      <w:r w:rsidRPr="00A84A20">
        <w:rPr>
          <w:rStyle w:val="Hyperlink"/>
          <w:color w:val="auto"/>
          <w:sz w:val="24"/>
          <w:szCs w:val="24"/>
          <w:u w:val="none"/>
        </w:rPr>
        <w:t>, cited in</w:t>
      </w:r>
      <w:r w:rsidRPr="00A84A20">
        <w:rPr>
          <w:rStyle w:val="Hyperlink"/>
          <w:color w:val="auto"/>
          <w:sz w:val="24"/>
          <w:szCs w:val="24"/>
        </w:rPr>
        <w:t xml:space="preserve"> </w:t>
      </w:r>
      <w:r w:rsidRPr="00A84A20">
        <w:rPr>
          <w:i/>
          <w:iCs/>
          <w:sz w:val="24"/>
          <w:szCs w:val="24"/>
        </w:rPr>
        <w:t xml:space="preserve">Mutua &amp; others, </w:t>
      </w:r>
      <w:r w:rsidRPr="00A84A20">
        <w:rPr>
          <w:sz w:val="24"/>
          <w:szCs w:val="24"/>
        </w:rPr>
        <w:t>para</w:t>
      </w:r>
      <w:r>
        <w:rPr>
          <w:sz w:val="24"/>
          <w:szCs w:val="24"/>
        </w:rPr>
        <w:t>.</w:t>
      </w:r>
      <w:r w:rsidRPr="00A84A20">
        <w:rPr>
          <w:sz w:val="24"/>
          <w:szCs w:val="24"/>
        </w:rPr>
        <w:t xml:space="preserve"> K153.</w:t>
      </w:r>
    </w:p>
  </w:footnote>
  <w:footnote w:id="15">
    <w:p w14:paraId="25E2F8FA"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w:t>
      </w:r>
      <w:r w:rsidRPr="00A84A20">
        <w:rPr>
          <w:i/>
          <w:iCs/>
          <w:sz w:val="24"/>
          <w:szCs w:val="24"/>
        </w:rPr>
        <w:t xml:space="preserve">Matua &amp; </w:t>
      </w:r>
      <w:r>
        <w:rPr>
          <w:i/>
          <w:iCs/>
          <w:sz w:val="24"/>
          <w:szCs w:val="24"/>
        </w:rPr>
        <w:t>Ors</w:t>
      </w:r>
      <w:r w:rsidRPr="00A84A20">
        <w:rPr>
          <w:i/>
          <w:iCs/>
          <w:sz w:val="24"/>
          <w:szCs w:val="24"/>
        </w:rPr>
        <w:t xml:space="preserve">, </w:t>
      </w:r>
      <w:r w:rsidRPr="00A84A20">
        <w:rPr>
          <w:sz w:val="24"/>
          <w:szCs w:val="24"/>
        </w:rPr>
        <w:t>K156.</w:t>
      </w:r>
      <w:r w:rsidRPr="00A84A20">
        <w:rPr>
          <w:i/>
          <w:iCs/>
          <w:sz w:val="24"/>
          <w:szCs w:val="24"/>
        </w:rPr>
        <w:t xml:space="preserve"> </w:t>
      </w:r>
      <w:r w:rsidRPr="00A84A20">
        <w:rPr>
          <w:sz w:val="24"/>
          <w:szCs w:val="24"/>
        </w:rPr>
        <w:t xml:space="preserve">That McCombe chose the </w:t>
      </w:r>
      <w:r>
        <w:rPr>
          <w:sz w:val="24"/>
          <w:szCs w:val="24"/>
        </w:rPr>
        <w:t xml:space="preserve">1987 </w:t>
      </w:r>
      <w:r w:rsidRPr="00A84A20">
        <w:rPr>
          <w:sz w:val="24"/>
          <w:szCs w:val="24"/>
        </w:rPr>
        <w:t>Convention Against Torture</w:t>
      </w:r>
      <w:r>
        <w:rPr>
          <w:sz w:val="24"/>
          <w:szCs w:val="24"/>
        </w:rPr>
        <w:t xml:space="preserve"> </w:t>
      </w:r>
      <w:r w:rsidRPr="00A84A20">
        <w:rPr>
          <w:sz w:val="24"/>
          <w:szCs w:val="24"/>
        </w:rPr>
        <w:t xml:space="preserve">to cite rather than the </w:t>
      </w:r>
      <w:r>
        <w:rPr>
          <w:sz w:val="24"/>
          <w:szCs w:val="24"/>
        </w:rPr>
        <w:t xml:space="preserve">1953 </w:t>
      </w:r>
      <w:r w:rsidRPr="00A84A20">
        <w:rPr>
          <w:rFonts w:eastAsia="Times New Roman"/>
          <w:color w:val="000000"/>
          <w:sz w:val="24"/>
          <w:szCs w:val="24"/>
          <w:lang w:eastAsia="en-GB"/>
        </w:rPr>
        <w:t>European Convention on Human Rights (</w:t>
      </w:r>
      <w:r w:rsidRPr="00A84A20">
        <w:rPr>
          <w:sz w:val="24"/>
          <w:szCs w:val="24"/>
        </w:rPr>
        <w:t xml:space="preserve">ECHR), which was in force during the emergency in Kenya, is noteworthy, since </w:t>
      </w:r>
      <w:r>
        <w:rPr>
          <w:sz w:val="24"/>
          <w:szCs w:val="24"/>
        </w:rPr>
        <w:t xml:space="preserve">as </w:t>
      </w:r>
      <w:r w:rsidRPr="00A84A20">
        <w:rPr>
          <w:sz w:val="24"/>
          <w:szCs w:val="24"/>
        </w:rPr>
        <w:t xml:space="preserve">Britain forced the inclusion of Article 15 into the convention, </w:t>
      </w:r>
      <w:r w:rsidRPr="00A84A20">
        <w:rPr>
          <w:rFonts w:eastAsia="Times New Roman"/>
          <w:color w:val="000000"/>
          <w:sz w:val="24"/>
          <w:szCs w:val="24"/>
          <w:lang w:eastAsia="en-GB"/>
        </w:rPr>
        <w:t xml:space="preserve">under which states can abrogate human rights norms in an emergency (though freedom from torture is one of the few rights that cannot be derogated under article 15), </w:t>
      </w:r>
      <w:r w:rsidRPr="00A84A20">
        <w:rPr>
          <w:sz w:val="24"/>
          <w:szCs w:val="24"/>
        </w:rPr>
        <w:t xml:space="preserve">the passage of the ECHR does not cast Britain’s human rights records in a </w:t>
      </w:r>
      <w:r>
        <w:rPr>
          <w:sz w:val="24"/>
          <w:szCs w:val="24"/>
        </w:rPr>
        <w:t xml:space="preserve">particularly </w:t>
      </w:r>
      <w:r w:rsidRPr="00A84A20">
        <w:rPr>
          <w:sz w:val="24"/>
          <w:szCs w:val="24"/>
        </w:rPr>
        <w:t>positive light</w:t>
      </w:r>
      <w:r w:rsidRPr="00A84A20">
        <w:rPr>
          <w:rFonts w:eastAsia="Times New Roman"/>
          <w:color w:val="000000"/>
          <w:sz w:val="24"/>
          <w:szCs w:val="24"/>
          <w:lang w:eastAsia="en-GB"/>
        </w:rPr>
        <w:t xml:space="preserve">. </w:t>
      </w:r>
      <w:r w:rsidRPr="00A84A20">
        <w:rPr>
          <w:sz w:val="24"/>
          <w:szCs w:val="24"/>
        </w:rPr>
        <w:t xml:space="preserve">See the Council of Europe, </w:t>
      </w:r>
      <w:r>
        <w:rPr>
          <w:sz w:val="24"/>
          <w:szCs w:val="24"/>
        </w:rPr>
        <w:t>‘</w:t>
      </w:r>
      <w:r w:rsidRPr="00A84A20">
        <w:rPr>
          <w:sz w:val="24"/>
          <w:szCs w:val="24"/>
        </w:rPr>
        <w:t>Guide on Article 15 of the European Convention of Human Rights: Derogation in Time of Emergency</w:t>
      </w:r>
      <w:r>
        <w:rPr>
          <w:sz w:val="24"/>
          <w:szCs w:val="24"/>
        </w:rPr>
        <w:t>’ &lt;</w:t>
      </w:r>
      <w:hyperlink r:id="rId2" w:history="1">
        <w:r w:rsidRPr="007E2C71">
          <w:rPr>
            <w:rStyle w:val="Hyperlink"/>
            <w:sz w:val="24"/>
            <w:szCs w:val="24"/>
          </w:rPr>
          <w:t>https://www.echr.coe.int/Documents/Guide_Art_15_ENG.pdf</w:t>
        </w:r>
      </w:hyperlink>
      <w:r>
        <w:rPr>
          <w:rStyle w:val="Hyperlink"/>
          <w:sz w:val="24"/>
          <w:szCs w:val="24"/>
        </w:rPr>
        <w:t>&gt;</w:t>
      </w:r>
      <w:r w:rsidRPr="00A84A20">
        <w:rPr>
          <w:sz w:val="24"/>
          <w:szCs w:val="24"/>
        </w:rPr>
        <w:t xml:space="preserve"> accessed 11 May</w:t>
      </w:r>
      <w:r>
        <w:rPr>
          <w:sz w:val="24"/>
          <w:szCs w:val="24"/>
        </w:rPr>
        <w:t xml:space="preserve"> </w:t>
      </w:r>
      <w:r w:rsidRPr="00A84A20">
        <w:rPr>
          <w:sz w:val="24"/>
          <w:szCs w:val="24"/>
        </w:rPr>
        <w:t xml:space="preserve">2020; and John Reynolds, </w:t>
      </w:r>
      <w:r w:rsidRPr="00A84A20">
        <w:rPr>
          <w:i/>
          <w:iCs/>
          <w:sz w:val="24"/>
          <w:szCs w:val="24"/>
        </w:rPr>
        <w:t>Empire, Emergency and International Law</w:t>
      </w:r>
      <w:r w:rsidRPr="00A84A20">
        <w:rPr>
          <w:sz w:val="24"/>
          <w:szCs w:val="24"/>
        </w:rPr>
        <w:t xml:space="preserve"> (Cambridge: Cambridge University Press, 2017), </w:t>
      </w:r>
      <w:r>
        <w:rPr>
          <w:sz w:val="24"/>
          <w:szCs w:val="24"/>
        </w:rPr>
        <w:t>Ch.</w:t>
      </w:r>
      <w:r w:rsidRPr="00A84A20">
        <w:rPr>
          <w:sz w:val="24"/>
          <w:szCs w:val="24"/>
        </w:rPr>
        <w:t xml:space="preserve"> 4</w:t>
      </w:r>
      <w:r>
        <w:rPr>
          <w:sz w:val="24"/>
          <w:szCs w:val="24"/>
        </w:rPr>
        <w:t xml:space="preserve"> (hereafter Reynolds, </w:t>
      </w:r>
      <w:r>
        <w:rPr>
          <w:i/>
          <w:iCs/>
          <w:sz w:val="24"/>
          <w:szCs w:val="24"/>
        </w:rPr>
        <w:t>Empire, Emergency</w:t>
      </w:r>
      <w:r>
        <w:rPr>
          <w:sz w:val="24"/>
          <w:szCs w:val="24"/>
        </w:rPr>
        <w:t>)</w:t>
      </w:r>
      <w:r w:rsidRPr="00A84A20">
        <w:rPr>
          <w:sz w:val="24"/>
          <w:szCs w:val="24"/>
        </w:rPr>
        <w:t>.</w:t>
      </w:r>
    </w:p>
  </w:footnote>
  <w:footnote w:id="16">
    <w:p w14:paraId="0F7665E4"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Ibid</w:t>
      </w:r>
      <w:r>
        <w:rPr>
          <w:sz w:val="24"/>
          <w:szCs w:val="24"/>
        </w:rPr>
        <w:t xml:space="preserve"> [</w:t>
      </w:r>
      <w:r w:rsidRPr="00A84A20">
        <w:rPr>
          <w:sz w:val="24"/>
          <w:szCs w:val="24"/>
        </w:rPr>
        <w:t>K153</w:t>
      </w:r>
      <w:r>
        <w:rPr>
          <w:sz w:val="24"/>
          <w:szCs w:val="24"/>
        </w:rPr>
        <w:t>]</w:t>
      </w:r>
      <w:r w:rsidRPr="00A84A20">
        <w:rPr>
          <w:sz w:val="24"/>
          <w:szCs w:val="24"/>
        </w:rPr>
        <w:t>.</w:t>
      </w:r>
    </w:p>
  </w:footnote>
  <w:footnote w:id="17">
    <w:p w14:paraId="4C2F91DA"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w:t>
      </w:r>
      <w:r>
        <w:rPr>
          <w:sz w:val="24"/>
          <w:szCs w:val="24"/>
        </w:rPr>
        <w:t>Leigh Day, “Historic Claims” &lt;</w:t>
      </w:r>
      <w:hyperlink r:id="rId3" w:history="1">
        <w:r w:rsidRPr="00CB4094">
          <w:rPr>
            <w:rStyle w:val="Hyperlink"/>
            <w:sz w:val="24"/>
            <w:szCs w:val="24"/>
          </w:rPr>
          <w:t>https://www.leighday.co.uk/International/Historic-claims</w:t>
        </w:r>
      </w:hyperlink>
      <w:r>
        <w:rPr>
          <w:sz w:val="24"/>
          <w:szCs w:val="24"/>
        </w:rPr>
        <w:t xml:space="preserve">&gt; </w:t>
      </w:r>
      <w:r w:rsidRPr="00A84A20">
        <w:rPr>
          <w:sz w:val="24"/>
          <w:szCs w:val="24"/>
        </w:rPr>
        <w:t xml:space="preserve">accessed </w:t>
      </w:r>
      <w:r>
        <w:rPr>
          <w:sz w:val="24"/>
          <w:szCs w:val="24"/>
        </w:rPr>
        <w:t xml:space="preserve">11 </w:t>
      </w:r>
      <w:r w:rsidRPr="00A84A20">
        <w:rPr>
          <w:sz w:val="24"/>
          <w:szCs w:val="24"/>
        </w:rPr>
        <w:t>May 2020</w:t>
      </w:r>
      <w:r>
        <w:rPr>
          <w:sz w:val="24"/>
          <w:szCs w:val="24"/>
        </w:rPr>
        <w:t>.</w:t>
      </w:r>
    </w:p>
  </w:footnote>
  <w:footnote w:id="18">
    <w:p w14:paraId="57FB309C" w14:textId="77777777" w:rsidR="00997966" w:rsidRPr="00F17AFE" w:rsidRDefault="00997966" w:rsidP="00997966">
      <w:pPr>
        <w:pStyle w:val="FootnoteText"/>
        <w:spacing w:line="480" w:lineRule="auto"/>
        <w:contextualSpacing/>
        <w:rPr>
          <w:i/>
          <w:iCs/>
          <w:sz w:val="24"/>
          <w:szCs w:val="24"/>
        </w:rPr>
      </w:pPr>
      <w:r w:rsidRPr="00A84A20">
        <w:rPr>
          <w:rStyle w:val="FootnoteReference"/>
          <w:sz w:val="24"/>
          <w:szCs w:val="24"/>
        </w:rPr>
        <w:footnoteRef/>
      </w:r>
      <w:r>
        <w:rPr>
          <w:i/>
          <w:iCs/>
          <w:color w:val="3D3D3D"/>
          <w:sz w:val="24"/>
          <w:szCs w:val="24"/>
        </w:rPr>
        <w:t xml:space="preserve"> </w:t>
      </w:r>
      <w:r w:rsidRPr="00F17AFE">
        <w:rPr>
          <w:i/>
          <w:iCs/>
          <w:color w:val="3D3D3D"/>
          <w:sz w:val="24"/>
          <w:szCs w:val="24"/>
        </w:rPr>
        <w:t>Mutua &amp; O</w:t>
      </w:r>
      <w:r>
        <w:rPr>
          <w:i/>
          <w:iCs/>
          <w:color w:val="3D3D3D"/>
          <w:sz w:val="24"/>
          <w:szCs w:val="24"/>
        </w:rPr>
        <w:t>thers</w:t>
      </w:r>
      <w:r w:rsidRPr="00F17AFE">
        <w:rPr>
          <w:i/>
          <w:iCs/>
          <w:color w:val="3D3D3D"/>
          <w:sz w:val="24"/>
          <w:szCs w:val="24"/>
        </w:rPr>
        <w:t xml:space="preserve"> v The Foreign And Commonwealth Office</w:t>
      </w:r>
      <w:r w:rsidRPr="00F17AFE">
        <w:rPr>
          <w:color w:val="3D3D3D"/>
          <w:sz w:val="24"/>
          <w:szCs w:val="24"/>
        </w:rPr>
        <w:t xml:space="preserve"> [2012] EWHC 2678 (QB)</w:t>
      </w:r>
      <w:r>
        <w:rPr>
          <w:b/>
          <w:bCs/>
          <w:color w:val="3D3D3D"/>
          <w:sz w:val="24"/>
          <w:szCs w:val="24"/>
        </w:rPr>
        <w:t xml:space="preserve"> </w:t>
      </w:r>
      <w:r w:rsidRPr="00F17AFE">
        <w:rPr>
          <w:color w:val="3D3D3D"/>
          <w:sz w:val="24"/>
          <w:szCs w:val="24"/>
        </w:rPr>
        <w:t>5 October 2012</w:t>
      </w:r>
      <w:r w:rsidRPr="00F17AFE">
        <w:rPr>
          <w:sz w:val="24"/>
          <w:szCs w:val="24"/>
        </w:rPr>
        <w:t>;</w:t>
      </w:r>
      <w:r w:rsidRPr="00A84A20">
        <w:rPr>
          <w:sz w:val="24"/>
          <w:szCs w:val="24"/>
        </w:rPr>
        <w:t xml:space="preserve"> and Ian Cobain, </w:t>
      </w:r>
      <w:r>
        <w:rPr>
          <w:sz w:val="24"/>
          <w:szCs w:val="24"/>
        </w:rPr>
        <w:t>‘</w:t>
      </w:r>
      <w:r w:rsidRPr="00A84A20">
        <w:rPr>
          <w:sz w:val="24"/>
          <w:szCs w:val="24"/>
        </w:rPr>
        <w:t>Kenyan Mau Mau Promised Payout as UK Expresses Regret over Abuse</w:t>
      </w:r>
      <w:r>
        <w:rPr>
          <w:sz w:val="24"/>
          <w:szCs w:val="24"/>
        </w:rPr>
        <w:t>’</w:t>
      </w:r>
      <w:r w:rsidRPr="00A84A20">
        <w:rPr>
          <w:sz w:val="24"/>
          <w:szCs w:val="24"/>
        </w:rPr>
        <w:t xml:space="preserve">, </w:t>
      </w:r>
      <w:r w:rsidRPr="00A84A20">
        <w:rPr>
          <w:i/>
          <w:iCs/>
          <w:sz w:val="24"/>
          <w:szCs w:val="24"/>
        </w:rPr>
        <w:t>The Guardian</w:t>
      </w:r>
      <w:r>
        <w:rPr>
          <w:sz w:val="24"/>
          <w:szCs w:val="24"/>
        </w:rPr>
        <w:t xml:space="preserve"> (London, </w:t>
      </w:r>
      <w:r w:rsidRPr="00A84A20">
        <w:rPr>
          <w:sz w:val="24"/>
          <w:szCs w:val="24"/>
        </w:rPr>
        <w:t>5 June 2013</w:t>
      </w:r>
      <w:r>
        <w:rPr>
          <w:sz w:val="24"/>
          <w:szCs w:val="24"/>
        </w:rPr>
        <w:t>) &lt;</w:t>
      </w:r>
      <w:hyperlink r:id="rId4" w:history="1">
        <w:r w:rsidRPr="00CB4094">
          <w:rPr>
            <w:rStyle w:val="Hyperlink"/>
            <w:sz w:val="24"/>
            <w:szCs w:val="24"/>
          </w:rPr>
          <w:t>https://www.theguardian.com/world/2013/jun/05/kenyan-mau-mau-payout-uk-regret-abuse</w:t>
        </w:r>
      </w:hyperlink>
      <w:r w:rsidRPr="00D90D2D">
        <w:rPr>
          <w:rStyle w:val="Hyperlink"/>
          <w:color w:val="auto"/>
          <w:sz w:val="24"/>
          <w:szCs w:val="24"/>
          <w:u w:val="none"/>
        </w:rPr>
        <w:t>&gt;</w:t>
      </w:r>
      <w:r w:rsidRPr="00A84A20">
        <w:rPr>
          <w:sz w:val="24"/>
          <w:szCs w:val="24"/>
        </w:rPr>
        <w:t xml:space="preserve"> accessed 13 May</w:t>
      </w:r>
      <w:r>
        <w:rPr>
          <w:sz w:val="24"/>
          <w:szCs w:val="24"/>
        </w:rPr>
        <w:t xml:space="preserve"> </w:t>
      </w:r>
      <w:r w:rsidRPr="00A84A20">
        <w:rPr>
          <w:sz w:val="24"/>
          <w:szCs w:val="24"/>
        </w:rPr>
        <w:t xml:space="preserve">2020. The settlement was awarded to a total of </w:t>
      </w:r>
      <w:r w:rsidRPr="00A84A20">
        <w:rPr>
          <w:sz w:val="24"/>
          <w:szCs w:val="24"/>
          <w:shd w:val="clear" w:color="auto" w:fill="FFFFFF"/>
        </w:rPr>
        <w:t xml:space="preserve">5,228 Kenyan torture victims, but since it included a £6 million fee </w:t>
      </w:r>
      <w:r>
        <w:rPr>
          <w:sz w:val="24"/>
          <w:szCs w:val="24"/>
          <w:shd w:val="clear" w:color="auto" w:fill="FFFFFF"/>
        </w:rPr>
        <w:t>for</w:t>
      </w:r>
      <w:r w:rsidRPr="00A84A20">
        <w:rPr>
          <w:sz w:val="24"/>
          <w:szCs w:val="24"/>
          <w:shd w:val="clear" w:color="auto" w:fill="FFFFFF"/>
        </w:rPr>
        <w:t xml:space="preserve"> the law firm Leigh Day victims received a mere £2, 658 each. </w:t>
      </w:r>
      <w:r w:rsidRPr="00A84A20">
        <w:rPr>
          <w:sz w:val="24"/>
          <w:szCs w:val="24"/>
        </w:rPr>
        <w:t>Daniel Howden and Kim Sengupta, ‘59 Years Late</w:t>
      </w:r>
      <w:r>
        <w:t>—</w:t>
      </w:r>
      <w:r w:rsidRPr="00A84A20">
        <w:rPr>
          <w:sz w:val="24"/>
          <w:szCs w:val="24"/>
        </w:rPr>
        <w:t xml:space="preserve">but Mau Mau Accept an Almost Apology’, </w:t>
      </w:r>
      <w:r w:rsidRPr="00A84A20">
        <w:rPr>
          <w:i/>
          <w:iCs/>
          <w:sz w:val="24"/>
          <w:szCs w:val="24"/>
        </w:rPr>
        <w:t>The Independent</w:t>
      </w:r>
      <w:r>
        <w:rPr>
          <w:sz w:val="24"/>
          <w:szCs w:val="24"/>
        </w:rPr>
        <w:t xml:space="preserve"> (London, </w:t>
      </w:r>
      <w:r w:rsidRPr="00A84A20">
        <w:rPr>
          <w:sz w:val="24"/>
          <w:szCs w:val="24"/>
        </w:rPr>
        <w:t>7 June 2013</w:t>
      </w:r>
      <w:r>
        <w:rPr>
          <w:sz w:val="24"/>
          <w:szCs w:val="24"/>
        </w:rPr>
        <w:t>)</w:t>
      </w:r>
      <w:r w:rsidRPr="00A84A20">
        <w:rPr>
          <w:b/>
          <w:bCs/>
          <w:sz w:val="24"/>
          <w:szCs w:val="24"/>
        </w:rPr>
        <w:t xml:space="preserve"> </w:t>
      </w:r>
      <w:r>
        <w:rPr>
          <w:b/>
          <w:bCs/>
          <w:sz w:val="24"/>
          <w:szCs w:val="24"/>
        </w:rPr>
        <w:t>&lt;</w:t>
      </w:r>
      <w:hyperlink r:id="rId5" w:history="1">
        <w:r w:rsidRPr="00CB4094">
          <w:rPr>
            <w:rStyle w:val="Hyperlink"/>
            <w:sz w:val="24"/>
            <w:szCs w:val="24"/>
          </w:rPr>
          <w:t>https://www.independent.co.uk/news/world/africa/59-years-late-but-mau-mau-accept-an—almost-apology-8648742.html</w:t>
        </w:r>
      </w:hyperlink>
      <w:r w:rsidRPr="00D90D2D">
        <w:rPr>
          <w:rStyle w:val="Hyperlink"/>
          <w:color w:val="auto"/>
          <w:sz w:val="24"/>
          <w:szCs w:val="24"/>
          <w:u w:val="none"/>
        </w:rPr>
        <w:t>&gt;</w:t>
      </w:r>
      <w:r w:rsidRPr="00A84A20">
        <w:rPr>
          <w:sz w:val="24"/>
          <w:szCs w:val="24"/>
        </w:rPr>
        <w:t xml:space="preserve"> accessed </w:t>
      </w:r>
      <w:r>
        <w:rPr>
          <w:sz w:val="24"/>
          <w:szCs w:val="24"/>
        </w:rPr>
        <w:t xml:space="preserve">13 </w:t>
      </w:r>
      <w:r w:rsidRPr="00A84A20">
        <w:rPr>
          <w:sz w:val="24"/>
          <w:szCs w:val="24"/>
        </w:rPr>
        <w:t>May 2020.</w:t>
      </w:r>
    </w:p>
  </w:footnote>
  <w:footnote w:id="19">
    <w:p w14:paraId="5A84B766" w14:textId="77777777" w:rsidR="00997966" w:rsidRPr="005907B8"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Ian Cobain, </w:t>
      </w:r>
      <w:r w:rsidRPr="00A84A20">
        <w:rPr>
          <w:i/>
          <w:iCs/>
          <w:sz w:val="24"/>
          <w:szCs w:val="24"/>
        </w:rPr>
        <w:t xml:space="preserve">Cruel Britannia: A Secret History of Torture </w:t>
      </w:r>
      <w:r w:rsidRPr="00A84A20">
        <w:rPr>
          <w:sz w:val="24"/>
          <w:szCs w:val="24"/>
        </w:rPr>
        <w:t>(London: Portobello Books, 2012), xii</w:t>
      </w:r>
      <w:r>
        <w:rPr>
          <w:sz w:val="24"/>
          <w:szCs w:val="24"/>
        </w:rPr>
        <w:t xml:space="preserve"> (hereafter Cobain, </w:t>
      </w:r>
      <w:r>
        <w:rPr>
          <w:i/>
          <w:iCs/>
          <w:sz w:val="24"/>
          <w:szCs w:val="24"/>
        </w:rPr>
        <w:t>Cruel Britannia</w:t>
      </w:r>
      <w:r>
        <w:rPr>
          <w:sz w:val="24"/>
          <w:szCs w:val="24"/>
        </w:rPr>
        <w:t>)</w:t>
      </w:r>
      <w:r w:rsidRPr="00A84A20">
        <w:rPr>
          <w:sz w:val="24"/>
          <w:szCs w:val="24"/>
        </w:rPr>
        <w:t xml:space="preserve">. See also Tobias Kelly, </w:t>
      </w:r>
      <w:r w:rsidRPr="00A84A20">
        <w:rPr>
          <w:i/>
          <w:iCs/>
          <w:sz w:val="24"/>
          <w:szCs w:val="24"/>
        </w:rPr>
        <w:t>This Side of Silence: Human Rights, Torture, and the Recognition of Cruelty</w:t>
      </w:r>
      <w:r w:rsidRPr="00A84A20">
        <w:rPr>
          <w:sz w:val="24"/>
          <w:szCs w:val="24"/>
        </w:rPr>
        <w:t xml:space="preserve"> (Philadelphia, PA: University of Pennsylvania Press, 2012), 44</w:t>
      </w:r>
      <w:r>
        <w:rPr>
          <w:sz w:val="24"/>
          <w:szCs w:val="24"/>
        </w:rPr>
        <w:t xml:space="preserve"> (hereafter Kelly, </w:t>
      </w:r>
      <w:r>
        <w:rPr>
          <w:i/>
          <w:iCs/>
          <w:sz w:val="24"/>
          <w:szCs w:val="24"/>
        </w:rPr>
        <w:t>This Side of Silence</w:t>
      </w:r>
      <w:r>
        <w:rPr>
          <w:sz w:val="24"/>
          <w:szCs w:val="24"/>
        </w:rPr>
        <w:t>)</w:t>
      </w:r>
      <w:r w:rsidRPr="00A84A20">
        <w:rPr>
          <w:sz w:val="24"/>
          <w:szCs w:val="24"/>
        </w:rPr>
        <w:t>.</w:t>
      </w:r>
      <w:r>
        <w:rPr>
          <w:sz w:val="24"/>
          <w:szCs w:val="24"/>
        </w:rPr>
        <w:t xml:space="preserve"> </w:t>
      </w:r>
      <w:r w:rsidRPr="00A84A20">
        <w:rPr>
          <w:sz w:val="24"/>
          <w:szCs w:val="24"/>
        </w:rPr>
        <w:t xml:space="preserve">Torture was formally abolished in England in 1640 and in Scotland in 1708; it is also explicitly prohibited under the 1988 Criminal Justice Act, introduced to honour Britain’s commitments under the UN Convention Against Torture. However, the Act also provides a defence for torture if the perpetrator was given </w:t>
      </w:r>
      <w:proofErr w:type="gramStart"/>
      <w:r>
        <w:rPr>
          <w:sz w:val="24"/>
          <w:szCs w:val="24"/>
        </w:rPr>
        <w:t>‘”</w:t>
      </w:r>
      <w:r w:rsidRPr="00A84A20">
        <w:rPr>
          <w:sz w:val="24"/>
          <w:szCs w:val="24"/>
        </w:rPr>
        <w:t>lawful</w:t>
      </w:r>
      <w:proofErr w:type="gramEnd"/>
      <w:r w:rsidRPr="00A84A20">
        <w:rPr>
          <w:sz w:val="24"/>
          <w:szCs w:val="24"/>
        </w:rPr>
        <w:t xml:space="preserve"> authority, justification or excuse</w:t>
      </w:r>
      <w:r>
        <w:rPr>
          <w:sz w:val="24"/>
          <w:szCs w:val="24"/>
        </w:rPr>
        <w:t>”’</w:t>
      </w:r>
      <w:r w:rsidRPr="00A84A20">
        <w:rPr>
          <w:sz w:val="24"/>
          <w:szCs w:val="24"/>
        </w:rPr>
        <w:t xml:space="preserve"> to enact it. </w:t>
      </w:r>
      <w:r>
        <w:rPr>
          <w:sz w:val="24"/>
          <w:szCs w:val="24"/>
        </w:rPr>
        <w:t>‘</w:t>
      </w:r>
      <w:r w:rsidRPr="00A84A20">
        <w:rPr>
          <w:color w:val="121212"/>
          <w:sz w:val="24"/>
          <w:szCs w:val="24"/>
          <w:shd w:val="clear" w:color="auto" w:fill="FFFFFF"/>
        </w:rPr>
        <w:t>Torture in UK Law</w:t>
      </w:r>
      <w:r>
        <w:rPr>
          <w:color w:val="121212"/>
          <w:sz w:val="24"/>
          <w:szCs w:val="24"/>
          <w:shd w:val="clear" w:color="auto" w:fill="FFFFFF"/>
        </w:rPr>
        <w:t>’ (</w:t>
      </w:r>
      <w:r w:rsidRPr="00D80F4F">
        <w:rPr>
          <w:i/>
          <w:iCs/>
          <w:color w:val="121212"/>
          <w:sz w:val="24"/>
          <w:szCs w:val="24"/>
          <w:shd w:val="clear" w:color="auto" w:fill="FFFFFF"/>
        </w:rPr>
        <w:t>Justice.org</w:t>
      </w:r>
      <w:r>
        <w:rPr>
          <w:color w:val="121212"/>
          <w:sz w:val="24"/>
          <w:szCs w:val="24"/>
          <w:shd w:val="clear" w:color="auto" w:fill="FFFFFF"/>
        </w:rPr>
        <w:t>) &lt;</w:t>
      </w:r>
      <w:hyperlink r:id="rId6" w:history="1">
        <w:r w:rsidRPr="00CB4094">
          <w:rPr>
            <w:rStyle w:val="Hyperlink"/>
            <w:sz w:val="24"/>
            <w:szCs w:val="24"/>
          </w:rPr>
          <w:t>https://justice.org.uk/torture-uk-law/</w:t>
        </w:r>
      </w:hyperlink>
      <w:r>
        <w:rPr>
          <w:sz w:val="24"/>
          <w:szCs w:val="24"/>
        </w:rPr>
        <w:t xml:space="preserve">&gt; </w:t>
      </w:r>
      <w:r w:rsidRPr="00A84A20">
        <w:rPr>
          <w:sz w:val="24"/>
          <w:szCs w:val="24"/>
        </w:rPr>
        <w:t xml:space="preserve">accessed 11 May, 2020; and </w:t>
      </w:r>
      <w:bookmarkStart w:id="2" w:name="_Hlk41554999"/>
      <w:r w:rsidRPr="00A84A20">
        <w:rPr>
          <w:sz w:val="24"/>
          <w:szCs w:val="24"/>
        </w:rPr>
        <w:t xml:space="preserve">Cynthia Banham, </w:t>
      </w:r>
      <w:r w:rsidRPr="00A84A20">
        <w:rPr>
          <w:i/>
          <w:iCs/>
          <w:sz w:val="24"/>
          <w:szCs w:val="24"/>
        </w:rPr>
        <w:t>Liberal Democracies and the Torture of their Citizens</w:t>
      </w:r>
      <w:r w:rsidRPr="00A84A20">
        <w:rPr>
          <w:sz w:val="24"/>
          <w:szCs w:val="24"/>
        </w:rPr>
        <w:t xml:space="preserve"> (Oxford: Hart Publishing, 2017)</w:t>
      </w:r>
      <w:bookmarkEnd w:id="2"/>
      <w:r w:rsidRPr="00A84A20">
        <w:rPr>
          <w:sz w:val="24"/>
          <w:szCs w:val="24"/>
        </w:rPr>
        <w:t>, 150</w:t>
      </w:r>
      <w:r>
        <w:rPr>
          <w:sz w:val="24"/>
          <w:szCs w:val="24"/>
        </w:rPr>
        <w:t xml:space="preserve"> (hereafter Banham, </w:t>
      </w:r>
      <w:r>
        <w:rPr>
          <w:i/>
          <w:iCs/>
          <w:sz w:val="24"/>
          <w:szCs w:val="24"/>
        </w:rPr>
        <w:t>Liberal Democracies</w:t>
      </w:r>
      <w:r>
        <w:rPr>
          <w:sz w:val="24"/>
          <w:szCs w:val="24"/>
        </w:rPr>
        <w:t>)</w:t>
      </w:r>
      <w:r w:rsidRPr="00A84A20">
        <w:rPr>
          <w:sz w:val="24"/>
          <w:szCs w:val="24"/>
        </w:rPr>
        <w:t xml:space="preserve">. See also </w:t>
      </w:r>
      <w:r w:rsidRPr="00A84A20">
        <w:rPr>
          <w:color w:val="000000"/>
          <w:sz w:val="24"/>
          <w:szCs w:val="24"/>
          <w:shd w:val="clear" w:color="auto" w:fill="FFFFFF"/>
        </w:rPr>
        <w:t xml:space="preserve">Edward Peters, </w:t>
      </w:r>
      <w:r w:rsidRPr="00A84A20">
        <w:rPr>
          <w:i/>
          <w:sz w:val="24"/>
          <w:szCs w:val="24"/>
        </w:rPr>
        <w:t xml:space="preserve">Torture </w:t>
      </w:r>
      <w:r w:rsidRPr="00A84A20">
        <w:rPr>
          <w:sz w:val="24"/>
          <w:szCs w:val="24"/>
        </w:rPr>
        <w:t>(Oxford: Basil Blackwell, 1985); and</w:t>
      </w:r>
      <w:r w:rsidRPr="00A84A20">
        <w:rPr>
          <w:color w:val="000000"/>
          <w:sz w:val="24"/>
          <w:szCs w:val="24"/>
          <w:shd w:val="clear" w:color="auto" w:fill="FFFFFF"/>
        </w:rPr>
        <w:t xml:space="preserve"> John H. Langbein, </w:t>
      </w:r>
      <w:r w:rsidRPr="00A84A20">
        <w:rPr>
          <w:i/>
          <w:sz w:val="24"/>
          <w:szCs w:val="24"/>
        </w:rPr>
        <w:t>Torture and the Law of Proof: Europe and England in the Ancien Régime</w:t>
      </w:r>
      <w:r w:rsidRPr="00A84A20">
        <w:rPr>
          <w:sz w:val="24"/>
          <w:szCs w:val="24"/>
        </w:rPr>
        <w:t xml:space="preserve"> (Chicago and London: The University of Chicago Press, 1977)</w:t>
      </w:r>
      <w:r w:rsidRPr="00A84A20">
        <w:rPr>
          <w:color w:val="000000"/>
          <w:sz w:val="24"/>
          <w:szCs w:val="24"/>
          <w:shd w:val="clear" w:color="auto" w:fill="FFFFFF"/>
        </w:rPr>
        <w:t>.</w:t>
      </w:r>
    </w:p>
  </w:footnote>
  <w:footnote w:id="20">
    <w:p w14:paraId="307C9F05"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Caroline Elkins, </w:t>
      </w:r>
      <w:r>
        <w:rPr>
          <w:sz w:val="24"/>
          <w:szCs w:val="24"/>
        </w:rPr>
        <w:t>‘</w:t>
      </w:r>
      <w:r w:rsidRPr="00A84A20">
        <w:rPr>
          <w:color w:val="121212"/>
          <w:sz w:val="24"/>
          <w:szCs w:val="24"/>
        </w:rPr>
        <w:t>The Colonial Papers: FCO Transparency is a Carefully Cultivated Myth</w:t>
      </w:r>
      <w:r>
        <w:rPr>
          <w:color w:val="121212"/>
          <w:sz w:val="24"/>
          <w:szCs w:val="24"/>
        </w:rPr>
        <w:t>’</w:t>
      </w:r>
      <w:r w:rsidRPr="00A84A20">
        <w:rPr>
          <w:color w:val="121212"/>
          <w:sz w:val="24"/>
          <w:szCs w:val="24"/>
        </w:rPr>
        <w:t xml:space="preserve">, </w:t>
      </w:r>
      <w:r w:rsidRPr="00A84A20">
        <w:rPr>
          <w:i/>
          <w:iCs/>
          <w:color w:val="121212"/>
          <w:sz w:val="24"/>
          <w:szCs w:val="24"/>
        </w:rPr>
        <w:t>The Guardian</w:t>
      </w:r>
      <w:r>
        <w:rPr>
          <w:i/>
          <w:iCs/>
          <w:color w:val="121212"/>
          <w:sz w:val="24"/>
          <w:szCs w:val="24"/>
        </w:rPr>
        <w:t xml:space="preserve"> </w:t>
      </w:r>
      <w:r>
        <w:rPr>
          <w:color w:val="121212"/>
          <w:sz w:val="24"/>
          <w:szCs w:val="24"/>
        </w:rPr>
        <w:t xml:space="preserve">(London, </w:t>
      </w:r>
      <w:r w:rsidRPr="00A84A20">
        <w:rPr>
          <w:color w:val="121212"/>
          <w:sz w:val="24"/>
          <w:szCs w:val="24"/>
        </w:rPr>
        <w:t>18 April</w:t>
      </w:r>
      <w:r>
        <w:rPr>
          <w:color w:val="121212"/>
          <w:sz w:val="24"/>
          <w:szCs w:val="24"/>
        </w:rPr>
        <w:t xml:space="preserve"> </w:t>
      </w:r>
      <w:r w:rsidRPr="00A84A20">
        <w:rPr>
          <w:color w:val="121212"/>
          <w:sz w:val="24"/>
          <w:szCs w:val="24"/>
        </w:rPr>
        <w:t>2012</w:t>
      </w:r>
      <w:r>
        <w:rPr>
          <w:color w:val="121212"/>
          <w:sz w:val="24"/>
          <w:szCs w:val="24"/>
        </w:rPr>
        <w:t>)</w:t>
      </w:r>
      <w:r w:rsidRPr="00A84A20">
        <w:rPr>
          <w:color w:val="121212"/>
          <w:sz w:val="24"/>
          <w:szCs w:val="24"/>
        </w:rPr>
        <w:t xml:space="preserve"> </w:t>
      </w:r>
      <w:r>
        <w:rPr>
          <w:color w:val="121212"/>
          <w:sz w:val="24"/>
          <w:szCs w:val="24"/>
        </w:rPr>
        <w:t>&lt;</w:t>
      </w:r>
      <w:hyperlink r:id="rId7" w:history="1">
        <w:r w:rsidRPr="00CB4094">
          <w:rPr>
            <w:rStyle w:val="Hyperlink"/>
            <w:sz w:val="24"/>
            <w:szCs w:val="24"/>
          </w:rPr>
          <w:t>https://www.theguardian.com/politics/2012/apr/18/colonial-papers-fco-transparency-myth</w:t>
        </w:r>
      </w:hyperlink>
      <w:r>
        <w:rPr>
          <w:rStyle w:val="Hyperlink"/>
          <w:sz w:val="24"/>
          <w:szCs w:val="24"/>
        </w:rPr>
        <w:t>&gt;</w:t>
      </w:r>
      <w:r w:rsidRPr="00A84A20">
        <w:rPr>
          <w:sz w:val="24"/>
          <w:szCs w:val="24"/>
        </w:rPr>
        <w:t xml:space="preserve"> accessed </w:t>
      </w:r>
      <w:r>
        <w:rPr>
          <w:sz w:val="24"/>
          <w:szCs w:val="24"/>
        </w:rPr>
        <w:t xml:space="preserve">11 </w:t>
      </w:r>
      <w:r w:rsidRPr="00A84A20">
        <w:rPr>
          <w:sz w:val="24"/>
          <w:szCs w:val="24"/>
        </w:rPr>
        <w:t>May 2020</w:t>
      </w:r>
      <w:r>
        <w:rPr>
          <w:sz w:val="24"/>
          <w:szCs w:val="24"/>
        </w:rPr>
        <w:t xml:space="preserve"> (hereafter Elkins, ‘The Colonial Papers’)</w:t>
      </w:r>
      <w:r w:rsidRPr="00A84A20">
        <w:rPr>
          <w:sz w:val="24"/>
          <w:szCs w:val="24"/>
        </w:rPr>
        <w:t xml:space="preserve">. </w:t>
      </w:r>
    </w:p>
  </w:footnote>
  <w:footnote w:id="21">
    <w:p w14:paraId="37ED49ED" w14:textId="77777777" w:rsidR="00997966" w:rsidRPr="00A84A20" w:rsidRDefault="00997966" w:rsidP="00997966">
      <w:pPr>
        <w:pStyle w:val="body-paragraph"/>
        <w:spacing w:before="0" w:beforeAutospacing="0" w:after="0" w:afterAutospacing="0" w:line="480" w:lineRule="auto"/>
        <w:contextualSpacing/>
        <w:textAlignment w:val="baseline"/>
      </w:pPr>
      <w:r w:rsidRPr="00A84A20">
        <w:rPr>
          <w:rStyle w:val="FootnoteReference"/>
        </w:rPr>
        <w:footnoteRef/>
      </w:r>
      <w:r w:rsidRPr="00A84A20">
        <w:t xml:space="preserve"> See Caroline Elkins, </w:t>
      </w:r>
      <w:r w:rsidRPr="00A84A20">
        <w:rPr>
          <w:i/>
          <w:iCs/>
        </w:rPr>
        <w:t xml:space="preserve">Imperial Reckoning: The Untold Story of Britain’s Gulag in Kenya </w:t>
      </w:r>
      <w:r w:rsidRPr="00A84A20">
        <w:t>(New York: Henry Holt 2005),</w:t>
      </w:r>
      <w:r w:rsidRPr="00A84A20">
        <w:rPr>
          <w:i/>
          <w:iCs/>
        </w:rPr>
        <w:t xml:space="preserve"> </w:t>
      </w:r>
      <w:r w:rsidRPr="00A84A20">
        <w:t>xiv, 48</w:t>
      </w:r>
      <w:r>
        <w:t xml:space="preserve"> (hereafter Elkins, </w:t>
      </w:r>
      <w:r>
        <w:rPr>
          <w:i/>
          <w:iCs/>
        </w:rPr>
        <w:t>Imperial Reckoning</w:t>
      </w:r>
      <w:r>
        <w:t>)</w:t>
      </w:r>
      <w:r w:rsidRPr="00A84A20">
        <w:t xml:space="preserve">; Dominik J. Schaller, </w:t>
      </w:r>
      <w:r>
        <w:t>‘</w:t>
      </w:r>
      <w:r w:rsidRPr="00A84A20">
        <w:t xml:space="preserve">Genocide and Mass Violence in the </w:t>
      </w:r>
      <w:r>
        <w:t>“</w:t>
      </w:r>
      <w:r w:rsidRPr="00A84A20">
        <w:t>Heart of Darkness</w:t>
      </w:r>
      <w:r>
        <w:t>”</w:t>
      </w:r>
      <w:r w:rsidRPr="00A84A20">
        <w:t>: Africa in the Colonial Period</w:t>
      </w:r>
      <w:r>
        <w:t>’</w:t>
      </w:r>
      <w:r w:rsidRPr="00A84A20">
        <w:t xml:space="preserve">, in David Bloxham and A. Dirk Moses (eds), </w:t>
      </w:r>
      <w:r w:rsidRPr="00A84A20">
        <w:rPr>
          <w:i/>
          <w:iCs/>
        </w:rPr>
        <w:t xml:space="preserve">The Oxford Handbook of Genocide Studies </w:t>
      </w:r>
      <w:r w:rsidRPr="00A84A20">
        <w:t>(New York: Oxford University Press 2010)</w:t>
      </w:r>
      <w:r w:rsidRPr="00A84A20">
        <w:rPr>
          <w:i/>
          <w:iCs/>
        </w:rPr>
        <w:t xml:space="preserve">, </w:t>
      </w:r>
      <w:r w:rsidRPr="00A84A20">
        <w:t xml:space="preserve">359; and Martin Crook, </w:t>
      </w:r>
      <w:r>
        <w:t>‘</w:t>
      </w:r>
      <w:r w:rsidRPr="00A84A20">
        <w:t>The Mau Mau Genocide: A Neo</w:t>
      </w:r>
      <w:r>
        <w:t>-</w:t>
      </w:r>
      <w:r w:rsidRPr="00A84A20">
        <w:t>Lemkinian Analysis</w:t>
      </w:r>
      <w:r>
        <w:t>’</w:t>
      </w:r>
      <w:r w:rsidRPr="00A84A20">
        <w:t xml:space="preserve">, </w:t>
      </w:r>
      <w:r w:rsidRPr="00A84A20">
        <w:rPr>
          <w:i/>
          <w:iCs/>
        </w:rPr>
        <w:t xml:space="preserve">Journal of Human Rights in the Commonwealth </w:t>
      </w:r>
      <w:r w:rsidRPr="00A84A20">
        <w:t>1</w:t>
      </w:r>
      <w:r>
        <w:t>/</w:t>
      </w:r>
      <w:r w:rsidRPr="00A84A20">
        <w:t>1 (2013)</w:t>
      </w:r>
      <w:r>
        <w:t>,</w:t>
      </w:r>
      <w:r w:rsidRPr="00A84A20">
        <w:t xml:space="preserve"> 18</w:t>
      </w:r>
      <w:r>
        <w:t>-</w:t>
      </w:r>
      <w:r w:rsidRPr="00A84A20">
        <w:t>37</w:t>
      </w:r>
      <w:r w:rsidRPr="00A84A20">
        <w:rPr>
          <w:color w:val="333333"/>
        </w:rPr>
        <w:t xml:space="preserve">. </w:t>
      </w:r>
      <w:r w:rsidRPr="00A84A20">
        <w:t xml:space="preserve">Though scholars have attempted to refute claims that British colonial violence in Kenya was genocidal in intent, such attempts generally focus narrowly on military history </w:t>
      </w:r>
      <w:r>
        <w:t>—</w:t>
      </w:r>
      <w:r w:rsidRPr="00A84A20">
        <w:t>i.e. that the British military could have killed many more people in Kenya than it did</w:t>
      </w:r>
      <w:r>
        <w:t>—</w:t>
      </w:r>
      <w:r w:rsidRPr="00A84A20">
        <w:t xml:space="preserve">rather than on the many forms of structural and systemic violence to which Kenyans, particularly the Kikuyu, were subject. See Huw Bennett, </w:t>
      </w:r>
      <w:r w:rsidRPr="00A84A20">
        <w:rPr>
          <w:i/>
          <w:iCs/>
        </w:rPr>
        <w:t>Fighting the Mau Mau:</w:t>
      </w:r>
      <w:r>
        <w:rPr>
          <w:i/>
          <w:iCs/>
        </w:rPr>
        <w:t xml:space="preserve"> </w:t>
      </w:r>
      <w:r w:rsidRPr="00A84A20">
        <w:rPr>
          <w:i/>
          <w:iCs/>
        </w:rPr>
        <w:t xml:space="preserve">The British Army and </w:t>
      </w:r>
      <w:proofErr w:type="gramStart"/>
      <w:r w:rsidRPr="00A84A20">
        <w:rPr>
          <w:i/>
          <w:iCs/>
        </w:rPr>
        <w:t>Counter</w:t>
      </w:r>
      <w:r>
        <w:rPr>
          <w:i/>
          <w:iCs/>
        </w:rPr>
        <w:t>-</w:t>
      </w:r>
      <w:r w:rsidRPr="00A84A20">
        <w:rPr>
          <w:i/>
          <w:iCs/>
        </w:rPr>
        <w:t>Insurgency</w:t>
      </w:r>
      <w:proofErr w:type="gramEnd"/>
      <w:r w:rsidRPr="00A84A20">
        <w:rPr>
          <w:i/>
          <w:iCs/>
        </w:rPr>
        <w:t xml:space="preserve"> in the Kenya Emergency </w:t>
      </w:r>
      <w:r w:rsidRPr="00A84A20">
        <w:t>(Cambridge: Cambridge University Press, 2012), 108</w:t>
      </w:r>
      <w:r>
        <w:t xml:space="preserve"> (hereafter Bennett, </w:t>
      </w:r>
      <w:r>
        <w:rPr>
          <w:i/>
          <w:iCs/>
        </w:rPr>
        <w:t>Fighting the Mau Mau</w:t>
      </w:r>
      <w:r>
        <w:t>)</w:t>
      </w:r>
      <w:r w:rsidRPr="00A84A20">
        <w:t>.</w:t>
      </w:r>
      <w:r w:rsidRPr="00A84A20">
        <w:rPr>
          <w:i/>
          <w:iCs/>
        </w:rPr>
        <w:t xml:space="preserve"> </w:t>
      </w:r>
      <w:r w:rsidRPr="00A84A20">
        <w:t xml:space="preserve">For debates on the genocidal nature of colonialism see Robert Gerwarth and Stephan Malinowski, </w:t>
      </w:r>
      <w:r>
        <w:t>‘</w:t>
      </w:r>
      <w:r w:rsidRPr="00A84A20">
        <w:t>Hannah Arendt’s Ghosts: Reflections on the Disputable Path from Windhoek to Auschwitz</w:t>
      </w:r>
      <w:r>
        <w:t>’</w:t>
      </w:r>
      <w:r w:rsidRPr="00A84A20">
        <w:t xml:space="preserve">, </w:t>
      </w:r>
      <w:r w:rsidRPr="00A84A20">
        <w:rPr>
          <w:i/>
          <w:iCs/>
        </w:rPr>
        <w:t>Central European History</w:t>
      </w:r>
      <w:r w:rsidRPr="00A84A20">
        <w:t xml:space="preserve"> 42</w:t>
      </w:r>
      <w:r>
        <w:t>/</w:t>
      </w:r>
      <w:r w:rsidRPr="00A84A20">
        <w:t>2 (2009)</w:t>
      </w:r>
      <w:r>
        <w:t>,</w:t>
      </w:r>
      <w:r w:rsidRPr="00A84A20">
        <w:t xml:space="preserve"> 279</w:t>
      </w:r>
      <w:r>
        <w:t>-</w:t>
      </w:r>
      <w:r w:rsidRPr="00A84A20">
        <w:t xml:space="preserve">300; and Michelle Gordon, </w:t>
      </w:r>
      <w:r>
        <w:t>‘</w:t>
      </w:r>
      <w:r w:rsidRPr="00A84A20">
        <w:t xml:space="preserve">Colonial </w:t>
      </w:r>
      <w:r>
        <w:t>V</w:t>
      </w:r>
      <w:r w:rsidRPr="00A84A20">
        <w:t xml:space="preserve">iolence and Holocaust </w:t>
      </w:r>
      <w:r>
        <w:t>S</w:t>
      </w:r>
      <w:r w:rsidRPr="00A84A20">
        <w:t>tudies</w:t>
      </w:r>
      <w:r>
        <w:t>’</w:t>
      </w:r>
      <w:r w:rsidRPr="00A84A20">
        <w:t xml:space="preserve">, </w:t>
      </w:r>
      <w:r w:rsidRPr="00A84A20">
        <w:rPr>
          <w:i/>
          <w:iCs/>
        </w:rPr>
        <w:t>Holocaust Studies</w:t>
      </w:r>
      <w:r w:rsidRPr="00A84A20">
        <w:t xml:space="preserve"> 21</w:t>
      </w:r>
      <w:r>
        <w:t>/</w:t>
      </w:r>
      <w:r w:rsidRPr="00A84A20">
        <w:t>1 (2015)</w:t>
      </w:r>
      <w:r>
        <w:t>,</w:t>
      </w:r>
      <w:r w:rsidRPr="00A84A20">
        <w:t xml:space="preserve"> 272–91.   </w:t>
      </w:r>
    </w:p>
  </w:footnote>
  <w:footnote w:id="22">
    <w:p w14:paraId="2539CB09"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For the use of torture against anti</w:t>
      </w:r>
      <w:r>
        <w:rPr>
          <w:sz w:val="24"/>
          <w:szCs w:val="24"/>
        </w:rPr>
        <w:t>—</w:t>
      </w:r>
      <w:r w:rsidRPr="00A84A20">
        <w:rPr>
          <w:sz w:val="24"/>
          <w:szCs w:val="24"/>
        </w:rPr>
        <w:t>colonial movements</w:t>
      </w:r>
      <w:r>
        <w:rPr>
          <w:sz w:val="24"/>
          <w:szCs w:val="24"/>
        </w:rPr>
        <w:t>—</w:t>
      </w:r>
      <w:r w:rsidRPr="00A84A20">
        <w:rPr>
          <w:sz w:val="24"/>
          <w:szCs w:val="24"/>
        </w:rPr>
        <w:t xml:space="preserve">which scholars, using a term that legitimates colonial violence, generally refer to as </w:t>
      </w:r>
      <w:r>
        <w:rPr>
          <w:sz w:val="24"/>
          <w:szCs w:val="24"/>
        </w:rPr>
        <w:t>‘</w:t>
      </w:r>
      <w:r w:rsidRPr="00A84A20">
        <w:rPr>
          <w:sz w:val="24"/>
          <w:szCs w:val="24"/>
        </w:rPr>
        <w:t>counter</w:t>
      </w:r>
      <w:r>
        <w:rPr>
          <w:sz w:val="24"/>
          <w:szCs w:val="24"/>
        </w:rPr>
        <w:t>-</w:t>
      </w:r>
      <w:r w:rsidRPr="00A84A20">
        <w:rPr>
          <w:sz w:val="24"/>
          <w:szCs w:val="24"/>
        </w:rPr>
        <w:t>insurgency</w:t>
      </w:r>
      <w:r>
        <w:rPr>
          <w:sz w:val="24"/>
          <w:szCs w:val="24"/>
        </w:rPr>
        <w:t>’</w:t>
      </w:r>
      <w:r w:rsidRPr="00A84A20">
        <w:rPr>
          <w:sz w:val="24"/>
          <w:szCs w:val="24"/>
        </w:rPr>
        <w:t xml:space="preserve"> campaigns but Kim Wagner more helpfully terms </w:t>
      </w:r>
      <w:r>
        <w:rPr>
          <w:sz w:val="24"/>
          <w:szCs w:val="24"/>
        </w:rPr>
        <w:t>‘</w:t>
      </w:r>
      <w:r w:rsidRPr="00A84A20">
        <w:rPr>
          <w:sz w:val="24"/>
          <w:szCs w:val="24"/>
        </w:rPr>
        <w:t>savage warfare</w:t>
      </w:r>
      <w:r>
        <w:rPr>
          <w:sz w:val="24"/>
          <w:szCs w:val="24"/>
        </w:rPr>
        <w:t>’—</w:t>
      </w:r>
      <w:r w:rsidRPr="00A84A20">
        <w:rPr>
          <w:sz w:val="24"/>
          <w:szCs w:val="24"/>
        </w:rPr>
        <w:t xml:space="preserve">see, for example, Elkins, </w:t>
      </w:r>
      <w:r w:rsidRPr="00A84A20">
        <w:rPr>
          <w:i/>
          <w:iCs/>
          <w:sz w:val="24"/>
          <w:szCs w:val="24"/>
        </w:rPr>
        <w:t>Imperial Reckoning</w:t>
      </w:r>
      <w:r>
        <w:rPr>
          <w:i/>
          <w:iCs/>
          <w:sz w:val="24"/>
          <w:szCs w:val="24"/>
        </w:rPr>
        <w:t xml:space="preserve"> </w:t>
      </w:r>
      <w:r>
        <w:rPr>
          <w:sz w:val="24"/>
          <w:szCs w:val="24"/>
        </w:rPr>
        <w:t>(n 12)</w:t>
      </w:r>
      <w:r w:rsidRPr="00A84A20">
        <w:rPr>
          <w:i/>
          <w:iCs/>
          <w:sz w:val="24"/>
          <w:szCs w:val="24"/>
        </w:rPr>
        <w:t xml:space="preserve">; </w:t>
      </w:r>
      <w:r w:rsidRPr="00A84A20">
        <w:rPr>
          <w:sz w:val="24"/>
          <w:szCs w:val="24"/>
        </w:rPr>
        <w:t xml:space="preserve">Andrew Mumford, </w:t>
      </w:r>
      <w:r>
        <w:rPr>
          <w:sz w:val="24"/>
          <w:szCs w:val="24"/>
        </w:rPr>
        <w:t>‘</w:t>
      </w:r>
      <w:r w:rsidRPr="00A84A20">
        <w:rPr>
          <w:sz w:val="24"/>
          <w:szCs w:val="24"/>
        </w:rPr>
        <w:t>Minimum Force Meets Brutality: Detention, Interrogation and Torture in British Counter</w:t>
      </w:r>
      <w:r>
        <w:rPr>
          <w:sz w:val="24"/>
          <w:szCs w:val="24"/>
        </w:rPr>
        <w:t>-</w:t>
      </w:r>
      <w:r w:rsidRPr="00A84A20">
        <w:rPr>
          <w:sz w:val="24"/>
          <w:szCs w:val="24"/>
        </w:rPr>
        <w:t>insurgency Campaigns</w:t>
      </w:r>
      <w:r>
        <w:rPr>
          <w:sz w:val="24"/>
          <w:szCs w:val="24"/>
        </w:rPr>
        <w:t>’</w:t>
      </w:r>
      <w:r w:rsidRPr="00A84A20">
        <w:rPr>
          <w:sz w:val="24"/>
          <w:szCs w:val="24"/>
        </w:rPr>
        <w:t xml:space="preserve">, </w:t>
      </w:r>
      <w:r w:rsidRPr="00A84A20">
        <w:rPr>
          <w:i/>
          <w:iCs/>
          <w:sz w:val="24"/>
          <w:szCs w:val="24"/>
        </w:rPr>
        <w:t xml:space="preserve">Journal of Military Ethics </w:t>
      </w:r>
      <w:r w:rsidRPr="00A84A20">
        <w:rPr>
          <w:sz w:val="24"/>
          <w:szCs w:val="24"/>
        </w:rPr>
        <w:t>11</w:t>
      </w:r>
      <w:r>
        <w:rPr>
          <w:sz w:val="24"/>
          <w:szCs w:val="24"/>
        </w:rPr>
        <w:t>/</w:t>
      </w:r>
      <w:r w:rsidRPr="00A84A20">
        <w:rPr>
          <w:sz w:val="24"/>
          <w:szCs w:val="24"/>
        </w:rPr>
        <w:t>1 (2012)</w:t>
      </w:r>
      <w:r>
        <w:rPr>
          <w:sz w:val="24"/>
          <w:szCs w:val="24"/>
        </w:rPr>
        <w:t>,</w:t>
      </w:r>
      <w:r w:rsidRPr="00A84A20">
        <w:rPr>
          <w:sz w:val="24"/>
          <w:szCs w:val="24"/>
        </w:rPr>
        <w:t xml:space="preserve"> 10</w:t>
      </w:r>
      <w:r>
        <w:rPr>
          <w:sz w:val="24"/>
          <w:szCs w:val="24"/>
        </w:rPr>
        <w:t>-</w:t>
      </w:r>
      <w:r w:rsidRPr="00A84A20">
        <w:rPr>
          <w:sz w:val="24"/>
          <w:szCs w:val="24"/>
        </w:rPr>
        <w:t xml:space="preserve">25; Anderson, </w:t>
      </w:r>
      <w:r>
        <w:rPr>
          <w:sz w:val="24"/>
          <w:szCs w:val="24"/>
        </w:rPr>
        <w:t>‘</w:t>
      </w:r>
      <w:r w:rsidRPr="00A84A20">
        <w:rPr>
          <w:sz w:val="24"/>
          <w:szCs w:val="24"/>
        </w:rPr>
        <w:t>British Abuse</w:t>
      </w:r>
      <w:r>
        <w:rPr>
          <w:sz w:val="24"/>
          <w:szCs w:val="24"/>
        </w:rPr>
        <w:t>’ (n 8)</w:t>
      </w:r>
      <w:r w:rsidRPr="00A84A20">
        <w:rPr>
          <w:sz w:val="24"/>
          <w:szCs w:val="24"/>
        </w:rPr>
        <w:t xml:space="preserve">; </w:t>
      </w:r>
      <w:r w:rsidRPr="00A1576A">
        <w:rPr>
          <w:sz w:val="24"/>
          <w:szCs w:val="24"/>
        </w:rPr>
        <w:t xml:space="preserve">Cobain, </w:t>
      </w:r>
      <w:r w:rsidRPr="00A1576A">
        <w:rPr>
          <w:i/>
          <w:iCs/>
          <w:sz w:val="24"/>
          <w:szCs w:val="24"/>
        </w:rPr>
        <w:t>Cruel Britannia</w:t>
      </w:r>
      <w:r>
        <w:rPr>
          <w:i/>
          <w:iCs/>
          <w:sz w:val="24"/>
          <w:szCs w:val="24"/>
        </w:rPr>
        <w:t xml:space="preserve"> </w:t>
      </w:r>
      <w:r>
        <w:rPr>
          <w:sz w:val="24"/>
          <w:szCs w:val="24"/>
        </w:rPr>
        <w:t>(n 19)</w:t>
      </w:r>
      <w:r w:rsidRPr="00A1576A">
        <w:rPr>
          <w:i/>
          <w:iCs/>
          <w:sz w:val="24"/>
          <w:szCs w:val="24"/>
        </w:rPr>
        <w:t>;</w:t>
      </w:r>
      <w:r w:rsidRPr="00A1576A">
        <w:rPr>
          <w:sz w:val="24"/>
          <w:szCs w:val="24"/>
        </w:rPr>
        <w:t xml:space="preserve"> and Mark Curtis, </w:t>
      </w:r>
      <w:r w:rsidRPr="00A1576A">
        <w:rPr>
          <w:i/>
          <w:iCs/>
          <w:sz w:val="24"/>
          <w:szCs w:val="24"/>
        </w:rPr>
        <w:t xml:space="preserve">Web of Deceit: Britain’s Real Foreign Policy </w:t>
      </w:r>
      <w:r w:rsidRPr="00A1576A">
        <w:rPr>
          <w:sz w:val="24"/>
          <w:szCs w:val="24"/>
        </w:rPr>
        <w:t xml:space="preserve">(London: Vintage, 2003). See also Kim Wagner, </w:t>
      </w:r>
      <w:r>
        <w:rPr>
          <w:sz w:val="24"/>
          <w:szCs w:val="24"/>
        </w:rPr>
        <w:t>‘</w:t>
      </w:r>
      <w:r w:rsidRPr="00A1576A">
        <w:rPr>
          <w:sz w:val="24"/>
          <w:szCs w:val="24"/>
        </w:rPr>
        <w:t>Savage Warfare: Violence and the Rule of Colonial Difference in Early British Counterinsurgency</w:t>
      </w:r>
      <w:r>
        <w:rPr>
          <w:sz w:val="24"/>
          <w:szCs w:val="24"/>
        </w:rPr>
        <w:t>’</w:t>
      </w:r>
      <w:r w:rsidRPr="00A1576A">
        <w:rPr>
          <w:sz w:val="24"/>
          <w:szCs w:val="24"/>
        </w:rPr>
        <w:t>,</w:t>
      </w:r>
      <w:r w:rsidRPr="00A1576A">
        <w:rPr>
          <w:b/>
          <w:sz w:val="24"/>
          <w:szCs w:val="24"/>
        </w:rPr>
        <w:t xml:space="preserve"> </w:t>
      </w:r>
      <w:r w:rsidRPr="00A1576A">
        <w:rPr>
          <w:bCs/>
          <w:i/>
          <w:sz w:val="24"/>
          <w:szCs w:val="24"/>
        </w:rPr>
        <w:t>History Workshop Journal</w:t>
      </w:r>
      <w:r w:rsidRPr="00A1576A">
        <w:rPr>
          <w:bCs/>
          <w:sz w:val="24"/>
          <w:szCs w:val="24"/>
        </w:rPr>
        <w:t xml:space="preserve"> 85 (2018), 222</w:t>
      </w:r>
      <w:r>
        <w:rPr>
          <w:bCs/>
          <w:sz w:val="24"/>
          <w:szCs w:val="24"/>
        </w:rPr>
        <w:t xml:space="preserve"> (hereafter Wagner, ‘Savage Warfare’)</w:t>
      </w:r>
      <w:r w:rsidRPr="00A84A20">
        <w:rPr>
          <w:bCs/>
          <w:sz w:val="24"/>
          <w:szCs w:val="24"/>
        </w:rPr>
        <w:t>.</w:t>
      </w:r>
    </w:p>
  </w:footnote>
  <w:footnote w:id="23">
    <w:p w14:paraId="352EEC1E" w14:textId="77777777" w:rsidR="00997966" w:rsidRDefault="00997966" w:rsidP="00997966">
      <w:pPr>
        <w:pStyle w:val="FootnoteText"/>
        <w:spacing w:line="480" w:lineRule="auto"/>
        <w:contextualSpacing/>
        <w:rPr>
          <w:color w:val="121212"/>
          <w:sz w:val="24"/>
          <w:szCs w:val="24"/>
        </w:rPr>
      </w:pPr>
      <w:r w:rsidRPr="00A84A20">
        <w:rPr>
          <w:rStyle w:val="FootnoteReference"/>
          <w:sz w:val="24"/>
          <w:szCs w:val="24"/>
        </w:rPr>
        <w:footnoteRef/>
      </w:r>
      <w:r w:rsidRPr="00A84A20">
        <w:rPr>
          <w:sz w:val="24"/>
          <w:szCs w:val="24"/>
        </w:rPr>
        <w:t xml:space="preserve"> For the </w:t>
      </w:r>
      <w:r>
        <w:rPr>
          <w:sz w:val="24"/>
          <w:szCs w:val="24"/>
        </w:rPr>
        <w:t>‘</w:t>
      </w:r>
      <w:r w:rsidRPr="00A84A20">
        <w:rPr>
          <w:sz w:val="24"/>
          <w:szCs w:val="24"/>
        </w:rPr>
        <w:t>discovery</w:t>
      </w:r>
      <w:r>
        <w:rPr>
          <w:sz w:val="24"/>
          <w:szCs w:val="24"/>
        </w:rPr>
        <w:t>’</w:t>
      </w:r>
      <w:r w:rsidRPr="00A84A20">
        <w:rPr>
          <w:sz w:val="24"/>
          <w:szCs w:val="24"/>
        </w:rPr>
        <w:t xml:space="preserve"> of this archive and the revelation of its contents see </w:t>
      </w:r>
      <w:bookmarkStart w:id="3" w:name="_Hlk39651819"/>
      <w:r w:rsidRPr="00A84A20">
        <w:rPr>
          <w:sz w:val="24"/>
          <w:szCs w:val="24"/>
        </w:rPr>
        <w:t xml:space="preserve">Anderson, </w:t>
      </w:r>
      <w:r>
        <w:rPr>
          <w:sz w:val="24"/>
          <w:szCs w:val="24"/>
        </w:rPr>
        <w:t>‘</w:t>
      </w:r>
      <w:r w:rsidRPr="00A84A20">
        <w:rPr>
          <w:sz w:val="24"/>
          <w:szCs w:val="24"/>
        </w:rPr>
        <w:t>Mau Mau</w:t>
      </w:r>
      <w:bookmarkEnd w:id="3"/>
      <w:r>
        <w:rPr>
          <w:sz w:val="24"/>
          <w:szCs w:val="24"/>
        </w:rPr>
        <w:t>’ (n 2); David Anderson,</w:t>
      </w:r>
      <w:r w:rsidRPr="00A84A20">
        <w:rPr>
          <w:sz w:val="24"/>
          <w:szCs w:val="24"/>
        </w:rPr>
        <w:t xml:space="preserve"> </w:t>
      </w:r>
      <w:r>
        <w:rPr>
          <w:sz w:val="24"/>
          <w:szCs w:val="24"/>
        </w:rPr>
        <w:t>‘</w:t>
      </w:r>
      <w:r w:rsidRPr="00A84A20">
        <w:rPr>
          <w:sz w:val="24"/>
          <w:szCs w:val="24"/>
        </w:rPr>
        <w:t xml:space="preserve">Guilty Secrets: Deceit, Denial and the Discovery of Kenya’s </w:t>
      </w:r>
      <w:r>
        <w:rPr>
          <w:sz w:val="24"/>
          <w:szCs w:val="24"/>
        </w:rPr>
        <w:t>“</w:t>
      </w:r>
      <w:r w:rsidRPr="00A84A20">
        <w:rPr>
          <w:sz w:val="24"/>
          <w:szCs w:val="24"/>
        </w:rPr>
        <w:t>Migrated Archive</w:t>
      </w:r>
      <w:r>
        <w:rPr>
          <w:sz w:val="24"/>
          <w:szCs w:val="24"/>
        </w:rPr>
        <w:t>”’</w:t>
      </w:r>
      <w:r w:rsidRPr="00A84A20">
        <w:rPr>
          <w:sz w:val="24"/>
          <w:szCs w:val="24"/>
        </w:rPr>
        <w:t xml:space="preserve">, </w:t>
      </w:r>
      <w:r w:rsidRPr="00A84A20">
        <w:rPr>
          <w:i/>
          <w:iCs/>
          <w:sz w:val="24"/>
          <w:szCs w:val="24"/>
        </w:rPr>
        <w:t>History Workshop Journal</w:t>
      </w:r>
      <w:r w:rsidRPr="00A84A20">
        <w:rPr>
          <w:sz w:val="24"/>
          <w:szCs w:val="24"/>
        </w:rPr>
        <w:t xml:space="preserve"> 80 (2015)</w:t>
      </w:r>
      <w:r>
        <w:rPr>
          <w:sz w:val="24"/>
          <w:szCs w:val="24"/>
        </w:rPr>
        <w:t>,</w:t>
      </w:r>
      <w:r w:rsidRPr="00A84A20">
        <w:rPr>
          <w:sz w:val="24"/>
          <w:szCs w:val="24"/>
        </w:rPr>
        <w:t xml:space="preserve"> 142</w:t>
      </w:r>
      <w:r>
        <w:rPr>
          <w:sz w:val="24"/>
          <w:szCs w:val="24"/>
        </w:rPr>
        <w:t>-</w:t>
      </w:r>
      <w:r w:rsidRPr="00A84A20">
        <w:rPr>
          <w:sz w:val="24"/>
          <w:szCs w:val="24"/>
        </w:rPr>
        <w:t>60</w:t>
      </w:r>
      <w:r>
        <w:rPr>
          <w:sz w:val="24"/>
          <w:szCs w:val="24"/>
        </w:rPr>
        <w:t xml:space="preserve"> (hereafter Anderson, ‘Guilty Secrets’)</w:t>
      </w:r>
      <w:r w:rsidRPr="00A84A20">
        <w:rPr>
          <w:sz w:val="24"/>
          <w:szCs w:val="24"/>
        </w:rPr>
        <w:t xml:space="preserve">; and Elkins, </w:t>
      </w:r>
      <w:r>
        <w:rPr>
          <w:sz w:val="24"/>
          <w:szCs w:val="24"/>
        </w:rPr>
        <w:t>‘</w:t>
      </w:r>
      <w:r w:rsidRPr="00A84A20">
        <w:rPr>
          <w:sz w:val="24"/>
          <w:szCs w:val="24"/>
        </w:rPr>
        <w:t>The Colonial Papers</w:t>
      </w:r>
      <w:r>
        <w:rPr>
          <w:sz w:val="24"/>
          <w:szCs w:val="24"/>
        </w:rPr>
        <w:t>’ (n 20)</w:t>
      </w:r>
      <w:r w:rsidRPr="00A84A20">
        <w:rPr>
          <w:sz w:val="24"/>
          <w:szCs w:val="24"/>
        </w:rPr>
        <w:t xml:space="preserve">. </w:t>
      </w:r>
      <w:r>
        <w:rPr>
          <w:sz w:val="24"/>
          <w:szCs w:val="24"/>
        </w:rPr>
        <w:t>In addition to the fact that</w:t>
      </w:r>
      <w:r w:rsidRPr="00A84A20">
        <w:rPr>
          <w:sz w:val="24"/>
          <w:szCs w:val="24"/>
        </w:rPr>
        <w:t xml:space="preserve"> the FCO continu</w:t>
      </w:r>
      <w:r>
        <w:rPr>
          <w:sz w:val="24"/>
          <w:szCs w:val="24"/>
        </w:rPr>
        <w:t>es</w:t>
      </w:r>
      <w:r w:rsidRPr="00A84A20">
        <w:rPr>
          <w:sz w:val="24"/>
          <w:szCs w:val="24"/>
        </w:rPr>
        <w:t xml:space="preserve"> to withhold many of these </w:t>
      </w:r>
      <w:r>
        <w:rPr>
          <w:sz w:val="24"/>
          <w:szCs w:val="24"/>
        </w:rPr>
        <w:t>‘</w:t>
      </w:r>
      <w:r w:rsidRPr="00A84A20">
        <w:rPr>
          <w:sz w:val="24"/>
          <w:szCs w:val="24"/>
        </w:rPr>
        <w:t>found</w:t>
      </w:r>
      <w:r>
        <w:rPr>
          <w:sz w:val="24"/>
          <w:szCs w:val="24"/>
        </w:rPr>
        <w:t>’</w:t>
      </w:r>
      <w:r w:rsidRPr="00A84A20">
        <w:rPr>
          <w:sz w:val="24"/>
          <w:szCs w:val="24"/>
        </w:rPr>
        <w:t xml:space="preserve"> documents from public release the hidden archive did not contain the most incriminating evidence of British brutality, which was systematically destroyed</w:t>
      </w:r>
      <w:r>
        <w:rPr>
          <w:sz w:val="24"/>
          <w:szCs w:val="24"/>
        </w:rPr>
        <w:t xml:space="preserve"> as Britain ‘withdrew’ from its colonies—</w:t>
      </w:r>
      <w:r w:rsidRPr="00A84A20">
        <w:rPr>
          <w:sz w:val="24"/>
          <w:szCs w:val="24"/>
        </w:rPr>
        <w:t>either incinerated or packed in weighted crates and dumped in deep water</w:t>
      </w:r>
      <w:r>
        <w:rPr>
          <w:sz w:val="24"/>
          <w:szCs w:val="24"/>
        </w:rPr>
        <w:t>—to ensure</w:t>
      </w:r>
      <w:r w:rsidRPr="00A84A20">
        <w:rPr>
          <w:sz w:val="24"/>
          <w:szCs w:val="24"/>
        </w:rPr>
        <w:t xml:space="preserve"> that post</w:t>
      </w:r>
      <w:r>
        <w:rPr>
          <w:sz w:val="24"/>
          <w:szCs w:val="24"/>
        </w:rPr>
        <w:t>-</w:t>
      </w:r>
      <w:r w:rsidRPr="00A84A20">
        <w:rPr>
          <w:sz w:val="24"/>
          <w:szCs w:val="24"/>
        </w:rPr>
        <w:t xml:space="preserve">colonial states </w:t>
      </w:r>
      <w:r>
        <w:rPr>
          <w:sz w:val="24"/>
          <w:szCs w:val="24"/>
        </w:rPr>
        <w:t>c</w:t>
      </w:r>
      <w:r w:rsidRPr="00A84A20">
        <w:rPr>
          <w:sz w:val="24"/>
          <w:szCs w:val="24"/>
        </w:rPr>
        <w:t xml:space="preserve">ould not access any documents that </w:t>
      </w:r>
      <w:r>
        <w:rPr>
          <w:color w:val="121212"/>
          <w:sz w:val="24"/>
          <w:szCs w:val="24"/>
          <w:shd w:val="clear" w:color="auto" w:fill="FFFFFF"/>
        </w:rPr>
        <w:t>‘”</w:t>
      </w:r>
      <w:r w:rsidRPr="00A84A20">
        <w:rPr>
          <w:color w:val="121212"/>
          <w:sz w:val="24"/>
          <w:szCs w:val="24"/>
          <w:shd w:val="clear" w:color="auto" w:fill="FFFFFF"/>
        </w:rPr>
        <w:t>might embarrass Her Majesty's government</w:t>
      </w:r>
      <w:r>
        <w:rPr>
          <w:color w:val="121212"/>
          <w:sz w:val="24"/>
          <w:szCs w:val="24"/>
          <w:shd w:val="clear" w:color="auto" w:fill="FFFFFF"/>
        </w:rPr>
        <w:t>”’</w:t>
      </w:r>
      <w:r w:rsidRPr="00A84A20">
        <w:rPr>
          <w:color w:val="121212"/>
          <w:sz w:val="24"/>
          <w:szCs w:val="24"/>
          <w:shd w:val="clear" w:color="auto" w:fill="FFFFFF"/>
        </w:rPr>
        <w:t xml:space="preserve">. In the case of Kenya this amounted to an estimated 3.5 tons of documents. </w:t>
      </w:r>
      <w:r>
        <w:rPr>
          <w:color w:val="121212"/>
          <w:sz w:val="24"/>
          <w:szCs w:val="24"/>
          <w:shd w:val="clear" w:color="auto" w:fill="FFFFFF"/>
        </w:rPr>
        <w:t xml:space="preserve">Ian </w:t>
      </w:r>
      <w:r w:rsidRPr="00A84A20">
        <w:rPr>
          <w:color w:val="121212"/>
          <w:sz w:val="24"/>
          <w:szCs w:val="24"/>
          <w:shd w:val="clear" w:color="auto" w:fill="FFFFFF"/>
        </w:rPr>
        <w:t>Cobain,</w:t>
      </w:r>
      <w:r w:rsidRPr="00CC1E72">
        <w:rPr>
          <w:color w:val="121212"/>
          <w:sz w:val="24"/>
          <w:szCs w:val="24"/>
          <w:shd w:val="clear" w:color="auto" w:fill="FFFFFF"/>
        </w:rPr>
        <w:t xml:space="preserve"> </w:t>
      </w:r>
      <w:r w:rsidRPr="00CC1E72">
        <w:rPr>
          <w:color w:val="121212"/>
          <w:sz w:val="24"/>
          <w:szCs w:val="24"/>
        </w:rPr>
        <w:t xml:space="preserve">“Kenya: UK </w:t>
      </w:r>
      <w:r>
        <w:rPr>
          <w:color w:val="121212"/>
          <w:sz w:val="24"/>
          <w:szCs w:val="24"/>
        </w:rPr>
        <w:t>E</w:t>
      </w:r>
      <w:r w:rsidRPr="00CC1E72">
        <w:rPr>
          <w:color w:val="121212"/>
          <w:sz w:val="24"/>
          <w:szCs w:val="24"/>
        </w:rPr>
        <w:t xml:space="preserve">xpresses </w:t>
      </w:r>
      <w:r>
        <w:rPr>
          <w:color w:val="121212"/>
          <w:sz w:val="24"/>
          <w:szCs w:val="24"/>
        </w:rPr>
        <w:t>R</w:t>
      </w:r>
      <w:r w:rsidRPr="00CC1E72">
        <w:rPr>
          <w:color w:val="121212"/>
          <w:sz w:val="24"/>
          <w:szCs w:val="24"/>
        </w:rPr>
        <w:t xml:space="preserve">egret </w:t>
      </w:r>
      <w:r>
        <w:rPr>
          <w:color w:val="121212"/>
          <w:sz w:val="24"/>
          <w:szCs w:val="24"/>
        </w:rPr>
        <w:t>O</w:t>
      </w:r>
      <w:r w:rsidRPr="00CC1E72">
        <w:rPr>
          <w:color w:val="121212"/>
          <w:sz w:val="24"/>
          <w:szCs w:val="24"/>
        </w:rPr>
        <w:t xml:space="preserve">ver </w:t>
      </w:r>
      <w:r>
        <w:rPr>
          <w:color w:val="121212"/>
          <w:sz w:val="24"/>
          <w:szCs w:val="24"/>
        </w:rPr>
        <w:t>A</w:t>
      </w:r>
      <w:r w:rsidRPr="00CC1E72">
        <w:rPr>
          <w:color w:val="121212"/>
          <w:sz w:val="24"/>
          <w:szCs w:val="24"/>
        </w:rPr>
        <w:t xml:space="preserve">buse as Mau Mau </w:t>
      </w:r>
      <w:r>
        <w:rPr>
          <w:color w:val="121212"/>
          <w:sz w:val="24"/>
          <w:szCs w:val="24"/>
        </w:rPr>
        <w:t>P</w:t>
      </w:r>
      <w:r w:rsidRPr="00CC1E72">
        <w:rPr>
          <w:color w:val="121212"/>
          <w:sz w:val="24"/>
          <w:szCs w:val="24"/>
        </w:rPr>
        <w:t xml:space="preserve">romised </w:t>
      </w:r>
      <w:r>
        <w:rPr>
          <w:color w:val="121212"/>
          <w:sz w:val="24"/>
          <w:szCs w:val="24"/>
        </w:rPr>
        <w:t>P</w:t>
      </w:r>
      <w:r w:rsidRPr="00CC1E72">
        <w:rPr>
          <w:color w:val="121212"/>
          <w:sz w:val="24"/>
          <w:szCs w:val="24"/>
        </w:rPr>
        <w:t xml:space="preserve">ayout”, </w:t>
      </w:r>
      <w:r>
        <w:rPr>
          <w:i/>
          <w:iCs/>
          <w:color w:val="121212"/>
          <w:sz w:val="24"/>
          <w:szCs w:val="24"/>
        </w:rPr>
        <w:t xml:space="preserve">The Guardian </w:t>
      </w:r>
      <w:r>
        <w:rPr>
          <w:color w:val="121212"/>
          <w:sz w:val="24"/>
          <w:szCs w:val="24"/>
        </w:rPr>
        <w:t xml:space="preserve">(London, 6 </w:t>
      </w:r>
      <w:r w:rsidRPr="00CC1E72">
        <w:rPr>
          <w:color w:val="121212"/>
          <w:sz w:val="24"/>
          <w:szCs w:val="24"/>
        </w:rPr>
        <w:t>June</w:t>
      </w:r>
      <w:r>
        <w:rPr>
          <w:color w:val="121212"/>
          <w:sz w:val="24"/>
          <w:szCs w:val="24"/>
        </w:rPr>
        <w:t xml:space="preserve"> </w:t>
      </w:r>
      <w:r w:rsidRPr="00CC1E72">
        <w:rPr>
          <w:color w:val="121212"/>
          <w:sz w:val="24"/>
          <w:szCs w:val="24"/>
        </w:rPr>
        <w:t>2013</w:t>
      </w:r>
      <w:r>
        <w:rPr>
          <w:color w:val="121212"/>
          <w:sz w:val="24"/>
          <w:szCs w:val="24"/>
        </w:rPr>
        <w:t>)</w:t>
      </w:r>
    </w:p>
    <w:p w14:paraId="6424F830" w14:textId="77777777" w:rsidR="00997966" w:rsidRPr="00CC1E72" w:rsidRDefault="00997966" w:rsidP="00997966">
      <w:pPr>
        <w:pStyle w:val="FootnoteText"/>
        <w:spacing w:line="480" w:lineRule="auto"/>
        <w:contextualSpacing/>
        <w:rPr>
          <w:color w:val="121212"/>
          <w:sz w:val="24"/>
          <w:szCs w:val="24"/>
          <w:shd w:val="clear" w:color="auto" w:fill="FFFFFF"/>
        </w:rPr>
      </w:pPr>
      <w:r>
        <w:rPr>
          <w:sz w:val="24"/>
          <w:szCs w:val="24"/>
        </w:rPr>
        <w:t>&lt;</w:t>
      </w:r>
      <w:hyperlink r:id="rId8" w:history="1">
        <w:r w:rsidRPr="00CB4094">
          <w:rPr>
            <w:rStyle w:val="Hyperlink"/>
            <w:sz w:val="24"/>
            <w:szCs w:val="24"/>
          </w:rPr>
          <w:t>https://www.theguardian.com/world/2013/jun/05/kenyan-mau-mau-payout-uk-regret-abuse</w:t>
        </w:r>
      </w:hyperlink>
      <w:r>
        <w:rPr>
          <w:sz w:val="24"/>
          <w:szCs w:val="24"/>
        </w:rPr>
        <w:t>&gt; accessed 19 August 2020 (hereafter Cobain, ‘Kenya’);</w:t>
      </w:r>
      <w:r w:rsidRPr="00A84A20">
        <w:rPr>
          <w:color w:val="121212"/>
          <w:sz w:val="24"/>
          <w:szCs w:val="24"/>
          <w:shd w:val="clear" w:color="auto" w:fill="FFFFFF"/>
        </w:rPr>
        <w:t xml:space="preserve"> </w:t>
      </w:r>
      <w:r w:rsidRPr="00A84A20">
        <w:rPr>
          <w:sz w:val="24"/>
          <w:szCs w:val="24"/>
        </w:rPr>
        <w:t>Ian Cobain, Owen Bowcott</w:t>
      </w:r>
      <w:r>
        <w:rPr>
          <w:sz w:val="24"/>
          <w:szCs w:val="24"/>
        </w:rPr>
        <w:t>, and</w:t>
      </w:r>
      <w:r w:rsidRPr="00A84A20">
        <w:rPr>
          <w:sz w:val="24"/>
          <w:szCs w:val="24"/>
        </w:rPr>
        <w:t xml:space="preserve"> Richard Norton</w:t>
      </w:r>
      <w:r>
        <w:rPr>
          <w:sz w:val="24"/>
          <w:szCs w:val="24"/>
        </w:rPr>
        <w:t>-</w:t>
      </w:r>
      <w:r w:rsidRPr="00A84A20">
        <w:rPr>
          <w:sz w:val="24"/>
          <w:szCs w:val="24"/>
        </w:rPr>
        <w:t xml:space="preserve">Taylor, ‘Britain Destroyed Records of Colonial Crimes’, </w:t>
      </w:r>
      <w:r w:rsidRPr="00A84A20">
        <w:rPr>
          <w:i/>
          <w:iCs/>
          <w:sz w:val="24"/>
          <w:szCs w:val="24"/>
        </w:rPr>
        <w:t>The Guardian</w:t>
      </w:r>
      <w:r>
        <w:rPr>
          <w:sz w:val="24"/>
          <w:szCs w:val="24"/>
        </w:rPr>
        <w:t xml:space="preserve"> (London, </w:t>
      </w:r>
      <w:r w:rsidRPr="00A84A20">
        <w:rPr>
          <w:sz w:val="24"/>
          <w:szCs w:val="24"/>
        </w:rPr>
        <w:t>18 April 2012</w:t>
      </w:r>
      <w:r>
        <w:rPr>
          <w:sz w:val="24"/>
          <w:szCs w:val="24"/>
        </w:rPr>
        <w:t>)</w:t>
      </w:r>
      <w:r w:rsidRPr="00A84A20">
        <w:rPr>
          <w:sz w:val="24"/>
          <w:szCs w:val="24"/>
        </w:rPr>
        <w:t xml:space="preserve"> </w:t>
      </w:r>
      <w:r>
        <w:rPr>
          <w:sz w:val="24"/>
          <w:szCs w:val="24"/>
        </w:rPr>
        <w:t>&lt;</w:t>
      </w:r>
      <w:hyperlink r:id="rId9" w:history="1">
        <w:r w:rsidRPr="00CB4094">
          <w:rPr>
            <w:rStyle w:val="Hyperlink"/>
            <w:sz w:val="24"/>
            <w:szCs w:val="24"/>
          </w:rPr>
          <w:t>https://www.theguardian.com/uk/2012/apr/18/britain-destroyed-records-colonial-crimes</w:t>
        </w:r>
      </w:hyperlink>
      <w:r>
        <w:rPr>
          <w:sz w:val="24"/>
          <w:szCs w:val="24"/>
        </w:rPr>
        <w:t>&gt;</w:t>
      </w:r>
      <w:r w:rsidRPr="00A84A20">
        <w:rPr>
          <w:sz w:val="24"/>
          <w:szCs w:val="24"/>
        </w:rPr>
        <w:t xml:space="preserve"> accessed 13 May 2020; and Caroline Elkins, </w:t>
      </w:r>
      <w:r>
        <w:rPr>
          <w:sz w:val="24"/>
          <w:szCs w:val="24"/>
        </w:rPr>
        <w:t>‘</w:t>
      </w:r>
      <w:r w:rsidRPr="00A84A20">
        <w:rPr>
          <w:sz w:val="24"/>
          <w:szCs w:val="24"/>
        </w:rPr>
        <w:t xml:space="preserve">Looking </w:t>
      </w:r>
      <w:r>
        <w:rPr>
          <w:sz w:val="24"/>
          <w:szCs w:val="24"/>
        </w:rPr>
        <w:t>B</w:t>
      </w:r>
      <w:r w:rsidRPr="00A84A20">
        <w:rPr>
          <w:sz w:val="24"/>
          <w:szCs w:val="24"/>
        </w:rPr>
        <w:t>eyond Mau Mau: Archiving Violence in the Era of Decolonization</w:t>
      </w:r>
      <w:r>
        <w:rPr>
          <w:sz w:val="24"/>
          <w:szCs w:val="24"/>
        </w:rPr>
        <w:t>’</w:t>
      </w:r>
      <w:r w:rsidRPr="00A84A20">
        <w:rPr>
          <w:sz w:val="24"/>
          <w:szCs w:val="24"/>
        </w:rPr>
        <w:t xml:space="preserve">, </w:t>
      </w:r>
      <w:r w:rsidRPr="00A84A20">
        <w:rPr>
          <w:i/>
          <w:iCs/>
          <w:sz w:val="24"/>
          <w:szCs w:val="24"/>
        </w:rPr>
        <w:t>T</w:t>
      </w:r>
      <w:r w:rsidRPr="00A84A20">
        <w:rPr>
          <w:rStyle w:val="Emphasis"/>
          <w:color w:val="2A2A2A"/>
          <w:sz w:val="24"/>
          <w:szCs w:val="24"/>
          <w:bdr w:val="none" w:sz="0" w:space="0" w:color="auto" w:frame="1"/>
          <w:shd w:val="clear" w:color="auto" w:fill="FFFFFF"/>
        </w:rPr>
        <w:t>he American Historical Review</w:t>
      </w:r>
      <w:r w:rsidRPr="00A84A20">
        <w:rPr>
          <w:color w:val="2A2A2A"/>
          <w:sz w:val="24"/>
          <w:szCs w:val="24"/>
          <w:shd w:val="clear" w:color="auto" w:fill="FFFFFF"/>
        </w:rPr>
        <w:t xml:space="preserve"> 120</w:t>
      </w:r>
      <w:r>
        <w:rPr>
          <w:color w:val="2A2A2A"/>
          <w:sz w:val="24"/>
          <w:szCs w:val="24"/>
          <w:shd w:val="clear" w:color="auto" w:fill="FFFFFF"/>
        </w:rPr>
        <w:t>/</w:t>
      </w:r>
      <w:r w:rsidRPr="00A84A20">
        <w:rPr>
          <w:color w:val="2A2A2A"/>
          <w:sz w:val="24"/>
          <w:szCs w:val="24"/>
          <w:shd w:val="clear" w:color="auto" w:fill="FFFFFF"/>
        </w:rPr>
        <w:t>3 (2015), 860</w:t>
      </w:r>
      <w:r>
        <w:rPr>
          <w:color w:val="2A2A2A"/>
          <w:sz w:val="24"/>
          <w:szCs w:val="24"/>
          <w:shd w:val="clear" w:color="auto" w:fill="FFFFFF"/>
        </w:rPr>
        <w:t xml:space="preserve"> (hereafter Elkins, ‘Looking Beyond Mau Mau’).</w:t>
      </w:r>
    </w:p>
  </w:footnote>
  <w:footnote w:id="24">
    <w:p w14:paraId="7952399A" w14:textId="77777777" w:rsidR="00997966" w:rsidRPr="00A84A20" w:rsidRDefault="00997966" w:rsidP="00997966">
      <w:pPr>
        <w:pStyle w:val="FootnoteText"/>
        <w:spacing w:line="480" w:lineRule="auto"/>
        <w:contextualSpacing/>
        <w:rPr>
          <w:color w:val="000000"/>
          <w:sz w:val="24"/>
          <w:szCs w:val="24"/>
        </w:rPr>
      </w:pPr>
      <w:r w:rsidRPr="00A84A20">
        <w:rPr>
          <w:rStyle w:val="FootnoteReference"/>
          <w:sz w:val="24"/>
          <w:szCs w:val="24"/>
        </w:rPr>
        <w:footnoteRef/>
      </w:r>
      <w:r w:rsidRPr="00A84A20">
        <w:rPr>
          <w:sz w:val="24"/>
          <w:szCs w:val="24"/>
        </w:rPr>
        <w:t xml:space="preserve"> </w:t>
      </w:r>
      <w:r w:rsidRPr="00A84A20">
        <w:rPr>
          <w:bCs/>
          <w:sz w:val="24"/>
          <w:szCs w:val="24"/>
        </w:rPr>
        <w:t xml:space="preserve">Vittorio Bufacchi, </w:t>
      </w:r>
      <w:r>
        <w:rPr>
          <w:bCs/>
          <w:sz w:val="24"/>
          <w:szCs w:val="24"/>
        </w:rPr>
        <w:t>‘</w:t>
      </w:r>
      <w:r w:rsidRPr="00A84A20">
        <w:rPr>
          <w:bCs/>
          <w:sz w:val="24"/>
          <w:szCs w:val="24"/>
        </w:rPr>
        <w:t>Colonialism, Injustice, and Arbitrariness</w:t>
      </w:r>
      <w:r>
        <w:rPr>
          <w:bCs/>
          <w:sz w:val="24"/>
          <w:szCs w:val="24"/>
        </w:rPr>
        <w:t>’</w:t>
      </w:r>
      <w:r w:rsidRPr="00A84A20">
        <w:rPr>
          <w:bCs/>
          <w:sz w:val="24"/>
          <w:szCs w:val="24"/>
        </w:rPr>
        <w:t xml:space="preserve">, </w:t>
      </w:r>
      <w:r w:rsidRPr="00A84A20">
        <w:rPr>
          <w:bCs/>
          <w:i/>
          <w:sz w:val="24"/>
          <w:szCs w:val="24"/>
        </w:rPr>
        <w:t>Journal of Social Philosophy</w:t>
      </w:r>
      <w:r w:rsidRPr="00A84A20">
        <w:rPr>
          <w:bCs/>
          <w:sz w:val="24"/>
          <w:szCs w:val="24"/>
        </w:rPr>
        <w:t xml:space="preserve"> 48</w:t>
      </w:r>
      <w:r>
        <w:rPr>
          <w:bCs/>
          <w:sz w:val="24"/>
          <w:szCs w:val="24"/>
        </w:rPr>
        <w:t>/</w:t>
      </w:r>
      <w:r w:rsidRPr="00A84A20">
        <w:rPr>
          <w:bCs/>
          <w:sz w:val="24"/>
          <w:szCs w:val="24"/>
        </w:rPr>
        <w:t>2 (2017), 97;</w:t>
      </w:r>
      <w:r w:rsidRPr="00A84A20">
        <w:rPr>
          <w:b/>
          <w:sz w:val="24"/>
          <w:szCs w:val="24"/>
        </w:rPr>
        <w:t xml:space="preserve"> </w:t>
      </w:r>
      <w:r w:rsidRPr="00A84A20">
        <w:rPr>
          <w:bCs/>
          <w:sz w:val="24"/>
          <w:szCs w:val="24"/>
        </w:rPr>
        <w:t xml:space="preserve">and </w:t>
      </w:r>
      <w:r w:rsidRPr="00A84A20">
        <w:rPr>
          <w:sz w:val="24"/>
          <w:szCs w:val="24"/>
        </w:rPr>
        <w:t xml:space="preserve">Chris McGreal, </w:t>
      </w:r>
      <w:r>
        <w:rPr>
          <w:sz w:val="24"/>
          <w:szCs w:val="24"/>
        </w:rPr>
        <w:t>‘</w:t>
      </w:r>
      <w:r w:rsidRPr="00A84A20">
        <w:rPr>
          <w:sz w:val="24"/>
          <w:szCs w:val="24"/>
        </w:rPr>
        <w:t>Torture and Killing in Kenya</w:t>
      </w:r>
      <w:r>
        <w:rPr>
          <w:sz w:val="24"/>
          <w:szCs w:val="24"/>
        </w:rPr>
        <w:t>—</w:t>
      </w:r>
      <w:r w:rsidRPr="00A84A20">
        <w:rPr>
          <w:sz w:val="24"/>
          <w:szCs w:val="24"/>
        </w:rPr>
        <w:t>Britain’s Double Standards</w:t>
      </w:r>
      <w:r>
        <w:rPr>
          <w:sz w:val="24"/>
          <w:szCs w:val="24"/>
        </w:rPr>
        <w:t>’</w:t>
      </w:r>
      <w:r w:rsidRPr="00A84A20">
        <w:rPr>
          <w:sz w:val="24"/>
          <w:szCs w:val="24"/>
        </w:rPr>
        <w:t xml:space="preserve">, </w:t>
      </w:r>
      <w:r w:rsidRPr="00A84A20">
        <w:rPr>
          <w:i/>
          <w:iCs/>
          <w:sz w:val="24"/>
          <w:szCs w:val="24"/>
        </w:rPr>
        <w:t>The Guardian</w:t>
      </w:r>
      <w:r>
        <w:rPr>
          <w:sz w:val="24"/>
          <w:szCs w:val="24"/>
        </w:rPr>
        <w:t xml:space="preserve"> (London, </w:t>
      </w:r>
      <w:r w:rsidRPr="00A84A20">
        <w:rPr>
          <w:sz w:val="24"/>
          <w:szCs w:val="24"/>
        </w:rPr>
        <w:t>8 April 2011</w:t>
      </w:r>
      <w:r>
        <w:rPr>
          <w:sz w:val="24"/>
          <w:szCs w:val="24"/>
        </w:rPr>
        <w:t>) &lt;</w:t>
      </w:r>
      <w:hyperlink r:id="rId10" w:history="1">
        <w:r w:rsidRPr="007E2C71">
          <w:rPr>
            <w:rStyle w:val="Hyperlink"/>
            <w:sz w:val="24"/>
            <w:szCs w:val="24"/>
          </w:rPr>
          <w:t>https://www.theguardian.com/commentisfree/2011/apr/08/torture</w:t>
        </w:r>
        <w:r>
          <w:rPr>
            <w:rStyle w:val="Hyperlink"/>
            <w:sz w:val="24"/>
            <w:szCs w:val="24"/>
          </w:rPr>
          <w:t>-</w:t>
        </w:r>
        <w:r w:rsidRPr="007E2C71">
          <w:rPr>
            <w:rStyle w:val="Hyperlink"/>
            <w:sz w:val="24"/>
            <w:szCs w:val="24"/>
          </w:rPr>
          <w:t>killing</w:t>
        </w:r>
        <w:r>
          <w:rPr>
            <w:rStyle w:val="Hyperlink"/>
            <w:sz w:val="24"/>
            <w:szCs w:val="24"/>
          </w:rPr>
          <w:t>-</w:t>
        </w:r>
        <w:r w:rsidRPr="007E2C71">
          <w:rPr>
            <w:rStyle w:val="Hyperlink"/>
            <w:sz w:val="24"/>
            <w:szCs w:val="24"/>
          </w:rPr>
          <w:t>kenya</w:t>
        </w:r>
        <w:r>
          <w:rPr>
            <w:rStyle w:val="Hyperlink"/>
            <w:sz w:val="24"/>
            <w:szCs w:val="24"/>
          </w:rPr>
          <w:t>-</w:t>
        </w:r>
        <w:r w:rsidRPr="007E2C71">
          <w:rPr>
            <w:rStyle w:val="Hyperlink"/>
            <w:sz w:val="24"/>
            <w:szCs w:val="24"/>
          </w:rPr>
          <w:t>britain</w:t>
        </w:r>
        <w:r>
          <w:rPr>
            <w:rStyle w:val="Hyperlink"/>
            <w:sz w:val="24"/>
            <w:szCs w:val="24"/>
          </w:rPr>
          <w:t>-</w:t>
        </w:r>
        <w:r w:rsidRPr="007E2C71">
          <w:rPr>
            <w:rStyle w:val="Hyperlink"/>
            <w:sz w:val="24"/>
            <w:szCs w:val="24"/>
          </w:rPr>
          <w:t>mau</w:t>
        </w:r>
        <w:r>
          <w:rPr>
            <w:rStyle w:val="Hyperlink"/>
            <w:sz w:val="24"/>
            <w:szCs w:val="24"/>
          </w:rPr>
          <w:t>-</w:t>
        </w:r>
        <w:r w:rsidRPr="007E2C71">
          <w:rPr>
            <w:rStyle w:val="Hyperlink"/>
            <w:sz w:val="24"/>
            <w:szCs w:val="24"/>
          </w:rPr>
          <w:t>mau</w:t>
        </w:r>
      </w:hyperlink>
      <w:r>
        <w:rPr>
          <w:sz w:val="24"/>
          <w:szCs w:val="24"/>
        </w:rPr>
        <w:t xml:space="preserve">&gt; </w:t>
      </w:r>
      <w:r w:rsidRPr="00A84A20">
        <w:rPr>
          <w:sz w:val="24"/>
          <w:szCs w:val="24"/>
        </w:rPr>
        <w:t xml:space="preserve">accessed </w:t>
      </w:r>
      <w:r>
        <w:rPr>
          <w:sz w:val="24"/>
          <w:szCs w:val="24"/>
        </w:rPr>
        <w:t xml:space="preserve">13 </w:t>
      </w:r>
      <w:r w:rsidRPr="00A84A20">
        <w:rPr>
          <w:sz w:val="24"/>
          <w:szCs w:val="24"/>
        </w:rPr>
        <w:t>May 2020</w:t>
      </w:r>
      <w:r>
        <w:rPr>
          <w:sz w:val="24"/>
          <w:szCs w:val="24"/>
        </w:rPr>
        <w:t xml:space="preserve"> (hereafter McGreal, ‘Torture and Killing’)</w:t>
      </w:r>
      <w:r w:rsidRPr="00A84A20">
        <w:rPr>
          <w:color w:val="000000"/>
          <w:sz w:val="24"/>
          <w:szCs w:val="24"/>
        </w:rPr>
        <w:t xml:space="preserve">. For more on the establishment of such a system, in particular the expropriation of Kikuyu lands, see Elkins, </w:t>
      </w:r>
      <w:r w:rsidRPr="00A84A20">
        <w:rPr>
          <w:i/>
          <w:iCs/>
          <w:color w:val="000000"/>
          <w:sz w:val="24"/>
          <w:szCs w:val="24"/>
        </w:rPr>
        <w:t>Imperial Reckoning</w:t>
      </w:r>
      <w:r>
        <w:rPr>
          <w:color w:val="000000"/>
          <w:sz w:val="24"/>
          <w:szCs w:val="24"/>
        </w:rPr>
        <w:t xml:space="preserve"> (n 12)</w:t>
      </w:r>
      <w:r w:rsidRPr="00A84A20">
        <w:rPr>
          <w:color w:val="000000"/>
          <w:sz w:val="24"/>
          <w:szCs w:val="24"/>
        </w:rPr>
        <w:t xml:space="preserve"> 21</w:t>
      </w:r>
      <w:r>
        <w:rPr>
          <w:color w:val="000000"/>
          <w:sz w:val="24"/>
          <w:szCs w:val="24"/>
        </w:rPr>
        <w:t>-</w:t>
      </w:r>
      <w:r w:rsidRPr="00A84A20">
        <w:rPr>
          <w:color w:val="000000"/>
          <w:sz w:val="24"/>
          <w:szCs w:val="24"/>
        </w:rPr>
        <w:t xml:space="preserve">25. </w:t>
      </w:r>
    </w:p>
  </w:footnote>
  <w:footnote w:id="25">
    <w:p w14:paraId="6278C5ED"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There were innumerable hindrances that prevented victims of colonial violence from obtaining redress. In the Kenyan case part of the problem was that because association with the Mau Mau, which had advocated violent resistance against British rule, was criminali</w:t>
      </w:r>
      <w:r>
        <w:rPr>
          <w:sz w:val="24"/>
          <w:szCs w:val="24"/>
        </w:rPr>
        <w:t>z</w:t>
      </w:r>
      <w:r w:rsidRPr="00A84A20">
        <w:rPr>
          <w:sz w:val="24"/>
          <w:szCs w:val="24"/>
        </w:rPr>
        <w:t xml:space="preserve">ed until 2002, fear of prosecution kept victims from coming forward. Huw Bennett, </w:t>
      </w:r>
      <w:r>
        <w:rPr>
          <w:sz w:val="24"/>
          <w:szCs w:val="24"/>
        </w:rPr>
        <w:t>‘</w:t>
      </w:r>
      <w:r w:rsidRPr="00A84A20">
        <w:rPr>
          <w:sz w:val="24"/>
          <w:szCs w:val="24"/>
        </w:rPr>
        <w:t>Kenyan Mau Mau: Official Policy Was to Cover up Brutal Mistreatment</w:t>
      </w:r>
      <w:r>
        <w:rPr>
          <w:sz w:val="24"/>
          <w:szCs w:val="24"/>
        </w:rPr>
        <w:t>’</w:t>
      </w:r>
      <w:r w:rsidRPr="00A84A20">
        <w:rPr>
          <w:sz w:val="24"/>
          <w:szCs w:val="24"/>
        </w:rPr>
        <w:t xml:space="preserve">, </w:t>
      </w:r>
      <w:r w:rsidRPr="00A84A20">
        <w:rPr>
          <w:i/>
          <w:iCs/>
          <w:sz w:val="24"/>
          <w:szCs w:val="24"/>
        </w:rPr>
        <w:t>The Guardian</w:t>
      </w:r>
      <w:r>
        <w:rPr>
          <w:sz w:val="24"/>
          <w:szCs w:val="24"/>
        </w:rPr>
        <w:t xml:space="preserve"> (London, </w:t>
      </w:r>
      <w:r w:rsidRPr="00A84A20">
        <w:rPr>
          <w:sz w:val="24"/>
          <w:szCs w:val="24"/>
        </w:rPr>
        <w:t>5 May</w:t>
      </w:r>
      <w:r>
        <w:rPr>
          <w:sz w:val="24"/>
          <w:szCs w:val="24"/>
        </w:rPr>
        <w:t xml:space="preserve"> </w:t>
      </w:r>
      <w:r w:rsidRPr="00A84A20">
        <w:rPr>
          <w:sz w:val="24"/>
          <w:szCs w:val="24"/>
        </w:rPr>
        <w:t>201</w:t>
      </w:r>
      <w:r>
        <w:rPr>
          <w:sz w:val="24"/>
          <w:szCs w:val="24"/>
        </w:rPr>
        <w:t>3) &lt;</w:t>
      </w:r>
      <w:hyperlink r:id="rId11" w:history="1">
        <w:r w:rsidRPr="007E2C71">
          <w:rPr>
            <w:rStyle w:val="Hyperlink"/>
            <w:sz w:val="24"/>
            <w:szCs w:val="24"/>
          </w:rPr>
          <w:t>https://www.theguardian.com/commentisfree/2013/may/05/kenyan</w:t>
        </w:r>
        <w:r>
          <w:rPr>
            <w:rStyle w:val="Hyperlink"/>
            <w:sz w:val="24"/>
            <w:szCs w:val="24"/>
          </w:rPr>
          <w:t>-</w:t>
        </w:r>
        <w:r w:rsidRPr="007E2C71">
          <w:rPr>
            <w:rStyle w:val="Hyperlink"/>
            <w:sz w:val="24"/>
            <w:szCs w:val="24"/>
          </w:rPr>
          <w:t>mau</w:t>
        </w:r>
        <w:r>
          <w:rPr>
            <w:rStyle w:val="Hyperlink"/>
            <w:sz w:val="24"/>
            <w:szCs w:val="24"/>
          </w:rPr>
          <w:t>-</w:t>
        </w:r>
        <w:r w:rsidRPr="007E2C71">
          <w:rPr>
            <w:rStyle w:val="Hyperlink"/>
            <w:sz w:val="24"/>
            <w:szCs w:val="24"/>
          </w:rPr>
          <w:t>mau</w:t>
        </w:r>
        <w:r>
          <w:rPr>
            <w:rStyle w:val="Hyperlink"/>
            <w:sz w:val="24"/>
            <w:szCs w:val="24"/>
          </w:rPr>
          <w:t>-</w:t>
        </w:r>
        <w:r w:rsidRPr="007E2C71">
          <w:rPr>
            <w:rStyle w:val="Hyperlink"/>
            <w:sz w:val="24"/>
            <w:szCs w:val="24"/>
          </w:rPr>
          <w:t>cover</w:t>
        </w:r>
        <w:r>
          <w:rPr>
            <w:rStyle w:val="Hyperlink"/>
            <w:sz w:val="24"/>
            <w:szCs w:val="24"/>
          </w:rPr>
          <w:t>-</w:t>
        </w:r>
        <w:r w:rsidRPr="007E2C71">
          <w:rPr>
            <w:rStyle w:val="Hyperlink"/>
            <w:sz w:val="24"/>
            <w:szCs w:val="24"/>
          </w:rPr>
          <w:t>up</w:t>
        </w:r>
        <w:r>
          <w:rPr>
            <w:rStyle w:val="Hyperlink"/>
            <w:sz w:val="24"/>
            <w:szCs w:val="24"/>
          </w:rPr>
          <w:t>-</w:t>
        </w:r>
        <w:r w:rsidRPr="007E2C71">
          <w:rPr>
            <w:rStyle w:val="Hyperlink"/>
            <w:sz w:val="24"/>
            <w:szCs w:val="24"/>
          </w:rPr>
          <w:t>mistreatment</w:t>
        </w:r>
      </w:hyperlink>
      <w:r w:rsidRPr="00D90D2D">
        <w:rPr>
          <w:rStyle w:val="Hyperlink"/>
          <w:color w:val="auto"/>
          <w:sz w:val="24"/>
          <w:szCs w:val="24"/>
          <w:u w:val="none"/>
        </w:rPr>
        <w:t>&gt;</w:t>
      </w:r>
      <w:r w:rsidRPr="00A84A20">
        <w:rPr>
          <w:sz w:val="24"/>
          <w:szCs w:val="24"/>
        </w:rPr>
        <w:t xml:space="preserve"> accessed 13 May</w:t>
      </w:r>
      <w:r>
        <w:rPr>
          <w:sz w:val="24"/>
          <w:szCs w:val="24"/>
        </w:rPr>
        <w:t xml:space="preserve"> </w:t>
      </w:r>
      <w:r w:rsidRPr="00A84A20">
        <w:rPr>
          <w:sz w:val="24"/>
          <w:szCs w:val="24"/>
        </w:rPr>
        <w:t xml:space="preserve">2020; and Anderson, </w:t>
      </w:r>
      <w:r>
        <w:rPr>
          <w:sz w:val="24"/>
          <w:szCs w:val="24"/>
        </w:rPr>
        <w:t>‘</w:t>
      </w:r>
      <w:r w:rsidRPr="00A84A20">
        <w:rPr>
          <w:sz w:val="24"/>
          <w:szCs w:val="24"/>
        </w:rPr>
        <w:t>Guilty Secrets</w:t>
      </w:r>
      <w:r>
        <w:rPr>
          <w:sz w:val="24"/>
          <w:szCs w:val="24"/>
        </w:rPr>
        <w:t>’ (n 23)</w:t>
      </w:r>
      <w:r w:rsidRPr="00A84A20">
        <w:rPr>
          <w:sz w:val="24"/>
          <w:szCs w:val="24"/>
        </w:rPr>
        <w:t xml:space="preserve"> 153.</w:t>
      </w:r>
    </w:p>
  </w:footnote>
  <w:footnote w:id="26">
    <w:p w14:paraId="4E4DEE09"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Anderson, </w:t>
      </w:r>
      <w:r>
        <w:rPr>
          <w:sz w:val="24"/>
          <w:szCs w:val="24"/>
        </w:rPr>
        <w:t>‘</w:t>
      </w:r>
      <w:r w:rsidRPr="00A84A20">
        <w:rPr>
          <w:sz w:val="24"/>
          <w:szCs w:val="24"/>
        </w:rPr>
        <w:t>British Abuse and Torture</w:t>
      </w:r>
      <w:r>
        <w:rPr>
          <w:sz w:val="24"/>
          <w:szCs w:val="24"/>
        </w:rPr>
        <w:t>’ (n 8)</w:t>
      </w:r>
      <w:r w:rsidRPr="00A84A20">
        <w:rPr>
          <w:sz w:val="24"/>
          <w:szCs w:val="24"/>
        </w:rPr>
        <w:t xml:space="preserve">, 701; Purnima Bose, </w:t>
      </w:r>
      <w:r w:rsidRPr="00A84A20">
        <w:rPr>
          <w:i/>
          <w:sz w:val="24"/>
          <w:szCs w:val="24"/>
        </w:rPr>
        <w:t>Organizing Empire: Individualism, Collective Agency, and India</w:t>
      </w:r>
      <w:r w:rsidRPr="00A84A20">
        <w:rPr>
          <w:sz w:val="24"/>
          <w:szCs w:val="24"/>
        </w:rPr>
        <w:t xml:space="preserve"> (Durham, NC: Duke University Press 2003), 2. According to Mark Doyle the </w:t>
      </w:r>
      <w:r>
        <w:rPr>
          <w:sz w:val="24"/>
          <w:szCs w:val="24"/>
        </w:rPr>
        <w:t>‘</w:t>
      </w:r>
      <w:r w:rsidRPr="00A84A20">
        <w:rPr>
          <w:sz w:val="24"/>
          <w:szCs w:val="24"/>
        </w:rPr>
        <w:t>bad apple</w:t>
      </w:r>
      <w:r>
        <w:rPr>
          <w:sz w:val="24"/>
          <w:szCs w:val="24"/>
        </w:rPr>
        <w:t>’</w:t>
      </w:r>
      <w:r w:rsidRPr="00A84A20">
        <w:rPr>
          <w:sz w:val="24"/>
          <w:szCs w:val="24"/>
        </w:rPr>
        <w:t xml:space="preserve"> thesis served to mark out particular individuals as </w:t>
      </w:r>
      <w:r>
        <w:rPr>
          <w:sz w:val="24"/>
          <w:szCs w:val="24"/>
        </w:rPr>
        <w:t>‘</w:t>
      </w:r>
      <w:r w:rsidRPr="00A84A20">
        <w:rPr>
          <w:sz w:val="24"/>
          <w:szCs w:val="24"/>
        </w:rPr>
        <w:t>brutal exception[s] to the general rule of ‘minimum force’ by which most British imperial forces abided</w:t>
      </w:r>
      <w:r>
        <w:rPr>
          <w:sz w:val="24"/>
          <w:szCs w:val="24"/>
        </w:rPr>
        <w:t>’</w:t>
      </w:r>
      <w:r w:rsidRPr="00A84A20">
        <w:rPr>
          <w:sz w:val="24"/>
          <w:szCs w:val="24"/>
        </w:rPr>
        <w:t xml:space="preserve">. Mark Doyle, </w:t>
      </w:r>
      <w:r>
        <w:rPr>
          <w:sz w:val="24"/>
          <w:szCs w:val="24"/>
        </w:rPr>
        <w:t>‘</w:t>
      </w:r>
      <w:r w:rsidRPr="00A84A20">
        <w:rPr>
          <w:sz w:val="24"/>
          <w:szCs w:val="24"/>
        </w:rPr>
        <w:t>Massacre by the Book: Amritsar and the Rules of Public</w:t>
      </w:r>
      <w:r>
        <w:rPr>
          <w:sz w:val="24"/>
          <w:szCs w:val="24"/>
        </w:rPr>
        <w:t>-</w:t>
      </w:r>
      <w:r w:rsidRPr="00A84A20">
        <w:rPr>
          <w:sz w:val="24"/>
          <w:szCs w:val="24"/>
        </w:rPr>
        <w:t>Order Policing in Britain and India</w:t>
      </w:r>
      <w:r>
        <w:rPr>
          <w:sz w:val="24"/>
          <w:szCs w:val="24"/>
        </w:rPr>
        <w:t>’</w:t>
      </w:r>
      <w:r w:rsidRPr="00A84A20">
        <w:rPr>
          <w:sz w:val="24"/>
          <w:szCs w:val="24"/>
        </w:rPr>
        <w:t xml:space="preserve">, </w:t>
      </w:r>
      <w:r w:rsidRPr="00A84A20">
        <w:rPr>
          <w:i/>
          <w:iCs/>
          <w:sz w:val="24"/>
          <w:szCs w:val="24"/>
        </w:rPr>
        <w:t xml:space="preserve">Britain and the World </w:t>
      </w:r>
      <w:r w:rsidRPr="00A84A20">
        <w:rPr>
          <w:sz w:val="24"/>
          <w:szCs w:val="24"/>
        </w:rPr>
        <w:t>4</w:t>
      </w:r>
      <w:r>
        <w:rPr>
          <w:sz w:val="24"/>
          <w:szCs w:val="24"/>
        </w:rPr>
        <w:t>/</w:t>
      </w:r>
      <w:r w:rsidRPr="00A84A20">
        <w:rPr>
          <w:sz w:val="24"/>
          <w:szCs w:val="24"/>
        </w:rPr>
        <w:t>2 (2011), 248</w:t>
      </w:r>
      <w:r>
        <w:rPr>
          <w:sz w:val="24"/>
          <w:szCs w:val="24"/>
        </w:rPr>
        <w:t xml:space="preserve"> (hereafter Doyle, ‘Massacre by the Book’)</w:t>
      </w:r>
      <w:r w:rsidRPr="00A84A20">
        <w:rPr>
          <w:sz w:val="24"/>
          <w:szCs w:val="24"/>
        </w:rPr>
        <w:t>.</w:t>
      </w:r>
    </w:p>
  </w:footnote>
  <w:footnote w:id="27">
    <w:p w14:paraId="1EB1C06A" w14:textId="77777777" w:rsidR="00997966" w:rsidRPr="00D90D2D"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See, for example, Owen Boycott, ‘Mau Mau Lawsuit Due to Begin at High Court’, </w:t>
      </w:r>
      <w:r w:rsidRPr="006C7DAF">
        <w:rPr>
          <w:i/>
          <w:iCs/>
          <w:sz w:val="24"/>
          <w:szCs w:val="24"/>
        </w:rPr>
        <w:t>The</w:t>
      </w:r>
      <w:r w:rsidRPr="00A84A20">
        <w:rPr>
          <w:sz w:val="24"/>
          <w:szCs w:val="24"/>
        </w:rPr>
        <w:t xml:space="preserve"> </w:t>
      </w:r>
      <w:r w:rsidRPr="00A84A20">
        <w:rPr>
          <w:i/>
          <w:iCs/>
          <w:sz w:val="24"/>
          <w:szCs w:val="24"/>
        </w:rPr>
        <w:t>Guardian</w:t>
      </w:r>
      <w:r>
        <w:rPr>
          <w:sz w:val="24"/>
          <w:szCs w:val="24"/>
        </w:rPr>
        <w:t xml:space="preserve"> (London, </w:t>
      </w:r>
      <w:r w:rsidRPr="00A84A20">
        <w:rPr>
          <w:sz w:val="24"/>
          <w:szCs w:val="24"/>
        </w:rPr>
        <w:t>22 May 2016</w:t>
      </w:r>
      <w:r>
        <w:rPr>
          <w:sz w:val="24"/>
          <w:szCs w:val="24"/>
        </w:rPr>
        <w:t>)</w:t>
      </w:r>
      <w:r w:rsidRPr="00A84A20">
        <w:rPr>
          <w:sz w:val="24"/>
          <w:szCs w:val="24"/>
        </w:rPr>
        <w:t xml:space="preserve"> </w:t>
      </w:r>
      <w:r>
        <w:rPr>
          <w:sz w:val="24"/>
          <w:szCs w:val="24"/>
        </w:rPr>
        <w:t>&lt;</w:t>
      </w:r>
      <w:hyperlink r:id="rId12" w:history="1">
        <w:r w:rsidRPr="00CD296F">
          <w:rPr>
            <w:rStyle w:val="Hyperlink"/>
            <w:sz w:val="24"/>
            <w:szCs w:val="24"/>
          </w:rPr>
          <w:t>https://www.theguardian.com/law/2016/may/22/mau</w:t>
        </w:r>
        <w:r>
          <w:rPr>
            <w:rStyle w:val="Hyperlink"/>
            <w:sz w:val="24"/>
            <w:szCs w:val="24"/>
          </w:rPr>
          <w:t>-</w:t>
        </w:r>
        <w:r w:rsidRPr="00CD296F">
          <w:rPr>
            <w:rStyle w:val="Hyperlink"/>
            <w:sz w:val="24"/>
            <w:szCs w:val="24"/>
          </w:rPr>
          <w:t>mau</w:t>
        </w:r>
        <w:r>
          <w:rPr>
            <w:rStyle w:val="Hyperlink"/>
            <w:sz w:val="24"/>
            <w:szCs w:val="24"/>
          </w:rPr>
          <w:t>-</w:t>
        </w:r>
        <w:r w:rsidRPr="00CD296F">
          <w:rPr>
            <w:rStyle w:val="Hyperlink"/>
            <w:sz w:val="24"/>
            <w:szCs w:val="24"/>
          </w:rPr>
          <w:t>kenya</w:t>
        </w:r>
        <w:r>
          <w:rPr>
            <w:rStyle w:val="Hyperlink"/>
            <w:sz w:val="24"/>
            <w:szCs w:val="24"/>
          </w:rPr>
          <w:t>-</w:t>
        </w:r>
        <w:r w:rsidRPr="00CD296F">
          <w:rPr>
            <w:rStyle w:val="Hyperlink"/>
            <w:sz w:val="24"/>
            <w:szCs w:val="24"/>
          </w:rPr>
          <w:t>compensation</w:t>
        </w:r>
        <w:r>
          <w:rPr>
            <w:rStyle w:val="Hyperlink"/>
            <w:sz w:val="24"/>
            <w:szCs w:val="24"/>
          </w:rPr>
          <w:t>-</w:t>
        </w:r>
        <w:r w:rsidRPr="00CD296F">
          <w:rPr>
            <w:rStyle w:val="Hyperlink"/>
            <w:sz w:val="24"/>
            <w:szCs w:val="24"/>
          </w:rPr>
          <w:t>lawsuit</w:t>
        </w:r>
        <w:r>
          <w:rPr>
            <w:rStyle w:val="Hyperlink"/>
            <w:sz w:val="24"/>
            <w:szCs w:val="24"/>
          </w:rPr>
          <w:t>-</w:t>
        </w:r>
        <w:r w:rsidRPr="00CD296F">
          <w:rPr>
            <w:rStyle w:val="Hyperlink"/>
            <w:sz w:val="24"/>
            <w:szCs w:val="24"/>
          </w:rPr>
          <w:t>high</w:t>
        </w:r>
        <w:r>
          <w:rPr>
            <w:rStyle w:val="Hyperlink"/>
            <w:sz w:val="24"/>
            <w:szCs w:val="24"/>
          </w:rPr>
          <w:t>-</w:t>
        </w:r>
        <w:r w:rsidRPr="00CD296F">
          <w:rPr>
            <w:rStyle w:val="Hyperlink"/>
            <w:sz w:val="24"/>
            <w:szCs w:val="24"/>
          </w:rPr>
          <w:t>court</w:t>
        </w:r>
      </w:hyperlink>
      <w:r>
        <w:rPr>
          <w:sz w:val="24"/>
          <w:szCs w:val="24"/>
        </w:rPr>
        <w:t xml:space="preserve">&gt; </w:t>
      </w:r>
      <w:r w:rsidRPr="00A84A20">
        <w:rPr>
          <w:sz w:val="24"/>
          <w:szCs w:val="24"/>
        </w:rPr>
        <w:t xml:space="preserve">accessed 13 May 2020; </w:t>
      </w:r>
      <w:r w:rsidRPr="00A84A20">
        <w:rPr>
          <w:sz w:val="24"/>
          <w:szCs w:val="24"/>
          <w:shd w:val="clear" w:color="auto" w:fill="FFFFFF"/>
        </w:rPr>
        <w:t xml:space="preserve">Helena Smith, </w:t>
      </w:r>
      <w:r>
        <w:rPr>
          <w:sz w:val="24"/>
          <w:szCs w:val="24"/>
          <w:shd w:val="clear" w:color="auto" w:fill="FFFFFF"/>
        </w:rPr>
        <w:t>‘</w:t>
      </w:r>
      <w:r w:rsidRPr="00A84A20">
        <w:rPr>
          <w:sz w:val="24"/>
          <w:szCs w:val="24"/>
          <w:shd w:val="clear" w:color="auto" w:fill="FFFFFF"/>
        </w:rPr>
        <w:t>Cypriot Veterans Win Right to Claim Damages Over UK Torture Claims</w:t>
      </w:r>
      <w:r>
        <w:rPr>
          <w:sz w:val="24"/>
          <w:szCs w:val="24"/>
          <w:shd w:val="clear" w:color="auto" w:fill="FFFFFF"/>
        </w:rPr>
        <w:t>’</w:t>
      </w:r>
      <w:r w:rsidRPr="00A84A20">
        <w:rPr>
          <w:sz w:val="24"/>
          <w:szCs w:val="24"/>
          <w:shd w:val="clear" w:color="auto" w:fill="FFFFFF"/>
        </w:rPr>
        <w:t xml:space="preserve">, </w:t>
      </w:r>
      <w:r w:rsidRPr="00A84A20">
        <w:rPr>
          <w:i/>
          <w:iCs/>
          <w:sz w:val="24"/>
          <w:szCs w:val="24"/>
          <w:shd w:val="clear" w:color="auto" w:fill="FFFFFF"/>
        </w:rPr>
        <w:t>The Guardian</w:t>
      </w:r>
      <w:r>
        <w:rPr>
          <w:sz w:val="24"/>
          <w:szCs w:val="24"/>
          <w:shd w:val="clear" w:color="auto" w:fill="FFFFFF"/>
        </w:rPr>
        <w:t xml:space="preserve"> (London, </w:t>
      </w:r>
      <w:r w:rsidRPr="00A84A20">
        <w:rPr>
          <w:sz w:val="24"/>
          <w:szCs w:val="24"/>
          <w:shd w:val="clear" w:color="auto" w:fill="FFFFFF"/>
        </w:rPr>
        <w:t>12 January, 2018</w:t>
      </w:r>
      <w:r>
        <w:rPr>
          <w:sz w:val="24"/>
          <w:szCs w:val="24"/>
          <w:shd w:val="clear" w:color="auto" w:fill="FFFFFF"/>
        </w:rPr>
        <w:t>) &lt;</w:t>
      </w:r>
      <w:hyperlink r:id="rId13" w:history="1">
        <w:r w:rsidRPr="00CD296F">
          <w:rPr>
            <w:rStyle w:val="Hyperlink"/>
            <w:sz w:val="24"/>
            <w:szCs w:val="24"/>
          </w:rPr>
          <w:t>https://www.theguardian.com/world/2018/jan/12/cypriot</w:t>
        </w:r>
        <w:r>
          <w:rPr>
            <w:rStyle w:val="Hyperlink"/>
            <w:sz w:val="24"/>
            <w:szCs w:val="24"/>
          </w:rPr>
          <w:t>-</w:t>
        </w:r>
        <w:r w:rsidRPr="00CD296F">
          <w:rPr>
            <w:rStyle w:val="Hyperlink"/>
            <w:sz w:val="24"/>
            <w:szCs w:val="24"/>
          </w:rPr>
          <w:t>veterans</w:t>
        </w:r>
        <w:r>
          <w:rPr>
            <w:rStyle w:val="Hyperlink"/>
            <w:sz w:val="24"/>
            <w:szCs w:val="24"/>
          </w:rPr>
          <w:t>-</w:t>
        </w:r>
        <w:r w:rsidRPr="00CD296F">
          <w:rPr>
            <w:rStyle w:val="Hyperlink"/>
            <w:sz w:val="24"/>
            <w:szCs w:val="24"/>
          </w:rPr>
          <w:t>win</w:t>
        </w:r>
        <w:r>
          <w:rPr>
            <w:rStyle w:val="Hyperlink"/>
            <w:sz w:val="24"/>
            <w:szCs w:val="24"/>
          </w:rPr>
          <w:t>-</w:t>
        </w:r>
        <w:r w:rsidRPr="00CD296F">
          <w:rPr>
            <w:rStyle w:val="Hyperlink"/>
            <w:sz w:val="24"/>
            <w:szCs w:val="24"/>
          </w:rPr>
          <w:t>right</w:t>
        </w:r>
        <w:r>
          <w:rPr>
            <w:rStyle w:val="Hyperlink"/>
            <w:sz w:val="24"/>
            <w:szCs w:val="24"/>
          </w:rPr>
          <w:t>-</w:t>
        </w:r>
        <w:r w:rsidRPr="00CD296F">
          <w:rPr>
            <w:rStyle w:val="Hyperlink"/>
            <w:sz w:val="24"/>
            <w:szCs w:val="24"/>
          </w:rPr>
          <w:t>to</w:t>
        </w:r>
        <w:r>
          <w:rPr>
            <w:rStyle w:val="Hyperlink"/>
            <w:sz w:val="24"/>
            <w:szCs w:val="24"/>
          </w:rPr>
          <w:t>-</w:t>
        </w:r>
        <w:r w:rsidRPr="00CD296F">
          <w:rPr>
            <w:rStyle w:val="Hyperlink"/>
            <w:sz w:val="24"/>
            <w:szCs w:val="24"/>
          </w:rPr>
          <w:t>claim</w:t>
        </w:r>
        <w:r>
          <w:rPr>
            <w:rStyle w:val="Hyperlink"/>
            <w:sz w:val="24"/>
            <w:szCs w:val="24"/>
          </w:rPr>
          <w:t>-</w:t>
        </w:r>
        <w:r w:rsidRPr="00CD296F">
          <w:rPr>
            <w:rStyle w:val="Hyperlink"/>
            <w:sz w:val="24"/>
            <w:szCs w:val="24"/>
          </w:rPr>
          <w:t>damages</w:t>
        </w:r>
        <w:r>
          <w:rPr>
            <w:rStyle w:val="Hyperlink"/>
            <w:sz w:val="24"/>
            <w:szCs w:val="24"/>
          </w:rPr>
          <w:t>-</w:t>
        </w:r>
        <w:r w:rsidRPr="00CD296F">
          <w:rPr>
            <w:rStyle w:val="Hyperlink"/>
            <w:sz w:val="24"/>
            <w:szCs w:val="24"/>
          </w:rPr>
          <w:t>over</w:t>
        </w:r>
        <w:r>
          <w:rPr>
            <w:rStyle w:val="Hyperlink"/>
            <w:sz w:val="24"/>
            <w:szCs w:val="24"/>
          </w:rPr>
          <w:t>-</w:t>
        </w:r>
        <w:r w:rsidRPr="00CD296F">
          <w:rPr>
            <w:rStyle w:val="Hyperlink"/>
            <w:sz w:val="24"/>
            <w:szCs w:val="24"/>
          </w:rPr>
          <w:t>uk</w:t>
        </w:r>
        <w:r>
          <w:rPr>
            <w:rStyle w:val="Hyperlink"/>
            <w:sz w:val="24"/>
            <w:szCs w:val="24"/>
          </w:rPr>
          <w:t>-</w:t>
        </w:r>
        <w:r w:rsidRPr="00CD296F">
          <w:rPr>
            <w:rStyle w:val="Hyperlink"/>
            <w:sz w:val="24"/>
            <w:szCs w:val="24"/>
          </w:rPr>
          <w:t>torture</w:t>
        </w:r>
        <w:r>
          <w:rPr>
            <w:rStyle w:val="Hyperlink"/>
            <w:sz w:val="24"/>
            <w:szCs w:val="24"/>
          </w:rPr>
          <w:t>-</w:t>
        </w:r>
        <w:r w:rsidRPr="00CD296F">
          <w:rPr>
            <w:rStyle w:val="Hyperlink"/>
            <w:sz w:val="24"/>
            <w:szCs w:val="24"/>
          </w:rPr>
          <w:t>claims</w:t>
        </w:r>
      </w:hyperlink>
      <w:r>
        <w:rPr>
          <w:sz w:val="24"/>
          <w:szCs w:val="24"/>
        </w:rPr>
        <w:t xml:space="preserve">&gt; </w:t>
      </w:r>
      <w:r w:rsidRPr="00A84A20">
        <w:rPr>
          <w:sz w:val="24"/>
          <w:szCs w:val="24"/>
        </w:rPr>
        <w:t>accessed 19 May</w:t>
      </w:r>
      <w:r>
        <w:rPr>
          <w:sz w:val="24"/>
          <w:szCs w:val="24"/>
        </w:rPr>
        <w:t xml:space="preserve"> </w:t>
      </w:r>
      <w:r w:rsidRPr="00A84A20">
        <w:rPr>
          <w:sz w:val="24"/>
          <w:szCs w:val="24"/>
        </w:rPr>
        <w:t>2020</w:t>
      </w:r>
      <w:r>
        <w:rPr>
          <w:sz w:val="24"/>
          <w:szCs w:val="24"/>
        </w:rPr>
        <w:t>;</w:t>
      </w:r>
      <w:r w:rsidRPr="00A84A20">
        <w:rPr>
          <w:sz w:val="24"/>
          <w:szCs w:val="24"/>
        </w:rPr>
        <w:t xml:space="preserve"> </w:t>
      </w:r>
      <w:r w:rsidRPr="00E42F64">
        <w:rPr>
          <w:rStyle w:val="Emphasis"/>
          <w:sz w:val="24"/>
          <w:szCs w:val="24"/>
          <w:shd w:val="clear" w:color="auto" w:fill="FFFFFF"/>
        </w:rPr>
        <w:t>Sophocleous &amp; Ors</w:t>
      </w:r>
      <w:r w:rsidRPr="00E42F64">
        <w:rPr>
          <w:sz w:val="24"/>
          <w:szCs w:val="24"/>
          <w:shd w:val="clear" w:color="auto" w:fill="FFFFFF"/>
        </w:rPr>
        <w:t> </w:t>
      </w:r>
      <w:r w:rsidRPr="00E42F64">
        <w:rPr>
          <w:i/>
          <w:iCs/>
          <w:sz w:val="24"/>
          <w:szCs w:val="24"/>
          <w:shd w:val="clear" w:color="auto" w:fill="FFFFFF"/>
        </w:rPr>
        <w:t>v The Secretary of State for Foreign And Commonwealth Affairs &amp; Anor</w:t>
      </w:r>
      <w:r w:rsidRPr="00E42F64">
        <w:rPr>
          <w:sz w:val="24"/>
          <w:szCs w:val="24"/>
          <w:shd w:val="clear" w:color="auto" w:fill="FFFFFF"/>
        </w:rPr>
        <w:t xml:space="preserve"> [2018] EWCA Civ 2167; and Helena Smith, ‘UK to pay £1m to Greek Cypriots Over Claims </w:t>
      </w:r>
      <w:r w:rsidRPr="00A84A20">
        <w:rPr>
          <w:color w:val="121212"/>
          <w:sz w:val="24"/>
          <w:szCs w:val="24"/>
          <w:shd w:val="clear" w:color="auto" w:fill="FFFFFF"/>
        </w:rPr>
        <w:t>of Human Rights Abuses</w:t>
      </w:r>
      <w:r>
        <w:rPr>
          <w:color w:val="121212"/>
          <w:sz w:val="24"/>
          <w:szCs w:val="24"/>
          <w:shd w:val="clear" w:color="auto" w:fill="FFFFFF"/>
        </w:rPr>
        <w:t>’</w:t>
      </w:r>
      <w:r w:rsidRPr="00A84A20">
        <w:rPr>
          <w:color w:val="121212"/>
          <w:sz w:val="24"/>
          <w:szCs w:val="24"/>
          <w:shd w:val="clear" w:color="auto" w:fill="FFFFFF"/>
        </w:rPr>
        <w:t xml:space="preserve">, </w:t>
      </w:r>
      <w:r w:rsidRPr="00A84A20">
        <w:rPr>
          <w:i/>
          <w:iCs/>
          <w:color w:val="121212"/>
          <w:sz w:val="24"/>
          <w:szCs w:val="24"/>
          <w:shd w:val="clear" w:color="auto" w:fill="FFFFFF"/>
        </w:rPr>
        <w:t>The Guardian</w:t>
      </w:r>
      <w:r>
        <w:rPr>
          <w:color w:val="121212"/>
          <w:sz w:val="24"/>
          <w:szCs w:val="24"/>
          <w:shd w:val="clear" w:color="auto" w:fill="FFFFFF"/>
        </w:rPr>
        <w:t xml:space="preserve"> (London, </w:t>
      </w:r>
      <w:r w:rsidRPr="00A84A20">
        <w:rPr>
          <w:color w:val="121212"/>
          <w:sz w:val="24"/>
          <w:szCs w:val="24"/>
          <w:shd w:val="clear" w:color="auto" w:fill="FFFFFF"/>
        </w:rPr>
        <w:t>23 January 2019</w:t>
      </w:r>
      <w:r>
        <w:rPr>
          <w:color w:val="121212"/>
          <w:sz w:val="24"/>
          <w:szCs w:val="24"/>
          <w:shd w:val="clear" w:color="auto" w:fill="FFFFFF"/>
        </w:rPr>
        <w:t>) &lt;</w:t>
      </w:r>
      <w:hyperlink r:id="rId14" w:history="1">
        <w:r w:rsidRPr="00A84A20">
          <w:rPr>
            <w:rStyle w:val="Hyperlink"/>
            <w:sz w:val="24"/>
            <w:szCs w:val="24"/>
          </w:rPr>
          <w:t>https://www.theguardian.com/world/2019/jan/23/britain</w:t>
        </w:r>
        <w:r>
          <w:rPr>
            <w:rStyle w:val="Hyperlink"/>
            <w:sz w:val="24"/>
            <w:szCs w:val="24"/>
          </w:rPr>
          <w:t>-</w:t>
        </w:r>
        <w:r w:rsidRPr="00A84A20">
          <w:rPr>
            <w:rStyle w:val="Hyperlink"/>
            <w:sz w:val="24"/>
            <w:szCs w:val="24"/>
          </w:rPr>
          <w:t>to</w:t>
        </w:r>
        <w:r>
          <w:rPr>
            <w:rStyle w:val="Hyperlink"/>
            <w:sz w:val="24"/>
            <w:szCs w:val="24"/>
          </w:rPr>
          <w:t>-</w:t>
        </w:r>
        <w:r w:rsidRPr="00A84A20">
          <w:rPr>
            <w:rStyle w:val="Hyperlink"/>
            <w:sz w:val="24"/>
            <w:szCs w:val="24"/>
          </w:rPr>
          <w:t>pay</w:t>
        </w:r>
        <w:r>
          <w:rPr>
            <w:rStyle w:val="Hyperlink"/>
            <w:sz w:val="24"/>
            <w:szCs w:val="24"/>
          </w:rPr>
          <w:t>-</w:t>
        </w:r>
        <w:r w:rsidRPr="00A84A20">
          <w:rPr>
            <w:rStyle w:val="Hyperlink"/>
            <w:sz w:val="24"/>
            <w:szCs w:val="24"/>
          </w:rPr>
          <w:t>group</w:t>
        </w:r>
        <w:r>
          <w:rPr>
            <w:rStyle w:val="Hyperlink"/>
            <w:sz w:val="24"/>
            <w:szCs w:val="24"/>
          </w:rPr>
          <w:t>-</w:t>
        </w:r>
        <w:r w:rsidRPr="00A84A20">
          <w:rPr>
            <w:rStyle w:val="Hyperlink"/>
            <w:sz w:val="24"/>
            <w:szCs w:val="24"/>
          </w:rPr>
          <w:t>of</w:t>
        </w:r>
        <w:r>
          <w:rPr>
            <w:rStyle w:val="Hyperlink"/>
            <w:sz w:val="24"/>
            <w:szCs w:val="24"/>
          </w:rPr>
          <w:t>-</w:t>
        </w:r>
        <w:r w:rsidRPr="00A84A20">
          <w:rPr>
            <w:rStyle w:val="Hyperlink"/>
            <w:sz w:val="24"/>
            <w:szCs w:val="24"/>
          </w:rPr>
          <w:t>greek</w:t>
        </w:r>
        <w:r>
          <w:rPr>
            <w:rStyle w:val="Hyperlink"/>
            <w:sz w:val="24"/>
            <w:szCs w:val="24"/>
          </w:rPr>
          <w:t>-</w:t>
        </w:r>
        <w:r w:rsidRPr="00A84A20">
          <w:rPr>
            <w:rStyle w:val="Hyperlink"/>
            <w:sz w:val="24"/>
            <w:szCs w:val="24"/>
          </w:rPr>
          <w:t>cypriots</w:t>
        </w:r>
        <w:r>
          <w:rPr>
            <w:rStyle w:val="Hyperlink"/>
            <w:sz w:val="24"/>
            <w:szCs w:val="24"/>
          </w:rPr>
          <w:t>-</w:t>
        </w:r>
        <w:r w:rsidRPr="00A84A20">
          <w:rPr>
            <w:rStyle w:val="Hyperlink"/>
            <w:sz w:val="24"/>
            <w:szCs w:val="24"/>
          </w:rPr>
          <w:t>1m</w:t>
        </w:r>
        <w:r>
          <w:rPr>
            <w:rStyle w:val="Hyperlink"/>
            <w:sz w:val="24"/>
            <w:szCs w:val="24"/>
          </w:rPr>
          <w:t>-</w:t>
        </w:r>
        <w:r w:rsidRPr="00A84A20">
          <w:rPr>
            <w:rStyle w:val="Hyperlink"/>
            <w:sz w:val="24"/>
            <w:szCs w:val="24"/>
          </w:rPr>
          <w:t>after</w:t>
        </w:r>
        <w:r>
          <w:rPr>
            <w:rStyle w:val="Hyperlink"/>
            <w:sz w:val="24"/>
            <w:szCs w:val="24"/>
          </w:rPr>
          <w:t>-</w:t>
        </w:r>
        <w:r w:rsidRPr="00A84A20">
          <w:rPr>
            <w:rStyle w:val="Hyperlink"/>
            <w:sz w:val="24"/>
            <w:szCs w:val="24"/>
          </w:rPr>
          <w:t>claims</w:t>
        </w:r>
        <w:r>
          <w:rPr>
            <w:rStyle w:val="Hyperlink"/>
            <w:sz w:val="24"/>
            <w:szCs w:val="24"/>
          </w:rPr>
          <w:t>-</w:t>
        </w:r>
        <w:r w:rsidRPr="00A84A20">
          <w:rPr>
            <w:rStyle w:val="Hyperlink"/>
            <w:sz w:val="24"/>
            <w:szCs w:val="24"/>
          </w:rPr>
          <w:t>of</w:t>
        </w:r>
        <w:r>
          <w:rPr>
            <w:rStyle w:val="Hyperlink"/>
            <w:sz w:val="24"/>
            <w:szCs w:val="24"/>
          </w:rPr>
          <w:t>-</w:t>
        </w:r>
        <w:r w:rsidRPr="00A84A20">
          <w:rPr>
            <w:rStyle w:val="Hyperlink"/>
            <w:sz w:val="24"/>
            <w:szCs w:val="24"/>
          </w:rPr>
          <w:t>human</w:t>
        </w:r>
        <w:r>
          <w:rPr>
            <w:rStyle w:val="Hyperlink"/>
            <w:sz w:val="24"/>
            <w:szCs w:val="24"/>
          </w:rPr>
          <w:t>-</w:t>
        </w:r>
        <w:r w:rsidRPr="00A84A20">
          <w:rPr>
            <w:rStyle w:val="Hyperlink"/>
            <w:sz w:val="24"/>
            <w:szCs w:val="24"/>
          </w:rPr>
          <w:t>rights</w:t>
        </w:r>
        <w:r>
          <w:rPr>
            <w:rStyle w:val="Hyperlink"/>
            <w:sz w:val="24"/>
            <w:szCs w:val="24"/>
          </w:rPr>
          <w:t>-</w:t>
        </w:r>
        <w:r w:rsidRPr="00A84A20">
          <w:rPr>
            <w:rStyle w:val="Hyperlink"/>
            <w:sz w:val="24"/>
            <w:szCs w:val="24"/>
          </w:rPr>
          <w:t>abuse</w:t>
        </w:r>
      </w:hyperlink>
      <w:r>
        <w:rPr>
          <w:sz w:val="24"/>
          <w:szCs w:val="24"/>
        </w:rPr>
        <w:t xml:space="preserve">&gt; </w:t>
      </w:r>
      <w:r w:rsidRPr="00A84A20">
        <w:rPr>
          <w:sz w:val="24"/>
          <w:szCs w:val="24"/>
        </w:rPr>
        <w:t>accessed 19 May 2020.</w:t>
      </w:r>
    </w:p>
  </w:footnote>
  <w:footnote w:id="28">
    <w:p w14:paraId="242F60A0" w14:textId="77777777" w:rsidR="00997966" w:rsidRPr="00A84A20" w:rsidRDefault="00997966" w:rsidP="00997966">
      <w:pPr>
        <w:shd w:val="clear" w:color="auto" w:fill="FFFFFF"/>
        <w:spacing w:after="0" w:line="480" w:lineRule="auto"/>
        <w:contextualSpacing/>
        <w:textAlignment w:val="baseline"/>
        <w:rPr>
          <w:b/>
          <w:bCs/>
          <w:color w:val="121212"/>
          <w:shd w:val="clear" w:color="auto" w:fill="FFFFFF"/>
        </w:rPr>
      </w:pPr>
      <w:r w:rsidRPr="00A84A20">
        <w:rPr>
          <w:rStyle w:val="FootnoteReference"/>
        </w:rPr>
        <w:footnoteRef/>
      </w:r>
      <w:r w:rsidRPr="00A84A20">
        <w:t xml:space="preserve"> </w:t>
      </w:r>
      <w:r>
        <w:t xml:space="preserve">HC Deb 6 June 2013, 563, </w:t>
      </w:r>
      <w:r w:rsidRPr="00A84A20">
        <w:rPr>
          <w:color w:val="000000"/>
          <w:shd w:val="clear" w:color="auto" w:fill="FFFFFF"/>
        </w:rPr>
        <w:t>col. 1693</w:t>
      </w:r>
      <w:r w:rsidRPr="00A84A20">
        <w:t xml:space="preserve">; </w:t>
      </w:r>
      <w:r w:rsidRPr="00A84A20">
        <w:rPr>
          <w:color w:val="121212"/>
        </w:rPr>
        <w:t xml:space="preserve">Cobain, </w:t>
      </w:r>
      <w:r>
        <w:rPr>
          <w:color w:val="121212"/>
        </w:rPr>
        <w:t>‘</w:t>
      </w:r>
      <w:r w:rsidRPr="00A84A20">
        <w:rPr>
          <w:color w:val="121212"/>
        </w:rPr>
        <w:t>Kenya</w:t>
      </w:r>
      <w:r>
        <w:rPr>
          <w:color w:val="121212"/>
        </w:rPr>
        <w:t>’ (n 23)</w:t>
      </w:r>
      <w:r w:rsidRPr="00A84A20">
        <w:t>.</w:t>
      </w:r>
    </w:p>
  </w:footnote>
  <w:footnote w:id="29">
    <w:p w14:paraId="489AA3DB"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w:t>
      </w:r>
      <w:r w:rsidRPr="00D00D95">
        <w:rPr>
          <w:sz w:val="24"/>
          <w:szCs w:val="24"/>
        </w:rPr>
        <w:t xml:space="preserve">HC Deb 6 June 2013, 563, </w:t>
      </w:r>
      <w:r w:rsidRPr="00D00D95">
        <w:rPr>
          <w:color w:val="000000"/>
          <w:sz w:val="24"/>
          <w:szCs w:val="24"/>
          <w:shd w:val="clear" w:color="auto" w:fill="FFFFFF"/>
        </w:rPr>
        <w:t>col. 1692, 1695</w:t>
      </w:r>
      <w:r w:rsidRPr="00D00D95">
        <w:rPr>
          <w:sz w:val="24"/>
          <w:szCs w:val="24"/>
        </w:rPr>
        <w:t xml:space="preserve">; </w:t>
      </w:r>
      <w:r w:rsidRPr="00D00D95">
        <w:rPr>
          <w:color w:val="121212"/>
          <w:sz w:val="24"/>
          <w:szCs w:val="24"/>
        </w:rPr>
        <w:t>Cobain, ‘Kenya’ (n 23).</w:t>
      </w:r>
      <w:r w:rsidRPr="00A84A20">
        <w:rPr>
          <w:color w:val="121212"/>
          <w:sz w:val="24"/>
          <w:szCs w:val="24"/>
        </w:rPr>
        <w:t xml:space="preserve"> </w:t>
      </w:r>
    </w:p>
  </w:footnote>
  <w:footnote w:id="30">
    <w:p w14:paraId="6F8CD834"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Caroline Elkins, </w:t>
      </w:r>
      <w:r>
        <w:rPr>
          <w:sz w:val="24"/>
          <w:szCs w:val="24"/>
        </w:rPr>
        <w:t>‘</w:t>
      </w:r>
      <w:r w:rsidRPr="00A84A20">
        <w:rPr>
          <w:sz w:val="24"/>
          <w:szCs w:val="24"/>
        </w:rPr>
        <w:t>Alchelmy of Evidence: Mau Mau, the British Empire and the High Court of Justice</w:t>
      </w:r>
      <w:r>
        <w:rPr>
          <w:sz w:val="24"/>
          <w:szCs w:val="24"/>
        </w:rPr>
        <w:t>’</w:t>
      </w:r>
      <w:r w:rsidRPr="00A84A20">
        <w:rPr>
          <w:sz w:val="24"/>
          <w:szCs w:val="24"/>
        </w:rPr>
        <w:t xml:space="preserve">, </w:t>
      </w:r>
      <w:r w:rsidRPr="00A84A20">
        <w:rPr>
          <w:i/>
          <w:iCs/>
          <w:sz w:val="24"/>
          <w:szCs w:val="24"/>
        </w:rPr>
        <w:t>The Journal of Imperial and Commonwealth History</w:t>
      </w:r>
      <w:r w:rsidRPr="00A84A20">
        <w:rPr>
          <w:sz w:val="24"/>
          <w:szCs w:val="24"/>
        </w:rPr>
        <w:t xml:space="preserve"> 39</w:t>
      </w:r>
      <w:r>
        <w:rPr>
          <w:sz w:val="24"/>
          <w:szCs w:val="24"/>
        </w:rPr>
        <w:t>/</w:t>
      </w:r>
      <w:r w:rsidRPr="00A84A20">
        <w:rPr>
          <w:sz w:val="24"/>
          <w:szCs w:val="24"/>
        </w:rPr>
        <w:t>5 (2011), 731.</w:t>
      </w:r>
    </w:p>
  </w:footnote>
  <w:footnote w:id="31">
    <w:p w14:paraId="094F4652"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w:t>
      </w:r>
      <w:r w:rsidRPr="00D00D95">
        <w:rPr>
          <w:sz w:val="24"/>
          <w:szCs w:val="24"/>
        </w:rPr>
        <w:t xml:space="preserve">HC Deb 6 June 2013, 563, </w:t>
      </w:r>
      <w:r w:rsidRPr="00D00D95">
        <w:rPr>
          <w:color w:val="000000"/>
          <w:sz w:val="24"/>
          <w:szCs w:val="24"/>
          <w:shd w:val="clear" w:color="auto" w:fill="FFFFFF"/>
        </w:rPr>
        <w:t>col.</w:t>
      </w:r>
      <w:r w:rsidRPr="00A84A20">
        <w:rPr>
          <w:color w:val="000000"/>
          <w:sz w:val="24"/>
          <w:szCs w:val="24"/>
          <w:shd w:val="clear" w:color="auto" w:fill="FFFFFF"/>
        </w:rPr>
        <w:t xml:space="preserve"> 1692, 1696</w:t>
      </w:r>
      <w:r w:rsidRPr="00A84A20">
        <w:rPr>
          <w:sz w:val="24"/>
          <w:szCs w:val="24"/>
        </w:rPr>
        <w:t xml:space="preserve">; and Michael D. Shear and Maggie Haberman, </w:t>
      </w:r>
      <w:r>
        <w:rPr>
          <w:sz w:val="24"/>
          <w:szCs w:val="24"/>
        </w:rPr>
        <w:t>‘</w:t>
      </w:r>
      <w:r w:rsidRPr="00A84A20">
        <w:rPr>
          <w:sz w:val="24"/>
          <w:szCs w:val="24"/>
        </w:rPr>
        <w:t>Trump Defends Initial Remarks on Charlottesville; Again Blames ‘both sides’</w:t>
      </w:r>
      <w:r>
        <w:rPr>
          <w:sz w:val="24"/>
          <w:szCs w:val="24"/>
        </w:rPr>
        <w:t>’</w:t>
      </w:r>
      <w:r w:rsidRPr="00A84A20">
        <w:rPr>
          <w:sz w:val="24"/>
          <w:szCs w:val="24"/>
        </w:rPr>
        <w:t xml:space="preserve">, </w:t>
      </w:r>
      <w:r w:rsidRPr="00A84A20">
        <w:rPr>
          <w:i/>
          <w:iCs/>
          <w:sz w:val="24"/>
          <w:szCs w:val="24"/>
        </w:rPr>
        <w:t>The New York Times</w:t>
      </w:r>
      <w:r>
        <w:rPr>
          <w:sz w:val="24"/>
          <w:szCs w:val="24"/>
        </w:rPr>
        <w:t xml:space="preserve"> (New York, </w:t>
      </w:r>
      <w:r w:rsidRPr="00A84A20">
        <w:rPr>
          <w:sz w:val="24"/>
          <w:szCs w:val="24"/>
        </w:rPr>
        <w:t>15 August 2017</w:t>
      </w:r>
      <w:r>
        <w:rPr>
          <w:sz w:val="24"/>
          <w:szCs w:val="24"/>
        </w:rPr>
        <w:t xml:space="preserve"> &lt;</w:t>
      </w:r>
      <w:hyperlink r:id="rId15" w:history="1">
        <w:r w:rsidRPr="00CB4094">
          <w:rPr>
            <w:rStyle w:val="Hyperlink"/>
            <w:sz w:val="24"/>
            <w:szCs w:val="24"/>
          </w:rPr>
          <w:t>https://www.nytimes.com/2017/08/15/us/politics/trump-press-conference-charlottesville.html</w:t>
        </w:r>
      </w:hyperlink>
      <w:r>
        <w:rPr>
          <w:rStyle w:val="Hyperlink"/>
          <w:sz w:val="24"/>
          <w:szCs w:val="24"/>
        </w:rPr>
        <w:t>&gt;</w:t>
      </w:r>
      <w:r w:rsidRPr="00A84A20">
        <w:rPr>
          <w:sz w:val="24"/>
          <w:szCs w:val="24"/>
        </w:rPr>
        <w:t xml:space="preserve"> accessed 13 May 2020.</w:t>
      </w:r>
    </w:p>
  </w:footnote>
  <w:footnote w:id="32">
    <w:p w14:paraId="41495BFB"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w:t>
      </w:r>
      <w:r w:rsidRPr="00D00D95">
        <w:rPr>
          <w:sz w:val="24"/>
          <w:szCs w:val="24"/>
        </w:rPr>
        <w:t>HC Deb 6 June 2013, 563,</w:t>
      </w:r>
      <w:r>
        <w:rPr>
          <w:rStyle w:val="Hyperlink"/>
          <w:color w:val="auto"/>
          <w:sz w:val="24"/>
          <w:szCs w:val="24"/>
          <w:u w:val="none"/>
        </w:rPr>
        <w:t xml:space="preserve"> </w:t>
      </w:r>
      <w:r w:rsidRPr="00A84A20">
        <w:rPr>
          <w:color w:val="000000"/>
          <w:sz w:val="24"/>
          <w:szCs w:val="24"/>
          <w:shd w:val="clear" w:color="auto" w:fill="FFFFFF"/>
        </w:rPr>
        <w:t xml:space="preserve">col. 1696. Although 95 European settlers </w:t>
      </w:r>
      <w:r>
        <w:rPr>
          <w:color w:val="000000"/>
          <w:sz w:val="24"/>
          <w:szCs w:val="24"/>
          <w:shd w:val="clear" w:color="auto" w:fill="FFFFFF"/>
        </w:rPr>
        <w:t xml:space="preserve">had </w:t>
      </w:r>
      <w:proofErr w:type="gramStart"/>
      <w:r w:rsidRPr="00A84A20">
        <w:rPr>
          <w:color w:val="000000"/>
          <w:sz w:val="24"/>
          <w:szCs w:val="24"/>
          <w:shd w:val="clear" w:color="auto" w:fill="FFFFFF"/>
        </w:rPr>
        <w:t>actually died</w:t>
      </w:r>
      <w:proofErr w:type="gramEnd"/>
      <w:r w:rsidRPr="00A84A20">
        <w:rPr>
          <w:color w:val="000000"/>
          <w:sz w:val="24"/>
          <w:szCs w:val="24"/>
          <w:shd w:val="clear" w:color="auto" w:fill="FFFFFF"/>
        </w:rPr>
        <w:t xml:space="preserve"> Hague notably did not provide any statistics on the number of Kenyans murdered by Europeans</w:t>
      </w:r>
      <w:r w:rsidRPr="00A84A20">
        <w:rPr>
          <w:sz w:val="24"/>
          <w:szCs w:val="24"/>
        </w:rPr>
        <w:t xml:space="preserve">. Simon Webb, </w:t>
      </w:r>
      <w:r w:rsidRPr="00A84A20">
        <w:rPr>
          <w:i/>
          <w:iCs/>
          <w:sz w:val="24"/>
          <w:szCs w:val="24"/>
        </w:rPr>
        <w:t>A History of Torture in Britain</w:t>
      </w:r>
      <w:r w:rsidRPr="00A84A20">
        <w:rPr>
          <w:sz w:val="24"/>
          <w:szCs w:val="24"/>
        </w:rPr>
        <w:t xml:space="preserve"> (Barnsley: Pen &amp; Sword History, 2018), 109</w:t>
      </w:r>
      <w:r>
        <w:rPr>
          <w:sz w:val="24"/>
          <w:szCs w:val="24"/>
        </w:rPr>
        <w:t xml:space="preserve"> (hereafter Webb, </w:t>
      </w:r>
      <w:r>
        <w:rPr>
          <w:i/>
          <w:iCs/>
          <w:sz w:val="24"/>
          <w:szCs w:val="24"/>
        </w:rPr>
        <w:t>A History of Torture</w:t>
      </w:r>
      <w:r>
        <w:rPr>
          <w:sz w:val="24"/>
          <w:szCs w:val="24"/>
        </w:rPr>
        <w:t>)</w:t>
      </w:r>
      <w:r w:rsidRPr="00A84A20">
        <w:rPr>
          <w:sz w:val="24"/>
          <w:szCs w:val="24"/>
        </w:rPr>
        <w:t>.</w:t>
      </w:r>
      <w:r>
        <w:rPr>
          <w:sz w:val="24"/>
          <w:szCs w:val="24"/>
        </w:rPr>
        <w:t xml:space="preserve"> </w:t>
      </w:r>
    </w:p>
  </w:footnote>
  <w:footnote w:id="33">
    <w:p w14:paraId="365A7BC2"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The trope of regret has become the standard response of the British government too all demands that it redress the wrongs of its </w:t>
      </w:r>
      <w:r>
        <w:rPr>
          <w:sz w:val="24"/>
          <w:szCs w:val="24"/>
        </w:rPr>
        <w:t>imper</w:t>
      </w:r>
      <w:r w:rsidRPr="00A84A20">
        <w:rPr>
          <w:sz w:val="24"/>
          <w:szCs w:val="24"/>
        </w:rPr>
        <w:t xml:space="preserve">ial past. See, for example, </w:t>
      </w:r>
    </w:p>
    <w:p w14:paraId="484A9792" w14:textId="77777777" w:rsidR="00997966" w:rsidRPr="00A84A20" w:rsidRDefault="00997966" w:rsidP="00997966">
      <w:pPr>
        <w:pStyle w:val="FootnoteText"/>
        <w:spacing w:line="480" w:lineRule="auto"/>
        <w:contextualSpacing/>
        <w:rPr>
          <w:sz w:val="24"/>
          <w:szCs w:val="24"/>
        </w:rPr>
      </w:pPr>
      <w:r w:rsidRPr="00A84A20">
        <w:rPr>
          <w:color w:val="121212"/>
          <w:sz w:val="24"/>
          <w:szCs w:val="24"/>
          <w:shd w:val="clear" w:color="auto" w:fill="FFFFFF"/>
        </w:rPr>
        <w:t xml:space="preserve">Owen Bowcott and Ian Cobain, </w:t>
      </w:r>
      <w:r>
        <w:rPr>
          <w:color w:val="121212"/>
          <w:sz w:val="24"/>
          <w:szCs w:val="24"/>
          <w:shd w:val="clear" w:color="auto" w:fill="FFFFFF"/>
        </w:rPr>
        <w:t>‘</w:t>
      </w:r>
      <w:r w:rsidRPr="00A84A20">
        <w:rPr>
          <w:color w:val="121212"/>
          <w:sz w:val="24"/>
          <w:szCs w:val="24"/>
          <w:shd w:val="clear" w:color="auto" w:fill="FFFFFF"/>
        </w:rPr>
        <w:t>UK Sternly Resists Paying Reparations for Slave Trade Atrocities and Injustices</w:t>
      </w:r>
      <w:r>
        <w:rPr>
          <w:color w:val="121212"/>
          <w:sz w:val="24"/>
          <w:szCs w:val="24"/>
          <w:shd w:val="clear" w:color="auto" w:fill="FFFFFF"/>
        </w:rPr>
        <w:t>’</w:t>
      </w:r>
      <w:r w:rsidRPr="00A84A20">
        <w:rPr>
          <w:color w:val="121212"/>
          <w:sz w:val="24"/>
          <w:szCs w:val="24"/>
          <w:shd w:val="clear" w:color="auto" w:fill="FFFFFF"/>
        </w:rPr>
        <w:t xml:space="preserve">, </w:t>
      </w:r>
      <w:r w:rsidRPr="00A84A20">
        <w:rPr>
          <w:i/>
          <w:iCs/>
          <w:color w:val="121212"/>
          <w:sz w:val="24"/>
          <w:szCs w:val="24"/>
          <w:shd w:val="clear" w:color="auto" w:fill="FFFFFF"/>
        </w:rPr>
        <w:t>The Guardian</w:t>
      </w:r>
      <w:r>
        <w:rPr>
          <w:color w:val="121212"/>
          <w:sz w:val="24"/>
          <w:szCs w:val="24"/>
          <w:shd w:val="clear" w:color="auto" w:fill="FFFFFF"/>
        </w:rPr>
        <w:t xml:space="preserve"> (London, </w:t>
      </w:r>
      <w:r w:rsidRPr="00A84A20">
        <w:rPr>
          <w:color w:val="121212"/>
          <w:sz w:val="24"/>
          <w:szCs w:val="24"/>
          <w:shd w:val="clear" w:color="auto" w:fill="FFFFFF"/>
        </w:rPr>
        <w:t>24 February</w:t>
      </w:r>
      <w:r>
        <w:rPr>
          <w:color w:val="121212"/>
          <w:sz w:val="24"/>
          <w:szCs w:val="24"/>
          <w:shd w:val="clear" w:color="auto" w:fill="FFFFFF"/>
        </w:rPr>
        <w:t xml:space="preserve"> </w:t>
      </w:r>
      <w:r w:rsidRPr="00A84A20">
        <w:rPr>
          <w:color w:val="121212"/>
          <w:sz w:val="24"/>
          <w:szCs w:val="24"/>
          <w:shd w:val="clear" w:color="auto" w:fill="FFFFFF"/>
        </w:rPr>
        <w:t>2014</w:t>
      </w:r>
      <w:r>
        <w:rPr>
          <w:color w:val="121212"/>
          <w:sz w:val="24"/>
          <w:szCs w:val="24"/>
          <w:shd w:val="clear" w:color="auto" w:fill="FFFFFF"/>
        </w:rPr>
        <w:t>) &lt;</w:t>
      </w:r>
      <w:hyperlink r:id="rId16" w:history="1">
        <w:r w:rsidRPr="00CB4094">
          <w:rPr>
            <w:rStyle w:val="Hyperlink"/>
            <w:sz w:val="24"/>
            <w:szCs w:val="24"/>
          </w:rPr>
          <w:t>https://www.theguardian.com/world/2014/feb/24/uk-resists-reparation-slavery</w:t>
        </w:r>
      </w:hyperlink>
      <w:r>
        <w:rPr>
          <w:sz w:val="24"/>
          <w:szCs w:val="24"/>
        </w:rPr>
        <w:t xml:space="preserve">&gt; </w:t>
      </w:r>
      <w:r w:rsidRPr="00A84A20">
        <w:rPr>
          <w:sz w:val="24"/>
          <w:szCs w:val="24"/>
        </w:rPr>
        <w:t xml:space="preserve">accessed 19 May 2020; Robin McKie, </w:t>
      </w:r>
      <w:r>
        <w:rPr>
          <w:sz w:val="24"/>
          <w:szCs w:val="24"/>
        </w:rPr>
        <w:t>‘</w:t>
      </w:r>
      <w:r w:rsidRPr="00A84A20">
        <w:rPr>
          <w:sz w:val="24"/>
          <w:szCs w:val="24"/>
        </w:rPr>
        <w:t>After 100 Years, Still no Apology for Amritsar Massacre</w:t>
      </w:r>
      <w:r>
        <w:rPr>
          <w:sz w:val="24"/>
          <w:szCs w:val="24"/>
        </w:rPr>
        <w:t>’</w:t>
      </w:r>
      <w:r w:rsidRPr="00A84A20">
        <w:rPr>
          <w:sz w:val="24"/>
          <w:szCs w:val="24"/>
        </w:rPr>
        <w:t xml:space="preserve">, </w:t>
      </w:r>
      <w:r w:rsidRPr="00A84A20">
        <w:rPr>
          <w:i/>
          <w:iCs/>
          <w:sz w:val="24"/>
          <w:szCs w:val="24"/>
        </w:rPr>
        <w:t>The Guardian</w:t>
      </w:r>
      <w:r>
        <w:rPr>
          <w:sz w:val="24"/>
          <w:szCs w:val="24"/>
        </w:rPr>
        <w:t xml:space="preserve"> (London, </w:t>
      </w:r>
      <w:r w:rsidRPr="00A84A20">
        <w:rPr>
          <w:sz w:val="24"/>
          <w:szCs w:val="24"/>
        </w:rPr>
        <w:t>14 April</w:t>
      </w:r>
      <w:r>
        <w:rPr>
          <w:sz w:val="24"/>
          <w:szCs w:val="24"/>
        </w:rPr>
        <w:t xml:space="preserve"> </w:t>
      </w:r>
      <w:r w:rsidRPr="00A84A20">
        <w:rPr>
          <w:sz w:val="24"/>
          <w:szCs w:val="24"/>
        </w:rPr>
        <w:t>2019</w:t>
      </w:r>
      <w:r>
        <w:rPr>
          <w:sz w:val="24"/>
          <w:szCs w:val="24"/>
        </w:rPr>
        <w:t xml:space="preserve"> &lt;</w:t>
      </w:r>
      <w:hyperlink r:id="rId17" w:history="1">
        <w:r w:rsidRPr="00A84A20">
          <w:rPr>
            <w:rStyle w:val="Hyperlink"/>
            <w:sz w:val="24"/>
            <w:szCs w:val="24"/>
          </w:rPr>
          <w:t>https://www.theguardian.com/world/2019/apr/14/calls</w:t>
        </w:r>
        <w:r>
          <w:rPr>
            <w:rStyle w:val="Hyperlink"/>
            <w:sz w:val="24"/>
            <w:szCs w:val="24"/>
          </w:rPr>
          <w:t>-</w:t>
        </w:r>
        <w:r w:rsidRPr="00A84A20">
          <w:rPr>
            <w:rStyle w:val="Hyperlink"/>
            <w:sz w:val="24"/>
            <w:szCs w:val="24"/>
          </w:rPr>
          <w:t>for</w:t>
        </w:r>
        <w:r>
          <w:rPr>
            <w:rStyle w:val="Hyperlink"/>
            <w:sz w:val="24"/>
            <w:szCs w:val="24"/>
          </w:rPr>
          <w:t>-</w:t>
        </w:r>
        <w:r w:rsidRPr="00A84A20">
          <w:rPr>
            <w:rStyle w:val="Hyperlink"/>
            <w:sz w:val="24"/>
            <w:szCs w:val="24"/>
          </w:rPr>
          <w:t>apology</w:t>
        </w:r>
        <w:r>
          <w:rPr>
            <w:rStyle w:val="Hyperlink"/>
            <w:sz w:val="24"/>
            <w:szCs w:val="24"/>
          </w:rPr>
          <w:t>-</w:t>
        </w:r>
        <w:r w:rsidRPr="00A84A20">
          <w:rPr>
            <w:rStyle w:val="Hyperlink"/>
            <w:sz w:val="24"/>
            <w:szCs w:val="24"/>
          </w:rPr>
          <w:t>100</w:t>
        </w:r>
        <w:r>
          <w:rPr>
            <w:rStyle w:val="Hyperlink"/>
            <w:sz w:val="24"/>
            <w:szCs w:val="24"/>
          </w:rPr>
          <w:t>-</w:t>
        </w:r>
        <w:r w:rsidRPr="00A84A20">
          <w:rPr>
            <w:rStyle w:val="Hyperlink"/>
            <w:sz w:val="24"/>
            <w:szCs w:val="24"/>
          </w:rPr>
          <w:t>years</w:t>
        </w:r>
        <w:r>
          <w:rPr>
            <w:rStyle w:val="Hyperlink"/>
            <w:sz w:val="24"/>
            <w:szCs w:val="24"/>
          </w:rPr>
          <w:t>-</w:t>
        </w:r>
        <w:r w:rsidRPr="00A84A20">
          <w:rPr>
            <w:rStyle w:val="Hyperlink"/>
            <w:sz w:val="24"/>
            <w:szCs w:val="24"/>
          </w:rPr>
          <w:t>after</w:t>
        </w:r>
        <w:r>
          <w:rPr>
            <w:rStyle w:val="Hyperlink"/>
            <w:sz w:val="24"/>
            <w:szCs w:val="24"/>
          </w:rPr>
          <w:t>-</w:t>
        </w:r>
        <w:r w:rsidRPr="00A84A20">
          <w:rPr>
            <w:rStyle w:val="Hyperlink"/>
            <w:sz w:val="24"/>
            <w:szCs w:val="24"/>
          </w:rPr>
          <w:t>amritsar</w:t>
        </w:r>
        <w:r>
          <w:rPr>
            <w:rStyle w:val="Hyperlink"/>
            <w:sz w:val="24"/>
            <w:szCs w:val="24"/>
          </w:rPr>
          <w:t>-</w:t>
        </w:r>
        <w:r w:rsidRPr="00A84A20">
          <w:rPr>
            <w:rStyle w:val="Hyperlink"/>
            <w:sz w:val="24"/>
            <w:szCs w:val="24"/>
          </w:rPr>
          <w:t>massacre</w:t>
        </w:r>
      </w:hyperlink>
      <w:r>
        <w:rPr>
          <w:rStyle w:val="Hyperlink"/>
          <w:sz w:val="24"/>
          <w:szCs w:val="24"/>
        </w:rPr>
        <w:t>&gt;</w:t>
      </w:r>
      <w:r w:rsidRPr="00A84A20">
        <w:rPr>
          <w:sz w:val="24"/>
          <w:szCs w:val="24"/>
        </w:rPr>
        <w:t xml:space="preserve"> accessed 19 May 2020; and Charlotte Graham</w:t>
      </w:r>
      <w:r>
        <w:rPr>
          <w:sz w:val="24"/>
          <w:szCs w:val="24"/>
        </w:rPr>
        <w:t>-</w:t>
      </w:r>
      <w:r w:rsidRPr="00A84A20">
        <w:rPr>
          <w:sz w:val="24"/>
          <w:szCs w:val="24"/>
        </w:rPr>
        <w:t xml:space="preserve">McLay, </w:t>
      </w:r>
      <w:r>
        <w:rPr>
          <w:sz w:val="24"/>
          <w:szCs w:val="24"/>
        </w:rPr>
        <w:t>‘</w:t>
      </w:r>
      <w:r w:rsidRPr="00A84A20">
        <w:rPr>
          <w:sz w:val="24"/>
          <w:szCs w:val="24"/>
        </w:rPr>
        <w:t>UK Expresses ‘Regret’ Over Māori Killings After Cook’s Arrival in New Zealand</w:t>
      </w:r>
      <w:r>
        <w:rPr>
          <w:sz w:val="24"/>
          <w:szCs w:val="24"/>
        </w:rPr>
        <w:t>’</w:t>
      </w:r>
      <w:r w:rsidRPr="00A84A20">
        <w:rPr>
          <w:sz w:val="24"/>
          <w:szCs w:val="24"/>
        </w:rPr>
        <w:t xml:space="preserve">, </w:t>
      </w:r>
      <w:r w:rsidRPr="00A84A20">
        <w:rPr>
          <w:i/>
          <w:iCs/>
          <w:sz w:val="24"/>
          <w:szCs w:val="24"/>
        </w:rPr>
        <w:t>The Guardian</w:t>
      </w:r>
      <w:r>
        <w:rPr>
          <w:sz w:val="24"/>
          <w:szCs w:val="24"/>
        </w:rPr>
        <w:t xml:space="preserve"> (London, </w:t>
      </w:r>
      <w:r w:rsidRPr="00A84A20">
        <w:rPr>
          <w:sz w:val="24"/>
          <w:szCs w:val="24"/>
        </w:rPr>
        <w:t>2 October 2019</w:t>
      </w:r>
      <w:r>
        <w:rPr>
          <w:sz w:val="24"/>
          <w:szCs w:val="24"/>
        </w:rPr>
        <w:t xml:space="preserve"> &lt;</w:t>
      </w:r>
      <w:hyperlink r:id="rId18" w:history="1">
        <w:r w:rsidRPr="00CD296F">
          <w:rPr>
            <w:rStyle w:val="Hyperlink"/>
            <w:sz w:val="24"/>
            <w:szCs w:val="24"/>
          </w:rPr>
          <w:t>https://www.theguardian.com/world/2019/oct/02/britain</w:t>
        </w:r>
        <w:r>
          <w:rPr>
            <w:rStyle w:val="Hyperlink"/>
            <w:sz w:val="24"/>
            <w:szCs w:val="24"/>
          </w:rPr>
          <w:t>-</w:t>
        </w:r>
        <w:r w:rsidRPr="00CD296F">
          <w:rPr>
            <w:rStyle w:val="Hyperlink"/>
            <w:sz w:val="24"/>
            <w:szCs w:val="24"/>
          </w:rPr>
          <w:t>expresses</w:t>
        </w:r>
        <w:r>
          <w:rPr>
            <w:rStyle w:val="Hyperlink"/>
            <w:sz w:val="24"/>
            <w:szCs w:val="24"/>
          </w:rPr>
          <w:t>-</w:t>
        </w:r>
        <w:r w:rsidRPr="00CD296F">
          <w:rPr>
            <w:rStyle w:val="Hyperlink"/>
            <w:sz w:val="24"/>
            <w:szCs w:val="24"/>
          </w:rPr>
          <w:t>regret</w:t>
        </w:r>
        <w:r>
          <w:rPr>
            <w:rStyle w:val="Hyperlink"/>
            <w:sz w:val="24"/>
            <w:szCs w:val="24"/>
          </w:rPr>
          <w:t>-</w:t>
        </w:r>
        <w:r w:rsidRPr="00CD296F">
          <w:rPr>
            <w:rStyle w:val="Hyperlink"/>
            <w:sz w:val="24"/>
            <w:szCs w:val="24"/>
          </w:rPr>
          <w:t>over</w:t>
        </w:r>
        <w:r>
          <w:rPr>
            <w:rStyle w:val="Hyperlink"/>
            <w:sz w:val="24"/>
            <w:szCs w:val="24"/>
          </w:rPr>
          <w:t>-</w:t>
        </w:r>
        <w:r w:rsidRPr="00CD296F">
          <w:rPr>
            <w:rStyle w:val="Hyperlink"/>
            <w:sz w:val="24"/>
            <w:szCs w:val="24"/>
          </w:rPr>
          <w:t>maori</w:t>
        </w:r>
        <w:r>
          <w:rPr>
            <w:rStyle w:val="Hyperlink"/>
            <w:sz w:val="24"/>
            <w:szCs w:val="24"/>
          </w:rPr>
          <w:t>-</w:t>
        </w:r>
        <w:r w:rsidRPr="00CD296F">
          <w:rPr>
            <w:rStyle w:val="Hyperlink"/>
            <w:sz w:val="24"/>
            <w:szCs w:val="24"/>
          </w:rPr>
          <w:t>killings</w:t>
        </w:r>
        <w:r>
          <w:rPr>
            <w:rStyle w:val="Hyperlink"/>
            <w:sz w:val="24"/>
            <w:szCs w:val="24"/>
          </w:rPr>
          <w:t>-</w:t>
        </w:r>
        <w:r w:rsidRPr="00CD296F">
          <w:rPr>
            <w:rStyle w:val="Hyperlink"/>
            <w:sz w:val="24"/>
            <w:szCs w:val="24"/>
          </w:rPr>
          <w:t>after</w:t>
        </w:r>
        <w:r>
          <w:rPr>
            <w:rStyle w:val="Hyperlink"/>
            <w:sz w:val="24"/>
            <w:szCs w:val="24"/>
          </w:rPr>
          <w:t>-</w:t>
        </w:r>
        <w:r w:rsidRPr="00CD296F">
          <w:rPr>
            <w:rStyle w:val="Hyperlink"/>
            <w:sz w:val="24"/>
            <w:szCs w:val="24"/>
          </w:rPr>
          <w:t>captain</w:t>
        </w:r>
        <w:r>
          <w:rPr>
            <w:rStyle w:val="Hyperlink"/>
            <w:sz w:val="24"/>
            <w:szCs w:val="24"/>
          </w:rPr>
          <w:t>-</w:t>
        </w:r>
        <w:r w:rsidRPr="00CD296F">
          <w:rPr>
            <w:rStyle w:val="Hyperlink"/>
            <w:sz w:val="24"/>
            <w:szCs w:val="24"/>
          </w:rPr>
          <w:t>cooks</w:t>
        </w:r>
        <w:r>
          <w:rPr>
            <w:rStyle w:val="Hyperlink"/>
            <w:sz w:val="24"/>
            <w:szCs w:val="24"/>
          </w:rPr>
          <w:t>-</w:t>
        </w:r>
        <w:r w:rsidRPr="00CD296F">
          <w:rPr>
            <w:rStyle w:val="Hyperlink"/>
            <w:sz w:val="24"/>
            <w:szCs w:val="24"/>
          </w:rPr>
          <w:t>arrival</w:t>
        </w:r>
        <w:r>
          <w:rPr>
            <w:rStyle w:val="Hyperlink"/>
            <w:sz w:val="24"/>
            <w:szCs w:val="24"/>
          </w:rPr>
          <w:t>-</w:t>
        </w:r>
        <w:r w:rsidRPr="00CD296F">
          <w:rPr>
            <w:rStyle w:val="Hyperlink"/>
            <w:sz w:val="24"/>
            <w:szCs w:val="24"/>
          </w:rPr>
          <w:t>in</w:t>
        </w:r>
        <w:r>
          <w:rPr>
            <w:rStyle w:val="Hyperlink"/>
            <w:sz w:val="24"/>
            <w:szCs w:val="24"/>
          </w:rPr>
          <w:t>-</w:t>
        </w:r>
        <w:r w:rsidRPr="00CD296F">
          <w:rPr>
            <w:rStyle w:val="Hyperlink"/>
            <w:sz w:val="24"/>
            <w:szCs w:val="24"/>
          </w:rPr>
          <w:t>new</w:t>
        </w:r>
        <w:r>
          <w:rPr>
            <w:rStyle w:val="Hyperlink"/>
            <w:sz w:val="24"/>
            <w:szCs w:val="24"/>
          </w:rPr>
          <w:t>-</w:t>
        </w:r>
        <w:r w:rsidRPr="00CD296F">
          <w:rPr>
            <w:rStyle w:val="Hyperlink"/>
            <w:sz w:val="24"/>
            <w:szCs w:val="24"/>
          </w:rPr>
          <w:t>zealand</w:t>
        </w:r>
      </w:hyperlink>
      <w:r>
        <w:rPr>
          <w:rStyle w:val="Hyperlink"/>
          <w:sz w:val="24"/>
          <w:szCs w:val="24"/>
        </w:rPr>
        <w:t>&gt;</w:t>
      </w:r>
      <w:r w:rsidRPr="00A84A20">
        <w:rPr>
          <w:sz w:val="24"/>
          <w:szCs w:val="24"/>
        </w:rPr>
        <w:t xml:space="preserve"> accessed 19 May 2020.</w:t>
      </w:r>
    </w:p>
  </w:footnote>
  <w:footnote w:id="34">
    <w:p w14:paraId="70A58A90"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w:t>
      </w:r>
      <w:r w:rsidRPr="00D00D95">
        <w:rPr>
          <w:sz w:val="24"/>
          <w:szCs w:val="24"/>
        </w:rPr>
        <w:t>HC Deb 6 June 2013, 563,</w:t>
      </w:r>
      <w:r w:rsidRPr="00A84A20">
        <w:rPr>
          <w:i/>
          <w:iCs/>
          <w:sz w:val="24"/>
          <w:szCs w:val="24"/>
        </w:rPr>
        <w:t xml:space="preserve"> </w:t>
      </w:r>
      <w:r w:rsidRPr="00A84A20">
        <w:rPr>
          <w:sz w:val="24"/>
          <w:szCs w:val="24"/>
        </w:rPr>
        <w:t>col. 1692; see also</w:t>
      </w:r>
      <w:r w:rsidRPr="00A84A20">
        <w:rPr>
          <w:color w:val="1E1E1E"/>
          <w:sz w:val="24"/>
          <w:szCs w:val="24"/>
        </w:rPr>
        <w:t xml:space="preserve"> </w:t>
      </w:r>
      <w:r>
        <w:rPr>
          <w:color w:val="404040"/>
          <w:sz w:val="24"/>
          <w:szCs w:val="24"/>
          <w:shd w:val="clear" w:color="auto" w:fill="FFFFFF"/>
        </w:rPr>
        <w:t>‘</w:t>
      </w:r>
      <w:r w:rsidRPr="00A84A20">
        <w:rPr>
          <w:color w:val="121212"/>
          <w:sz w:val="24"/>
          <w:szCs w:val="24"/>
        </w:rPr>
        <w:t>UK to Compensate Kenya's Mau Mau Torture Victims</w:t>
      </w:r>
      <w:r>
        <w:rPr>
          <w:color w:val="121212"/>
          <w:sz w:val="24"/>
          <w:szCs w:val="24"/>
        </w:rPr>
        <w:t>’</w:t>
      </w:r>
      <w:r w:rsidRPr="00A84A20">
        <w:rPr>
          <w:color w:val="121212"/>
          <w:sz w:val="24"/>
          <w:szCs w:val="24"/>
        </w:rPr>
        <w:t xml:space="preserve">, Press Association, </w:t>
      </w:r>
      <w:r w:rsidRPr="00A84A20">
        <w:rPr>
          <w:i/>
          <w:iCs/>
          <w:color w:val="121212"/>
          <w:sz w:val="24"/>
          <w:szCs w:val="24"/>
        </w:rPr>
        <w:t>The Guardian</w:t>
      </w:r>
      <w:r>
        <w:rPr>
          <w:color w:val="121212"/>
          <w:sz w:val="24"/>
          <w:szCs w:val="24"/>
        </w:rPr>
        <w:t xml:space="preserve"> (London, </w:t>
      </w:r>
      <w:r w:rsidRPr="00A84A20">
        <w:rPr>
          <w:color w:val="121212"/>
          <w:sz w:val="24"/>
          <w:szCs w:val="24"/>
        </w:rPr>
        <w:t>6 June 2013</w:t>
      </w:r>
      <w:r>
        <w:rPr>
          <w:color w:val="121212"/>
          <w:sz w:val="24"/>
          <w:szCs w:val="24"/>
        </w:rPr>
        <w:t>).</w:t>
      </w:r>
      <w:r w:rsidRPr="00A84A20">
        <w:rPr>
          <w:color w:val="121212"/>
          <w:sz w:val="24"/>
          <w:szCs w:val="24"/>
        </w:rPr>
        <w:t xml:space="preserve"> </w:t>
      </w:r>
      <w:r>
        <w:rPr>
          <w:color w:val="121212"/>
          <w:sz w:val="24"/>
          <w:szCs w:val="24"/>
        </w:rPr>
        <w:t>&lt;</w:t>
      </w:r>
      <w:hyperlink r:id="rId19" w:history="1">
        <w:r w:rsidRPr="00A84A20">
          <w:rPr>
            <w:rStyle w:val="Hyperlink"/>
            <w:sz w:val="24"/>
            <w:szCs w:val="24"/>
          </w:rPr>
          <w:t>https://www.theguardian.com/world/2013/jun/06/uk</w:t>
        </w:r>
        <w:r>
          <w:rPr>
            <w:rStyle w:val="Hyperlink"/>
            <w:sz w:val="24"/>
            <w:szCs w:val="24"/>
          </w:rPr>
          <w:t>-</w:t>
        </w:r>
        <w:r w:rsidRPr="00A84A20">
          <w:rPr>
            <w:rStyle w:val="Hyperlink"/>
            <w:sz w:val="24"/>
            <w:szCs w:val="24"/>
          </w:rPr>
          <w:t>compensate</w:t>
        </w:r>
        <w:r>
          <w:rPr>
            <w:rStyle w:val="Hyperlink"/>
            <w:sz w:val="24"/>
            <w:szCs w:val="24"/>
          </w:rPr>
          <w:t>-</w:t>
        </w:r>
        <w:r w:rsidRPr="00A84A20">
          <w:rPr>
            <w:rStyle w:val="Hyperlink"/>
            <w:sz w:val="24"/>
            <w:szCs w:val="24"/>
          </w:rPr>
          <w:t>kenya</w:t>
        </w:r>
        <w:r>
          <w:rPr>
            <w:rStyle w:val="Hyperlink"/>
            <w:sz w:val="24"/>
            <w:szCs w:val="24"/>
          </w:rPr>
          <w:t>-</w:t>
        </w:r>
        <w:r w:rsidRPr="00A84A20">
          <w:rPr>
            <w:rStyle w:val="Hyperlink"/>
            <w:sz w:val="24"/>
            <w:szCs w:val="24"/>
          </w:rPr>
          <w:t>mau</w:t>
        </w:r>
        <w:r>
          <w:rPr>
            <w:rStyle w:val="Hyperlink"/>
            <w:sz w:val="24"/>
            <w:szCs w:val="24"/>
          </w:rPr>
          <w:t>-</w:t>
        </w:r>
        <w:r w:rsidRPr="00A84A20">
          <w:rPr>
            <w:rStyle w:val="Hyperlink"/>
            <w:sz w:val="24"/>
            <w:szCs w:val="24"/>
          </w:rPr>
          <w:t>mau</w:t>
        </w:r>
        <w:r>
          <w:rPr>
            <w:rStyle w:val="Hyperlink"/>
            <w:sz w:val="24"/>
            <w:szCs w:val="24"/>
          </w:rPr>
          <w:t>-</w:t>
        </w:r>
        <w:r w:rsidRPr="00A84A20">
          <w:rPr>
            <w:rStyle w:val="Hyperlink"/>
            <w:sz w:val="24"/>
            <w:szCs w:val="24"/>
          </w:rPr>
          <w:t>torture</w:t>
        </w:r>
      </w:hyperlink>
      <w:r>
        <w:rPr>
          <w:rStyle w:val="Hyperlink"/>
          <w:sz w:val="24"/>
          <w:szCs w:val="24"/>
        </w:rPr>
        <w:t>&gt;</w:t>
      </w:r>
      <w:r w:rsidRPr="00A84A20">
        <w:rPr>
          <w:sz w:val="24"/>
          <w:szCs w:val="24"/>
        </w:rPr>
        <w:t xml:space="preserve"> accessed 13 May 2020.</w:t>
      </w:r>
    </w:p>
  </w:footnote>
  <w:footnote w:id="35">
    <w:p w14:paraId="19C19DF1"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w:t>
      </w:r>
      <w:r w:rsidRPr="00D00D95">
        <w:rPr>
          <w:sz w:val="24"/>
          <w:szCs w:val="24"/>
        </w:rPr>
        <w:t>HC Deb 6 June 2013, 563,</w:t>
      </w:r>
      <w:r w:rsidRPr="00A84A20">
        <w:rPr>
          <w:i/>
          <w:iCs/>
          <w:sz w:val="24"/>
          <w:szCs w:val="24"/>
        </w:rPr>
        <w:t xml:space="preserve"> </w:t>
      </w:r>
      <w:r w:rsidRPr="00A84A20">
        <w:rPr>
          <w:sz w:val="24"/>
          <w:szCs w:val="24"/>
        </w:rPr>
        <w:t xml:space="preserve">col. 1696; and McGreal, </w:t>
      </w:r>
      <w:r>
        <w:rPr>
          <w:sz w:val="24"/>
          <w:szCs w:val="24"/>
        </w:rPr>
        <w:t>‘</w:t>
      </w:r>
      <w:r w:rsidRPr="00A84A20">
        <w:rPr>
          <w:sz w:val="24"/>
          <w:szCs w:val="24"/>
        </w:rPr>
        <w:t>Torture and Killing</w:t>
      </w:r>
      <w:r>
        <w:rPr>
          <w:sz w:val="24"/>
          <w:szCs w:val="24"/>
        </w:rPr>
        <w:t>’ (n 24)</w:t>
      </w:r>
      <w:r w:rsidRPr="00A84A20">
        <w:rPr>
          <w:sz w:val="24"/>
          <w:szCs w:val="24"/>
        </w:rPr>
        <w:t xml:space="preserve">. The hearings for </w:t>
      </w:r>
      <w:r w:rsidRPr="00A84A20">
        <w:rPr>
          <w:i/>
          <w:iCs/>
          <w:sz w:val="24"/>
          <w:szCs w:val="24"/>
        </w:rPr>
        <w:t xml:space="preserve">Matua &amp; </w:t>
      </w:r>
      <w:r>
        <w:rPr>
          <w:i/>
          <w:iCs/>
          <w:sz w:val="24"/>
          <w:szCs w:val="24"/>
        </w:rPr>
        <w:t>Or</w:t>
      </w:r>
      <w:r w:rsidRPr="00A84A20">
        <w:rPr>
          <w:i/>
          <w:iCs/>
          <w:sz w:val="24"/>
          <w:szCs w:val="24"/>
        </w:rPr>
        <w:t xml:space="preserve">s </w:t>
      </w:r>
      <w:r w:rsidRPr="00A84A20">
        <w:rPr>
          <w:sz w:val="24"/>
          <w:szCs w:val="24"/>
        </w:rPr>
        <w:t>were held April 7</w:t>
      </w:r>
      <w:r>
        <w:rPr>
          <w:sz w:val="24"/>
          <w:szCs w:val="24"/>
        </w:rPr>
        <w:t>-</w:t>
      </w:r>
      <w:r w:rsidRPr="00A84A20">
        <w:rPr>
          <w:sz w:val="24"/>
          <w:szCs w:val="24"/>
        </w:rPr>
        <w:t xml:space="preserve">14, 2011. </w:t>
      </w:r>
    </w:p>
  </w:footnote>
  <w:footnote w:id="36">
    <w:p w14:paraId="33D4E21F"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Sara Ahmed </w:t>
      </w:r>
      <w:r>
        <w:rPr>
          <w:sz w:val="24"/>
          <w:szCs w:val="24"/>
        </w:rPr>
        <w:t>‘</w:t>
      </w:r>
      <w:r w:rsidRPr="00A84A20">
        <w:rPr>
          <w:sz w:val="24"/>
          <w:szCs w:val="24"/>
        </w:rPr>
        <w:t>This Other and Other Others</w:t>
      </w:r>
      <w:r>
        <w:rPr>
          <w:sz w:val="24"/>
          <w:szCs w:val="24"/>
        </w:rPr>
        <w:t>’</w:t>
      </w:r>
      <w:r w:rsidRPr="00A84A20">
        <w:rPr>
          <w:sz w:val="24"/>
          <w:szCs w:val="24"/>
        </w:rPr>
        <w:t xml:space="preserve">, </w:t>
      </w:r>
      <w:r w:rsidRPr="00A84A20">
        <w:rPr>
          <w:i/>
          <w:sz w:val="24"/>
          <w:szCs w:val="24"/>
        </w:rPr>
        <w:t>Economy and Society</w:t>
      </w:r>
      <w:r w:rsidRPr="00A84A20">
        <w:rPr>
          <w:sz w:val="24"/>
          <w:szCs w:val="24"/>
        </w:rPr>
        <w:t xml:space="preserve"> 31</w:t>
      </w:r>
      <w:r>
        <w:rPr>
          <w:sz w:val="24"/>
          <w:szCs w:val="24"/>
        </w:rPr>
        <w:t>/</w:t>
      </w:r>
      <w:r w:rsidRPr="00A84A20">
        <w:rPr>
          <w:sz w:val="24"/>
          <w:szCs w:val="24"/>
        </w:rPr>
        <w:t xml:space="preserve"> 4 (2002)</w:t>
      </w:r>
      <w:r>
        <w:rPr>
          <w:sz w:val="24"/>
          <w:szCs w:val="24"/>
        </w:rPr>
        <w:t>,</w:t>
      </w:r>
      <w:r w:rsidRPr="00A84A20">
        <w:rPr>
          <w:sz w:val="24"/>
          <w:szCs w:val="24"/>
        </w:rPr>
        <w:t xml:space="preserve"> 558</w:t>
      </w:r>
      <w:r>
        <w:rPr>
          <w:sz w:val="24"/>
          <w:szCs w:val="24"/>
        </w:rPr>
        <w:t>-</w:t>
      </w:r>
      <w:r w:rsidRPr="00A84A20">
        <w:rPr>
          <w:sz w:val="24"/>
          <w:szCs w:val="24"/>
        </w:rPr>
        <w:t>72</w:t>
      </w:r>
      <w:r>
        <w:rPr>
          <w:sz w:val="24"/>
          <w:szCs w:val="24"/>
        </w:rPr>
        <w:t>.</w:t>
      </w:r>
      <w:r w:rsidRPr="00A84A20">
        <w:rPr>
          <w:sz w:val="24"/>
          <w:szCs w:val="24"/>
        </w:rPr>
        <w:t xml:space="preserve"> For the use of torture as a </w:t>
      </w:r>
      <w:r>
        <w:rPr>
          <w:sz w:val="24"/>
          <w:szCs w:val="24"/>
        </w:rPr>
        <w:t>‘</w:t>
      </w:r>
      <w:r w:rsidRPr="00A84A20">
        <w:rPr>
          <w:sz w:val="24"/>
          <w:szCs w:val="24"/>
        </w:rPr>
        <w:t>civili</w:t>
      </w:r>
      <w:r>
        <w:rPr>
          <w:sz w:val="24"/>
          <w:szCs w:val="24"/>
        </w:rPr>
        <w:t>z</w:t>
      </w:r>
      <w:r w:rsidRPr="00A84A20">
        <w:rPr>
          <w:sz w:val="24"/>
          <w:szCs w:val="24"/>
        </w:rPr>
        <w:t>ing</w:t>
      </w:r>
      <w:r>
        <w:rPr>
          <w:sz w:val="24"/>
          <w:szCs w:val="24"/>
        </w:rPr>
        <w:t>’</w:t>
      </w:r>
      <w:r w:rsidRPr="00A84A20">
        <w:rPr>
          <w:sz w:val="24"/>
          <w:szCs w:val="24"/>
        </w:rPr>
        <w:t xml:space="preserve"> tool see Talal Asad, </w:t>
      </w:r>
      <w:r>
        <w:rPr>
          <w:bCs/>
          <w:sz w:val="24"/>
          <w:szCs w:val="24"/>
        </w:rPr>
        <w:t>‘</w:t>
      </w:r>
      <w:r w:rsidRPr="00A84A20">
        <w:rPr>
          <w:bCs/>
          <w:sz w:val="24"/>
          <w:szCs w:val="24"/>
        </w:rPr>
        <w:t>On Torture, or Cruel, Inhuman and Degrading Treatment</w:t>
      </w:r>
      <w:r>
        <w:rPr>
          <w:bCs/>
          <w:sz w:val="24"/>
          <w:szCs w:val="24"/>
        </w:rPr>
        <w:t>’,</w:t>
      </w:r>
      <w:r w:rsidRPr="00A84A20">
        <w:rPr>
          <w:bCs/>
          <w:sz w:val="24"/>
          <w:szCs w:val="24"/>
        </w:rPr>
        <w:t xml:space="preserve"> in Arthur Kleinman, Veena Das</w:t>
      </w:r>
      <w:r>
        <w:rPr>
          <w:bCs/>
          <w:sz w:val="24"/>
          <w:szCs w:val="24"/>
        </w:rPr>
        <w:t>,</w:t>
      </w:r>
      <w:r w:rsidRPr="00A84A20">
        <w:rPr>
          <w:bCs/>
          <w:sz w:val="24"/>
          <w:szCs w:val="24"/>
        </w:rPr>
        <w:t xml:space="preserve"> and Margaret Lock (eds.), </w:t>
      </w:r>
      <w:r w:rsidRPr="00A84A20">
        <w:rPr>
          <w:bCs/>
          <w:i/>
          <w:sz w:val="24"/>
          <w:szCs w:val="24"/>
        </w:rPr>
        <w:t>Social Suffering</w:t>
      </w:r>
      <w:r w:rsidRPr="00A84A20">
        <w:rPr>
          <w:bCs/>
          <w:sz w:val="24"/>
          <w:szCs w:val="24"/>
        </w:rPr>
        <w:t xml:space="preserve"> (University of California Press, 1997), 285</w:t>
      </w:r>
      <w:r>
        <w:rPr>
          <w:bCs/>
          <w:sz w:val="24"/>
          <w:szCs w:val="24"/>
        </w:rPr>
        <w:t>-</w:t>
      </w:r>
      <w:r w:rsidRPr="00A84A20">
        <w:rPr>
          <w:bCs/>
          <w:sz w:val="24"/>
          <w:szCs w:val="24"/>
        </w:rPr>
        <w:t xml:space="preserve">308; </w:t>
      </w:r>
      <w:r w:rsidRPr="00A84A20">
        <w:rPr>
          <w:sz w:val="24"/>
          <w:szCs w:val="24"/>
        </w:rPr>
        <w:t xml:space="preserve">Marina </w:t>
      </w:r>
      <w:bookmarkStart w:id="4" w:name="_Hlk514183110"/>
      <w:r w:rsidRPr="00A84A20">
        <w:rPr>
          <w:sz w:val="24"/>
          <w:szCs w:val="24"/>
        </w:rPr>
        <w:t xml:space="preserve">Lazreg, </w:t>
      </w:r>
      <w:r w:rsidRPr="00A84A20">
        <w:rPr>
          <w:i/>
          <w:sz w:val="24"/>
          <w:szCs w:val="24"/>
        </w:rPr>
        <w:t>Torture and the Twilight of Empire: From Algiers to Baghdad</w:t>
      </w:r>
      <w:r w:rsidRPr="00A84A20">
        <w:rPr>
          <w:sz w:val="24"/>
          <w:szCs w:val="24"/>
          <w:shd w:val="clear" w:color="auto" w:fill="FFFFFF"/>
        </w:rPr>
        <w:t xml:space="preserve"> (Princeton: Princeton University Press 2008)</w:t>
      </w:r>
      <w:bookmarkEnd w:id="4"/>
      <w:r w:rsidRPr="00A84A20">
        <w:rPr>
          <w:sz w:val="24"/>
          <w:szCs w:val="24"/>
          <w:shd w:val="clear" w:color="auto" w:fill="FFFFFF"/>
        </w:rPr>
        <w:t xml:space="preserve">; </w:t>
      </w:r>
      <w:r w:rsidRPr="00A84A20">
        <w:rPr>
          <w:sz w:val="24"/>
          <w:szCs w:val="24"/>
        </w:rPr>
        <w:t xml:space="preserve">and Samera Esmeir, </w:t>
      </w:r>
      <w:r w:rsidRPr="00A84A20">
        <w:rPr>
          <w:i/>
          <w:iCs/>
          <w:sz w:val="24"/>
          <w:szCs w:val="24"/>
        </w:rPr>
        <w:t xml:space="preserve">Juridical Humanity: A Colonial History </w:t>
      </w:r>
      <w:r w:rsidRPr="00A84A20">
        <w:rPr>
          <w:sz w:val="24"/>
          <w:szCs w:val="24"/>
        </w:rPr>
        <w:t>(Stanford: Stanford University Press 2012)</w:t>
      </w:r>
      <w:r w:rsidRPr="00A84A20">
        <w:rPr>
          <w:i/>
          <w:iCs/>
          <w:sz w:val="24"/>
          <w:szCs w:val="24"/>
        </w:rPr>
        <w:t xml:space="preserve">, </w:t>
      </w:r>
      <w:r w:rsidRPr="00D74CE2">
        <w:rPr>
          <w:sz w:val="24"/>
          <w:szCs w:val="24"/>
        </w:rPr>
        <w:t>145</w:t>
      </w:r>
      <w:r>
        <w:rPr>
          <w:i/>
          <w:iCs/>
          <w:sz w:val="24"/>
          <w:szCs w:val="24"/>
        </w:rPr>
        <w:t xml:space="preserve"> </w:t>
      </w:r>
      <w:r>
        <w:rPr>
          <w:sz w:val="24"/>
          <w:szCs w:val="24"/>
        </w:rPr>
        <w:t xml:space="preserve">(hereafter Esmeir, </w:t>
      </w:r>
      <w:r>
        <w:rPr>
          <w:i/>
          <w:iCs/>
          <w:sz w:val="24"/>
          <w:szCs w:val="24"/>
        </w:rPr>
        <w:t>Juridical Humanity</w:t>
      </w:r>
      <w:r>
        <w:rPr>
          <w:sz w:val="24"/>
          <w:szCs w:val="24"/>
        </w:rPr>
        <w:t>)</w:t>
      </w:r>
      <w:r w:rsidRPr="00A84A20">
        <w:rPr>
          <w:i/>
          <w:iCs/>
          <w:sz w:val="24"/>
          <w:szCs w:val="24"/>
        </w:rPr>
        <w:t xml:space="preserve">. </w:t>
      </w:r>
      <w:r w:rsidRPr="00A84A20">
        <w:rPr>
          <w:sz w:val="24"/>
          <w:szCs w:val="24"/>
        </w:rPr>
        <w:t xml:space="preserve">For the relationship between torture and democracy see Darius Rejali, </w:t>
      </w:r>
      <w:r w:rsidRPr="00A84A20">
        <w:rPr>
          <w:i/>
          <w:sz w:val="24"/>
          <w:szCs w:val="24"/>
        </w:rPr>
        <w:t xml:space="preserve">Torture and Democracy </w:t>
      </w:r>
      <w:r w:rsidRPr="00A84A20">
        <w:rPr>
          <w:sz w:val="24"/>
          <w:szCs w:val="24"/>
        </w:rPr>
        <w:t>(Princeton and Oxford: Princeton University Press, 2007)</w:t>
      </w:r>
      <w:r>
        <w:rPr>
          <w:sz w:val="24"/>
          <w:szCs w:val="24"/>
        </w:rPr>
        <w:t xml:space="preserve"> (hereafter Rejali, </w:t>
      </w:r>
      <w:r>
        <w:rPr>
          <w:i/>
          <w:iCs/>
          <w:sz w:val="24"/>
          <w:szCs w:val="24"/>
        </w:rPr>
        <w:t>Torture and Democracy</w:t>
      </w:r>
      <w:r>
        <w:rPr>
          <w:sz w:val="24"/>
          <w:szCs w:val="24"/>
        </w:rPr>
        <w:t>)</w:t>
      </w:r>
      <w:r w:rsidRPr="00A84A20">
        <w:rPr>
          <w:sz w:val="24"/>
          <w:szCs w:val="24"/>
        </w:rPr>
        <w:t xml:space="preserve">; Jinee Lokaneeta, </w:t>
      </w:r>
      <w:r w:rsidRPr="00A84A20">
        <w:rPr>
          <w:i/>
          <w:sz w:val="24"/>
          <w:szCs w:val="24"/>
        </w:rPr>
        <w:t>Transnational Torture: Law, Violence, and State Power in the United States and India</w:t>
      </w:r>
      <w:r w:rsidRPr="00A84A20">
        <w:rPr>
          <w:sz w:val="24"/>
          <w:szCs w:val="24"/>
        </w:rPr>
        <w:t xml:space="preserve"> (New York and London: New York University Press 2011)</w:t>
      </w:r>
      <w:r>
        <w:rPr>
          <w:sz w:val="24"/>
          <w:szCs w:val="24"/>
        </w:rPr>
        <w:t xml:space="preserve"> (hereafter Lokaneeta, </w:t>
      </w:r>
      <w:r>
        <w:rPr>
          <w:i/>
          <w:iCs/>
          <w:sz w:val="24"/>
          <w:szCs w:val="24"/>
        </w:rPr>
        <w:t>Transnational Torture</w:t>
      </w:r>
      <w:r>
        <w:rPr>
          <w:sz w:val="24"/>
          <w:szCs w:val="24"/>
        </w:rPr>
        <w:t>)</w:t>
      </w:r>
      <w:r w:rsidRPr="00A84A20">
        <w:rPr>
          <w:sz w:val="24"/>
          <w:szCs w:val="24"/>
        </w:rPr>
        <w:t xml:space="preserve">; W. Fitzhugh Brundage, </w:t>
      </w:r>
      <w:r w:rsidRPr="00A84A20">
        <w:rPr>
          <w:i/>
          <w:iCs/>
          <w:sz w:val="24"/>
          <w:szCs w:val="24"/>
        </w:rPr>
        <w:t xml:space="preserve">Civilizing Torture: An American Tradition </w:t>
      </w:r>
      <w:r w:rsidRPr="00A84A20">
        <w:rPr>
          <w:sz w:val="24"/>
          <w:szCs w:val="24"/>
        </w:rPr>
        <w:t xml:space="preserve">(Cambridge, MA and London: The Belknap Press of Harvard University Press 2018); Banham, </w:t>
      </w:r>
      <w:r w:rsidRPr="00A84A20">
        <w:rPr>
          <w:i/>
          <w:iCs/>
          <w:sz w:val="24"/>
          <w:szCs w:val="24"/>
        </w:rPr>
        <w:t>Liberal Democracies</w:t>
      </w:r>
      <w:r>
        <w:rPr>
          <w:i/>
          <w:iCs/>
          <w:sz w:val="24"/>
          <w:szCs w:val="24"/>
        </w:rPr>
        <w:t xml:space="preserve"> </w:t>
      </w:r>
      <w:r>
        <w:rPr>
          <w:sz w:val="24"/>
          <w:szCs w:val="24"/>
        </w:rPr>
        <w:t>(n 19)</w:t>
      </w:r>
      <w:r w:rsidRPr="00A84A20">
        <w:rPr>
          <w:sz w:val="24"/>
          <w:szCs w:val="24"/>
        </w:rPr>
        <w:t xml:space="preserve">; and Shampa Biswas and </w:t>
      </w:r>
      <w:r>
        <w:rPr>
          <w:sz w:val="24"/>
          <w:szCs w:val="24"/>
        </w:rPr>
        <w:t xml:space="preserve">Zahi </w:t>
      </w:r>
      <w:r w:rsidRPr="00A84A20">
        <w:rPr>
          <w:sz w:val="24"/>
          <w:szCs w:val="24"/>
        </w:rPr>
        <w:t xml:space="preserve">Zalloua, </w:t>
      </w:r>
      <w:r w:rsidRPr="00A84A20">
        <w:rPr>
          <w:i/>
          <w:iCs/>
          <w:sz w:val="24"/>
          <w:szCs w:val="24"/>
        </w:rPr>
        <w:t xml:space="preserve">Torture: Power, Democracy and the Human Body </w:t>
      </w:r>
      <w:r w:rsidRPr="00A84A20">
        <w:rPr>
          <w:sz w:val="24"/>
          <w:szCs w:val="24"/>
        </w:rPr>
        <w:t>(Seattle, WA: University of Washington Press 2011).</w:t>
      </w:r>
    </w:p>
  </w:footnote>
  <w:footnote w:id="37">
    <w:p w14:paraId="08F38240"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According to Stanley Cohen these are the standard forms that official denial takes. See Stanley Cohen, </w:t>
      </w:r>
      <w:r w:rsidRPr="00A84A20">
        <w:rPr>
          <w:i/>
          <w:sz w:val="24"/>
          <w:szCs w:val="24"/>
        </w:rPr>
        <w:t>States of Denial: Knowing about Atrocities and Suffering</w:t>
      </w:r>
      <w:r w:rsidRPr="00A84A20">
        <w:rPr>
          <w:sz w:val="24"/>
          <w:szCs w:val="24"/>
        </w:rPr>
        <w:t xml:space="preserve"> (Cambridge: Polity Press 2001), xi</w:t>
      </w:r>
      <w:r>
        <w:rPr>
          <w:sz w:val="24"/>
          <w:szCs w:val="24"/>
        </w:rPr>
        <w:t xml:space="preserve"> (hereafter Cohen, </w:t>
      </w:r>
      <w:r>
        <w:rPr>
          <w:i/>
          <w:iCs/>
          <w:sz w:val="24"/>
          <w:szCs w:val="24"/>
        </w:rPr>
        <w:t>States of Denial</w:t>
      </w:r>
      <w:r>
        <w:rPr>
          <w:sz w:val="24"/>
          <w:szCs w:val="24"/>
        </w:rPr>
        <w:t>)</w:t>
      </w:r>
      <w:r w:rsidRPr="00A84A20">
        <w:rPr>
          <w:sz w:val="24"/>
          <w:szCs w:val="24"/>
        </w:rPr>
        <w:t>.</w:t>
      </w:r>
      <w:r>
        <w:rPr>
          <w:sz w:val="24"/>
          <w:szCs w:val="24"/>
        </w:rPr>
        <w:t xml:space="preserve"> </w:t>
      </w:r>
    </w:p>
  </w:footnote>
  <w:footnote w:id="38">
    <w:p w14:paraId="00D89391" w14:textId="77777777" w:rsidR="00997966" w:rsidRPr="00A84A20" w:rsidRDefault="00997966" w:rsidP="00997966">
      <w:pPr>
        <w:pStyle w:val="Title"/>
        <w:spacing w:line="480" w:lineRule="auto"/>
        <w:ind w:left="0"/>
        <w:rPr>
          <w:rFonts w:ascii="Times New Roman" w:hAnsi="Times New Roman" w:cs="Times New Roman"/>
          <w:sz w:val="24"/>
          <w:szCs w:val="24"/>
        </w:rPr>
      </w:pPr>
      <w:r w:rsidRPr="00A84A20">
        <w:rPr>
          <w:rStyle w:val="FootnoteReference"/>
          <w:rFonts w:ascii="Times New Roman" w:hAnsi="Times New Roman" w:cs="Times New Roman"/>
          <w:sz w:val="24"/>
          <w:szCs w:val="24"/>
        </w:rPr>
        <w:footnoteRef/>
      </w:r>
      <w:r w:rsidRPr="00A84A20">
        <w:rPr>
          <w:rFonts w:ascii="Times New Roman" w:hAnsi="Times New Roman" w:cs="Times New Roman"/>
          <w:sz w:val="24"/>
          <w:szCs w:val="24"/>
        </w:rPr>
        <w:t xml:space="preserve"> Mark </w:t>
      </w:r>
      <w:bookmarkStart w:id="5" w:name="_Hlk41125712"/>
      <w:r w:rsidRPr="00A84A20">
        <w:rPr>
          <w:rFonts w:ascii="Times New Roman" w:hAnsi="Times New Roman" w:cs="Times New Roman"/>
          <w:sz w:val="24"/>
          <w:szCs w:val="24"/>
        </w:rPr>
        <w:t xml:space="preserve">Condos, </w:t>
      </w:r>
      <w:r w:rsidRPr="00A84A20">
        <w:rPr>
          <w:rFonts w:ascii="Times New Roman" w:hAnsi="Times New Roman" w:cs="Times New Roman"/>
          <w:i/>
          <w:iCs/>
          <w:sz w:val="24"/>
          <w:szCs w:val="24"/>
        </w:rPr>
        <w:t>The Insecurity State</w:t>
      </w:r>
      <w:bookmarkEnd w:id="5"/>
      <w:r w:rsidRPr="00A84A20">
        <w:rPr>
          <w:rFonts w:ascii="Times New Roman" w:hAnsi="Times New Roman" w:cs="Times New Roman"/>
          <w:i/>
          <w:iCs/>
          <w:sz w:val="24"/>
          <w:szCs w:val="24"/>
        </w:rPr>
        <w:t>: Punjab and the Making of Colonial Power in British India</w:t>
      </w:r>
      <w:r w:rsidRPr="00A84A20">
        <w:rPr>
          <w:rFonts w:ascii="Times New Roman" w:hAnsi="Times New Roman" w:cs="Times New Roman"/>
          <w:sz w:val="24"/>
          <w:szCs w:val="24"/>
        </w:rPr>
        <w:t xml:space="preserve"> (Cambridge: Cambridge University Press 2017), 8</w:t>
      </w:r>
      <w:r>
        <w:rPr>
          <w:rFonts w:ascii="Times New Roman" w:hAnsi="Times New Roman" w:cs="Times New Roman"/>
          <w:sz w:val="24"/>
          <w:szCs w:val="24"/>
        </w:rPr>
        <w:t xml:space="preserve"> (hereafter Condos, </w:t>
      </w:r>
      <w:r>
        <w:rPr>
          <w:rFonts w:ascii="Times New Roman" w:hAnsi="Times New Roman" w:cs="Times New Roman"/>
          <w:i/>
          <w:iCs/>
          <w:sz w:val="24"/>
          <w:szCs w:val="24"/>
        </w:rPr>
        <w:t>The Insecurity State</w:t>
      </w:r>
      <w:r>
        <w:rPr>
          <w:rFonts w:ascii="Times New Roman" w:hAnsi="Times New Roman" w:cs="Times New Roman"/>
          <w:sz w:val="24"/>
          <w:szCs w:val="24"/>
        </w:rPr>
        <w:t>)</w:t>
      </w:r>
      <w:r w:rsidRPr="00A84A20">
        <w:rPr>
          <w:rFonts w:ascii="Times New Roman" w:hAnsi="Times New Roman" w:cs="Times New Roman"/>
          <w:sz w:val="24"/>
          <w:szCs w:val="24"/>
        </w:rPr>
        <w:t xml:space="preserve">; and Cobain, </w:t>
      </w:r>
      <w:r w:rsidRPr="00A84A20">
        <w:rPr>
          <w:rFonts w:ascii="Times New Roman" w:hAnsi="Times New Roman" w:cs="Times New Roman"/>
          <w:i/>
          <w:iCs/>
          <w:sz w:val="24"/>
          <w:szCs w:val="24"/>
        </w:rPr>
        <w:t>Cruel Britannia</w:t>
      </w:r>
      <w:r>
        <w:rPr>
          <w:rFonts w:ascii="Times New Roman" w:hAnsi="Times New Roman" w:cs="Times New Roman"/>
          <w:sz w:val="24"/>
          <w:szCs w:val="24"/>
        </w:rPr>
        <w:t xml:space="preserve"> (n 19) </w:t>
      </w:r>
      <w:r w:rsidRPr="00A84A20">
        <w:rPr>
          <w:rFonts w:ascii="Times New Roman" w:hAnsi="Times New Roman" w:cs="Times New Roman"/>
          <w:sz w:val="24"/>
          <w:szCs w:val="24"/>
        </w:rPr>
        <w:t xml:space="preserve">90. As Ruth Blakely and Sam Raphael note, however, the torture and other forms of violence enacted against </w:t>
      </w:r>
      <w:r>
        <w:rPr>
          <w:rFonts w:ascii="Times New Roman" w:hAnsi="Times New Roman" w:cs="Times New Roman"/>
          <w:sz w:val="24"/>
          <w:szCs w:val="24"/>
        </w:rPr>
        <w:t>‘</w:t>
      </w:r>
      <w:r w:rsidRPr="00A84A20">
        <w:rPr>
          <w:rFonts w:ascii="Times New Roman" w:hAnsi="Times New Roman" w:cs="Times New Roman"/>
          <w:sz w:val="24"/>
          <w:szCs w:val="24"/>
        </w:rPr>
        <w:t>other others</w:t>
      </w:r>
      <w:r>
        <w:rPr>
          <w:rFonts w:ascii="Times New Roman" w:hAnsi="Times New Roman" w:cs="Times New Roman"/>
          <w:sz w:val="24"/>
          <w:szCs w:val="24"/>
        </w:rPr>
        <w:t>’</w:t>
      </w:r>
      <w:r w:rsidRPr="00A84A20">
        <w:rPr>
          <w:rFonts w:ascii="Times New Roman" w:hAnsi="Times New Roman" w:cs="Times New Roman"/>
          <w:sz w:val="24"/>
          <w:szCs w:val="24"/>
        </w:rPr>
        <w:t xml:space="preserve"> in the </w:t>
      </w:r>
      <w:r>
        <w:rPr>
          <w:rFonts w:ascii="Times New Roman" w:hAnsi="Times New Roman" w:cs="Times New Roman"/>
          <w:sz w:val="24"/>
          <w:szCs w:val="24"/>
        </w:rPr>
        <w:t>‘</w:t>
      </w:r>
      <w:r w:rsidRPr="00A84A20">
        <w:rPr>
          <w:rFonts w:ascii="Times New Roman" w:hAnsi="Times New Roman" w:cs="Times New Roman"/>
          <w:sz w:val="24"/>
          <w:szCs w:val="24"/>
        </w:rPr>
        <w:t>endgame</w:t>
      </w:r>
      <w:r>
        <w:rPr>
          <w:rFonts w:ascii="Times New Roman" w:hAnsi="Times New Roman" w:cs="Times New Roman"/>
          <w:sz w:val="24"/>
          <w:szCs w:val="24"/>
        </w:rPr>
        <w:t>’</w:t>
      </w:r>
      <w:r w:rsidRPr="00A84A20">
        <w:rPr>
          <w:rFonts w:ascii="Times New Roman" w:hAnsi="Times New Roman" w:cs="Times New Roman"/>
          <w:sz w:val="24"/>
          <w:szCs w:val="24"/>
        </w:rPr>
        <w:t xml:space="preserve"> of empire and the </w:t>
      </w:r>
      <w:r>
        <w:rPr>
          <w:rFonts w:ascii="Times New Roman" w:hAnsi="Times New Roman" w:cs="Times New Roman"/>
          <w:sz w:val="24"/>
          <w:szCs w:val="24"/>
        </w:rPr>
        <w:t>‘</w:t>
      </w:r>
      <w:r w:rsidRPr="00A84A20">
        <w:rPr>
          <w:rFonts w:ascii="Times New Roman" w:hAnsi="Times New Roman" w:cs="Times New Roman"/>
          <w:sz w:val="24"/>
          <w:szCs w:val="24"/>
        </w:rPr>
        <w:t>war on terror</w:t>
      </w:r>
      <w:r>
        <w:rPr>
          <w:rFonts w:ascii="Times New Roman" w:hAnsi="Times New Roman" w:cs="Times New Roman"/>
          <w:sz w:val="24"/>
          <w:szCs w:val="24"/>
        </w:rPr>
        <w:t>’</w:t>
      </w:r>
      <w:r w:rsidRPr="00A84A20">
        <w:rPr>
          <w:rFonts w:ascii="Times New Roman" w:hAnsi="Times New Roman" w:cs="Times New Roman"/>
          <w:sz w:val="24"/>
          <w:szCs w:val="24"/>
        </w:rPr>
        <w:t xml:space="preserve"> are intimately connected, with the latter </w:t>
      </w:r>
      <w:r>
        <w:rPr>
          <w:rFonts w:ascii="Times New Roman" w:hAnsi="Times New Roman" w:cs="Times New Roman"/>
          <w:sz w:val="24"/>
          <w:szCs w:val="24"/>
        </w:rPr>
        <w:t>‘</w:t>
      </w:r>
      <w:r w:rsidRPr="00A84A20">
        <w:rPr>
          <w:rFonts w:ascii="Times New Roman" w:hAnsi="Times New Roman" w:cs="Times New Roman"/>
          <w:sz w:val="24"/>
          <w:szCs w:val="24"/>
        </w:rPr>
        <w:t>less a departure from the normative [249] behaviour of leading liberal</w:t>
      </w:r>
      <w:r>
        <w:rPr>
          <w:rFonts w:ascii="Times New Roman" w:hAnsi="Times New Roman" w:cs="Times New Roman"/>
          <w:sz w:val="24"/>
          <w:szCs w:val="24"/>
        </w:rPr>
        <w:t>-</w:t>
      </w:r>
      <w:r w:rsidRPr="00A84A20">
        <w:rPr>
          <w:rFonts w:ascii="Times New Roman" w:hAnsi="Times New Roman" w:cs="Times New Roman"/>
          <w:sz w:val="24"/>
          <w:szCs w:val="24"/>
        </w:rPr>
        <w:t xml:space="preserve">democratic states as provided by a new </w:t>
      </w:r>
      <w:r>
        <w:rPr>
          <w:rFonts w:ascii="Times New Roman" w:hAnsi="Times New Roman" w:cs="Times New Roman"/>
          <w:sz w:val="24"/>
          <w:szCs w:val="24"/>
        </w:rPr>
        <w:t>“</w:t>
      </w:r>
      <w:r w:rsidRPr="00A84A20">
        <w:rPr>
          <w:rFonts w:ascii="Times New Roman" w:hAnsi="Times New Roman" w:cs="Times New Roman"/>
          <w:sz w:val="24"/>
          <w:szCs w:val="24"/>
        </w:rPr>
        <w:t>state of exception</w:t>
      </w:r>
      <w:r>
        <w:rPr>
          <w:rFonts w:ascii="Times New Roman" w:hAnsi="Times New Roman" w:cs="Times New Roman"/>
          <w:sz w:val="24"/>
          <w:szCs w:val="24"/>
        </w:rPr>
        <w:t>”</w:t>
      </w:r>
      <w:r w:rsidRPr="00A84A20">
        <w:rPr>
          <w:rFonts w:ascii="Times New Roman" w:hAnsi="Times New Roman" w:cs="Times New Roman"/>
          <w:sz w:val="24"/>
          <w:szCs w:val="24"/>
        </w:rPr>
        <w:t>, and more the re</w:t>
      </w:r>
      <w:r>
        <w:rPr>
          <w:rFonts w:ascii="Times New Roman" w:hAnsi="Times New Roman" w:cs="Times New Roman"/>
          <w:sz w:val="24"/>
          <w:szCs w:val="24"/>
        </w:rPr>
        <w:t>-</w:t>
      </w:r>
      <w:r w:rsidRPr="00A84A20">
        <w:rPr>
          <w:rFonts w:ascii="Times New Roman" w:hAnsi="Times New Roman" w:cs="Times New Roman"/>
          <w:sz w:val="24"/>
          <w:szCs w:val="24"/>
        </w:rPr>
        <w:t>emergence of practices that have lain at the heart of the US and British imperial projects for decades</w:t>
      </w:r>
      <w:r>
        <w:rPr>
          <w:rFonts w:ascii="Times New Roman" w:hAnsi="Times New Roman" w:cs="Times New Roman"/>
          <w:sz w:val="24"/>
          <w:szCs w:val="24"/>
        </w:rPr>
        <w:t>’</w:t>
      </w:r>
      <w:bookmarkStart w:id="6" w:name="_Hlk40965222"/>
      <w:r w:rsidRPr="00A84A20">
        <w:rPr>
          <w:rFonts w:ascii="Times New Roman" w:hAnsi="Times New Roman" w:cs="Times New Roman"/>
          <w:sz w:val="24"/>
          <w:szCs w:val="24"/>
        </w:rPr>
        <w:t xml:space="preserve">. Ruth Blakely and Sam Raphael, </w:t>
      </w:r>
      <w:r>
        <w:rPr>
          <w:rFonts w:ascii="Times New Roman" w:hAnsi="Times New Roman" w:cs="Times New Roman"/>
          <w:sz w:val="24"/>
          <w:szCs w:val="24"/>
        </w:rPr>
        <w:t>‘</w:t>
      </w:r>
      <w:r w:rsidRPr="00A84A20">
        <w:rPr>
          <w:rFonts w:ascii="Times New Roman" w:hAnsi="Times New Roman" w:cs="Times New Roman"/>
          <w:sz w:val="24"/>
          <w:szCs w:val="24"/>
        </w:rPr>
        <w:t xml:space="preserve">British Torture in the </w:t>
      </w:r>
      <w:r>
        <w:rPr>
          <w:rFonts w:ascii="Times New Roman" w:hAnsi="Times New Roman" w:cs="Times New Roman"/>
          <w:sz w:val="24"/>
          <w:szCs w:val="24"/>
        </w:rPr>
        <w:t>“</w:t>
      </w:r>
      <w:r w:rsidRPr="00A84A20">
        <w:rPr>
          <w:rFonts w:ascii="Times New Roman" w:hAnsi="Times New Roman" w:cs="Times New Roman"/>
          <w:sz w:val="24"/>
          <w:szCs w:val="24"/>
        </w:rPr>
        <w:t>War on Terror</w:t>
      </w:r>
      <w:r>
        <w:rPr>
          <w:rFonts w:ascii="Times New Roman" w:hAnsi="Times New Roman" w:cs="Times New Roman"/>
          <w:sz w:val="24"/>
          <w:szCs w:val="24"/>
        </w:rPr>
        <w:t>”’</w:t>
      </w:r>
      <w:r w:rsidRPr="00A84A20">
        <w:rPr>
          <w:rFonts w:ascii="Times New Roman" w:hAnsi="Times New Roman" w:cs="Times New Roman"/>
          <w:sz w:val="24"/>
          <w:szCs w:val="24"/>
        </w:rPr>
        <w:t xml:space="preserve">, </w:t>
      </w:r>
      <w:r w:rsidRPr="00A84A20">
        <w:rPr>
          <w:rFonts w:ascii="Times New Roman" w:hAnsi="Times New Roman" w:cs="Times New Roman"/>
          <w:i/>
          <w:iCs/>
          <w:sz w:val="24"/>
          <w:szCs w:val="24"/>
        </w:rPr>
        <w:t xml:space="preserve">European Journal of International Relations </w:t>
      </w:r>
      <w:r w:rsidRPr="00A84A20">
        <w:rPr>
          <w:rFonts w:ascii="Times New Roman" w:hAnsi="Times New Roman" w:cs="Times New Roman"/>
          <w:sz w:val="24"/>
          <w:szCs w:val="24"/>
        </w:rPr>
        <w:t>23</w:t>
      </w:r>
      <w:r>
        <w:rPr>
          <w:rFonts w:ascii="Times New Roman" w:hAnsi="Times New Roman" w:cs="Times New Roman"/>
          <w:sz w:val="24"/>
          <w:szCs w:val="24"/>
        </w:rPr>
        <w:t>/</w:t>
      </w:r>
      <w:r w:rsidRPr="00A84A20">
        <w:rPr>
          <w:rFonts w:ascii="Times New Roman" w:hAnsi="Times New Roman" w:cs="Times New Roman"/>
          <w:sz w:val="24"/>
          <w:szCs w:val="24"/>
        </w:rPr>
        <w:t>2 (2017)</w:t>
      </w:r>
      <w:bookmarkEnd w:id="6"/>
      <w:r w:rsidRPr="00A84A20">
        <w:rPr>
          <w:rFonts w:ascii="Times New Roman" w:hAnsi="Times New Roman" w:cs="Times New Roman"/>
          <w:sz w:val="24"/>
          <w:szCs w:val="24"/>
        </w:rPr>
        <w:t>, 250</w:t>
      </w:r>
      <w:r>
        <w:rPr>
          <w:rFonts w:ascii="Times New Roman" w:hAnsi="Times New Roman" w:cs="Times New Roman"/>
          <w:sz w:val="24"/>
          <w:szCs w:val="24"/>
        </w:rPr>
        <w:t xml:space="preserve"> (hereafter Blakely and Raphael, ‘British Torture’)</w:t>
      </w:r>
      <w:r w:rsidRPr="00A84A20">
        <w:rPr>
          <w:rFonts w:ascii="Times New Roman" w:hAnsi="Times New Roman" w:cs="Times New Roman"/>
          <w:sz w:val="24"/>
          <w:szCs w:val="24"/>
        </w:rPr>
        <w:t xml:space="preserve">. For scholarship on the </w:t>
      </w:r>
      <w:r>
        <w:rPr>
          <w:rFonts w:ascii="Times New Roman" w:hAnsi="Times New Roman" w:cs="Times New Roman"/>
          <w:sz w:val="24"/>
          <w:szCs w:val="24"/>
        </w:rPr>
        <w:t>‘</w:t>
      </w:r>
      <w:r w:rsidRPr="00A84A20">
        <w:rPr>
          <w:rFonts w:ascii="Times New Roman" w:hAnsi="Times New Roman" w:cs="Times New Roman"/>
          <w:sz w:val="24"/>
          <w:szCs w:val="24"/>
        </w:rPr>
        <w:t>war on terror</w:t>
      </w:r>
      <w:r>
        <w:rPr>
          <w:rFonts w:ascii="Times New Roman" w:hAnsi="Times New Roman" w:cs="Times New Roman"/>
          <w:sz w:val="24"/>
          <w:szCs w:val="24"/>
        </w:rPr>
        <w:t>’</w:t>
      </w:r>
      <w:r w:rsidRPr="00A84A20">
        <w:rPr>
          <w:rFonts w:ascii="Times New Roman" w:hAnsi="Times New Roman" w:cs="Times New Roman"/>
          <w:sz w:val="24"/>
          <w:szCs w:val="24"/>
        </w:rPr>
        <w:t xml:space="preserve"> and the state of exception see Judith Butler, </w:t>
      </w:r>
      <w:r w:rsidRPr="00A84A20">
        <w:rPr>
          <w:rFonts w:ascii="Times New Roman" w:hAnsi="Times New Roman" w:cs="Times New Roman"/>
          <w:i/>
          <w:sz w:val="24"/>
          <w:szCs w:val="24"/>
        </w:rPr>
        <w:t>Precarious Life: The Powers of Mourning and Violence</w:t>
      </w:r>
      <w:r w:rsidRPr="00A84A20">
        <w:rPr>
          <w:rFonts w:ascii="Times New Roman" w:hAnsi="Times New Roman" w:cs="Times New Roman"/>
          <w:sz w:val="24"/>
          <w:szCs w:val="24"/>
        </w:rPr>
        <w:t xml:space="preserve"> (London and New York: Verso</w:t>
      </w:r>
      <w:r>
        <w:rPr>
          <w:rFonts w:ascii="Times New Roman" w:hAnsi="Times New Roman" w:cs="Times New Roman"/>
          <w:sz w:val="24"/>
          <w:szCs w:val="24"/>
        </w:rPr>
        <w:t xml:space="preserve"> </w:t>
      </w:r>
      <w:r w:rsidRPr="00A84A20">
        <w:rPr>
          <w:rFonts w:ascii="Times New Roman" w:hAnsi="Times New Roman" w:cs="Times New Roman"/>
          <w:sz w:val="24"/>
          <w:szCs w:val="24"/>
        </w:rPr>
        <w:t>2004)</w:t>
      </w:r>
      <w:r>
        <w:rPr>
          <w:rFonts w:ascii="Times New Roman" w:hAnsi="Times New Roman" w:cs="Times New Roman"/>
          <w:sz w:val="24"/>
          <w:szCs w:val="24"/>
        </w:rPr>
        <w:t xml:space="preserve"> (hereafter Butler, </w:t>
      </w:r>
      <w:r>
        <w:rPr>
          <w:rFonts w:ascii="Times New Roman" w:hAnsi="Times New Roman" w:cs="Times New Roman"/>
          <w:i/>
          <w:iCs/>
          <w:sz w:val="24"/>
          <w:szCs w:val="24"/>
        </w:rPr>
        <w:t>Precarious Life</w:t>
      </w:r>
      <w:r>
        <w:rPr>
          <w:rFonts w:ascii="Times New Roman" w:hAnsi="Times New Roman" w:cs="Times New Roman"/>
          <w:sz w:val="24"/>
          <w:szCs w:val="24"/>
        </w:rPr>
        <w:t>)</w:t>
      </w:r>
      <w:r w:rsidRPr="00A84A20">
        <w:rPr>
          <w:rFonts w:ascii="Times New Roman" w:hAnsi="Times New Roman" w:cs="Times New Roman"/>
          <w:sz w:val="24"/>
          <w:szCs w:val="24"/>
        </w:rPr>
        <w:t xml:space="preserve">; Giorgio Agamben, </w:t>
      </w:r>
      <w:r w:rsidRPr="00A84A20">
        <w:rPr>
          <w:rFonts w:ascii="Times New Roman" w:hAnsi="Times New Roman" w:cs="Times New Roman"/>
          <w:i/>
          <w:sz w:val="24"/>
          <w:szCs w:val="24"/>
        </w:rPr>
        <w:t>State of Exception</w:t>
      </w:r>
      <w:r>
        <w:rPr>
          <w:rFonts w:ascii="Times New Roman" w:hAnsi="Times New Roman" w:cs="Times New Roman"/>
          <w:i/>
          <w:sz w:val="24"/>
          <w:szCs w:val="24"/>
        </w:rPr>
        <w:t xml:space="preserve"> </w:t>
      </w:r>
      <w:r>
        <w:rPr>
          <w:rFonts w:ascii="Times New Roman" w:hAnsi="Times New Roman" w:cs="Times New Roman"/>
          <w:iCs/>
          <w:sz w:val="24"/>
          <w:szCs w:val="24"/>
        </w:rPr>
        <w:t>(</w:t>
      </w:r>
      <w:r w:rsidRPr="00A84A20">
        <w:rPr>
          <w:rFonts w:ascii="Times New Roman" w:hAnsi="Times New Roman" w:cs="Times New Roman"/>
          <w:sz w:val="24"/>
          <w:szCs w:val="24"/>
        </w:rPr>
        <w:t>Kevin Attell</w:t>
      </w:r>
      <w:r>
        <w:rPr>
          <w:rFonts w:ascii="Times New Roman" w:hAnsi="Times New Roman" w:cs="Times New Roman"/>
          <w:sz w:val="24"/>
          <w:szCs w:val="24"/>
        </w:rPr>
        <w:t xml:space="preserve"> tr, </w:t>
      </w:r>
      <w:r w:rsidRPr="00A84A20">
        <w:rPr>
          <w:rFonts w:ascii="Times New Roman" w:hAnsi="Times New Roman" w:cs="Times New Roman"/>
          <w:sz w:val="24"/>
          <w:szCs w:val="24"/>
        </w:rPr>
        <w:t>Chicago and London: The University of Chicago Press 2005)</w:t>
      </w:r>
      <w:r>
        <w:rPr>
          <w:rFonts w:ascii="Times New Roman" w:hAnsi="Times New Roman" w:cs="Times New Roman"/>
          <w:sz w:val="24"/>
          <w:szCs w:val="24"/>
        </w:rPr>
        <w:t xml:space="preserve"> (hereafter Agamben, </w:t>
      </w:r>
      <w:r>
        <w:rPr>
          <w:rFonts w:ascii="Times New Roman" w:hAnsi="Times New Roman" w:cs="Times New Roman"/>
          <w:i/>
          <w:iCs/>
          <w:sz w:val="24"/>
          <w:szCs w:val="24"/>
        </w:rPr>
        <w:t>State of Exception</w:t>
      </w:r>
      <w:r>
        <w:rPr>
          <w:rFonts w:ascii="Times New Roman" w:hAnsi="Times New Roman" w:cs="Times New Roman"/>
          <w:sz w:val="24"/>
          <w:szCs w:val="24"/>
        </w:rPr>
        <w:t>)</w:t>
      </w:r>
      <w:r w:rsidRPr="00A84A20">
        <w:rPr>
          <w:rFonts w:ascii="Times New Roman" w:hAnsi="Times New Roman" w:cs="Times New Roman"/>
          <w:i/>
          <w:iCs/>
          <w:sz w:val="24"/>
          <w:szCs w:val="24"/>
        </w:rPr>
        <w:t xml:space="preserve">; </w:t>
      </w:r>
      <w:r w:rsidRPr="00A84A20">
        <w:rPr>
          <w:rFonts w:ascii="Times New Roman" w:hAnsi="Times New Roman" w:cs="Times New Roman"/>
          <w:sz w:val="24"/>
          <w:szCs w:val="24"/>
        </w:rPr>
        <w:t>Jef</w:t>
      </w:r>
      <w:r>
        <w:rPr>
          <w:rFonts w:ascii="Times New Roman" w:hAnsi="Times New Roman" w:cs="Times New Roman"/>
          <w:sz w:val="24"/>
          <w:szCs w:val="24"/>
        </w:rPr>
        <w:t xml:space="preserve"> </w:t>
      </w:r>
      <w:r w:rsidRPr="00A84A20">
        <w:rPr>
          <w:rFonts w:ascii="Times New Roman" w:hAnsi="Times New Roman" w:cs="Times New Roman"/>
          <w:sz w:val="24"/>
          <w:szCs w:val="24"/>
        </w:rPr>
        <w:t xml:space="preserve">Huysmans, </w:t>
      </w:r>
      <w:r>
        <w:rPr>
          <w:rFonts w:ascii="Times New Roman" w:hAnsi="Times New Roman" w:cs="Times New Roman"/>
          <w:sz w:val="24"/>
          <w:szCs w:val="24"/>
        </w:rPr>
        <w:t>‘</w:t>
      </w:r>
      <w:r w:rsidRPr="00A84A20">
        <w:rPr>
          <w:rFonts w:ascii="Times New Roman" w:hAnsi="Times New Roman" w:cs="Times New Roman"/>
          <w:sz w:val="24"/>
          <w:szCs w:val="24"/>
        </w:rPr>
        <w:t>International Politics of Insecurity: Normativity, Inwardness and the Exception</w:t>
      </w:r>
      <w:r>
        <w:rPr>
          <w:rFonts w:ascii="Times New Roman" w:hAnsi="Times New Roman" w:cs="Times New Roman"/>
          <w:sz w:val="24"/>
          <w:szCs w:val="24"/>
        </w:rPr>
        <w:t>’</w:t>
      </w:r>
      <w:r w:rsidRPr="00A84A20">
        <w:rPr>
          <w:rFonts w:ascii="Times New Roman" w:hAnsi="Times New Roman" w:cs="Times New Roman"/>
          <w:sz w:val="24"/>
          <w:szCs w:val="24"/>
        </w:rPr>
        <w:t xml:space="preserve">, </w:t>
      </w:r>
      <w:r w:rsidRPr="00A84A20">
        <w:rPr>
          <w:rFonts w:ascii="Times New Roman" w:hAnsi="Times New Roman" w:cs="Times New Roman"/>
          <w:i/>
          <w:iCs/>
          <w:sz w:val="24"/>
          <w:szCs w:val="24"/>
        </w:rPr>
        <w:t>Security Dialogue</w:t>
      </w:r>
      <w:r w:rsidRPr="00A84A20">
        <w:rPr>
          <w:rFonts w:ascii="Times New Roman" w:hAnsi="Times New Roman" w:cs="Times New Roman"/>
          <w:sz w:val="24"/>
          <w:szCs w:val="24"/>
        </w:rPr>
        <w:t xml:space="preserve"> 27</w:t>
      </w:r>
      <w:r>
        <w:rPr>
          <w:rFonts w:ascii="Times New Roman" w:hAnsi="Times New Roman" w:cs="Times New Roman"/>
          <w:sz w:val="24"/>
          <w:szCs w:val="24"/>
        </w:rPr>
        <w:t>/</w:t>
      </w:r>
      <w:r w:rsidRPr="00A84A20">
        <w:rPr>
          <w:rFonts w:ascii="Times New Roman" w:hAnsi="Times New Roman" w:cs="Times New Roman"/>
          <w:sz w:val="24"/>
          <w:szCs w:val="24"/>
        </w:rPr>
        <w:t>1 (2006)</w:t>
      </w:r>
      <w:r>
        <w:rPr>
          <w:rFonts w:ascii="Times New Roman" w:hAnsi="Times New Roman" w:cs="Times New Roman"/>
          <w:sz w:val="24"/>
          <w:szCs w:val="24"/>
        </w:rPr>
        <w:t xml:space="preserve">, </w:t>
      </w:r>
      <w:r w:rsidRPr="00A84A20">
        <w:rPr>
          <w:rFonts w:ascii="Times New Roman" w:hAnsi="Times New Roman" w:cs="Times New Roman"/>
          <w:sz w:val="24"/>
          <w:szCs w:val="24"/>
        </w:rPr>
        <w:t>11</w:t>
      </w:r>
      <w:r>
        <w:rPr>
          <w:rFonts w:ascii="Times New Roman" w:hAnsi="Times New Roman" w:cs="Times New Roman"/>
          <w:sz w:val="24"/>
          <w:szCs w:val="24"/>
        </w:rPr>
        <w:t>-</w:t>
      </w:r>
      <w:r w:rsidRPr="00A84A20">
        <w:rPr>
          <w:rFonts w:ascii="Times New Roman" w:hAnsi="Times New Roman" w:cs="Times New Roman"/>
          <w:sz w:val="24"/>
          <w:szCs w:val="24"/>
        </w:rPr>
        <w:t xml:space="preserve">29; Vivienne Jabri, </w:t>
      </w:r>
      <w:r>
        <w:rPr>
          <w:rFonts w:ascii="Times New Roman" w:hAnsi="Times New Roman" w:cs="Times New Roman"/>
          <w:sz w:val="24"/>
          <w:szCs w:val="24"/>
        </w:rPr>
        <w:t>‘</w:t>
      </w:r>
      <w:r w:rsidRPr="00A84A20">
        <w:rPr>
          <w:rFonts w:ascii="Times New Roman" w:hAnsi="Times New Roman" w:cs="Times New Roman"/>
          <w:sz w:val="24"/>
          <w:szCs w:val="24"/>
        </w:rPr>
        <w:t>War, Security and the Liberal State</w:t>
      </w:r>
      <w:r>
        <w:rPr>
          <w:rFonts w:ascii="Times New Roman" w:hAnsi="Times New Roman" w:cs="Times New Roman"/>
          <w:sz w:val="24"/>
          <w:szCs w:val="24"/>
        </w:rPr>
        <w:t>’</w:t>
      </w:r>
      <w:r w:rsidRPr="00A84A20">
        <w:rPr>
          <w:rFonts w:ascii="Times New Roman" w:hAnsi="Times New Roman" w:cs="Times New Roman"/>
          <w:sz w:val="24"/>
          <w:szCs w:val="24"/>
        </w:rPr>
        <w:t xml:space="preserve">, </w:t>
      </w:r>
      <w:r w:rsidRPr="00A84A20">
        <w:rPr>
          <w:rFonts w:ascii="Times New Roman" w:hAnsi="Times New Roman" w:cs="Times New Roman"/>
          <w:i/>
          <w:iCs/>
          <w:sz w:val="24"/>
          <w:szCs w:val="24"/>
        </w:rPr>
        <w:t>Security Dialogue</w:t>
      </w:r>
      <w:r>
        <w:rPr>
          <w:rFonts w:ascii="Times New Roman" w:hAnsi="Times New Roman" w:cs="Times New Roman"/>
          <w:sz w:val="24"/>
          <w:szCs w:val="24"/>
        </w:rPr>
        <w:t xml:space="preserve"> </w:t>
      </w:r>
      <w:r w:rsidRPr="00A84A20">
        <w:rPr>
          <w:rFonts w:ascii="Times New Roman" w:hAnsi="Times New Roman" w:cs="Times New Roman"/>
          <w:sz w:val="24"/>
          <w:szCs w:val="24"/>
        </w:rPr>
        <w:t>37</w:t>
      </w:r>
      <w:r>
        <w:rPr>
          <w:rFonts w:ascii="Times New Roman" w:hAnsi="Times New Roman" w:cs="Times New Roman"/>
          <w:sz w:val="24"/>
          <w:szCs w:val="24"/>
        </w:rPr>
        <w:t>/</w:t>
      </w:r>
      <w:r w:rsidRPr="00A84A20">
        <w:rPr>
          <w:rFonts w:ascii="Times New Roman" w:hAnsi="Times New Roman" w:cs="Times New Roman"/>
          <w:sz w:val="24"/>
          <w:szCs w:val="24"/>
        </w:rPr>
        <w:t>1 (2006)</w:t>
      </w:r>
      <w:r>
        <w:rPr>
          <w:rFonts w:ascii="Times New Roman" w:hAnsi="Times New Roman" w:cs="Times New Roman"/>
          <w:sz w:val="24"/>
          <w:szCs w:val="24"/>
        </w:rPr>
        <w:t>,</w:t>
      </w:r>
      <w:r w:rsidRPr="00A84A20">
        <w:rPr>
          <w:rFonts w:ascii="Times New Roman" w:hAnsi="Times New Roman" w:cs="Times New Roman"/>
          <w:sz w:val="24"/>
          <w:szCs w:val="24"/>
        </w:rPr>
        <w:t xml:space="preserve"> 47</w:t>
      </w:r>
      <w:r>
        <w:rPr>
          <w:rFonts w:ascii="Times New Roman" w:hAnsi="Times New Roman" w:cs="Times New Roman"/>
          <w:sz w:val="24"/>
          <w:szCs w:val="24"/>
        </w:rPr>
        <w:t>-</w:t>
      </w:r>
      <w:r w:rsidRPr="00A84A20">
        <w:rPr>
          <w:rFonts w:ascii="Times New Roman" w:hAnsi="Times New Roman" w:cs="Times New Roman"/>
          <w:sz w:val="24"/>
          <w:szCs w:val="24"/>
        </w:rPr>
        <w:t xml:space="preserve">64; and Andrew W. Neal, </w:t>
      </w:r>
      <w:r w:rsidRPr="00A84A20">
        <w:rPr>
          <w:rFonts w:ascii="Times New Roman" w:hAnsi="Times New Roman" w:cs="Times New Roman"/>
          <w:i/>
          <w:iCs/>
          <w:sz w:val="24"/>
          <w:szCs w:val="24"/>
        </w:rPr>
        <w:t>Exceptionalism and the Politics of Counter</w:t>
      </w:r>
      <w:r>
        <w:rPr>
          <w:rFonts w:ascii="Times New Roman" w:hAnsi="Times New Roman" w:cs="Times New Roman"/>
          <w:i/>
          <w:iCs/>
          <w:sz w:val="24"/>
          <w:szCs w:val="24"/>
        </w:rPr>
        <w:t>-</w:t>
      </w:r>
      <w:r w:rsidRPr="00A84A20">
        <w:rPr>
          <w:rFonts w:ascii="Times New Roman" w:hAnsi="Times New Roman" w:cs="Times New Roman"/>
          <w:i/>
          <w:iCs/>
          <w:sz w:val="24"/>
          <w:szCs w:val="24"/>
        </w:rPr>
        <w:t>Terrorism: Liberty, Security and the War on Terror</w:t>
      </w:r>
      <w:r w:rsidRPr="00A84A20">
        <w:rPr>
          <w:rFonts w:ascii="Times New Roman" w:hAnsi="Times New Roman" w:cs="Times New Roman"/>
          <w:sz w:val="24"/>
          <w:szCs w:val="24"/>
        </w:rPr>
        <w:t xml:space="preserve"> (London: Routledge 2009). Some scholars argue that such an exceptional global order emerged earlier. See, for example, Michael Hardt and Antonio Negri, </w:t>
      </w:r>
      <w:r w:rsidRPr="00A84A20">
        <w:rPr>
          <w:rFonts w:ascii="Times New Roman" w:hAnsi="Times New Roman" w:cs="Times New Roman"/>
          <w:i/>
          <w:sz w:val="24"/>
          <w:szCs w:val="24"/>
        </w:rPr>
        <w:t xml:space="preserve">Empire </w:t>
      </w:r>
      <w:r w:rsidRPr="00A84A20">
        <w:rPr>
          <w:rFonts w:ascii="Times New Roman" w:hAnsi="Times New Roman" w:cs="Times New Roman"/>
          <w:sz w:val="24"/>
          <w:szCs w:val="24"/>
        </w:rPr>
        <w:t>(Cambridge, MA: Harvard University Press 2000), 9</w:t>
      </w:r>
      <w:r>
        <w:rPr>
          <w:rFonts w:ascii="Times New Roman" w:hAnsi="Times New Roman" w:cs="Times New Roman"/>
          <w:sz w:val="24"/>
          <w:szCs w:val="24"/>
        </w:rPr>
        <w:t>-</w:t>
      </w:r>
      <w:r w:rsidRPr="00A84A20">
        <w:rPr>
          <w:rFonts w:ascii="Times New Roman" w:hAnsi="Times New Roman" w:cs="Times New Roman"/>
          <w:sz w:val="24"/>
          <w:szCs w:val="24"/>
        </w:rPr>
        <w:t>10, 180, 345</w:t>
      </w:r>
      <w:r>
        <w:rPr>
          <w:rFonts w:ascii="Times New Roman" w:hAnsi="Times New Roman" w:cs="Times New Roman"/>
          <w:sz w:val="24"/>
          <w:szCs w:val="24"/>
        </w:rPr>
        <w:t xml:space="preserve"> (hereafter Hardt and Negri, </w:t>
      </w:r>
      <w:r>
        <w:rPr>
          <w:rFonts w:ascii="Times New Roman" w:hAnsi="Times New Roman" w:cs="Times New Roman"/>
          <w:i/>
          <w:iCs/>
          <w:sz w:val="24"/>
          <w:szCs w:val="24"/>
        </w:rPr>
        <w:t>Empire</w:t>
      </w:r>
      <w:r>
        <w:rPr>
          <w:rFonts w:ascii="Times New Roman" w:hAnsi="Times New Roman" w:cs="Times New Roman"/>
          <w:sz w:val="24"/>
          <w:szCs w:val="24"/>
        </w:rPr>
        <w:t>)</w:t>
      </w:r>
      <w:r w:rsidRPr="00A84A20">
        <w:rPr>
          <w:rFonts w:ascii="Times New Roman" w:hAnsi="Times New Roman" w:cs="Times New Roman"/>
          <w:sz w:val="24"/>
          <w:szCs w:val="24"/>
        </w:rPr>
        <w:t xml:space="preserve">; and Mithi Mukherjee, </w:t>
      </w:r>
      <w:r w:rsidRPr="00A84A20">
        <w:rPr>
          <w:rFonts w:ascii="Times New Roman" w:hAnsi="Times New Roman" w:cs="Times New Roman"/>
          <w:i/>
          <w:sz w:val="24"/>
          <w:szCs w:val="24"/>
        </w:rPr>
        <w:t>India in the Shadows of Empire: A Legal and Political History (1774</w:t>
      </w:r>
      <w:r>
        <w:rPr>
          <w:rFonts w:ascii="Times New Roman" w:hAnsi="Times New Roman" w:cs="Times New Roman"/>
          <w:i/>
          <w:sz w:val="24"/>
          <w:szCs w:val="24"/>
        </w:rPr>
        <w:t>-</w:t>
      </w:r>
      <w:r w:rsidRPr="00A84A20">
        <w:rPr>
          <w:rFonts w:ascii="Times New Roman" w:hAnsi="Times New Roman" w:cs="Times New Roman"/>
          <w:i/>
          <w:sz w:val="24"/>
          <w:szCs w:val="24"/>
        </w:rPr>
        <w:t>1950)</w:t>
      </w:r>
      <w:r w:rsidRPr="00A84A20">
        <w:rPr>
          <w:rFonts w:ascii="Times New Roman" w:hAnsi="Times New Roman" w:cs="Times New Roman"/>
          <w:sz w:val="24"/>
          <w:szCs w:val="24"/>
        </w:rPr>
        <w:t xml:space="preserve"> (New Delhi: Oxford University Press 2010), 5.</w:t>
      </w:r>
    </w:p>
  </w:footnote>
  <w:footnote w:id="39">
    <w:p w14:paraId="0FA1CBA4" w14:textId="77777777" w:rsidR="00997966" w:rsidRPr="00A84A20" w:rsidRDefault="00997966" w:rsidP="00997966">
      <w:pPr>
        <w:pStyle w:val="FootnoteText"/>
        <w:spacing w:line="480" w:lineRule="auto"/>
        <w:contextualSpacing/>
        <w:rPr>
          <w:i/>
          <w:iCs/>
          <w:sz w:val="24"/>
          <w:szCs w:val="24"/>
        </w:rPr>
      </w:pPr>
      <w:r w:rsidRPr="00A84A20">
        <w:rPr>
          <w:rStyle w:val="FootnoteReference"/>
          <w:sz w:val="24"/>
          <w:szCs w:val="24"/>
        </w:rPr>
        <w:footnoteRef/>
      </w:r>
      <w:r w:rsidRPr="00A84A20">
        <w:rPr>
          <w:sz w:val="24"/>
          <w:szCs w:val="24"/>
        </w:rPr>
        <w:t xml:space="preserve"> Butler, </w:t>
      </w:r>
      <w:r w:rsidRPr="00A84A20">
        <w:rPr>
          <w:i/>
          <w:sz w:val="24"/>
          <w:szCs w:val="24"/>
        </w:rPr>
        <w:t>Precarious Life</w:t>
      </w:r>
      <w:r>
        <w:rPr>
          <w:i/>
          <w:sz w:val="24"/>
          <w:szCs w:val="24"/>
        </w:rPr>
        <w:t xml:space="preserve"> </w:t>
      </w:r>
      <w:r>
        <w:rPr>
          <w:sz w:val="24"/>
          <w:szCs w:val="24"/>
        </w:rPr>
        <w:t>(n 38)</w:t>
      </w:r>
      <w:r w:rsidRPr="00A84A20">
        <w:rPr>
          <w:sz w:val="24"/>
          <w:szCs w:val="24"/>
        </w:rPr>
        <w:t xml:space="preserve"> 34; and Agamben, </w:t>
      </w:r>
      <w:r w:rsidRPr="00A84A20">
        <w:rPr>
          <w:i/>
          <w:sz w:val="24"/>
          <w:szCs w:val="24"/>
        </w:rPr>
        <w:t>State of Exception</w:t>
      </w:r>
      <w:r>
        <w:rPr>
          <w:sz w:val="24"/>
          <w:szCs w:val="24"/>
        </w:rPr>
        <w:t xml:space="preserve"> (n 38)</w:t>
      </w:r>
      <w:r w:rsidRPr="00A84A20">
        <w:rPr>
          <w:sz w:val="24"/>
          <w:szCs w:val="24"/>
        </w:rPr>
        <w:t xml:space="preserve"> 2. The literature on the United States’ torture regime is far too vast to do justice to here. Notable examples include: Butler, </w:t>
      </w:r>
      <w:r w:rsidRPr="00A84A20">
        <w:rPr>
          <w:i/>
          <w:sz w:val="24"/>
          <w:szCs w:val="24"/>
        </w:rPr>
        <w:t>Precarious Life</w:t>
      </w:r>
      <w:r>
        <w:rPr>
          <w:iCs/>
          <w:sz w:val="24"/>
          <w:szCs w:val="24"/>
        </w:rPr>
        <w:t xml:space="preserve"> (n 38)</w:t>
      </w:r>
      <w:r w:rsidRPr="00A84A20">
        <w:rPr>
          <w:sz w:val="24"/>
          <w:szCs w:val="24"/>
        </w:rPr>
        <w:t>; Slavoj</w:t>
      </w:r>
      <w:r w:rsidRPr="00A84A20">
        <w:rPr>
          <w:rFonts w:eastAsia="MS Mincho"/>
          <w:sz w:val="24"/>
          <w:szCs w:val="24"/>
        </w:rPr>
        <w:t xml:space="preserve"> Ž</w:t>
      </w:r>
      <w:r w:rsidRPr="00A84A20">
        <w:rPr>
          <w:sz w:val="24"/>
          <w:szCs w:val="24"/>
        </w:rPr>
        <w:t>i</w:t>
      </w:r>
      <w:r w:rsidRPr="00A84A20">
        <w:rPr>
          <w:rFonts w:eastAsia="MS Mincho"/>
          <w:sz w:val="24"/>
          <w:szCs w:val="24"/>
        </w:rPr>
        <w:t>ž</w:t>
      </w:r>
      <w:r w:rsidRPr="00A84A20">
        <w:rPr>
          <w:sz w:val="24"/>
          <w:szCs w:val="24"/>
        </w:rPr>
        <w:t xml:space="preserve">ek, </w:t>
      </w:r>
      <w:r>
        <w:rPr>
          <w:sz w:val="24"/>
          <w:szCs w:val="24"/>
        </w:rPr>
        <w:t>‘</w:t>
      </w:r>
      <w:r w:rsidRPr="00A84A20">
        <w:rPr>
          <w:sz w:val="24"/>
          <w:szCs w:val="24"/>
        </w:rPr>
        <w:t>Between Two Deaths: The Culture of Torture</w:t>
      </w:r>
      <w:r>
        <w:rPr>
          <w:sz w:val="24"/>
          <w:szCs w:val="24"/>
        </w:rPr>
        <w:t>’</w:t>
      </w:r>
      <w:r w:rsidRPr="00A84A20">
        <w:rPr>
          <w:sz w:val="24"/>
          <w:szCs w:val="24"/>
        </w:rPr>
        <w:t xml:space="preserve">, </w:t>
      </w:r>
      <w:r w:rsidRPr="00A84A20">
        <w:rPr>
          <w:i/>
          <w:sz w:val="24"/>
          <w:szCs w:val="24"/>
        </w:rPr>
        <w:t>London Review of Books</w:t>
      </w:r>
      <w:r>
        <w:rPr>
          <w:i/>
          <w:sz w:val="24"/>
          <w:szCs w:val="24"/>
        </w:rPr>
        <w:t xml:space="preserve"> </w:t>
      </w:r>
      <w:r>
        <w:rPr>
          <w:iCs/>
          <w:sz w:val="24"/>
          <w:szCs w:val="24"/>
        </w:rPr>
        <w:t>(</w:t>
      </w:r>
      <w:r w:rsidRPr="00A84A20">
        <w:rPr>
          <w:sz w:val="24"/>
          <w:szCs w:val="24"/>
        </w:rPr>
        <w:t>3 June, 2004</w:t>
      </w:r>
      <w:r>
        <w:rPr>
          <w:sz w:val="24"/>
          <w:szCs w:val="24"/>
        </w:rPr>
        <w:t>) &lt;</w:t>
      </w:r>
      <w:hyperlink r:id="rId20" w:history="1">
        <w:r w:rsidRPr="00A84A20">
          <w:rPr>
            <w:rStyle w:val="Hyperlink"/>
            <w:sz w:val="24"/>
            <w:szCs w:val="24"/>
          </w:rPr>
          <w:t>http://www.lacan.com/zizektorture.htm</w:t>
        </w:r>
      </w:hyperlink>
      <w:r w:rsidRPr="008D4EBF">
        <w:rPr>
          <w:rStyle w:val="Hyperlink"/>
          <w:color w:val="auto"/>
          <w:sz w:val="24"/>
          <w:szCs w:val="24"/>
          <w:u w:val="none"/>
        </w:rPr>
        <w:t>&gt;</w:t>
      </w:r>
      <w:r w:rsidRPr="00A84A20">
        <w:rPr>
          <w:sz w:val="24"/>
          <w:szCs w:val="24"/>
        </w:rPr>
        <w:t xml:space="preserve"> accessed </w:t>
      </w:r>
      <w:r>
        <w:rPr>
          <w:sz w:val="24"/>
          <w:szCs w:val="24"/>
        </w:rPr>
        <w:t xml:space="preserve">27 </w:t>
      </w:r>
      <w:r w:rsidRPr="00A84A20">
        <w:rPr>
          <w:sz w:val="24"/>
          <w:szCs w:val="24"/>
        </w:rPr>
        <w:t>May 27</w:t>
      </w:r>
      <w:r>
        <w:rPr>
          <w:sz w:val="24"/>
          <w:szCs w:val="24"/>
        </w:rPr>
        <w:t xml:space="preserve"> </w:t>
      </w:r>
      <w:r w:rsidRPr="00A84A20">
        <w:rPr>
          <w:sz w:val="24"/>
          <w:szCs w:val="24"/>
        </w:rPr>
        <w:t xml:space="preserve">2020; Hazel Carby, </w:t>
      </w:r>
      <w:r>
        <w:rPr>
          <w:sz w:val="24"/>
          <w:szCs w:val="24"/>
        </w:rPr>
        <w:t>‘</w:t>
      </w:r>
      <w:r w:rsidRPr="00A84A20">
        <w:rPr>
          <w:sz w:val="24"/>
          <w:szCs w:val="24"/>
        </w:rPr>
        <w:t>A Strange and Bitter Crop: The Spectacle of Torture</w:t>
      </w:r>
      <w:r>
        <w:rPr>
          <w:sz w:val="24"/>
          <w:szCs w:val="24"/>
        </w:rPr>
        <w:t>’ (</w:t>
      </w:r>
      <w:r w:rsidRPr="00A84A20">
        <w:rPr>
          <w:i/>
          <w:sz w:val="24"/>
          <w:szCs w:val="24"/>
        </w:rPr>
        <w:t>Open Democracy</w:t>
      </w:r>
      <w:r w:rsidRPr="00A84A20">
        <w:rPr>
          <w:sz w:val="24"/>
          <w:szCs w:val="24"/>
        </w:rPr>
        <w:t>, 11 October 2004</w:t>
      </w:r>
      <w:r>
        <w:rPr>
          <w:sz w:val="24"/>
          <w:szCs w:val="24"/>
        </w:rPr>
        <w:t>) &lt;</w:t>
      </w:r>
      <w:hyperlink r:id="rId21" w:history="1">
        <w:r w:rsidRPr="00A84A20">
          <w:rPr>
            <w:rStyle w:val="Hyperlink"/>
            <w:sz w:val="24"/>
            <w:szCs w:val="24"/>
          </w:rPr>
          <w:t>https://www.opendemocracy.net/en/article_2149jsp/</w:t>
        </w:r>
      </w:hyperlink>
      <w:r>
        <w:rPr>
          <w:sz w:val="24"/>
          <w:szCs w:val="24"/>
        </w:rPr>
        <w:t xml:space="preserve">&gt; </w:t>
      </w:r>
      <w:r w:rsidRPr="00A84A20">
        <w:rPr>
          <w:sz w:val="24"/>
          <w:szCs w:val="24"/>
        </w:rPr>
        <w:t xml:space="preserve">accessed </w:t>
      </w:r>
      <w:r>
        <w:rPr>
          <w:sz w:val="24"/>
          <w:szCs w:val="24"/>
        </w:rPr>
        <w:t xml:space="preserve">27 </w:t>
      </w:r>
      <w:r w:rsidRPr="00A84A20">
        <w:rPr>
          <w:sz w:val="24"/>
          <w:szCs w:val="24"/>
        </w:rPr>
        <w:t xml:space="preserve">May 2020); </w:t>
      </w:r>
      <w:r w:rsidRPr="00A84A20">
        <w:rPr>
          <w:color w:val="2A2A2A"/>
          <w:sz w:val="24"/>
          <w:szCs w:val="24"/>
        </w:rPr>
        <w:t xml:space="preserve">Paul W. </w:t>
      </w:r>
      <w:r w:rsidRPr="00C93862">
        <w:rPr>
          <w:sz w:val="24"/>
          <w:szCs w:val="24"/>
        </w:rPr>
        <w:t xml:space="preserve">Kahn, </w:t>
      </w:r>
      <w:r w:rsidRPr="00C93862">
        <w:rPr>
          <w:i/>
          <w:iCs/>
          <w:sz w:val="24"/>
          <w:szCs w:val="24"/>
        </w:rPr>
        <w:t xml:space="preserve">Sacred Violence: Torture, Terror and Sovereignty </w:t>
      </w:r>
      <w:r w:rsidRPr="00C93862">
        <w:rPr>
          <w:sz w:val="24"/>
          <w:szCs w:val="24"/>
        </w:rPr>
        <w:t xml:space="preserve">(Ann Arbor: University of Michigan Press, 2008); Tzvetan Todorov, </w:t>
      </w:r>
      <w:r w:rsidRPr="00C93862">
        <w:rPr>
          <w:i/>
          <w:iCs/>
          <w:sz w:val="24"/>
          <w:szCs w:val="24"/>
        </w:rPr>
        <w:t xml:space="preserve">Torture and the War on Terror </w:t>
      </w:r>
      <w:r w:rsidRPr="00C93862">
        <w:rPr>
          <w:sz w:val="24"/>
          <w:szCs w:val="24"/>
        </w:rPr>
        <w:t xml:space="preserve">(London: Seagull, 2009); and </w:t>
      </w:r>
      <w:r w:rsidRPr="00C93862">
        <w:rPr>
          <w:rFonts w:eastAsia="Arial Unicode MS"/>
          <w:sz w:val="24"/>
          <w:szCs w:val="24"/>
          <w:shd w:val="clear" w:color="auto" w:fill="FFFFFF"/>
        </w:rPr>
        <w:t>United States and Dianne Feinstein, </w:t>
      </w:r>
      <w:r w:rsidRPr="00C93862">
        <w:rPr>
          <w:rFonts w:eastAsia="Arial Unicode MS"/>
          <w:i/>
          <w:iCs/>
          <w:sz w:val="24"/>
          <w:szCs w:val="24"/>
          <w:shd w:val="clear" w:color="auto" w:fill="FFFFFF"/>
        </w:rPr>
        <w:t xml:space="preserve">The Senate Intelligence Committee Report on Torture: </w:t>
      </w:r>
      <w:r w:rsidRPr="00A84A20">
        <w:rPr>
          <w:rFonts w:eastAsia="Arial Unicode MS"/>
          <w:i/>
          <w:iCs/>
          <w:color w:val="000000"/>
          <w:sz w:val="24"/>
          <w:szCs w:val="24"/>
          <w:shd w:val="clear" w:color="auto" w:fill="FFFFFF"/>
        </w:rPr>
        <w:t>Committee Study of the Central Intelligence Agency's Detention and Interrogation Program</w:t>
      </w:r>
      <w:r w:rsidRPr="00A84A20">
        <w:rPr>
          <w:rFonts w:eastAsia="Arial Unicode MS"/>
          <w:color w:val="000000"/>
          <w:sz w:val="24"/>
          <w:szCs w:val="24"/>
          <w:shd w:val="clear" w:color="auto" w:fill="FFFFFF"/>
        </w:rPr>
        <w:t xml:space="preserve"> (2014)</w:t>
      </w:r>
      <w:r>
        <w:rPr>
          <w:rFonts w:eastAsia="Arial Unicode MS"/>
          <w:color w:val="000000"/>
          <w:sz w:val="24"/>
          <w:szCs w:val="24"/>
          <w:shd w:val="clear" w:color="auto" w:fill="FFFFFF"/>
        </w:rPr>
        <w:t xml:space="preserve"> &lt;</w:t>
      </w:r>
      <w:hyperlink r:id="rId22" w:history="1">
        <w:r w:rsidRPr="00CB4094">
          <w:rPr>
            <w:rStyle w:val="Hyperlink"/>
            <w:sz w:val="24"/>
            <w:szCs w:val="24"/>
          </w:rPr>
          <w:t>https://www.intelligence.senate.gov/sites/default/files/publications/CRPT-113srpt288.pdf</w:t>
        </w:r>
      </w:hyperlink>
      <w:r>
        <w:rPr>
          <w:rStyle w:val="Hyperlink"/>
          <w:sz w:val="24"/>
          <w:szCs w:val="24"/>
        </w:rPr>
        <w:t>&gt;</w:t>
      </w:r>
      <w:r w:rsidRPr="00A84A20">
        <w:rPr>
          <w:sz w:val="24"/>
          <w:szCs w:val="24"/>
        </w:rPr>
        <w:t xml:space="preserve"> accessed </w:t>
      </w:r>
      <w:r>
        <w:rPr>
          <w:sz w:val="24"/>
          <w:szCs w:val="24"/>
        </w:rPr>
        <w:t xml:space="preserve">27 </w:t>
      </w:r>
      <w:r w:rsidRPr="00A84A20">
        <w:rPr>
          <w:sz w:val="24"/>
          <w:szCs w:val="24"/>
        </w:rPr>
        <w:t>May 2020.</w:t>
      </w:r>
    </w:p>
  </w:footnote>
  <w:footnote w:id="40">
    <w:p w14:paraId="4D0DFB44" w14:textId="77777777" w:rsidR="00997966" w:rsidRPr="00A84A20" w:rsidRDefault="00997966" w:rsidP="00997966">
      <w:pPr>
        <w:pStyle w:val="FootnoteText"/>
        <w:spacing w:line="480" w:lineRule="auto"/>
        <w:contextualSpacing/>
        <w:rPr>
          <w:b/>
          <w:bCs/>
          <w:sz w:val="24"/>
          <w:szCs w:val="24"/>
        </w:rPr>
      </w:pPr>
      <w:r w:rsidRPr="00A84A20">
        <w:rPr>
          <w:rStyle w:val="FootnoteReference"/>
          <w:sz w:val="24"/>
          <w:szCs w:val="24"/>
        </w:rPr>
        <w:footnoteRef/>
      </w:r>
      <w:r w:rsidRPr="00A84A20">
        <w:rPr>
          <w:sz w:val="24"/>
          <w:szCs w:val="24"/>
        </w:rPr>
        <w:t xml:space="preserve"> Caroline Elkins, </w:t>
      </w:r>
      <w:r>
        <w:rPr>
          <w:sz w:val="24"/>
          <w:szCs w:val="24"/>
        </w:rPr>
        <w:t>‘</w:t>
      </w:r>
      <w:r w:rsidRPr="00A84A20">
        <w:rPr>
          <w:sz w:val="24"/>
          <w:szCs w:val="24"/>
        </w:rPr>
        <w:t xml:space="preserve">The </w:t>
      </w:r>
      <w:r>
        <w:rPr>
          <w:sz w:val="24"/>
          <w:szCs w:val="24"/>
        </w:rPr>
        <w:t>“</w:t>
      </w:r>
      <w:r w:rsidRPr="00A84A20">
        <w:rPr>
          <w:sz w:val="24"/>
          <w:szCs w:val="24"/>
        </w:rPr>
        <w:t>Moral Effect</w:t>
      </w:r>
      <w:r>
        <w:rPr>
          <w:sz w:val="24"/>
          <w:szCs w:val="24"/>
        </w:rPr>
        <w:t>”</w:t>
      </w:r>
      <w:r w:rsidRPr="00A84A20">
        <w:rPr>
          <w:sz w:val="24"/>
          <w:szCs w:val="24"/>
        </w:rPr>
        <w:t xml:space="preserve"> of Legalized Lawlessness: Violence in Britain’s Twentieth</w:t>
      </w:r>
      <w:r>
        <w:rPr>
          <w:sz w:val="24"/>
          <w:szCs w:val="24"/>
        </w:rPr>
        <w:t>-</w:t>
      </w:r>
      <w:r w:rsidRPr="00A84A20">
        <w:rPr>
          <w:sz w:val="24"/>
          <w:szCs w:val="24"/>
        </w:rPr>
        <w:t>Century Empire</w:t>
      </w:r>
      <w:r>
        <w:rPr>
          <w:sz w:val="24"/>
          <w:szCs w:val="24"/>
        </w:rPr>
        <w:t>’</w:t>
      </w:r>
      <w:r w:rsidRPr="00A84A20">
        <w:rPr>
          <w:sz w:val="24"/>
          <w:szCs w:val="24"/>
        </w:rPr>
        <w:t xml:space="preserve">, </w:t>
      </w:r>
      <w:r w:rsidRPr="00A84A20">
        <w:rPr>
          <w:i/>
          <w:sz w:val="24"/>
          <w:szCs w:val="24"/>
        </w:rPr>
        <w:t>Historical Reflections</w:t>
      </w:r>
      <w:r w:rsidRPr="00A84A20">
        <w:rPr>
          <w:sz w:val="24"/>
          <w:szCs w:val="24"/>
        </w:rPr>
        <w:t xml:space="preserve"> 44</w:t>
      </w:r>
      <w:r>
        <w:rPr>
          <w:sz w:val="24"/>
          <w:szCs w:val="24"/>
        </w:rPr>
        <w:t xml:space="preserve">/1 </w:t>
      </w:r>
      <w:r w:rsidRPr="00A84A20">
        <w:rPr>
          <w:sz w:val="24"/>
          <w:szCs w:val="24"/>
        </w:rPr>
        <w:t xml:space="preserve">(2018), 79; and </w:t>
      </w:r>
      <w:r w:rsidRPr="00C93862">
        <w:rPr>
          <w:sz w:val="24"/>
          <w:szCs w:val="24"/>
        </w:rPr>
        <w:t xml:space="preserve">Blakely and Raphael, </w:t>
      </w:r>
      <w:r>
        <w:rPr>
          <w:sz w:val="24"/>
          <w:szCs w:val="24"/>
        </w:rPr>
        <w:t>‘</w:t>
      </w:r>
      <w:r w:rsidRPr="00C93862">
        <w:rPr>
          <w:sz w:val="24"/>
          <w:szCs w:val="24"/>
        </w:rPr>
        <w:t>British Torture</w:t>
      </w:r>
      <w:r>
        <w:rPr>
          <w:sz w:val="24"/>
          <w:szCs w:val="24"/>
        </w:rPr>
        <w:t>’ (n 38)</w:t>
      </w:r>
      <w:r w:rsidRPr="00C93862">
        <w:rPr>
          <w:sz w:val="24"/>
          <w:szCs w:val="24"/>
        </w:rPr>
        <w:t xml:space="preserve"> 244, 250. See also Sir P</w:t>
      </w:r>
      <w:r>
        <w:rPr>
          <w:sz w:val="24"/>
          <w:szCs w:val="24"/>
        </w:rPr>
        <w:t>eter</w:t>
      </w:r>
      <w:r w:rsidRPr="00C93862">
        <w:rPr>
          <w:sz w:val="24"/>
          <w:szCs w:val="24"/>
        </w:rPr>
        <w:t xml:space="preserve"> Gibson, </w:t>
      </w:r>
      <w:r w:rsidRPr="00C93862">
        <w:rPr>
          <w:i/>
          <w:iCs/>
          <w:sz w:val="24"/>
          <w:szCs w:val="24"/>
        </w:rPr>
        <w:t>The Report of the Detainee Inquiry</w:t>
      </w:r>
      <w:r>
        <w:rPr>
          <w:sz w:val="24"/>
          <w:szCs w:val="24"/>
        </w:rPr>
        <w:t xml:space="preserve"> (London: The Stationery Office, </w:t>
      </w:r>
      <w:r w:rsidRPr="00C93862">
        <w:rPr>
          <w:sz w:val="24"/>
          <w:szCs w:val="24"/>
        </w:rPr>
        <w:t>2013</w:t>
      </w:r>
      <w:r>
        <w:rPr>
          <w:sz w:val="24"/>
          <w:szCs w:val="24"/>
        </w:rPr>
        <w:t xml:space="preserve">); </w:t>
      </w:r>
      <w:r w:rsidRPr="00A84A20">
        <w:rPr>
          <w:sz w:val="24"/>
          <w:szCs w:val="24"/>
        </w:rPr>
        <w:t xml:space="preserve">and </w:t>
      </w:r>
      <w:r w:rsidRPr="00A84A20">
        <w:rPr>
          <w:color w:val="000000"/>
          <w:sz w:val="24"/>
          <w:szCs w:val="24"/>
        </w:rPr>
        <w:t xml:space="preserve">Banham, </w:t>
      </w:r>
      <w:r w:rsidRPr="00A84A20">
        <w:rPr>
          <w:i/>
          <w:iCs/>
          <w:color w:val="000000"/>
          <w:sz w:val="24"/>
          <w:szCs w:val="24"/>
        </w:rPr>
        <w:t>Liberal Democracies</w:t>
      </w:r>
      <w:r>
        <w:rPr>
          <w:i/>
          <w:iCs/>
          <w:color w:val="000000"/>
          <w:sz w:val="24"/>
          <w:szCs w:val="24"/>
        </w:rPr>
        <w:t xml:space="preserve"> </w:t>
      </w:r>
      <w:r>
        <w:rPr>
          <w:color w:val="000000"/>
          <w:sz w:val="24"/>
          <w:szCs w:val="24"/>
        </w:rPr>
        <w:t>(n 19)</w:t>
      </w:r>
      <w:r w:rsidRPr="00A84A20">
        <w:rPr>
          <w:i/>
          <w:iCs/>
          <w:color w:val="000000"/>
          <w:sz w:val="24"/>
          <w:szCs w:val="24"/>
        </w:rPr>
        <w:t xml:space="preserve"> </w:t>
      </w:r>
      <w:r w:rsidRPr="00A84A20">
        <w:rPr>
          <w:color w:val="000000"/>
          <w:sz w:val="24"/>
          <w:szCs w:val="24"/>
        </w:rPr>
        <w:t>Ch. 6</w:t>
      </w:r>
      <w:r w:rsidRPr="00A84A20">
        <w:rPr>
          <w:sz w:val="24"/>
          <w:szCs w:val="24"/>
        </w:rPr>
        <w:t>. For works on Britain’s role in the extradition, interrogation</w:t>
      </w:r>
      <w:r>
        <w:rPr>
          <w:sz w:val="24"/>
          <w:szCs w:val="24"/>
        </w:rPr>
        <w:t>,</w:t>
      </w:r>
      <w:r w:rsidRPr="00A84A20">
        <w:rPr>
          <w:sz w:val="24"/>
          <w:szCs w:val="24"/>
        </w:rPr>
        <w:t xml:space="preserve"> and torture of individuals who were classified not as </w:t>
      </w:r>
      <w:r>
        <w:rPr>
          <w:sz w:val="24"/>
          <w:szCs w:val="24"/>
        </w:rPr>
        <w:t>‘</w:t>
      </w:r>
      <w:r w:rsidRPr="00A84A20">
        <w:rPr>
          <w:sz w:val="24"/>
          <w:szCs w:val="24"/>
        </w:rPr>
        <w:t>accused</w:t>
      </w:r>
      <w:r>
        <w:rPr>
          <w:sz w:val="24"/>
          <w:szCs w:val="24"/>
        </w:rPr>
        <w:t>’</w:t>
      </w:r>
      <w:r w:rsidRPr="00A84A20">
        <w:rPr>
          <w:sz w:val="24"/>
          <w:szCs w:val="24"/>
        </w:rPr>
        <w:t xml:space="preserve"> or </w:t>
      </w:r>
      <w:r>
        <w:rPr>
          <w:sz w:val="24"/>
          <w:szCs w:val="24"/>
        </w:rPr>
        <w:t>‘</w:t>
      </w:r>
      <w:r w:rsidRPr="00A84A20">
        <w:rPr>
          <w:sz w:val="24"/>
          <w:szCs w:val="24"/>
        </w:rPr>
        <w:t>enemy combatants</w:t>
      </w:r>
      <w:r>
        <w:rPr>
          <w:sz w:val="24"/>
          <w:szCs w:val="24"/>
        </w:rPr>
        <w:t>’</w:t>
      </w:r>
      <w:r w:rsidRPr="00A84A20">
        <w:rPr>
          <w:sz w:val="24"/>
          <w:szCs w:val="24"/>
        </w:rPr>
        <w:t xml:space="preserve"> but </w:t>
      </w:r>
      <w:r>
        <w:rPr>
          <w:sz w:val="24"/>
          <w:szCs w:val="24"/>
        </w:rPr>
        <w:t>‘</w:t>
      </w:r>
      <w:r w:rsidRPr="00A84A20">
        <w:rPr>
          <w:sz w:val="24"/>
          <w:szCs w:val="24"/>
        </w:rPr>
        <w:t>detainees</w:t>
      </w:r>
      <w:r>
        <w:rPr>
          <w:sz w:val="24"/>
          <w:szCs w:val="24"/>
        </w:rPr>
        <w:t>’</w:t>
      </w:r>
      <w:r w:rsidRPr="00A84A20">
        <w:rPr>
          <w:sz w:val="24"/>
          <w:szCs w:val="24"/>
        </w:rPr>
        <w:t xml:space="preserve"> (see Agamben, </w:t>
      </w:r>
      <w:r w:rsidRPr="00A84A20">
        <w:rPr>
          <w:i/>
          <w:sz w:val="24"/>
          <w:szCs w:val="24"/>
        </w:rPr>
        <w:t>State of Exception</w:t>
      </w:r>
      <w:r>
        <w:rPr>
          <w:sz w:val="24"/>
          <w:szCs w:val="24"/>
        </w:rPr>
        <w:t xml:space="preserve"> (n 38) </w:t>
      </w:r>
      <w:r w:rsidRPr="00A84A20">
        <w:rPr>
          <w:sz w:val="24"/>
          <w:szCs w:val="24"/>
        </w:rPr>
        <w:t xml:space="preserve">4, for the significance of this term), as well as use of information obtained through torture, see, for example, </w:t>
      </w:r>
      <w:r w:rsidRPr="00A84A20">
        <w:rPr>
          <w:color w:val="000000"/>
          <w:sz w:val="24"/>
          <w:szCs w:val="24"/>
        </w:rPr>
        <w:t xml:space="preserve">Alex Danchev, </w:t>
      </w:r>
      <w:r>
        <w:rPr>
          <w:color w:val="000000"/>
          <w:sz w:val="24"/>
          <w:szCs w:val="24"/>
        </w:rPr>
        <w:t>‘</w:t>
      </w:r>
      <w:bookmarkStart w:id="7" w:name="citation"/>
      <w:r w:rsidRPr="00A84A20">
        <w:rPr>
          <w:color w:val="333333"/>
          <w:sz w:val="24"/>
          <w:szCs w:val="24"/>
          <w:bdr w:val="none" w:sz="0" w:space="0" w:color="auto" w:frame="1"/>
        </w:rPr>
        <w:t xml:space="preserve">Accomplicity: Britain, Torture and </w:t>
      </w:r>
      <w:r w:rsidRPr="00A84A20">
        <w:rPr>
          <w:sz w:val="24"/>
          <w:szCs w:val="24"/>
          <w:bdr w:val="none" w:sz="0" w:space="0" w:color="auto" w:frame="1"/>
        </w:rPr>
        <w:t>Terror</w:t>
      </w:r>
      <w:r>
        <w:rPr>
          <w:sz w:val="24"/>
          <w:szCs w:val="24"/>
          <w:bdr w:val="none" w:sz="0" w:space="0" w:color="auto" w:frame="1"/>
        </w:rPr>
        <w:t>’</w:t>
      </w:r>
      <w:r w:rsidRPr="00A84A20">
        <w:rPr>
          <w:sz w:val="24"/>
          <w:szCs w:val="24"/>
          <w:bdr w:val="none" w:sz="0" w:space="0" w:color="auto" w:frame="1"/>
        </w:rPr>
        <w:t xml:space="preserve">, </w:t>
      </w:r>
      <w:r w:rsidRPr="00A84A20">
        <w:rPr>
          <w:i/>
          <w:iCs/>
          <w:sz w:val="24"/>
          <w:szCs w:val="24"/>
          <w:bdr w:val="none" w:sz="0" w:space="0" w:color="auto" w:frame="1"/>
        </w:rPr>
        <w:t xml:space="preserve">British Journal of Politics &amp; International Relations </w:t>
      </w:r>
      <w:r w:rsidRPr="00A84A20">
        <w:rPr>
          <w:sz w:val="24"/>
          <w:szCs w:val="24"/>
          <w:bdr w:val="none" w:sz="0" w:space="0" w:color="auto" w:frame="1"/>
        </w:rPr>
        <w:t>8</w:t>
      </w:r>
      <w:r>
        <w:rPr>
          <w:sz w:val="24"/>
          <w:szCs w:val="24"/>
          <w:bdr w:val="none" w:sz="0" w:space="0" w:color="auto" w:frame="1"/>
        </w:rPr>
        <w:t>/</w:t>
      </w:r>
      <w:r w:rsidRPr="00A84A20">
        <w:rPr>
          <w:sz w:val="24"/>
          <w:szCs w:val="24"/>
          <w:bdr w:val="none" w:sz="0" w:space="0" w:color="auto" w:frame="1"/>
        </w:rPr>
        <w:t>4 (2006)</w:t>
      </w:r>
      <w:r>
        <w:rPr>
          <w:sz w:val="24"/>
          <w:szCs w:val="24"/>
          <w:bdr w:val="none" w:sz="0" w:space="0" w:color="auto" w:frame="1"/>
        </w:rPr>
        <w:t>,</w:t>
      </w:r>
      <w:r w:rsidRPr="00A84A20">
        <w:rPr>
          <w:sz w:val="24"/>
          <w:szCs w:val="24"/>
          <w:bdr w:val="none" w:sz="0" w:space="0" w:color="auto" w:frame="1"/>
        </w:rPr>
        <w:t xml:space="preserve"> 587</w:t>
      </w:r>
      <w:r>
        <w:rPr>
          <w:sz w:val="24"/>
          <w:szCs w:val="24"/>
          <w:bdr w:val="none" w:sz="0" w:space="0" w:color="auto" w:frame="1"/>
        </w:rPr>
        <w:t>-</w:t>
      </w:r>
      <w:r w:rsidRPr="00A84A20">
        <w:rPr>
          <w:sz w:val="24"/>
          <w:szCs w:val="24"/>
          <w:bdr w:val="none" w:sz="0" w:space="0" w:color="auto" w:frame="1"/>
        </w:rPr>
        <w:t>601;</w:t>
      </w:r>
      <w:r w:rsidRPr="00A84A20">
        <w:rPr>
          <w:b/>
          <w:bCs/>
          <w:sz w:val="24"/>
          <w:szCs w:val="24"/>
          <w:bdr w:val="none" w:sz="0" w:space="0" w:color="auto" w:frame="1"/>
        </w:rPr>
        <w:t xml:space="preserve"> </w:t>
      </w:r>
      <w:r w:rsidRPr="00A84A20">
        <w:rPr>
          <w:sz w:val="24"/>
          <w:szCs w:val="24"/>
        </w:rPr>
        <w:t xml:space="preserve">Phillip </w:t>
      </w:r>
      <w:r w:rsidRPr="00A84A20">
        <w:rPr>
          <w:color w:val="000000"/>
          <w:sz w:val="24"/>
          <w:szCs w:val="24"/>
        </w:rPr>
        <w:t xml:space="preserve">N. S. Rumney, </w:t>
      </w:r>
      <w:r>
        <w:rPr>
          <w:color w:val="000000"/>
          <w:sz w:val="24"/>
          <w:szCs w:val="24"/>
        </w:rPr>
        <w:t>‘</w:t>
      </w:r>
      <w:r w:rsidRPr="00A84A20">
        <w:rPr>
          <w:color w:val="000000"/>
          <w:sz w:val="24"/>
          <w:szCs w:val="24"/>
        </w:rPr>
        <w:t xml:space="preserve">The Torture Debate: A Perspective </w:t>
      </w:r>
      <w:r>
        <w:rPr>
          <w:color w:val="000000"/>
          <w:sz w:val="24"/>
          <w:szCs w:val="24"/>
        </w:rPr>
        <w:t>F</w:t>
      </w:r>
      <w:r w:rsidRPr="00A84A20">
        <w:rPr>
          <w:color w:val="000000"/>
          <w:sz w:val="24"/>
          <w:szCs w:val="24"/>
        </w:rPr>
        <w:t>rom the United Kingdom</w:t>
      </w:r>
      <w:r>
        <w:rPr>
          <w:color w:val="000000"/>
          <w:sz w:val="24"/>
          <w:szCs w:val="24"/>
        </w:rPr>
        <w:t>’</w:t>
      </w:r>
      <w:r w:rsidRPr="00A84A20">
        <w:rPr>
          <w:color w:val="000000"/>
          <w:sz w:val="24"/>
          <w:szCs w:val="24"/>
        </w:rPr>
        <w:t>, in Jon Moran and Mark Phythian</w:t>
      </w:r>
      <w:r>
        <w:rPr>
          <w:color w:val="000000"/>
          <w:sz w:val="24"/>
          <w:szCs w:val="24"/>
        </w:rPr>
        <w:t xml:space="preserve"> (eds)</w:t>
      </w:r>
      <w:r w:rsidRPr="00A84A20">
        <w:rPr>
          <w:color w:val="000000"/>
          <w:sz w:val="24"/>
          <w:szCs w:val="24"/>
        </w:rPr>
        <w:t xml:space="preserve">, </w:t>
      </w:r>
      <w:r w:rsidRPr="00A84A20">
        <w:rPr>
          <w:i/>
          <w:iCs/>
          <w:color w:val="000000"/>
          <w:sz w:val="24"/>
          <w:szCs w:val="24"/>
        </w:rPr>
        <w:t>Intelligence, Security and Policing Post</w:t>
      </w:r>
      <w:r>
        <w:rPr>
          <w:i/>
          <w:iCs/>
          <w:color w:val="000000"/>
          <w:sz w:val="24"/>
          <w:szCs w:val="24"/>
        </w:rPr>
        <w:t>-</w:t>
      </w:r>
      <w:r w:rsidRPr="00A84A20">
        <w:rPr>
          <w:i/>
          <w:iCs/>
          <w:color w:val="000000"/>
          <w:sz w:val="24"/>
          <w:szCs w:val="24"/>
        </w:rPr>
        <w:t xml:space="preserve">9/11 </w:t>
      </w:r>
      <w:r w:rsidRPr="00A84A20">
        <w:rPr>
          <w:color w:val="000000"/>
          <w:sz w:val="24"/>
          <w:szCs w:val="24"/>
        </w:rPr>
        <w:t>(Houndmills, HA: Palgrave Macmillan 2008), 135</w:t>
      </w:r>
      <w:r>
        <w:rPr>
          <w:color w:val="000000"/>
          <w:sz w:val="24"/>
          <w:szCs w:val="24"/>
        </w:rPr>
        <w:t>-</w:t>
      </w:r>
      <w:r w:rsidRPr="00A84A20">
        <w:rPr>
          <w:color w:val="000000"/>
          <w:sz w:val="24"/>
          <w:szCs w:val="24"/>
        </w:rPr>
        <w:t xml:space="preserve">158; Mark Elliott, </w:t>
      </w:r>
      <w:r>
        <w:rPr>
          <w:color w:val="000000"/>
          <w:sz w:val="24"/>
          <w:szCs w:val="24"/>
        </w:rPr>
        <w:t>‘</w:t>
      </w:r>
      <w:r w:rsidRPr="00A84A20">
        <w:rPr>
          <w:color w:val="000000"/>
          <w:sz w:val="24"/>
          <w:szCs w:val="24"/>
        </w:rPr>
        <w:t>Torture, Deportation and Extra</w:t>
      </w:r>
      <w:r>
        <w:rPr>
          <w:color w:val="000000"/>
          <w:sz w:val="24"/>
          <w:szCs w:val="24"/>
        </w:rPr>
        <w:t>-</w:t>
      </w:r>
      <w:r w:rsidRPr="00A84A20">
        <w:rPr>
          <w:color w:val="000000"/>
          <w:sz w:val="24"/>
          <w:szCs w:val="24"/>
        </w:rPr>
        <w:t xml:space="preserve">Judicial Detention: Instruments of </w:t>
      </w:r>
      <w:r>
        <w:rPr>
          <w:color w:val="000000"/>
          <w:sz w:val="24"/>
          <w:szCs w:val="24"/>
        </w:rPr>
        <w:t>“</w:t>
      </w:r>
      <w:r w:rsidRPr="00A84A20">
        <w:rPr>
          <w:color w:val="000000"/>
          <w:sz w:val="24"/>
          <w:szCs w:val="24"/>
        </w:rPr>
        <w:t>The War on Terror</w:t>
      </w:r>
      <w:r>
        <w:rPr>
          <w:color w:val="000000"/>
          <w:sz w:val="24"/>
          <w:szCs w:val="24"/>
        </w:rPr>
        <w:t>”’</w:t>
      </w:r>
      <w:r w:rsidRPr="00A84A20">
        <w:rPr>
          <w:color w:val="000000"/>
          <w:sz w:val="24"/>
          <w:szCs w:val="24"/>
        </w:rPr>
        <w:t xml:space="preserve">, </w:t>
      </w:r>
      <w:r w:rsidRPr="00A84A20">
        <w:rPr>
          <w:i/>
          <w:iCs/>
          <w:color w:val="000000"/>
          <w:sz w:val="24"/>
          <w:szCs w:val="24"/>
        </w:rPr>
        <w:t xml:space="preserve">Cambridge Law Journal </w:t>
      </w:r>
      <w:r w:rsidRPr="00A84A20">
        <w:rPr>
          <w:color w:val="000000"/>
          <w:sz w:val="24"/>
          <w:szCs w:val="24"/>
        </w:rPr>
        <w:t>62</w:t>
      </w:r>
      <w:r>
        <w:rPr>
          <w:color w:val="000000"/>
          <w:sz w:val="24"/>
          <w:szCs w:val="24"/>
        </w:rPr>
        <w:t>/</w:t>
      </w:r>
      <w:r w:rsidRPr="00A84A20">
        <w:rPr>
          <w:color w:val="000000"/>
          <w:sz w:val="24"/>
          <w:szCs w:val="24"/>
        </w:rPr>
        <w:t>2 (2009)</w:t>
      </w:r>
      <w:r>
        <w:rPr>
          <w:color w:val="000000"/>
          <w:sz w:val="24"/>
          <w:szCs w:val="24"/>
        </w:rPr>
        <w:t>,</w:t>
      </w:r>
      <w:r w:rsidRPr="00A84A20">
        <w:rPr>
          <w:color w:val="000000"/>
          <w:sz w:val="24"/>
          <w:szCs w:val="24"/>
        </w:rPr>
        <w:t xml:space="preserve"> 245</w:t>
      </w:r>
      <w:r>
        <w:rPr>
          <w:color w:val="000000"/>
          <w:sz w:val="24"/>
          <w:szCs w:val="24"/>
        </w:rPr>
        <w:t>-</w:t>
      </w:r>
      <w:r w:rsidRPr="00A84A20">
        <w:rPr>
          <w:color w:val="000000"/>
          <w:sz w:val="24"/>
          <w:szCs w:val="24"/>
        </w:rPr>
        <w:t xml:space="preserve">248; Jamie Gaskarth, </w:t>
      </w:r>
      <w:r>
        <w:rPr>
          <w:color w:val="000000"/>
          <w:sz w:val="24"/>
          <w:szCs w:val="24"/>
        </w:rPr>
        <w:t>‘</w:t>
      </w:r>
      <w:r w:rsidRPr="00A84A20">
        <w:rPr>
          <w:color w:val="000000"/>
          <w:sz w:val="24"/>
          <w:szCs w:val="24"/>
        </w:rPr>
        <w:t>Entangling Alliances? The UK’s Complicity in Torture in the Global War on Terrorism</w:t>
      </w:r>
      <w:r>
        <w:rPr>
          <w:color w:val="000000"/>
          <w:sz w:val="24"/>
          <w:szCs w:val="24"/>
        </w:rPr>
        <w:t>’</w:t>
      </w:r>
      <w:r w:rsidRPr="00A84A20">
        <w:rPr>
          <w:color w:val="000000"/>
          <w:sz w:val="24"/>
          <w:szCs w:val="24"/>
        </w:rPr>
        <w:t xml:space="preserve">, </w:t>
      </w:r>
      <w:r w:rsidRPr="00A84A20">
        <w:rPr>
          <w:i/>
          <w:iCs/>
          <w:sz w:val="24"/>
          <w:szCs w:val="24"/>
        </w:rPr>
        <w:t>International Affairs</w:t>
      </w:r>
      <w:r w:rsidRPr="00A84A20">
        <w:rPr>
          <w:sz w:val="24"/>
          <w:szCs w:val="24"/>
        </w:rPr>
        <w:t xml:space="preserve"> 87</w:t>
      </w:r>
      <w:r>
        <w:rPr>
          <w:sz w:val="24"/>
          <w:szCs w:val="24"/>
        </w:rPr>
        <w:t>/</w:t>
      </w:r>
      <w:r w:rsidRPr="00A84A20">
        <w:rPr>
          <w:sz w:val="24"/>
          <w:szCs w:val="24"/>
        </w:rPr>
        <w:t>4 (2011)</w:t>
      </w:r>
      <w:r>
        <w:rPr>
          <w:sz w:val="24"/>
          <w:szCs w:val="24"/>
        </w:rPr>
        <w:t>,</w:t>
      </w:r>
      <w:r w:rsidRPr="00A84A20">
        <w:rPr>
          <w:sz w:val="24"/>
          <w:szCs w:val="24"/>
        </w:rPr>
        <w:t xml:space="preserve"> 945</w:t>
      </w:r>
      <w:r>
        <w:rPr>
          <w:sz w:val="24"/>
          <w:szCs w:val="24"/>
        </w:rPr>
        <w:t>-</w:t>
      </w:r>
      <w:r w:rsidRPr="00A84A20">
        <w:rPr>
          <w:sz w:val="24"/>
          <w:szCs w:val="24"/>
        </w:rPr>
        <w:t>64</w:t>
      </w:r>
      <w:bookmarkEnd w:id="7"/>
      <w:r w:rsidRPr="00A84A20">
        <w:rPr>
          <w:sz w:val="24"/>
          <w:szCs w:val="24"/>
        </w:rPr>
        <w:t>; Roger Gough, Stuart McCracken</w:t>
      </w:r>
      <w:r>
        <w:rPr>
          <w:sz w:val="24"/>
          <w:szCs w:val="24"/>
        </w:rPr>
        <w:t>,</w:t>
      </w:r>
      <w:r w:rsidRPr="00A84A20">
        <w:rPr>
          <w:sz w:val="24"/>
          <w:szCs w:val="24"/>
        </w:rPr>
        <w:t xml:space="preserve"> and Andrew Tyrie, </w:t>
      </w:r>
      <w:r w:rsidRPr="00A84A20">
        <w:rPr>
          <w:i/>
          <w:iCs/>
          <w:sz w:val="24"/>
          <w:szCs w:val="24"/>
        </w:rPr>
        <w:t xml:space="preserve">Account Rendered: Extraordinary Rendition and Britain’s Role </w:t>
      </w:r>
      <w:r w:rsidRPr="00A84A20">
        <w:rPr>
          <w:sz w:val="24"/>
          <w:szCs w:val="24"/>
        </w:rPr>
        <w:t>(</w:t>
      </w:r>
      <w:r w:rsidRPr="00A84A20">
        <w:rPr>
          <w:sz w:val="24"/>
          <w:szCs w:val="24"/>
          <w:shd w:val="clear" w:color="auto" w:fill="FBFBF9"/>
        </w:rPr>
        <w:t xml:space="preserve">London: Biteback Pub. 2011); </w:t>
      </w:r>
      <w:r w:rsidRPr="00A84A20">
        <w:rPr>
          <w:sz w:val="24"/>
          <w:szCs w:val="24"/>
        </w:rPr>
        <w:t xml:space="preserve">Kelly, </w:t>
      </w:r>
      <w:r w:rsidRPr="00A84A20">
        <w:rPr>
          <w:i/>
          <w:iCs/>
          <w:sz w:val="24"/>
          <w:szCs w:val="24"/>
        </w:rPr>
        <w:t>This Side of Silence</w:t>
      </w:r>
      <w:r>
        <w:rPr>
          <w:i/>
          <w:iCs/>
          <w:sz w:val="24"/>
          <w:szCs w:val="24"/>
        </w:rPr>
        <w:t xml:space="preserve"> </w:t>
      </w:r>
      <w:r>
        <w:rPr>
          <w:sz w:val="24"/>
          <w:szCs w:val="24"/>
        </w:rPr>
        <w:t>(n 19)</w:t>
      </w:r>
      <w:r w:rsidRPr="00A84A20">
        <w:rPr>
          <w:sz w:val="24"/>
          <w:szCs w:val="24"/>
        </w:rPr>
        <w:t xml:space="preserve">; Cobain, </w:t>
      </w:r>
      <w:r w:rsidRPr="00A84A20">
        <w:rPr>
          <w:i/>
          <w:iCs/>
          <w:sz w:val="24"/>
          <w:szCs w:val="24"/>
        </w:rPr>
        <w:t>Cruel Britannia</w:t>
      </w:r>
      <w:r>
        <w:rPr>
          <w:i/>
          <w:iCs/>
          <w:sz w:val="24"/>
          <w:szCs w:val="24"/>
        </w:rPr>
        <w:t xml:space="preserve"> </w:t>
      </w:r>
      <w:r>
        <w:rPr>
          <w:sz w:val="24"/>
          <w:szCs w:val="24"/>
        </w:rPr>
        <w:t>(n 19)</w:t>
      </w:r>
      <w:r w:rsidRPr="00A84A20">
        <w:rPr>
          <w:sz w:val="24"/>
          <w:szCs w:val="24"/>
        </w:rPr>
        <w:t xml:space="preserve">; A. T. Williams, </w:t>
      </w:r>
      <w:r w:rsidRPr="00A84A20">
        <w:rPr>
          <w:i/>
          <w:iCs/>
          <w:sz w:val="24"/>
          <w:szCs w:val="24"/>
        </w:rPr>
        <w:t xml:space="preserve">A Very British Killing: The Death of Baha Mousa </w:t>
      </w:r>
      <w:r w:rsidRPr="00A84A20">
        <w:rPr>
          <w:sz w:val="24"/>
          <w:szCs w:val="24"/>
        </w:rPr>
        <w:t xml:space="preserve">(London: Jonathan Cape 2013); Vian Bakir, </w:t>
      </w:r>
      <w:r w:rsidRPr="00A84A20">
        <w:rPr>
          <w:i/>
          <w:iCs/>
          <w:sz w:val="24"/>
          <w:szCs w:val="24"/>
        </w:rPr>
        <w:t xml:space="preserve">Torture, Intelligence and Sousveillance in the </w:t>
      </w:r>
      <w:r w:rsidRPr="00A84A20">
        <w:rPr>
          <w:i/>
          <w:iCs/>
          <w:color w:val="000000"/>
          <w:sz w:val="24"/>
          <w:szCs w:val="24"/>
        </w:rPr>
        <w:t>War on Terror: Agenda</w:t>
      </w:r>
      <w:r>
        <w:rPr>
          <w:i/>
          <w:iCs/>
          <w:color w:val="000000"/>
          <w:sz w:val="24"/>
          <w:szCs w:val="24"/>
        </w:rPr>
        <w:t>-</w:t>
      </w:r>
      <w:r w:rsidRPr="00A84A20">
        <w:rPr>
          <w:i/>
          <w:iCs/>
          <w:color w:val="000000"/>
          <w:sz w:val="24"/>
          <w:szCs w:val="24"/>
        </w:rPr>
        <w:t xml:space="preserve">Building Struggles </w:t>
      </w:r>
      <w:r w:rsidRPr="00A84A20">
        <w:rPr>
          <w:color w:val="000000"/>
          <w:sz w:val="24"/>
          <w:szCs w:val="24"/>
        </w:rPr>
        <w:t xml:space="preserve">(London and New York: Routledge 2016); Blakely and Raphael, </w:t>
      </w:r>
      <w:r>
        <w:rPr>
          <w:color w:val="000000"/>
          <w:sz w:val="24"/>
          <w:szCs w:val="24"/>
        </w:rPr>
        <w:t>‘</w:t>
      </w:r>
      <w:r w:rsidRPr="00A84A20">
        <w:rPr>
          <w:color w:val="000000"/>
          <w:sz w:val="24"/>
          <w:szCs w:val="24"/>
        </w:rPr>
        <w:t>British Torture</w:t>
      </w:r>
      <w:r>
        <w:rPr>
          <w:color w:val="000000"/>
          <w:sz w:val="24"/>
          <w:szCs w:val="24"/>
        </w:rPr>
        <w:t>’ (n 38)</w:t>
      </w:r>
      <w:r w:rsidRPr="00A84A20">
        <w:rPr>
          <w:color w:val="000000"/>
          <w:sz w:val="24"/>
          <w:szCs w:val="24"/>
        </w:rPr>
        <w:t xml:space="preserve">; and Satvinder S. Juss, </w:t>
      </w:r>
      <w:r>
        <w:rPr>
          <w:color w:val="000000"/>
          <w:sz w:val="24"/>
          <w:szCs w:val="24"/>
        </w:rPr>
        <w:t>‘</w:t>
      </w:r>
      <w:r w:rsidRPr="00A84A20">
        <w:rPr>
          <w:color w:val="000000"/>
          <w:sz w:val="24"/>
          <w:szCs w:val="24"/>
        </w:rPr>
        <w:t>U.S. Torture on ‘Black Sites’: A Lesson From Great Britain?</w:t>
      </w:r>
      <w:r>
        <w:rPr>
          <w:color w:val="000000"/>
          <w:sz w:val="24"/>
          <w:szCs w:val="24"/>
        </w:rPr>
        <w:t>’</w:t>
      </w:r>
      <w:r w:rsidRPr="00A84A20">
        <w:rPr>
          <w:color w:val="000000"/>
          <w:sz w:val="24"/>
          <w:szCs w:val="24"/>
        </w:rPr>
        <w:t xml:space="preserve">, in Satvinder S. Juss (ed.), </w:t>
      </w:r>
      <w:r w:rsidRPr="00A84A20">
        <w:rPr>
          <w:i/>
          <w:iCs/>
          <w:color w:val="000000"/>
          <w:sz w:val="24"/>
          <w:szCs w:val="24"/>
        </w:rPr>
        <w:t xml:space="preserve">Human Right and America’s War on Terror </w:t>
      </w:r>
      <w:r w:rsidRPr="00A84A20">
        <w:rPr>
          <w:color w:val="000000"/>
          <w:sz w:val="24"/>
          <w:szCs w:val="24"/>
        </w:rPr>
        <w:t>(London and New York: Routledge 2019), 161</w:t>
      </w:r>
      <w:r>
        <w:rPr>
          <w:color w:val="000000"/>
          <w:sz w:val="24"/>
          <w:szCs w:val="24"/>
        </w:rPr>
        <w:t>-</w:t>
      </w:r>
      <w:r w:rsidRPr="00A84A20">
        <w:rPr>
          <w:color w:val="000000"/>
          <w:sz w:val="24"/>
          <w:szCs w:val="24"/>
        </w:rPr>
        <w:t>82.</w:t>
      </w:r>
    </w:p>
  </w:footnote>
  <w:footnote w:id="41">
    <w:p w14:paraId="2C6D36E2"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w:t>
      </w:r>
      <w:r w:rsidRPr="00C93862">
        <w:rPr>
          <w:sz w:val="24"/>
          <w:szCs w:val="24"/>
        </w:rPr>
        <w:t xml:space="preserve">Blakely and Raphael, </w:t>
      </w:r>
      <w:r>
        <w:rPr>
          <w:sz w:val="24"/>
          <w:szCs w:val="24"/>
        </w:rPr>
        <w:t>‘</w:t>
      </w:r>
      <w:r w:rsidRPr="00C93862">
        <w:rPr>
          <w:sz w:val="24"/>
          <w:szCs w:val="24"/>
        </w:rPr>
        <w:t>British Torture</w:t>
      </w:r>
      <w:r>
        <w:rPr>
          <w:sz w:val="24"/>
          <w:szCs w:val="24"/>
        </w:rPr>
        <w:t>’ (n 38) 250</w:t>
      </w:r>
      <w:r w:rsidRPr="00A84A20">
        <w:rPr>
          <w:sz w:val="24"/>
          <w:szCs w:val="24"/>
        </w:rPr>
        <w:t>.</w:t>
      </w:r>
    </w:p>
  </w:footnote>
  <w:footnote w:id="42">
    <w:p w14:paraId="74DF4FB8"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Ibid.</w:t>
      </w:r>
    </w:p>
  </w:footnote>
  <w:footnote w:id="43">
    <w:p w14:paraId="36023AF5"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Blakely and Raphael, </w:t>
      </w:r>
      <w:r>
        <w:rPr>
          <w:sz w:val="24"/>
          <w:szCs w:val="24"/>
        </w:rPr>
        <w:t>‘</w:t>
      </w:r>
      <w:r w:rsidRPr="00A84A20">
        <w:rPr>
          <w:sz w:val="24"/>
          <w:szCs w:val="24"/>
        </w:rPr>
        <w:t>British Torture</w:t>
      </w:r>
      <w:r>
        <w:rPr>
          <w:sz w:val="24"/>
          <w:szCs w:val="24"/>
        </w:rPr>
        <w:t xml:space="preserve">’ (n 38) </w:t>
      </w:r>
      <w:r w:rsidRPr="00A84A20">
        <w:rPr>
          <w:sz w:val="24"/>
          <w:szCs w:val="24"/>
        </w:rPr>
        <w:t xml:space="preserve">251; and Banham, </w:t>
      </w:r>
      <w:r w:rsidRPr="00A84A20">
        <w:rPr>
          <w:i/>
          <w:iCs/>
          <w:sz w:val="24"/>
          <w:szCs w:val="24"/>
        </w:rPr>
        <w:t>Liberal Democracies</w:t>
      </w:r>
      <w:r>
        <w:rPr>
          <w:sz w:val="24"/>
          <w:szCs w:val="24"/>
        </w:rPr>
        <w:t xml:space="preserve"> (n 19)</w:t>
      </w:r>
      <w:r w:rsidRPr="00A84A20">
        <w:rPr>
          <w:sz w:val="24"/>
          <w:szCs w:val="24"/>
        </w:rPr>
        <w:t xml:space="preserve"> 119</w:t>
      </w:r>
      <w:r>
        <w:rPr>
          <w:sz w:val="24"/>
          <w:szCs w:val="24"/>
        </w:rPr>
        <w:t>-</w:t>
      </w:r>
      <w:r w:rsidRPr="00A84A20">
        <w:rPr>
          <w:sz w:val="24"/>
          <w:szCs w:val="24"/>
        </w:rPr>
        <w:t xml:space="preserve">122. Blakely and Raphael note, however, that </w:t>
      </w:r>
      <w:r>
        <w:rPr>
          <w:sz w:val="24"/>
          <w:szCs w:val="24"/>
        </w:rPr>
        <w:t>‘</w:t>
      </w:r>
      <w:r w:rsidRPr="00A84A20">
        <w:rPr>
          <w:sz w:val="24"/>
          <w:szCs w:val="24"/>
        </w:rPr>
        <w:t>echoes of colonial</w:t>
      </w:r>
      <w:r>
        <w:rPr>
          <w:sz w:val="24"/>
          <w:szCs w:val="24"/>
        </w:rPr>
        <w:t>-</w:t>
      </w:r>
      <w:r w:rsidRPr="00A84A20">
        <w:rPr>
          <w:sz w:val="24"/>
          <w:szCs w:val="24"/>
        </w:rPr>
        <w:t>era torture</w:t>
      </w:r>
      <w:r>
        <w:rPr>
          <w:sz w:val="24"/>
          <w:szCs w:val="24"/>
        </w:rPr>
        <w:t>’</w:t>
      </w:r>
      <w:r w:rsidRPr="00A84A20">
        <w:rPr>
          <w:sz w:val="24"/>
          <w:szCs w:val="24"/>
        </w:rPr>
        <w:t xml:space="preserve"> can be seen in the behaviour of British security services in Iraq. The true scale of the torture committed by such services has never, however, been disclosed. In 2010 the British government established The Iraq Historic Allegations Team to investigate allegations against British security personnel who had served in Iraq</w:t>
      </w:r>
      <w:r>
        <w:rPr>
          <w:sz w:val="24"/>
          <w:szCs w:val="24"/>
        </w:rPr>
        <w:t>—</w:t>
      </w:r>
      <w:r w:rsidRPr="00A84A20">
        <w:rPr>
          <w:sz w:val="24"/>
          <w:szCs w:val="24"/>
        </w:rPr>
        <w:t xml:space="preserve">albeit in order, in effect, to exonerate them; it was set up, </w:t>
      </w:r>
      <w:r>
        <w:rPr>
          <w:sz w:val="24"/>
          <w:szCs w:val="24"/>
        </w:rPr>
        <w:t>in addition</w:t>
      </w:r>
      <w:r w:rsidRPr="00A84A20">
        <w:rPr>
          <w:sz w:val="24"/>
          <w:szCs w:val="24"/>
        </w:rPr>
        <w:t>, in such a way as to prevent investigation of wider questions regarding accountability or the systemic nature of torture and other forms of violence. Yet the sheer number of allegations</w:t>
      </w:r>
      <w:r>
        <w:rPr>
          <w:sz w:val="24"/>
          <w:szCs w:val="24"/>
        </w:rPr>
        <w:t>—</w:t>
      </w:r>
      <w:r w:rsidRPr="00A84A20">
        <w:rPr>
          <w:sz w:val="24"/>
          <w:szCs w:val="24"/>
        </w:rPr>
        <w:t>there were 3,400 open cases by 2017</w:t>
      </w:r>
      <w:r>
        <w:rPr>
          <w:sz w:val="24"/>
          <w:szCs w:val="24"/>
        </w:rPr>
        <w:t>—</w:t>
      </w:r>
      <w:r w:rsidRPr="00A84A20">
        <w:rPr>
          <w:sz w:val="24"/>
          <w:szCs w:val="24"/>
        </w:rPr>
        <w:t>combined with jingoistic, right</w:t>
      </w:r>
      <w:r>
        <w:rPr>
          <w:sz w:val="24"/>
          <w:szCs w:val="24"/>
        </w:rPr>
        <w:t>-</w:t>
      </w:r>
      <w:r w:rsidRPr="00A84A20">
        <w:rPr>
          <w:sz w:val="24"/>
          <w:szCs w:val="24"/>
        </w:rPr>
        <w:t xml:space="preserve">wing media and political outrage over </w:t>
      </w:r>
      <w:r>
        <w:rPr>
          <w:sz w:val="24"/>
          <w:szCs w:val="24"/>
        </w:rPr>
        <w:t>‘”</w:t>
      </w:r>
      <w:r w:rsidRPr="00A84A20">
        <w:rPr>
          <w:sz w:val="24"/>
          <w:szCs w:val="24"/>
        </w:rPr>
        <w:t>spurious claims</w:t>
      </w:r>
      <w:r>
        <w:rPr>
          <w:sz w:val="24"/>
          <w:szCs w:val="24"/>
        </w:rPr>
        <w:t>”</w:t>
      </w:r>
      <w:r w:rsidRPr="00A84A20">
        <w:rPr>
          <w:sz w:val="24"/>
          <w:szCs w:val="24"/>
        </w:rPr>
        <w:t xml:space="preserve"> and </w:t>
      </w:r>
      <w:r>
        <w:rPr>
          <w:sz w:val="24"/>
          <w:szCs w:val="24"/>
        </w:rPr>
        <w:t>‘”</w:t>
      </w:r>
      <w:r w:rsidRPr="00A84A20">
        <w:rPr>
          <w:color w:val="121212"/>
          <w:sz w:val="24"/>
          <w:szCs w:val="24"/>
          <w:shd w:val="clear" w:color="auto" w:fill="FFFFFF"/>
        </w:rPr>
        <w:t>vile witch</w:t>
      </w:r>
      <w:r>
        <w:rPr>
          <w:color w:val="121212"/>
          <w:sz w:val="24"/>
          <w:szCs w:val="24"/>
          <w:shd w:val="clear" w:color="auto" w:fill="FFFFFF"/>
        </w:rPr>
        <w:t>-</w:t>
      </w:r>
      <w:r w:rsidRPr="00A84A20">
        <w:rPr>
          <w:color w:val="121212"/>
          <w:sz w:val="24"/>
          <w:szCs w:val="24"/>
          <w:shd w:val="clear" w:color="auto" w:fill="FFFFFF"/>
        </w:rPr>
        <w:t>hunts</w:t>
      </w:r>
      <w:r>
        <w:rPr>
          <w:color w:val="121212"/>
          <w:sz w:val="24"/>
          <w:szCs w:val="24"/>
          <w:shd w:val="clear" w:color="auto" w:fill="FFFFFF"/>
        </w:rPr>
        <w:t>”’</w:t>
      </w:r>
      <w:r w:rsidRPr="00A84A20">
        <w:rPr>
          <w:color w:val="121212"/>
          <w:sz w:val="24"/>
          <w:szCs w:val="24"/>
          <w:shd w:val="clear" w:color="auto" w:fill="FFFFFF"/>
        </w:rPr>
        <w:t xml:space="preserve"> against </w:t>
      </w:r>
      <w:r>
        <w:rPr>
          <w:color w:val="121212"/>
          <w:sz w:val="24"/>
          <w:szCs w:val="24"/>
          <w:shd w:val="clear" w:color="auto" w:fill="FFFFFF"/>
        </w:rPr>
        <w:t>‘”</w:t>
      </w:r>
      <w:r w:rsidRPr="00A84A20">
        <w:rPr>
          <w:color w:val="121212"/>
          <w:sz w:val="24"/>
          <w:szCs w:val="24"/>
          <w:shd w:val="clear" w:color="auto" w:fill="FFFFFF"/>
        </w:rPr>
        <w:t>war heroes</w:t>
      </w:r>
      <w:r>
        <w:rPr>
          <w:color w:val="121212"/>
          <w:sz w:val="24"/>
          <w:szCs w:val="24"/>
          <w:shd w:val="clear" w:color="auto" w:fill="FFFFFF"/>
        </w:rPr>
        <w:t>”’</w:t>
      </w:r>
      <w:r w:rsidRPr="00A84A20">
        <w:rPr>
          <w:color w:val="121212"/>
          <w:sz w:val="24"/>
          <w:szCs w:val="24"/>
          <w:shd w:val="clear" w:color="auto" w:fill="FFFFFF"/>
        </w:rPr>
        <w:t xml:space="preserve"> led the Conservative government to shut the investigation down that same year without any cases having been prosecuted (it has, however, paid out more than £21 </w:t>
      </w:r>
      <w:r>
        <w:rPr>
          <w:color w:val="121212"/>
          <w:sz w:val="24"/>
          <w:szCs w:val="24"/>
          <w:shd w:val="clear" w:color="auto" w:fill="FFFFFF"/>
        </w:rPr>
        <w:t xml:space="preserve">million </w:t>
      </w:r>
      <w:r w:rsidRPr="00A84A20">
        <w:rPr>
          <w:color w:val="121212"/>
          <w:sz w:val="24"/>
          <w:szCs w:val="24"/>
          <w:shd w:val="clear" w:color="auto" w:fill="FFFFFF"/>
        </w:rPr>
        <w:t xml:space="preserve">to Iraqi torture victims in over 300 separate cases, despite continuing to deny liability for such claims). However, in 2014 the International Criminal Court began an investigation into Britain’s war crimes in Iraq that, at the time this manuscript went to press is still ongoing, and in 2018 the parliamentary Intelligence and Security Committee published a report on detainee mistreatment and rendition in Iraq that detailed both the direct and indirect involvement of UK security services in torture, although its insights were limited by the British government’s refusal to provide access to key witnesses and the report has yet to be followed by a public inquiry. The British government’s hostile environment for the treatment of asylum seekers who are victims of torture, which includes holding them in indefinite detention, along with the tremendous breadth in executive powers conferred by the 2018 European Union (Withdrawal) Act </w:t>
      </w:r>
      <w:r>
        <w:rPr>
          <w:color w:val="121212"/>
          <w:sz w:val="24"/>
          <w:szCs w:val="24"/>
          <w:shd w:val="clear" w:color="auto" w:fill="FFFFFF"/>
        </w:rPr>
        <w:t>and</w:t>
      </w:r>
      <w:r w:rsidRPr="00A84A20">
        <w:rPr>
          <w:color w:val="121212"/>
          <w:sz w:val="24"/>
          <w:szCs w:val="24"/>
          <w:shd w:val="clear" w:color="auto" w:fill="FFFFFF"/>
        </w:rPr>
        <w:t xml:space="preserve"> </w:t>
      </w:r>
      <w:r>
        <w:rPr>
          <w:color w:val="121212"/>
          <w:sz w:val="24"/>
          <w:szCs w:val="24"/>
          <w:shd w:val="clear" w:color="auto" w:fill="FFFFFF"/>
        </w:rPr>
        <w:t>it</w:t>
      </w:r>
      <w:r w:rsidRPr="00A84A20">
        <w:rPr>
          <w:color w:val="121212"/>
          <w:sz w:val="24"/>
          <w:szCs w:val="24"/>
          <w:shd w:val="clear" w:color="auto" w:fill="FFFFFF"/>
        </w:rPr>
        <w:t xml:space="preserve">s repeated commitment to repealing the 1998 Human Rights, leave little hope, furthermore, that the UK will address its torture record in Iraq. </w:t>
      </w:r>
      <w:r>
        <w:rPr>
          <w:color w:val="121212"/>
          <w:sz w:val="24"/>
          <w:szCs w:val="24"/>
          <w:shd w:val="clear" w:color="auto" w:fill="FFFFFF"/>
        </w:rPr>
        <w:t xml:space="preserve">Blakely and Raphael, ‘British Torture’ (n 38) 250; </w:t>
      </w:r>
      <w:r w:rsidRPr="00A84A20">
        <w:rPr>
          <w:color w:val="121212"/>
          <w:sz w:val="24"/>
          <w:szCs w:val="24"/>
          <w:shd w:val="clear" w:color="auto" w:fill="FFFFFF"/>
        </w:rPr>
        <w:t xml:space="preserve">Samira Shackle, </w:t>
      </w:r>
      <w:r>
        <w:rPr>
          <w:color w:val="121212"/>
          <w:sz w:val="24"/>
          <w:szCs w:val="24"/>
          <w:shd w:val="clear" w:color="auto" w:fill="FFFFFF"/>
        </w:rPr>
        <w:t>‘</w:t>
      </w:r>
      <w:r w:rsidRPr="00A84A20">
        <w:rPr>
          <w:color w:val="121212"/>
          <w:sz w:val="24"/>
          <w:szCs w:val="24"/>
          <w:shd w:val="clear" w:color="auto" w:fill="FFFFFF"/>
        </w:rPr>
        <w:t>Why We May Never Know if British Troops Committed War Crimes in Iraq</w:t>
      </w:r>
      <w:r>
        <w:rPr>
          <w:color w:val="121212"/>
          <w:sz w:val="24"/>
          <w:szCs w:val="24"/>
          <w:shd w:val="clear" w:color="auto" w:fill="FFFFFF"/>
        </w:rPr>
        <w:t>’</w:t>
      </w:r>
      <w:r w:rsidRPr="00A84A20">
        <w:rPr>
          <w:color w:val="121212"/>
          <w:sz w:val="24"/>
          <w:szCs w:val="24"/>
          <w:shd w:val="clear" w:color="auto" w:fill="FFFFFF"/>
        </w:rPr>
        <w:t xml:space="preserve">, </w:t>
      </w:r>
      <w:r w:rsidRPr="00A84A20">
        <w:rPr>
          <w:i/>
          <w:iCs/>
          <w:color w:val="121212"/>
          <w:sz w:val="24"/>
          <w:szCs w:val="24"/>
          <w:shd w:val="clear" w:color="auto" w:fill="FFFFFF"/>
        </w:rPr>
        <w:t>The Guardian</w:t>
      </w:r>
      <w:r>
        <w:rPr>
          <w:color w:val="121212"/>
          <w:sz w:val="24"/>
          <w:szCs w:val="24"/>
          <w:shd w:val="clear" w:color="auto" w:fill="FFFFFF"/>
        </w:rPr>
        <w:t xml:space="preserve"> (London, </w:t>
      </w:r>
      <w:r w:rsidRPr="00A84A20">
        <w:rPr>
          <w:color w:val="121212"/>
          <w:sz w:val="24"/>
          <w:szCs w:val="24"/>
          <w:shd w:val="clear" w:color="auto" w:fill="FFFFFF"/>
        </w:rPr>
        <w:t>7 June 2018</w:t>
      </w:r>
      <w:r>
        <w:rPr>
          <w:color w:val="121212"/>
          <w:sz w:val="24"/>
          <w:szCs w:val="24"/>
          <w:shd w:val="clear" w:color="auto" w:fill="FFFFFF"/>
        </w:rPr>
        <w:t>)</w:t>
      </w:r>
      <w:r w:rsidRPr="00A84A20">
        <w:rPr>
          <w:color w:val="121212"/>
          <w:sz w:val="24"/>
          <w:szCs w:val="24"/>
          <w:shd w:val="clear" w:color="auto" w:fill="FFFFFF"/>
        </w:rPr>
        <w:t xml:space="preserve"> </w:t>
      </w:r>
      <w:r>
        <w:rPr>
          <w:color w:val="121212"/>
          <w:sz w:val="24"/>
          <w:szCs w:val="24"/>
          <w:shd w:val="clear" w:color="auto" w:fill="FFFFFF"/>
        </w:rPr>
        <w:t>&lt;</w:t>
      </w:r>
      <w:hyperlink r:id="rId23" w:history="1">
        <w:r w:rsidRPr="00A84A20">
          <w:rPr>
            <w:rStyle w:val="Hyperlink"/>
            <w:sz w:val="24"/>
            <w:szCs w:val="24"/>
          </w:rPr>
          <w:t>https://www.theguardian.com/news/2018/jun/07/british</w:t>
        </w:r>
        <w:r>
          <w:rPr>
            <w:rStyle w:val="Hyperlink"/>
            <w:sz w:val="24"/>
            <w:szCs w:val="24"/>
          </w:rPr>
          <w:t>-</w:t>
        </w:r>
        <w:r w:rsidRPr="00A84A20">
          <w:rPr>
            <w:rStyle w:val="Hyperlink"/>
            <w:sz w:val="24"/>
            <w:szCs w:val="24"/>
          </w:rPr>
          <w:t>troops</w:t>
        </w:r>
        <w:r>
          <w:rPr>
            <w:rStyle w:val="Hyperlink"/>
            <w:sz w:val="24"/>
            <w:szCs w:val="24"/>
          </w:rPr>
          <w:t>-</w:t>
        </w:r>
        <w:r w:rsidRPr="00A84A20">
          <w:rPr>
            <w:rStyle w:val="Hyperlink"/>
            <w:sz w:val="24"/>
            <w:szCs w:val="24"/>
          </w:rPr>
          <w:t>war</w:t>
        </w:r>
        <w:r>
          <w:rPr>
            <w:rStyle w:val="Hyperlink"/>
            <w:sz w:val="24"/>
            <w:szCs w:val="24"/>
          </w:rPr>
          <w:t>-</w:t>
        </w:r>
        <w:r w:rsidRPr="00A84A20">
          <w:rPr>
            <w:rStyle w:val="Hyperlink"/>
            <w:sz w:val="24"/>
            <w:szCs w:val="24"/>
          </w:rPr>
          <w:t>crimes</w:t>
        </w:r>
        <w:r>
          <w:rPr>
            <w:rStyle w:val="Hyperlink"/>
            <w:sz w:val="24"/>
            <w:szCs w:val="24"/>
          </w:rPr>
          <w:t>-</w:t>
        </w:r>
        <w:r w:rsidRPr="00A84A20">
          <w:rPr>
            <w:rStyle w:val="Hyperlink"/>
            <w:sz w:val="24"/>
            <w:szCs w:val="24"/>
          </w:rPr>
          <w:t>iraq</w:t>
        </w:r>
        <w:r>
          <w:rPr>
            <w:rStyle w:val="Hyperlink"/>
            <w:sz w:val="24"/>
            <w:szCs w:val="24"/>
          </w:rPr>
          <w:t>-</w:t>
        </w:r>
        <w:r w:rsidRPr="00A84A20">
          <w:rPr>
            <w:rStyle w:val="Hyperlink"/>
            <w:sz w:val="24"/>
            <w:szCs w:val="24"/>
          </w:rPr>
          <w:t>historic</w:t>
        </w:r>
        <w:r>
          <w:rPr>
            <w:rStyle w:val="Hyperlink"/>
            <w:sz w:val="24"/>
            <w:szCs w:val="24"/>
          </w:rPr>
          <w:t>-</w:t>
        </w:r>
        <w:r w:rsidRPr="00A84A20">
          <w:rPr>
            <w:rStyle w:val="Hyperlink"/>
            <w:sz w:val="24"/>
            <w:szCs w:val="24"/>
          </w:rPr>
          <w:t>allegations</w:t>
        </w:r>
        <w:r>
          <w:rPr>
            <w:rStyle w:val="Hyperlink"/>
            <w:sz w:val="24"/>
            <w:szCs w:val="24"/>
          </w:rPr>
          <w:t>-</w:t>
        </w:r>
        <w:r w:rsidRPr="00A84A20">
          <w:rPr>
            <w:rStyle w:val="Hyperlink"/>
            <w:sz w:val="24"/>
            <w:szCs w:val="24"/>
          </w:rPr>
          <w:t>team</w:t>
        </w:r>
      </w:hyperlink>
      <w:r>
        <w:rPr>
          <w:sz w:val="24"/>
          <w:szCs w:val="24"/>
        </w:rPr>
        <w:t xml:space="preserve">&gt; </w:t>
      </w:r>
      <w:r w:rsidRPr="00A84A20">
        <w:rPr>
          <w:sz w:val="24"/>
          <w:szCs w:val="24"/>
        </w:rPr>
        <w:t xml:space="preserve">accessed </w:t>
      </w:r>
      <w:r>
        <w:rPr>
          <w:sz w:val="24"/>
          <w:szCs w:val="24"/>
        </w:rPr>
        <w:t xml:space="preserve">28 </w:t>
      </w:r>
      <w:r w:rsidRPr="00A84A20">
        <w:rPr>
          <w:sz w:val="24"/>
          <w:szCs w:val="24"/>
        </w:rPr>
        <w:t xml:space="preserve">May 2020; </w:t>
      </w:r>
      <w:r w:rsidRPr="00A84A20">
        <w:rPr>
          <w:color w:val="121212"/>
          <w:sz w:val="24"/>
          <w:szCs w:val="24"/>
          <w:shd w:val="clear" w:color="auto" w:fill="FFFFFF"/>
        </w:rPr>
        <w:t xml:space="preserve">Owen Bowcott, </w:t>
      </w:r>
      <w:r>
        <w:rPr>
          <w:color w:val="121212"/>
          <w:sz w:val="24"/>
          <w:szCs w:val="24"/>
          <w:shd w:val="clear" w:color="auto" w:fill="FFFFFF"/>
        </w:rPr>
        <w:t>‘</w:t>
      </w:r>
      <w:r w:rsidRPr="00A84A20">
        <w:rPr>
          <w:color w:val="121212"/>
          <w:sz w:val="24"/>
          <w:szCs w:val="24"/>
          <w:shd w:val="clear" w:color="auto" w:fill="FFFFFF"/>
        </w:rPr>
        <w:t xml:space="preserve">The Hague Says Claims of War Crimes by UK Troops Have </w:t>
      </w:r>
      <w:r>
        <w:rPr>
          <w:color w:val="121212"/>
          <w:sz w:val="24"/>
          <w:szCs w:val="24"/>
          <w:shd w:val="clear" w:color="auto" w:fill="FFFFFF"/>
        </w:rPr>
        <w:t>“</w:t>
      </w:r>
      <w:r w:rsidRPr="00A84A20">
        <w:rPr>
          <w:color w:val="121212"/>
          <w:sz w:val="24"/>
          <w:szCs w:val="24"/>
          <w:shd w:val="clear" w:color="auto" w:fill="FFFFFF"/>
        </w:rPr>
        <w:t>Reasonable Basis</w:t>
      </w:r>
      <w:r>
        <w:rPr>
          <w:color w:val="121212"/>
          <w:sz w:val="24"/>
          <w:szCs w:val="24"/>
          <w:shd w:val="clear" w:color="auto" w:fill="FFFFFF"/>
        </w:rPr>
        <w:t>”</w:t>
      </w:r>
      <w:r w:rsidRPr="00A84A20">
        <w:rPr>
          <w:color w:val="121212"/>
          <w:sz w:val="24"/>
          <w:szCs w:val="24"/>
          <w:shd w:val="clear" w:color="auto" w:fill="FFFFFF"/>
        </w:rPr>
        <w:t xml:space="preserve">, </w:t>
      </w:r>
      <w:r w:rsidRPr="00A84A20">
        <w:rPr>
          <w:i/>
          <w:iCs/>
          <w:color w:val="121212"/>
          <w:sz w:val="24"/>
          <w:szCs w:val="24"/>
          <w:shd w:val="clear" w:color="auto" w:fill="FFFFFF"/>
        </w:rPr>
        <w:t>The Guardian</w:t>
      </w:r>
      <w:r>
        <w:rPr>
          <w:color w:val="121212"/>
          <w:sz w:val="24"/>
          <w:szCs w:val="24"/>
          <w:shd w:val="clear" w:color="auto" w:fill="FFFFFF"/>
        </w:rPr>
        <w:t xml:space="preserve"> (London, </w:t>
      </w:r>
      <w:r w:rsidRPr="00A84A20">
        <w:rPr>
          <w:color w:val="121212"/>
          <w:sz w:val="24"/>
          <w:szCs w:val="24"/>
          <w:shd w:val="clear" w:color="auto" w:fill="FFFFFF"/>
        </w:rPr>
        <w:t>4 December</w:t>
      </w:r>
      <w:r>
        <w:rPr>
          <w:color w:val="121212"/>
          <w:sz w:val="24"/>
          <w:szCs w:val="24"/>
          <w:shd w:val="clear" w:color="auto" w:fill="FFFFFF"/>
        </w:rPr>
        <w:t xml:space="preserve"> </w:t>
      </w:r>
      <w:r w:rsidRPr="00A84A20">
        <w:rPr>
          <w:color w:val="121212"/>
          <w:sz w:val="24"/>
          <w:szCs w:val="24"/>
          <w:shd w:val="clear" w:color="auto" w:fill="FFFFFF"/>
        </w:rPr>
        <w:t>2017</w:t>
      </w:r>
      <w:r>
        <w:rPr>
          <w:color w:val="121212"/>
          <w:sz w:val="24"/>
          <w:szCs w:val="24"/>
          <w:shd w:val="clear" w:color="auto" w:fill="FFFFFF"/>
        </w:rPr>
        <w:t>)</w:t>
      </w:r>
      <w:r>
        <w:rPr>
          <w:sz w:val="24"/>
          <w:szCs w:val="24"/>
        </w:rPr>
        <w:t xml:space="preserve"> &lt;</w:t>
      </w:r>
      <w:hyperlink r:id="rId24" w:history="1">
        <w:r w:rsidRPr="00CD296F">
          <w:rPr>
            <w:rStyle w:val="Hyperlink"/>
            <w:sz w:val="24"/>
            <w:szCs w:val="24"/>
          </w:rPr>
          <w:t>https://www.theguardian.com/law/2017/dec/04/icc</w:t>
        </w:r>
        <w:r>
          <w:rPr>
            <w:rStyle w:val="Hyperlink"/>
            <w:sz w:val="24"/>
            <w:szCs w:val="24"/>
          </w:rPr>
          <w:t>-</w:t>
        </w:r>
        <w:r w:rsidRPr="00CD296F">
          <w:rPr>
            <w:rStyle w:val="Hyperlink"/>
            <w:sz w:val="24"/>
            <w:szCs w:val="24"/>
          </w:rPr>
          <w:t>to</w:t>
        </w:r>
        <w:r>
          <w:rPr>
            <w:rStyle w:val="Hyperlink"/>
            <w:sz w:val="24"/>
            <w:szCs w:val="24"/>
          </w:rPr>
          <w:t>-</w:t>
        </w:r>
        <w:r w:rsidRPr="00CD296F">
          <w:rPr>
            <w:rStyle w:val="Hyperlink"/>
            <w:sz w:val="24"/>
            <w:szCs w:val="24"/>
          </w:rPr>
          <w:t>continue</w:t>
        </w:r>
        <w:r>
          <w:rPr>
            <w:rStyle w:val="Hyperlink"/>
            <w:sz w:val="24"/>
            <w:szCs w:val="24"/>
          </w:rPr>
          <w:t>-</w:t>
        </w:r>
        <w:r w:rsidRPr="00CD296F">
          <w:rPr>
            <w:rStyle w:val="Hyperlink"/>
            <w:sz w:val="24"/>
            <w:szCs w:val="24"/>
          </w:rPr>
          <w:t>investigation</w:t>
        </w:r>
        <w:r>
          <w:rPr>
            <w:rStyle w:val="Hyperlink"/>
            <w:sz w:val="24"/>
            <w:szCs w:val="24"/>
          </w:rPr>
          <w:t>-</w:t>
        </w:r>
        <w:r w:rsidRPr="00CD296F">
          <w:rPr>
            <w:rStyle w:val="Hyperlink"/>
            <w:sz w:val="24"/>
            <w:szCs w:val="24"/>
          </w:rPr>
          <w:t>into</w:t>
        </w:r>
        <w:r>
          <w:rPr>
            <w:rStyle w:val="Hyperlink"/>
            <w:sz w:val="24"/>
            <w:szCs w:val="24"/>
          </w:rPr>
          <w:t>-</w:t>
        </w:r>
        <w:r w:rsidRPr="00CD296F">
          <w:rPr>
            <w:rStyle w:val="Hyperlink"/>
            <w:sz w:val="24"/>
            <w:szCs w:val="24"/>
          </w:rPr>
          <w:t>claims</w:t>
        </w:r>
        <w:r>
          <w:rPr>
            <w:rStyle w:val="Hyperlink"/>
            <w:sz w:val="24"/>
            <w:szCs w:val="24"/>
          </w:rPr>
          <w:t>-</w:t>
        </w:r>
        <w:r w:rsidRPr="00CD296F">
          <w:rPr>
            <w:rStyle w:val="Hyperlink"/>
            <w:sz w:val="24"/>
            <w:szCs w:val="24"/>
          </w:rPr>
          <w:t>of</w:t>
        </w:r>
        <w:r>
          <w:rPr>
            <w:rStyle w:val="Hyperlink"/>
            <w:sz w:val="24"/>
            <w:szCs w:val="24"/>
          </w:rPr>
          <w:t>-</w:t>
        </w:r>
        <w:r w:rsidRPr="00CD296F">
          <w:rPr>
            <w:rStyle w:val="Hyperlink"/>
            <w:sz w:val="24"/>
            <w:szCs w:val="24"/>
          </w:rPr>
          <w:t>war</w:t>
        </w:r>
        <w:r>
          <w:rPr>
            <w:rStyle w:val="Hyperlink"/>
            <w:sz w:val="24"/>
            <w:szCs w:val="24"/>
          </w:rPr>
          <w:t>-</w:t>
        </w:r>
        <w:r w:rsidRPr="00CD296F">
          <w:rPr>
            <w:rStyle w:val="Hyperlink"/>
            <w:sz w:val="24"/>
            <w:szCs w:val="24"/>
          </w:rPr>
          <w:t>crimes</w:t>
        </w:r>
        <w:r>
          <w:rPr>
            <w:rStyle w:val="Hyperlink"/>
            <w:sz w:val="24"/>
            <w:szCs w:val="24"/>
          </w:rPr>
          <w:t>-</w:t>
        </w:r>
        <w:r w:rsidRPr="00CD296F">
          <w:rPr>
            <w:rStyle w:val="Hyperlink"/>
            <w:sz w:val="24"/>
            <w:szCs w:val="24"/>
          </w:rPr>
          <w:t>by</w:t>
        </w:r>
        <w:r>
          <w:rPr>
            <w:rStyle w:val="Hyperlink"/>
            <w:sz w:val="24"/>
            <w:szCs w:val="24"/>
          </w:rPr>
          <w:t>-</w:t>
        </w:r>
        <w:r w:rsidRPr="00CD296F">
          <w:rPr>
            <w:rStyle w:val="Hyperlink"/>
            <w:sz w:val="24"/>
            <w:szCs w:val="24"/>
          </w:rPr>
          <w:t>british</w:t>
        </w:r>
        <w:r>
          <w:rPr>
            <w:rStyle w:val="Hyperlink"/>
            <w:sz w:val="24"/>
            <w:szCs w:val="24"/>
          </w:rPr>
          <w:t>-</w:t>
        </w:r>
        <w:r w:rsidRPr="00CD296F">
          <w:rPr>
            <w:rStyle w:val="Hyperlink"/>
            <w:sz w:val="24"/>
            <w:szCs w:val="24"/>
          </w:rPr>
          <w:t>troops</w:t>
        </w:r>
      </w:hyperlink>
      <w:r w:rsidRPr="008D4EBF">
        <w:rPr>
          <w:rStyle w:val="Hyperlink"/>
          <w:color w:val="auto"/>
          <w:sz w:val="24"/>
          <w:szCs w:val="24"/>
          <w:u w:val="none"/>
        </w:rPr>
        <w:t>&gt;</w:t>
      </w:r>
      <w:r w:rsidRPr="00A84A20">
        <w:rPr>
          <w:sz w:val="24"/>
          <w:szCs w:val="24"/>
        </w:rPr>
        <w:t xml:space="preserve"> access</w:t>
      </w:r>
      <w:r>
        <w:rPr>
          <w:sz w:val="24"/>
          <w:szCs w:val="24"/>
        </w:rPr>
        <w:t>ed</w:t>
      </w:r>
      <w:r w:rsidRPr="00A84A20">
        <w:rPr>
          <w:sz w:val="24"/>
          <w:szCs w:val="24"/>
        </w:rPr>
        <w:t xml:space="preserve"> </w:t>
      </w:r>
      <w:r>
        <w:rPr>
          <w:sz w:val="24"/>
          <w:szCs w:val="24"/>
        </w:rPr>
        <w:t xml:space="preserve">28 </w:t>
      </w:r>
      <w:r w:rsidRPr="00A84A20">
        <w:rPr>
          <w:sz w:val="24"/>
          <w:szCs w:val="24"/>
        </w:rPr>
        <w:t xml:space="preserve">May 2020; Intelligence and Security Committee of Parliament, </w:t>
      </w:r>
      <w:r w:rsidRPr="00A84A20">
        <w:rPr>
          <w:i/>
          <w:iCs/>
          <w:sz w:val="24"/>
          <w:szCs w:val="24"/>
        </w:rPr>
        <w:t>Detainee Mistreatment and Rendition: 2001</w:t>
      </w:r>
      <w:r>
        <w:rPr>
          <w:i/>
          <w:iCs/>
          <w:sz w:val="24"/>
          <w:szCs w:val="24"/>
        </w:rPr>
        <w:t>-</w:t>
      </w:r>
      <w:r w:rsidRPr="00A84A20">
        <w:rPr>
          <w:i/>
          <w:iCs/>
          <w:sz w:val="24"/>
          <w:szCs w:val="24"/>
        </w:rPr>
        <w:t>2010</w:t>
      </w:r>
      <w:r w:rsidRPr="00A84A20">
        <w:rPr>
          <w:sz w:val="24"/>
          <w:szCs w:val="24"/>
        </w:rPr>
        <w:t xml:space="preserve"> (2018</w:t>
      </w:r>
      <w:r>
        <w:rPr>
          <w:sz w:val="24"/>
          <w:szCs w:val="24"/>
        </w:rPr>
        <w:t>)</w:t>
      </w:r>
      <w:r w:rsidRPr="00A84A20">
        <w:rPr>
          <w:sz w:val="24"/>
          <w:szCs w:val="24"/>
        </w:rPr>
        <w:t xml:space="preserve">; </w:t>
      </w:r>
    </w:p>
    <w:p w14:paraId="0E9C9F40" w14:textId="77777777" w:rsidR="00997966" w:rsidRPr="00A84A20" w:rsidRDefault="00997966" w:rsidP="00997966">
      <w:pPr>
        <w:pStyle w:val="FootnoteText"/>
        <w:spacing w:line="480" w:lineRule="auto"/>
        <w:contextualSpacing/>
        <w:rPr>
          <w:sz w:val="24"/>
          <w:szCs w:val="24"/>
        </w:rPr>
      </w:pPr>
      <w:r w:rsidRPr="00A84A20">
        <w:rPr>
          <w:sz w:val="24"/>
          <w:szCs w:val="24"/>
        </w:rPr>
        <w:t xml:space="preserve">and Redress, </w:t>
      </w:r>
      <w:r>
        <w:rPr>
          <w:sz w:val="24"/>
          <w:szCs w:val="24"/>
        </w:rPr>
        <w:t>‘</w:t>
      </w:r>
      <w:r w:rsidRPr="00A84A20">
        <w:rPr>
          <w:sz w:val="24"/>
          <w:szCs w:val="24"/>
        </w:rPr>
        <w:t>The UK's Implementation of the UN Convention against Torture and Other Cruel, Inhuman or Degrading Treatment or Punishment</w:t>
      </w:r>
      <w:r>
        <w:rPr>
          <w:sz w:val="24"/>
          <w:szCs w:val="24"/>
        </w:rPr>
        <w:t>’ (</w:t>
      </w:r>
      <w:r w:rsidRPr="00A84A20">
        <w:rPr>
          <w:sz w:val="24"/>
          <w:szCs w:val="24"/>
        </w:rPr>
        <w:t>March 2019</w:t>
      </w:r>
      <w:r>
        <w:rPr>
          <w:sz w:val="24"/>
          <w:szCs w:val="24"/>
        </w:rPr>
        <w:t>) &lt;</w:t>
      </w:r>
      <w:hyperlink r:id="rId25" w:history="1">
        <w:r w:rsidRPr="00CB4094">
          <w:rPr>
            <w:rStyle w:val="Hyperlink"/>
            <w:sz w:val="24"/>
            <w:szCs w:val="24"/>
          </w:rPr>
          <w:t>https://redress.org/wp-content/uploads/2019/05/UK-Implementation-of-UNCAT_REDRESS_March2019_Web.pdf</w:t>
        </w:r>
      </w:hyperlink>
      <w:r>
        <w:rPr>
          <w:rStyle w:val="Hyperlink"/>
          <w:sz w:val="24"/>
          <w:szCs w:val="24"/>
        </w:rPr>
        <w:t>&gt;</w:t>
      </w:r>
      <w:r w:rsidRPr="00A84A20">
        <w:rPr>
          <w:sz w:val="24"/>
          <w:szCs w:val="24"/>
        </w:rPr>
        <w:t xml:space="preserve"> accessed </w:t>
      </w:r>
      <w:r>
        <w:rPr>
          <w:sz w:val="24"/>
          <w:szCs w:val="24"/>
        </w:rPr>
        <w:t xml:space="preserve">8 </w:t>
      </w:r>
      <w:r w:rsidRPr="00A84A20">
        <w:rPr>
          <w:sz w:val="24"/>
          <w:szCs w:val="24"/>
        </w:rPr>
        <w:t>May 2020.</w:t>
      </w:r>
    </w:p>
  </w:footnote>
  <w:footnote w:id="44">
    <w:p w14:paraId="2996105A"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Blakely and Raphael, </w:t>
      </w:r>
      <w:r>
        <w:rPr>
          <w:sz w:val="24"/>
          <w:szCs w:val="24"/>
        </w:rPr>
        <w:t>‘</w:t>
      </w:r>
      <w:r w:rsidRPr="00A84A20">
        <w:rPr>
          <w:sz w:val="24"/>
          <w:szCs w:val="24"/>
        </w:rPr>
        <w:t>British Torture</w:t>
      </w:r>
      <w:r>
        <w:rPr>
          <w:sz w:val="24"/>
          <w:szCs w:val="24"/>
        </w:rPr>
        <w:t>’ (n 38)</w:t>
      </w:r>
      <w:r w:rsidRPr="00A84A20">
        <w:rPr>
          <w:sz w:val="24"/>
          <w:szCs w:val="24"/>
        </w:rPr>
        <w:t xml:space="preserve"> 245; and Buter, </w:t>
      </w:r>
      <w:r w:rsidRPr="00A84A20">
        <w:rPr>
          <w:i/>
          <w:iCs/>
          <w:sz w:val="24"/>
          <w:szCs w:val="24"/>
        </w:rPr>
        <w:t>Precarious Life</w:t>
      </w:r>
      <w:r>
        <w:rPr>
          <w:i/>
          <w:iCs/>
          <w:sz w:val="24"/>
          <w:szCs w:val="24"/>
        </w:rPr>
        <w:t xml:space="preserve"> </w:t>
      </w:r>
      <w:r>
        <w:rPr>
          <w:sz w:val="24"/>
          <w:szCs w:val="24"/>
        </w:rPr>
        <w:t>(n 38)</w:t>
      </w:r>
      <w:r w:rsidRPr="00A84A20">
        <w:rPr>
          <w:sz w:val="24"/>
          <w:szCs w:val="24"/>
        </w:rPr>
        <w:t xml:space="preserve"> 56. Although Blakely and Raphael use the term </w:t>
      </w:r>
      <w:r>
        <w:rPr>
          <w:sz w:val="24"/>
          <w:szCs w:val="24"/>
        </w:rPr>
        <w:t>‘</w:t>
      </w:r>
      <w:r w:rsidRPr="00A84A20">
        <w:rPr>
          <w:sz w:val="24"/>
          <w:szCs w:val="24"/>
        </w:rPr>
        <w:t>biopower</w:t>
      </w:r>
      <w:r>
        <w:rPr>
          <w:sz w:val="24"/>
          <w:szCs w:val="24"/>
        </w:rPr>
        <w:t>’</w:t>
      </w:r>
      <w:r w:rsidRPr="00A84A20">
        <w:rPr>
          <w:sz w:val="24"/>
          <w:szCs w:val="24"/>
        </w:rPr>
        <w:t xml:space="preserve"> instead of </w:t>
      </w:r>
      <w:r>
        <w:rPr>
          <w:sz w:val="24"/>
          <w:szCs w:val="24"/>
        </w:rPr>
        <w:t>‘</w:t>
      </w:r>
      <w:r w:rsidRPr="00A84A20">
        <w:rPr>
          <w:sz w:val="24"/>
          <w:szCs w:val="24"/>
        </w:rPr>
        <w:t>governmentality</w:t>
      </w:r>
      <w:r>
        <w:rPr>
          <w:sz w:val="24"/>
          <w:szCs w:val="24"/>
        </w:rPr>
        <w:t>’</w:t>
      </w:r>
      <w:r w:rsidRPr="00A84A20">
        <w:rPr>
          <w:sz w:val="24"/>
          <w:szCs w:val="24"/>
        </w:rPr>
        <w:t xml:space="preserve"> I have retained the more accurate term that Butler uses. See also Michel Foucault, </w:t>
      </w:r>
      <w:r>
        <w:rPr>
          <w:sz w:val="24"/>
          <w:szCs w:val="24"/>
        </w:rPr>
        <w:t>‘</w:t>
      </w:r>
      <w:r w:rsidRPr="00A84A20">
        <w:rPr>
          <w:sz w:val="24"/>
          <w:szCs w:val="24"/>
        </w:rPr>
        <w:t>Governmentality</w:t>
      </w:r>
      <w:r>
        <w:rPr>
          <w:sz w:val="24"/>
          <w:szCs w:val="24"/>
        </w:rPr>
        <w:t>’</w:t>
      </w:r>
      <w:r w:rsidRPr="00A84A20">
        <w:rPr>
          <w:sz w:val="24"/>
          <w:szCs w:val="24"/>
        </w:rPr>
        <w:t>, in Graham Burchell, Colin Gordon</w:t>
      </w:r>
      <w:r>
        <w:rPr>
          <w:sz w:val="24"/>
          <w:szCs w:val="24"/>
        </w:rPr>
        <w:t>,</w:t>
      </w:r>
      <w:r w:rsidRPr="00A84A20">
        <w:rPr>
          <w:sz w:val="24"/>
          <w:szCs w:val="24"/>
        </w:rPr>
        <w:t xml:space="preserve"> and Peter Miller (eds), </w:t>
      </w:r>
      <w:r w:rsidRPr="00A84A20">
        <w:rPr>
          <w:i/>
          <w:sz w:val="24"/>
          <w:szCs w:val="24"/>
        </w:rPr>
        <w:t>The Foucault Effect: Studies in Governmentality: With Two Lectures by and an Interview with Michel Foucault</w:t>
      </w:r>
      <w:r w:rsidRPr="00A84A20">
        <w:rPr>
          <w:sz w:val="24"/>
          <w:szCs w:val="24"/>
        </w:rPr>
        <w:t xml:space="preserve"> (Chicago: University of Chicago Press, 1991), 87</w:t>
      </w:r>
      <w:r>
        <w:rPr>
          <w:sz w:val="24"/>
          <w:szCs w:val="24"/>
        </w:rPr>
        <w:t>-</w:t>
      </w:r>
      <w:r w:rsidRPr="00A84A20">
        <w:rPr>
          <w:sz w:val="24"/>
          <w:szCs w:val="24"/>
        </w:rPr>
        <w:t>104</w:t>
      </w:r>
      <w:r>
        <w:rPr>
          <w:sz w:val="24"/>
          <w:szCs w:val="24"/>
        </w:rPr>
        <w:t>;</w:t>
      </w:r>
      <w:r w:rsidRPr="00A84A20">
        <w:rPr>
          <w:sz w:val="24"/>
          <w:szCs w:val="24"/>
        </w:rPr>
        <w:t xml:space="preserve"> and </w:t>
      </w:r>
      <w:r>
        <w:rPr>
          <w:sz w:val="24"/>
          <w:szCs w:val="24"/>
        </w:rPr>
        <w:t>Michel Foucault, ‘</w:t>
      </w:r>
      <w:r w:rsidRPr="00A84A20">
        <w:rPr>
          <w:i/>
          <w:sz w:val="24"/>
          <w:szCs w:val="24"/>
        </w:rPr>
        <w:t>Society Must Be Defended</w:t>
      </w:r>
      <w:r>
        <w:rPr>
          <w:i/>
          <w:sz w:val="24"/>
          <w:szCs w:val="24"/>
        </w:rPr>
        <w:t>’</w:t>
      </w:r>
      <w:r w:rsidRPr="00A84A20">
        <w:rPr>
          <w:i/>
          <w:sz w:val="24"/>
          <w:szCs w:val="24"/>
        </w:rPr>
        <w:t>: Lectures at the Collège de France, 1975</w:t>
      </w:r>
      <w:r>
        <w:rPr>
          <w:i/>
          <w:sz w:val="24"/>
          <w:szCs w:val="24"/>
        </w:rPr>
        <w:t>-</w:t>
      </w:r>
      <w:r w:rsidRPr="00A84A20">
        <w:rPr>
          <w:i/>
          <w:sz w:val="24"/>
          <w:szCs w:val="24"/>
        </w:rPr>
        <w:t xml:space="preserve">76, </w:t>
      </w:r>
      <w:r w:rsidRPr="00A84A20">
        <w:rPr>
          <w:sz w:val="24"/>
          <w:szCs w:val="24"/>
        </w:rPr>
        <w:t>Maurio Bertani and Alessandro Fontana</w:t>
      </w:r>
      <w:r>
        <w:rPr>
          <w:sz w:val="24"/>
          <w:szCs w:val="24"/>
        </w:rPr>
        <w:t xml:space="preserve"> (ed.) (</w:t>
      </w:r>
      <w:r w:rsidRPr="00A84A20">
        <w:rPr>
          <w:sz w:val="24"/>
          <w:szCs w:val="24"/>
        </w:rPr>
        <w:t>David Macey</w:t>
      </w:r>
      <w:r>
        <w:rPr>
          <w:sz w:val="24"/>
          <w:szCs w:val="24"/>
        </w:rPr>
        <w:t xml:space="preserve"> tr, </w:t>
      </w:r>
      <w:r w:rsidRPr="00A84A20">
        <w:rPr>
          <w:sz w:val="24"/>
          <w:szCs w:val="24"/>
        </w:rPr>
        <w:t>New York: Picador, 1997).</w:t>
      </w:r>
    </w:p>
  </w:footnote>
  <w:footnote w:id="45">
    <w:p w14:paraId="7CFE05B6"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Blakely and Raphael, </w:t>
      </w:r>
      <w:r>
        <w:rPr>
          <w:sz w:val="24"/>
          <w:szCs w:val="24"/>
        </w:rPr>
        <w:t>‘</w:t>
      </w:r>
      <w:r w:rsidRPr="00A84A20">
        <w:rPr>
          <w:sz w:val="24"/>
          <w:szCs w:val="24"/>
        </w:rPr>
        <w:t>British Torture</w:t>
      </w:r>
      <w:r>
        <w:rPr>
          <w:sz w:val="24"/>
          <w:szCs w:val="24"/>
        </w:rPr>
        <w:t>’ (n 38)</w:t>
      </w:r>
      <w:r w:rsidRPr="00A84A20">
        <w:rPr>
          <w:sz w:val="24"/>
          <w:szCs w:val="24"/>
        </w:rPr>
        <w:t xml:space="preserve"> 246</w:t>
      </w:r>
      <w:r>
        <w:rPr>
          <w:sz w:val="24"/>
          <w:szCs w:val="24"/>
        </w:rPr>
        <w:t>-</w:t>
      </w:r>
      <w:r w:rsidRPr="00A84A20">
        <w:rPr>
          <w:sz w:val="24"/>
          <w:szCs w:val="24"/>
        </w:rPr>
        <w:t xml:space="preserve">49. See also Owen Bowcott, </w:t>
      </w:r>
      <w:r>
        <w:rPr>
          <w:sz w:val="24"/>
          <w:szCs w:val="24"/>
        </w:rPr>
        <w:t>‘</w:t>
      </w:r>
      <w:r w:rsidRPr="00A84A20">
        <w:rPr>
          <w:sz w:val="24"/>
          <w:szCs w:val="24"/>
        </w:rPr>
        <w:t xml:space="preserve">MI5 Policy Gives Agents </w:t>
      </w:r>
      <w:r>
        <w:rPr>
          <w:sz w:val="24"/>
          <w:szCs w:val="24"/>
        </w:rPr>
        <w:t>“</w:t>
      </w:r>
      <w:r w:rsidRPr="00A84A20">
        <w:rPr>
          <w:sz w:val="24"/>
          <w:szCs w:val="24"/>
        </w:rPr>
        <w:t>Legal Immunity</w:t>
      </w:r>
      <w:r>
        <w:rPr>
          <w:sz w:val="24"/>
          <w:szCs w:val="24"/>
        </w:rPr>
        <w:t>”</w:t>
      </w:r>
      <w:r w:rsidRPr="00A84A20">
        <w:rPr>
          <w:sz w:val="24"/>
          <w:szCs w:val="24"/>
        </w:rPr>
        <w:t xml:space="preserve"> To Commit Serious Crimes</w:t>
      </w:r>
      <w:r>
        <w:rPr>
          <w:sz w:val="24"/>
          <w:szCs w:val="24"/>
        </w:rPr>
        <w:t>’</w:t>
      </w:r>
      <w:r w:rsidRPr="00A84A20">
        <w:rPr>
          <w:sz w:val="24"/>
          <w:szCs w:val="24"/>
        </w:rPr>
        <w:t xml:space="preserve">,  </w:t>
      </w:r>
      <w:r w:rsidRPr="00A84A20">
        <w:rPr>
          <w:i/>
          <w:iCs/>
          <w:sz w:val="24"/>
          <w:szCs w:val="24"/>
        </w:rPr>
        <w:t>The Guardian</w:t>
      </w:r>
      <w:r>
        <w:rPr>
          <w:i/>
          <w:iCs/>
          <w:sz w:val="24"/>
          <w:szCs w:val="24"/>
        </w:rPr>
        <w:t xml:space="preserve"> </w:t>
      </w:r>
      <w:r>
        <w:rPr>
          <w:sz w:val="24"/>
          <w:szCs w:val="24"/>
        </w:rPr>
        <w:t xml:space="preserve">(London, </w:t>
      </w:r>
      <w:r w:rsidRPr="00A84A20">
        <w:rPr>
          <w:sz w:val="24"/>
          <w:szCs w:val="24"/>
        </w:rPr>
        <w:t>5 November</w:t>
      </w:r>
      <w:r>
        <w:rPr>
          <w:sz w:val="24"/>
          <w:szCs w:val="24"/>
        </w:rPr>
        <w:t xml:space="preserve"> </w:t>
      </w:r>
      <w:r w:rsidRPr="00A84A20">
        <w:rPr>
          <w:sz w:val="24"/>
          <w:szCs w:val="24"/>
        </w:rPr>
        <w:t>2019</w:t>
      </w:r>
      <w:r>
        <w:rPr>
          <w:sz w:val="24"/>
          <w:szCs w:val="24"/>
        </w:rPr>
        <w:t>) &lt;</w:t>
      </w:r>
      <w:hyperlink r:id="rId26" w:history="1">
        <w:r w:rsidRPr="00CD296F">
          <w:rPr>
            <w:rStyle w:val="Hyperlink"/>
            <w:sz w:val="24"/>
            <w:szCs w:val="24"/>
          </w:rPr>
          <w:t>https://www.theguardian.com/uk</w:t>
        </w:r>
        <w:r>
          <w:rPr>
            <w:rStyle w:val="Hyperlink"/>
            <w:sz w:val="24"/>
            <w:szCs w:val="24"/>
          </w:rPr>
          <w:t>-</w:t>
        </w:r>
        <w:r w:rsidRPr="00CD296F">
          <w:rPr>
            <w:rStyle w:val="Hyperlink"/>
            <w:sz w:val="24"/>
            <w:szCs w:val="24"/>
          </w:rPr>
          <w:t>news/2019/nov/05/mi5</w:t>
        </w:r>
        <w:r>
          <w:rPr>
            <w:rStyle w:val="Hyperlink"/>
            <w:sz w:val="24"/>
            <w:szCs w:val="24"/>
          </w:rPr>
          <w:t>-</w:t>
        </w:r>
        <w:r w:rsidRPr="00CD296F">
          <w:rPr>
            <w:rStyle w:val="Hyperlink"/>
            <w:sz w:val="24"/>
            <w:szCs w:val="24"/>
          </w:rPr>
          <w:t>policy</w:t>
        </w:r>
        <w:r>
          <w:rPr>
            <w:rStyle w:val="Hyperlink"/>
            <w:sz w:val="24"/>
            <w:szCs w:val="24"/>
          </w:rPr>
          <w:t>-</w:t>
        </w:r>
        <w:r w:rsidRPr="00CD296F">
          <w:rPr>
            <w:rStyle w:val="Hyperlink"/>
            <w:sz w:val="24"/>
            <w:szCs w:val="24"/>
          </w:rPr>
          <w:t>gives</w:t>
        </w:r>
        <w:r>
          <w:rPr>
            <w:rStyle w:val="Hyperlink"/>
            <w:sz w:val="24"/>
            <w:szCs w:val="24"/>
          </w:rPr>
          <w:t>-</w:t>
        </w:r>
        <w:r w:rsidRPr="00CD296F">
          <w:rPr>
            <w:rStyle w:val="Hyperlink"/>
            <w:sz w:val="24"/>
            <w:szCs w:val="24"/>
          </w:rPr>
          <w:t>agents</w:t>
        </w:r>
        <w:r>
          <w:rPr>
            <w:rStyle w:val="Hyperlink"/>
            <w:sz w:val="24"/>
            <w:szCs w:val="24"/>
          </w:rPr>
          <w:t>-</w:t>
        </w:r>
        <w:r w:rsidRPr="00CD296F">
          <w:rPr>
            <w:rStyle w:val="Hyperlink"/>
            <w:sz w:val="24"/>
            <w:szCs w:val="24"/>
          </w:rPr>
          <w:t>legal</w:t>
        </w:r>
        <w:r>
          <w:rPr>
            <w:rStyle w:val="Hyperlink"/>
            <w:sz w:val="24"/>
            <w:szCs w:val="24"/>
          </w:rPr>
          <w:t>-</w:t>
        </w:r>
        <w:r w:rsidRPr="00CD296F">
          <w:rPr>
            <w:rStyle w:val="Hyperlink"/>
            <w:sz w:val="24"/>
            <w:szCs w:val="24"/>
          </w:rPr>
          <w:t>immunity</w:t>
        </w:r>
        <w:r>
          <w:rPr>
            <w:rStyle w:val="Hyperlink"/>
            <w:sz w:val="24"/>
            <w:szCs w:val="24"/>
          </w:rPr>
          <w:t>-</w:t>
        </w:r>
        <w:r w:rsidRPr="00CD296F">
          <w:rPr>
            <w:rStyle w:val="Hyperlink"/>
            <w:sz w:val="24"/>
            <w:szCs w:val="24"/>
          </w:rPr>
          <w:t>to</w:t>
        </w:r>
        <w:r>
          <w:rPr>
            <w:rStyle w:val="Hyperlink"/>
            <w:sz w:val="24"/>
            <w:szCs w:val="24"/>
          </w:rPr>
          <w:t>-</w:t>
        </w:r>
        <w:r w:rsidRPr="00CD296F">
          <w:rPr>
            <w:rStyle w:val="Hyperlink"/>
            <w:sz w:val="24"/>
            <w:szCs w:val="24"/>
          </w:rPr>
          <w:t>commit</w:t>
        </w:r>
        <w:r>
          <w:rPr>
            <w:rStyle w:val="Hyperlink"/>
            <w:sz w:val="24"/>
            <w:szCs w:val="24"/>
          </w:rPr>
          <w:t>-</w:t>
        </w:r>
        <w:r w:rsidRPr="00CD296F">
          <w:rPr>
            <w:rStyle w:val="Hyperlink"/>
            <w:sz w:val="24"/>
            <w:szCs w:val="24"/>
          </w:rPr>
          <w:t>serious</w:t>
        </w:r>
        <w:r>
          <w:rPr>
            <w:rStyle w:val="Hyperlink"/>
            <w:sz w:val="24"/>
            <w:szCs w:val="24"/>
          </w:rPr>
          <w:t>-</w:t>
        </w:r>
        <w:r w:rsidRPr="00CD296F">
          <w:rPr>
            <w:rStyle w:val="Hyperlink"/>
            <w:sz w:val="24"/>
            <w:szCs w:val="24"/>
          </w:rPr>
          <w:t>crimes</w:t>
        </w:r>
      </w:hyperlink>
      <w:r>
        <w:rPr>
          <w:sz w:val="24"/>
          <w:szCs w:val="24"/>
        </w:rPr>
        <w:t xml:space="preserve">&gt; </w:t>
      </w:r>
      <w:r w:rsidRPr="00A84A20">
        <w:rPr>
          <w:sz w:val="24"/>
          <w:szCs w:val="24"/>
        </w:rPr>
        <w:t xml:space="preserve">accessed 27 May 2020; </w:t>
      </w:r>
    </w:p>
    <w:p w14:paraId="382E2016" w14:textId="77777777" w:rsidR="00997966" w:rsidRPr="00A84A20" w:rsidRDefault="00997966" w:rsidP="00997966">
      <w:pPr>
        <w:pStyle w:val="Heading1"/>
        <w:shd w:val="clear" w:color="auto" w:fill="FFFFFF"/>
        <w:spacing w:before="0" w:line="480" w:lineRule="auto"/>
        <w:contextualSpacing/>
        <w:textAlignment w:val="baseline"/>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shd w:val="clear" w:color="auto" w:fill="FFFFFF"/>
        </w:rPr>
        <w:t>‘</w:t>
      </w:r>
      <w:r w:rsidRPr="005252B1">
        <w:rPr>
          <w:rFonts w:ascii="Times New Roman" w:hAnsi="Times New Roman" w:cs="Times New Roman"/>
          <w:b w:val="0"/>
          <w:bCs w:val="0"/>
          <w:color w:val="auto"/>
          <w:sz w:val="24"/>
          <w:szCs w:val="24"/>
          <w:shd w:val="clear" w:color="auto" w:fill="FFFFFF"/>
        </w:rPr>
        <w:t>Supreme Court Rules Torture and Rendition Claims Against UK Government Should Proceed</w:t>
      </w:r>
      <w:r>
        <w:rPr>
          <w:rFonts w:ascii="Times New Roman" w:hAnsi="Times New Roman" w:cs="Times New Roman"/>
          <w:b w:val="0"/>
          <w:bCs w:val="0"/>
          <w:color w:val="auto"/>
          <w:sz w:val="24"/>
          <w:szCs w:val="24"/>
          <w:shd w:val="clear" w:color="auto" w:fill="FFFFFF"/>
        </w:rPr>
        <w:t xml:space="preserve">’ </w:t>
      </w:r>
      <w:r w:rsidRPr="005E4BB0">
        <w:rPr>
          <w:rFonts w:ascii="Times New Roman" w:hAnsi="Times New Roman" w:cs="Times New Roman"/>
          <w:b w:val="0"/>
          <w:bCs w:val="0"/>
          <w:i/>
          <w:iCs/>
          <w:color w:val="auto"/>
          <w:sz w:val="24"/>
          <w:szCs w:val="24"/>
          <w:shd w:val="clear" w:color="auto" w:fill="FFFFFF"/>
        </w:rPr>
        <w:t>(Justice.Org</w:t>
      </w:r>
      <w:r w:rsidRPr="005252B1">
        <w:rPr>
          <w:rFonts w:ascii="Times New Roman" w:hAnsi="Times New Roman" w:cs="Times New Roman"/>
          <w:b w:val="0"/>
          <w:bCs w:val="0"/>
          <w:color w:val="auto"/>
          <w:sz w:val="24"/>
          <w:szCs w:val="24"/>
          <w:shd w:val="clear" w:color="auto" w:fill="FFFFFF"/>
        </w:rPr>
        <w:t>., 17 January 2017</w:t>
      </w:r>
      <w:r>
        <w:rPr>
          <w:rFonts w:ascii="Times New Roman" w:hAnsi="Times New Roman" w:cs="Times New Roman"/>
          <w:b w:val="0"/>
          <w:bCs w:val="0"/>
          <w:color w:val="auto"/>
          <w:sz w:val="24"/>
          <w:szCs w:val="24"/>
          <w:shd w:val="clear" w:color="auto" w:fill="FFFFFF"/>
        </w:rPr>
        <w:t>) &lt;</w:t>
      </w:r>
      <w:hyperlink r:id="rId27" w:history="1">
        <w:r w:rsidRPr="00CD296F">
          <w:rPr>
            <w:rStyle w:val="Hyperlink"/>
            <w:rFonts w:ascii="Times New Roman" w:hAnsi="Times New Roman" w:cs="Times New Roman"/>
            <w:b w:val="0"/>
            <w:bCs w:val="0"/>
            <w:sz w:val="24"/>
            <w:szCs w:val="24"/>
          </w:rPr>
          <w:t>https://justice.org.uk/wp</w:t>
        </w:r>
        <w:r>
          <w:rPr>
            <w:rStyle w:val="Hyperlink"/>
            <w:rFonts w:ascii="Times New Roman" w:hAnsi="Times New Roman" w:cs="Times New Roman"/>
            <w:b w:val="0"/>
            <w:bCs w:val="0"/>
            <w:sz w:val="24"/>
            <w:szCs w:val="24"/>
          </w:rPr>
          <w:t>-</w:t>
        </w:r>
        <w:r w:rsidRPr="00CD296F">
          <w:rPr>
            <w:rStyle w:val="Hyperlink"/>
            <w:rFonts w:ascii="Times New Roman" w:hAnsi="Times New Roman" w:cs="Times New Roman"/>
            <w:b w:val="0"/>
            <w:bCs w:val="0"/>
            <w:sz w:val="24"/>
            <w:szCs w:val="24"/>
          </w:rPr>
          <w:t>content/uploads/2017/01/Belhaj</w:t>
        </w:r>
        <w:r>
          <w:rPr>
            <w:rStyle w:val="Hyperlink"/>
            <w:rFonts w:ascii="Times New Roman" w:hAnsi="Times New Roman" w:cs="Times New Roman"/>
            <w:b w:val="0"/>
            <w:bCs w:val="0"/>
            <w:sz w:val="24"/>
            <w:szCs w:val="24"/>
          </w:rPr>
          <w:t>-</w:t>
        </w:r>
        <w:r w:rsidRPr="00CD296F">
          <w:rPr>
            <w:rStyle w:val="Hyperlink"/>
            <w:rFonts w:ascii="Times New Roman" w:hAnsi="Times New Roman" w:cs="Times New Roman"/>
            <w:b w:val="0"/>
            <w:bCs w:val="0"/>
            <w:sz w:val="24"/>
            <w:szCs w:val="24"/>
          </w:rPr>
          <w:t>Supreme</w:t>
        </w:r>
        <w:r>
          <w:rPr>
            <w:rStyle w:val="Hyperlink"/>
            <w:rFonts w:ascii="Times New Roman" w:hAnsi="Times New Roman" w:cs="Times New Roman"/>
            <w:b w:val="0"/>
            <w:bCs w:val="0"/>
            <w:sz w:val="24"/>
            <w:szCs w:val="24"/>
          </w:rPr>
          <w:t>-</w:t>
        </w:r>
        <w:r w:rsidRPr="00CD296F">
          <w:rPr>
            <w:rStyle w:val="Hyperlink"/>
            <w:rFonts w:ascii="Times New Roman" w:hAnsi="Times New Roman" w:cs="Times New Roman"/>
            <w:b w:val="0"/>
            <w:bCs w:val="0"/>
            <w:sz w:val="24"/>
            <w:szCs w:val="24"/>
          </w:rPr>
          <w:t>Court</w:t>
        </w:r>
        <w:r>
          <w:rPr>
            <w:rStyle w:val="Hyperlink"/>
            <w:rFonts w:ascii="Times New Roman" w:hAnsi="Times New Roman" w:cs="Times New Roman"/>
            <w:b w:val="0"/>
            <w:bCs w:val="0"/>
            <w:sz w:val="24"/>
            <w:szCs w:val="24"/>
          </w:rPr>
          <w:t>-</w:t>
        </w:r>
        <w:r w:rsidRPr="00CD296F">
          <w:rPr>
            <w:rStyle w:val="Hyperlink"/>
            <w:rFonts w:ascii="Times New Roman" w:hAnsi="Times New Roman" w:cs="Times New Roman"/>
            <w:b w:val="0"/>
            <w:bCs w:val="0"/>
            <w:sz w:val="24"/>
            <w:szCs w:val="24"/>
          </w:rPr>
          <w:t>press</w:t>
        </w:r>
        <w:r>
          <w:rPr>
            <w:rStyle w:val="Hyperlink"/>
            <w:rFonts w:ascii="Times New Roman" w:hAnsi="Times New Roman" w:cs="Times New Roman"/>
            <w:b w:val="0"/>
            <w:bCs w:val="0"/>
            <w:sz w:val="24"/>
            <w:szCs w:val="24"/>
          </w:rPr>
          <w:t>-</w:t>
        </w:r>
        <w:r w:rsidRPr="00CD296F">
          <w:rPr>
            <w:rStyle w:val="Hyperlink"/>
            <w:rFonts w:ascii="Times New Roman" w:hAnsi="Times New Roman" w:cs="Times New Roman"/>
            <w:b w:val="0"/>
            <w:bCs w:val="0"/>
            <w:sz w:val="24"/>
            <w:szCs w:val="24"/>
          </w:rPr>
          <w:t>release</w:t>
        </w:r>
        <w:r>
          <w:rPr>
            <w:rStyle w:val="Hyperlink"/>
            <w:rFonts w:ascii="Times New Roman" w:hAnsi="Times New Roman" w:cs="Times New Roman"/>
            <w:b w:val="0"/>
            <w:bCs w:val="0"/>
            <w:sz w:val="24"/>
            <w:szCs w:val="24"/>
          </w:rPr>
          <w:t>-</w:t>
        </w:r>
        <w:r w:rsidRPr="00CD296F">
          <w:rPr>
            <w:rStyle w:val="Hyperlink"/>
            <w:rFonts w:ascii="Times New Roman" w:hAnsi="Times New Roman" w:cs="Times New Roman"/>
            <w:b w:val="0"/>
            <w:bCs w:val="0"/>
            <w:sz w:val="24"/>
            <w:szCs w:val="24"/>
          </w:rPr>
          <w:t>2017</w:t>
        </w:r>
        <w:r>
          <w:rPr>
            <w:rStyle w:val="Hyperlink"/>
            <w:rFonts w:ascii="Times New Roman" w:hAnsi="Times New Roman" w:cs="Times New Roman"/>
            <w:b w:val="0"/>
            <w:bCs w:val="0"/>
            <w:sz w:val="24"/>
            <w:szCs w:val="24"/>
          </w:rPr>
          <w:t>-</w:t>
        </w:r>
        <w:r w:rsidRPr="00CD296F">
          <w:rPr>
            <w:rStyle w:val="Hyperlink"/>
            <w:rFonts w:ascii="Times New Roman" w:hAnsi="Times New Roman" w:cs="Times New Roman"/>
            <w:b w:val="0"/>
            <w:bCs w:val="0"/>
            <w:sz w:val="24"/>
            <w:szCs w:val="24"/>
          </w:rPr>
          <w:t>01</w:t>
        </w:r>
        <w:r>
          <w:rPr>
            <w:rStyle w:val="Hyperlink"/>
            <w:rFonts w:ascii="Times New Roman" w:hAnsi="Times New Roman" w:cs="Times New Roman"/>
            <w:b w:val="0"/>
            <w:bCs w:val="0"/>
            <w:sz w:val="24"/>
            <w:szCs w:val="24"/>
          </w:rPr>
          <w:t>-</w:t>
        </w:r>
        <w:r w:rsidRPr="00CD296F">
          <w:rPr>
            <w:rStyle w:val="Hyperlink"/>
            <w:rFonts w:ascii="Times New Roman" w:hAnsi="Times New Roman" w:cs="Times New Roman"/>
            <w:b w:val="0"/>
            <w:bCs w:val="0"/>
            <w:sz w:val="24"/>
            <w:szCs w:val="24"/>
          </w:rPr>
          <w:t>17.pdf</w:t>
        </w:r>
      </w:hyperlink>
      <w:r w:rsidRPr="008D4EBF">
        <w:rPr>
          <w:rFonts w:ascii="Times New Roman" w:hAnsi="Times New Roman" w:cs="Times New Roman"/>
          <w:b w:val="0"/>
          <w:bCs w:val="0"/>
          <w:color w:val="auto"/>
          <w:sz w:val="24"/>
          <w:szCs w:val="24"/>
          <w:u w:val="single"/>
        </w:rPr>
        <w:t>&gt;</w:t>
      </w:r>
      <w:r>
        <w:rPr>
          <w:rFonts w:ascii="Times New Roman" w:hAnsi="Times New Roman" w:cs="Times New Roman"/>
          <w:b w:val="0"/>
          <w:bCs w:val="0"/>
          <w:sz w:val="24"/>
          <w:szCs w:val="24"/>
        </w:rPr>
        <w:t xml:space="preserve"> </w:t>
      </w:r>
      <w:r w:rsidRPr="00A84A20">
        <w:rPr>
          <w:rFonts w:ascii="Times New Roman" w:hAnsi="Times New Roman" w:cs="Times New Roman"/>
          <w:b w:val="0"/>
          <w:bCs w:val="0"/>
          <w:color w:val="auto"/>
          <w:sz w:val="24"/>
          <w:szCs w:val="24"/>
        </w:rPr>
        <w:t xml:space="preserve">accessed </w:t>
      </w:r>
      <w:r>
        <w:rPr>
          <w:rFonts w:ascii="Times New Roman" w:hAnsi="Times New Roman" w:cs="Times New Roman"/>
          <w:b w:val="0"/>
          <w:bCs w:val="0"/>
          <w:color w:val="auto"/>
          <w:sz w:val="24"/>
          <w:szCs w:val="24"/>
        </w:rPr>
        <w:t xml:space="preserve">28 </w:t>
      </w:r>
      <w:r w:rsidRPr="00A84A20">
        <w:rPr>
          <w:rFonts w:ascii="Times New Roman" w:hAnsi="Times New Roman" w:cs="Times New Roman"/>
          <w:b w:val="0"/>
          <w:bCs w:val="0"/>
          <w:color w:val="auto"/>
          <w:sz w:val="24"/>
          <w:szCs w:val="24"/>
        </w:rPr>
        <w:t xml:space="preserve">May 2020; and Banham, </w:t>
      </w:r>
      <w:r w:rsidRPr="00A84A20">
        <w:rPr>
          <w:rFonts w:ascii="Times New Roman" w:hAnsi="Times New Roman" w:cs="Times New Roman"/>
          <w:b w:val="0"/>
          <w:bCs w:val="0"/>
          <w:i/>
          <w:iCs/>
          <w:color w:val="auto"/>
          <w:sz w:val="24"/>
          <w:szCs w:val="24"/>
        </w:rPr>
        <w:t>Liberal Democracies</w:t>
      </w:r>
      <w:r>
        <w:rPr>
          <w:rFonts w:ascii="Times New Roman" w:hAnsi="Times New Roman" w:cs="Times New Roman"/>
          <w:b w:val="0"/>
          <w:bCs w:val="0"/>
          <w:color w:val="auto"/>
          <w:sz w:val="24"/>
          <w:szCs w:val="24"/>
        </w:rPr>
        <w:t xml:space="preserve"> (n 19)</w:t>
      </w:r>
      <w:r w:rsidRPr="00A84A20">
        <w:rPr>
          <w:rFonts w:ascii="Times New Roman" w:hAnsi="Times New Roman" w:cs="Times New Roman"/>
          <w:b w:val="0"/>
          <w:bCs w:val="0"/>
          <w:color w:val="auto"/>
          <w:sz w:val="24"/>
          <w:szCs w:val="24"/>
        </w:rPr>
        <w:t xml:space="preserve"> 123</w:t>
      </w:r>
      <w:r>
        <w:rPr>
          <w:rFonts w:ascii="Times New Roman" w:hAnsi="Times New Roman" w:cs="Times New Roman"/>
          <w:b w:val="0"/>
          <w:bCs w:val="0"/>
          <w:color w:val="auto"/>
          <w:sz w:val="24"/>
          <w:szCs w:val="24"/>
        </w:rPr>
        <w:t>-</w:t>
      </w:r>
      <w:r w:rsidRPr="00A84A20">
        <w:rPr>
          <w:rFonts w:ascii="Times New Roman" w:hAnsi="Times New Roman" w:cs="Times New Roman"/>
          <w:b w:val="0"/>
          <w:bCs w:val="0"/>
          <w:color w:val="auto"/>
          <w:sz w:val="24"/>
          <w:szCs w:val="24"/>
        </w:rPr>
        <w:t>25.</w:t>
      </w:r>
    </w:p>
  </w:footnote>
  <w:footnote w:id="46">
    <w:p w14:paraId="5C91C754" w14:textId="77777777" w:rsidR="00997966" w:rsidRPr="00A84A20" w:rsidRDefault="00997966" w:rsidP="00997966">
      <w:pPr>
        <w:pStyle w:val="FootnoteText"/>
        <w:spacing w:line="480" w:lineRule="auto"/>
        <w:contextualSpacing/>
        <w:rPr>
          <w:i/>
          <w:iCs/>
          <w:sz w:val="24"/>
          <w:szCs w:val="24"/>
        </w:rPr>
      </w:pPr>
      <w:r w:rsidRPr="00A84A20">
        <w:rPr>
          <w:rStyle w:val="FootnoteReference"/>
          <w:sz w:val="24"/>
          <w:szCs w:val="24"/>
        </w:rPr>
        <w:footnoteRef/>
      </w:r>
      <w:r w:rsidRPr="00A84A20">
        <w:rPr>
          <w:sz w:val="24"/>
          <w:szCs w:val="24"/>
        </w:rPr>
        <w:t xml:space="preserve"> Ibid, 246</w:t>
      </w:r>
      <w:r>
        <w:rPr>
          <w:sz w:val="24"/>
          <w:szCs w:val="24"/>
        </w:rPr>
        <w:t>-</w:t>
      </w:r>
      <w:r w:rsidRPr="00A84A20">
        <w:rPr>
          <w:sz w:val="24"/>
          <w:szCs w:val="24"/>
        </w:rPr>
        <w:t>47, 252</w:t>
      </w:r>
      <w:r>
        <w:rPr>
          <w:sz w:val="24"/>
          <w:szCs w:val="24"/>
        </w:rPr>
        <w:t>-</w:t>
      </w:r>
      <w:r w:rsidRPr="00A84A20">
        <w:rPr>
          <w:sz w:val="24"/>
          <w:szCs w:val="24"/>
        </w:rPr>
        <w:t xml:space="preserve">57; </w:t>
      </w:r>
      <w:r>
        <w:rPr>
          <w:sz w:val="24"/>
          <w:szCs w:val="24"/>
        </w:rPr>
        <w:t xml:space="preserve">and </w:t>
      </w:r>
      <w:r w:rsidRPr="00A84A20">
        <w:rPr>
          <w:sz w:val="24"/>
          <w:szCs w:val="24"/>
        </w:rPr>
        <w:t xml:space="preserve">Banham, </w:t>
      </w:r>
      <w:r w:rsidRPr="00A84A20">
        <w:rPr>
          <w:i/>
          <w:iCs/>
          <w:sz w:val="24"/>
          <w:szCs w:val="24"/>
        </w:rPr>
        <w:t>Liberal Democracies</w:t>
      </w:r>
      <w:r>
        <w:rPr>
          <w:i/>
          <w:iCs/>
          <w:sz w:val="24"/>
          <w:szCs w:val="24"/>
        </w:rPr>
        <w:t xml:space="preserve"> </w:t>
      </w:r>
      <w:r>
        <w:rPr>
          <w:sz w:val="24"/>
          <w:szCs w:val="24"/>
        </w:rPr>
        <w:t>(n 19)</w:t>
      </w:r>
      <w:r w:rsidRPr="00A84A20">
        <w:rPr>
          <w:i/>
          <w:iCs/>
          <w:sz w:val="24"/>
          <w:szCs w:val="24"/>
        </w:rPr>
        <w:t xml:space="preserve"> </w:t>
      </w:r>
      <w:r w:rsidRPr="00A84A20">
        <w:rPr>
          <w:sz w:val="24"/>
          <w:szCs w:val="24"/>
        </w:rPr>
        <w:t xml:space="preserve">147; see also Ian Cobain and Ewen MacAskill, </w:t>
      </w:r>
      <w:r>
        <w:rPr>
          <w:sz w:val="24"/>
          <w:szCs w:val="24"/>
        </w:rPr>
        <w:t>‘</w:t>
      </w:r>
      <w:r w:rsidRPr="00A84A20">
        <w:rPr>
          <w:sz w:val="24"/>
          <w:szCs w:val="24"/>
        </w:rPr>
        <w:t>The True Scale of UK Role in Torture and Rendition After 9/11 Revealed</w:t>
      </w:r>
      <w:r>
        <w:rPr>
          <w:sz w:val="24"/>
          <w:szCs w:val="24"/>
        </w:rPr>
        <w:t>’</w:t>
      </w:r>
      <w:r w:rsidRPr="00A84A20">
        <w:rPr>
          <w:sz w:val="24"/>
          <w:szCs w:val="24"/>
        </w:rPr>
        <w:t xml:space="preserve">, </w:t>
      </w:r>
      <w:r w:rsidRPr="00A84A20">
        <w:rPr>
          <w:i/>
          <w:iCs/>
          <w:sz w:val="24"/>
          <w:szCs w:val="24"/>
        </w:rPr>
        <w:t>The Guardia</w:t>
      </w:r>
      <w:r>
        <w:rPr>
          <w:i/>
          <w:iCs/>
          <w:sz w:val="24"/>
          <w:szCs w:val="24"/>
        </w:rPr>
        <w:t xml:space="preserve"> </w:t>
      </w:r>
      <w:r>
        <w:rPr>
          <w:sz w:val="24"/>
          <w:szCs w:val="24"/>
        </w:rPr>
        <w:t xml:space="preserve">(London, </w:t>
      </w:r>
      <w:r w:rsidRPr="00A84A20">
        <w:rPr>
          <w:sz w:val="24"/>
          <w:szCs w:val="24"/>
        </w:rPr>
        <w:t>28 June</w:t>
      </w:r>
      <w:r>
        <w:rPr>
          <w:sz w:val="24"/>
          <w:szCs w:val="24"/>
        </w:rPr>
        <w:t xml:space="preserve"> </w:t>
      </w:r>
      <w:r w:rsidRPr="00A84A20">
        <w:rPr>
          <w:sz w:val="24"/>
          <w:szCs w:val="24"/>
        </w:rPr>
        <w:t>2018</w:t>
      </w:r>
      <w:r>
        <w:rPr>
          <w:sz w:val="24"/>
          <w:szCs w:val="24"/>
        </w:rPr>
        <w:t>) &lt;</w:t>
      </w:r>
      <w:hyperlink r:id="rId28" w:history="1">
        <w:r w:rsidRPr="00A84A20">
          <w:rPr>
            <w:rStyle w:val="Hyperlink"/>
            <w:sz w:val="24"/>
            <w:szCs w:val="24"/>
          </w:rPr>
          <w:t>https://www.theguardian.com/uk</w:t>
        </w:r>
        <w:r>
          <w:rPr>
            <w:rStyle w:val="Hyperlink"/>
            <w:sz w:val="24"/>
            <w:szCs w:val="24"/>
          </w:rPr>
          <w:t>-</w:t>
        </w:r>
        <w:r w:rsidRPr="00A84A20">
          <w:rPr>
            <w:rStyle w:val="Hyperlink"/>
            <w:sz w:val="24"/>
            <w:szCs w:val="24"/>
          </w:rPr>
          <w:t>news/2018/jun/28/uk</w:t>
        </w:r>
        <w:r>
          <w:rPr>
            <w:rStyle w:val="Hyperlink"/>
            <w:sz w:val="24"/>
            <w:szCs w:val="24"/>
          </w:rPr>
          <w:t>-</w:t>
        </w:r>
        <w:r w:rsidRPr="00A84A20">
          <w:rPr>
            <w:rStyle w:val="Hyperlink"/>
            <w:sz w:val="24"/>
            <w:szCs w:val="24"/>
          </w:rPr>
          <w:t>role</w:t>
        </w:r>
        <w:r>
          <w:rPr>
            <w:rStyle w:val="Hyperlink"/>
            <w:sz w:val="24"/>
            <w:szCs w:val="24"/>
          </w:rPr>
          <w:t>-</w:t>
        </w:r>
        <w:r w:rsidRPr="00A84A20">
          <w:rPr>
            <w:rStyle w:val="Hyperlink"/>
            <w:sz w:val="24"/>
            <w:szCs w:val="24"/>
          </w:rPr>
          <w:t>torture</w:t>
        </w:r>
        <w:r>
          <w:rPr>
            <w:rStyle w:val="Hyperlink"/>
            <w:sz w:val="24"/>
            <w:szCs w:val="24"/>
          </w:rPr>
          <w:t>-</w:t>
        </w:r>
        <w:r w:rsidRPr="00A84A20">
          <w:rPr>
            <w:rStyle w:val="Hyperlink"/>
            <w:sz w:val="24"/>
            <w:szCs w:val="24"/>
          </w:rPr>
          <w:t>kidnap</w:t>
        </w:r>
        <w:r>
          <w:rPr>
            <w:rStyle w:val="Hyperlink"/>
            <w:sz w:val="24"/>
            <w:szCs w:val="24"/>
          </w:rPr>
          <w:t>-</w:t>
        </w:r>
        <w:r w:rsidRPr="00A84A20">
          <w:rPr>
            <w:rStyle w:val="Hyperlink"/>
            <w:sz w:val="24"/>
            <w:szCs w:val="24"/>
          </w:rPr>
          <w:t>terror</w:t>
        </w:r>
        <w:r>
          <w:rPr>
            <w:rStyle w:val="Hyperlink"/>
            <w:sz w:val="24"/>
            <w:szCs w:val="24"/>
          </w:rPr>
          <w:t>-</w:t>
        </w:r>
        <w:r w:rsidRPr="00A84A20">
          <w:rPr>
            <w:rStyle w:val="Hyperlink"/>
            <w:sz w:val="24"/>
            <w:szCs w:val="24"/>
          </w:rPr>
          <w:t>suspects</w:t>
        </w:r>
        <w:r>
          <w:rPr>
            <w:rStyle w:val="Hyperlink"/>
            <w:sz w:val="24"/>
            <w:szCs w:val="24"/>
          </w:rPr>
          <w:t>-</w:t>
        </w:r>
        <w:r w:rsidRPr="00A84A20">
          <w:rPr>
            <w:rStyle w:val="Hyperlink"/>
            <w:sz w:val="24"/>
            <w:szCs w:val="24"/>
          </w:rPr>
          <w:t>after</w:t>
        </w:r>
        <w:r>
          <w:rPr>
            <w:rStyle w:val="Hyperlink"/>
            <w:sz w:val="24"/>
            <w:szCs w:val="24"/>
          </w:rPr>
          <w:t>-</w:t>
        </w:r>
        <w:r w:rsidRPr="00A84A20">
          <w:rPr>
            <w:rStyle w:val="Hyperlink"/>
            <w:sz w:val="24"/>
            <w:szCs w:val="24"/>
          </w:rPr>
          <w:t>911</w:t>
        </w:r>
        <w:r>
          <w:rPr>
            <w:rStyle w:val="Hyperlink"/>
            <w:sz w:val="24"/>
            <w:szCs w:val="24"/>
          </w:rPr>
          <w:t>-</w:t>
        </w:r>
        <w:r w:rsidRPr="00A84A20">
          <w:rPr>
            <w:rStyle w:val="Hyperlink"/>
            <w:sz w:val="24"/>
            <w:szCs w:val="24"/>
          </w:rPr>
          <w:t>revealed</w:t>
        </w:r>
      </w:hyperlink>
      <w:r>
        <w:rPr>
          <w:sz w:val="24"/>
          <w:szCs w:val="24"/>
        </w:rPr>
        <w:t>&gt;</w:t>
      </w:r>
      <w:r w:rsidRPr="00A84A20">
        <w:rPr>
          <w:sz w:val="24"/>
          <w:szCs w:val="24"/>
        </w:rPr>
        <w:t xml:space="preserve"> accessed </w:t>
      </w:r>
      <w:r>
        <w:rPr>
          <w:sz w:val="24"/>
          <w:szCs w:val="24"/>
        </w:rPr>
        <w:t xml:space="preserve">27 </w:t>
      </w:r>
      <w:r w:rsidRPr="00A84A20">
        <w:rPr>
          <w:sz w:val="24"/>
          <w:szCs w:val="24"/>
        </w:rPr>
        <w:t xml:space="preserve">May 2020; and Dan Sabbagh, </w:t>
      </w:r>
      <w:r>
        <w:rPr>
          <w:sz w:val="24"/>
          <w:szCs w:val="24"/>
        </w:rPr>
        <w:t>‘</w:t>
      </w:r>
      <w:r w:rsidRPr="00A84A20">
        <w:rPr>
          <w:sz w:val="24"/>
          <w:szCs w:val="24"/>
        </w:rPr>
        <w:t>MoD Says Revised Torture Guidance Does Not Lower Standards</w:t>
      </w:r>
      <w:r>
        <w:rPr>
          <w:sz w:val="24"/>
          <w:szCs w:val="24"/>
        </w:rPr>
        <w:t>’</w:t>
      </w:r>
      <w:r w:rsidRPr="00A84A20">
        <w:rPr>
          <w:sz w:val="24"/>
          <w:szCs w:val="24"/>
        </w:rPr>
        <w:t xml:space="preserve">, </w:t>
      </w:r>
      <w:r w:rsidRPr="00A84A20">
        <w:rPr>
          <w:i/>
          <w:iCs/>
          <w:sz w:val="24"/>
          <w:szCs w:val="24"/>
        </w:rPr>
        <w:t>The Guardian</w:t>
      </w:r>
      <w:r>
        <w:rPr>
          <w:sz w:val="24"/>
          <w:szCs w:val="24"/>
        </w:rPr>
        <w:t xml:space="preserve"> (London, </w:t>
      </w:r>
      <w:r w:rsidRPr="00A84A20">
        <w:rPr>
          <w:sz w:val="24"/>
          <w:szCs w:val="24"/>
        </w:rPr>
        <w:t>20 May 2019</w:t>
      </w:r>
      <w:r>
        <w:rPr>
          <w:sz w:val="24"/>
          <w:szCs w:val="24"/>
        </w:rPr>
        <w:t>). &lt;</w:t>
      </w:r>
      <w:hyperlink r:id="rId29" w:history="1">
        <w:r w:rsidRPr="00A84A20">
          <w:rPr>
            <w:rStyle w:val="Hyperlink"/>
            <w:sz w:val="24"/>
            <w:szCs w:val="24"/>
          </w:rPr>
          <w:t>https://www.theguardian.com/law/2019/may/20/rewritten</w:t>
        </w:r>
        <w:r>
          <w:rPr>
            <w:rStyle w:val="Hyperlink"/>
            <w:sz w:val="24"/>
            <w:szCs w:val="24"/>
          </w:rPr>
          <w:t>-</w:t>
        </w:r>
        <w:r w:rsidRPr="00A84A20">
          <w:rPr>
            <w:rStyle w:val="Hyperlink"/>
            <w:sz w:val="24"/>
            <w:szCs w:val="24"/>
          </w:rPr>
          <w:t>mod</w:t>
        </w:r>
        <w:r>
          <w:rPr>
            <w:rStyle w:val="Hyperlink"/>
            <w:sz w:val="24"/>
            <w:szCs w:val="24"/>
          </w:rPr>
          <w:t>-</w:t>
        </w:r>
        <w:r w:rsidRPr="00A84A20">
          <w:rPr>
            <w:rStyle w:val="Hyperlink"/>
            <w:sz w:val="24"/>
            <w:szCs w:val="24"/>
          </w:rPr>
          <w:t>guidance</w:t>
        </w:r>
        <w:r>
          <w:rPr>
            <w:rStyle w:val="Hyperlink"/>
            <w:sz w:val="24"/>
            <w:szCs w:val="24"/>
          </w:rPr>
          <w:t>-</w:t>
        </w:r>
        <w:r w:rsidRPr="00A84A20">
          <w:rPr>
            <w:rStyle w:val="Hyperlink"/>
            <w:sz w:val="24"/>
            <w:szCs w:val="24"/>
          </w:rPr>
          <w:t>could</w:t>
        </w:r>
        <w:r>
          <w:rPr>
            <w:rStyle w:val="Hyperlink"/>
            <w:sz w:val="24"/>
            <w:szCs w:val="24"/>
          </w:rPr>
          <w:t>-</w:t>
        </w:r>
        <w:r w:rsidRPr="00A84A20">
          <w:rPr>
            <w:rStyle w:val="Hyperlink"/>
            <w:sz w:val="24"/>
            <w:szCs w:val="24"/>
          </w:rPr>
          <w:t>leave</w:t>
        </w:r>
        <w:r>
          <w:rPr>
            <w:rStyle w:val="Hyperlink"/>
            <w:sz w:val="24"/>
            <w:szCs w:val="24"/>
          </w:rPr>
          <w:t>-</w:t>
        </w:r>
        <w:r w:rsidRPr="00A84A20">
          <w:rPr>
            <w:rStyle w:val="Hyperlink"/>
            <w:sz w:val="24"/>
            <w:szCs w:val="24"/>
          </w:rPr>
          <w:t>door</w:t>
        </w:r>
        <w:r>
          <w:rPr>
            <w:rStyle w:val="Hyperlink"/>
            <w:sz w:val="24"/>
            <w:szCs w:val="24"/>
          </w:rPr>
          <w:t>-</w:t>
        </w:r>
        <w:r w:rsidRPr="00A84A20">
          <w:rPr>
            <w:rStyle w:val="Hyperlink"/>
            <w:sz w:val="24"/>
            <w:szCs w:val="24"/>
          </w:rPr>
          <w:t>open</w:t>
        </w:r>
        <w:r>
          <w:rPr>
            <w:rStyle w:val="Hyperlink"/>
            <w:sz w:val="24"/>
            <w:szCs w:val="24"/>
          </w:rPr>
          <w:t>-</w:t>
        </w:r>
        <w:r w:rsidRPr="00A84A20">
          <w:rPr>
            <w:rStyle w:val="Hyperlink"/>
            <w:sz w:val="24"/>
            <w:szCs w:val="24"/>
          </w:rPr>
          <w:t>for</w:t>
        </w:r>
        <w:r>
          <w:rPr>
            <w:rStyle w:val="Hyperlink"/>
            <w:sz w:val="24"/>
            <w:szCs w:val="24"/>
          </w:rPr>
          <w:t>-</w:t>
        </w:r>
        <w:r w:rsidRPr="00A84A20">
          <w:rPr>
            <w:rStyle w:val="Hyperlink"/>
            <w:sz w:val="24"/>
            <w:szCs w:val="24"/>
          </w:rPr>
          <w:t>torture</w:t>
        </w:r>
      </w:hyperlink>
      <w:r>
        <w:rPr>
          <w:sz w:val="24"/>
          <w:szCs w:val="24"/>
        </w:rPr>
        <w:t xml:space="preserve">&gt; </w:t>
      </w:r>
      <w:r w:rsidRPr="00A84A20">
        <w:rPr>
          <w:sz w:val="24"/>
          <w:szCs w:val="24"/>
        </w:rPr>
        <w:t>accessed 27 May 2020. Parliament, the judiciary, civil rights organi</w:t>
      </w:r>
      <w:r>
        <w:rPr>
          <w:sz w:val="24"/>
          <w:szCs w:val="24"/>
        </w:rPr>
        <w:t>z</w:t>
      </w:r>
      <w:r w:rsidRPr="00A84A20">
        <w:rPr>
          <w:sz w:val="24"/>
          <w:szCs w:val="24"/>
        </w:rPr>
        <w:t>ations, and the press</w:t>
      </w:r>
      <w:r>
        <w:rPr>
          <w:sz w:val="24"/>
          <w:szCs w:val="24"/>
        </w:rPr>
        <w:t>—</w:t>
      </w:r>
      <w:r w:rsidRPr="00A84A20">
        <w:rPr>
          <w:sz w:val="24"/>
          <w:szCs w:val="24"/>
        </w:rPr>
        <w:t xml:space="preserve">particularly </w:t>
      </w:r>
      <w:r w:rsidRPr="00A84A20">
        <w:rPr>
          <w:i/>
          <w:iCs/>
          <w:sz w:val="24"/>
          <w:szCs w:val="24"/>
        </w:rPr>
        <w:t>The Guardian</w:t>
      </w:r>
      <w:r>
        <w:rPr>
          <w:sz w:val="24"/>
          <w:szCs w:val="24"/>
        </w:rPr>
        <w:t>—</w:t>
      </w:r>
      <w:r w:rsidRPr="00A84A20">
        <w:rPr>
          <w:sz w:val="24"/>
          <w:szCs w:val="24"/>
        </w:rPr>
        <w:t xml:space="preserve">have, however, done much to challenge such a narrative. </w:t>
      </w:r>
      <w:r>
        <w:rPr>
          <w:sz w:val="24"/>
          <w:szCs w:val="24"/>
        </w:rPr>
        <w:t>Yet t</w:t>
      </w:r>
      <w:r w:rsidRPr="00A84A20">
        <w:rPr>
          <w:sz w:val="24"/>
          <w:szCs w:val="24"/>
        </w:rPr>
        <w:t>he former has also</w:t>
      </w:r>
      <w:r>
        <w:rPr>
          <w:sz w:val="24"/>
          <w:szCs w:val="24"/>
        </w:rPr>
        <w:t xml:space="preserve"> </w:t>
      </w:r>
      <w:r w:rsidRPr="00A84A20">
        <w:rPr>
          <w:sz w:val="24"/>
          <w:szCs w:val="24"/>
        </w:rPr>
        <w:t>served to undermine it, as in the sanctioning of the use of evidence obtained through torture</w:t>
      </w:r>
      <w:r>
        <w:rPr>
          <w:sz w:val="24"/>
          <w:szCs w:val="24"/>
        </w:rPr>
        <w:t xml:space="preserve"> by the House of Lords</w:t>
      </w:r>
      <w:r w:rsidRPr="00A84A20">
        <w:rPr>
          <w:sz w:val="24"/>
          <w:szCs w:val="24"/>
        </w:rPr>
        <w:t xml:space="preserve"> in 2005. See 303 </w:t>
      </w:r>
      <w:r w:rsidRPr="00F75CFF">
        <w:rPr>
          <w:i/>
          <w:iCs/>
          <w:sz w:val="24"/>
          <w:szCs w:val="24"/>
        </w:rPr>
        <w:t>A (FC) v Secretary of State</w:t>
      </w:r>
      <w:r w:rsidRPr="00A84A20">
        <w:rPr>
          <w:sz w:val="24"/>
          <w:szCs w:val="24"/>
        </w:rPr>
        <w:t xml:space="preserve"> [2005] UKHL 71, cited in Banham, </w:t>
      </w:r>
      <w:r w:rsidRPr="00A84A20">
        <w:rPr>
          <w:i/>
          <w:iCs/>
          <w:sz w:val="24"/>
          <w:szCs w:val="24"/>
        </w:rPr>
        <w:t>Liberal Democracie</w:t>
      </w:r>
      <w:r>
        <w:rPr>
          <w:i/>
          <w:iCs/>
          <w:sz w:val="24"/>
          <w:szCs w:val="24"/>
        </w:rPr>
        <w:t xml:space="preserve">s </w:t>
      </w:r>
      <w:r>
        <w:rPr>
          <w:sz w:val="24"/>
          <w:szCs w:val="24"/>
        </w:rPr>
        <w:t>(n 19)</w:t>
      </w:r>
      <w:r w:rsidRPr="00A84A20">
        <w:rPr>
          <w:i/>
          <w:iCs/>
          <w:sz w:val="24"/>
          <w:szCs w:val="24"/>
        </w:rPr>
        <w:t xml:space="preserve"> </w:t>
      </w:r>
      <w:r w:rsidRPr="00A84A20">
        <w:rPr>
          <w:sz w:val="24"/>
          <w:szCs w:val="24"/>
        </w:rPr>
        <w:t>149</w:t>
      </w:r>
      <w:r>
        <w:rPr>
          <w:sz w:val="24"/>
          <w:szCs w:val="24"/>
        </w:rPr>
        <w:t>-</w:t>
      </w:r>
      <w:r w:rsidRPr="00A84A20">
        <w:rPr>
          <w:sz w:val="24"/>
          <w:szCs w:val="24"/>
        </w:rPr>
        <w:t xml:space="preserve">50. </w:t>
      </w:r>
    </w:p>
  </w:footnote>
  <w:footnote w:id="47">
    <w:p w14:paraId="5F98CB76"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The United States also, of course, gave tremendous power to its </w:t>
      </w:r>
      <w:r>
        <w:rPr>
          <w:sz w:val="24"/>
          <w:szCs w:val="24"/>
        </w:rPr>
        <w:t>‘</w:t>
      </w:r>
      <w:r w:rsidRPr="00A84A20">
        <w:rPr>
          <w:sz w:val="24"/>
          <w:szCs w:val="24"/>
        </w:rPr>
        <w:t>petty sovereigns</w:t>
      </w:r>
      <w:r>
        <w:rPr>
          <w:sz w:val="24"/>
          <w:szCs w:val="24"/>
        </w:rPr>
        <w:t>’</w:t>
      </w:r>
      <w:r w:rsidRPr="00A84A20">
        <w:rPr>
          <w:sz w:val="24"/>
          <w:szCs w:val="24"/>
        </w:rPr>
        <w:t xml:space="preserve"> in the </w:t>
      </w:r>
      <w:r>
        <w:rPr>
          <w:sz w:val="24"/>
          <w:szCs w:val="24"/>
        </w:rPr>
        <w:t>‘</w:t>
      </w:r>
      <w:r w:rsidRPr="00A84A20">
        <w:rPr>
          <w:sz w:val="24"/>
          <w:szCs w:val="24"/>
        </w:rPr>
        <w:t>war on terror</w:t>
      </w:r>
      <w:r>
        <w:rPr>
          <w:sz w:val="24"/>
          <w:szCs w:val="24"/>
        </w:rPr>
        <w:t>’</w:t>
      </w:r>
      <w:r w:rsidRPr="00A84A20">
        <w:rPr>
          <w:sz w:val="24"/>
          <w:szCs w:val="24"/>
        </w:rPr>
        <w:t xml:space="preserve">, as Butler demonstrates, but in contrast to British personnel they were clearly not restricted to a purely facilitatory role in the perpetuation of torture. See Butler, </w:t>
      </w:r>
      <w:r w:rsidRPr="00A84A20">
        <w:rPr>
          <w:i/>
          <w:iCs/>
          <w:sz w:val="24"/>
          <w:szCs w:val="24"/>
        </w:rPr>
        <w:t>Precarious Life</w:t>
      </w:r>
      <w:r>
        <w:rPr>
          <w:i/>
          <w:iCs/>
          <w:sz w:val="24"/>
          <w:szCs w:val="24"/>
        </w:rPr>
        <w:t xml:space="preserve"> </w:t>
      </w:r>
      <w:r>
        <w:rPr>
          <w:sz w:val="24"/>
          <w:szCs w:val="24"/>
        </w:rPr>
        <w:t>(n 38)</w:t>
      </w:r>
      <w:r w:rsidRPr="00A84A20">
        <w:rPr>
          <w:sz w:val="24"/>
          <w:szCs w:val="24"/>
        </w:rPr>
        <w:t xml:space="preserve">. </w:t>
      </w:r>
    </w:p>
  </w:footnote>
  <w:footnote w:id="48">
    <w:p w14:paraId="03C267EE"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Kim Wagner, </w:t>
      </w:r>
      <w:proofErr w:type="gramStart"/>
      <w:r>
        <w:rPr>
          <w:sz w:val="24"/>
          <w:szCs w:val="24"/>
        </w:rPr>
        <w:t>‘”</w:t>
      </w:r>
      <w:r w:rsidRPr="00A84A20">
        <w:rPr>
          <w:sz w:val="24"/>
          <w:szCs w:val="24"/>
        </w:rPr>
        <w:t>Calculated</w:t>
      </w:r>
      <w:proofErr w:type="gramEnd"/>
      <w:r w:rsidRPr="00A84A20">
        <w:rPr>
          <w:sz w:val="24"/>
          <w:szCs w:val="24"/>
        </w:rPr>
        <w:t xml:space="preserve"> to Strike Terror</w:t>
      </w:r>
      <w:r>
        <w:rPr>
          <w:sz w:val="24"/>
          <w:szCs w:val="24"/>
        </w:rPr>
        <w:t>”</w:t>
      </w:r>
      <w:r w:rsidRPr="00A84A20">
        <w:rPr>
          <w:sz w:val="24"/>
          <w:szCs w:val="24"/>
        </w:rPr>
        <w:t>: The Amritsar Massacre and the Spectacle of Colonial Violence</w:t>
      </w:r>
      <w:r>
        <w:rPr>
          <w:sz w:val="24"/>
          <w:szCs w:val="24"/>
        </w:rPr>
        <w:t>’</w:t>
      </w:r>
      <w:r w:rsidRPr="00A84A20">
        <w:rPr>
          <w:sz w:val="24"/>
          <w:szCs w:val="24"/>
        </w:rPr>
        <w:t xml:space="preserve">, </w:t>
      </w:r>
      <w:r w:rsidRPr="00A84A20">
        <w:rPr>
          <w:i/>
          <w:iCs/>
          <w:sz w:val="24"/>
          <w:szCs w:val="24"/>
        </w:rPr>
        <w:t>Past and Present</w:t>
      </w:r>
      <w:r>
        <w:rPr>
          <w:sz w:val="24"/>
          <w:szCs w:val="24"/>
        </w:rPr>
        <w:t xml:space="preserve"> </w:t>
      </w:r>
      <w:r w:rsidRPr="00A84A20">
        <w:rPr>
          <w:sz w:val="24"/>
          <w:szCs w:val="24"/>
        </w:rPr>
        <w:t>233 (2016), 223.</w:t>
      </w:r>
    </w:p>
  </w:footnote>
  <w:footnote w:id="49">
    <w:p w14:paraId="5419C4D1"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Ibid. On structural violence see </w:t>
      </w:r>
      <w:r>
        <w:rPr>
          <w:sz w:val="24"/>
          <w:szCs w:val="24"/>
        </w:rPr>
        <w:t>n 116.</w:t>
      </w:r>
      <w:r w:rsidRPr="00A84A20">
        <w:rPr>
          <w:sz w:val="24"/>
          <w:szCs w:val="24"/>
        </w:rPr>
        <w:t xml:space="preserve"> </w:t>
      </w:r>
    </w:p>
  </w:footnote>
  <w:footnote w:id="50">
    <w:p w14:paraId="7BA057F8"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The same can be said for the desire to avoid being seen to perpetuate torture, which is the reason why, according to Simon Webb, the British largely employed colonial subjects to do it. Webb, </w:t>
      </w:r>
      <w:r w:rsidRPr="00A84A20">
        <w:rPr>
          <w:i/>
          <w:iCs/>
          <w:sz w:val="24"/>
          <w:szCs w:val="24"/>
        </w:rPr>
        <w:t>A History of Torture</w:t>
      </w:r>
      <w:r>
        <w:rPr>
          <w:i/>
          <w:iCs/>
          <w:sz w:val="24"/>
          <w:szCs w:val="24"/>
        </w:rPr>
        <w:t xml:space="preserve"> </w:t>
      </w:r>
      <w:r>
        <w:rPr>
          <w:sz w:val="24"/>
          <w:szCs w:val="24"/>
        </w:rPr>
        <w:t>(n 30)</w:t>
      </w:r>
      <w:r w:rsidRPr="00A84A20">
        <w:rPr>
          <w:i/>
          <w:iCs/>
          <w:sz w:val="24"/>
          <w:szCs w:val="24"/>
        </w:rPr>
        <w:t xml:space="preserve"> </w:t>
      </w:r>
      <w:r w:rsidRPr="00A84A20">
        <w:rPr>
          <w:sz w:val="24"/>
          <w:szCs w:val="24"/>
        </w:rPr>
        <w:t xml:space="preserve">98. </w:t>
      </w:r>
    </w:p>
  </w:footnote>
  <w:footnote w:id="51">
    <w:p w14:paraId="515BC153"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Nancy </w:t>
      </w:r>
      <w:bookmarkStart w:id="9" w:name="_Hlk41044190"/>
      <w:r w:rsidRPr="00A84A20">
        <w:rPr>
          <w:sz w:val="24"/>
          <w:szCs w:val="24"/>
        </w:rPr>
        <w:t>Scheper</w:t>
      </w:r>
      <w:r>
        <w:rPr>
          <w:sz w:val="24"/>
          <w:szCs w:val="24"/>
        </w:rPr>
        <w:t>-</w:t>
      </w:r>
      <w:r w:rsidRPr="00A84A20">
        <w:rPr>
          <w:sz w:val="24"/>
          <w:szCs w:val="24"/>
        </w:rPr>
        <w:t xml:space="preserve">Hughes, </w:t>
      </w:r>
      <w:r>
        <w:rPr>
          <w:sz w:val="24"/>
          <w:szCs w:val="24"/>
        </w:rPr>
        <w:t>‘</w:t>
      </w:r>
      <w:r w:rsidRPr="00A84A20">
        <w:rPr>
          <w:sz w:val="24"/>
          <w:szCs w:val="24"/>
        </w:rPr>
        <w:t>Bodies, Death, and Silence</w:t>
      </w:r>
      <w:r>
        <w:rPr>
          <w:sz w:val="24"/>
          <w:szCs w:val="24"/>
        </w:rPr>
        <w:t>’</w:t>
      </w:r>
      <w:r w:rsidRPr="00A84A20">
        <w:rPr>
          <w:sz w:val="24"/>
          <w:szCs w:val="24"/>
        </w:rPr>
        <w:t xml:space="preserve">, </w:t>
      </w:r>
      <w:bookmarkEnd w:id="9"/>
      <w:r w:rsidRPr="00A84A20">
        <w:rPr>
          <w:sz w:val="24"/>
          <w:szCs w:val="24"/>
        </w:rPr>
        <w:t>in Nancy Scheper</w:t>
      </w:r>
      <w:r>
        <w:rPr>
          <w:sz w:val="24"/>
          <w:szCs w:val="24"/>
        </w:rPr>
        <w:t>-</w:t>
      </w:r>
      <w:r w:rsidRPr="00A84A20">
        <w:rPr>
          <w:sz w:val="24"/>
          <w:szCs w:val="24"/>
        </w:rPr>
        <w:t xml:space="preserve">Hughes and Philippe Bourgois (eds), </w:t>
      </w:r>
      <w:r w:rsidRPr="00A84A20">
        <w:rPr>
          <w:i/>
          <w:iCs/>
          <w:sz w:val="24"/>
          <w:szCs w:val="24"/>
        </w:rPr>
        <w:t xml:space="preserve">Violence in War and Peace: An Anthology </w:t>
      </w:r>
      <w:r w:rsidRPr="00A84A20">
        <w:rPr>
          <w:sz w:val="24"/>
          <w:szCs w:val="24"/>
        </w:rPr>
        <w:t xml:space="preserve">(Malden, MA: Blackwell 2006), 177. As numerous studies have shown, torture can operate as a form of </w:t>
      </w:r>
      <w:r>
        <w:rPr>
          <w:sz w:val="24"/>
          <w:szCs w:val="24"/>
        </w:rPr>
        <w:t>‘</w:t>
      </w:r>
      <w:r w:rsidRPr="00A84A20">
        <w:rPr>
          <w:sz w:val="24"/>
          <w:szCs w:val="24"/>
        </w:rPr>
        <w:t>contained</w:t>
      </w:r>
      <w:r>
        <w:rPr>
          <w:sz w:val="24"/>
          <w:szCs w:val="24"/>
        </w:rPr>
        <w:t>’</w:t>
      </w:r>
      <w:r w:rsidRPr="00A84A20">
        <w:rPr>
          <w:sz w:val="24"/>
          <w:szCs w:val="24"/>
        </w:rPr>
        <w:t xml:space="preserve"> as well as exceptional violence. See, for example, </w:t>
      </w:r>
      <w:r>
        <w:rPr>
          <w:sz w:val="24"/>
          <w:szCs w:val="24"/>
        </w:rPr>
        <w:t xml:space="preserve">Darius Rejali, </w:t>
      </w:r>
      <w:r w:rsidRPr="00A84A20">
        <w:rPr>
          <w:bCs/>
          <w:i/>
          <w:sz w:val="24"/>
          <w:szCs w:val="24"/>
        </w:rPr>
        <w:t>Torture and Modernity: Self, Society, and State in Modern Iran</w:t>
      </w:r>
      <w:r w:rsidRPr="00A84A20">
        <w:rPr>
          <w:bCs/>
          <w:sz w:val="24"/>
          <w:szCs w:val="24"/>
        </w:rPr>
        <w:t xml:space="preserve"> (Boulder, CO: </w:t>
      </w:r>
      <w:r w:rsidRPr="00A84A20">
        <w:rPr>
          <w:sz w:val="24"/>
          <w:szCs w:val="24"/>
        </w:rPr>
        <w:t xml:space="preserve">Westview Press 1994; Rejali, </w:t>
      </w:r>
      <w:r w:rsidRPr="00A84A20">
        <w:rPr>
          <w:i/>
          <w:iCs/>
          <w:sz w:val="24"/>
          <w:szCs w:val="24"/>
        </w:rPr>
        <w:t>Torture and Democracy</w:t>
      </w:r>
      <w:r w:rsidRPr="00A84A20">
        <w:rPr>
          <w:sz w:val="24"/>
          <w:szCs w:val="24"/>
        </w:rPr>
        <w:t xml:space="preserve"> </w:t>
      </w:r>
      <w:r>
        <w:rPr>
          <w:sz w:val="24"/>
          <w:szCs w:val="24"/>
        </w:rPr>
        <w:t xml:space="preserve">(n 36); </w:t>
      </w:r>
      <w:r w:rsidRPr="00A84A20">
        <w:rPr>
          <w:sz w:val="24"/>
          <w:szCs w:val="24"/>
        </w:rPr>
        <w:t xml:space="preserve">Lokaneeta, </w:t>
      </w:r>
      <w:r w:rsidRPr="00A84A20">
        <w:rPr>
          <w:i/>
          <w:iCs/>
          <w:sz w:val="24"/>
          <w:szCs w:val="24"/>
        </w:rPr>
        <w:t>Transnational Torture</w:t>
      </w:r>
      <w:r w:rsidRPr="00A84A20">
        <w:rPr>
          <w:sz w:val="24"/>
          <w:szCs w:val="24"/>
        </w:rPr>
        <w:t xml:space="preserve"> </w:t>
      </w:r>
      <w:r>
        <w:rPr>
          <w:sz w:val="24"/>
          <w:szCs w:val="24"/>
        </w:rPr>
        <w:t>(n 36)</w:t>
      </w:r>
      <w:r w:rsidRPr="00A84A20">
        <w:rPr>
          <w:sz w:val="24"/>
          <w:szCs w:val="24"/>
        </w:rPr>
        <w:t xml:space="preserve">; George C. Thomas III and Richard A. Leo, </w:t>
      </w:r>
      <w:r w:rsidRPr="00A84A20">
        <w:rPr>
          <w:i/>
          <w:sz w:val="24"/>
          <w:szCs w:val="24"/>
        </w:rPr>
        <w:t>Confessions of Guilt: Torture to Miranda and Beyond</w:t>
      </w:r>
      <w:r w:rsidRPr="00A84A20">
        <w:rPr>
          <w:b/>
          <w:sz w:val="24"/>
          <w:szCs w:val="24"/>
        </w:rPr>
        <w:t xml:space="preserve"> </w:t>
      </w:r>
      <w:r w:rsidRPr="00A84A20">
        <w:rPr>
          <w:sz w:val="24"/>
          <w:szCs w:val="24"/>
        </w:rPr>
        <w:t>(New York: Oxford University Press 2012)</w:t>
      </w:r>
      <w:r>
        <w:rPr>
          <w:sz w:val="24"/>
          <w:szCs w:val="24"/>
        </w:rPr>
        <w:t xml:space="preserve"> (hereafter Thomas and Leo, </w:t>
      </w:r>
      <w:r>
        <w:rPr>
          <w:i/>
          <w:iCs/>
          <w:sz w:val="24"/>
          <w:szCs w:val="24"/>
        </w:rPr>
        <w:t>Confessions of Guilt</w:t>
      </w:r>
      <w:r w:rsidRPr="00E42F64">
        <w:rPr>
          <w:sz w:val="24"/>
          <w:szCs w:val="24"/>
        </w:rPr>
        <w:t>)</w:t>
      </w:r>
      <w:r w:rsidRPr="00A84A20">
        <w:rPr>
          <w:sz w:val="24"/>
          <w:szCs w:val="24"/>
        </w:rPr>
        <w:t xml:space="preserve">; Rachel Wahl, </w:t>
      </w:r>
      <w:r w:rsidRPr="00A84A20">
        <w:rPr>
          <w:i/>
          <w:iCs/>
          <w:sz w:val="24"/>
          <w:szCs w:val="24"/>
        </w:rPr>
        <w:t>Just Violence: Torture and Human Rights in the Eyes of the Police</w:t>
      </w:r>
      <w:r w:rsidRPr="00A84A20">
        <w:rPr>
          <w:sz w:val="24"/>
          <w:szCs w:val="24"/>
        </w:rPr>
        <w:t xml:space="preserve"> (Stanford: Stanford University Press 2017)</w:t>
      </w:r>
      <w:r>
        <w:rPr>
          <w:sz w:val="24"/>
          <w:szCs w:val="24"/>
        </w:rPr>
        <w:t xml:space="preserve"> (hereafter Wahl, </w:t>
      </w:r>
      <w:r>
        <w:rPr>
          <w:i/>
          <w:iCs/>
          <w:sz w:val="24"/>
          <w:szCs w:val="24"/>
        </w:rPr>
        <w:t>Just Violence</w:t>
      </w:r>
      <w:r>
        <w:rPr>
          <w:sz w:val="24"/>
          <w:szCs w:val="24"/>
        </w:rPr>
        <w:t>)</w:t>
      </w:r>
      <w:r w:rsidRPr="00A84A20">
        <w:rPr>
          <w:sz w:val="24"/>
          <w:szCs w:val="24"/>
        </w:rPr>
        <w:t>; and</w:t>
      </w:r>
      <w:r>
        <w:rPr>
          <w:sz w:val="24"/>
          <w:szCs w:val="24"/>
        </w:rPr>
        <w:t xml:space="preserve"> Jinee Lokaneeta, </w:t>
      </w:r>
      <w:r w:rsidRPr="00A84A20">
        <w:rPr>
          <w:i/>
          <w:iCs/>
          <w:sz w:val="24"/>
          <w:szCs w:val="24"/>
        </w:rPr>
        <w:t xml:space="preserve">The Truth Machines: Policing, Violence and Scientific Interrogations in India </w:t>
      </w:r>
      <w:r w:rsidRPr="00A84A20">
        <w:rPr>
          <w:sz w:val="24"/>
          <w:szCs w:val="24"/>
        </w:rPr>
        <w:t>(Ann Arbor, MI: University of Michigan Press 2020</w:t>
      </w:r>
      <w:r>
        <w:rPr>
          <w:sz w:val="24"/>
          <w:szCs w:val="24"/>
        </w:rPr>
        <w:t xml:space="preserve">) (hereafter Lokaneeta, </w:t>
      </w:r>
      <w:r>
        <w:rPr>
          <w:i/>
          <w:iCs/>
          <w:sz w:val="24"/>
          <w:szCs w:val="24"/>
        </w:rPr>
        <w:t>The Truth Machines</w:t>
      </w:r>
      <w:r>
        <w:rPr>
          <w:sz w:val="24"/>
          <w:szCs w:val="24"/>
        </w:rPr>
        <w:t>); and</w:t>
      </w:r>
      <w:r w:rsidRPr="00A84A20">
        <w:rPr>
          <w:sz w:val="24"/>
          <w:szCs w:val="24"/>
        </w:rPr>
        <w:t xml:space="preserve"> </w:t>
      </w:r>
      <w:r w:rsidRPr="00A84A20">
        <w:rPr>
          <w:color w:val="000000"/>
          <w:sz w:val="24"/>
          <w:szCs w:val="24"/>
        </w:rPr>
        <w:t xml:space="preserve">Laurence Ralph, </w:t>
      </w:r>
      <w:r w:rsidRPr="00A84A20">
        <w:rPr>
          <w:i/>
          <w:iCs/>
          <w:color w:val="000000"/>
          <w:sz w:val="24"/>
          <w:szCs w:val="24"/>
        </w:rPr>
        <w:t xml:space="preserve">The Torture Letters: Reckoning With Police Violence </w:t>
      </w:r>
      <w:r w:rsidRPr="00A84A20">
        <w:rPr>
          <w:color w:val="000000"/>
          <w:sz w:val="24"/>
          <w:szCs w:val="24"/>
        </w:rPr>
        <w:t>(Chicago: University of Chicago Press 2020).</w:t>
      </w:r>
    </w:p>
  </w:footnote>
  <w:footnote w:id="52">
    <w:p w14:paraId="48146D49" w14:textId="77777777" w:rsidR="00997966" w:rsidRPr="008E517B" w:rsidRDefault="00997966" w:rsidP="00997966">
      <w:pPr>
        <w:pStyle w:val="FootnoteText"/>
        <w:spacing w:line="480" w:lineRule="auto"/>
        <w:contextualSpacing/>
        <w:rPr>
          <w:sz w:val="24"/>
          <w:szCs w:val="24"/>
        </w:rPr>
      </w:pPr>
      <w:r w:rsidRPr="00A84A20">
        <w:rPr>
          <w:rStyle w:val="FootnoteReference"/>
          <w:sz w:val="24"/>
          <w:szCs w:val="24"/>
        </w:rPr>
        <w:footnoteRef/>
      </w:r>
      <w:r w:rsidRPr="008E517B">
        <w:rPr>
          <w:sz w:val="24"/>
          <w:szCs w:val="24"/>
        </w:rPr>
        <w:t xml:space="preserve"> Ray Furlough, </w:t>
      </w:r>
      <w:r>
        <w:rPr>
          <w:sz w:val="24"/>
          <w:szCs w:val="24"/>
        </w:rPr>
        <w:t>‘</w:t>
      </w:r>
      <w:r w:rsidRPr="008E517B">
        <w:rPr>
          <w:sz w:val="24"/>
          <w:szCs w:val="24"/>
        </w:rPr>
        <w:t xml:space="preserve">Cypriots Seek Recompense Over British </w:t>
      </w:r>
      <w:r>
        <w:rPr>
          <w:sz w:val="24"/>
          <w:szCs w:val="24"/>
        </w:rPr>
        <w:t>“</w:t>
      </w:r>
      <w:r w:rsidRPr="008E517B">
        <w:rPr>
          <w:sz w:val="24"/>
          <w:szCs w:val="24"/>
        </w:rPr>
        <w:t>Torture</w:t>
      </w:r>
      <w:r>
        <w:rPr>
          <w:sz w:val="24"/>
          <w:szCs w:val="24"/>
        </w:rPr>
        <w:t xml:space="preserve">”’, </w:t>
      </w:r>
      <w:r w:rsidRPr="008E517B">
        <w:rPr>
          <w:i/>
          <w:iCs/>
          <w:sz w:val="24"/>
          <w:szCs w:val="24"/>
        </w:rPr>
        <w:t>BBC</w:t>
      </w:r>
      <w:r>
        <w:rPr>
          <w:i/>
          <w:iCs/>
          <w:sz w:val="24"/>
          <w:szCs w:val="24"/>
        </w:rPr>
        <w:t xml:space="preserve"> News</w:t>
      </w:r>
      <w:r>
        <w:rPr>
          <w:sz w:val="24"/>
          <w:szCs w:val="24"/>
        </w:rPr>
        <w:t xml:space="preserve"> (London, </w:t>
      </w:r>
      <w:r w:rsidRPr="008E517B">
        <w:rPr>
          <w:sz w:val="24"/>
          <w:szCs w:val="24"/>
        </w:rPr>
        <w:t>20 November 2012</w:t>
      </w:r>
      <w:r>
        <w:rPr>
          <w:sz w:val="24"/>
          <w:szCs w:val="24"/>
        </w:rPr>
        <w:t>)</w:t>
      </w:r>
      <w:r w:rsidRPr="008E517B">
        <w:rPr>
          <w:sz w:val="24"/>
          <w:szCs w:val="24"/>
        </w:rPr>
        <w:t xml:space="preserve"> </w:t>
      </w:r>
      <w:r>
        <w:rPr>
          <w:sz w:val="24"/>
          <w:szCs w:val="24"/>
        </w:rPr>
        <w:t>&lt;</w:t>
      </w:r>
      <w:hyperlink r:id="rId30" w:history="1">
        <w:r w:rsidRPr="00CB4094">
          <w:rPr>
            <w:rStyle w:val="Hyperlink"/>
            <w:sz w:val="24"/>
            <w:szCs w:val="24"/>
          </w:rPr>
          <w:t>https://www.bbc.co.uk/news/world-europe-20302280</w:t>
        </w:r>
      </w:hyperlink>
      <w:r>
        <w:rPr>
          <w:sz w:val="24"/>
          <w:szCs w:val="24"/>
        </w:rPr>
        <w:t>&gt; accessed May 18 2020</w:t>
      </w:r>
      <w:r w:rsidRPr="00A84A20">
        <w:rPr>
          <w:sz w:val="24"/>
          <w:szCs w:val="24"/>
        </w:rPr>
        <w:t xml:space="preserve">; Richard N. Price, </w:t>
      </w:r>
      <w:r>
        <w:rPr>
          <w:sz w:val="24"/>
          <w:szCs w:val="24"/>
        </w:rPr>
        <w:t>‘</w:t>
      </w:r>
      <w:r w:rsidRPr="00A84A20">
        <w:rPr>
          <w:sz w:val="24"/>
          <w:szCs w:val="24"/>
        </w:rPr>
        <w:t>The Psychology of Colonial Violence</w:t>
      </w:r>
      <w:r>
        <w:rPr>
          <w:sz w:val="24"/>
          <w:szCs w:val="24"/>
        </w:rPr>
        <w:t>’</w:t>
      </w:r>
      <w:r w:rsidRPr="00A84A20">
        <w:rPr>
          <w:sz w:val="24"/>
          <w:szCs w:val="24"/>
        </w:rPr>
        <w:t xml:space="preserve">, in Phillip Dwyer and Amanda Nettlebeck (eds), </w:t>
      </w:r>
      <w:r w:rsidRPr="00A84A20">
        <w:rPr>
          <w:i/>
          <w:iCs/>
          <w:sz w:val="24"/>
          <w:szCs w:val="24"/>
        </w:rPr>
        <w:t xml:space="preserve">Violence, Colonialism and Empire in the Modern World </w:t>
      </w:r>
      <w:r w:rsidRPr="00A84A20">
        <w:rPr>
          <w:sz w:val="24"/>
          <w:szCs w:val="24"/>
        </w:rPr>
        <w:t>(Cham, Switzerland: Palgrave Macmillan 2018), 25</w:t>
      </w:r>
      <w:r>
        <w:rPr>
          <w:sz w:val="24"/>
          <w:szCs w:val="24"/>
        </w:rPr>
        <w:t xml:space="preserve"> (hereafter Price, ‘The Psychology of Colonial Violence’)</w:t>
      </w:r>
      <w:r w:rsidRPr="00A84A20">
        <w:rPr>
          <w:sz w:val="24"/>
          <w:szCs w:val="24"/>
        </w:rPr>
        <w:t xml:space="preserve">; and Reynolds, </w:t>
      </w:r>
      <w:r w:rsidRPr="00A84A20">
        <w:rPr>
          <w:i/>
          <w:iCs/>
          <w:sz w:val="24"/>
          <w:szCs w:val="24"/>
        </w:rPr>
        <w:t>Empire, Emergency</w:t>
      </w:r>
      <w:r>
        <w:rPr>
          <w:sz w:val="24"/>
          <w:szCs w:val="24"/>
        </w:rPr>
        <w:t xml:space="preserve"> (n 15) </w:t>
      </w:r>
      <w:r w:rsidRPr="00A84A20">
        <w:rPr>
          <w:sz w:val="24"/>
          <w:szCs w:val="24"/>
        </w:rPr>
        <w:t>37.</w:t>
      </w:r>
      <w:r>
        <w:rPr>
          <w:bCs/>
          <w:sz w:val="24"/>
          <w:szCs w:val="24"/>
        </w:rPr>
        <w:t xml:space="preserve"> T</w:t>
      </w:r>
      <w:r w:rsidRPr="00A84A20">
        <w:rPr>
          <w:bCs/>
          <w:sz w:val="24"/>
          <w:szCs w:val="24"/>
        </w:rPr>
        <w:t>orture by officials in colonial India</w:t>
      </w:r>
      <w:r>
        <w:rPr>
          <w:bCs/>
          <w:sz w:val="24"/>
          <w:szCs w:val="24"/>
        </w:rPr>
        <w:t>, according to Derek Elliott,</w:t>
      </w:r>
      <w:r w:rsidRPr="00A84A20">
        <w:rPr>
          <w:bCs/>
          <w:sz w:val="24"/>
          <w:szCs w:val="24"/>
        </w:rPr>
        <w:t xml:space="preserve"> was less severe when enacted to secure revenue than to obtain a confession. Derek Llewellyn Elliott, </w:t>
      </w:r>
      <w:r>
        <w:rPr>
          <w:bCs/>
          <w:sz w:val="24"/>
          <w:szCs w:val="24"/>
        </w:rPr>
        <w:t>‘</w:t>
      </w:r>
      <w:r w:rsidRPr="00A84A20">
        <w:rPr>
          <w:bCs/>
          <w:sz w:val="24"/>
          <w:szCs w:val="24"/>
        </w:rPr>
        <w:t>Torture, Taxes and the Colonial State in Madras, c. 1800</w:t>
      </w:r>
      <w:r>
        <w:rPr>
          <w:bCs/>
          <w:sz w:val="24"/>
          <w:szCs w:val="24"/>
        </w:rPr>
        <w:t>-</w:t>
      </w:r>
      <w:r w:rsidRPr="00A84A20">
        <w:rPr>
          <w:bCs/>
          <w:sz w:val="24"/>
          <w:szCs w:val="24"/>
        </w:rPr>
        <w:t>1858</w:t>
      </w:r>
      <w:r>
        <w:rPr>
          <w:bCs/>
          <w:sz w:val="24"/>
          <w:szCs w:val="24"/>
        </w:rPr>
        <w:t>’ (PhD Diss.</w:t>
      </w:r>
      <w:r w:rsidRPr="00A84A20">
        <w:rPr>
          <w:bCs/>
          <w:sz w:val="24"/>
          <w:szCs w:val="24"/>
        </w:rPr>
        <w:t>, University of Cambridge 2015</w:t>
      </w:r>
      <w:r>
        <w:rPr>
          <w:bCs/>
          <w:sz w:val="24"/>
          <w:szCs w:val="24"/>
        </w:rPr>
        <w:t>)</w:t>
      </w:r>
      <w:r w:rsidRPr="00A84A20">
        <w:rPr>
          <w:bCs/>
          <w:sz w:val="24"/>
          <w:szCs w:val="24"/>
        </w:rPr>
        <w:t>, 116</w:t>
      </w:r>
      <w:r>
        <w:rPr>
          <w:bCs/>
          <w:sz w:val="24"/>
          <w:szCs w:val="24"/>
        </w:rPr>
        <w:t xml:space="preserve"> (hereafter Elliott, ‘Torture, Taxes’)</w:t>
      </w:r>
      <w:r w:rsidRPr="00A84A20">
        <w:rPr>
          <w:bCs/>
          <w:sz w:val="24"/>
          <w:szCs w:val="24"/>
        </w:rPr>
        <w:t>.</w:t>
      </w:r>
    </w:p>
  </w:footnote>
  <w:footnote w:id="53">
    <w:p w14:paraId="52B16515"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As my date range demonstrates, I am using the term </w:t>
      </w:r>
      <w:r>
        <w:rPr>
          <w:sz w:val="24"/>
          <w:szCs w:val="24"/>
        </w:rPr>
        <w:t>‘</w:t>
      </w:r>
      <w:r w:rsidRPr="00A84A20">
        <w:rPr>
          <w:sz w:val="24"/>
          <w:szCs w:val="24"/>
        </w:rPr>
        <w:t>colonial rule</w:t>
      </w:r>
      <w:r>
        <w:rPr>
          <w:sz w:val="24"/>
          <w:szCs w:val="24"/>
        </w:rPr>
        <w:t>’</w:t>
      </w:r>
      <w:r w:rsidRPr="00A84A20">
        <w:rPr>
          <w:sz w:val="24"/>
          <w:szCs w:val="24"/>
        </w:rPr>
        <w:t xml:space="preserve"> to encompass the governance of India by both the East India Company and the Raj, rather than positing the 1857 Revolt as a seminal break in modes of governance. For an analysis of the concept of law</w:t>
      </w:r>
      <w:r>
        <w:rPr>
          <w:sz w:val="24"/>
          <w:szCs w:val="24"/>
        </w:rPr>
        <w:t>-</w:t>
      </w:r>
      <w:r w:rsidRPr="00A84A20">
        <w:rPr>
          <w:sz w:val="24"/>
          <w:szCs w:val="24"/>
        </w:rPr>
        <w:t xml:space="preserve">preserving violence see Walter Benjamin, </w:t>
      </w:r>
      <w:r>
        <w:rPr>
          <w:sz w:val="24"/>
          <w:szCs w:val="24"/>
        </w:rPr>
        <w:t>‘</w:t>
      </w:r>
      <w:r w:rsidRPr="00A84A20">
        <w:rPr>
          <w:sz w:val="24"/>
          <w:szCs w:val="24"/>
        </w:rPr>
        <w:t>Critique of Violence</w:t>
      </w:r>
      <w:r>
        <w:rPr>
          <w:sz w:val="24"/>
          <w:szCs w:val="24"/>
        </w:rPr>
        <w:t>’</w:t>
      </w:r>
      <w:r w:rsidRPr="00A84A20">
        <w:rPr>
          <w:sz w:val="24"/>
          <w:szCs w:val="24"/>
        </w:rPr>
        <w:t xml:space="preserve">, </w:t>
      </w:r>
      <w:r w:rsidRPr="00A84A20">
        <w:rPr>
          <w:i/>
          <w:sz w:val="24"/>
          <w:szCs w:val="24"/>
        </w:rPr>
        <w:t>Reflections: Essays, Aphorisms, Autobiographical Writings</w:t>
      </w:r>
      <w:r w:rsidRPr="00A84A20">
        <w:rPr>
          <w:sz w:val="24"/>
          <w:szCs w:val="24"/>
        </w:rPr>
        <w:t xml:space="preserve">, </w:t>
      </w:r>
      <w:r>
        <w:rPr>
          <w:sz w:val="24"/>
          <w:szCs w:val="24"/>
        </w:rPr>
        <w:t>(</w:t>
      </w:r>
      <w:r w:rsidRPr="00A84A20">
        <w:rPr>
          <w:sz w:val="24"/>
          <w:szCs w:val="24"/>
        </w:rPr>
        <w:t>Edmund Jephcott</w:t>
      </w:r>
      <w:r>
        <w:rPr>
          <w:sz w:val="24"/>
          <w:szCs w:val="24"/>
        </w:rPr>
        <w:t xml:space="preserve"> tr, </w:t>
      </w:r>
      <w:r w:rsidRPr="00A84A20">
        <w:rPr>
          <w:sz w:val="24"/>
          <w:szCs w:val="24"/>
        </w:rPr>
        <w:t>New York: Shocken 1978), 277</w:t>
      </w:r>
      <w:r>
        <w:rPr>
          <w:sz w:val="24"/>
          <w:szCs w:val="24"/>
        </w:rPr>
        <w:t>-</w:t>
      </w:r>
      <w:r w:rsidRPr="00A84A20">
        <w:rPr>
          <w:sz w:val="24"/>
          <w:szCs w:val="24"/>
        </w:rPr>
        <w:t>300</w:t>
      </w:r>
      <w:r>
        <w:rPr>
          <w:sz w:val="24"/>
          <w:szCs w:val="24"/>
        </w:rPr>
        <w:t xml:space="preserve"> (hereafter Benjamin, ‘Critique of Violence’)</w:t>
      </w:r>
      <w:r w:rsidRPr="00A84A20">
        <w:rPr>
          <w:sz w:val="24"/>
          <w:szCs w:val="24"/>
        </w:rPr>
        <w:t>.</w:t>
      </w:r>
    </w:p>
  </w:footnote>
  <w:footnote w:id="54">
    <w:p w14:paraId="7A7FAF1E"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Martha K. </w:t>
      </w:r>
      <w:bookmarkStart w:id="10" w:name="_Hlk514184015"/>
      <w:r w:rsidRPr="00A84A20">
        <w:rPr>
          <w:sz w:val="24"/>
          <w:szCs w:val="24"/>
        </w:rPr>
        <w:t>Huggins, Mika Haritos</w:t>
      </w:r>
      <w:r>
        <w:rPr>
          <w:sz w:val="24"/>
          <w:szCs w:val="24"/>
        </w:rPr>
        <w:t>-</w:t>
      </w:r>
      <w:r w:rsidRPr="00A84A20">
        <w:rPr>
          <w:sz w:val="24"/>
          <w:szCs w:val="24"/>
        </w:rPr>
        <w:t xml:space="preserve">Fatouros, and Philip G. Zimbardo, </w:t>
      </w:r>
      <w:r w:rsidRPr="00A84A20">
        <w:rPr>
          <w:i/>
          <w:sz w:val="24"/>
          <w:szCs w:val="24"/>
        </w:rPr>
        <w:t>Violence Workers: Police Torturers and Murderers Reconstruct Brazilian Atrocities</w:t>
      </w:r>
      <w:r w:rsidRPr="00A84A20">
        <w:rPr>
          <w:sz w:val="24"/>
          <w:szCs w:val="24"/>
        </w:rPr>
        <w:t xml:space="preserve"> (Berkeley: University of California Press 2002)</w:t>
      </w:r>
      <w:r>
        <w:rPr>
          <w:sz w:val="24"/>
          <w:szCs w:val="24"/>
        </w:rPr>
        <w:t xml:space="preserve"> (hereafter Huggins, Haritos-Fatouros and Zimbardo, </w:t>
      </w:r>
      <w:r>
        <w:rPr>
          <w:i/>
          <w:iCs/>
          <w:sz w:val="24"/>
          <w:szCs w:val="24"/>
        </w:rPr>
        <w:t>Violence Workers</w:t>
      </w:r>
      <w:r>
        <w:rPr>
          <w:sz w:val="24"/>
          <w:szCs w:val="24"/>
        </w:rPr>
        <w:t>)</w:t>
      </w:r>
      <w:r w:rsidRPr="00A84A20">
        <w:rPr>
          <w:sz w:val="24"/>
          <w:szCs w:val="24"/>
        </w:rPr>
        <w:t xml:space="preserve">. </w:t>
      </w:r>
      <w:bookmarkEnd w:id="10"/>
    </w:p>
  </w:footnote>
  <w:footnote w:id="55">
    <w:p w14:paraId="0F6DFF99" w14:textId="77777777" w:rsidR="00997966" w:rsidRPr="00A84A20" w:rsidRDefault="00997966" w:rsidP="00997966">
      <w:pPr>
        <w:pStyle w:val="FootnoteText"/>
        <w:spacing w:line="480" w:lineRule="auto"/>
        <w:contextualSpacing/>
        <w:rPr>
          <w:sz w:val="24"/>
          <w:szCs w:val="24"/>
          <w:lang w:val="en-US"/>
        </w:rPr>
      </w:pPr>
      <w:r w:rsidRPr="00A84A20">
        <w:rPr>
          <w:rStyle w:val="FootnoteReference"/>
          <w:sz w:val="24"/>
          <w:szCs w:val="24"/>
        </w:rPr>
        <w:footnoteRef/>
      </w:r>
      <w:r w:rsidRPr="00A84A20">
        <w:rPr>
          <w:sz w:val="24"/>
          <w:szCs w:val="24"/>
        </w:rPr>
        <w:t xml:space="preserve"> </w:t>
      </w:r>
      <w:bookmarkStart w:id="11" w:name="_Hlk514184045"/>
      <w:r w:rsidRPr="00A84A20">
        <w:rPr>
          <w:sz w:val="24"/>
          <w:szCs w:val="24"/>
          <w:lang w:val="en-US"/>
        </w:rPr>
        <w:t xml:space="preserve">Fanon, </w:t>
      </w:r>
      <w:r w:rsidRPr="00A84A20">
        <w:rPr>
          <w:i/>
          <w:sz w:val="24"/>
          <w:szCs w:val="24"/>
          <w:lang w:val="en-US"/>
        </w:rPr>
        <w:t>Concerning Violence</w:t>
      </w:r>
      <w:r>
        <w:rPr>
          <w:i/>
          <w:sz w:val="24"/>
          <w:szCs w:val="24"/>
          <w:lang w:val="en-US"/>
        </w:rPr>
        <w:t xml:space="preserve"> </w:t>
      </w:r>
      <w:r>
        <w:rPr>
          <w:iCs/>
          <w:sz w:val="24"/>
          <w:szCs w:val="24"/>
          <w:lang w:val="en-US"/>
        </w:rPr>
        <w:t>(n 1)</w:t>
      </w:r>
      <w:r w:rsidRPr="00A84A20">
        <w:rPr>
          <w:i/>
          <w:sz w:val="24"/>
          <w:szCs w:val="24"/>
          <w:lang w:val="en-US"/>
        </w:rPr>
        <w:t xml:space="preserve"> </w:t>
      </w:r>
      <w:bookmarkEnd w:id="11"/>
      <w:r w:rsidRPr="00A84A20">
        <w:rPr>
          <w:sz w:val="24"/>
          <w:szCs w:val="24"/>
          <w:lang w:val="en-US"/>
        </w:rPr>
        <w:t>3. Torture thus exacerbated the emotional significance attached to the police</w:t>
      </w:r>
      <w:r>
        <w:rPr>
          <w:sz w:val="24"/>
          <w:szCs w:val="24"/>
          <w:lang w:val="en-US"/>
        </w:rPr>
        <w:t>,</w:t>
      </w:r>
      <w:r w:rsidRPr="00A84A20">
        <w:rPr>
          <w:sz w:val="24"/>
          <w:szCs w:val="24"/>
          <w:lang w:val="en-US"/>
        </w:rPr>
        <w:t xml:space="preserve"> as society’s regulators</w:t>
      </w:r>
      <w:r>
        <w:rPr>
          <w:sz w:val="24"/>
          <w:szCs w:val="24"/>
          <w:lang w:val="en-US"/>
        </w:rPr>
        <w:t>,</w:t>
      </w:r>
      <w:r w:rsidRPr="00A84A20">
        <w:rPr>
          <w:sz w:val="24"/>
          <w:szCs w:val="24"/>
          <w:lang w:val="en-US"/>
        </w:rPr>
        <w:t xml:space="preserve"> of apprehension, anxiety</w:t>
      </w:r>
      <w:r>
        <w:rPr>
          <w:sz w:val="24"/>
          <w:szCs w:val="24"/>
          <w:lang w:val="en-US"/>
        </w:rPr>
        <w:t>,</w:t>
      </w:r>
      <w:r w:rsidRPr="00A84A20">
        <w:rPr>
          <w:sz w:val="24"/>
          <w:szCs w:val="24"/>
          <w:lang w:val="en-US"/>
        </w:rPr>
        <w:t xml:space="preserve"> and fear. </w:t>
      </w:r>
      <w:r w:rsidRPr="00A84A20">
        <w:rPr>
          <w:sz w:val="24"/>
          <w:szCs w:val="24"/>
        </w:rPr>
        <w:t xml:space="preserve">K. S. Dhillon, </w:t>
      </w:r>
      <w:r w:rsidRPr="00A84A20">
        <w:rPr>
          <w:i/>
          <w:iCs/>
          <w:sz w:val="24"/>
          <w:szCs w:val="24"/>
        </w:rPr>
        <w:t>Defenders of the Establishment: Ruler</w:t>
      </w:r>
      <w:r>
        <w:rPr>
          <w:i/>
          <w:iCs/>
          <w:sz w:val="24"/>
          <w:szCs w:val="24"/>
        </w:rPr>
        <w:t>-</w:t>
      </w:r>
      <w:r w:rsidRPr="00A84A20">
        <w:rPr>
          <w:i/>
          <w:iCs/>
          <w:sz w:val="24"/>
          <w:szCs w:val="24"/>
        </w:rPr>
        <w:t>Supportive Police Forces of South Asia</w:t>
      </w:r>
      <w:r w:rsidRPr="00A84A20">
        <w:rPr>
          <w:sz w:val="24"/>
          <w:szCs w:val="24"/>
        </w:rPr>
        <w:t xml:space="preserve"> (Shimla: Indian Institute of Advanced Study 1998), 28</w:t>
      </w:r>
      <w:r>
        <w:rPr>
          <w:sz w:val="24"/>
          <w:szCs w:val="24"/>
        </w:rPr>
        <w:t xml:space="preserve"> (hereafter Dhillon, </w:t>
      </w:r>
      <w:r>
        <w:rPr>
          <w:i/>
          <w:iCs/>
          <w:sz w:val="24"/>
          <w:szCs w:val="24"/>
        </w:rPr>
        <w:t>Defenders of the Establishment</w:t>
      </w:r>
      <w:r>
        <w:rPr>
          <w:sz w:val="24"/>
          <w:szCs w:val="24"/>
        </w:rPr>
        <w:t>)</w:t>
      </w:r>
      <w:r w:rsidRPr="00A84A20">
        <w:rPr>
          <w:sz w:val="24"/>
          <w:szCs w:val="24"/>
        </w:rPr>
        <w:t>.</w:t>
      </w:r>
    </w:p>
  </w:footnote>
  <w:footnote w:id="56">
    <w:p w14:paraId="09F34110"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Webb, </w:t>
      </w:r>
      <w:r w:rsidRPr="00A84A20">
        <w:rPr>
          <w:i/>
          <w:iCs/>
          <w:sz w:val="24"/>
          <w:szCs w:val="24"/>
        </w:rPr>
        <w:t>A History of Torture</w:t>
      </w:r>
      <w:r>
        <w:rPr>
          <w:i/>
          <w:iCs/>
          <w:sz w:val="24"/>
          <w:szCs w:val="24"/>
        </w:rPr>
        <w:t xml:space="preserve"> </w:t>
      </w:r>
      <w:r>
        <w:rPr>
          <w:sz w:val="24"/>
          <w:szCs w:val="24"/>
        </w:rPr>
        <w:t>(n 30)</w:t>
      </w:r>
      <w:r w:rsidRPr="00A84A20">
        <w:rPr>
          <w:sz w:val="24"/>
          <w:szCs w:val="24"/>
        </w:rPr>
        <w:t>, 100.</w:t>
      </w:r>
    </w:p>
  </w:footnote>
  <w:footnote w:id="57">
    <w:p w14:paraId="5413CA4B"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w:t>
      </w:r>
      <w:r w:rsidRPr="00A84A20">
        <w:rPr>
          <w:b/>
          <w:sz w:val="24"/>
          <w:szCs w:val="24"/>
        </w:rPr>
        <w:t xml:space="preserve"> </w:t>
      </w:r>
      <w:r w:rsidRPr="00A84A20">
        <w:rPr>
          <w:sz w:val="24"/>
          <w:szCs w:val="24"/>
        </w:rPr>
        <w:t xml:space="preserve">I am using the term </w:t>
      </w:r>
      <w:r>
        <w:rPr>
          <w:sz w:val="24"/>
          <w:szCs w:val="24"/>
        </w:rPr>
        <w:t>‘</w:t>
      </w:r>
      <w:r w:rsidRPr="00A84A20">
        <w:rPr>
          <w:sz w:val="24"/>
          <w:szCs w:val="24"/>
        </w:rPr>
        <w:t>terror</w:t>
      </w:r>
      <w:r>
        <w:rPr>
          <w:sz w:val="24"/>
          <w:szCs w:val="24"/>
        </w:rPr>
        <w:t>’</w:t>
      </w:r>
      <w:r w:rsidRPr="00A84A20">
        <w:rPr>
          <w:sz w:val="24"/>
          <w:szCs w:val="24"/>
        </w:rPr>
        <w:t xml:space="preserve"> here in its original sense, which Elleke Boehmer and Stephen Morton </w:t>
      </w:r>
      <w:r>
        <w:rPr>
          <w:sz w:val="24"/>
          <w:szCs w:val="24"/>
        </w:rPr>
        <w:t>designate</w:t>
      </w:r>
      <w:r w:rsidRPr="00A84A20">
        <w:rPr>
          <w:sz w:val="24"/>
          <w:szCs w:val="24"/>
        </w:rPr>
        <w:t xml:space="preserve"> as</w:t>
      </w:r>
      <w:r w:rsidRPr="00A84A20">
        <w:rPr>
          <w:b/>
          <w:sz w:val="24"/>
          <w:szCs w:val="24"/>
        </w:rPr>
        <w:t xml:space="preserve"> </w:t>
      </w:r>
      <w:r>
        <w:rPr>
          <w:sz w:val="24"/>
          <w:szCs w:val="24"/>
        </w:rPr>
        <w:t>‘</w:t>
      </w:r>
      <w:r w:rsidRPr="00A84A20">
        <w:rPr>
          <w:sz w:val="24"/>
          <w:szCs w:val="24"/>
        </w:rPr>
        <w:t>a brutal material and corporeal experience of sovereign power in the raw</w:t>
      </w:r>
      <w:r>
        <w:rPr>
          <w:sz w:val="24"/>
          <w:szCs w:val="24"/>
        </w:rPr>
        <w:t>’</w:t>
      </w:r>
      <w:r w:rsidRPr="00A84A20">
        <w:rPr>
          <w:sz w:val="24"/>
          <w:szCs w:val="24"/>
        </w:rPr>
        <w:t xml:space="preserve">, or what Ranabir Samaddar describes as </w:t>
      </w:r>
      <w:r>
        <w:rPr>
          <w:sz w:val="24"/>
          <w:szCs w:val="24"/>
        </w:rPr>
        <w:t>‘</w:t>
      </w:r>
      <w:r w:rsidRPr="00A84A20">
        <w:rPr>
          <w:sz w:val="24"/>
          <w:szCs w:val="24"/>
        </w:rPr>
        <w:t xml:space="preserve">uncertainty, the capacity to scare, </w:t>
      </w:r>
      <w:r>
        <w:rPr>
          <w:sz w:val="24"/>
          <w:szCs w:val="24"/>
        </w:rPr>
        <w:t>“</w:t>
      </w:r>
      <w:r w:rsidRPr="00A84A20">
        <w:rPr>
          <w:sz w:val="24"/>
          <w:szCs w:val="24"/>
        </w:rPr>
        <w:t>terrorize</w:t>
      </w:r>
      <w:r>
        <w:rPr>
          <w:sz w:val="24"/>
          <w:szCs w:val="24"/>
        </w:rPr>
        <w:t>”</w:t>
      </w:r>
      <w:r w:rsidRPr="00A84A20">
        <w:rPr>
          <w:sz w:val="24"/>
          <w:szCs w:val="24"/>
        </w:rPr>
        <w:t>, violence, symbolic violence, extra</w:t>
      </w:r>
      <w:r>
        <w:rPr>
          <w:sz w:val="24"/>
          <w:szCs w:val="24"/>
        </w:rPr>
        <w:t>-</w:t>
      </w:r>
      <w:r w:rsidRPr="00A84A20">
        <w:rPr>
          <w:sz w:val="24"/>
          <w:szCs w:val="24"/>
        </w:rPr>
        <w:t>ordinary methods, unaccountability, uncertain prospects, different rules (if you understand them) of engagement and murder, and different methods . . .</w:t>
      </w:r>
      <w:r>
        <w:rPr>
          <w:sz w:val="24"/>
          <w:szCs w:val="24"/>
        </w:rPr>
        <w:t>’</w:t>
      </w:r>
      <w:r w:rsidRPr="00A84A20">
        <w:rPr>
          <w:sz w:val="24"/>
          <w:szCs w:val="24"/>
        </w:rPr>
        <w:t xml:space="preserve"> Elleke </w:t>
      </w:r>
      <w:bookmarkStart w:id="12" w:name="_Hlk514184075"/>
      <w:r w:rsidRPr="00A84A20">
        <w:rPr>
          <w:sz w:val="24"/>
          <w:szCs w:val="24"/>
        </w:rPr>
        <w:t xml:space="preserve">Boehmer and Stephen Morton, </w:t>
      </w:r>
      <w:r>
        <w:rPr>
          <w:sz w:val="24"/>
          <w:szCs w:val="24"/>
        </w:rPr>
        <w:t>‘</w:t>
      </w:r>
      <w:r w:rsidRPr="00A84A20">
        <w:rPr>
          <w:sz w:val="24"/>
          <w:szCs w:val="24"/>
        </w:rPr>
        <w:t>Introduction: Terror and the Postcolonial</w:t>
      </w:r>
      <w:r>
        <w:rPr>
          <w:sz w:val="24"/>
          <w:szCs w:val="24"/>
        </w:rPr>
        <w:t>’</w:t>
      </w:r>
      <w:r w:rsidRPr="00A84A20">
        <w:rPr>
          <w:sz w:val="24"/>
          <w:szCs w:val="24"/>
        </w:rPr>
        <w:t xml:space="preserve">, in Elleke Bohmer and Stephen Morton (eds), </w:t>
      </w:r>
      <w:r w:rsidRPr="00A84A20">
        <w:rPr>
          <w:i/>
          <w:sz w:val="24"/>
          <w:szCs w:val="24"/>
        </w:rPr>
        <w:t>Terror and the Postcolonial: A Concise Companion</w:t>
      </w:r>
      <w:r w:rsidRPr="00A84A20">
        <w:rPr>
          <w:sz w:val="24"/>
          <w:szCs w:val="24"/>
        </w:rPr>
        <w:t xml:space="preserve"> (Oxford: Wiley</w:t>
      </w:r>
      <w:r>
        <w:rPr>
          <w:sz w:val="24"/>
          <w:szCs w:val="24"/>
        </w:rPr>
        <w:t>-</w:t>
      </w:r>
      <w:r w:rsidRPr="00A84A20">
        <w:rPr>
          <w:sz w:val="24"/>
          <w:szCs w:val="24"/>
        </w:rPr>
        <w:t xml:space="preserve">Blackwell 2010), </w:t>
      </w:r>
      <w:bookmarkEnd w:id="12"/>
      <w:r w:rsidRPr="00A84A20">
        <w:rPr>
          <w:sz w:val="24"/>
          <w:szCs w:val="24"/>
        </w:rPr>
        <w:t>12;</w:t>
      </w:r>
      <w:r>
        <w:rPr>
          <w:sz w:val="24"/>
          <w:szCs w:val="24"/>
        </w:rPr>
        <w:t xml:space="preserve"> </w:t>
      </w:r>
      <w:r w:rsidRPr="00A84A20">
        <w:rPr>
          <w:sz w:val="24"/>
          <w:szCs w:val="24"/>
        </w:rPr>
        <w:t xml:space="preserve">and </w:t>
      </w:r>
      <w:r>
        <w:rPr>
          <w:sz w:val="24"/>
          <w:szCs w:val="24"/>
        </w:rPr>
        <w:t>Ranabir Samaddar, ‘</w:t>
      </w:r>
      <w:r w:rsidRPr="00A84A20">
        <w:rPr>
          <w:sz w:val="24"/>
          <w:szCs w:val="24"/>
        </w:rPr>
        <w:t>Colonial State, Terror and Law</w:t>
      </w:r>
      <w:r>
        <w:rPr>
          <w:sz w:val="24"/>
          <w:szCs w:val="24"/>
        </w:rPr>
        <w:t>’</w:t>
      </w:r>
      <w:r w:rsidRPr="00A84A20">
        <w:rPr>
          <w:sz w:val="24"/>
          <w:szCs w:val="24"/>
        </w:rPr>
        <w:t>,</w:t>
      </w:r>
      <w:r w:rsidRPr="00A84A20">
        <w:rPr>
          <w:b/>
          <w:bCs/>
          <w:sz w:val="24"/>
          <w:szCs w:val="24"/>
        </w:rPr>
        <w:t xml:space="preserve"> </w:t>
      </w:r>
      <w:r w:rsidRPr="00A84A20">
        <w:rPr>
          <w:sz w:val="24"/>
          <w:szCs w:val="24"/>
        </w:rPr>
        <w:t xml:space="preserve">in Imtiaz Ahmed (ed.), </w:t>
      </w:r>
      <w:r w:rsidRPr="00A84A20">
        <w:rPr>
          <w:i/>
          <w:iCs/>
          <w:sz w:val="24"/>
          <w:szCs w:val="24"/>
        </w:rPr>
        <w:t>Understanding Terrorism in South Asia: Beyond Statist Discourses</w:t>
      </w:r>
      <w:r w:rsidRPr="00A84A20">
        <w:rPr>
          <w:sz w:val="24"/>
          <w:szCs w:val="24"/>
        </w:rPr>
        <w:t xml:space="preserve"> (Manohar: Regional Centre for Strategic Studies, Colombo 2006), 47. See also Partha Chatterjee, </w:t>
      </w:r>
      <w:r>
        <w:rPr>
          <w:sz w:val="24"/>
          <w:szCs w:val="24"/>
        </w:rPr>
        <w:t>‘</w:t>
      </w:r>
      <w:r w:rsidRPr="00A84A20">
        <w:rPr>
          <w:sz w:val="24"/>
          <w:szCs w:val="24"/>
        </w:rPr>
        <w:t>Terrorism: State Sovereignty and Militant Politics in India</w:t>
      </w:r>
      <w:r>
        <w:rPr>
          <w:sz w:val="24"/>
          <w:szCs w:val="24"/>
        </w:rPr>
        <w:t>’</w:t>
      </w:r>
      <w:r w:rsidRPr="00A84A20">
        <w:rPr>
          <w:sz w:val="24"/>
          <w:szCs w:val="24"/>
        </w:rPr>
        <w:t xml:space="preserve">, in Carol Gluck and Anna Lowenhaupt Tsing, </w:t>
      </w:r>
      <w:r w:rsidRPr="00A84A20">
        <w:rPr>
          <w:i/>
          <w:iCs/>
          <w:sz w:val="24"/>
          <w:szCs w:val="24"/>
        </w:rPr>
        <w:t>Words in Motion: Toward a Global Lexicon</w:t>
      </w:r>
      <w:r w:rsidRPr="00A84A20">
        <w:rPr>
          <w:sz w:val="24"/>
          <w:szCs w:val="24"/>
        </w:rPr>
        <w:t xml:space="preserve"> (Durham, NC: Duke University Press 2009), 240; and </w:t>
      </w:r>
      <w:r w:rsidRPr="00A84A20">
        <w:rPr>
          <w:bCs/>
          <w:sz w:val="24"/>
          <w:szCs w:val="24"/>
        </w:rPr>
        <w:t xml:space="preserve">Alex Tickell, </w:t>
      </w:r>
      <w:r w:rsidRPr="00A84A20">
        <w:rPr>
          <w:bCs/>
          <w:i/>
          <w:sz w:val="24"/>
          <w:szCs w:val="24"/>
        </w:rPr>
        <w:t>Terrorism, Insurgency and Indian</w:t>
      </w:r>
      <w:r>
        <w:rPr>
          <w:bCs/>
          <w:i/>
          <w:sz w:val="24"/>
          <w:szCs w:val="24"/>
        </w:rPr>
        <w:t>-</w:t>
      </w:r>
      <w:r w:rsidRPr="00A84A20">
        <w:rPr>
          <w:bCs/>
          <w:i/>
          <w:sz w:val="24"/>
          <w:szCs w:val="24"/>
        </w:rPr>
        <w:t>English Literature, 1830</w:t>
      </w:r>
      <w:r>
        <w:rPr>
          <w:bCs/>
          <w:i/>
          <w:sz w:val="24"/>
          <w:szCs w:val="24"/>
        </w:rPr>
        <w:t>-</w:t>
      </w:r>
      <w:r w:rsidRPr="00A84A20">
        <w:rPr>
          <w:bCs/>
          <w:i/>
          <w:sz w:val="24"/>
          <w:szCs w:val="24"/>
        </w:rPr>
        <w:t>1947</w:t>
      </w:r>
      <w:r w:rsidRPr="00A84A20">
        <w:rPr>
          <w:b/>
          <w:i/>
          <w:sz w:val="24"/>
          <w:szCs w:val="24"/>
        </w:rPr>
        <w:t xml:space="preserve"> </w:t>
      </w:r>
      <w:r w:rsidRPr="00A84A20">
        <w:rPr>
          <w:sz w:val="24"/>
          <w:szCs w:val="24"/>
        </w:rPr>
        <w:t>(New York and London: Routledge 2012), 11</w:t>
      </w:r>
      <w:r>
        <w:rPr>
          <w:sz w:val="24"/>
          <w:szCs w:val="24"/>
        </w:rPr>
        <w:t>-</w:t>
      </w:r>
      <w:r w:rsidRPr="00A84A20">
        <w:rPr>
          <w:sz w:val="24"/>
          <w:szCs w:val="24"/>
        </w:rPr>
        <w:t>12</w:t>
      </w:r>
      <w:r>
        <w:rPr>
          <w:sz w:val="24"/>
          <w:szCs w:val="24"/>
        </w:rPr>
        <w:t xml:space="preserve"> (hereafter Tickell, </w:t>
      </w:r>
      <w:r>
        <w:rPr>
          <w:i/>
          <w:iCs/>
          <w:sz w:val="24"/>
          <w:szCs w:val="24"/>
        </w:rPr>
        <w:t>Terrorism, Insurgency</w:t>
      </w:r>
      <w:r>
        <w:rPr>
          <w:sz w:val="24"/>
          <w:szCs w:val="24"/>
        </w:rPr>
        <w:t>)</w:t>
      </w:r>
      <w:r w:rsidRPr="00A84A20">
        <w:rPr>
          <w:sz w:val="24"/>
          <w:szCs w:val="24"/>
        </w:rPr>
        <w:t>.</w:t>
      </w:r>
    </w:p>
  </w:footnote>
  <w:footnote w:id="58">
    <w:p w14:paraId="16448407" w14:textId="77777777" w:rsidR="00997966" w:rsidRPr="00A84A20" w:rsidRDefault="00997966" w:rsidP="00997966">
      <w:pPr>
        <w:pStyle w:val="FootnoteText"/>
        <w:spacing w:line="480" w:lineRule="auto"/>
        <w:contextualSpacing/>
        <w:rPr>
          <w:bCs/>
          <w:sz w:val="24"/>
          <w:szCs w:val="24"/>
        </w:rPr>
      </w:pPr>
      <w:r w:rsidRPr="00A84A20">
        <w:rPr>
          <w:rStyle w:val="FootnoteReference"/>
          <w:sz w:val="24"/>
          <w:szCs w:val="24"/>
        </w:rPr>
        <w:footnoteRef/>
      </w:r>
      <w:r w:rsidRPr="00A84A20">
        <w:rPr>
          <w:sz w:val="24"/>
          <w:szCs w:val="24"/>
        </w:rPr>
        <w:t xml:space="preserve"> See, for example, Achille Mbembe, </w:t>
      </w:r>
      <w:r>
        <w:rPr>
          <w:bCs/>
          <w:sz w:val="24"/>
          <w:szCs w:val="24"/>
        </w:rPr>
        <w:t>‘</w:t>
      </w:r>
      <w:r w:rsidRPr="00A84A20">
        <w:rPr>
          <w:bCs/>
          <w:sz w:val="24"/>
          <w:szCs w:val="24"/>
        </w:rPr>
        <w:t>Necropolitics</w:t>
      </w:r>
      <w:r>
        <w:rPr>
          <w:bCs/>
          <w:sz w:val="24"/>
          <w:szCs w:val="24"/>
        </w:rPr>
        <w:t>’,</w:t>
      </w:r>
      <w:r w:rsidRPr="00A84A20">
        <w:rPr>
          <w:bCs/>
          <w:sz w:val="24"/>
          <w:szCs w:val="24"/>
        </w:rPr>
        <w:t xml:space="preserve"> </w:t>
      </w:r>
      <w:r w:rsidRPr="00A84A20">
        <w:rPr>
          <w:bCs/>
          <w:i/>
          <w:sz w:val="24"/>
          <w:szCs w:val="24"/>
        </w:rPr>
        <w:t>Public Culture</w:t>
      </w:r>
      <w:r w:rsidRPr="00A84A20">
        <w:rPr>
          <w:bCs/>
          <w:sz w:val="24"/>
          <w:szCs w:val="24"/>
        </w:rPr>
        <w:t xml:space="preserve"> 15</w:t>
      </w:r>
      <w:r>
        <w:rPr>
          <w:bCs/>
          <w:sz w:val="24"/>
          <w:szCs w:val="24"/>
        </w:rPr>
        <w:t>/</w:t>
      </w:r>
      <w:r w:rsidRPr="00A84A20">
        <w:rPr>
          <w:bCs/>
          <w:sz w:val="24"/>
          <w:szCs w:val="24"/>
        </w:rPr>
        <w:t>1 (2003)</w:t>
      </w:r>
      <w:r>
        <w:rPr>
          <w:bCs/>
          <w:sz w:val="24"/>
          <w:szCs w:val="24"/>
        </w:rPr>
        <w:t>,</w:t>
      </w:r>
      <w:r w:rsidRPr="00A84A20">
        <w:rPr>
          <w:bCs/>
          <w:sz w:val="24"/>
          <w:szCs w:val="24"/>
        </w:rPr>
        <w:t xml:space="preserve"> 11</w:t>
      </w:r>
      <w:r>
        <w:rPr>
          <w:bCs/>
          <w:sz w:val="24"/>
          <w:szCs w:val="24"/>
        </w:rPr>
        <w:t>-</w:t>
      </w:r>
      <w:r w:rsidRPr="00A84A20">
        <w:rPr>
          <w:bCs/>
          <w:sz w:val="24"/>
          <w:szCs w:val="24"/>
        </w:rPr>
        <w:t>40</w:t>
      </w:r>
      <w:r>
        <w:rPr>
          <w:bCs/>
          <w:sz w:val="24"/>
          <w:szCs w:val="24"/>
        </w:rPr>
        <w:t xml:space="preserve"> (hereafter Mbembe, ‘Necropolitics’)</w:t>
      </w:r>
      <w:r w:rsidRPr="00A84A20">
        <w:rPr>
          <w:bCs/>
          <w:sz w:val="24"/>
          <w:szCs w:val="24"/>
        </w:rPr>
        <w:t>;</w:t>
      </w:r>
      <w:r w:rsidRPr="00A84A20">
        <w:rPr>
          <w:b/>
          <w:sz w:val="24"/>
          <w:szCs w:val="24"/>
        </w:rPr>
        <w:t xml:space="preserve"> </w:t>
      </w:r>
      <w:r w:rsidRPr="00A84A20">
        <w:rPr>
          <w:sz w:val="24"/>
          <w:szCs w:val="24"/>
        </w:rPr>
        <w:t xml:space="preserve">Nasser Hussain, </w:t>
      </w:r>
      <w:r w:rsidRPr="00A84A20">
        <w:rPr>
          <w:bCs/>
          <w:i/>
          <w:iCs/>
          <w:sz w:val="24"/>
          <w:szCs w:val="24"/>
        </w:rPr>
        <w:t>The Jurisprudence of Emergency:</w:t>
      </w:r>
      <w:r w:rsidRPr="00A84A20">
        <w:rPr>
          <w:b/>
          <w:i/>
          <w:iCs/>
          <w:sz w:val="24"/>
          <w:szCs w:val="24"/>
        </w:rPr>
        <w:t xml:space="preserve"> </w:t>
      </w:r>
      <w:r w:rsidRPr="00A84A20">
        <w:rPr>
          <w:bCs/>
          <w:i/>
          <w:iCs/>
          <w:sz w:val="24"/>
          <w:szCs w:val="24"/>
        </w:rPr>
        <w:t>Colonialism and the Rule of Law</w:t>
      </w:r>
      <w:r w:rsidRPr="00A84A20">
        <w:rPr>
          <w:bCs/>
          <w:sz w:val="24"/>
          <w:szCs w:val="24"/>
        </w:rPr>
        <w:t xml:space="preserve"> (Ann Arbor: The University of Michigan Press 2003)</w:t>
      </w:r>
      <w:r>
        <w:rPr>
          <w:bCs/>
          <w:sz w:val="24"/>
          <w:szCs w:val="24"/>
        </w:rPr>
        <w:t xml:space="preserve"> (hereafter Hussain, </w:t>
      </w:r>
      <w:r>
        <w:rPr>
          <w:bCs/>
          <w:i/>
          <w:iCs/>
          <w:sz w:val="24"/>
          <w:szCs w:val="24"/>
        </w:rPr>
        <w:t>The Jurisprudence of Emergency</w:t>
      </w:r>
      <w:r>
        <w:rPr>
          <w:bCs/>
          <w:sz w:val="24"/>
          <w:szCs w:val="24"/>
        </w:rPr>
        <w:t>)</w:t>
      </w:r>
      <w:r w:rsidRPr="00A84A20">
        <w:rPr>
          <w:bCs/>
          <w:sz w:val="24"/>
          <w:szCs w:val="24"/>
        </w:rPr>
        <w:t xml:space="preserve">; </w:t>
      </w:r>
      <w:r w:rsidRPr="00A84A20">
        <w:rPr>
          <w:sz w:val="24"/>
          <w:szCs w:val="24"/>
        </w:rPr>
        <w:t xml:space="preserve">Randall Williams, </w:t>
      </w:r>
      <w:r>
        <w:rPr>
          <w:sz w:val="24"/>
          <w:szCs w:val="24"/>
        </w:rPr>
        <w:t>‘</w:t>
      </w:r>
      <w:r w:rsidRPr="00A84A20">
        <w:rPr>
          <w:sz w:val="24"/>
          <w:szCs w:val="24"/>
        </w:rPr>
        <w:t>A State of Permanent Exception: The Birth of Modern Policing in Colonial Capitalism</w:t>
      </w:r>
      <w:r>
        <w:rPr>
          <w:sz w:val="24"/>
          <w:szCs w:val="24"/>
        </w:rPr>
        <w:t>’</w:t>
      </w:r>
      <w:r w:rsidRPr="00A84A20">
        <w:rPr>
          <w:sz w:val="24"/>
          <w:szCs w:val="24"/>
        </w:rPr>
        <w:t xml:space="preserve">, </w:t>
      </w:r>
      <w:r w:rsidRPr="00A84A20">
        <w:rPr>
          <w:i/>
          <w:iCs/>
          <w:sz w:val="24"/>
          <w:szCs w:val="24"/>
        </w:rPr>
        <w:t>Interventions: International Journal of Postcolonial Studies</w:t>
      </w:r>
      <w:r>
        <w:rPr>
          <w:sz w:val="24"/>
          <w:szCs w:val="24"/>
        </w:rPr>
        <w:t xml:space="preserve"> 5/</w:t>
      </w:r>
      <w:r w:rsidRPr="00A84A20">
        <w:rPr>
          <w:sz w:val="24"/>
          <w:szCs w:val="24"/>
        </w:rPr>
        <w:t>3 (2003)</w:t>
      </w:r>
      <w:r>
        <w:rPr>
          <w:sz w:val="24"/>
          <w:szCs w:val="24"/>
        </w:rPr>
        <w:t>,</w:t>
      </w:r>
      <w:r w:rsidRPr="00A84A20">
        <w:rPr>
          <w:sz w:val="24"/>
          <w:szCs w:val="24"/>
        </w:rPr>
        <w:t xml:space="preserve"> 322</w:t>
      </w:r>
      <w:r>
        <w:rPr>
          <w:sz w:val="24"/>
          <w:szCs w:val="24"/>
        </w:rPr>
        <w:t>-</w:t>
      </w:r>
      <w:r w:rsidRPr="00A84A20">
        <w:rPr>
          <w:sz w:val="24"/>
          <w:szCs w:val="24"/>
        </w:rPr>
        <w:t>44</w:t>
      </w:r>
      <w:r w:rsidRPr="00A84A20">
        <w:rPr>
          <w:bCs/>
          <w:sz w:val="24"/>
          <w:szCs w:val="24"/>
        </w:rPr>
        <w:t xml:space="preserve">; Thoms Blum Hansen and Finn Stepputat, </w:t>
      </w:r>
      <w:r>
        <w:rPr>
          <w:bCs/>
          <w:sz w:val="24"/>
          <w:szCs w:val="24"/>
        </w:rPr>
        <w:t>‘</w:t>
      </w:r>
      <w:r w:rsidRPr="00A84A20">
        <w:rPr>
          <w:bCs/>
          <w:sz w:val="24"/>
          <w:szCs w:val="24"/>
        </w:rPr>
        <w:t>Introduction</w:t>
      </w:r>
      <w:r>
        <w:rPr>
          <w:bCs/>
          <w:sz w:val="24"/>
          <w:szCs w:val="24"/>
        </w:rPr>
        <w:t>’,</w:t>
      </w:r>
      <w:r w:rsidRPr="00A84A20">
        <w:rPr>
          <w:bCs/>
          <w:sz w:val="24"/>
          <w:szCs w:val="24"/>
        </w:rPr>
        <w:t xml:space="preserve"> in Thomas Blom Hansen and Finn Stepputat </w:t>
      </w:r>
    </w:p>
    <w:p w14:paraId="5D89BFC8" w14:textId="77777777" w:rsidR="00997966" w:rsidRPr="00A84A20" w:rsidRDefault="00997966" w:rsidP="00997966">
      <w:pPr>
        <w:pStyle w:val="FootnoteText"/>
        <w:spacing w:line="480" w:lineRule="auto"/>
        <w:contextualSpacing/>
        <w:rPr>
          <w:bCs/>
          <w:sz w:val="24"/>
          <w:szCs w:val="24"/>
        </w:rPr>
      </w:pPr>
      <w:r w:rsidRPr="00A84A20">
        <w:rPr>
          <w:bCs/>
          <w:sz w:val="24"/>
          <w:szCs w:val="24"/>
        </w:rPr>
        <w:t xml:space="preserve">(eds), </w:t>
      </w:r>
      <w:r w:rsidRPr="00A84A20">
        <w:rPr>
          <w:bCs/>
          <w:i/>
          <w:sz w:val="24"/>
          <w:szCs w:val="24"/>
        </w:rPr>
        <w:t>Sovereign Bodies: Citizens, Migrants, and States in the Postcolonial World</w:t>
      </w:r>
      <w:r w:rsidRPr="00A84A20">
        <w:rPr>
          <w:b/>
          <w:sz w:val="24"/>
          <w:szCs w:val="24"/>
        </w:rPr>
        <w:t xml:space="preserve"> </w:t>
      </w:r>
      <w:r w:rsidRPr="00A84A20">
        <w:rPr>
          <w:sz w:val="24"/>
          <w:szCs w:val="24"/>
        </w:rPr>
        <w:t>(Princeton and Oxford: Princeton University Press 2005), 1</w:t>
      </w:r>
      <w:r>
        <w:rPr>
          <w:sz w:val="24"/>
          <w:szCs w:val="24"/>
        </w:rPr>
        <w:t>-</w:t>
      </w:r>
      <w:r w:rsidRPr="00A84A20">
        <w:rPr>
          <w:sz w:val="24"/>
          <w:szCs w:val="24"/>
        </w:rPr>
        <w:t xml:space="preserve">36; Arun Chowdhury, </w:t>
      </w:r>
      <w:r>
        <w:rPr>
          <w:color w:val="000000"/>
          <w:sz w:val="24"/>
          <w:szCs w:val="24"/>
        </w:rPr>
        <w:t>‘</w:t>
      </w:r>
      <w:r w:rsidRPr="00A84A20">
        <w:rPr>
          <w:color w:val="000000"/>
          <w:sz w:val="24"/>
          <w:szCs w:val="24"/>
        </w:rPr>
        <w:t>The Colony as Exception (Or, Why Do I Have to Kill You More than Once?</w:t>
      </w:r>
      <w:r>
        <w:rPr>
          <w:color w:val="000000"/>
          <w:sz w:val="24"/>
          <w:szCs w:val="24"/>
        </w:rPr>
        <w:t>’</w:t>
      </w:r>
      <w:r w:rsidRPr="00A84A20">
        <w:rPr>
          <w:color w:val="000000"/>
          <w:sz w:val="24"/>
          <w:szCs w:val="24"/>
        </w:rPr>
        <w:t xml:space="preserve">, </w:t>
      </w:r>
      <w:r w:rsidRPr="00A84A20">
        <w:rPr>
          <w:i/>
          <w:iCs/>
          <w:color w:val="000000"/>
          <w:sz w:val="24"/>
          <w:szCs w:val="24"/>
        </w:rPr>
        <w:t xml:space="preserve">Borderlands </w:t>
      </w:r>
      <w:r w:rsidRPr="00A84A20">
        <w:rPr>
          <w:color w:val="000000"/>
          <w:sz w:val="24"/>
          <w:szCs w:val="24"/>
        </w:rPr>
        <w:t>6</w:t>
      </w:r>
      <w:r>
        <w:rPr>
          <w:color w:val="000000"/>
          <w:sz w:val="24"/>
          <w:szCs w:val="24"/>
        </w:rPr>
        <w:t>/</w:t>
      </w:r>
      <w:r w:rsidRPr="00A84A20">
        <w:rPr>
          <w:color w:val="000000"/>
          <w:sz w:val="24"/>
          <w:szCs w:val="24"/>
        </w:rPr>
        <w:t>3 (2007)</w:t>
      </w:r>
      <w:r>
        <w:rPr>
          <w:color w:val="000000"/>
          <w:sz w:val="24"/>
          <w:szCs w:val="24"/>
        </w:rPr>
        <w:t xml:space="preserve"> &lt;</w:t>
      </w:r>
      <w:hyperlink r:id="rId31" w:history="1">
        <w:r w:rsidRPr="00D510C8">
          <w:rPr>
            <w:rStyle w:val="Hyperlink"/>
            <w:sz w:val="24"/>
            <w:szCs w:val="24"/>
          </w:rPr>
          <w:t>http://www.borderlands.net.au/vol6no3_2007/chowdhury_once.htm</w:t>
        </w:r>
      </w:hyperlink>
      <w:r>
        <w:rPr>
          <w:sz w:val="24"/>
          <w:szCs w:val="24"/>
        </w:rPr>
        <w:t>&gt; (accessed 17 June 2020)</w:t>
      </w:r>
      <w:r w:rsidRPr="00AB48B6">
        <w:rPr>
          <w:rStyle w:val="Hyperlink"/>
          <w:color w:val="auto"/>
          <w:sz w:val="24"/>
          <w:szCs w:val="24"/>
          <w:u w:val="none"/>
        </w:rPr>
        <w:t>;</w:t>
      </w:r>
      <w:r w:rsidRPr="00A84A20">
        <w:rPr>
          <w:b/>
          <w:sz w:val="24"/>
          <w:szCs w:val="24"/>
        </w:rPr>
        <w:t xml:space="preserve"> </w:t>
      </w:r>
      <w:r w:rsidRPr="00A84A20">
        <w:rPr>
          <w:bCs/>
          <w:sz w:val="24"/>
          <w:szCs w:val="24"/>
        </w:rPr>
        <w:t xml:space="preserve">Tom Lloyd, </w:t>
      </w:r>
      <w:r>
        <w:rPr>
          <w:bCs/>
          <w:sz w:val="24"/>
          <w:szCs w:val="24"/>
        </w:rPr>
        <w:t>‘</w:t>
      </w:r>
      <w:r w:rsidRPr="00A84A20">
        <w:rPr>
          <w:bCs/>
          <w:sz w:val="24"/>
          <w:szCs w:val="24"/>
        </w:rPr>
        <w:t xml:space="preserve">States of Exception? Sovereignty and </w:t>
      </w:r>
      <w:r>
        <w:rPr>
          <w:bCs/>
          <w:sz w:val="24"/>
          <w:szCs w:val="24"/>
        </w:rPr>
        <w:t>C</w:t>
      </w:r>
      <w:r w:rsidRPr="00A84A20">
        <w:rPr>
          <w:bCs/>
          <w:sz w:val="24"/>
          <w:szCs w:val="24"/>
        </w:rPr>
        <w:t>ounter</w:t>
      </w:r>
      <w:r>
        <w:rPr>
          <w:bCs/>
          <w:sz w:val="24"/>
          <w:szCs w:val="24"/>
        </w:rPr>
        <w:t>-</w:t>
      </w:r>
      <w:r w:rsidRPr="00A84A20">
        <w:rPr>
          <w:bCs/>
          <w:sz w:val="24"/>
          <w:szCs w:val="24"/>
        </w:rPr>
        <w:t xml:space="preserve">insurgency in British India, Ireland and Kenya </w:t>
      </w:r>
      <w:r w:rsidRPr="00A84A20">
        <w:rPr>
          <w:bCs/>
          <w:i/>
          <w:sz w:val="24"/>
          <w:szCs w:val="24"/>
        </w:rPr>
        <w:t>circa</w:t>
      </w:r>
      <w:r w:rsidRPr="00A84A20">
        <w:rPr>
          <w:bCs/>
          <w:sz w:val="24"/>
          <w:szCs w:val="24"/>
        </w:rPr>
        <w:t xml:space="preserve"> 1810</w:t>
      </w:r>
      <w:r>
        <w:rPr>
          <w:bCs/>
          <w:sz w:val="24"/>
          <w:szCs w:val="24"/>
        </w:rPr>
        <w:t>-</w:t>
      </w:r>
      <w:r w:rsidRPr="00A84A20">
        <w:rPr>
          <w:bCs/>
          <w:sz w:val="24"/>
          <w:szCs w:val="24"/>
        </w:rPr>
        <w:t>1960</w:t>
      </w:r>
      <w:r>
        <w:rPr>
          <w:bCs/>
          <w:sz w:val="24"/>
          <w:szCs w:val="24"/>
        </w:rPr>
        <w:t>’ (</w:t>
      </w:r>
      <w:r w:rsidRPr="00A84A20">
        <w:rPr>
          <w:bCs/>
          <w:sz w:val="24"/>
          <w:szCs w:val="24"/>
        </w:rPr>
        <w:t>PhD Diss.</w:t>
      </w:r>
      <w:r>
        <w:rPr>
          <w:bCs/>
          <w:sz w:val="24"/>
          <w:szCs w:val="24"/>
        </w:rPr>
        <w:t>,</w:t>
      </w:r>
      <w:r w:rsidRPr="00A84A20">
        <w:rPr>
          <w:bCs/>
          <w:sz w:val="24"/>
          <w:szCs w:val="24"/>
        </w:rPr>
        <w:t xml:space="preserve"> The University of Edinburgh 2009</w:t>
      </w:r>
      <w:r>
        <w:rPr>
          <w:bCs/>
          <w:sz w:val="24"/>
          <w:szCs w:val="24"/>
        </w:rPr>
        <w:t>)</w:t>
      </w:r>
      <w:r w:rsidRPr="00A84A20">
        <w:rPr>
          <w:bCs/>
          <w:sz w:val="24"/>
          <w:szCs w:val="24"/>
        </w:rPr>
        <w:t xml:space="preserve">; Lauren Benton, </w:t>
      </w:r>
      <w:r w:rsidRPr="00A84A20">
        <w:rPr>
          <w:i/>
          <w:iCs/>
          <w:sz w:val="24"/>
          <w:szCs w:val="24"/>
        </w:rPr>
        <w:t>A Search for Sovereignty: Law and Geography in European Empires, 1400</w:t>
      </w:r>
      <w:r>
        <w:rPr>
          <w:i/>
          <w:iCs/>
          <w:sz w:val="24"/>
          <w:szCs w:val="24"/>
        </w:rPr>
        <w:t>-</w:t>
      </w:r>
      <w:r w:rsidRPr="00A84A20">
        <w:rPr>
          <w:i/>
          <w:iCs/>
          <w:sz w:val="24"/>
          <w:szCs w:val="24"/>
        </w:rPr>
        <w:t>1900</w:t>
      </w:r>
      <w:r w:rsidRPr="00A84A20">
        <w:rPr>
          <w:sz w:val="24"/>
          <w:szCs w:val="24"/>
        </w:rPr>
        <w:t xml:space="preserve"> (New York: Cambridge University Press 2010)</w:t>
      </w:r>
      <w:r>
        <w:rPr>
          <w:sz w:val="24"/>
          <w:szCs w:val="24"/>
        </w:rPr>
        <w:t xml:space="preserve"> (hereafter Benton, </w:t>
      </w:r>
      <w:r>
        <w:rPr>
          <w:i/>
          <w:iCs/>
          <w:sz w:val="24"/>
          <w:szCs w:val="24"/>
        </w:rPr>
        <w:t>A Search for Sovereignty</w:t>
      </w:r>
      <w:r>
        <w:rPr>
          <w:sz w:val="24"/>
          <w:szCs w:val="24"/>
        </w:rPr>
        <w:t>)</w:t>
      </w:r>
      <w:r w:rsidRPr="00A84A20">
        <w:rPr>
          <w:sz w:val="24"/>
          <w:szCs w:val="24"/>
        </w:rPr>
        <w:t xml:space="preserve">; </w:t>
      </w:r>
      <w:r w:rsidRPr="00A84A20">
        <w:rPr>
          <w:bCs/>
          <w:sz w:val="24"/>
          <w:szCs w:val="24"/>
        </w:rPr>
        <w:t xml:space="preserve">Tickell, </w:t>
      </w:r>
      <w:r w:rsidRPr="00A84A20">
        <w:rPr>
          <w:bCs/>
          <w:i/>
          <w:sz w:val="24"/>
          <w:szCs w:val="24"/>
        </w:rPr>
        <w:t xml:space="preserve">Terrorism, Insurgency </w:t>
      </w:r>
      <w:r>
        <w:rPr>
          <w:bCs/>
          <w:iCs/>
          <w:sz w:val="24"/>
          <w:szCs w:val="24"/>
        </w:rPr>
        <w:t>(n 57)</w:t>
      </w:r>
      <w:r w:rsidRPr="00A84A20">
        <w:rPr>
          <w:sz w:val="24"/>
          <w:szCs w:val="24"/>
        </w:rPr>
        <w:t xml:space="preserve">; </w:t>
      </w:r>
      <w:r w:rsidRPr="00A84A20">
        <w:rPr>
          <w:rFonts w:eastAsia="ArialUnicodeMS"/>
          <w:bCs/>
          <w:sz w:val="24"/>
          <w:szCs w:val="24"/>
        </w:rPr>
        <w:t xml:space="preserve">Marcelo Svirsky and Simone Bignall (eds), </w:t>
      </w:r>
      <w:r w:rsidRPr="00A84A20">
        <w:rPr>
          <w:rFonts w:eastAsia="ArialUnicodeMS"/>
          <w:bCs/>
          <w:i/>
          <w:sz w:val="24"/>
          <w:szCs w:val="24"/>
        </w:rPr>
        <w:t>Agamben and Colonialism</w:t>
      </w:r>
      <w:r w:rsidRPr="00A84A20">
        <w:rPr>
          <w:rFonts w:eastAsia="ArialUnicodeMS"/>
          <w:b/>
          <w:sz w:val="24"/>
          <w:szCs w:val="24"/>
        </w:rPr>
        <w:t xml:space="preserve"> </w:t>
      </w:r>
      <w:r w:rsidRPr="00A84A20">
        <w:rPr>
          <w:rFonts w:eastAsia="ArialUnicodeMS"/>
          <w:sz w:val="24"/>
          <w:szCs w:val="24"/>
        </w:rPr>
        <w:t>(Edinburgh: Edinburgh University Press 2012)</w:t>
      </w:r>
      <w:r w:rsidRPr="00A84A20">
        <w:rPr>
          <w:bCs/>
          <w:sz w:val="24"/>
          <w:szCs w:val="24"/>
        </w:rPr>
        <w:t xml:space="preserve">; Stephen Morton, </w:t>
      </w:r>
      <w:r w:rsidRPr="00A84A20">
        <w:rPr>
          <w:bCs/>
          <w:i/>
          <w:sz w:val="24"/>
          <w:szCs w:val="24"/>
        </w:rPr>
        <w:t>States of Emergency: Colonialism, Literature and Law</w:t>
      </w:r>
      <w:r w:rsidRPr="00A84A20">
        <w:rPr>
          <w:sz w:val="24"/>
          <w:szCs w:val="24"/>
        </w:rPr>
        <w:t xml:space="preserve"> (Liverpool: Liverpool University Press,2013)</w:t>
      </w:r>
      <w:r w:rsidRPr="00A84A20">
        <w:rPr>
          <w:bCs/>
          <w:sz w:val="24"/>
          <w:szCs w:val="24"/>
        </w:rPr>
        <w:t xml:space="preserve">; </w:t>
      </w:r>
      <w:r w:rsidRPr="00A84A20">
        <w:rPr>
          <w:sz w:val="24"/>
          <w:szCs w:val="24"/>
        </w:rPr>
        <w:t xml:space="preserve">Helle Rydstrom, </w:t>
      </w:r>
      <w:r>
        <w:rPr>
          <w:sz w:val="24"/>
          <w:szCs w:val="24"/>
        </w:rPr>
        <w:t>‘</w:t>
      </w:r>
      <w:r w:rsidRPr="00A84A20">
        <w:rPr>
          <w:sz w:val="24"/>
          <w:szCs w:val="24"/>
        </w:rPr>
        <w:t>Politics of Colonial Violence: Gendered Atrocities in French Occupied Vietnam</w:t>
      </w:r>
      <w:r>
        <w:rPr>
          <w:sz w:val="24"/>
          <w:szCs w:val="24"/>
        </w:rPr>
        <w:t>’</w:t>
      </w:r>
      <w:r w:rsidRPr="00A84A20">
        <w:rPr>
          <w:sz w:val="24"/>
          <w:szCs w:val="24"/>
        </w:rPr>
        <w:t xml:space="preserve">, </w:t>
      </w:r>
      <w:r w:rsidRPr="00A84A20">
        <w:rPr>
          <w:i/>
          <w:sz w:val="24"/>
          <w:szCs w:val="24"/>
        </w:rPr>
        <w:t>European Journal of Women’s Studies</w:t>
      </w:r>
      <w:r w:rsidRPr="00A84A20">
        <w:rPr>
          <w:sz w:val="24"/>
          <w:szCs w:val="24"/>
        </w:rPr>
        <w:t xml:space="preserve"> 22</w:t>
      </w:r>
      <w:r>
        <w:rPr>
          <w:sz w:val="24"/>
          <w:szCs w:val="24"/>
        </w:rPr>
        <w:t>/</w:t>
      </w:r>
      <w:r w:rsidRPr="00A84A20">
        <w:rPr>
          <w:sz w:val="24"/>
          <w:szCs w:val="24"/>
        </w:rPr>
        <w:t>2 (2015)</w:t>
      </w:r>
      <w:r>
        <w:rPr>
          <w:sz w:val="24"/>
          <w:szCs w:val="24"/>
        </w:rPr>
        <w:t>,</w:t>
      </w:r>
      <w:r w:rsidRPr="00A84A20">
        <w:rPr>
          <w:sz w:val="24"/>
          <w:szCs w:val="24"/>
        </w:rPr>
        <w:t xml:space="preserve"> 191</w:t>
      </w:r>
      <w:r>
        <w:rPr>
          <w:sz w:val="24"/>
          <w:szCs w:val="24"/>
        </w:rPr>
        <w:t>-</w:t>
      </w:r>
      <w:r w:rsidRPr="00A84A20">
        <w:rPr>
          <w:sz w:val="24"/>
          <w:szCs w:val="24"/>
        </w:rPr>
        <w:t xml:space="preserve">207; </w:t>
      </w:r>
      <w:r w:rsidRPr="00A84A20">
        <w:rPr>
          <w:bCs/>
          <w:sz w:val="24"/>
          <w:szCs w:val="24"/>
        </w:rPr>
        <w:t xml:space="preserve">Reynolds, </w:t>
      </w:r>
      <w:r w:rsidRPr="00A84A20">
        <w:rPr>
          <w:bCs/>
          <w:i/>
          <w:iCs/>
          <w:sz w:val="24"/>
          <w:szCs w:val="24"/>
        </w:rPr>
        <w:t>Empire, Emergency</w:t>
      </w:r>
      <w:r>
        <w:rPr>
          <w:bCs/>
          <w:i/>
          <w:iCs/>
          <w:sz w:val="24"/>
          <w:szCs w:val="24"/>
        </w:rPr>
        <w:t xml:space="preserve"> </w:t>
      </w:r>
      <w:r>
        <w:rPr>
          <w:bCs/>
          <w:sz w:val="24"/>
          <w:szCs w:val="24"/>
        </w:rPr>
        <w:t>(n 15)</w:t>
      </w:r>
      <w:r w:rsidRPr="00A84A20">
        <w:rPr>
          <w:bCs/>
          <w:i/>
          <w:iCs/>
          <w:sz w:val="24"/>
          <w:szCs w:val="24"/>
        </w:rPr>
        <w:t xml:space="preserve">; </w:t>
      </w:r>
      <w:r w:rsidRPr="00A84A20">
        <w:rPr>
          <w:sz w:val="24"/>
          <w:szCs w:val="24"/>
        </w:rPr>
        <w:t xml:space="preserve">Durba Ghosh, </w:t>
      </w:r>
      <w:r w:rsidRPr="00A84A20">
        <w:rPr>
          <w:i/>
          <w:iCs/>
          <w:sz w:val="24"/>
          <w:szCs w:val="24"/>
        </w:rPr>
        <w:t>Gentlemanly Terrorists: Political Violence and the Colonial State in India, 1919</w:t>
      </w:r>
      <w:r>
        <w:rPr>
          <w:i/>
          <w:iCs/>
          <w:sz w:val="24"/>
          <w:szCs w:val="24"/>
        </w:rPr>
        <w:t>-</w:t>
      </w:r>
      <w:r w:rsidRPr="00A84A20">
        <w:rPr>
          <w:i/>
          <w:iCs/>
          <w:sz w:val="24"/>
          <w:szCs w:val="24"/>
        </w:rPr>
        <w:t>1947</w:t>
      </w:r>
      <w:r w:rsidRPr="00A84A20">
        <w:rPr>
          <w:sz w:val="24"/>
          <w:szCs w:val="24"/>
        </w:rPr>
        <w:t xml:space="preserve"> (New York: Cambridge University Press 2017); and </w:t>
      </w:r>
      <w:r w:rsidRPr="00A84A20">
        <w:rPr>
          <w:bCs/>
          <w:sz w:val="24"/>
          <w:szCs w:val="24"/>
        </w:rPr>
        <w:t xml:space="preserve">Bhavani Raman, </w:t>
      </w:r>
      <w:r>
        <w:rPr>
          <w:sz w:val="24"/>
          <w:szCs w:val="24"/>
        </w:rPr>
        <w:t>‘</w:t>
      </w:r>
      <w:r w:rsidRPr="00A84A20">
        <w:rPr>
          <w:sz w:val="24"/>
          <w:szCs w:val="24"/>
        </w:rPr>
        <w:t>Law in Times of Counter</w:t>
      </w:r>
      <w:r>
        <w:rPr>
          <w:sz w:val="24"/>
          <w:szCs w:val="24"/>
        </w:rPr>
        <w:t>-</w:t>
      </w:r>
      <w:r w:rsidRPr="00A84A20">
        <w:rPr>
          <w:sz w:val="24"/>
          <w:szCs w:val="24"/>
        </w:rPr>
        <w:t>insurgency</w:t>
      </w:r>
      <w:r>
        <w:rPr>
          <w:sz w:val="24"/>
          <w:szCs w:val="24"/>
        </w:rPr>
        <w:t>’</w:t>
      </w:r>
      <w:r w:rsidRPr="00A84A20">
        <w:rPr>
          <w:sz w:val="24"/>
          <w:szCs w:val="24"/>
        </w:rPr>
        <w:t>,</w:t>
      </w:r>
      <w:r w:rsidRPr="00A84A20">
        <w:rPr>
          <w:b/>
          <w:bCs/>
          <w:sz w:val="24"/>
          <w:szCs w:val="24"/>
        </w:rPr>
        <w:t xml:space="preserve"> </w:t>
      </w:r>
      <w:r w:rsidRPr="00A84A20">
        <w:rPr>
          <w:sz w:val="24"/>
          <w:szCs w:val="24"/>
        </w:rPr>
        <w:t xml:space="preserve">in Aparna Balachandran, Rashmi Pant and Bhavani Raman, </w:t>
      </w:r>
      <w:r w:rsidRPr="00A84A20">
        <w:rPr>
          <w:i/>
          <w:iCs/>
          <w:sz w:val="24"/>
          <w:szCs w:val="24"/>
        </w:rPr>
        <w:t>Iterations of Law: Legal Histories from India</w:t>
      </w:r>
      <w:r w:rsidRPr="00A84A20">
        <w:rPr>
          <w:sz w:val="24"/>
          <w:szCs w:val="24"/>
        </w:rPr>
        <w:t xml:space="preserve"> (New Delhi: Oxford University Press</w:t>
      </w:r>
      <w:r>
        <w:rPr>
          <w:sz w:val="24"/>
          <w:szCs w:val="24"/>
        </w:rPr>
        <w:t xml:space="preserve"> </w:t>
      </w:r>
      <w:r w:rsidRPr="00A84A20">
        <w:rPr>
          <w:sz w:val="24"/>
          <w:szCs w:val="24"/>
        </w:rPr>
        <w:t>2018), 120</w:t>
      </w:r>
      <w:r>
        <w:rPr>
          <w:sz w:val="24"/>
          <w:szCs w:val="24"/>
        </w:rPr>
        <w:t>-</w:t>
      </w:r>
      <w:r w:rsidRPr="00A84A20">
        <w:rPr>
          <w:sz w:val="24"/>
          <w:szCs w:val="24"/>
        </w:rPr>
        <w:t>46</w:t>
      </w:r>
      <w:r>
        <w:rPr>
          <w:sz w:val="24"/>
          <w:szCs w:val="24"/>
        </w:rPr>
        <w:t xml:space="preserve"> (hereafter Raman, ‘Law in Times’).</w:t>
      </w:r>
    </w:p>
  </w:footnote>
  <w:footnote w:id="59">
    <w:p w14:paraId="088F4130"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I have drawn the basis of such a framework from Santana Khanikar’s insightful work on the violence of the postcolonial Indian state, </w:t>
      </w:r>
      <w:r w:rsidRPr="00A84A20">
        <w:rPr>
          <w:i/>
          <w:iCs/>
          <w:sz w:val="24"/>
          <w:szCs w:val="24"/>
        </w:rPr>
        <w:t>State, Violence and Legitimacy in India</w:t>
      </w:r>
      <w:r w:rsidRPr="00A84A20">
        <w:rPr>
          <w:sz w:val="24"/>
          <w:szCs w:val="24"/>
        </w:rPr>
        <w:t xml:space="preserve"> (New Delhi: Oxford University Press 2018)</w:t>
      </w:r>
      <w:r>
        <w:rPr>
          <w:sz w:val="24"/>
          <w:szCs w:val="24"/>
        </w:rPr>
        <w:t xml:space="preserve"> (hereafter Khanikar, </w:t>
      </w:r>
      <w:r>
        <w:rPr>
          <w:i/>
          <w:iCs/>
          <w:sz w:val="24"/>
          <w:szCs w:val="24"/>
        </w:rPr>
        <w:t>State, Violence and Legitimacy</w:t>
      </w:r>
      <w:r>
        <w:rPr>
          <w:sz w:val="24"/>
          <w:szCs w:val="24"/>
        </w:rPr>
        <w:t>)</w:t>
      </w:r>
      <w:r w:rsidRPr="00A84A20">
        <w:rPr>
          <w:sz w:val="24"/>
          <w:szCs w:val="24"/>
        </w:rPr>
        <w:t xml:space="preserve">. </w:t>
      </w:r>
    </w:p>
  </w:footnote>
  <w:footnote w:id="60">
    <w:p w14:paraId="7AC486A1"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Reynolds, </w:t>
      </w:r>
      <w:r w:rsidRPr="00A84A20">
        <w:rPr>
          <w:i/>
          <w:iCs/>
          <w:sz w:val="24"/>
          <w:szCs w:val="24"/>
        </w:rPr>
        <w:t>Empire, Emergency</w:t>
      </w:r>
      <w:r>
        <w:rPr>
          <w:sz w:val="24"/>
          <w:szCs w:val="24"/>
        </w:rPr>
        <w:t xml:space="preserve"> (n 15)</w:t>
      </w:r>
      <w:r w:rsidRPr="00A84A20">
        <w:rPr>
          <w:sz w:val="24"/>
          <w:szCs w:val="24"/>
        </w:rPr>
        <w:t xml:space="preserve"> 90.</w:t>
      </w:r>
    </w:p>
  </w:footnote>
  <w:footnote w:id="61">
    <w:p w14:paraId="606DD788"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Khanikar, </w:t>
      </w:r>
      <w:r w:rsidRPr="00A84A20">
        <w:rPr>
          <w:i/>
          <w:iCs/>
          <w:sz w:val="24"/>
          <w:szCs w:val="24"/>
        </w:rPr>
        <w:t>State, Violence</w:t>
      </w:r>
      <w:r>
        <w:rPr>
          <w:i/>
          <w:iCs/>
          <w:sz w:val="24"/>
          <w:szCs w:val="24"/>
        </w:rPr>
        <w:t xml:space="preserve"> and Legitimacy </w:t>
      </w:r>
      <w:r>
        <w:rPr>
          <w:sz w:val="24"/>
          <w:szCs w:val="24"/>
        </w:rPr>
        <w:t>(n 59)</w:t>
      </w:r>
      <w:r w:rsidRPr="00A84A20">
        <w:rPr>
          <w:i/>
          <w:iCs/>
          <w:sz w:val="24"/>
          <w:szCs w:val="24"/>
        </w:rPr>
        <w:t xml:space="preserve"> </w:t>
      </w:r>
      <w:r w:rsidRPr="00A84A20">
        <w:rPr>
          <w:sz w:val="24"/>
          <w:szCs w:val="24"/>
        </w:rPr>
        <w:t>71</w:t>
      </w:r>
      <w:r>
        <w:rPr>
          <w:sz w:val="24"/>
          <w:szCs w:val="24"/>
        </w:rPr>
        <w:t>-</w:t>
      </w:r>
      <w:r w:rsidRPr="00A84A20">
        <w:rPr>
          <w:sz w:val="24"/>
          <w:szCs w:val="24"/>
        </w:rPr>
        <w:t xml:space="preserve">72; Upenda Baxi, </w:t>
      </w:r>
      <w:r w:rsidRPr="00A84A20">
        <w:rPr>
          <w:i/>
          <w:iCs/>
          <w:sz w:val="24"/>
          <w:szCs w:val="24"/>
        </w:rPr>
        <w:t xml:space="preserve">The Crisis of the Indian Legal System </w:t>
      </w:r>
      <w:r w:rsidRPr="00A84A20">
        <w:rPr>
          <w:sz w:val="24"/>
          <w:szCs w:val="24"/>
        </w:rPr>
        <w:t>(New Delhi: Vikas Publishing House Pvt. Ltd. 1982), 87</w:t>
      </w:r>
      <w:r>
        <w:rPr>
          <w:sz w:val="24"/>
          <w:szCs w:val="24"/>
        </w:rPr>
        <w:t xml:space="preserve"> (hereafter Baxi, </w:t>
      </w:r>
      <w:r>
        <w:rPr>
          <w:i/>
          <w:iCs/>
          <w:sz w:val="24"/>
          <w:szCs w:val="24"/>
        </w:rPr>
        <w:t>The Crisis</w:t>
      </w:r>
      <w:r>
        <w:rPr>
          <w:sz w:val="24"/>
          <w:szCs w:val="24"/>
        </w:rPr>
        <w:t>)</w:t>
      </w:r>
      <w:r w:rsidRPr="00A84A20">
        <w:rPr>
          <w:sz w:val="24"/>
          <w:szCs w:val="24"/>
        </w:rPr>
        <w:t xml:space="preserve">; and Didier Fassin, </w:t>
      </w:r>
      <w:r>
        <w:rPr>
          <w:sz w:val="24"/>
          <w:szCs w:val="24"/>
        </w:rPr>
        <w:t>‘</w:t>
      </w:r>
      <w:r w:rsidRPr="00A84A20">
        <w:rPr>
          <w:sz w:val="24"/>
          <w:szCs w:val="24"/>
        </w:rPr>
        <w:t>Petty States of Exception: The Contemporary Policing of the Urban Poor</w:t>
      </w:r>
      <w:r>
        <w:rPr>
          <w:sz w:val="24"/>
          <w:szCs w:val="24"/>
        </w:rPr>
        <w:t>’</w:t>
      </w:r>
      <w:r w:rsidRPr="00A84A20">
        <w:rPr>
          <w:sz w:val="24"/>
          <w:szCs w:val="24"/>
        </w:rPr>
        <w:t>,</w:t>
      </w:r>
      <w:r w:rsidRPr="00A84A20">
        <w:rPr>
          <w:b/>
          <w:bCs/>
          <w:sz w:val="24"/>
          <w:szCs w:val="24"/>
        </w:rPr>
        <w:t xml:space="preserve"> </w:t>
      </w:r>
      <w:r w:rsidRPr="00A84A20">
        <w:rPr>
          <w:sz w:val="24"/>
          <w:szCs w:val="24"/>
        </w:rPr>
        <w:t>in Mark Maguire, Catarina Frois</w:t>
      </w:r>
      <w:r>
        <w:rPr>
          <w:sz w:val="24"/>
          <w:szCs w:val="24"/>
        </w:rPr>
        <w:t>,</w:t>
      </w:r>
      <w:r w:rsidRPr="00A84A20">
        <w:rPr>
          <w:sz w:val="24"/>
          <w:szCs w:val="24"/>
        </w:rPr>
        <w:t xml:space="preserve"> and Nils Zurawski (eds), </w:t>
      </w:r>
      <w:r w:rsidRPr="00A84A20">
        <w:rPr>
          <w:i/>
          <w:iCs/>
          <w:sz w:val="24"/>
          <w:szCs w:val="24"/>
        </w:rPr>
        <w:t>The Anthropology of Security: Perspectives from the Frontline of Policing, Counter</w:t>
      </w:r>
      <w:r>
        <w:rPr>
          <w:i/>
          <w:iCs/>
          <w:sz w:val="24"/>
          <w:szCs w:val="24"/>
        </w:rPr>
        <w:t>-</w:t>
      </w:r>
      <w:r w:rsidRPr="00A84A20">
        <w:rPr>
          <w:i/>
          <w:iCs/>
          <w:sz w:val="24"/>
          <w:szCs w:val="24"/>
        </w:rPr>
        <w:t>terrorism and Border Control</w:t>
      </w:r>
      <w:r w:rsidRPr="00A84A20">
        <w:rPr>
          <w:sz w:val="24"/>
          <w:szCs w:val="24"/>
        </w:rPr>
        <w:t xml:space="preserve"> (London: Pluto 2014), 104</w:t>
      </w:r>
      <w:r>
        <w:rPr>
          <w:sz w:val="24"/>
          <w:szCs w:val="24"/>
        </w:rPr>
        <w:t>-</w:t>
      </w:r>
      <w:r w:rsidRPr="00A84A20">
        <w:rPr>
          <w:sz w:val="24"/>
          <w:szCs w:val="24"/>
        </w:rPr>
        <w:t>17</w:t>
      </w:r>
      <w:r>
        <w:rPr>
          <w:sz w:val="24"/>
          <w:szCs w:val="24"/>
        </w:rPr>
        <w:t xml:space="preserve"> (hereafter Fassin ‘Petty States of Exception’); s</w:t>
      </w:r>
      <w:r w:rsidRPr="00A84A20">
        <w:rPr>
          <w:sz w:val="24"/>
          <w:szCs w:val="24"/>
        </w:rPr>
        <w:t xml:space="preserve">ee also Radha Kumar, </w:t>
      </w:r>
      <w:r>
        <w:rPr>
          <w:sz w:val="24"/>
          <w:szCs w:val="24"/>
          <w:shd w:val="clear" w:color="auto" w:fill="FFFFFF"/>
        </w:rPr>
        <w:t>‘</w:t>
      </w:r>
      <w:r w:rsidRPr="00A84A20">
        <w:rPr>
          <w:sz w:val="24"/>
          <w:szCs w:val="24"/>
          <w:shd w:val="clear" w:color="auto" w:fill="FFFFFF"/>
        </w:rPr>
        <w:t>Police Matters: Law and Everyday Life in Rural Madras, c. 1900</w:t>
      </w:r>
      <w:r>
        <w:rPr>
          <w:sz w:val="24"/>
          <w:szCs w:val="24"/>
          <w:shd w:val="clear" w:color="auto" w:fill="FFFFFF"/>
        </w:rPr>
        <w:t>-</w:t>
      </w:r>
      <w:r w:rsidRPr="00A84A20">
        <w:rPr>
          <w:sz w:val="24"/>
          <w:szCs w:val="24"/>
          <w:shd w:val="clear" w:color="auto" w:fill="FFFFFF"/>
        </w:rPr>
        <w:t>1960</w:t>
      </w:r>
      <w:r>
        <w:rPr>
          <w:sz w:val="24"/>
          <w:szCs w:val="24"/>
          <w:shd w:val="clear" w:color="auto" w:fill="FFFFFF"/>
        </w:rPr>
        <w:t>’ (</w:t>
      </w:r>
      <w:r w:rsidRPr="00A84A20">
        <w:rPr>
          <w:sz w:val="24"/>
          <w:szCs w:val="24"/>
          <w:shd w:val="clear" w:color="auto" w:fill="FFFFFF"/>
        </w:rPr>
        <w:t xml:space="preserve">PhD </w:t>
      </w:r>
      <w:r>
        <w:rPr>
          <w:sz w:val="24"/>
          <w:szCs w:val="24"/>
          <w:shd w:val="clear" w:color="auto" w:fill="FFFFFF"/>
        </w:rPr>
        <w:t>Diss.</w:t>
      </w:r>
      <w:r w:rsidRPr="00A84A20">
        <w:rPr>
          <w:sz w:val="24"/>
          <w:szCs w:val="24"/>
          <w:shd w:val="clear" w:color="auto" w:fill="FFFFFF"/>
        </w:rPr>
        <w:t>, Princeton University 2015</w:t>
      </w:r>
      <w:r>
        <w:rPr>
          <w:sz w:val="24"/>
          <w:szCs w:val="24"/>
          <w:shd w:val="clear" w:color="auto" w:fill="FFFFFF"/>
        </w:rPr>
        <w:t>)</w:t>
      </w:r>
      <w:r w:rsidRPr="00A84A20">
        <w:rPr>
          <w:sz w:val="24"/>
          <w:szCs w:val="24"/>
          <w:shd w:val="clear" w:color="auto" w:fill="FFFFFF"/>
        </w:rPr>
        <w:t>, 249</w:t>
      </w:r>
      <w:r>
        <w:rPr>
          <w:sz w:val="24"/>
          <w:szCs w:val="24"/>
          <w:shd w:val="clear" w:color="auto" w:fill="FFFFFF"/>
        </w:rPr>
        <w:t xml:space="preserve"> (hereafter Kumar, ‘Police Matters’)</w:t>
      </w:r>
      <w:r w:rsidRPr="00A84A20">
        <w:rPr>
          <w:sz w:val="24"/>
          <w:szCs w:val="24"/>
          <w:shd w:val="clear" w:color="auto" w:fill="FFFFFF"/>
        </w:rPr>
        <w:t xml:space="preserve">. Neeladri Bhattacharya offers an excellent analysis of the ways in which </w:t>
      </w:r>
      <w:r>
        <w:rPr>
          <w:sz w:val="24"/>
          <w:szCs w:val="24"/>
          <w:shd w:val="clear" w:color="auto" w:fill="FFFFFF"/>
        </w:rPr>
        <w:t>‘</w:t>
      </w:r>
      <w:r w:rsidRPr="00A84A20">
        <w:rPr>
          <w:sz w:val="24"/>
          <w:szCs w:val="24"/>
          <w:shd w:val="clear" w:color="auto" w:fill="FFFFFF"/>
        </w:rPr>
        <w:t>petty sovereigns</w:t>
      </w:r>
      <w:r>
        <w:rPr>
          <w:sz w:val="24"/>
          <w:szCs w:val="24"/>
          <w:shd w:val="clear" w:color="auto" w:fill="FFFFFF"/>
        </w:rPr>
        <w:t>’</w:t>
      </w:r>
      <w:r w:rsidRPr="00A84A20">
        <w:rPr>
          <w:sz w:val="24"/>
          <w:szCs w:val="24"/>
          <w:shd w:val="clear" w:color="auto" w:fill="FFFFFF"/>
        </w:rPr>
        <w:t xml:space="preserve"> transformed the pre</w:t>
      </w:r>
      <w:r>
        <w:rPr>
          <w:sz w:val="24"/>
          <w:szCs w:val="24"/>
          <w:shd w:val="clear" w:color="auto" w:fill="FFFFFF"/>
        </w:rPr>
        <w:t>-</w:t>
      </w:r>
      <w:r w:rsidRPr="00A84A20">
        <w:rPr>
          <w:sz w:val="24"/>
          <w:szCs w:val="24"/>
          <w:shd w:val="clear" w:color="auto" w:fill="FFFFFF"/>
        </w:rPr>
        <w:t xml:space="preserve">colonial practice of </w:t>
      </w:r>
      <w:r w:rsidRPr="009B65D8">
        <w:rPr>
          <w:i/>
          <w:iCs/>
          <w:sz w:val="24"/>
          <w:szCs w:val="24"/>
          <w:shd w:val="clear" w:color="auto" w:fill="FFFFFF"/>
        </w:rPr>
        <w:t>begar</w:t>
      </w:r>
      <w:r w:rsidRPr="00A84A20">
        <w:rPr>
          <w:sz w:val="24"/>
          <w:szCs w:val="24"/>
          <w:shd w:val="clear" w:color="auto" w:fill="FFFFFF"/>
        </w:rPr>
        <w:t xml:space="preserve">, or unpaid labour, into a system of forced labour, which was then, through the passage of the 1903 Military Transport Act, </w:t>
      </w:r>
      <w:r>
        <w:rPr>
          <w:sz w:val="24"/>
          <w:szCs w:val="24"/>
          <w:shd w:val="clear" w:color="auto" w:fill="FFFFFF"/>
        </w:rPr>
        <w:t>‘</w:t>
      </w:r>
      <w:r w:rsidRPr="00A84A20">
        <w:rPr>
          <w:sz w:val="24"/>
          <w:szCs w:val="24"/>
          <w:shd w:val="clear" w:color="auto" w:fill="FFFFFF"/>
        </w:rPr>
        <w:t>sanctified as legal contract</w:t>
      </w:r>
      <w:r>
        <w:rPr>
          <w:sz w:val="24"/>
          <w:szCs w:val="24"/>
          <w:shd w:val="clear" w:color="auto" w:fill="FFFFFF"/>
        </w:rPr>
        <w:t>’</w:t>
      </w:r>
      <w:r w:rsidRPr="00A84A20">
        <w:rPr>
          <w:sz w:val="24"/>
          <w:szCs w:val="24"/>
          <w:shd w:val="clear" w:color="auto" w:fill="FFFFFF"/>
        </w:rPr>
        <w:t>. See Neeladri Bhattacharya</w:t>
      </w:r>
      <w:r>
        <w:rPr>
          <w:sz w:val="24"/>
          <w:szCs w:val="24"/>
          <w:shd w:val="clear" w:color="auto" w:fill="FFFFFF"/>
        </w:rPr>
        <w:t xml:space="preserve">, </w:t>
      </w:r>
      <w:r>
        <w:rPr>
          <w:sz w:val="24"/>
          <w:szCs w:val="24"/>
        </w:rPr>
        <w:t>‘</w:t>
      </w:r>
      <w:r w:rsidRPr="00A84A20">
        <w:rPr>
          <w:sz w:val="24"/>
          <w:szCs w:val="24"/>
        </w:rPr>
        <w:t>Violence and the Languages of Law</w:t>
      </w:r>
      <w:r>
        <w:rPr>
          <w:sz w:val="24"/>
          <w:szCs w:val="24"/>
        </w:rPr>
        <w:t>’</w:t>
      </w:r>
      <w:r w:rsidRPr="00A84A20">
        <w:rPr>
          <w:sz w:val="24"/>
          <w:szCs w:val="24"/>
        </w:rPr>
        <w:t>, in Aparna Balachandran, Rashmi Pant</w:t>
      </w:r>
      <w:r>
        <w:rPr>
          <w:sz w:val="24"/>
          <w:szCs w:val="24"/>
        </w:rPr>
        <w:t>,</w:t>
      </w:r>
      <w:r w:rsidRPr="00A84A20">
        <w:rPr>
          <w:sz w:val="24"/>
          <w:szCs w:val="24"/>
        </w:rPr>
        <w:t xml:space="preserve"> and Bhavani Raman (eds), </w:t>
      </w:r>
      <w:r w:rsidRPr="00A84A20">
        <w:rPr>
          <w:i/>
          <w:iCs/>
          <w:sz w:val="24"/>
          <w:szCs w:val="24"/>
        </w:rPr>
        <w:t>Iterations of Law: Legal Histories from India</w:t>
      </w:r>
      <w:r w:rsidRPr="00A84A20">
        <w:rPr>
          <w:sz w:val="24"/>
          <w:szCs w:val="24"/>
        </w:rPr>
        <w:t xml:space="preserve"> (New Delhi: Oxford University Press</w:t>
      </w:r>
      <w:r>
        <w:rPr>
          <w:sz w:val="24"/>
          <w:szCs w:val="24"/>
        </w:rPr>
        <w:t xml:space="preserve"> </w:t>
      </w:r>
      <w:r w:rsidRPr="00A84A20">
        <w:rPr>
          <w:sz w:val="24"/>
          <w:szCs w:val="24"/>
        </w:rPr>
        <w:t>2018)), 114</w:t>
      </w:r>
      <w:r>
        <w:rPr>
          <w:sz w:val="24"/>
          <w:szCs w:val="24"/>
        </w:rPr>
        <w:t xml:space="preserve"> (hereafter Bhattacharya, “Violence”)</w:t>
      </w:r>
      <w:r w:rsidRPr="00A84A20">
        <w:rPr>
          <w:sz w:val="24"/>
          <w:szCs w:val="24"/>
        </w:rPr>
        <w:t>.</w:t>
      </w:r>
    </w:p>
  </w:footnote>
  <w:footnote w:id="62">
    <w:p w14:paraId="70F25EC9"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John Comaroff, </w:t>
      </w:r>
      <w:r>
        <w:rPr>
          <w:sz w:val="24"/>
          <w:szCs w:val="24"/>
        </w:rPr>
        <w:t>‘</w:t>
      </w:r>
      <w:r w:rsidRPr="00A84A20">
        <w:rPr>
          <w:sz w:val="24"/>
          <w:szCs w:val="24"/>
        </w:rPr>
        <w:t>Colonialism, Culture and Law: A Foreward</w:t>
      </w:r>
      <w:r>
        <w:rPr>
          <w:sz w:val="24"/>
          <w:szCs w:val="24"/>
        </w:rPr>
        <w:t>’</w:t>
      </w:r>
      <w:r w:rsidRPr="00A84A20">
        <w:rPr>
          <w:sz w:val="24"/>
          <w:szCs w:val="24"/>
        </w:rPr>
        <w:t xml:space="preserve">, </w:t>
      </w:r>
      <w:r w:rsidRPr="00A84A20">
        <w:rPr>
          <w:i/>
          <w:sz w:val="24"/>
          <w:szCs w:val="24"/>
        </w:rPr>
        <w:t>Law and Social Inquiry</w:t>
      </w:r>
      <w:r w:rsidRPr="00A84A20">
        <w:rPr>
          <w:sz w:val="24"/>
          <w:szCs w:val="24"/>
        </w:rPr>
        <w:t xml:space="preserve"> </w:t>
      </w:r>
    </w:p>
    <w:p w14:paraId="1D2B31D1" w14:textId="77777777" w:rsidR="00997966" w:rsidRPr="00A84A20" w:rsidRDefault="00997966" w:rsidP="00997966">
      <w:pPr>
        <w:pStyle w:val="FootnoteText"/>
        <w:spacing w:line="480" w:lineRule="auto"/>
        <w:contextualSpacing/>
        <w:rPr>
          <w:sz w:val="24"/>
          <w:szCs w:val="24"/>
        </w:rPr>
      </w:pPr>
      <w:r w:rsidRPr="00A84A20">
        <w:rPr>
          <w:sz w:val="24"/>
          <w:szCs w:val="24"/>
        </w:rPr>
        <w:t>26 (2001), 306</w:t>
      </w:r>
      <w:r>
        <w:rPr>
          <w:sz w:val="24"/>
          <w:szCs w:val="24"/>
        </w:rPr>
        <w:t xml:space="preserve"> (hereafter Comaroff, ‘Colonialism, Culture and Law’);</w:t>
      </w:r>
      <w:r w:rsidRPr="00A84A20">
        <w:rPr>
          <w:sz w:val="24"/>
          <w:szCs w:val="24"/>
        </w:rPr>
        <w:t xml:space="preserve"> and Elizabeth Kolsky, </w:t>
      </w:r>
      <w:r>
        <w:rPr>
          <w:sz w:val="24"/>
          <w:szCs w:val="24"/>
        </w:rPr>
        <w:t>‘</w:t>
      </w:r>
      <w:r w:rsidRPr="00A84A20">
        <w:rPr>
          <w:sz w:val="24"/>
          <w:szCs w:val="24"/>
        </w:rPr>
        <w:t xml:space="preserve">The Colonial Rule of Law and the Legal Regime of Exception: Frontier </w:t>
      </w:r>
      <w:r>
        <w:rPr>
          <w:sz w:val="24"/>
          <w:szCs w:val="24"/>
        </w:rPr>
        <w:t>“</w:t>
      </w:r>
      <w:r w:rsidRPr="00A84A20">
        <w:rPr>
          <w:sz w:val="24"/>
          <w:szCs w:val="24"/>
        </w:rPr>
        <w:t>Fanaticism</w:t>
      </w:r>
      <w:r>
        <w:rPr>
          <w:sz w:val="24"/>
          <w:szCs w:val="24"/>
        </w:rPr>
        <w:t>”</w:t>
      </w:r>
      <w:r w:rsidRPr="00A84A20">
        <w:rPr>
          <w:sz w:val="24"/>
          <w:szCs w:val="24"/>
        </w:rPr>
        <w:t xml:space="preserve"> and State Violence in British India</w:t>
      </w:r>
      <w:r>
        <w:rPr>
          <w:sz w:val="24"/>
          <w:szCs w:val="24"/>
        </w:rPr>
        <w:t>’</w:t>
      </w:r>
      <w:r w:rsidRPr="00A84A20">
        <w:rPr>
          <w:sz w:val="24"/>
          <w:szCs w:val="24"/>
        </w:rPr>
        <w:t xml:space="preserve">, </w:t>
      </w:r>
      <w:r w:rsidRPr="00A84A20">
        <w:rPr>
          <w:i/>
          <w:iCs/>
          <w:sz w:val="24"/>
          <w:szCs w:val="24"/>
        </w:rPr>
        <w:t>American Historical Review</w:t>
      </w:r>
      <w:r w:rsidRPr="00A84A20">
        <w:rPr>
          <w:sz w:val="24"/>
          <w:szCs w:val="24"/>
        </w:rPr>
        <w:t xml:space="preserve"> 120</w:t>
      </w:r>
      <w:r>
        <w:rPr>
          <w:sz w:val="24"/>
          <w:szCs w:val="24"/>
        </w:rPr>
        <w:t>/</w:t>
      </w:r>
      <w:r w:rsidRPr="00A84A20">
        <w:rPr>
          <w:sz w:val="24"/>
          <w:szCs w:val="24"/>
        </w:rPr>
        <w:t>4 (2015), 1245</w:t>
      </w:r>
      <w:r>
        <w:rPr>
          <w:sz w:val="24"/>
          <w:szCs w:val="24"/>
        </w:rPr>
        <w:t xml:space="preserve"> (hereafter Kolsky, ‘The Colonial Rule of Law’)</w:t>
      </w:r>
      <w:r w:rsidRPr="00A84A20">
        <w:rPr>
          <w:sz w:val="24"/>
          <w:szCs w:val="24"/>
        </w:rPr>
        <w:t>.</w:t>
      </w:r>
      <w:r>
        <w:rPr>
          <w:sz w:val="24"/>
          <w:szCs w:val="24"/>
        </w:rPr>
        <w:t xml:space="preserve"> </w:t>
      </w:r>
    </w:p>
  </w:footnote>
  <w:footnote w:id="63">
    <w:p w14:paraId="1D22EEE0"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Bhattacharya, </w:t>
      </w:r>
      <w:r>
        <w:rPr>
          <w:sz w:val="24"/>
          <w:szCs w:val="24"/>
        </w:rPr>
        <w:t>‘</w:t>
      </w:r>
      <w:r w:rsidRPr="00A84A20">
        <w:rPr>
          <w:sz w:val="24"/>
          <w:szCs w:val="24"/>
        </w:rPr>
        <w:t>Violenc</w:t>
      </w:r>
      <w:r>
        <w:rPr>
          <w:sz w:val="24"/>
          <w:szCs w:val="24"/>
        </w:rPr>
        <w:t>e’ (n 61)</w:t>
      </w:r>
      <w:r w:rsidRPr="00A84A20">
        <w:rPr>
          <w:sz w:val="24"/>
          <w:szCs w:val="24"/>
        </w:rPr>
        <w:t xml:space="preserve"> 108.</w:t>
      </w:r>
    </w:p>
  </w:footnote>
  <w:footnote w:id="64">
    <w:p w14:paraId="6032D9F2"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Ann Laura Stoler, </w:t>
      </w:r>
      <w:r>
        <w:rPr>
          <w:sz w:val="24"/>
          <w:szCs w:val="24"/>
        </w:rPr>
        <w:t>‘</w:t>
      </w:r>
      <w:r w:rsidRPr="00A84A20">
        <w:rPr>
          <w:sz w:val="24"/>
          <w:szCs w:val="24"/>
        </w:rPr>
        <w:t>Colonial Aphasia: Race and Disabled Histories in France</w:t>
      </w:r>
      <w:r>
        <w:rPr>
          <w:sz w:val="24"/>
          <w:szCs w:val="24"/>
        </w:rPr>
        <w:t>’</w:t>
      </w:r>
      <w:r w:rsidRPr="00A84A20">
        <w:rPr>
          <w:sz w:val="24"/>
          <w:szCs w:val="24"/>
        </w:rPr>
        <w:t xml:space="preserve">, </w:t>
      </w:r>
      <w:r w:rsidRPr="00A84A20">
        <w:rPr>
          <w:i/>
          <w:iCs/>
          <w:sz w:val="24"/>
          <w:szCs w:val="24"/>
        </w:rPr>
        <w:t>Public Cultur</w:t>
      </w:r>
      <w:r>
        <w:rPr>
          <w:i/>
          <w:iCs/>
          <w:sz w:val="24"/>
          <w:szCs w:val="24"/>
        </w:rPr>
        <w:t>e</w:t>
      </w:r>
      <w:r w:rsidRPr="00A84A20">
        <w:rPr>
          <w:i/>
          <w:iCs/>
          <w:sz w:val="24"/>
          <w:szCs w:val="24"/>
        </w:rPr>
        <w:t xml:space="preserve"> </w:t>
      </w:r>
      <w:r w:rsidRPr="00A84A20">
        <w:rPr>
          <w:sz w:val="24"/>
          <w:szCs w:val="24"/>
        </w:rPr>
        <w:t>23</w:t>
      </w:r>
      <w:r>
        <w:rPr>
          <w:sz w:val="24"/>
          <w:szCs w:val="24"/>
        </w:rPr>
        <w:t>/</w:t>
      </w:r>
      <w:r w:rsidRPr="00A84A20">
        <w:rPr>
          <w:sz w:val="24"/>
          <w:szCs w:val="24"/>
        </w:rPr>
        <w:t>1 (2011), 144</w:t>
      </w:r>
      <w:r>
        <w:rPr>
          <w:sz w:val="24"/>
          <w:szCs w:val="24"/>
        </w:rPr>
        <w:t xml:space="preserve"> (hereafter Stoler, ‘Colonial Aphasia’)</w:t>
      </w:r>
      <w:r w:rsidRPr="00A84A20">
        <w:rPr>
          <w:sz w:val="24"/>
          <w:szCs w:val="24"/>
        </w:rPr>
        <w:t>.</w:t>
      </w:r>
      <w:r>
        <w:rPr>
          <w:sz w:val="24"/>
          <w:szCs w:val="24"/>
        </w:rPr>
        <w:t xml:space="preserve"> </w:t>
      </w:r>
    </w:p>
  </w:footnote>
  <w:footnote w:id="65">
    <w:p w14:paraId="19DFF933"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w:t>
      </w:r>
      <w:r>
        <w:rPr>
          <w:sz w:val="24"/>
          <w:szCs w:val="24"/>
        </w:rPr>
        <w:t>‘</w:t>
      </w:r>
      <w:r w:rsidRPr="00A84A20">
        <w:rPr>
          <w:sz w:val="24"/>
          <w:szCs w:val="24"/>
        </w:rPr>
        <w:t>How Unique are British Attitudes to Empire?</w:t>
      </w:r>
      <w:r>
        <w:rPr>
          <w:sz w:val="24"/>
          <w:szCs w:val="24"/>
        </w:rPr>
        <w:t>’ (</w:t>
      </w:r>
      <w:r w:rsidRPr="009F7119">
        <w:rPr>
          <w:i/>
          <w:iCs/>
          <w:sz w:val="24"/>
          <w:szCs w:val="24"/>
        </w:rPr>
        <w:t>YouGov</w:t>
      </w:r>
      <w:r w:rsidRPr="00A84A20">
        <w:rPr>
          <w:sz w:val="24"/>
          <w:szCs w:val="24"/>
        </w:rPr>
        <w:t>, 11 March</w:t>
      </w:r>
      <w:r>
        <w:rPr>
          <w:sz w:val="24"/>
          <w:szCs w:val="24"/>
        </w:rPr>
        <w:t xml:space="preserve"> </w:t>
      </w:r>
      <w:r w:rsidRPr="00A84A20">
        <w:rPr>
          <w:sz w:val="24"/>
          <w:szCs w:val="24"/>
        </w:rPr>
        <w:t>2020</w:t>
      </w:r>
      <w:r>
        <w:rPr>
          <w:sz w:val="24"/>
          <w:szCs w:val="24"/>
        </w:rPr>
        <w:t>)</w:t>
      </w:r>
      <w:r w:rsidRPr="00A84A20">
        <w:rPr>
          <w:sz w:val="24"/>
          <w:szCs w:val="24"/>
        </w:rPr>
        <w:t xml:space="preserve"> </w:t>
      </w:r>
      <w:r>
        <w:rPr>
          <w:sz w:val="24"/>
          <w:szCs w:val="24"/>
        </w:rPr>
        <w:t>&lt;</w:t>
      </w:r>
      <w:hyperlink r:id="rId32" w:history="1">
        <w:r w:rsidRPr="00CD296F">
          <w:rPr>
            <w:rStyle w:val="Hyperlink"/>
            <w:sz w:val="24"/>
            <w:szCs w:val="24"/>
          </w:rPr>
          <w:t>https://yougov.co.uk/topics/international/articles</w:t>
        </w:r>
        <w:r>
          <w:rPr>
            <w:rStyle w:val="Hyperlink"/>
            <w:sz w:val="24"/>
            <w:szCs w:val="24"/>
          </w:rPr>
          <w:t>-</w:t>
        </w:r>
        <w:r w:rsidRPr="00CD296F">
          <w:rPr>
            <w:rStyle w:val="Hyperlink"/>
            <w:sz w:val="24"/>
            <w:szCs w:val="24"/>
          </w:rPr>
          <w:t>reports/2020/03/11/how</w:t>
        </w:r>
        <w:r>
          <w:rPr>
            <w:rStyle w:val="Hyperlink"/>
            <w:sz w:val="24"/>
            <w:szCs w:val="24"/>
          </w:rPr>
          <w:t>-</w:t>
        </w:r>
        <w:r w:rsidRPr="00CD296F">
          <w:rPr>
            <w:rStyle w:val="Hyperlink"/>
            <w:sz w:val="24"/>
            <w:szCs w:val="24"/>
          </w:rPr>
          <w:t>unique</w:t>
        </w:r>
        <w:r>
          <w:rPr>
            <w:rStyle w:val="Hyperlink"/>
            <w:sz w:val="24"/>
            <w:szCs w:val="24"/>
          </w:rPr>
          <w:t>-</w:t>
        </w:r>
        <w:r w:rsidRPr="00CD296F">
          <w:rPr>
            <w:rStyle w:val="Hyperlink"/>
            <w:sz w:val="24"/>
            <w:szCs w:val="24"/>
          </w:rPr>
          <w:t>are</w:t>
        </w:r>
        <w:r>
          <w:rPr>
            <w:rStyle w:val="Hyperlink"/>
            <w:sz w:val="24"/>
            <w:szCs w:val="24"/>
          </w:rPr>
          <w:t>-</w:t>
        </w:r>
        <w:r w:rsidRPr="00CD296F">
          <w:rPr>
            <w:rStyle w:val="Hyperlink"/>
            <w:sz w:val="24"/>
            <w:szCs w:val="24"/>
          </w:rPr>
          <w:t>british</w:t>
        </w:r>
        <w:r>
          <w:rPr>
            <w:rStyle w:val="Hyperlink"/>
            <w:sz w:val="24"/>
            <w:szCs w:val="24"/>
          </w:rPr>
          <w:t>-</w:t>
        </w:r>
        <w:r w:rsidRPr="00CD296F">
          <w:rPr>
            <w:rStyle w:val="Hyperlink"/>
            <w:sz w:val="24"/>
            <w:szCs w:val="24"/>
          </w:rPr>
          <w:t>attitudes</w:t>
        </w:r>
        <w:r>
          <w:rPr>
            <w:rStyle w:val="Hyperlink"/>
            <w:sz w:val="24"/>
            <w:szCs w:val="24"/>
          </w:rPr>
          <w:t>-</w:t>
        </w:r>
        <w:r w:rsidRPr="00CD296F">
          <w:rPr>
            <w:rStyle w:val="Hyperlink"/>
            <w:sz w:val="24"/>
            <w:szCs w:val="24"/>
          </w:rPr>
          <w:t>empire</w:t>
        </w:r>
      </w:hyperlink>
      <w:r>
        <w:rPr>
          <w:sz w:val="24"/>
          <w:szCs w:val="24"/>
        </w:rPr>
        <w:t xml:space="preserve">&gt; </w:t>
      </w:r>
      <w:r w:rsidRPr="00A84A20">
        <w:rPr>
          <w:sz w:val="24"/>
          <w:szCs w:val="24"/>
        </w:rPr>
        <w:t xml:space="preserve">accessed </w:t>
      </w:r>
      <w:r>
        <w:rPr>
          <w:sz w:val="24"/>
          <w:szCs w:val="24"/>
        </w:rPr>
        <w:t xml:space="preserve">1 </w:t>
      </w:r>
      <w:r w:rsidRPr="00A84A20">
        <w:rPr>
          <w:sz w:val="24"/>
          <w:szCs w:val="24"/>
        </w:rPr>
        <w:t xml:space="preserve">June 2020. The number of Britons who regard empire in a positive light has apparently fallen, however; in a similar survey in 2014 no less than half the respondents felt that empire was something to be proud of. Furthermore, almost 70 percent of the 2,703 Britons surveyed in 2019 on whether </w:t>
      </w:r>
      <w:r>
        <w:rPr>
          <w:sz w:val="24"/>
          <w:szCs w:val="24"/>
        </w:rPr>
        <w:t>‘</w:t>
      </w:r>
      <w:r w:rsidRPr="00A84A20">
        <w:rPr>
          <w:sz w:val="24"/>
          <w:szCs w:val="24"/>
        </w:rPr>
        <w:t>historical injustice, colonialism and the role of the British Empire</w:t>
      </w:r>
      <w:r>
        <w:rPr>
          <w:sz w:val="24"/>
          <w:szCs w:val="24"/>
        </w:rPr>
        <w:t>’</w:t>
      </w:r>
      <w:r w:rsidRPr="00A84A20">
        <w:rPr>
          <w:sz w:val="24"/>
          <w:szCs w:val="24"/>
        </w:rPr>
        <w:t xml:space="preserve"> should be taught in schools approved of such a motion</w:t>
      </w:r>
      <w:r>
        <w:t>—</w:t>
      </w:r>
      <w:r w:rsidRPr="00A84A20">
        <w:rPr>
          <w:sz w:val="24"/>
          <w:szCs w:val="24"/>
        </w:rPr>
        <w:t xml:space="preserve">although whether survey respondents regarded </w:t>
      </w:r>
      <w:r>
        <w:rPr>
          <w:sz w:val="24"/>
          <w:szCs w:val="24"/>
        </w:rPr>
        <w:t>‘</w:t>
      </w:r>
      <w:r w:rsidRPr="00A84A20">
        <w:rPr>
          <w:sz w:val="24"/>
          <w:szCs w:val="24"/>
        </w:rPr>
        <w:t>historical injustice</w:t>
      </w:r>
      <w:r>
        <w:rPr>
          <w:sz w:val="24"/>
          <w:szCs w:val="24"/>
        </w:rPr>
        <w:t>’</w:t>
      </w:r>
      <w:r w:rsidRPr="00A84A20">
        <w:rPr>
          <w:sz w:val="24"/>
          <w:szCs w:val="24"/>
        </w:rPr>
        <w:t xml:space="preserve"> and the </w:t>
      </w:r>
      <w:r>
        <w:rPr>
          <w:sz w:val="24"/>
          <w:szCs w:val="24"/>
        </w:rPr>
        <w:t>‘</w:t>
      </w:r>
      <w:r w:rsidRPr="00A84A20">
        <w:rPr>
          <w:sz w:val="24"/>
          <w:szCs w:val="24"/>
        </w:rPr>
        <w:t>British Empire</w:t>
      </w:r>
      <w:r>
        <w:rPr>
          <w:sz w:val="24"/>
          <w:szCs w:val="24"/>
        </w:rPr>
        <w:t>’</w:t>
      </w:r>
      <w:r w:rsidRPr="00A84A20">
        <w:rPr>
          <w:sz w:val="24"/>
          <w:szCs w:val="24"/>
        </w:rPr>
        <w:t xml:space="preserve"> as synonymous is unclear. </w:t>
      </w:r>
      <w:r>
        <w:rPr>
          <w:sz w:val="24"/>
          <w:szCs w:val="24"/>
        </w:rPr>
        <w:t>‘</w:t>
      </w:r>
      <w:r w:rsidRPr="00A84A20">
        <w:rPr>
          <w:sz w:val="24"/>
          <w:szCs w:val="24"/>
        </w:rPr>
        <w:t xml:space="preserve">The British Empire is </w:t>
      </w:r>
      <w:r>
        <w:rPr>
          <w:sz w:val="24"/>
          <w:szCs w:val="24"/>
        </w:rPr>
        <w:t>“</w:t>
      </w:r>
      <w:r w:rsidRPr="00A84A20">
        <w:rPr>
          <w:sz w:val="24"/>
          <w:szCs w:val="24"/>
        </w:rPr>
        <w:t>Something to Be Proud Of</w:t>
      </w:r>
      <w:r>
        <w:rPr>
          <w:sz w:val="24"/>
          <w:szCs w:val="24"/>
        </w:rPr>
        <w:t>”’ (</w:t>
      </w:r>
      <w:r w:rsidRPr="009F7119">
        <w:rPr>
          <w:i/>
          <w:iCs/>
          <w:sz w:val="24"/>
          <w:szCs w:val="24"/>
        </w:rPr>
        <w:t>YouGov</w:t>
      </w:r>
      <w:r>
        <w:rPr>
          <w:sz w:val="24"/>
          <w:szCs w:val="24"/>
        </w:rPr>
        <w:t xml:space="preserve">, 26 </w:t>
      </w:r>
      <w:r w:rsidRPr="00A84A20">
        <w:rPr>
          <w:sz w:val="24"/>
          <w:szCs w:val="24"/>
        </w:rPr>
        <w:t>July 2014</w:t>
      </w:r>
      <w:r>
        <w:rPr>
          <w:sz w:val="24"/>
          <w:szCs w:val="24"/>
        </w:rPr>
        <w:t>) &lt;</w:t>
      </w:r>
      <w:hyperlink r:id="rId33" w:history="1">
        <w:r w:rsidRPr="00A84A20">
          <w:rPr>
            <w:rStyle w:val="Hyperlink"/>
            <w:sz w:val="24"/>
            <w:szCs w:val="24"/>
          </w:rPr>
          <w:t>https://yougov.co.uk/topics/politics/articles</w:t>
        </w:r>
        <w:r>
          <w:rPr>
            <w:rStyle w:val="Hyperlink"/>
            <w:sz w:val="24"/>
            <w:szCs w:val="24"/>
          </w:rPr>
          <w:t>-</w:t>
        </w:r>
        <w:r w:rsidRPr="00A84A20">
          <w:rPr>
            <w:rStyle w:val="Hyperlink"/>
            <w:sz w:val="24"/>
            <w:szCs w:val="24"/>
          </w:rPr>
          <w:t>reports/2014/07/26/britain</w:t>
        </w:r>
        <w:r>
          <w:rPr>
            <w:rStyle w:val="Hyperlink"/>
            <w:sz w:val="24"/>
            <w:szCs w:val="24"/>
          </w:rPr>
          <w:t>-</w:t>
        </w:r>
        <w:r w:rsidRPr="00A84A20">
          <w:rPr>
            <w:rStyle w:val="Hyperlink"/>
            <w:sz w:val="24"/>
            <w:szCs w:val="24"/>
          </w:rPr>
          <w:t>proud</w:t>
        </w:r>
        <w:r>
          <w:rPr>
            <w:rStyle w:val="Hyperlink"/>
            <w:sz w:val="24"/>
            <w:szCs w:val="24"/>
          </w:rPr>
          <w:t>-</w:t>
        </w:r>
        <w:r w:rsidRPr="00A84A20">
          <w:rPr>
            <w:rStyle w:val="Hyperlink"/>
            <w:sz w:val="24"/>
            <w:szCs w:val="24"/>
          </w:rPr>
          <w:t>its</w:t>
        </w:r>
        <w:r>
          <w:rPr>
            <w:rStyle w:val="Hyperlink"/>
            <w:sz w:val="24"/>
            <w:szCs w:val="24"/>
          </w:rPr>
          <w:t>-</w:t>
        </w:r>
        <w:r w:rsidRPr="00A84A20">
          <w:rPr>
            <w:rStyle w:val="Hyperlink"/>
            <w:sz w:val="24"/>
            <w:szCs w:val="24"/>
          </w:rPr>
          <w:t>empire</w:t>
        </w:r>
      </w:hyperlink>
      <w:r>
        <w:rPr>
          <w:sz w:val="24"/>
          <w:szCs w:val="24"/>
        </w:rPr>
        <w:t xml:space="preserve">&gt; </w:t>
      </w:r>
      <w:r w:rsidRPr="00A84A20">
        <w:rPr>
          <w:sz w:val="24"/>
          <w:szCs w:val="24"/>
        </w:rPr>
        <w:t xml:space="preserve">accessed </w:t>
      </w:r>
      <w:r>
        <w:rPr>
          <w:sz w:val="24"/>
          <w:szCs w:val="24"/>
        </w:rPr>
        <w:t xml:space="preserve">1 </w:t>
      </w:r>
      <w:r w:rsidRPr="00A84A20">
        <w:rPr>
          <w:sz w:val="24"/>
          <w:szCs w:val="24"/>
        </w:rPr>
        <w:t xml:space="preserve">June 2020; </w:t>
      </w:r>
      <w:r>
        <w:rPr>
          <w:sz w:val="24"/>
          <w:szCs w:val="24"/>
        </w:rPr>
        <w:t>and ‘</w:t>
      </w:r>
      <w:r w:rsidRPr="00A84A20">
        <w:rPr>
          <w:spacing w:val="4"/>
          <w:sz w:val="24"/>
          <w:szCs w:val="24"/>
          <w:shd w:val="clear" w:color="auto" w:fill="FFFFFF"/>
        </w:rPr>
        <w:t>Do you think that historical injustice, colonialism and the role of the British Empire should or should not be taught as part of the national curriculum?</w:t>
      </w:r>
      <w:r w:rsidRPr="00896FB9">
        <w:rPr>
          <w:spacing w:val="4"/>
          <w:sz w:val="24"/>
          <w:szCs w:val="24"/>
          <w:shd w:val="clear" w:color="auto" w:fill="FFFFFF"/>
        </w:rPr>
        <w:t>’ (</w:t>
      </w:r>
      <w:r w:rsidRPr="00896FB9">
        <w:rPr>
          <w:i/>
          <w:iCs/>
          <w:spacing w:val="4"/>
          <w:sz w:val="24"/>
          <w:szCs w:val="24"/>
          <w:shd w:val="clear" w:color="auto" w:fill="FFFFFF"/>
        </w:rPr>
        <w:t xml:space="preserve">YouGov, </w:t>
      </w:r>
      <w:r w:rsidRPr="00896FB9">
        <w:rPr>
          <w:spacing w:val="4"/>
          <w:sz w:val="24"/>
          <w:szCs w:val="24"/>
          <w:shd w:val="clear" w:color="auto" w:fill="FFFFFF"/>
        </w:rPr>
        <w:t xml:space="preserve">27 November 2019) </w:t>
      </w:r>
      <w:r>
        <w:rPr>
          <w:color w:val="493F5E"/>
          <w:spacing w:val="4"/>
          <w:sz w:val="24"/>
          <w:szCs w:val="24"/>
          <w:shd w:val="clear" w:color="auto" w:fill="FFFFFF"/>
        </w:rPr>
        <w:t>&lt;</w:t>
      </w:r>
      <w:hyperlink r:id="rId34" w:history="1">
        <w:r w:rsidRPr="00A84A20">
          <w:rPr>
            <w:rStyle w:val="Hyperlink"/>
            <w:sz w:val="24"/>
            <w:szCs w:val="24"/>
          </w:rPr>
          <w:t>https://yougov.co.uk/topics/arts/survey</w:t>
        </w:r>
        <w:r>
          <w:rPr>
            <w:rStyle w:val="Hyperlink"/>
            <w:sz w:val="24"/>
            <w:szCs w:val="24"/>
          </w:rPr>
          <w:t>-</w:t>
        </w:r>
        <w:r w:rsidRPr="00A84A20">
          <w:rPr>
            <w:rStyle w:val="Hyperlink"/>
            <w:sz w:val="24"/>
            <w:szCs w:val="24"/>
          </w:rPr>
          <w:t>results/daily/2019/11/27/72aa7/2</w:t>
        </w:r>
      </w:hyperlink>
      <w:r>
        <w:rPr>
          <w:sz w:val="24"/>
          <w:szCs w:val="24"/>
        </w:rPr>
        <w:t xml:space="preserve">&gt; </w:t>
      </w:r>
      <w:r w:rsidRPr="00A84A20">
        <w:rPr>
          <w:sz w:val="24"/>
          <w:szCs w:val="24"/>
        </w:rPr>
        <w:t xml:space="preserve">accessed </w:t>
      </w:r>
      <w:r>
        <w:rPr>
          <w:sz w:val="24"/>
          <w:szCs w:val="24"/>
        </w:rPr>
        <w:t xml:space="preserve">1 </w:t>
      </w:r>
      <w:r w:rsidRPr="00A84A20">
        <w:rPr>
          <w:sz w:val="24"/>
          <w:szCs w:val="24"/>
        </w:rPr>
        <w:t>June 2020.</w:t>
      </w:r>
    </w:p>
  </w:footnote>
  <w:footnote w:id="66">
    <w:p w14:paraId="4067DCAA"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w:t>
      </w:r>
      <w:r>
        <w:rPr>
          <w:sz w:val="24"/>
          <w:szCs w:val="24"/>
        </w:rPr>
        <w:t xml:space="preserve">Ibid. </w:t>
      </w:r>
      <w:r w:rsidRPr="00A84A20">
        <w:rPr>
          <w:sz w:val="24"/>
          <w:szCs w:val="24"/>
        </w:rPr>
        <w:t>Only 19% of Britons, according to the poll, view empire in this light</w:t>
      </w:r>
      <w:r w:rsidRPr="00A84A20">
        <w:rPr>
          <w:bCs/>
          <w:sz w:val="24"/>
          <w:szCs w:val="24"/>
        </w:rPr>
        <w:t>.</w:t>
      </w:r>
    </w:p>
  </w:footnote>
  <w:footnote w:id="67">
    <w:p w14:paraId="6B893601" w14:textId="77777777" w:rsidR="00997966" w:rsidRPr="00A84A20" w:rsidRDefault="00997966" w:rsidP="00997966">
      <w:pPr>
        <w:pStyle w:val="FootnoteText"/>
        <w:spacing w:line="480" w:lineRule="auto"/>
        <w:contextualSpacing/>
        <w:rPr>
          <w:bCs/>
          <w:sz w:val="24"/>
          <w:szCs w:val="24"/>
        </w:rPr>
      </w:pPr>
      <w:r w:rsidRPr="00A84A20">
        <w:rPr>
          <w:rStyle w:val="FootnoteReference"/>
          <w:sz w:val="24"/>
          <w:szCs w:val="24"/>
        </w:rPr>
        <w:footnoteRef/>
      </w:r>
      <w:r w:rsidRPr="00A84A20">
        <w:rPr>
          <w:sz w:val="24"/>
          <w:szCs w:val="24"/>
        </w:rPr>
        <w:t xml:space="preserve"> Esme Cleall, </w:t>
      </w:r>
      <w:r w:rsidRPr="00A84A20">
        <w:rPr>
          <w:i/>
          <w:sz w:val="24"/>
          <w:szCs w:val="24"/>
        </w:rPr>
        <w:t>Missionary Discourses of Difference, 1840</w:t>
      </w:r>
      <w:r>
        <w:rPr>
          <w:i/>
          <w:sz w:val="24"/>
          <w:szCs w:val="24"/>
        </w:rPr>
        <w:t>-</w:t>
      </w:r>
      <w:r w:rsidRPr="00A84A20">
        <w:rPr>
          <w:i/>
          <w:sz w:val="24"/>
          <w:szCs w:val="24"/>
        </w:rPr>
        <w:t>1900: Negotiating Otherness in the British Empire, 1840</w:t>
      </w:r>
      <w:r>
        <w:rPr>
          <w:i/>
          <w:sz w:val="24"/>
          <w:szCs w:val="24"/>
        </w:rPr>
        <w:t>-</w:t>
      </w:r>
      <w:r w:rsidRPr="00A84A20">
        <w:rPr>
          <w:i/>
          <w:sz w:val="24"/>
          <w:szCs w:val="24"/>
        </w:rPr>
        <w:t>1900</w:t>
      </w:r>
      <w:r w:rsidRPr="00A84A20">
        <w:rPr>
          <w:sz w:val="24"/>
          <w:szCs w:val="24"/>
        </w:rPr>
        <w:t xml:space="preserve"> (Houndsmills, Hampshire: Palgrave Macmillan 2012),</w:t>
      </w:r>
      <w:r>
        <w:rPr>
          <w:sz w:val="24"/>
          <w:szCs w:val="24"/>
        </w:rPr>
        <w:t xml:space="preserve"> </w:t>
      </w:r>
      <w:r w:rsidRPr="00A84A20">
        <w:rPr>
          <w:sz w:val="24"/>
          <w:szCs w:val="24"/>
        </w:rPr>
        <w:t xml:space="preserve">145; Wagner, </w:t>
      </w:r>
      <w:r>
        <w:rPr>
          <w:sz w:val="24"/>
          <w:szCs w:val="24"/>
        </w:rPr>
        <w:t>‘</w:t>
      </w:r>
      <w:r w:rsidRPr="00A84A20">
        <w:rPr>
          <w:sz w:val="24"/>
          <w:szCs w:val="24"/>
        </w:rPr>
        <w:t>Savage Warfare</w:t>
      </w:r>
      <w:r>
        <w:rPr>
          <w:sz w:val="24"/>
          <w:szCs w:val="24"/>
        </w:rPr>
        <w:t>’</w:t>
      </w:r>
      <w:r>
        <w:rPr>
          <w:bCs/>
          <w:sz w:val="24"/>
          <w:szCs w:val="24"/>
        </w:rPr>
        <w:t xml:space="preserve"> (n 22)</w:t>
      </w:r>
      <w:r w:rsidRPr="00A84A20">
        <w:rPr>
          <w:bCs/>
          <w:sz w:val="24"/>
          <w:szCs w:val="24"/>
        </w:rPr>
        <w:t xml:space="preserve"> 223.</w:t>
      </w:r>
      <w:r>
        <w:rPr>
          <w:bCs/>
          <w:sz w:val="24"/>
          <w:szCs w:val="24"/>
        </w:rPr>
        <w:t xml:space="preserve"> </w:t>
      </w:r>
    </w:p>
  </w:footnote>
  <w:footnote w:id="68">
    <w:p w14:paraId="09E9B2D0" w14:textId="77777777" w:rsidR="00997966" w:rsidRPr="00A84A20" w:rsidRDefault="00997966" w:rsidP="00997966">
      <w:pPr>
        <w:pStyle w:val="Heading1"/>
        <w:shd w:val="clear" w:color="auto" w:fill="FFFFFF"/>
        <w:spacing w:before="0" w:line="480" w:lineRule="auto"/>
        <w:contextualSpacing/>
        <w:textAlignment w:val="baseline"/>
        <w:rPr>
          <w:rFonts w:ascii="Times New Roman" w:hAnsi="Times New Roman" w:cs="Times New Roman"/>
          <w:color w:val="auto"/>
          <w:sz w:val="24"/>
          <w:szCs w:val="24"/>
        </w:rPr>
      </w:pPr>
      <w:r w:rsidRPr="00A84A20">
        <w:rPr>
          <w:rStyle w:val="FootnoteReference"/>
          <w:rFonts w:ascii="Times New Roman" w:hAnsi="Times New Roman" w:cs="Times New Roman"/>
          <w:b w:val="0"/>
          <w:bCs w:val="0"/>
          <w:color w:val="auto"/>
          <w:sz w:val="24"/>
          <w:szCs w:val="24"/>
        </w:rPr>
        <w:footnoteRef/>
      </w:r>
      <w:r w:rsidRPr="00A84A20">
        <w:rPr>
          <w:rFonts w:ascii="Times New Roman" w:hAnsi="Times New Roman" w:cs="Times New Roman"/>
          <w:b w:val="0"/>
          <w:bCs w:val="0"/>
          <w:color w:val="auto"/>
          <w:sz w:val="24"/>
          <w:szCs w:val="24"/>
        </w:rPr>
        <w:t xml:space="preserve"> Deana Heath, </w:t>
      </w:r>
      <w:r>
        <w:rPr>
          <w:rFonts w:ascii="Times New Roman" w:hAnsi="Times New Roman" w:cs="Times New Roman"/>
          <w:b w:val="0"/>
          <w:bCs w:val="0"/>
          <w:color w:val="auto"/>
          <w:sz w:val="24"/>
          <w:szCs w:val="24"/>
        </w:rPr>
        <w:t>‘</w:t>
      </w:r>
      <w:r w:rsidRPr="00A84A20">
        <w:rPr>
          <w:rStyle w:val="Strong"/>
          <w:rFonts w:ascii="Times New Roman" w:hAnsi="Times New Roman" w:cs="Times New Roman"/>
          <w:color w:val="auto"/>
          <w:sz w:val="24"/>
          <w:szCs w:val="24"/>
          <w:bdr w:val="none" w:sz="0" w:space="0" w:color="auto" w:frame="1"/>
        </w:rPr>
        <w:t xml:space="preserve">School </w:t>
      </w:r>
      <w:r>
        <w:rPr>
          <w:rStyle w:val="Strong"/>
          <w:rFonts w:ascii="Times New Roman" w:hAnsi="Times New Roman" w:cs="Times New Roman"/>
          <w:color w:val="auto"/>
          <w:sz w:val="24"/>
          <w:szCs w:val="24"/>
          <w:bdr w:val="none" w:sz="0" w:space="0" w:color="auto" w:frame="1"/>
        </w:rPr>
        <w:t>C</w:t>
      </w:r>
      <w:r w:rsidRPr="00A84A20">
        <w:rPr>
          <w:rStyle w:val="Strong"/>
          <w:rFonts w:ascii="Times New Roman" w:hAnsi="Times New Roman" w:cs="Times New Roman"/>
          <w:color w:val="auto"/>
          <w:sz w:val="24"/>
          <w:szCs w:val="24"/>
          <w:bdr w:val="none" w:sz="0" w:space="0" w:color="auto" w:frame="1"/>
        </w:rPr>
        <w:t xml:space="preserve">urriculum </w:t>
      </w:r>
      <w:r>
        <w:rPr>
          <w:rStyle w:val="Strong"/>
          <w:rFonts w:ascii="Times New Roman" w:hAnsi="Times New Roman" w:cs="Times New Roman"/>
          <w:color w:val="auto"/>
          <w:sz w:val="24"/>
          <w:szCs w:val="24"/>
          <w:bdr w:val="none" w:sz="0" w:space="0" w:color="auto" w:frame="1"/>
        </w:rPr>
        <w:t>C</w:t>
      </w:r>
      <w:r w:rsidRPr="00A84A20">
        <w:rPr>
          <w:rStyle w:val="Strong"/>
          <w:rFonts w:ascii="Times New Roman" w:hAnsi="Times New Roman" w:cs="Times New Roman"/>
          <w:color w:val="auto"/>
          <w:sz w:val="24"/>
          <w:szCs w:val="24"/>
          <w:bdr w:val="none" w:sz="0" w:space="0" w:color="auto" w:frame="1"/>
        </w:rPr>
        <w:t xml:space="preserve">ontinues to </w:t>
      </w:r>
      <w:r>
        <w:rPr>
          <w:rStyle w:val="Strong"/>
          <w:rFonts w:ascii="Times New Roman" w:hAnsi="Times New Roman" w:cs="Times New Roman"/>
          <w:color w:val="auto"/>
          <w:sz w:val="24"/>
          <w:szCs w:val="24"/>
          <w:bdr w:val="none" w:sz="0" w:space="0" w:color="auto" w:frame="1"/>
        </w:rPr>
        <w:t>W</w:t>
      </w:r>
      <w:r w:rsidRPr="00A84A20">
        <w:rPr>
          <w:rStyle w:val="Strong"/>
          <w:rFonts w:ascii="Times New Roman" w:hAnsi="Times New Roman" w:cs="Times New Roman"/>
          <w:color w:val="auto"/>
          <w:sz w:val="24"/>
          <w:szCs w:val="24"/>
          <w:bdr w:val="none" w:sz="0" w:space="0" w:color="auto" w:frame="1"/>
        </w:rPr>
        <w:t xml:space="preserve">hitewash Britain’s </w:t>
      </w:r>
      <w:r>
        <w:rPr>
          <w:rStyle w:val="Strong"/>
          <w:rFonts w:ascii="Times New Roman" w:hAnsi="Times New Roman" w:cs="Times New Roman"/>
          <w:color w:val="auto"/>
          <w:sz w:val="24"/>
          <w:szCs w:val="24"/>
          <w:bdr w:val="none" w:sz="0" w:space="0" w:color="auto" w:frame="1"/>
        </w:rPr>
        <w:t>I</w:t>
      </w:r>
      <w:r w:rsidRPr="00A84A20">
        <w:rPr>
          <w:rStyle w:val="Strong"/>
          <w:rFonts w:ascii="Times New Roman" w:hAnsi="Times New Roman" w:cs="Times New Roman"/>
          <w:color w:val="auto"/>
          <w:sz w:val="24"/>
          <w:szCs w:val="24"/>
          <w:bdr w:val="none" w:sz="0" w:space="0" w:color="auto" w:frame="1"/>
        </w:rPr>
        <w:t>mperial </w:t>
      </w:r>
      <w:r>
        <w:rPr>
          <w:rStyle w:val="Strong"/>
          <w:rFonts w:ascii="Times New Roman" w:hAnsi="Times New Roman" w:cs="Times New Roman"/>
          <w:color w:val="auto"/>
          <w:sz w:val="24"/>
          <w:szCs w:val="24"/>
          <w:bdr w:val="none" w:sz="0" w:space="0" w:color="auto" w:frame="1"/>
        </w:rPr>
        <w:t>P</w:t>
      </w:r>
      <w:r w:rsidRPr="00A84A20">
        <w:rPr>
          <w:rStyle w:val="Strong"/>
          <w:rFonts w:ascii="Times New Roman" w:hAnsi="Times New Roman" w:cs="Times New Roman"/>
          <w:color w:val="auto"/>
          <w:sz w:val="24"/>
          <w:szCs w:val="24"/>
          <w:bdr w:val="none" w:sz="0" w:space="0" w:color="auto" w:frame="1"/>
        </w:rPr>
        <w:t>ast</w:t>
      </w:r>
      <w:r>
        <w:rPr>
          <w:rStyle w:val="Strong"/>
          <w:rFonts w:ascii="Times New Roman" w:hAnsi="Times New Roman" w:cs="Times New Roman"/>
          <w:color w:val="auto"/>
          <w:sz w:val="24"/>
          <w:szCs w:val="24"/>
          <w:bdr w:val="none" w:sz="0" w:space="0" w:color="auto" w:frame="1"/>
        </w:rPr>
        <w:t>’ (</w:t>
      </w:r>
      <w:r w:rsidRPr="00A84A20">
        <w:rPr>
          <w:rStyle w:val="Strong"/>
          <w:rFonts w:ascii="Times New Roman" w:hAnsi="Times New Roman" w:cs="Times New Roman"/>
          <w:i/>
          <w:iCs/>
          <w:color w:val="auto"/>
          <w:sz w:val="24"/>
          <w:szCs w:val="24"/>
          <w:bdr w:val="none" w:sz="0" w:space="0" w:color="auto" w:frame="1"/>
        </w:rPr>
        <w:t>The Conversation</w:t>
      </w:r>
      <w:r w:rsidRPr="00A84A20">
        <w:rPr>
          <w:rStyle w:val="Strong"/>
          <w:rFonts w:ascii="Times New Roman" w:hAnsi="Times New Roman" w:cs="Times New Roman"/>
          <w:color w:val="auto"/>
          <w:sz w:val="24"/>
          <w:szCs w:val="24"/>
          <w:bdr w:val="none" w:sz="0" w:space="0" w:color="auto" w:frame="1"/>
        </w:rPr>
        <w:t>, 27 January</w:t>
      </w:r>
      <w:r>
        <w:rPr>
          <w:rStyle w:val="Strong"/>
          <w:rFonts w:ascii="Times New Roman" w:hAnsi="Times New Roman" w:cs="Times New Roman"/>
          <w:color w:val="auto"/>
          <w:sz w:val="24"/>
          <w:szCs w:val="24"/>
          <w:bdr w:val="none" w:sz="0" w:space="0" w:color="auto" w:frame="1"/>
        </w:rPr>
        <w:t xml:space="preserve"> </w:t>
      </w:r>
      <w:r w:rsidRPr="00A84A20">
        <w:rPr>
          <w:rStyle w:val="Strong"/>
          <w:rFonts w:ascii="Times New Roman" w:hAnsi="Times New Roman" w:cs="Times New Roman"/>
          <w:color w:val="auto"/>
          <w:sz w:val="24"/>
          <w:szCs w:val="24"/>
          <w:bdr w:val="none" w:sz="0" w:space="0" w:color="auto" w:frame="1"/>
        </w:rPr>
        <w:t>2016</w:t>
      </w:r>
      <w:r>
        <w:rPr>
          <w:rStyle w:val="Strong"/>
          <w:rFonts w:ascii="Times New Roman" w:hAnsi="Times New Roman" w:cs="Times New Roman"/>
          <w:color w:val="auto"/>
          <w:sz w:val="24"/>
          <w:szCs w:val="24"/>
          <w:bdr w:val="none" w:sz="0" w:space="0" w:color="auto" w:frame="1"/>
        </w:rPr>
        <w:t>) &lt;</w:t>
      </w:r>
      <w:hyperlink r:id="rId35" w:history="1">
        <w:r w:rsidRPr="00097FF3">
          <w:rPr>
            <w:rStyle w:val="Hyperlink"/>
            <w:rFonts w:ascii="Times New Roman" w:hAnsi="Times New Roman" w:cs="Times New Roman"/>
            <w:b w:val="0"/>
            <w:bCs w:val="0"/>
            <w:sz w:val="24"/>
            <w:szCs w:val="24"/>
          </w:rPr>
          <w:t>https://theconversation.com/school</w:t>
        </w:r>
        <w:r>
          <w:rPr>
            <w:rStyle w:val="Hyperlink"/>
            <w:rFonts w:ascii="Times New Roman" w:hAnsi="Times New Roman" w:cs="Times New Roman"/>
            <w:b w:val="0"/>
            <w:bCs w:val="0"/>
            <w:sz w:val="24"/>
            <w:szCs w:val="24"/>
          </w:rPr>
          <w:t>-</w:t>
        </w:r>
        <w:r w:rsidRPr="00097FF3">
          <w:rPr>
            <w:rStyle w:val="Hyperlink"/>
            <w:rFonts w:ascii="Times New Roman" w:hAnsi="Times New Roman" w:cs="Times New Roman"/>
            <w:b w:val="0"/>
            <w:bCs w:val="0"/>
            <w:sz w:val="24"/>
            <w:szCs w:val="24"/>
          </w:rPr>
          <w:t>curriculum</w:t>
        </w:r>
        <w:r>
          <w:rPr>
            <w:rStyle w:val="Hyperlink"/>
            <w:rFonts w:ascii="Times New Roman" w:hAnsi="Times New Roman" w:cs="Times New Roman"/>
            <w:b w:val="0"/>
            <w:bCs w:val="0"/>
            <w:sz w:val="24"/>
            <w:szCs w:val="24"/>
          </w:rPr>
          <w:t>-</w:t>
        </w:r>
        <w:r w:rsidRPr="00097FF3">
          <w:rPr>
            <w:rStyle w:val="Hyperlink"/>
            <w:rFonts w:ascii="Times New Roman" w:hAnsi="Times New Roman" w:cs="Times New Roman"/>
            <w:b w:val="0"/>
            <w:bCs w:val="0"/>
            <w:sz w:val="24"/>
            <w:szCs w:val="24"/>
          </w:rPr>
          <w:t>continues</w:t>
        </w:r>
        <w:r>
          <w:rPr>
            <w:rStyle w:val="Hyperlink"/>
            <w:rFonts w:ascii="Times New Roman" w:hAnsi="Times New Roman" w:cs="Times New Roman"/>
            <w:b w:val="0"/>
            <w:bCs w:val="0"/>
            <w:sz w:val="24"/>
            <w:szCs w:val="24"/>
          </w:rPr>
          <w:t>-</w:t>
        </w:r>
        <w:r w:rsidRPr="00097FF3">
          <w:rPr>
            <w:rStyle w:val="Hyperlink"/>
            <w:rFonts w:ascii="Times New Roman" w:hAnsi="Times New Roman" w:cs="Times New Roman"/>
            <w:b w:val="0"/>
            <w:bCs w:val="0"/>
            <w:sz w:val="24"/>
            <w:szCs w:val="24"/>
          </w:rPr>
          <w:t>to</w:t>
        </w:r>
        <w:r>
          <w:rPr>
            <w:rStyle w:val="Hyperlink"/>
            <w:rFonts w:ascii="Times New Roman" w:hAnsi="Times New Roman" w:cs="Times New Roman"/>
            <w:b w:val="0"/>
            <w:bCs w:val="0"/>
            <w:sz w:val="24"/>
            <w:szCs w:val="24"/>
          </w:rPr>
          <w:t>-</w:t>
        </w:r>
        <w:r w:rsidRPr="00097FF3">
          <w:rPr>
            <w:rStyle w:val="Hyperlink"/>
            <w:rFonts w:ascii="Times New Roman" w:hAnsi="Times New Roman" w:cs="Times New Roman"/>
            <w:b w:val="0"/>
            <w:bCs w:val="0"/>
            <w:sz w:val="24"/>
            <w:szCs w:val="24"/>
          </w:rPr>
          <w:t>whitewash</w:t>
        </w:r>
        <w:r>
          <w:rPr>
            <w:rStyle w:val="Hyperlink"/>
            <w:rFonts w:ascii="Times New Roman" w:hAnsi="Times New Roman" w:cs="Times New Roman"/>
            <w:b w:val="0"/>
            <w:bCs w:val="0"/>
            <w:sz w:val="24"/>
            <w:szCs w:val="24"/>
          </w:rPr>
          <w:t>-</w:t>
        </w:r>
        <w:r w:rsidRPr="00097FF3">
          <w:rPr>
            <w:rStyle w:val="Hyperlink"/>
            <w:rFonts w:ascii="Times New Roman" w:hAnsi="Times New Roman" w:cs="Times New Roman"/>
            <w:b w:val="0"/>
            <w:bCs w:val="0"/>
            <w:sz w:val="24"/>
            <w:szCs w:val="24"/>
          </w:rPr>
          <w:t>britains</w:t>
        </w:r>
        <w:r>
          <w:rPr>
            <w:rStyle w:val="Hyperlink"/>
            <w:rFonts w:ascii="Times New Roman" w:hAnsi="Times New Roman" w:cs="Times New Roman"/>
            <w:b w:val="0"/>
            <w:bCs w:val="0"/>
            <w:sz w:val="24"/>
            <w:szCs w:val="24"/>
          </w:rPr>
          <w:t>-</w:t>
        </w:r>
        <w:r w:rsidRPr="00097FF3">
          <w:rPr>
            <w:rStyle w:val="Hyperlink"/>
            <w:rFonts w:ascii="Times New Roman" w:hAnsi="Times New Roman" w:cs="Times New Roman"/>
            <w:b w:val="0"/>
            <w:bCs w:val="0"/>
            <w:sz w:val="24"/>
            <w:szCs w:val="24"/>
          </w:rPr>
          <w:t>imperial</w:t>
        </w:r>
        <w:r>
          <w:rPr>
            <w:rStyle w:val="Hyperlink"/>
            <w:rFonts w:ascii="Times New Roman" w:hAnsi="Times New Roman" w:cs="Times New Roman"/>
            <w:b w:val="0"/>
            <w:bCs w:val="0"/>
            <w:sz w:val="24"/>
            <w:szCs w:val="24"/>
          </w:rPr>
          <w:t>-</w:t>
        </w:r>
        <w:r w:rsidRPr="00097FF3">
          <w:rPr>
            <w:rStyle w:val="Hyperlink"/>
            <w:rFonts w:ascii="Times New Roman" w:hAnsi="Times New Roman" w:cs="Times New Roman"/>
            <w:b w:val="0"/>
            <w:bCs w:val="0"/>
            <w:sz w:val="24"/>
            <w:szCs w:val="24"/>
          </w:rPr>
          <w:t>past</w:t>
        </w:r>
        <w:r>
          <w:rPr>
            <w:rStyle w:val="Hyperlink"/>
            <w:rFonts w:ascii="Times New Roman" w:hAnsi="Times New Roman" w:cs="Times New Roman"/>
            <w:b w:val="0"/>
            <w:bCs w:val="0"/>
            <w:sz w:val="24"/>
            <w:szCs w:val="24"/>
          </w:rPr>
          <w:t>-</w:t>
        </w:r>
        <w:r w:rsidRPr="00097FF3">
          <w:rPr>
            <w:rStyle w:val="Hyperlink"/>
            <w:rFonts w:ascii="Times New Roman" w:hAnsi="Times New Roman" w:cs="Times New Roman"/>
            <w:b w:val="0"/>
            <w:bCs w:val="0"/>
            <w:sz w:val="24"/>
            <w:szCs w:val="24"/>
          </w:rPr>
          <w:t>53577</w:t>
        </w:r>
      </w:hyperlink>
      <w:r w:rsidRPr="00CF7341">
        <w:rPr>
          <w:rFonts w:ascii="Times New Roman" w:hAnsi="Times New Roman" w:cs="Times New Roman"/>
          <w:b w:val="0"/>
          <w:bCs w:val="0"/>
          <w:color w:val="auto"/>
          <w:sz w:val="24"/>
          <w:szCs w:val="24"/>
        </w:rPr>
        <w:t>&gt;</w:t>
      </w:r>
      <w:r>
        <w:rPr>
          <w:rFonts w:ascii="Times New Roman" w:hAnsi="Times New Roman" w:cs="Times New Roman"/>
          <w:b w:val="0"/>
          <w:bCs w:val="0"/>
          <w:sz w:val="24"/>
          <w:szCs w:val="24"/>
        </w:rPr>
        <w:t xml:space="preserve"> </w:t>
      </w:r>
      <w:r w:rsidRPr="00A84A20">
        <w:rPr>
          <w:rFonts w:ascii="Times New Roman" w:hAnsi="Times New Roman" w:cs="Times New Roman"/>
          <w:b w:val="0"/>
          <w:bCs w:val="0"/>
          <w:color w:val="auto"/>
          <w:sz w:val="24"/>
          <w:szCs w:val="24"/>
        </w:rPr>
        <w:t xml:space="preserve">accessed </w:t>
      </w:r>
      <w:r>
        <w:rPr>
          <w:rFonts w:ascii="Times New Roman" w:hAnsi="Times New Roman" w:cs="Times New Roman"/>
          <w:b w:val="0"/>
          <w:bCs w:val="0"/>
          <w:color w:val="auto"/>
          <w:sz w:val="24"/>
          <w:szCs w:val="24"/>
        </w:rPr>
        <w:t xml:space="preserve">3 </w:t>
      </w:r>
      <w:r w:rsidRPr="00A84A20">
        <w:rPr>
          <w:rFonts w:ascii="Times New Roman" w:hAnsi="Times New Roman" w:cs="Times New Roman"/>
          <w:b w:val="0"/>
          <w:bCs w:val="0"/>
          <w:color w:val="auto"/>
          <w:sz w:val="24"/>
          <w:szCs w:val="24"/>
        </w:rPr>
        <w:t>June 2020</w:t>
      </w:r>
      <w:r>
        <w:rPr>
          <w:rFonts w:ascii="Times New Roman" w:hAnsi="Times New Roman" w:cs="Times New Roman"/>
          <w:b w:val="0"/>
          <w:bCs w:val="0"/>
          <w:color w:val="auto"/>
          <w:sz w:val="24"/>
          <w:szCs w:val="24"/>
        </w:rPr>
        <w:t>;</w:t>
      </w:r>
      <w:r w:rsidRPr="00A84A20">
        <w:rPr>
          <w:rFonts w:ascii="Times New Roman" w:hAnsi="Times New Roman" w:cs="Times New Roman"/>
          <w:b w:val="0"/>
          <w:bCs w:val="0"/>
          <w:color w:val="auto"/>
          <w:sz w:val="24"/>
          <w:szCs w:val="24"/>
        </w:rPr>
        <w:t xml:space="preserve"> and </w:t>
      </w:r>
      <w:r>
        <w:rPr>
          <w:rFonts w:ascii="Times New Roman" w:hAnsi="Times New Roman" w:cs="Times New Roman"/>
          <w:b w:val="0"/>
          <w:bCs w:val="0"/>
          <w:color w:val="auto"/>
          <w:sz w:val="24"/>
          <w:szCs w:val="24"/>
        </w:rPr>
        <w:t>Deana Heath, ‘</w:t>
      </w:r>
      <w:r w:rsidRPr="005D1F23">
        <w:rPr>
          <w:rStyle w:val="Strong"/>
          <w:rFonts w:ascii="Times New Roman" w:hAnsi="Times New Roman" w:cs="Times New Roman"/>
          <w:color w:val="auto"/>
          <w:sz w:val="24"/>
          <w:szCs w:val="24"/>
          <w:bdr w:val="none" w:sz="0" w:space="0" w:color="auto" w:frame="1"/>
        </w:rPr>
        <w:t>British Empire is Still Being</w:t>
      </w:r>
      <w:r w:rsidRPr="00A84A20">
        <w:rPr>
          <w:rStyle w:val="Strong"/>
          <w:rFonts w:ascii="Times New Roman" w:hAnsi="Times New Roman" w:cs="Times New Roman"/>
          <w:color w:val="auto"/>
          <w:sz w:val="24"/>
          <w:szCs w:val="24"/>
          <w:bdr w:val="none" w:sz="0" w:space="0" w:color="auto" w:frame="1"/>
        </w:rPr>
        <w:t xml:space="preserve"> </w:t>
      </w:r>
      <w:r>
        <w:rPr>
          <w:rStyle w:val="Strong"/>
          <w:rFonts w:ascii="Times New Roman" w:hAnsi="Times New Roman" w:cs="Times New Roman"/>
          <w:color w:val="auto"/>
          <w:sz w:val="24"/>
          <w:szCs w:val="24"/>
          <w:bdr w:val="none" w:sz="0" w:space="0" w:color="auto" w:frame="1"/>
        </w:rPr>
        <w:t>W</w:t>
      </w:r>
      <w:r w:rsidRPr="00A84A20">
        <w:rPr>
          <w:rStyle w:val="Strong"/>
          <w:rFonts w:ascii="Times New Roman" w:hAnsi="Times New Roman" w:cs="Times New Roman"/>
          <w:color w:val="auto"/>
          <w:sz w:val="24"/>
          <w:szCs w:val="24"/>
          <w:bdr w:val="none" w:sz="0" w:space="0" w:color="auto" w:frame="1"/>
        </w:rPr>
        <w:t xml:space="preserve">hitewashed by the </w:t>
      </w:r>
      <w:r>
        <w:rPr>
          <w:rStyle w:val="Strong"/>
          <w:rFonts w:ascii="Times New Roman" w:hAnsi="Times New Roman" w:cs="Times New Roman"/>
          <w:color w:val="auto"/>
          <w:sz w:val="24"/>
          <w:szCs w:val="24"/>
          <w:bdr w:val="none" w:sz="0" w:space="0" w:color="auto" w:frame="1"/>
        </w:rPr>
        <w:t>S</w:t>
      </w:r>
      <w:r w:rsidRPr="00A84A20">
        <w:rPr>
          <w:rStyle w:val="Strong"/>
          <w:rFonts w:ascii="Times New Roman" w:hAnsi="Times New Roman" w:cs="Times New Roman"/>
          <w:color w:val="auto"/>
          <w:sz w:val="24"/>
          <w:szCs w:val="24"/>
          <w:bdr w:val="none" w:sz="0" w:space="0" w:color="auto" w:frame="1"/>
        </w:rPr>
        <w:t xml:space="preserve">chool </w:t>
      </w:r>
      <w:r>
        <w:rPr>
          <w:rStyle w:val="Strong"/>
          <w:rFonts w:ascii="Times New Roman" w:hAnsi="Times New Roman" w:cs="Times New Roman"/>
          <w:color w:val="auto"/>
          <w:sz w:val="24"/>
          <w:szCs w:val="24"/>
          <w:bdr w:val="none" w:sz="0" w:space="0" w:color="auto" w:frame="1"/>
        </w:rPr>
        <w:t>C</w:t>
      </w:r>
      <w:r w:rsidRPr="00A84A20">
        <w:rPr>
          <w:rStyle w:val="Strong"/>
          <w:rFonts w:ascii="Times New Roman" w:hAnsi="Times New Roman" w:cs="Times New Roman"/>
          <w:color w:val="auto"/>
          <w:sz w:val="24"/>
          <w:szCs w:val="24"/>
          <w:bdr w:val="none" w:sz="0" w:space="0" w:color="auto" w:frame="1"/>
        </w:rPr>
        <w:t>urriculum</w:t>
      </w:r>
      <w:r>
        <w:rPr>
          <w:sz w:val="24"/>
          <w:szCs w:val="24"/>
        </w:rPr>
        <w:t>—</w:t>
      </w:r>
      <w:r>
        <w:rPr>
          <w:rStyle w:val="Strong"/>
          <w:rFonts w:ascii="Times New Roman" w:hAnsi="Times New Roman" w:cs="Times New Roman"/>
          <w:color w:val="auto"/>
          <w:sz w:val="24"/>
          <w:szCs w:val="24"/>
          <w:bdr w:val="none" w:sz="0" w:space="0" w:color="auto" w:frame="1"/>
        </w:rPr>
        <w:t>H</w:t>
      </w:r>
      <w:r w:rsidRPr="00A84A20">
        <w:rPr>
          <w:rStyle w:val="Strong"/>
          <w:rFonts w:ascii="Times New Roman" w:hAnsi="Times New Roman" w:cs="Times New Roman"/>
          <w:color w:val="auto"/>
          <w:sz w:val="24"/>
          <w:szCs w:val="24"/>
          <w:bdr w:val="none" w:sz="0" w:space="0" w:color="auto" w:frame="1"/>
        </w:rPr>
        <w:t xml:space="preserve">istorian on </w:t>
      </w:r>
      <w:r>
        <w:rPr>
          <w:rStyle w:val="Strong"/>
          <w:rFonts w:ascii="Times New Roman" w:hAnsi="Times New Roman" w:cs="Times New Roman"/>
          <w:color w:val="auto"/>
          <w:sz w:val="24"/>
          <w:szCs w:val="24"/>
          <w:bdr w:val="none" w:sz="0" w:space="0" w:color="auto" w:frame="1"/>
        </w:rPr>
        <w:t>W</w:t>
      </w:r>
      <w:r w:rsidRPr="00A84A20">
        <w:rPr>
          <w:rStyle w:val="Strong"/>
          <w:rFonts w:ascii="Times New Roman" w:hAnsi="Times New Roman" w:cs="Times New Roman"/>
          <w:color w:val="auto"/>
          <w:sz w:val="24"/>
          <w:szCs w:val="24"/>
          <w:bdr w:val="none" w:sz="0" w:space="0" w:color="auto" w:frame="1"/>
        </w:rPr>
        <w:t xml:space="preserve">hy </w:t>
      </w:r>
      <w:r>
        <w:rPr>
          <w:rStyle w:val="Strong"/>
          <w:rFonts w:ascii="Times New Roman" w:hAnsi="Times New Roman" w:cs="Times New Roman"/>
          <w:color w:val="auto"/>
          <w:sz w:val="24"/>
          <w:szCs w:val="24"/>
          <w:bdr w:val="none" w:sz="0" w:space="0" w:color="auto" w:frame="1"/>
        </w:rPr>
        <w:t>T</w:t>
      </w:r>
      <w:r w:rsidRPr="00A84A20">
        <w:rPr>
          <w:rStyle w:val="Strong"/>
          <w:rFonts w:ascii="Times New Roman" w:hAnsi="Times New Roman" w:cs="Times New Roman"/>
          <w:color w:val="auto"/>
          <w:sz w:val="24"/>
          <w:szCs w:val="24"/>
          <w:bdr w:val="none" w:sz="0" w:space="0" w:color="auto" w:frame="1"/>
        </w:rPr>
        <w:t xml:space="preserve">his </w:t>
      </w:r>
      <w:r>
        <w:rPr>
          <w:rStyle w:val="Strong"/>
          <w:rFonts w:ascii="Times New Roman" w:hAnsi="Times New Roman" w:cs="Times New Roman"/>
          <w:color w:val="auto"/>
          <w:sz w:val="24"/>
          <w:szCs w:val="24"/>
          <w:bdr w:val="none" w:sz="0" w:space="0" w:color="auto" w:frame="1"/>
        </w:rPr>
        <w:t>M</w:t>
      </w:r>
      <w:r w:rsidRPr="00A84A20">
        <w:rPr>
          <w:rStyle w:val="Strong"/>
          <w:rFonts w:ascii="Times New Roman" w:hAnsi="Times New Roman" w:cs="Times New Roman"/>
          <w:color w:val="auto"/>
          <w:sz w:val="24"/>
          <w:szCs w:val="24"/>
          <w:bdr w:val="none" w:sz="0" w:space="0" w:color="auto" w:frame="1"/>
        </w:rPr>
        <w:t>ust </w:t>
      </w:r>
      <w:r>
        <w:rPr>
          <w:rStyle w:val="Strong"/>
          <w:rFonts w:ascii="Times New Roman" w:hAnsi="Times New Roman" w:cs="Times New Roman"/>
          <w:color w:val="auto"/>
          <w:sz w:val="24"/>
          <w:szCs w:val="24"/>
          <w:bdr w:val="none" w:sz="0" w:space="0" w:color="auto" w:frame="1"/>
        </w:rPr>
        <w:t>C</w:t>
      </w:r>
      <w:r w:rsidRPr="00A84A20">
        <w:rPr>
          <w:rStyle w:val="Strong"/>
          <w:rFonts w:ascii="Times New Roman" w:hAnsi="Times New Roman" w:cs="Times New Roman"/>
          <w:color w:val="auto"/>
          <w:sz w:val="24"/>
          <w:szCs w:val="24"/>
          <w:bdr w:val="none" w:sz="0" w:space="0" w:color="auto" w:frame="1"/>
        </w:rPr>
        <w:t>hange</w:t>
      </w:r>
      <w:r>
        <w:rPr>
          <w:rStyle w:val="Strong"/>
          <w:rFonts w:ascii="Times New Roman" w:hAnsi="Times New Roman" w:cs="Times New Roman"/>
          <w:color w:val="auto"/>
          <w:sz w:val="24"/>
          <w:szCs w:val="24"/>
          <w:bdr w:val="none" w:sz="0" w:space="0" w:color="auto" w:frame="1"/>
        </w:rPr>
        <w:t>’ (</w:t>
      </w:r>
      <w:r w:rsidRPr="00A84A20">
        <w:rPr>
          <w:rStyle w:val="Strong"/>
          <w:rFonts w:ascii="Times New Roman" w:hAnsi="Times New Roman" w:cs="Times New Roman"/>
          <w:i/>
          <w:iCs/>
          <w:color w:val="auto"/>
          <w:sz w:val="24"/>
          <w:szCs w:val="24"/>
          <w:bdr w:val="none" w:sz="0" w:space="0" w:color="auto" w:frame="1"/>
        </w:rPr>
        <w:t xml:space="preserve">The Conversation, </w:t>
      </w:r>
      <w:r w:rsidRPr="00A84A20">
        <w:rPr>
          <w:rStyle w:val="Strong"/>
          <w:rFonts w:ascii="Times New Roman" w:hAnsi="Times New Roman" w:cs="Times New Roman"/>
          <w:color w:val="auto"/>
          <w:sz w:val="24"/>
          <w:szCs w:val="24"/>
          <w:bdr w:val="none" w:sz="0" w:space="0" w:color="auto" w:frame="1"/>
        </w:rPr>
        <w:t>2 November 2018</w:t>
      </w:r>
      <w:r>
        <w:rPr>
          <w:rStyle w:val="Strong"/>
          <w:rFonts w:ascii="Times New Roman" w:hAnsi="Times New Roman" w:cs="Times New Roman"/>
          <w:color w:val="auto"/>
          <w:sz w:val="24"/>
          <w:szCs w:val="24"/>
          <w:bdr w:val="none" w:sz="0" w:space="0" w:color="auto" w:frame="1"/>
        </w:rPr>
        <w:t>)</w:t>
      </w:r>
      <w:r w:rsidRPr="00A84A20">
        <w:rPr>
          <w:rStyle w:val="Strong"/>
          <w:rFonts w:ascii="Times New Roman" w:hAnsi="Times New Roman" w:cs="Times New Roman"/>
          <w:color w:val="auto"/>
          <w:sz w:val="24"/>
          <w:szCs w:val="24"/>
          <w:bdr w:val="none" w:sz="0" w:space="0" w:color="auto" w:frame="1"/>
        </w:rPr>
        <w:t xml:space="preserve"> </w:t>
      </w:r>
      <w:r>
        <w:rPr>
          <w:rStyle w:val="Strong"/>
          <w:rFonts w:ascii="Times New Roman" w:hAnsi="Times New Roman" w:cs="Times New Roman"/>
          <w:color w:val="auto"/>
          <w:sz w:val="24"/>
          <w:szCs w:val="24"/>
          <w:bdr w:val="none" w:sz="0" w:space="0" w:color="auto" w:frame="1"/>
        </w:rPr>
        <w:t>&lt;</w:t>
      </w:r>
      <w:hyperlink r:id="rId36" w:history="1">
        <w:r w:rsidRPr="00097FF3">
          <w:rPr>
            <w:rStyle w:val="Hyperlink"/>
            <w:rFonts w:ascii="Times New Roman" w:hAnsi="Times New Roman" w:cs="Times New Roman"/>
            <w:b w:val="0"/>
            <w:bCs w:val="0"/>
            <w:sz w:val="24"/>
            <w:szCs w:val="24"/>
          </w:rPr>
          <w:t>https://theconversation.com/british</w:t>
        </w:r>
        <w:r>
          <w:rPr>
            <w:rStyle w:val="Hyperlink"/>
            <w:rFonts w:ascii="Times New Roman" w:hAnsi="Times New Roman" w:cs="Times New Roman"/>
            <w:b w:val="0"/>
            <w:bCs w:val="0"/>
            <w:sz w:val="24"/>
            <w:szCs w:val="24"/>
          </w:rPr>
          <w:t>-</w:t>
        </w:r>
        <w:r w:rsidRPr="00097FF3">
          <w:rPr>
            <w:rStyle w:val="Hyperlink"/>
            <w:rFonts w:ascii="Times New Roman" w:hAnsi="Times New Roman" w:cs="Times New Roman"/>
            <w:b w:val="0"/>
            <w:bCs w:val="0"/>
            <w:sz w:val="24"/>
            <w:szCs w:val="24"/>
          </w:rPr>
          <w:t>empire</w:t>
        </w:r>
        <w:r>
          <w:rPr>
            <w:rStyle w:val="Hyperlink"/>
            <w:rFonts w:ascii="Times New Roman" w:hAnsi="Times New Roman" w:cs="Times New Roman"/>
            <w:b w:val="0"/>
            <w:bCs w:val="0"/>
            <w:sz w:val="24"/>
            <w:szCs w:val="24"/>
          </w:rPr>
          <w:t>-</w:t>
        </w:r>
        <w:r w:rsidRPr="00097FF3">
          <w:rPr>
            <w:rStyle w:val="Hyperlink"/>
            <w:rFonts w:ascii="Times New Roman" w:hAnsi="Times New Roman" w:cs="Times New Roman"/>
            <w:b w:val="0"/>
            <w:bCs w:val="0"/>
            <w:sz w:val="24"/>
            <w:szCs w:val="24"/>
          </w:rPr>
          <w:t>is</w:t>
        </w:r>
        <w:r>
          <w:rPr>
            <w:rStyle w:val="Hyperlink"/>
            <w:rFonts w:ascii="Times New Roman" w:hAnsi="Times New Roman" w:cs="Times New Roman"/>
            <w:b w:val="0"/>
            <w:bCs w:val="0"/>
            <w:sz w:val="24"/>
            <w:szCs w:val="24"/>
          </w:rPr>
          <w:t>-</w:t>
        </w:r>
        <w:r w:rsidRPr="00097FF3">
          <w:rPr>
            <w:rStyle w:val="Hyperlink"/>
            <w:rFonts w:ascii="Times New Roman" w:hAnsi="Times New Roman" w:cs="Times New Roman"/>
            <w:b w:val="0"/>
            <w:bCs w:val="0"/>
            <w:sz w:val="24"/>
            <w:szCs w:val="24"/>
          </w:rPr>
          <w:t>still</w:t>
        </w:r>
        <w:r>
          <w:rPr>
            <w:rStyle w:val="Hyperlink"/>
            <w:rFonts w:ascii="Times New Roman" w:hAnsi="Times New Roman" w:cs="Times New Roman"/>
            <w:b w:val="0"/>
            <w:bCs w:val="0"/>
            <w:sz w:val="24"/>
            <w:szCs w:val="24"/>
          </w:rPr>
          <w:t>-</w:t>
        </w:r>
        <w:r w:rsidRPr="00097FF3">
          <w:rPr>
            <w:rStyle w:val="Hyperlink"/>
            <w:rFonts w:ascii="Times New Roman" w:hAnsi="Times New Roman" w:cs="Times New Roman"/>
            <w:b w:val="0"/>
            <w:bCs w:val="0"/>
            <w:sz w:val="24"/>
            <w:szCs w:val="24"/>
          </w:rPr>
          <w:t>being</w:t>
        </w:r>
        <w:r>
          <w:rPr>
            <w:rStyle w:val="Hyperlink"/>
            <w:rFonts w:ascii="Times New Roman" w:hAnsi="Times New Roman" w:cs="Times New Roman"/>
            <w:b w:val="0"/>
            <w:bCs w:val="0"/>
            <w:sz w:val="24"/>
            <w:szCs w:val="24"/>
          </w:rPr>
          <w:t>-</w:t>
        </w:r>
        <w:r w:rsidRPr="00097FF3">
          <w:rPr>
            <w:rStyle w:val="Hyperlink"/>
            <w:rFonts w:ascii="Times New Roman" w:hAnsi="Times New Roman" w:cs="Times New Roman"/>
            <w:b w:val="0"/>
            <w:bCs w:val="0"/>
            <w:sz w:val="24"/>
            <w:szCs w:val="24"/>
          </w:rPr>
          <w:t>whitewashed</w:t>
        </w:r>
        <w:r>
          <w:rPr>
            <w:rStyle w:val="Hyperlink"/>
            <w:rFonts w:ascii="Times New Roman" w:hAnsi="Times New Roman" w:cs="Times New Roman"/>
            <w:b w:val="0"/>
            <w:bCs w:val="0"/>
            <w:sz w:val="24"/>
            <w:szCs w:val="24"/>
          </w:rPr>
          <w:t>-</w:t>
        </w:r>
        <w:r w:rsidRPr="00097FF3">
          <w:rPr>
            <w:rStyle w:val="Hyperlink"/>
            <w:rFonts w:ascii="Times New Roman" w:hAnsi="Times New Roman" w:cs="Times New Roman"/>
            <w:b w:val="0"/>
            <w:bCs w:val="0"/>
            <w:sz w:val="24"/>
            <w:szCs w:val="24"/>
          </w:rPr>
          <w:t>by</w:t>
        </w:r>
        <w:r>
          <w:rPr>
            <w:rStyle w:val="Hyperlink"/>
            <w:rFonts w:ascii="Times New Roman" w:hAnsi="Times New Roman" w:cs="Times New Roman"/>
            <w:b w:val="0"/>
            <w:bCs w:val="0"/>
            <w:sz w:val="24"/>
            <w:szCs w:val="24"/>
          </w:rPr>
          <w:t>-</w:t>
        </w:r>
        <w:r w:rsidRPr="00097FF3">
          <w:rPr>
            <w:rStyle w:val="Hyperlink"/>
            <w:rFonts w:ascii="Times New Roman" w:hAnsi="Times New Roman" w:cs="Times New Roman"/>
            <w:b w:val="0"/>
            <w:bCs w:val="0"/>
            <w:sz w:val="24"/>
            <w:szCs w:val="24"/>
          </w:rPr>
          <w:t>the</w:t>
        </w:r>
        <w:r>
          <w:rPr>
            <w:rStyle w:val="Hyperlink"/>
            <w:rFonts w:ascii="Times New Roman" w:hAnsi="Times New Roman" w:cs="Times New Roman"/>
            <w:b w:val="0"/>
            <w:bCs w:val="0"/>
            <w:sz w:val="24"/>
            <w:szCs w:val="24"/>
          </w:rPr>
          <w:t>-</w:t>
        </w:r>
        <w:r w:rsidRPr="00097FF3">
          <w:rPr>
            <w:rStyle w:val="Hyperlink"/>
            <w:rFonts w:ascii="Times New Roman" w:hAnsi="Times New Roman" w:cs="Times New Roman"/>
            <w:b w:val="0"/>
            <w:bCs w:val="0"/>
            <w:sz w:val="24"/>
            <w:szCs w:val="24"/>
          </w:rPr>
          <w:t>school</w:t>
        </w:r>
        <w:r>
          <w:rPr>
            <w:rStyle w:val="Hyperlink"/>
            <w:rFonts w:ascii="Times New Roman" w:hAnsi="Times New Roman" w:cs="Times New Roman"/>
            <w:b w:val="0"/>
            <w:bCs w:val="0"/>
            <w:sz w:val="24"/>
            <w:szCs w:val="24"/>
          </w:rPr>
          <w:t>-</w:t>
        </w:r>
        <w:r w:rsidRPr="00097FF3">
          <w:rPr>
            <w:rStyle w:val="Hyperlink"/>
            <w:rFonts w:ascii="Times New Roman" w:hAnsi="Times New Roman" w:cs="Times New Roman"/>
            <w:b w:val="0"/>
            <w:bCs w:val="0"/>
            <w:sz w:val="24"/>
            <w:szCs w:val="24"/>
          </w:rPr>
          <w:t>curriculum</w:t>
        </w:r>
        <w:r>
          <w:rPr>
            <w:rStyle w:val="Hyperlink"/>
            <w:rFonts w:ascii="Times New Roman" w:hAnsi="Times New Roman" w:cs="Times New Roman"/>
            <w:b w:val="0"/>
            <w:bCs w:val="0"/>
            <w:sz w:val="24"/>
            <w:szCs w:val="24"/>
          </w:rPr>
          <w:t>-</w:t>
        </w:r>
        <w:r w:rsidRPr="00097FF3">
          <w:rPr>
            <w:rStyle w:val="Hyperlink"/>
            <w:rFonts w:ascii="Times New Roman" w:hAnsi="Times New Roman" w:cs="Times New Roman"/>
            <w:b w:val="0"/>
            <w:bCs w:val="0"/>
            <w:sz w:val="24"/>
            <w:szCs w:val="24"/>
          </w:rPr>
          <w:t>historian</w:t>
        </w:r>
        <w:r>
          <w:rPr>
            <w:rStyle w:val="Hyperlink"/>
            <w:rFonts w:ascii="Times New Roman" w:hAnsi="Times New Roman" w:cs="Times New Roman"/>
            <w:b w:val="0"/>
            <w:bCs w:val="0"/>
            <w:sz w:val="24"/>
            <w:szCs w:val="24"/>
          </w:rPr>
          <w:t>-</w:t>
        </w:r>
        <w:r w:rsidRPr="00097FF3">
          <w:rPr>
            <w:rStyle w:val="Hyperlink"/>
            <w:rFonts w:ascii="Times New Roman" w:hAnsi="Times New Roman" w:cs="Times New Roman"/>
            <w:b w:val="0"/>
            <w:bCs w:val="0"/>
            <w:sz w:val="24"/>
            <w:szCs w:val="24"/>
          </w:rPr>
          <w:t>on</w:t>
        </w:r>
        <w:r>
          <w:rPr>
            <w:rStyle w:val="Hyperlink"/>
            <w:rFonts w:ascii="Times New Roman" w:hAnsi="Times New Roman" w:cs="Times New Roman"/>
            <w:b w:val="0"/>
            <w:bCs w:val="0"/>
            <w:sz w:val="24"/>
            <w:szCs w:val="24"/>
          </w:rPr>
          <w:t>-</w:t>
        </w:r>
        <w:r w:rsidRPr="00097FF3">
          <w:rPr>
            <w:rStyle w:val="Hyperlink"/>
            <w:rFonts w:ascii="Times New Roman" w:hAnsi="Times New Roman" w:cs="Times New Roman"/>
            <w:b w:val="0"/>
            <w:bCs w:val="0"/>
            <w:sz w:val="24"/>
            <w:szCs w:val="24"/>
          </w:rPr>
          <w:t>why</w:t>
        </w:r>
        <w:r>
          <w:rPr>
            <w:rStyle w:val="Hyperlink"/>
            <w:rFonts w:ascii="Times New Roman" w:hAnsi="Times New Roman" w:cs="Times New Roman"/>
            <w:b w:val="0"/>
            <w:bCs w:val="0"/>
            <w:sz w:val="24"/>
            <w:szCs w:val="24"/>
          </w:rPr>
          <w:t>-</w:t>
        </w:r>
        <w:r w:rsidRPr="00097FF3">
          <w:rPr>
            <w:rStyle w:val="Hyperlink"/>
            <w:rFonts w:ascii="Times New Roman" w:hAnsi="Times New Roman" w:cs="Times New Roman"/>
            <w:b w:val="0"/>
            <w:bCs w:val="0"/>
            <w:sz w:val="24"/>
            <w:szCs w:val="24"/>
          </w:rPr>
          <w:t>this</w:t>
        </w:r>
        <w:r>
          <w:rPr>
            <w:rStyle w:val="Hyperlink"/>
            <w:rFonts w:ascii="Times New Roman" w:hAnsi="Times New Roman" w:cs="Times New Roman"/>
            <w:b w:val="0"/>
            <w:bCs w:val="0"/>
            <w:sz w:val="24"/>
            <w:szCs w:val="24"/>
          </w:rPr>
          <w:t>-</w:t>
        </w:r>
        <w:r w:rsidRPr="00097FF3">
          <w:rPr>
            <w:rStyle w:val="Hyperlink"/>
            <w:rFonts w:ascii="Times New Roman" w:hAnsi="Times New Roman" w:cs="Times New Roman"/>
            <w:b w:val="0"/>
            <w:bCs w:val="0"/>
            <w:sz w:val="24"/>
            <w:szCs w:val="24"/>
          </w:rPr>
          <w:t>must</w:t>
        </w:r>
        <w:r>
          <w:rPr>
            <w:rStyle w:val="Hyperlink"/>
            <w:rFonts w:ascii="Times New Roman" w:hAnsi="Times New Roman" w:cs="Times New Roman"/>
            <w:b w:val="0"/>
            <w:bCs w:val="0"/>
            <w:sz w:val="24"/>
            <w:szCs w:val="24"/>
          </w:rPr>
          <w:t>-</w:t>
        </w:r>
        <w:r w:rsidRPr="00097FF3">
          <w:rPr>
            <w:rStyle w:val="Hyperlink"/>
            <w:rFonts w:ascii="Times New Roman" w:hAnsi="Times New Roman" w:cs="Times New Roman"/>
            <w:b w:val="0"/>
            <w:bCs w:val="0"/>
            <w:sz w:val="24"/>
            <w:szCs w:val="24"/>
          </w:rPr>
          <w:t>change</w:t>
        </w:r>
        <w:r>
          <w:rPr>
            <w:rStyle w:val="Hyperlink"/>
            <w:rFonts w:ascii="Times New Roman" w:hAnsi="Times New Roman" w:cs="Times New Roman"/>
            <w:b w:val="0"/>
            <w:bCs w:val="0"/>
            <w:sz w:val="24"/>
            <w:szCs w:val="24"/>
          </w:rPr>
          <w:t>-</w:t>
        </w:r>
        <w:r w:rsidRPr="00097FF3">
          <w:rPr>
            <w:rStyle w:val="Hyperlink"/>
            <w:rFonts w:ascii="Times New Roman" w:hAnsi="Times New Roman" w:cs="Times New Roman"/>
            <w:b w:val="0"/>
            <w:bCs w:val="0"/>
            <w:sz w:val="24"/>
            <w:szCs w:val="24"/>
          </w:rPr>
          <w:t>105250</w:t>
        </w:r>
      </w:hyperlink>
      <w:r>
        <w:rPr>
          <w:rFonts w:ascii="Times New Roman" w:hAnsi="Times New Roman" w:cs="Times New Roman"/>
          <w:b w:val="0"/>
          <w:bCs w:val="0"/>
          <w:color w:val="auto"/>
          <w:sz w:val="24"/>
          <w:szCs w:val="24"/>
        </w:rPr>
        <w:t xml:space="preserve">&gt; </w:t>
      </w:r>
      <w:r w:rsidRPr="00A84A20">
        <w:rPr>
          <w:rFonts w:ascii="Times New Roman" w:hAnsi="Times New Roman" w:cs="Times New Roman"/>
          <w:b w:val="0"/>
          <w:bCs w:val="0"/>
          <w:color w:val="auto"/>
          <w:sz w:val="24"/>
          <w:szCs w:val="24"/>
        </w:rPr>
        <w:t xml:space="preserve">accessed </w:t>
      </w:r>
      <w:r>
        <w:rPr>
          <w:rFonts w:ascii="Times New Roman" w:hAnsi="Times New Roman" w:cs="Times New Roman"/>
          <w:b w:val="0"/>
          <w:bCs w:val="0"/>
          <w:color w:val="auto"/>
          <w:sz w:val="24"/>
          <w:szCs w:val="24"/>
        </w:rPr>
        <w:t xml:space="preserve">3 </w:t>
      </w:r>
      <w:r w:rsidRPr="00A84A20">
        <w:rPr>
          <w:rFonts w:ascii="Times New Roman" w:hAnsi="Times New Roman" w:cs="Times New Roman"/>
          <w:b w:val="0"/>
          <w:bCs w:val="0"/>
          <w:color w:val="auto"/>
          <w:sz w:val="24"/>
          <w:szCs w:val="24"/>
        </w:rPr>
        <w:t xml:space="preserve">June 3 2020. See also A. D. Burns, </w:t>
      </w:r>
      <w:r>
        <w:rPr>
          <w:rFonts w:ascii="Times New Roman" w:hAnsi="Times New Roman" w:cs="Times New Roman"/>
          <w:b w:val="0"/>
          <w:bCs w:val="0"/>
          <w:color w:val="auto"/>
          <w:sz w:val="24"/>
          <w:szCs w:val="24"/>
        </w:rPr>
        <w:t>‘</w:t>
      </w:r>
      <w:r w:rsidRPr="00A84A20">
        <w:rPr>
          <w:rFonts w:ascii="Times New Roman" w:hAnsi="Times New Roman" w:cs="Times New Roman"/>
          <w:b w:val="0"/>
          <w:bCs w:val="0"/>
          <w:color w:val="auto"/>
          <w:sz w:val="24"/>
          <w:szCs w:val="24"/>
        </w:rPr>
        <w:t>The Jewel in the Curriculum: Teaching the History of the British Empire</w:t>
      </w:r>
      <w:r>
        <w:rPr>
          <w:rFonts w:ascii="Times New Roman" w:hAnsi="Times New Roman" w:cs="Times New Roman"/>
          <w:b w:val="0"/>
          <w:bCs w:val="0"/>
          <w:color w:val="auto"/>
          <w:sz w:val="24"/>
          <w:szCs w:val="24"/>
        </w:rPr>
        <w:t>’</w:t>
      </w:r>
      <w:r w:rsidRPr="00A84A20">
        <w:rPr>
          <w:rFonts w:ascii="Times New Roman" w:hAnsi="Times New Roman" w:cs="Times New Roman"/>
          <w:b w:val="0"/>
          <w:bCs w:val="0"/>
          <w:color w:val="auto"/>
          <w:sz w:val="24"/>
          <w:szCs w:val="24"/>
        </w:rPr>
        <w:t xml:space="preserve">, </w:t>
      </w:r>
      <w:r w:rsidRPr="00A84A20">
        <w:rPr>
          <w:rFonts w:ascii="Times New Roman" w:hAnsi="Times New Roman" w:cs="Times New Roman"/>
          <w:b w:val="0"/>
          <w:bCs w:val="0"/>
          <w:i/>
          <w:iCs/>
          <w:color w:val="auto"/>
          <w:sz w:val="24"/>
          <w:szCs w:val="24"/>
        </w:rPr>
        <w:t xml:space="preserve">History Education Research Journal </w:t>
      </w:r>
      <w:r w:rsidRPr="00A84A20">
        <w:rPr>
          <w:rFonts w:ascii="Times New Roman" w:hAnsi="Times New Roman" w:cs="Times New Roman"/>
          <w:b w:val="0"/>
          <w:bCs w:val="0"/>
          <w:color w:val="auto"/>
          <w:sz w:val="24"/>
          <w:szCs w:val="24"/>
        </w:rPr>
        <w:t>12</w:t>
      </w:r>
      <w:r>
        <w:rPr>
          <w:rFonts w:ascii="Times New Roman" w:hAnsi="Times New Roman" w:cs="Times New Roman"/>
          <w:b w:val="0"/>
          <w:bCs w:val="0"/>
          <w:color w:val="auto"/>
          <w:sz w:val="24"/>
          <w:szCs w:val="24"/>
        </w:rPr>
        <w:t>/</w:t>
      </w:r>
      <w:r w:rsidRPr="00A84A20">
        <w:rPr>
          <w:rFonts w:ascii="Times New Roman" w:hAnsi="Times New Roman" w:cs="Times New Roman"/>
          <w:b w:val="0"/>
          <w:bCs w:val="0"/>
          <w:color w:val="auto"/>
          <w:sz w:val="24"/>
          <w:szCs w:val="24"/>
        </w:rPr>
        <w:t>2 (2014)</w:t>
      </w:r>
      <w:r>
        <w:rPr>
          <w:rFonts w:ascii="Times New Roman" w:hAnsi="Times New Roman" w:cs="Times New Roman"/>
          <w:b w:val="0"/>
          <w:bCs w:val="0"/>
          <w:color w:val="auto"/>
          <w:sz w:val="24"/>
          <w:szCs w:val="24"/>
        </w:rPr>
        <w:t>,</w:t>
      </w:r>
      <w:r w:rsidRPr="00A84A20">
        <w:rPr>
          <w:rFonts w:ascii="Times New Roman" w:hAnsi="Times New Roman" w:cs="Times New Roman"/>
          <w:b w:val="0"/>
          <w:bCs w:val="0"/>
          <w:color w:val="auto"/>
          <w:sz w:val="24"/>
          <w:szCs w:val="24"/>
        </w:rPr>
        <w:t xml:space="preserve"> 109</w:t>
      </w:r>
      <w:r>
        <w:rPr>
          <w:rFonts w:ascii="Times New Roman" w:hAnsi="Times New Roman" w:cs="Times New Roman"/>
          <w:b w:val="0"/>
          <w:bCs w:val="0"/>
          <w:color w:val="auto"/>
          <w:sz w:val="24"/>
          <w:szCs w:val="24"/>
        </w:rPr>
        <w:t>-</w:t>
      </w:r>
      <w:r w:rsidRPr="00A84A20">
        <w:rPr>
          <w:rFonts w:ascii="Times New Roman" w:hAnsi="Times New Roman" w:cs="Times New Roman"/>
          <w:b w:val="0"/>
          <w:bCs w:val="0"/>
          <w:color w:val="auto"/>
          <w:sz w:val="24"/>
          <w:szCs w:val="24"/>
        </w:rPr>
        <w:t>21.</w:t>
      </w:r>
    </w:p>
  </w:footnote>
  <w:footnote w:id="69">
    <w:p w14:paraId="657D7F25"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Stephen Howe, </w:t>
      </w:r>
      <w:r>
        <w:rPr>
          <w:sz w:val="24"/>
          <w:szCs w:val="24"/>
        </w:rPr>
        <w:t>‘</w:t>
      </w:r>
      <w:r w:rsidRPr="00A84A20">
        <w:rPr>
          <w:sz w:val="24"/>
          <w:szCs w:val="24"/>
        </w:rPr>
        <w:t>Colonising and Exterminating? Memories of Imperial Violence in Britain and France</w:t>
      </w:r>
      <w:r>
        <w:rPr>
          <w:sz w:val="24"/>
          <w:szCs w:val="24"/>
        </w:rPr>
        <w:t>’</w:t>
      </w:r>
      <w:r w:rsidRPr="00A84A20">
        <w:rPr>
          <w:sz w:val="24"/>
          <w:szCs w:val="24"/>
        </w:rPr>
        <w:t xml:space="preserve">, </w:t>
      </w:r>
      <w:r w:rsidRPr="00A84A20">
        <w:rPr>
          <w:i/>
          <w:iCs/>
          <w:sz w:val="24"/>
          <w:szCs w:val="24"/>
        </w:rPr>
        <w:t xml:space="preserve">Histoire@Politique: Politique, Culture et Société </w:t>
      </w:r>
      <w:r w:rsidRPr="00A84A20">
        <w:rPr>
          <w:sz w:val="24"/>
          <w:szCs w:val="24"/>
        </w:rPr>
        <w:t>11 (2010)</w:t>
      </w:r>
      <w:r>
        <w:rPr>
          <w:sz w:val="24"/>
          <w:szCs w:val="24"/>
        </w:rPr>
        <w:t xml:space="preserve"> [DOI:</w:t>
      </w:r>
      <w:r>
        <w:t xml:space="preserve"> </w:t>
      </w:r>
      <w:hyperlink r:id="rId37" w:history="1">
        <w:r w:rsidRPr="00AB48B6">
          <w:rPr>
            <w:rStyle w:val="Hyperlink"/>
            <w:sz w:val="24"/>
            <w:szCs w:val="24"/>
          </w:rPr>
          <w:t>https://doi.org/10.3917.hp.011.0012</w:t>
        </w:r>
      </w:hyperlink>
      <w:r w:rsidRPr="00AB48B6">
        <w:rPr>
          <w:sz w:val="24"/>
          <w:szCs w:val="24"/>
        </w:rPr>
        <w:t xml:space="preserve">] </w:t>
      </w:r>
      <w:r>
        <w:rPr>
          <w:sz w:val="24"/>
          <w:szCs w:val="24"/>
        </w:rPr>
        <w:t>(hereafter Howe, ‘Colonising and Exterminating?’).</w:t>
      </w:r>
      <w:r w:rsidRPr="005D1F23">
        <w:rPr>
          <w:sz w:val="24"/>
          <w:szCs w:val="24"/>
        </w:rPr>
        <w:t xml:space="preserve"> </w:t>
      </w:r>
      <w:r w:rsidRPr="00A84A20">
        <w:rPr>
          <w:bCs/>
          <w:sz w:val="24"/>
          <w:szCs w:val="24"/>
        </w:rPr>
        <w:t xml:space="preserve">As Paul Gilroy has argued, such nostalgia has </w:t>
      </w:r>
      <w:r>
        <w:rPr>
          <w:bCs/>
          <w:sz w:val="24"/>
          <w:szCs w:val="24"/>
        </w:rPr>
        <w:t>functioned</w:t>
      </w:r>
      <w:r w:rsidRPr="00A84A20">
        <w:rPr>
          <w:bCs/>
          <w:sz w:val="24"/>
          <w:szCs w:val="24"/>
        </w:rPr>
        <w:t xml:space="preserve"> a</w:t>
      </w:r>
      <w:r>
        <w:rPr>
          <w:bCs/>
          <w:sz w:val="24"/>
          <w:szCs w:val="24"/>
        </w:rPr>
        <w:t>s a means</w:t>
      </w:r>
      <w:r w:rsidRPr="00A84A20">
        <w:rPr>
          <w:bCs/>
          <w:sz w:val="24"/>
          <w:szCs w:val="24"/>
        </w:rPr>
        <w:t xml:space="preserve"> of dealing with what he refers to as the </w:t>
      </w:r>
      <w:r>
        <w:rPr>
          <w:bCs/>
          <w:sz w:val="24"/>
          <w:szCs w:val="24"/>
        </w:rPr>
        <w:t>‘</w:t>
      </w:r>
      <w:r w:rsidRPr="00A84A20">
        <w:rPr>
          <w:bCs/>
          <w:sz w:val="24"/>
          <w:szCs w:val="24"/>
        </w:rPr>
        <w:t>postcolonial melancholia</w:t>
      </w:r>
      <w:r>
        <w:rPr>
          <w:bCs/>
          <w:sz w:val="24"/>
          <w:szCs w:val="24"/>
        </w:rPr>
        <w:t>’</w:t>
      </w:r>
      <w:r w:rsidRPr="00A84A20">
        <w:rPr>
          <w:bCs/>
          <w:sz w:val="24"/>
          <w:szCs w:val="24"/>
        </w:rPr>
        <w:t xml:space="preserve"> wrought by the demise of empire</w:t>
      </w:r>
      <w:r>
        <w:rPr>
          <w:sz w:val="24"/>
          <w:szCs w:val="24"/>
        </w:rPr>
        <w:t xml:space="preserve">. Paul Gilroy, </w:t>
      </w:r>
      <w:r>
        <w:rPr>
          <w:i/>
          <w:iCs/>
          <w:sz w:val="24"/>
          <w:szCs w:val="24"/>
        </w:rPr>
        <w:t xml:space="preserve">After Empire: Melancholia or Convivial Culture? </w:t>
      </w:r>
      <w:r>
        <w:rPr>
          <w:sz w:val="24"/>
          <w:szCs w:val="24"/>
        </w:rPr>
        <w:t xml:space="preserve">(London, Routledge, 2004). </w:t>
      </w:r>
      <w:r w:rsidRPr="00A84A20">
        <w:rPr>
          <w:sz w:val="24"/>
          <w:szCs w:val="24"/>
        </w:rPr>
        <w:t xml:space="preserve">Notable examples of popular historical works that extol empire include Niall Ferguson, </w:t>
      </w:r>
      <w:r w:rsidRPr="00A84A20">
        <w:rPr>
          <w:i/>
          <w:iCs/>
          <w:sz w:val="24"/>
          <w:szCs w:val="24"/>
        </w:rPr>
        <w:t xml:space="preserve">Empire: How Britain Made the Modern World </w:t>
      </w:r>
      <w:r w:rsidRPr="00A84A20">
        <w:rPr>
          <w:sz w:val="24"/>
          <w:szCs w:val="24"/>
        </w:rPr>
        <w:t xml:space="preserve">(London: Penguin 2003); Piers Brendan, </w:t>
      </w:r>
      <w:r w:rsidRPr="00A84A20">
        <w:rPr>
          <w:i/>
          <w:iCs/>
          <w:sz w:val="24"/>
          <w:szCs w:val="24"/>
        </w:rPr>
        <w:t>The Decline and Fall of the British Empire, 1781</w:t>
      </w:r>
      <w:r>
        <w:rPr>
          <w:i/>
          <w:iCs/>
          <w:sz w:val="24"/>
          <w:szCs w:val="24"/>
        </w:rPr>
        <w:t>-</w:t>
      </w:r>
      <w:r w:rsidRPr="00A84A20">
        <w:rPr>
          <w:i/>
          <w:iCs/>
          <w:sz w:val="24"/>
          <w:szCs w:val="24"/>
        </w:rPr>
        <w:t xml:space="preserve">1997 </w:t>
      </w:r>
      <w:r w:rsidRPr="00A84A20">
        <w:rPr>
          <w:sz w:val="24"/>
          <w:szCs w:val="24"/>
        </w:rPr>
        <w:t xml:space="preserve">(New York: Knopf 2008); H. W. Crocker, II, </w:t>
      </w:r>
      <w:r w:rsidRPr="00A84A20">
        <w:rPr>
          <w:i/>
          <w:iCs/>
          <w:sz w:val="24"/>
          <w:szCs w:val="24"/>
        </w:rPr>
        <w:t xml:space="preserve">The Politically Incorrect Guide to the British Empire </w:t>
      </w:r>
      <w:r w:rsidRPr="00A84A20">
        <w:rPr>
          <w:sz w:val="24"/>
          <w:szCs w:val="24"/>
        </w:rPr>
        <w:t xml:space="preserve">(Washington, D.C.: Regnery 2011); and Jeremy Paxman, </w:t>
      </w:r>
      <w:r w:rsidRPr="00A84A20">
        <w:rPr>
          <w:i/>
          <w:iCs/>
          <w:sz w:val="24"/>
          <w:szCs w:val="24"/>
        </w:rPr>
        <w:t xml:space="preserve">Empire: What Ruling the World Did to the British </w:t>
      </w:r>
      <w:r w:rsidRPr="00A84A20">
        <w:rPr>
          <w:sz w:val="24"/>
          <w:szCs w:val="24"/>
        </w:rPr>
        <w:t xml:space="preserve">(London: Penguin 2012). For an analysis of the portrayal of empire in British television shows see James Morris, </w:t>
      </w:r>
      <w:r>
        <w:rPr>
          <w:sz w:val="24"/>
          <w:szCs w:val="24"/>
        </w:rPr>
        <w:t>‘</w:t>
      </w:r>
      <w:r w:rsidRPr="00A84A20">
        <w:rPr>
          <w:sz w:val="24"/>
          <w:szCs w:val="24"/>
        </w:rPr>
        <w:t>Popularisation of Imperial History: The Empire on Television</w:t>
      </w:r>
      <w:r>
        <w:rPr>
          <w:sz w:val="24"/>
          <w:szCs w:val="24"/>
        </w:rPr>
        <w:t>’</w:t>
      </w:r>
      <w:r w:rsidRPr="00A84A20">
        <w:rPr>
          <w:sz w:val="24"/>
          <w:szCs w:val="24"/>
        </w:rPr>
        <w:t xml:space="preserve">, </w:t>
      </w:r>
      <w:r w:rsidRPr="00A84A20">
        <w:rPr>
          <w:i/>
          <w:iCs/>
          <w:sz w:val="24"/>
          <w:szCs w:val="24"/>
        </w:rPr>
        <w:t>The Journal of Imperial and Commonwealth History</w:t>
      </w:r>
      <w:r w:rsidRPr="00A84A20">
        <w:rPr>
          <w:sz w:val="24"/>
          <w:szCs w:val="24"/>
        </w:rPr>
        <w:t xml:space="preserve"> 1</w:t>
      </w:r>
      <w:r>
        <w:rPr>
          <w:sz w:val="24"/>
          <w:szCs w:val="24"/>
        </w:rPr>
        <w:t>/</w:t>
      </w:r>
      <w:r w:rsidRPr="00A84A20">
        <w:rPr>
          <w:sz w:val="24"/>
          <w:szCs w:val="24"/>
        </w:rPr>
        <w:t>1 (1972)</w:t>
      </w:r>
      <w:r>
        <w:rPr>
          <w:sz w:val="24"/>
          <w:szCs w:val="24"/>
        </w:rPr>
        <w:t>,</w:t>
      </w:r>
      <w:r w:rsidRPr="00A84A20">
        <w:rPr>
          <w:sz w:val="24"/>
          <w:szCs w:val="24"/>
        </w:rPr>
        <w:t xml:space="preserve"> 113</w:t>
      </w:r>
      <w:r>
        <w:rPr>
          <w:sz w:val="24"/>
          <w:szCs w:val="24"/>
        </w:rPr>
        <w:t>-</w:t>
      </w:r>
      <w:r w:rsidRPr="00A84A20">
        <w:rPr>
          <w:sz w:val="24"/>
          <w:szCs w:val="24"/>
        </w:rPr>
        <w:t xml:space="preserve">18; and N. C. Fleming, </w:t>
      </w:r>
      <w:r>
        <w:rPr>
          <w:sz w:val="24"/>
          <w:szCs w:val="24"/>
        </w:rPr>
        <w:t>‘</w:t>
      </w:r>
      <w:r w:rsidRPr="00A84A20">
        <w:rPr>
          <w:sz w:val="24"/>
          <w:szCs w:val="24"/>
        </w:rPr>
        <w:t>Echoes of Britannia: Television History, Empire and the Critical Public Sphere</w:t>
      </w:r>
      <w:r>
        <w:rPr>
          <w:sz w:val="24"/>
          <w:szCs w:val="24"/>
        </w:rPr>
        <w:t>’</w:t>
      </w:r>
      <w:r w:rsidRPr="00A84A20">
        <w:rPr>
          <w:sz w:val="24"/>
          <w:szCs w:val="24"/>
        </w:rPr>
        <w:t xml:space="preserve">, </w:t>
      </w:r>
      <w:r w:rsidRPr="00A84A20">
        <w:rPr>
          <w:i/>
          <w:iCs/>
          <w:sz w:val="24"/>
          <w:szCs w:val="24"/>
        </w:rPr>
        <w:t>Contemporary British History</w:t>
      </w:r>
      <w:r w:rsidRPr="00A84A20">
        <w:rPr>
          <w:sz w:val="24"/>
          <w:szCs w:val="24"/>
        </w:rPr>
        <w:t xml:space="preserve"> 24</w:t>
      </w:r>
      <w:r>
        <w:rPr>
          <w:sz w:val="24"/>
          <w:szCs w:val="24"/>
        </w:rPr>
        <w:t>/</w:t>
      </w:r>
      <w:r w:rsidRPr="00A84A20">
        <w:rPr>
          <w:sz w:val="24"/>
          <w:szCs w:val="24"/>
        </w:rPr>
        <w:t>1 (2010)</w:t>
      </w:r>
      <w:r>
        <w:rPr>
          <w:sz w:val="24"/>
          <w:szCs w:val="24"/>
        </w:rPr>
        <w:t>,</w:t>
      </w:r>
      <w:r w:rsidRPr="00A84A20">
        <w:rPr>
          <w:sz w:val="24"/>
          <w:szCs w:val="24"/>
        </w:rPr>
        <w:t xml:space="preserve"> 1</w:t>
      </w:r>
      <w:r>
        <w:rPr>
          <w:sz w:val="24"/>
          <w:szCs w:val="24"/>
        </w:rPr>
        <w:t>-</w:t>
      </w:r>
      <w:r w:rsidRPr="00A84A20">
        <w:rPr>
          <w:sz w:val="24"/>
          <w:szCs w:val="24"/>
        </w:rPr>
        <w:t>22.</w:t>
      </w:r>
      <w:r>
        <w:rPr>
          <w:sz w:val="24"/>
          <w:szCs w:val="24"/>
        </w:rPr>
        <w:t xml:space="preserve"> </w:t>
      </w:r>
    </w:p>
  </w:footnote>
  <w:footnote w:id="70">
    <w:p w14:paraId="1A83A761"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Part of the difficulty in regard to academic scholarship is the ways in which empire has</w:t>
      </w:r>
      <w:r>
        <w:rPr>
          <w:sz w:val="24"/>
          <w:szCs w:val="24"/>
        </w:rPr>
        <w:t xml:space="preserve">, </w:t>
      </w:r>
      <w:r w:rsidRPr="00A84A20">
        <w:rPr>
          <w:sz w:val="24"/>
          <w:szCs w:val="24"/>
        </w:rPr>
        <w:t>or has failed to be</w:t>
      </w:r>
      <w:r>
        <w:rPr>
          <w:sz w:val="24"/>
          <w:szCs w:val="24"/>
        </w:rPr>
        <w:t xml:space="preserve">, </w:t>
      </w:r>
      <w:r w:rsidRPr="00A84A20">
        <w:rPr>
          <w:sz w:val="24"/>
          <w:szCs w:val="24"/>
        </w:rPr>
        <w:t xml:space="preserve">written into British history since the </w:t>
      </w:r>
      <w:r>
        <w:rPr>
          <w:sz w:val="24"/>
          <w:szCs w:val="24"/>
        </w:rPr>
        <w:t>‘</w:t>
      </w:r>
      <w:r w:rsidRPr="00A84A20">
        <w:rPr>
          <w:sz w:val="24"/>
          <w:szCs w:val="24"/>
        </w:rPr>
        <w:t>imperial turn</w:t>
      </w:r>
      <w:r>
        <w:rPr>
          <w:sz w:val="24"/>
          <w:szCs w:val="24"/>
        </w:rPr>
        <w:t>’</w:t>
      </w:r>
      <w:r w:rsidRPr="00A84A20">
        <w:rPr>
          <w:sz w:val="24"/>
          <w:szCs w:val="24"/>
        </w:rPr>
        <w:t xml:space="preserve"> in the 1980s, although the ignoring</w:t>
      </w:r>
      <w:r>
        <w:rPr>
          <w:sz w:val="24"/>
          <w:szCs w:val="24"/>
        </w:rPr>
        <w:t>—</w:t>
      </w:r>
      <w:r w:rsidRPr="00A84A20">
        <w:rPr>
          <w:sz w:val="24"/>
          <w:szCs w:val="24"/>
        </w:rPr>
        <w:t>or, in some cases, outright denial</w:t>
      </w:r>
      <w:r>
        <w:rPr>
          <w:sz w:val="24"/>
          <w:szCs w:val="24"/>
        </w:rPr>
        <w:t>—</w:t>
      </w:r>
      <w:r w:rsidRPr="00A84A20">
        <w:rPr>
          <w:sz w:val="24"/>
          <w:szCs w:val="24"/>
        </w:rPr>
        <w:t xml:space="preserve">of the violence that pervaded Britain’s empire is more </w:t>
      </w:r>
      <w:r>
        <w:rPr>
          <w:sz w:val="24"/>
          <w:szCs w:val="24"/>
        </w:rPr>
        <w:t>not</w:t>
      </w:r>
      <w:r w:rsidRPr="00A84A20">
        <w:rPr>
          <w:sz w:val="24"/>
          <w:szCs w:val="24"/>
        </w:rPr>
        <w:t xml:space="preserve"> simply a problem particular to British history. See, for example, Keith Windshuttle, </w:t>
      </w:r>
      <w:r w:rsidRPr="00A84A20">
        <w:rPr>
          <w:i/>
          <w:iCs/>
          <w:sz w:val="24"/>
          <w:szCs w:val="24"/>
        </w:rPr>
        <w:t>The Fabrication of Aboriginal History</w:t>
      </w:r>
      <w:r w:rsidRPr="00A84A20">
        <w:rPr>
          <w:sz w:val="24"/>
          <w:szCs w:val="24"/>
        </w:rPr>
        <w:t xml:space="preserve"> (Sydney: Macleay Press, 2002); Antoinette Burton (ed.), </w:t>
      </w:r>
      <w:r w:rsidRPr="00A84A20">
        <w:rPr>
          <w:i/>
          <w:iCs/>
          <w:sz w:val="24"/>
          <w:szCs w:val="24"/>
        </w:rPr>
        <w:t xml:space="preserve">After the Imperial Turn: Thinking Through and With the Nation </w:t>
      </w:r>
      <w:r w:rsidRPr="00A84A20">
        <w:rPr>
          <w:sz w:val="24"/>
          <w:szCs w:val="24"/>
        </w:rPr>
        <w:t xml:space="preserve">(Durham and London: Duke University Press, 2003); </w:t>
      </w:r>
      <w:r>
        <w:rPr>
          <w:sz w:val="24"/>
          <w:szCs w:val="24"/>
        </w:rPr>
        <w:t xml:space="preserve">and </w:t>
      </w:r>
      <w:r w:rsidRPr="00A84A20">
        <w:rPr>
          <w:sz w:val="24"/>
          <w:szCs w:val="24"/>
        </w:rPr>
        <w:t xml:space="preserve">Joanna de Groot, </w:t>
      </w:r>
      <w:r w:rsidRPr="00A84A20">
        <w:rPr>
          <w:i/>
          <w:iCs/>
          <w:sz w:val="24"/>
          <w:szCs w:val="24"/>
        </w:rPr>
        <w:t>Empire and History</w:t>
      </w:r>
      <w:r>
        <w:rPr>
          <w:i/>
          <w:iCs/>
          <w:sz w:val="24"/>
          <w:szCs w:val="24"/>
        </w:rPr>
        <w:t>-</w:t>
      </w:r>
      <w:r w:rsidRPr="00A84A20">
        <w:rPr>
          <w:i/>
          <w:iCs/>
          <w:sz w:val="24"/>
          <w:szCs w:val="24"/>
        </w:rPr>
        <w:t>Writing in Britain c. 1750</w:t>
      </w:r>
      <w:r>
        <w:rPr>
          <w:i/>
          <w:iCs/>
          <w:sz w:val="24"/>
          <w:szCs w:val="24"/>
        </w:rPr>
        <w:t>-</w:t>
      </w:r>
      <w:r w:rsidRPr="00A84A20">
        <w:rPr>
          <w:i/>
          <w:iCs/>
          <w:sz w:val="24"/>
          <w:szCs w:val="24"/>
        </w:rPr>
        <w:t xml:space="preserve">2012 </w:t>
      </w:r>
      <w:r w:rsidRPr="00A84A20">
        <w:rPr>
          <w:sz w:val="24"/>
          <w:szCs w:val="24"/>
        </w:rPr>
        <w:t xml:space="preserve">(Manchester: Manchester University Press, 2013), Ch. 5. For the silence of the disciplines of anthropology and international relations about the violence of empire see Nancy </w:t>
      </w:r>
      <w:bookmarkStart w:id="13" w:name="_Hlk41043837"/>
      <w:r w:rsidRPr="00A84A20">
        <w:rPr>
          <w:sz w:val="24"/>
          <w:szCs w:val="24"/>
        </w:rPr>
        <w:t>Scheper</w:t>
      </w:r>
      <w:r>
        <w:rPr>
          <w:sz w:val="24"/>
          <w:szCs w:val="24"/>
        </w:rPr>
        <w:t>-</w:t>
      </w:r>
      <w:r w:rsidRPr="00A84A20">
        <w:rPr>
          <w:sz w:val="24"/>
          <w:szCs w:val="24"/>
        </w:rPr>
        <w:t xml:space="preserve">Hughes and Philippe Bourgois, </w:t>
      </w:r>
      <w:r>
        <w:rPr>
          <w:sz w:val="24"/>
          <w:szCs w:val="24"/>
        </w:rPr>
        <w:t>‘</w:t>
      </w:r>
      <w:r w:rsidRPr="00A84A20">
        <w:rPr>
          <w:sz w:val="24"/>
          <w:szCs w:val="24"/>
        </w:rPr>
        <w:t>Introduction</w:t>
      </w:r>
      <w:bookmarkEnd w:id="13"/>
      <w:r w:rsidRPr="00A84A20">
        <w:rPr>
          <w:sz w:val="24"/>
          <w:szCs w:val="24"/>
        </w:rPr>
        <w:t>: Making Sense of Violence</w:t>
      </w:r>
      <w:r>
        <w:rPr>
          <w:sz w:val="24"/>
          <w:szCs w:val="24"/>
        </w:rPr>
        <w:t>’</w:t>
      </w:r>
      <w:r w:rsidRPr="00A84A20">
        <w:rPr>
          <w:sz w:val="24"/>
          <w:szCs w:val="24"/>
        </w:rPr>
        <w:t xml:space="preserve">, in </w:t>
      </w:r>
      <w:r>
        <w:rPr>
          <w:sz w:val="24"/>
          <w:szCs w:val="24"/>
        </w:rPr>
        <w:t xml:space="preserve">Nancy </w:t>
      </w:r>
      <w:r w:rsidRPr="00A84A20">
        <w:rPr>
          <w:sz w:val="24"/>
          <w:szCs w:val="24"/>
        </w:rPr>
        <w:t>Schepe</w:t>
      </w:r>
      <w:r>
        <w:rPr>
          <w:sz w:val="24"/>
          <w:szCs w:val="24"/>
        </w:rPr>
        <w:t>r-</w:t>
      </w:r>
      <w:r w:rsidRPr="00A84A20">
        <w:rPr>
          <w:sz w:val="24"/>
          <w:szCs w:val="24"/>
        </w:rPr>
        <w:t xml:space="preserve">Hughes and </w:t>
      </w:r>
      <w:r>
        <w:rPr>
          <w:sz w:val="24"/>
          <w:szCs w:val="24"/>
        </w:rPr>
        <w:t xml:space="preserve">Philippe </w:t>
      </w:r>
      <w:r w:rsidRPr="00A84A20">
        <w:rPr>
          <w:sz w:val="24"/>
          <w:szCs w:val="24"/>
        </w:rPr>
        <w:t>Bourgois</w:t>
      </w:r>
      <w:r>
        <w:rPr>
          <w:sz w:val="24"/>
          <w:szCs w:val="24"/>
        </w:rPr>
        <w:t xml:space="preserve"> (eds)</w:t>
      </w:r>
      <w:r w:rsidRPr="00A84A20">
        <w:rPr>
          <w:sz w:val="24"/>
          <w:szCs w:val="24"/>
        </w:rPr>
        <w:t xml:space="preserve">, </w:t>
      </w:r>
      <w:r w:rsidRPr="00A84A20">
        <w:rPr>
          <w:i/>
          <w:iCs/>
          <w:sz w:val="24"/>
          <w:szCs w:val="24"/>
        </w:rPr>
        <w:t>Violence in War and Peace: An Anthology</w:t>
      </w:r>
      <w:r>
        <w:rPr>
          <w:i/>
          <w:iCs/>
          <w:sz w:val="24"/>
          <w:szCs w:val="24"/>
        </w:rPr>
        <w:t xml:space="preserve"> </w:t>
      </w:r>
      <w:r w:rsidRPr="00A84A20">
        <w:rPr>
          <w:sz w:val="24"/>
          <w:szCs w:val="24"/>
        </w:rPr>
        <w:t>(Malden, MA: Blackwell, 2006), 6</w:t>
      </w:r>
      <w:r>
        <w:rPr>
          <w:sz w:val="24"/>
          <w:szCs w:val="24"/>
        </w:rPr>
        <w:t>-</w:t>
      </w:r>
      <w:r w:rsidRPr="00A84A20">
        <w:rPr>
          <w:sz w:val="24"/>
          <w:szCs w:val="24"/>
        </w:rPr>
        <w:t>8</w:t>
      </w:r>
      <w:r>
        <w:rPr>
          <w:sz w:val="24"/>
          <w:szCs w:val="24"/>
        </w:rPr>
        <w:t xml:space="preserve"> (hereafter Scheper-Hughes and Bourgois, ‘Introduction’)</w:t>
      </w:r>
      <w:r w:rsidRPr="00A84A20">
        <w:rPr>
          <w:sz w:val="24"/>
          <w:szCs w:val="24"/>
        </w:rPr>
        <w:t xml:space="preserve">; and Randolph B. Persaud and Narendran Kumarakulasingam, </w:t>
      </w:r>
      <w:r>
        <w:rPr>
          <w:sz w:val="24"/>
          <w:szCs w:val="24"/>
        </w:rPr>
        <w:t>‘</w:t>
      </w:r>
      <w:r w:rsidRPr="00A84A20">
        <w:rPr>
          <w:sz w:val="24"/>
          <w:szCs w:val="24"/>
        </w:rPr>
        <w:t xml:space="preserve">Violence and </w:t>
      </w:r>
      <w:r>
        <w:rPr>
          <w:sz w:val="24"/>
          <w:szCs w:val="24"/>
        </w:rPr>
        <w:t>O</w:t>
      </w:r>
      <w:r w:rsidRPr="00A84A20">
        <w:rPr>
          <w:sz w:val="24"/>
          <w:szCs w:val="24"/>
        </w:rPr>
        <w:t>rdering of the Third World</w:t>
      </w:r>
      <w:r>
        <w:rPr>
          <w:sz w:val="24"/>
          <w:szCs w:val="24"/>
        </w:rPr>
        <w:t>’</w:t>
      </w:r>
      <w:r w:rsidRPr="00A84A20">
        <w:rPr>
          <w:sz w:val="24"/>
          <w:szCs w:val="24"/>
        </w:rPr>
        <w:t xml:space="preserve">, </w:t>
      </w:r>
      <w:r w:rsidRPr="00A84A20">
        <w:rPr>
          <w:i/>
          <w:iCs/>
          <w:sz w:val="24"/>
          <w:szCs w:val="24"/>
        </w:rPr>
        <w:t>Third World Quarterly</w:t>
      </w:r>
      <w:r w:rsidRPr="00A84A20">
        <w:rPr>
          <w:sz w:val="24"/>
          <w:szCs w:val="24"/>
        </w:rPr>
        <w:t xml:space="preserve"> 40</w:t>
      </w:r>
      <w:r>
        <w:rPr>
          <w:sz w:val="24"/>
          <w:szCs w:val="24"/>
        </w:rPr>
        <w:t>/</w:t>
      </w:r>
      <w:r w:rsidRPr="00A84A20">
        <w:rPr>
          <w:sz w:val="24"/>
          <w:szCs w:val="24"/>
        </w:rPr>
        <w:t>2 (2019), 199</w:t>
      </w:r>
      <w:r>
        <w:rPr>
          <w:sz w:val="24"/>
          <w:szCs w:val="24"/>
        </w:rPr>
        <w:t>-</w:t>
      </w:r>
      <w:r w:rsidRPr="00A84A20">
        <w:rPr>
          <w:sz w:val="24"/>
          <w:szCs w:val="24"/>
        </w:rPr>
        <w:t>206.</w:t>
      </w:r>
      <w:r>
        <w:rPr>
          <w:sz w:val="24"/>
          <w:szCs w:val="24"/>
        </w:rPr>
        <w:t xml:space="preserve">  </w:t>
      </w:r>
    </w:p>
  </w:footnote>
  <w:footnote w:id="71">
    <w:p w14:paraId="47B8EE28"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Social suffering, according to Arthur Kleinman, </w:t>
      </w:r>
      <w:r>
        <w:rPr>
          <w:sz w:val="24"/>
          <w:szCs w:val="24"/>
          <w:shd w:val="clear" w:color="auto" w:fill="FFFFFF"/>
        </w:rPr>
        <w:t>‘</w:t>
      </w:r>
      <w:r w:rsidRPr="00A84A20">
        <w:rPr>
          <w:sz w:val="24"/>
          <w:szCs w:val="24"/>
          <w:shd w:val="clear" w:color="auto" w:fill="FFFFFF"/>
        </w:rPr>
        <w:t xml:space="preserve">is the effect of the </w:t>
      </w:r>
      <w:r w:rsidRPr="00A84A20">
        <w:rPr>
          <w:i/>
          <w:sz w:val="24"/>
          <w:szCs w:val="24"/>
          <w:shd w:val="clear" w:color="auto" w:fill="FFFFFF"/>
        </w:rPr>
        <w:t>social violence</w:t>
      </w:r>
      <w:r w:rsidRPr="00A84A20">
        <w:rPr>
          <w:sz w:val="24"/>
          <w:szCs w:val="24"/>
          <w:shd w:val="clear" w:color="auto" w:fill="FFFFFF"/>
        </w:rPr>
        <w:t xml:space="preserve"> that social orders</w:t>
      </w:r>
      <w:r>
        <w:rPr>
          <w:sz w:val="24"/>
          <w:szCs w:val="24"/>
        </w:rPr>
        <w:t>—</w:t>
      </w:r>
      <w:r w:rsidRPr="00A84A20">
        <w:rPr>
          <w:sz w:val="24"/>
          <w:szCs w:val="24"/>
          <w:shd w:val="clear" w:color="auto" w:fill="FFFFFF"/>
        </w:rPr>
        <w:t>local, national, global</w:t>
      </w:r>
      <w:r>
        <w:rPr>
          <w:sz w:val="24"/>
          <w:szCs w:val="24"/>
        </w:rPr>
        <w:t>—</w:t>
      </w:r>
      <w:r w:rsidRPr="00A84A20">
        <w:rPr>
          <w:sz w:val="24"/>
          <w:szCs w:val="24"/>
          <w:shd w:val="clear" w:color="auto" w:fill="FFFFFF"/>
        </w:rPr>
        <w:t>bring to bear on people</w:t>
      </w:r>
      <w:r>
        <w:rPr>
          <w:sz w:val="24"/>
          <w:szCs w:val="24"/>
          <w:shd w:val="clear" w:color="auto" w:fill="FFFFFF"/>
        </w:rPr>
        <w:t>’</w:t>
      </w:r>
      <w:r w:rsidRPr="00A84A20">
        <w:rPr>
          <w:sz w:val="24"/>
          <w:szCs w:val="24"/>
          <w:shd w:val="clear" w:color="auto" w:fill="FFFFFF"/>
        </w:rPr>
        <w:t xml:space="preserve"> through denying them basic human rights or subjecting them to various forms of deprivation, exploitation and abuse</w:t>
      </w:r>
      <w:r>
        <w:rPr>
          <w:sz w:val="24"/>
          <w:szCs w:val="24"/>
          <w:shd w:val="clear" w:color="auto" w:fill="FFFFFF"/>
        </w:rPr>
        <w:t>’</w:t>
      </w:r>
      <w:r w:rsidRPr="00A84A20">
        <w:rPr>
          <w:sz w:val="24"/>
          <w:szCs w:val="24"/>
          <w:shd w:val="clear" w:color="auto" w:fill="FFFFFF"/>
        </w:rPr>
        <w:t xml:space="preserve"> (emphasis in original). Arthur </w:t>
      </w:r>
      <w:r w:rsidRPr="00A84A20">
        <w:rPr>
          <w:sz w:val="24"/>
          <w:szCs w:val="24"/>
          <w:lang w:val="en-US"/>
        </w:rPr>
        <w:t xml:space="preserve">Kleinman, </w:t>
      </w:r>
      <w:r>
        <w:rPr>
          <w:sz w:val="24"/>
          <w:szCs w:val="24"/>
        </w:rPr>
        <w:t>‘</w:t>
      </w:r>
      <w:r w:rsidRPr="00A84A20">
        <w:rPr>
          <w:sz w:val="24"/>
          <w:szCs w:val="24"/>
        </w:rPr>
        <w:t>The Violences of Everyday Life: The Multiple Forms and Dynamics of Social Violence</w:t>
      </w:r>
      <w:r>
        <w:rPr>
          <w:sz w:val="24"/>
          <w:szCs w:val="24"/>
        </w:rPr>
        <w:t>’</w:t>
      </w:r>
      <w:r w:rsidRPr="00A84A20">
        <w:rPr>
          <w:sz w:val="24"/>
          <w:szCs w:val="24"/>
        </w:rPr>
        <w:t>, in Veena Das, Arthur Kleinman, Mamphela Ramphele</w:t>
      </w:r>
      <w:r>
        <w:rPr>
          <w:sz w:val="24"/>
          <w:szCs w:val="24"/>
        </w:rPr>
        <w:t>,</w:t>
      </w:r>
      <w:r w:rsidRPr="00A84A20">
        <w:rPr>
          <w:sz w:val="24"/>
          <w:szCs w:val="24"/>
        </w:rPr>
        <w:t xml:space="preserve"> and Pamela Reynolds </w:t>
      </w:r>
      <w:r>
        <w:rPr>
          <w:sz w:val="24"/>
          <w:szCs w:val="24"/>
        </w:rPr>
        <w:t xml:space="preserve">(eds), </w:t>
      </w:r>
      <w:r w:rsidRPr="00A84A20">
        <w:rPr>
          <w:i/>
          <w:sz w:val="24"/>
          <w:szCs w:val="24"/>
        </w:rPr>
        <w:t>Violence and Subjectivity</w:t>
      </w:r>
      <w:r>
        <w:rPr>
          <w:i/>
          <w:sz w:val="24"/>
          <w:szCs w:val="24"/>
        </w:rPr>
        <w:t xml:space="preserve"> </w:t>
      </w:r>
      <w:r w:rsidRPr="00A84A20">
        <w:rPr>
          <w:sz w:val="24"/>
          <w:szCs w:val="24"/>
        </w:rPr>
        <w:t>(Berkeley: U.C. Press 2000), 226.</w:t>
      </w:r>
      <w:r>
        <w:rPr>
          <w:sz w:val="24"/>
          <w:szCs w:val="24"/>
        </w:rPr>
        <w:t xml:space="preserve"> </w:t>
      </w:r>
    </w:p>
  </w:footnote>
  <w:footnote w:id="72">
    <w:p w14:paraId="1C955E08"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The scholarly response to Caroline Elkins’ Pulitzer</w:t>
      </w:r>
      <w:r>
        <w:rPr>
          <w:sz w:val="24"/>
          <w:szCs w:val="24"/>
        </w:rPr>
        <w:t>-</w:t>
      </w:r>
      <w:r w:rsidRPr="00A84A20">
        <w:rPr>
          <w:sz w:val="24"/>
          <w:szCs w:val="24"/>
        </w:rPr>
        <w:t>prize</w:t>
      </w:r>
      <w:r>
        <w:rPr>
          <w:sz w:val="24"/>
          <w:szCs w:val="24"/>
        </w:rPr>
        <w:t>-</w:t>
      </w:r>
      <w:r w:rsidRPr="00A84A20">
        <w:rPr>
          <w:sz w:val="24"/>
          <w:szCs w:val="24"/>
        </w:rPr>
        <w:t xml:space="preserve">winning work on the Kenyan Emergency is a case in point. See Elkins, </w:t>
      </w:r>
      <w:r>
        <w:rPr>
          <w:sz w:val="24"/>
          <w:szCs w:val="24"/>
        </w:rPr>
        <w:t>‘</w:t>
      </w:r>
      <w:r w:rsidRPr="00A84A20">
        <w:rPr>
          <w:sz w:val="24"/>
          <w:szCs w:val="24"/>
        </w:rPr>
        <w:t>Alchelmy of Evidence</w:t>
      </w:r>
      <w:r>
        <w:rPr>
          <w:sz w:val="24"/>
          <w:szCs w:val="24"/>
        </w:rPr>
        <w:t>’ (n 30)</w:t>
      </w:r>
      <w:r w:rsidRPr="00A84A20">
        <w:rPr>
          <w:sz w:val="24"/>
          <w:szCs w:val="24"/>
        </w:rPr>
        <w:t xml:space="preserve">; Marc Parry, </w:t>
      </w:r>
      <w:r>
        <w:rPr>
          <w:sz w:val="24"/>
          <w:szCs w:val="24"/>
        </w:rPr>
        <w:t>‘</w:t>
      </w:r>
      <w:r w:rsidRPr="00A84A20">
        <w:rPr>
          <w:sz w:val="24"/>
          <w:szCs w:val="24"/>
        </w:rPr>
        <w:t>A Historian’s Day in Court</w:t>
      </w:r>
      <w:r>
        <w:rPr>
          <w:sz w:val="24"/>
          <w:szCs w:val="24"/>
        </w:rPr>
        <w:t>’ (</w:t>
      </w:r>
      <w:r w:rsidRPr="00A84A20">
        <w:rPr>
          <w:i/>
          <w:iCs/>
          <w:sz w:val="24"/>
          <w:szCs w:val="24"/>
        </w:rPr>
        <w:t>Chronicle of Higher Education</w:t>
      </w:r>
      <w:r w:rsidRPr="00A84A20">
        <w:rPr>
          <w:sz w:val="24"/>
          <w:szCs w:val="24"/>
        </w:rPr>
        <w:t xml:space="preserve"> 62</w:t>
      </w:r>
      <w:r>
        <w:rPr>
          <w:sz w:val="24"/>
          <w:szCs w:val="24"/>
        </w:rPr>
        <w:t>/</w:t>
      </w:r>
      <w:r w:rsidRPr="00A84A20">
        <w:rPr>
          <w:sz w:val="24"/>
          <w:szCs w:val="24"/>
        </w:rPr>
        <w:t>38 (2016)</w:t>
      </w:r>
      <w:r>
        <w:rPr>
          <w:sz w:val="24"/>
          <w:szCs w:val="24"/>
        </w:rPr>
        <w:t xml:space="preserve"> &lt;</w:t>
      </w:r>
      <w:hyperlink r:id="rId38" w:history="1">
        <w:r w:rsidRPr="00A84A20">
          <w:rPr>
            <w:rStyle w:val="Hyperlink"/>
            <w:sz w:val="24"/>
            <w:szCs w:val="24"/>
          </w:rPr>
          <w:t>https://www.chronicle.com/article/A</w:t>
        </w:r>
        <w:r>
          <w:rPr>
            <w:rStyle w:val="Hyperlink"/>
            <w:sz w:val="24"/>
            <w:szCs w:val="24"/>
          </w:rPr>
          <w:t>-</w:t>
        </w:r>
        <w:r w:rsidRPr="00A84A20">
          <w:rPr>
            <w:rStyle w:val="Hyperlink"/>
            <w:sz w:val="24"/>
            <w:szCs w:val="24"/>
          </w:rPr>
          <w:t>Historians</w:t>
        </w:r>
        <w:r>
          <w:rPr>
            <w:rStyle w:val="Hyperlink"/>
            <w:sz w:val="24"/>
            <w:szCs w:val="24"/>
          </w:rPr>
          <w:t>-</w:t>
        </w:r>
        <w:r w:rsidRPr="00A84A20">
          <w:rPr>
            <w:rStyle w:val="Hyperlink"/>
            <w:sz w:val="24"/>
            <w:szCs w:val="24"/>
          </w:rPr>
          <w:t>Day</w:t>
        </w:r>
        <w:r>
          <w:rPr>
            <w:rStyle w:val="Hyperlink"/>
            <w:sz w:val="24"/>
            <w:szCs w:val="24"/>
          </w:rPr>
          <w:t>-</w:t>
        </w:r>
        <w:r w:rsidRPr="00A84A20">
          <w:rPr>
            <w:rStyle w:val="Hyperlink"/>
            <w:sz w:val="24"/>
            <w:szCs w:val="24"/>
          </w:rPr>
          <w:t>in</w:t>
        </w:r>
        <w:r>
          <w:rPr>
            <w:rStyle w:val="Hyperlink"/>
            <w:sz w:val="24"/>
            <w:szCs w:val="24"/>
          </w:rPr>
          <w:t>-</w:t>
        </w:r>
        <w:r w:rsidRPr="00A84A20">
          <w:rPr>
            <w:rStyle w:val="Hyperlink"/>
            <w:sz w:val="24"/>
            <w:szCs w:val="24"/>
          </w:rPr>
          <w:t>Court/236656</w:t>
        </w:r>
      </w:hyperlink>
      <w:r>
        <w:rPr>
          <w:sz w:val="24"/>
          <w:szCs w:val="24"/>
        </w:rPr>
        <w:t xml:space="preserve">&gt; </w:t>
      </w:r>
      <w:r w:rsidRPr="00A84A20">
        <w:rPr>
          <w:sz w:val="24"/>
          <w:szCs w:val="24"/>
        </w:rPr>
        <w:t xml:space="preserve">accessed 22 May 2020); Susan Carruthers, </w:t>
      </w:r>
      <w:r>
        <w:rPr>
          <w:sz w:val="24"/>
          <w:szCs w:val="24"/>
        </w:rPr>
        <w:t>‘</w:t>
      </w:r>
      <w:r w:rsidRPr="00A84A20">
        <w:rPr>
          <w:sz w:val="24"/>
          <w:szCs w:val="24"/>
        </w:rPr>
        <w:t>Being Beastly to Mau Mau</w:t>
      </w:r>
      <w:r>
        <w:rPr>
          <w:sz w:val="24"/>
          <w:szCs w:val="24"/>
        </w:rPr>
        <w:t>’</w:t>
      </w:r>
      <w:r w:rsidRPr="00A84A20">
        <w:rPr>
          <w:sz w:val="24"/>
          <w:szCs w:val="24"/>
        </w:rPr>
        <w:t xml:space="preserve">, </w:t>
      </w:r>
      <w:r w:rsidRPr="00A84A20">
        <w:rPr>
          <w:i/>
          <w:iCs/>
          <w:sz w:val="24"/>
          <w:szCs w:val="24"/>
        </w:rPr>
        <w:t>Twentieth Century British History</w:t>
      </w:r>
      <w:r w:rsidRPr="00A84A20">
        <w:rPr>
          <w:sz w:val="24"/>
          <w:szCs w:val="24"/>
        </w:rPr>
        <w:t xml:space="preserve"> 16</w:t>
      </w:r>
      <w:r>
        <w:rPr>
          <w:sz w:val="24"/>
          <w:szCs w:val="24"/>
        </w:rPr>
        <w:t>/</w:t>
      </w:r>
      <w:r w:rsidRPr="00A84A20">
        <w:rPr>
          <w:sz w:val="24"/>
          <w:szCs w:val="24"/>
        </w:rPr>
        <w:t>4 (2005)</w:t>
      </w:r>
      <w:r>
        <w:rPr>
          <w:sz w:val="24"/>
          <w:szCs w:val="24"/>
        </w:rPr>
        <w:t>,</w:t>
      </w:r>
      <w:r w:rsidRPr="00A84A20">
        <w:rPr>
          <w:sz w:val="24"/>
          <w:szCs w:val="24"/>
        </w:rPr>
        <w:t xml:space="preserve"> 489</w:t>
      </w:r>
      <w:r>
        <w:rPr>
          <w:sz w:val="24"/>
          <w:szCs w:val="24"/>
        </w:rPr>
        <w:t>-</w:t>
      </w:r>
      <w:r w:rsidRPr="00A84A20">
        <w:rPr>
          <w:sz w:val="24"/>
          <w:szCs w:val="24"/>
        </w:rPr>
        <w:t xml:space="preserve">96; and Bethwell Ogot, </w:t>
      </w:r>
      <w:r>
        <w:rPr>
          <w:sz w:val="24"/>
          <w:szCs w:val="24"/>
        </w:rPr>
        <w:t>‘</w:t>
      </w:r>
      <w:r w:rsidRPr="00A84A20">
        <w:rPr>
          <w:sz w:val="24"/>
          <w:szCs w:val="24"/>
        </w:rPr>
        <w:t>Britain’s Gulag</w:t>
      </w:r>
      <w:r>
        <w:rPr>
          <w:sz w:val="24"/>
          <w:szCs w:val="24"/>
        </w:rPr>
        <w:t>’</w:t>
      </w:r>
      <w:r w:rsidRPr="00A84A20">
        <w:rPr>
          <w:sz w:val="24"/>
          <w:szCs w:val="24"/>
        </w:rPr>
        <w:t xml:space="preserve">, </w:t>
      </w:r>
      <w:r w:rsidRPr="00A84A20">
        <w:rPr>
          <w:i/>
          <w:iCs/>
          <w:sz w:val="24"/>
          <w:szCs w:val="24"/>
        </w:rPr>
        <w:t>Journal of African History</w:t>
      </w:r>
      <w:r w:rsidRPr="00A84A20">
        <w:rPr>
          <w:sz w:val="24"/>
          <w:szCs w:val="24"/>
        </w:rPr>
        <w:t xml:space="preserve"> 46</w:t>
      </w:r>
      <w:r>
        <w:rPr>
          <w:sz w:val="24"/>
          <w:szCs w:val="24"/>
        </w:rPr>
        <w:t>/</w:t>
      </w:r>
      <w:r w:rsidRPr="00A84A20">
        <w:rPr>
          <w:sz w:val="24"/>
          <w:szCs w:val="24"/>
        </w:rPr>
        <w:t>3 (2005)</w:t>
      </w:r>
      <w:r>
        <w:rPr>
          <w:sz w:val="24"/>
          <w:szCs w:val="24"/>
        </w:rPr>
        <w:t>,</w:t>
      </w:r>
      <w:r w:rsidRPr="00A84A20">
        <w:rPr>
          <w:sz w:val="24"/>
          <w:szCs w:val="24"/>
        </w:rPr>
        <w:t xml:space="preserve"> 493</w:t>
      </w:r>
      <w:r>
        <w:rPr>
          <w:sz w:val="24"/>
          <w:szCs w:val="24"/>
        </w:rPr>
        <w:t>-</w:t>
      </w:r>
      <w:r w:rsidRPr="00A84A20">
        <w:rPr>
          <w:sz w:val="24"/>
          <w:szCs w:val="24"/>
        </w:rPr>
        <w:t>505.</w:t>
      </w:r>
      <w:r>
        <w:rPr>
          <w:sz w:val="24"/>
          <w:szCs w:val="24"/>
        </w:rPr>
        <w:t xml:space="preserve"> </w:t>
      </w:r>
    </w:p>
  </w:footnote>
  <w:footnote w:id="73">
    <w:p w14:paraId="29452928"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w:t>
      </w:r>
      <w:r w:rsidRPr="00A84A20">
        <w:rPr>
          <w:rStyle w:val="Emphasis"/>
          <w:i w:val="0"/>
          <w:iCs w:val="0"/>
          <w:sz w:val="24"/>
          <w:szCs w:val="24"/>
          <w:bdr w:val="none" w:sz="0" w:space="0" w:color="auto" w:frame="1"/>
        </w:rPr>
        <w:t xml:space="preserve">Duncan Bell, </w:t>
      </w:r>
      <w:r>
        <w:rPr>
          <w:rStyle w:val="Emphasis"/>
          <w:i w:val="0"/>
          <w:iCs w:val="0"/>
          <w:sz w:val="24"/>
          <w:szCs w:val="24"/>
          <w:bdr w:val="none" w:sz="0" w:space="0" w:color="auto" w:frame="1"/>
        </w:rPr>
        <w:t>‘</w:t>
      </w:r>
      <w:r w:rsidRPr="00A84A20">
        <w:rPr>
          <w:rStyle w:val="Emphasis"/>
          <w:i w:val="0"/>
          <w:iCs w:val="0"/>
          <w:sz w:val="24"/>
          <w:szCs w:val="24"/>
          <w:bdr w:val="none" w:sz="0" w:space="0" w:color="auto" w:frame="1"/>
        </w:rPr>
        <w:t>A Roundtable on John Darwin's The Empire Project: Comment: Desolation Goes before Us</w:t>
      </w:r>
      <w:r>
        <w:rPr>
          <w:rStyle w:val="Emphasis"/>
          <w:i w:val="0"/>
          <w:iCs w:val="0"/>
          <w:sz w:val="24"/>
          <w:szCs w:val="24"/>
          <w:bdr w:val="none" w:sz="0" w:space="0" w:color="auto" w:frame="1"/>
        </w:rPr>
        <w:t>’</w:t>
      </w:r>
      <w:r w:rsidRPr="00A84A20">
        <w:rPr>
          <w:rStyle w:val="Emphasis"/>
          <w:i w:val="0"/>
          <w:iCs w:val="0"/>
          <w:sz w:val="24"/>
          <w:szCs w:val="24"/>
          <w:bdr w:val="none" w:sz="0" w:space="0" w:color="auto" w:frame="1"/>
        </w:rPr>
        <w:t>,</w:t>
      </w:r>
      <w:r w:rsidRPr="00A84A20">
        <w:rPr>
          <w:rStyle w:val="Emphasis"/>
          <w:sz w:val="24"/>
          <w:szCs w:val="24"/>
          <w:bdr w:val="none" w:sz="0" w:space="0" w:color="auto" w:frame="1"/>
        </w:rPr>
        <w:t> Journal of British Studies </w:t>
      </w:r>
      <w:r w:rsidRPr="00A84A20">
        <w:rPr>
          <w:rStyle w:val="Emphasis"/>
          <w:i w:val="0"/>
          <w:iCs w:val="0"/>
          <w:sz w:val="24"/>
          <w:szCs w:val="24"/>
          <w:bdr w:val="none" w:sz="0" w:space="0" w:color="auto" w:frame="1"/>
        </w:rPr>
        <w:t>54</w:t>
      </w:r>
      <w:r>
        <w:rPr>
          <w:rStyle w:val="Emphasis"/>
          <w:i w:val="0"/>
          <w:iCs w:val="0"/>
          <w:sz w:val="24"/>
          <w:szCs w:val="24"/>
          <w:bdr w:val="none" w:sz="0" w:space="0" w:color="auto" w:frame="1"/>
        </w:rPr>
        <w:t>/</w:t>
      </w:r>
      <w:r w:rsidRPr="00A84A20">
        <w:rPr>
          <w:rStyle w:val="Emphasis"/>
          <w:i w:val="0"/>
          <w:iCs w:val="0"/>
          <w:sz w:val="24"/>
          <w:szCs w:val="24"/>
          <w:bdr w:val="none" w:sz="0" w:space="0" w:color="auto" w:frame="1"/>
        </w:rPr>
        <w:t>4</w:t>
      </w:r>
      <w:r>
        <w:rPr>
          <w:rStyle w:val="Emphasis"/>
          <w:i w:val="0"/>
          <w:iCs w:val="0"/>
          <w:sz w:val="24"/>
          <w:szCs w:val="24"/>
          <w:bdr w:val="none" w:sz="0" w:space="0" w:color="auto" w:frame="1"/>
        </w:rPr>
        <w:t xml:space="preserve"> (</w:t>
      </w:r>
      <w:r w:rsidRPr="00A84A20">
        <w:rPr>
          <w:rStyle w:val="Emphasis"/>
          <w:i w:val="0"/>
          <w:iCs w:val="0"/>
          <w:sz w:val="24"/>
          <w:szCs w:val="24"/>
          <w:bdr w:val="none" w:sz="0" w:space="0" w:color="auto" w:frame="1"/>
        </w:rPr>
        <w:t>2015</w:t>
      </w:r>
      <w:r>
        <w:rPr>
          <w:rStyle w:val="Emphasis"/>
          <w:i w:val="0"/>
          <w:iCs w:val="0"/>
          <w:sz w:val="24"/>
          <w:szCs w:val="24"/>
          <w:bdr w:val="none" w:sz="0" w:space="0" w:color="auto" w:frame="1"/>
        </w:rPr>
        <w:t>)</w:t>
      </w:r>
      <w:r w:rsidRPr="00A84A20">
        <w:rPr>
          <w:rStyle w:val="Emphasis"/>
          <w:i w:val="0"/>
          <w:iCs w:val="0"/>
          <w:sz w:val="24"/>
          <w:szCs w:val="24"/>
          <w:bdr w:val="none" w:sz="0" w:space="0" w:color="auto" w:frame="1"/>
        </w:rPr>
        <w:t>, 994</w:t>
      </w:r>
      <w:r w:rsidRPr="00A84A20">
        <w:rPr>
          <w:rStyle w:val="Emphasis"/>
          <w:i w:val="0"/>
          <w:iCs w:val="0"/>
          <w:color w:val="333333"/>
          <w:sz w:val="24"/>
          <w:szCs w:val="24"/>
          <w:bdr w:val="none" w:sz="0" w:space="0" w:color="auto" w:frame="1"/>
        </w:rPr>
        <w:t>, cited in</w:t>
      </w:r>
      <w:r w:rsidRPr="00A84A20">
        <w:rPr>
          <w:sz w:val="24"/>
          <w:szCs w:val="24"/>
        </w:rPr>
        <w:t xml:space="preserve"> Wagner, </w:t>
      </w:r>
      <w:r>
        <w:rPr>
          <w:sz w:val="24"/>
          <w:szCs w:val="24"/>
        </w:rPr>
        <w:t>‘</w:t>
      </w:r>
      <w:r w:rsidRPr="00A84A20">
        <w:rPr>
          <w:sz w:val="24"/>
          <w:szCs w:val="24"/>
        </w:rPr>
        <w:t>Savage Warfare</w:t>
      </w:r>
      <w:r>
        <w:rPr>
          <w:sz w:val="24"/>
          <w:szCs w:val="24"/>
        </w:rPr>
        <w:t>’</w:t>
      </w:r>
      <w:r>
        <w:rPr>
          <w:bCs/>
          <w:sz w:val="24"/>
          <w:szCs w:val="24"/>
        </w:rPr>
        <w:t xml:space="preserve"> (n 22)</w:t>
      </w:r>
      <w:r w:rsidRPr="00A84A20">
        <w:rPr>
          <w:bCs/>
          <w:sz w:val="24"/>
          <w:szCs w:val="24"/>
        </w:rPr>
        <w:t xml:space="preserve"> 218. Darwin is not alone, however, in regarding violence as banal. </w:t>
      </w:r>
      <w:r w:rsidRPr="00A84A20">
        <w:rPr>
          <w:sz w:val="24"/>
          <w:szCs w:val="24"/>
        </w:rPr>
        <w:t xml:space="preserve">As Hannah Arendt has argued, it is precisely the sheer ubiquity and banality of violence that has led historians to neglect studying it, since it is difficult to question what appears to be obvious. Hannah Arendt, </w:t>
      </w:r>
      <w:r w:rsidRPr="00A84A20">
        <w:rPr>
          <w:i/>
          <w:sz w:val="24"/>
          <w:szCs w:val="24"/>
        </w:rPr>
        <w:t>On Violence</w:t>
      </w:r>
      <w:r w:rsidRPr="00A84A20">
        <w:rPr>
          <w:sz w:val="24"/>
          <w:szCs w:val="24"/>
        </w:rPr>
        <w:t xml:space="preserve"> (New York: Harcourt 1970), 9.</w:t>
      </w:r>
    </w:p>
  </w:footnote>
  <w:footnote w:id="74">
    <w:p w14:paraId="5D48AB9C" w14:textId="77777777" w:rsidR="00997966" w:rsidRPr="00A84A20" w:rsidRDefault="00997966" w:rsidP="00997966">
      <w:pPr>
        <w:pStyle w:val="FootnoteText"/>
        <w:spacing w:line="480" w:lineRule="auto"/>
        <w:contextualSpacing/>
        <w:rPr>
          <w:color w:val="333333"/>
          <w:sz w:val="24"/>
          <w:szCs w:val="24"/>
          <w:bdr w:val="none" w:sz="0" w:space="0" w:color="auto" w:frame="1"/>
        </w:rPr>
      </w:pPr>
      <w:r w:rsidRPr="00A84A20">
        <w:rPr>
          <w:rStyle w:val="FootnoteReference"/>
          <w:sz w:val="24"/>
          <w:szCs w:val="24"/>
        </w:rPr>
        <w:footnoteRef/>
      </w:r>
      <w:r w:rsidRPr="00A84A20">
        <w:rPr>
          <w:sz w:val="24"/>
          <w:szCs w:val="24"/>
        </w:rPr>
        <w:t xml:space="preserve"> Wagner, </w:t>
      </w:r>
      <w:r>
        <w:rPr>
          <w:sz w:val="24"/>
          <w:szCs w:val="24"/>
        </w:rPr>
        <w:t>‘</w:t>
      </w:r>
      <w:r w:rsidRPr="00A84A20">
        <w:rPr>
          <w:sz w:val="24"/>
          <w:szCs w:val="24"/>
        </w:rPr>
        <w:t>Savage War</w:t>
      </w:r>
      <w:r>
        <w:rPr>
          <w:sz w:val="24"/>
          <w:szCs w:val="24"/>
        </w:rPr>
        <w:t>fare’ (n 22)</w:t>
      </w:r>
      <w:r w:rsidRPr="00A84A20">
        <w:rPr>
          <w:sz w:val="24"/>
          <w:szCs w:val="24"/>
        </w:rPr>
        <w:t xml:space="preserve"> 220. </w:t>
      </w:r>
      <w:r w:rsidRPr="005239D0">
        <w:rPr>
          <w:rStyle w:val="Emphasis"/>
          <w:i w:val="0"/>
          <w:iCs w:val="0"/>
          <w:sz w:val="24"/>
          <w:szCs w:val="24"/>
          <w:bdr w:val="none" w:sz="0" w:space="0" w:color="auto" w:frame="1"/>
        </w:rPr>
        <w:t>See, for example, John A. Nagl,</w:t>
      </w:r>
      <w:r w:rsidRPr="005239D0">
        <w:rPr>
          <w:rStyle w:val="Emphasis"/>
          <w:sz w:val="24"/>
          <w:szCs w:val="24"/>
          <w:bdr w:val="none" w:sz="0" w:space="0" w:color="auto" w:frame="1"/>
        </w:rPr>
        <w:t xml:space="preserve"> Learning To Eat Soup With a Knife: Counterinsurgency Lessons from Malaya and Vietnam </w:t>
      </w:r>
      <w:r w:rsidRPr="005239D0">
        <w:rPr>
          <w:rStyle w:val="Emphasis"/>
          <w:i w:val="0"/>
          <w:iCs w:val="0"/>
          <w:sz w:val="24"/>
          <w:szCs w:val="24"/>
          <w:bdr w:val="none" w:sz="0" w:space="0" w:color="auto" w:frame="1"/>
        </w:rPr>
        <w:t xml:space="preserve">(Chicago: University of Chicago Press, 2005); Ian Beckett, </w:t>
      </w:r>
      <w:r>
        <w:rPr>
          <w:rStyle w:val="Emphasis"/>
          <w:i w:val="0"/>
          <w:iCs w:val="0"/>
          <w:sz w:val="24"/>
          <w:szCs w:val="24"/>
          <w:bdr w:val="none" w:sz="0" w:space="0" w:color="auto" w:frame="1"/>
        </w:rPr>
        <w:t>‘</w:t>
      </w:r>
      <w:r w:rsidRPr="005239D0">
        <w:rPr>
          <w:rStyle w:val="Emphasis"/>
          <w:i w:val="0"/>
          <w:iCs w:val="0"/>
          <w:sz w:val="24"/>
          <w:szCs w:val="24"/>
          <w:bdr w:val="none" w:sz="0" w:space="0" w:color="auto" w:frame="1"/>
        </w:rPr>
        <w:t>Another British Way in Warfare: Charles Callwell and Small Wars</w:t>
      </w:r>
      <w:r>
        <w:rPr>
          <w:rStyle w:val="Emphasis"/>
          <w:i w:val="0"/>
          <w:iCs w:val="0"/>
          <w:sz w:val="24"/>
          <w:szCs w:val="24"/>
          <w:bdr w:val="none" w:sz="0" w:space="0" w:color="auto" w:frame="1"/>
        </w:rPr>
        <w:t>’</w:t>
      </w:r>
      <w:r w:rsidRPr="005239D0">
        <w:rPr>
          <w:rStyle w:val="Emphasis"/>
          <w:i w:val="0"/>
          <w:iCs w:val="0"/>
          <w:sz w:val="24"/>
          <w:szCs w:val="24"/>
          <w:bdr w:val="none" w:sz="0" w:space="0" w:color="auto" w:frame="1"/>
        </w:rPr>
        <w:t>, in</w:t>
      </w:r>
      <w:r w:rsidRPr="005239D0">
        <w:rPr>
          <w:rStyle w:val="Emphasis"/>
          <w:sz w:val="24"/>
          <w:szCs w:val="24"/>
          <w:bdr w:val="none" w:sz="0" w:space="0" w:color="auto" w:frame="1"/>
        </w:rPr>
        <w:t> </w:t>
      </w:r>
      <w:r w:rsidRPr="005239D0">
        <w:rPr>
          <w:rStyle w:val="Emphasis"/>
          <w:i w:val="0"/>
          <w:iCs w:val="0"/>
          <w:sz w:val="24"/>
          <w:szCs w:val="24"/>
          <w:bdr w:val="none" w:sz="0" w:space="0" w:color="auto" w:frame="1"/>
        </w:rPr>
        <w:t>Ian Beckett</w:t>
      </w:r>
      <w:r w:rsidRPr="005239D0">
        <w:rPr>
          <w:rStyle w:val="Emphasis"/>
          <w:sz w:val="24"/>
          <w:szCs w:val="24"/>
          <w:bdr w:val="none" w:sz="0" w:space="0" w:color="auto" w:frame="1"/>
        </w:rPr>
        <w:t xml:space="preserve"> </w:t>
      </w:r>
      <w:r w:rsidRPr="005239D0">
        <w:rPr>
          <w:rStyle w:val="Emphasis"/>
          <w:i w:val="0"/>
          <w:iCs w:val="0"/>
          <w:sz w:val="24"/>
          <w:szCs w:val="24"/>
          <w:bdr w:val="none" w:sz="0" w:space="0" w:color="auto" w:frame="1"/>
        </w:rPr>
        <w:t xml:space="preserve">(ed.), </w:t>
      </w:r>
      <w:r w:rsidRPr="005239D0">
        <w:rPr>
          <w:rStyle w:val="Emphasis"/>
          <w:sz w:val="24"/>
          <w:szCs w:val="24"/>
          <w:bdr w:val="none" w:sz="0" w:space="0" w:color="auto" w:frame="1"/>
        </w:rPr>
        <w:t xml:space="preserve">Victorians at War: New Perspectives </w:t>
      </w:r>
      <w:r w:rsidRPr="005239D0">
        <w:rPr>
          <w:rStyle w:val="Emphasis"/>
          <w:i w:val="0"/>
          <w:iCs w:val="0"/>
          <w:sz w:val="24"/>
          <w:szCs w:val="24"/>
          <w:bdr w:val="none" w:sz="0" w:space="0" w:color="auto" w:frame="1"/>
        </w:rPr>
        <w:t xml:space="preserve">(Chippenham, Wilts: </w:t>
      </w:r>
      <w:r w:rsidRPr="005239D0">
        <w:rPr>
          <w:sz w:val="24"/>
          <w:szCs w:val="24"/>
          <w:shd w:val="clear" w:color="auto" w:fill="FFFFFF"/>
        </w:rPr>
        <w:t>The </w:t>
      </w:r>
      <w:r w:rsidRPr="004D3BDD">
        <w:rPr>
          <w:rStyle w:val="Emphasis"/>
          <w:i w:val="0"/>
          <w:iCs w:val="0"/>
          <w:sz w:val="24"/>
          <w:szCs w:val="24"/>
          <w:shd w:val="clear" w:color="auto" w:fill="FFFFFF"/>
        </w:rPr>
        <w:t>Society</w:t>
      </w:r>
      <w:r w:rsidRPr="005239D0">
        <w:rPr>
          <w:sz w:val="24"/>
          <w:szCs w:val="24"/>
          <w:shd w:val="clear" w:color="auto" w:fill="FFFFFF"/>
        </w:rPr>
        <w:t> for</w:t>
      </w:r>
      <w:r w:rsidRPr="005239D0">
        <w:rPr>
          <w:i/>
          <w:iCs/>
          <w:sz w:val="24"/>
          <w:szCs w:val="24"/>
          <w:shd w:val="clear" w:color="auto" w:fill="FFFFFF"/>
        </w:rPr>
        <w:t> </w:t>
      </w:r>
      <w:r w:rsidRPr="005239D0">
        <w:rPr>
          <w:rStyle w:val="Emphasis"/>
          <w:i w:val="0"/>
          <w:iCs w:val="0"/>
          <w:sz w:val="24"/>
          <w:szCs w:val="24"/>
          <w:shd w:val="clear" w:color="auto" w:fill="FFFFFF"/>
        </w:rPr>
        <w:t>Army Historical Research</w:t>
      </w:r>
      <w:r w:rsidRPr="005239D0">
        <w:rPr>
          <w:rStyle w:val="Emphasis"/>
          <w:i w:val="0"/>
          <w:iCs w:val="0"/>
          <w:sz w:val="24"/>
          <w:szCs w:val="24"/>
          <w:bdr w:val="none" w:sz="0" w:space="0" w:color="auto" w:frame="1"/>
        </w:rPr>
        <w:t xml:space="preserve"> 2007), 89</w:t>
      </w:r>
      <w:r>
        <w:rPr>
          <w:rStyle w:val="Emphasis"/>
          <w:i w:val="0"/>
          <w:iCs w:val="0"/>
          <w:sz w:val="24"/>
          <w:szCs w:val="24"/>
          <w:bdr w:val="none" w:sz="0" w:space="0" w:color="auto" w:frame="1"/>
        </w:rPr>
        <w:t>-</w:t>
      </w:r>
      <w:r w:rsidRPr="005239D0">
        <w:rPr>
          <w:rStyle w:val="Emphasis"/>
          <w:i w:val="0"/>
          <w:iCs w:val="0"/>
          <w:sz w:val="24"/>
          <w:szCs w:val="24"/>
          <w:bdr w:val="none" w:sz="0" w:space="0" w:color="auto" w:frame="1"/>
        </w:rPr>
        <w:t xml:space="preserve">102; and Thomas R. Mockaitis, </w:t>
      </w:r>
      <w:r>
        <w:rPr>
          <w:rStyle w:val="Emphasis"/>
          <w:i w:val="0"/>
          <w:iCs w:val="0"/>
          <w:sz w:val="24"/>
          <w:szCs w:val="24"/>
          <w:bdr w:val="none" w:sz="0" w:space="0" w:color="auto" w:frame="1"/>
        </w:rPr>
        <w:t>‘</w:t>
      </w:r>
      <w:r w:rsidRPr="005239D0">
        <w:rPr>
          <w:rStyle w:val="Emphasis"/>
          <w:i w:val="0"/>
          <w:iCs w:val="0"/>
          <w:sz w:val="24"/>
          <w:szCs w:val="24"/>
          <w:bdr w:val="none" w:sz="0" w:space="0" w:color="auto" w:frame="1"/>
        </w:rPr>
        <w:t>The Minimum Force Debate: Contemporary Sensibilities Meet Imperial Practice</w:t>
      </w:r>
      <w:r>
        <w:rPr>
          <w:rStyle w:val="Emphasis"/>
          <w:i w:val="0"/>
          <w:iCs w:val="0"/>
          <w:sz w:val="24"/>
          <w:szCs w:val="24"/>
          <w:bdr w:val="none" w:sz="0" w:space="0" w:color="auto" w:frame="1"/>
        </w:rPr>
        <w:t>’</w:t>
      </w:r>
      <w:r w:rsidRPr="005239D0">
        <w:rPr>
          <w:rStyle w:val="Emphasis"/>
          <w:i w:val="0"/>
          <w:iCs w:val="0"/>
          <w:sz w:val="24"/>
          <w:szCs w:val="24"/>
          <w:bdr w:val="none" w:sz="0" w:space="0" w:color="auto" w:frame="1"/>
        </w:rPr>
        <w:t>,</w:t>
      </w:r>
      <w:r w:rsidRPr="005239D0">
        <w:rPr>
          <w:rStyle w:val="Emphasis"/>
          <w:sz w:val="24"/>
          <w:szCs w:val="24"/>
          <w:bdr w:val="none" w:sz="0" w:space="0" w:color="auto" w:frame="1"/>
        </w:rPr>
        <w:t> Small Wars &amp; Insurgencies </w:t>
      </w:r>
      <w:r w:rsidRPr="005239D0">
        <w:rPr>
          <w:rStyle w:val="Emphasis"/>
          <w:i w:val="0"/>
          <w:iCs w:val="0"/>
          <w:sz w:val="24"/>
          <w:szCs w:val="24"/>
          <w:bdr w:val="none" w:sz="0" w:space="0" w:color="auto" w:frame="1"/>
        </w:rPr>
        <w:t>23</w:t>
      </w:r>
      <w:r>
        <w:rPr>
          <w:rStyle w:val="Emphasis"/>
          <w:i w:val="0"/>
          <w:iCs w:val="0"/>
          <w:sz w:val="24"/>
          <w:szCs w:val="24"/>
          <w:bdr w:val="none" w:sz="0" w:space="0" w:color="auto" w:frame="1"/>
        </w:rPr>
        <w:t>/</w:t>
      </w:r>
      <w:r w:rsidRPr="005239D0">
        <w:rPr>
          <w:rStyle w:val="Emphasis"/>
          <w:i w:val="0"/>
          <w:iCs w:val="0"/>
          <w:sz w:val="24"/>
          <w:szCs w:val="24"/>
          <w:bdr w:val="none" w:sz="0" w:space="0" w:color="auto" w:frame="1"/>
        </w:rPr>
        <w:t>4</w:t>
      </w:r>
      <w:r>
        <w:rPr>
          <w:rStyle w:val="Emphasis"/>
          <w:i w:val="0"/>
          <w:iCs w:val="0"/>
          <w:sz w:val="24"/>
          <w:szCs w:val="24"/>
          <w:bdr w:val="none" w:sz="0" w:space="0" w:color="auto" w:frame="1"/>
        </w:rPr>
        <w:t>-</w:t>
      </w:r>
      <w:r w:rsidRPr="005239D0">
        <w:rPr>
          <w:rStyle w:val="Emphasis"/>
          <w:i w:val="0"/>
          <w:iCs w:val="0"/>
          <w:sz w:val="24"/>
          <w:szCs w:val="24"/>
          <w:bdr w:val="none" w:sz="0" w:space="0" w:color="auto" w:frame="1"/>
        </w:rPr>
        <w:t>5 (2012)</w:t>
      </w:r>
      <w:r>
        <w:rPr>
          <w:rStyle w:val="Emphasis"/>
          <w:i w:val="0"/>
          <w:iCs w:val="0"/>
          <w:sz w:val="24"/>
          <w:szCs w:val="24"/>
          <w:bdr w:val="none" w:sz="0" w:space="0" w:color="auto" w:frame="1"/>
        </w:rPr>
        <w:t>,</w:t>
      </w:r>
      <w:r w:rsidRPr="005239D0">
        <w:rPr>
          <w:rStyle w:val="Emphasis"/>
          <w:i w:val="0"/>
          <w:iCs w:val="0"/>
          <w:sz w:val="24"/>
          <w:szCs w:val="24"/>
          <w:bdr w:val="none" w:sz="0" w:space="0" w:color="auto" w:frame="1"/>
        </w:rPr>
        <w:t xml:space="preserve"> 762</w:t>
      </w:r>
      <w:r>
        <w:rPr>
          <w:rStyle w:val="Emphasis"/>
          <w:i w:val="0"/>
          <w:iCs w:val="0"/>
          <w:sz w:val="24"/>
          <w:szCs w:val="24"/>
          <w:bdr w:val="none" w:sz="0" w:space="0" w:color="auto" w:frame="1"/>
        </w:rPr>
        <w:t>-</w:t>
      </w:r>
      <w:r w:rsidRPr="005239D0">
        <w:rPr>
          <w:rStyle w:val="Emphasis"/>
          <w:i w:val="0"/>
          <w:iCs w:val="0"/>
          <w:sz w:val="24"/>
          <w:szCs w:val="24"/>
          <w:bdr w:val="none" w:sz="0" w:space="0" w:color="auto" w:frame="1"/>
        </w:rPr>
        <w:t>80</w:t>
      </w:r>
      <w:r w:rsidRPr="00A84A20">
        <w:rPr>
          <w:rStyle w:val="Emphasis"/>
          <w:i w:val="0"/>
          <w:iCs w:val="0"/>
          <w:color w:val="333333"/>
          <w:sz w:val="24"/>
          <w:szCs w:val="24"/>
          <w:bdr w:val="none" w:sz="0" w:space="0" w:color="auto" w:frame="1"/>
        </w:rPr>
        <w:t>.</w:t>
      </w:r>
      <w:r w:rsidRPr="00A84A20">
        <w:rPr>
          <w:rStyle w:val="Emphasis"/>
          <w:color w:val="333333"/>
          <w:sz w:val="24"/>
          <w:szCs w:val="24"/>
          <w:bdr w:val="none" w:sz="0" w:space="0" w:color="auto" w:frame="1"/>
        </w:rPr>
        <w:t xml:space="preserve"> </w:t>
      </w:r>
      <w:r>
        <w:rPr>
          <w:rStyle w:val="Emphasis"/>
          <w:color w:val="333333"/>
          <w:sz w:val="24"/>
          <w:szCs w:val="24"/>
          <w:bdr w:val="none" w:sz="0" w:space="0" w:color="auto" w:frame="1"/>
        </w:rPr>
        <w:t xml:space="preserve"> </w:t>
      </w:r>
    </w:p>
  </w:footnote>
  <w:footnote w:id="75">
    <w:p w14:paraId="47EC75D5" w14:textId="77777777" w:rsidR="00997966" w:rsidRPr="005408F6"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iCs/>
          <w:sz w:val="24"/>
          <w:szCs w:val="24"/>
        </w:rPr>
        <w:t xml:space="preserve"> Elizabeth Kolsky, </w:t>
      </w:r>
      <w:r w:rsidRPr="00A84A20">
        <w:rPr>
          <w:i/>
          <w:sz w:val="24"/>
          <w:szCs w:val="24"/>
        </w:rPr>
        <w:t>Colonial Justice in British India: White Violence and the Rule of Law</w:t>
      </w:r>
      <w:r w:rsidRPr="00A84A20">
        <w:rPr>
          <w:sz w:val="24"/>
          <w:szCs w:val="24"/>
        </w:rPr>
        <w:t xml:space="preserve"> (New Delhi: Cambridge University Press 2010), </w:t>
      </w:r>
      <w:r w:rsidRPr="00A84A20">
        <w:rPr>
          <w:sz w:val="24"/>
          <w:szCs w:val="24"/>
          <w:lang w:val="en-US"/>
        </w:rPr>
        <w:t>8</w:t>
      </w:r>
      <w:r>
        <w:rPr>
          <w:sz w:val="24"/>
          <w:szCs w:val="24"/>
          <w:lang w:val="en-US"/>
        </w:rPr>
        <w:t xml:space="preserve"> (hereafter Kolsky, </w:t>
      </w:r>
      <w:r>
        <w:rPr>
          <w:i/>
          <w:iCs/>
          <w:sz w:val="24"/>
          <w:szCs w:val="24"/>
          <w:lang w:val="en-US"/>
        </w:rPr>
        <w:t>Colonial Justice</w:t>
      </w:r>
      <w:r>
        <w:rPr>
          <w:sz w:val="24"/>
          <w:szCs w:val="24"/>
          <w:lang w:val="en-US"/>
        </w:rPr>
        <w:t>)</w:t>
      </w:r>
      <w:r w:rsidRPr="00A84A20">
        <w:rPr>
          <w:sz w:val="24"/>
          <w:szCs w:val="24"/>
        </w:rPr>
        <w:t>.</w:t>
      </w:r>
      <w:r>
        <w:rPr>
          <w:sz w:val="24"/>
          <w:szCs w:val="24"/>
        </w:rPr>
        <w:t xml:space="preserve"> In the case of colonial India, Kama Maclean and Benjamin Zachariah suggest that the lack of emphasis on the violent nature of colonialism until relatively recently is a product of the dominance of British historiography in the study of South Asia, which concentrated on issues such as liberalism and colonial rule, as well as an over-reliance on the administrative records produced by the colonial state</w:t>
      </w:r>
      <w:r>
        <w:t xml:space="preserve">, </w:t>
      </w:r>
      <w:r w:rsidRPr="005408F6">
        <w:rPr>
          <w:sz w:val="24"/>
          <w:szCs w:val="24"/>
        </w:rPr>
        <w:t>from which state violence is largely elided.</w:t>
      </w:r>
      <w:r>
        <w:rPr>
          <w:sz w:val="24"/>
          <w:szCs w:val="24"/>
        </w:rPr>
        <w:t xml:space="preserve"> Similar problems have beset the study of other colonial contexts. Kama Maclean and Benjamin Zachariah, ‘Violence, Non-Violence, the State and the Nation: </w:t>
      </w:r>
      <w:r>
        <w:rPr>
          <w:i/>
          <w:iCs/>
          <w:sz w:val="24"/>
          <w:szCs w:val="24"/>
        </w:rPr>
        <w:t>India</w:t>
      </w:r>
      <w:r>
        <w:rPr>
          <w:sz w:val="24"/>
          <w:szCs w:val="24"/>
        </w:rPr>
        <w:t xml:space="preserve">, 1858-1958’, in Louise Edwards, Nigel Penn, and Jay Winter (eds), </w:t>
      </w:r>
      <w:r>
        <w:rPr>
          <w:i/>
          <w:iCs/>
          <w:sz w:val="24"/>
          <w:szCs w:val="24"/>
        </w:rPr>
        <w:t>The Cambridge World History of Violence</w:t>
      </w:r>
      <w:r>
        <w:rPr>
          <w:sz w:val="24"/>
          <w:szCs w:val="24"/>
        </w:rPr>
        <w:t>, Vol. IV</w:t>
      </w:r>
      <w:r>
        <w:rPr>
          <w:i/>
          <w:iCs/>
          <w:sz w:val="24"/>
          <w:szCs w:val="24"/>
        </w:rPr>
        <w:t xml:space="preserve"> </w:t>
      </w:r>
      <w:r>
        <w:rPr>
          <w:sz w:val="24"/>
          <w:szCs w:val="24"/>
        </w:rPr>
        <w:t>(Cambridge: Cambridge University Press, 2020), 69.</w:t>
      </w:r>
    </w:p>
  </w:footnote>
  <w:footnote w:id="76">
    <w:p w14:paraId="55715760"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Kim Wagner, </w:t>
      </w:r>
      <w:r w:rsidRPr="00A84A20">
        <w:rPr>
          <w:i/>
          <w:iCs/>
          <w:sz w:val="24"/>
          <w:szCs w:val="24"/>
        </w:rPr>
        <w:t>Amritsar 1919: An Empire of Fear &amp; The Making of a Massacre</w:t>
      </w:r>
      <w:r w:rsidRPr="00A84A20">
        <w:rPr>
          <w:sz w:val="24"/>
          <w:szCs w:val="24"/>
        </w:rPr>
        <w:t xml:space="preserve"> (New Have</w:t>
      </w:r>
      <w:r>
        <w:rPr>
          <w:sz w:val="24"/>
          <w:szCs w:val="24"/>
        </w:rPr>
        <w:t>n</w:t>
      </w:r>
      <w:r w:rsidRPr="00A84A20">
        <w:rPr>
          <w:sz w:val="24"/>
          <w:szCs w:val="24"/>
        </w:rPr>
        <w:t xml:space="preserve"> and London: Yale University Press 2019), xviii</w:t>
      </w:r>
      <w:r>
        <w:rPr>
          <w:sz w:val="24"/>
          <w:szCs w:val="24"/>
        </w:rPr>
        <w:t xml:space="preserve"> (hereafter Wagner, </w:t>
      </w:r>
      <w:r>
        <w:rPr>
          <w:i/>
          <w:iCs/>
          <w:sz w:val="24"/>
          <w:szCs w:val="24"/>
        </w:rPr>
        <w:t>Amritsar 1919</w:t>
      </w:r>
      <w:r>
        <w:rPr>
          <w:sz w:val="24"/>
          <w:szCs w:val="24"/>
        </w:rPr>
        <w:t>)</w:t>
      </w:r>
      <w:r w:rsidRPr="00A84A20">
        <w:rPr>
          <w:sz w:val="24"/>
          <w:szCs w:val="24"/>
        </w:rPr>
        <w:t xml:space="preserve">. In the case of the Amritsar Massacre, such a view helps to explain the repeated calls for the British government to apologize for it, as though that would wipe the </w:t>
      </w:r>
      <w:r>
        <w:rPr>
          <w:sz w:val="24"/>
          <w:szCs w:val="24"/>
        </w:rPr>
        <w:t>‘</w:t>
      </w:r>
      <w:r w:rsidRPr="00A84A20">
        <w:rPr>
          <w:sz w:val="24"/>
          <w:szCs w:val="24"/>
        </w:rPr>
        <w:t>balance</w:t>
      </w:r>
      <w:r>
        <w:rPr>
          <w:sz w:val="24"/>
          <w:szCs w:val="24"/>
        </w:rPr>
        <w:t>-</w:t>
      </w:r>
      <w:r w:rsidRPr="00A84A20">
        <w:rPr>
          <w:sz w:val="24"/>
          <w:szCs w:val="24"/>
        </w:rPr>
        <w:t>sheet</w:t>
      </w:r>
      <w:r>
        <w:rPr>
          <w:sz w:val="24"/>
          <w:szCs w:val="24"/>
        </w:rPr>
        <w:t>’</w:t>
      </w:r>
      <w:r w:rsidRPr="00A84A20">
        <w:rPr>
          <w:sz w:val="24"/>
          <w:szCs w:val="24"/>
        </w:rPr>
        <w:t xml:space="preserve"> clean (ibid).</w:t>
      </w:r>
    </w:p>
  </w:footnote>
  <w:footnote w:id="77">
    <w:p w14:paraId="7831E666" w14:textId="77777777" w:rsidR="00997966" w:rsidRPr="00A84A20" w:rsidRDefault="00997966" w:rsidP="00997966">
      <w:pPr>
        <w:pStyle w:val="EndnoteText"/>
        <w:spacing w:line="480" w:lineRule="auto"/>
        <w:contextualSpacing/>
        <w:rPr>
          <w:sz w:val="24"/>
          <w:szCs w:val="24"/>
        </w:rPr>
      </w:pPr>
      <w:r w:rsidRPr="00A84A20">
        <w:rPr>
          <w:rStyle w:val="FootnoteReference"/>
          <w:sz w:val="24"/>
          <w:szCs w:val="24"/>
        </w:rPr>
        <w:footnoteRef/>
      </w:r>
      <w:r w:rsidRPr="00A84A20">
        <w:rPr>
          <w:sz w:val="24"/>
          <w:szCs w:val="24"/>
        </w:rPr>
        <w:t xml:space="preserve"> Much of the scholarship on decolonisation also evades addressing the violence that accompanied it. For exceptions see, for example, Elkins, </w:t>
      </w:r>
      <w:r w:rsidRPr="00A84A20">
        <w:rPr>
          <w:i/>
          <w:sz w:val="24"/>
          <w:szCs w:val="24"/>
        </w:rPr>
        <w:t>Imperial Reckoning</w:t>
      </w:r>
      <w:r w:rsidRPr="00A84A20">
        <w:rPr>
          <w:sz w:val="24"/>
          <w:szCs w:val="24"/>
        </w:rPr>
        <w:t>;</w:t>
      </w:r>
      <w:r w:rsidRPr="00A84A20">
        <w:rPr>
          <w:i/>
          <w:sz w:val="24"/>
          <w:szCs w:val="24"/>
        </w:rPr>
        <w:t xml:space="preserve"> </w:t>
      </w:r>
      <w:r w:rsidRPr="00A84A20">
        <w:rPr>
          <w:iCs/>
          <w:sz w:val="24"/>
          <w:szCs w:val="24"/>
        </w:rPr>
        <w:t xml:space="preserve">David </w:t>
      </w:r>
      <w:r w:rsidRPr="00A84A20">
        <w:rPr>
          <w:sz w:val="24"/>
          <w:szCs w:val="24"/>
        </w:rPr>
        <w:t xml:space="preserve">Anderson, </w:t>
      </w:r>
      <w:r w:rsidRPr="00A84A20">
        <w:rPr>
          <w:i/>
          <w:sz w:val="24"/>
          <w:szCs w:val="24"/>
        </w:rPr>
        <w:t xml:space="preserve">Histories of the Hanged: Britain’s Dirty War in Kenya </w:t>
      </w:r>
      <w:r w:rsidRPr="00A84A20">
        <w:rPr>
          <w:iCs/>
          <w:sz w:val="24"/>
          <w:szCs w:val="24"/>
        </w:rPr>
        <w:t>(New York: W. W. Norton, 2005)</w:t>
      </w:r>
      <w:r w:rsidRPr="00A84A20">
        <w:rPr>
          <w:sz w:val="24"/>
          <w:szCs w:val="24"/>
        </w:rPr>
        <w:t xml:space="preserve">; and Bennett, </w:t>
      </w:r>
      <w:r w:rsidRPr="00A84A20">
        <w:rPr>
          <w:i/>
          <w:iCs/>
          <w:sz w:val="24"/>
          <w:szCs w:val="24"/>
        </w:rPr>
        <w:t>Fighting the Mau Mau</w:t>
      </w:r>
      <w:r w:rsidRPr="00A84A20">
        <w:rPr>
          <w:sz w:val="24"/>
          <w:szCs w:val="24"/>
        </w:rPr>
        <w:t>.</w:t>
      </w:r>
    </w:p>
  </w:footnote>
  <w:footnote w:id="78">
    <w:p w14:paraId="2D60BFCE"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Christopher Herbert, </w:t>
      </w:r>
      <w:r w:rsidRPr="00A84A20">
        <w:rPr>
          <w:i/>
          <w:sz w:val="24"/>
          <w:szCs w:val="24"/>
        </w:rPr>
        <w:t>War of No Pity: The Indian Mutiny and Victorian Trauma</w:t>
      </w:r>
      <w:r w:rsidRPr="00A84A20">
        <w:rPr>
          <w:sz w:val="24"/>
          <w:szCs w:val="24"/>
        </w:rPr>
        <w:t xml:space="preserve"> (Princeton and Oxford: Princeton University Press 2009), 5</w:t>
      </w:r>
      <w:r>
        <w:rPr>
          <w:sz w:val="24"/>
          <w:szCs w:val="24"/>
        </w:rPr>
        <w:t xml:space="preserve"> (hereafter Herbert, </w:t>
      </w:r>
      <w:r>
        <w:rPr>
          <w:i/>
          <w:iCs/>
          <w:sz w:val="24"/>
          <w:szCs w:val="24"/>
        </w:rPr>
        <w:t>War of No Pity</w:t>
      </w:r>
      <w:r>
        <w:rPr>
          <w:sz w:val="24"/>
          <w:szCs w:val="24"/>
        </w:rPr>
        <w:t>)</w:t>
      </w:r>
      <w:r w:rsidRPr="00A84A20">
        <w:rPr>
          <w:sz w:val="24"/>
          <w:szCs w:val="24"/>
        </w:rPr>
        <w:t xml:space="preserve">. Denial, as Catherine Hall and Daniel Pick note, drawing upon the </w:t>
      </w:r>
      <w:r w:rsidRPr="00A84A20">
        <w:rPr>
          <w:i/>
          <w:iCs/>
          <w:sz w:val="24"/>
          <w:szCs w:val="24"/>
        </w:rPr>
        <w:t xml:space="preserve">Oxford English Dictionary, </w:t>
      </w:r>
      <w:r w:rsidRPr="00A84A20">
        <w:rPr>
          <w:sz w:val="24"/>
          <w:szCs w:val="24"/>
        </w:rPr>
        <w:t xml:space="preserve">is </w:t>
      </w:r>
      <w:r>
        <w:rPr>
          <w:sz w:val="24"/>
          <w:szCs w:val="24"/>
        </w:rPr>
        <w:t>‘”</w:t>
      </w:r>
      <w:r w:rsidRPr="00A84A20">
        <w:rPr>
          <w:sz w:val="24"/>
          <w:szCs w:val="24"/>
        </w:rPr>
        <w:t>an unconscious mechanism used to reduce anxiety by denying thoughts, feelings, or facts that are consciously intolerable</w:t>
      </w:r>
      <w:r>
        <w:rPr>
          <w:sz w:val="24"/>
          <w:szCs w:val="24"/>
        </w:rPr>
        <w:t>”’</w:t>
      </w:r>
      <w:r w:rsidRPr="00A84A20">
        <w:rPr>
          <w:sz w:val="24"/>
          <w:szCs w:val="24"/>
        </w:rPr>
        <w:t xml:space="preserve">. For Hall and Pick, </w:t>
      </w:r>
      <w:r>
        <w:rPr>
          <w:sz w:val="24"/>
          <w:szCs w:val="24"/>
        </w:rPr>
        <w:t>‘</w:t>
      </w:r>
      <w:r w:rsidRPr="00A84A20">
        <w:rPr>
          <w:sz w:val="24"/>
          <w:szCs w:val="24"/>
        </w:rPr>
        <w:t>disavowal</w:t>
      </w:r>
      <w:r>
        <w:rPr>
          <w:sz w:val="24"/>
          <w:szCs w:val="24"/>
        </w:rPr>
        <w:t>’</w:t>
      </w:r>
      <w:r w:rsidRPr="00A84A20">
        <w:rPr>
          <w:sz w:val="24"/>
          <w:szCs w:val="24"/>
        </w:rPr>
        <w:t xml:space="preserve"> might be a more helpful term to employ in such a context since it embodies notions of turning a </w:t>
      </w:r>
      <w:r>
        <w:rPr>
          <w:sz w:val="24"/>
          <w:szCs w:val="24"/>
        </w:rPr>
        <w:t>‘</w:t>
      </w:r>
      <w:r w:rsidRPr="00A84A20">
        <w:rPr>
          <w:sz w:val="24"/>
          <w:szCs w:val="24"/>
        </w:rPr>
        <w:t>blind eye</w:t>
      </w:r>
      <w:r>
        <w:rPr>
          <w:sz w:val="24"/>
          <w:szCs w:val="24"/>
        </w:rPr>
        <w:t>’</w:t>
      </w:r>
      <w:r w:rsidRPr="00A84A20">
        <w:rPr>
          <w:sz w:val="24"/>
          <w:szCs w:val="24"/>
        </w:rPr>
        <w:t xml:space="preserve">, or the refutation of something that is right in front of us because it is too disturbing to acknowledge, which entails both knowing and not knowing at the same time. Such </w:t>
      </w:r>
      <w:r>
        <w:rPr>
          <w:sz w:val="24"/>
          <w:szCs w:val="24"/>
        </w:rPr>
        <w:t>‘</w:t>
      </w:r>
      <w:r w:rsidRPr="00A84A20">
        <w:rPr>
          <w:sz w:val="24"/>
          <w:szCs w:val="24"/>
        </w:rPr>
        <w:t>blindsight</w:t>
      </w:r>
      <w:r>
        <w:rPr>
          <w:sz w:val="24"/>
          <w:szCs w:val="24"/>
        </w:rPr>
        <w:t>’</w:t>
      </w:r>
      <w:r w:rsidRPr="00A84A20">
        <w:rPr>
          <w:sz w:val="24"/>
          <w:szCs w:val="24"/>
        </w:rPr>
        <w:t xml:space="preserve">, or </w:t>
      </w:r>
      <w:r>
        <w:rPr>
          <w:sz w:val="24"/>
          <w:szCs w:val="24"/>
        </w:rPr>
        <w:t>‘</w:t>
      </w:r>
      <w:r w:rsidRPr="00A84A20">
        <w:rPr>
          <w:sz w:val="24"/>
          <w:szCs w:val="24"/>
        </w:rPr>
        <w:t>wilful amnesia</w:t>
      </w:r>
      <w:r>
        <w:rPr>
          <w:sz w:val="24"/>
          <w:szCs w:val="24"/>
        </w:rPr>
        <w:t>’</w:t>
      </w:r>
      <w:r w:rsidRPr="00A84A20">
        <w:rPr>
          <w:sz w:val="24"/>
          <w:szCs w:val="24"/>
        </w:rPr>
        <w:t xml:space="preserve">, according to Linda Colley, is also a product of ignorance and introversion. Catherine Hall and Daniel Pick, </w:t>
      </w:r>
      <w:r>
        <w:rPr>
          <w:sz w:val="24"/>
          <w:szCs w:val="24"/>
        </w:rPr>
        <w:t>‘</w:t>
      </w:r>
      <w:r w:rsidRPr="00A84A20">
        <w:rPr>
          <w:sz w:val="24"/>
          <w:szCs w:val="24"/>
        </w:rPr>
        <w:t>Thinking about Denial,</w:t>
      </w:r>
      <w:r>
        <w:rPr>
          <w:sz w:val="24"/>
          <w:szCs w:val="24"/>
        </w:rPr>
        <w:t>’</w:t>
      </w:r>
      <w:r w:rsidRPr="00A84A20">
        <w:rPr>
          <w:sz w:val="24"/>
          <w:szCs w:val="24"/>
        </w:rPr>
        <w:t xml:space="preserve"> </w:t>
      </w:r>
      <w:r w:rsidRPr="00A84A20">
        <w:rPr>
          <w:i/>
          <w:iCs/>
          <w:sz w:val="24"/>
          <w:szCs w:val="24"/>
        </w:rPr>
        <w:t>History Workshop Journal</w:t>
      </w:r>
      <w:r w:rsidRPr="00A84A20">
        <w:rPr>
          <w:sz w:val="24"/>
          <w:szCs w:val="24"/>
        </w:rPr>
        <w:t xml:space="preserve"> 84 (2017), 10, 11; Price, </w:t>
      </w:r>
      <w:r>
        <w:rPr>
          <w:sz w:val="24"/>
          <w:szCs w:val="24"/>
        </w:rPr>
        <w:t>‘</w:t>
      </w:r>
      <w:r w:rsidRPr="00A84A20">
        <w:rPr>
          <w:sz w:val="24"/>
          <w:szCs w:val="24"/>
        </w:rPr>
        <w:t>The Psychology of Colonial Violence</w:t>
      </w:r>
      <w:r>
        <w:rPr>
          <w:sz w:val="24"/>
          <w:szCs w:val="24"/>
        </w:rPr>
        <w:t xml:space="preserve">’ (52) </w:t>
      </w:r>
      <w:r w:rsidRPr="00A84A20">
        <w:rPr>
          <w:sz w:val="24"/>
          <w:szCs w:val="24"/>
        </w:rPr>
        <w:t>36; and</w:t>
      </w:r>
      <w:r w:rsidRPr="00A84A20">
        <w:rPr>
          <w:b/>
          <w:bCs/>
          <w:sz w:val="24"/>
          <w:szCs w:val="24"/>
        </w:rPr>
        <w:t xml:space="preserve"> </w:t>
      </w:r>
      <w:r w:rsidRPr="00A84A20">
        <w:rPr>
          <w:sz w:val="24"/>
          <w:szCs w:val="24"/>
        </w:rPr>
        <w:t xml:space="preserve">Linda </w:t>
      </w:r>
      <w:bookmarkStart w:id="14" w:name="_Hlk40796005"/>
      <w:r w:rsidRPr="00A84A20">
        <w:rPr>
          <w:sz w:val="24"/>
          <w:szCs w:val="24"/>
        </w:rPr>
        <w:t xml:space="preserve">Colley, </w:t>
      </w:r>
      <w:r>
        <w:rPr>
          <w:sz w:val="24"/>
          <w:szCs w:val="24"/>
        </w:rPr>
        <w:t>‘</w:t>
      </w:r>
      <w:r w:rsidRPr="00A84A20">
        <w:rPr>
          <w:sz w:val="24"/>
          <w:szCs w:val="24"/>
        </w:rPr>
        <w:t>Introduction</w:t>
      </w:r>
      <w:bookmarkEnd w:id="14"/>
      <w:r w:rsidRPr="00A84A20">
        <w:rPr>
          <w:sz w:val="24"/>
          <w:szCs w:val="24"/>
        </w:rPr>
        <w:t>: Some Difficulties of Empire: Past, Present and Future</w:t>
      </w:r>
      <w:r>
        <w:rPr>
          <w:sz w:val="24"/>
          <w:szCs w:val="24"/>
        </w:rPr>
        <w:t>’,</w:t>
      </w:r>
      <w:r w:rsidRPr="00A84A20">
        <w:rPr>
          <w:i/>
          <w:iCs/>
          <w:sz w:val="24"/>
          <w:szCs w:val="24"/>
        </w:rPr>
        <w:t xml:space="preserve"> Common Knowledge</w:t>
      </w:r>
      <w:r w:rsidRPr="00A84A20">
        <w:rPr>
          <w:sz w:val="24"/>
          <w:szCs w:val="24"/>
        </w:rPr>
        <w:t xml:space="preserve"> 11</w:t>
      </w:r>
      <w:r>
        <w:rPr>
          <w:sz w:val="24"/>
          <w:szCs w:val="24"/>
        </w:rPr>
        <w:t>/</w:t>
      </w:r>
      <w:r w:rsidRPr="00A84A20">
        <w:rPr>
          <w:sz w:val="24"/>
          <w:szCs w:val="24"/>
        </w:rPr>
        <w:t xml:space="preserve">2 (2005), 208. See also Ann Laura Stoler, </w:t>
      </w:r>
      <w:r w:rsidRPr="00A84A20">
        <w:rPr>
          <w:i/>
          <w:iCs/>
          <w:sz w:val="24"/>
          <w:szCs w:val="24"/>
        </w:rPr>
        <w:t xml:space="preserve">Along the Archival Grain: Epistemic Anxieties and Colonial Common Sense </w:t>
      </w:r>
      <w:r w:rsidRPr="00A84A20">
        <w:rPr>
          <w:sz w:val="24"/>
          <w:szCs w:val="24"/>
        </w:rPr>
        <w:t>(Princeton, N.J.: Princeton University Press 2009), 237</w:t>
      </w:r>
      <w:r>
        <w:rPr>
          <w:sz w:val="24"/>
          <w:szCs w:val="24"/>
        </w:rPr>
        <w:t>-</w:t>
      </w:r>
      <w:r w:rsidRPr="00A84A20">
        <w:rPr>
          <w:sz w:val="24"/>
          <w:szCs w:val="24"/>
        </w:rPr>
        <w:t>78</w:t>
      </w:r>
      <w:r>
        <w:rPr>
          <w:sz w:val="24"/>
          <w:szCs w:val="24"/>
        </w:rPr>
        <w:t xml:space="preserve"> (hereafter Stoler, </w:t>
      </w:r>
      <w:r>
        <w:rPr>
          <w:i/>
          <w:iCs/>
          <w:sz w:val="24"/>
          <w:szCs w:val="24"/>
        </w:rPr>
        <w:t>Along the Archival Grain</w:t>
      </w:r>
      <w:r>
        <w:rPr>
          <w:sz w:val="24"/>
          <w:szCs w:val="24"/>
        </w:rPr>
        <w:t>)</w:t>
      </w:r>
      <w:r w:rsidRPr="00A84A20">
        <w:rPr>
          <w:sz w:val="24"/>
          <w:szCs w:val="24"/>
        </w:rPr>
        <w:t>.</w:t>
      </w:r>
    </w:p>
  </w:footnote>
  <w:footnote w:id="79">
    <w:p w14:paraId="73AB1946"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Cohen, </w:t>
      </w:r>
      <w:r w:rsidRPr="00A84A20">
        <w:rPr>
          <w:i/>
          <w:iCs/>
          <w:sz w:val="24"/>
          <w:szCs w:val="24"/>
        </w:rPr>
        <w:t>States of Denial</w:t>
      </w:r>
      <w:r>
        <w:rPr>
          <w:i/>
          <w:iCs/>
          <w:sz w:val="24"/>
          <w:szCs w:val="24"/>
        </w:rPr>
        <w:t xml:space="preserve"> </w:t>
      </w:r>
      <w:r>
        <w:rPr>
          <w:sz w:val="24"/>
          <w:szCs w:val="24"/>
        </w:rPr>
        <w:t>(n 37)</w:t>
      </w:r>
      <w:r w:rsidRPr="00A84A20">
        <w:rPr>
          <w:sz w:val="24"/>
          <w:szCs w:val="24"/>
        </w:rPr>
        <w:t xml:space="preserve"> 10</w:t>
      </w:r>
      <w:r>
        <w:rPr>
          <w:sz w:val="24"/>
          <w:szCs w:val="24"/>
        </w:rPr>
        <w:t>-</w:t>
      </w:r>
      <w:r w:rsidRPr="00A84A20">
        <w:rPr>
          <w:sz w:val="24"/>
          <w:szCs w:val="24"/>
        </w:rPr>
        <w:t>11.</w:t>
      </w:r>
    </w:p>
  </w:footnote>
  <w:footnote w:id="80">
    <w:p w14:paraId="05F591A9"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John William Kaye, </w:t>
      </w:r>
      <w:r w:rsidRPr="00A84A20">
        <w:rPr>
          <w:i/>
          <w:sz w:val="24"/>
          <w:szCs w:val="24"/>
        </w:rPr>
        <w:t>A History of the Sepoy War in India, 1857</w:t>
      </w:r>
      <w:r>
        <w:rPr>
          <w:i/>
          <w:sz w:val="24"/>
          <w:szCs w:val="24"/>
        </w:rPr>
        <w:t>-</w:t>
      </w:r>
      <w:r w:rsidRPr="00A84A20">
        <w:rPr>
          <w:i/>
          <w:sz w:val="24"/>
          <w:szCs w:val="24"/>
        </w:rPr>
        <w:t xml:space="preserve">58, </w:t>
      </w:r>
      <w:r w:rsidRPr="00A84A20">
        <w:rPr>
          <w:sz w:val="24"/>
          <w:szCs w:val="24"/>
        </w:rPr>
        <w:t xml:space="preserve">Vol. 1 (London: W. H. Allen 1877), 170 and Vivian Dering Majendie, </w:t>
      </w:r>
      <w:r w:rsidRPr="00A84A20">
        <w:rPr>
          <w:i/>
          <w:sz w:val="24"/>
          <w:szCs w:val="24"/>
        </w:rPr>
        <w:t>Up Among the Pandies; Or, A Year’s Service in India</w:t>
      </w:r>
      <w:r w:rsidRPr="00A84A20">
        <w:rPr>
          <w:iCs/>
          <w:sz w:val="24"/>
          <w:szCs w:val="24"/>
        </w:rPr>
        <w:t xml:space="preserve"> (London: Routledge, Warne and Routledge</w:t>
      </w:r>
      <w:r>
        <w:rPr>
          <w:iCs/>
          <w:sz w:val="24"/>
          <w:szCs w:val="24"/>
        </w:rPr>
        <w:t xml:space="preserve"> </w:t>
      </w:r>
      <w:r w:rsidRPr="00A84A20">
        <w:rPr>
          <w:iCs/>
          <w:sz w:val="24"/>
          <w:szCs w:val="24"/>
        </w:rPr>
        <w:t>1859)</w:t>
      </w:r>
      <w:r w:rsidRPr="00A84A20">
        <w:rPr>
          <w:i/>
          <w:sz w:val="24"/>
          <w:szCs w:val="24"/>
        </w:rPr>
        <w:t xml:space="preserve">, </w:t>
      </w:r>
      <w:r w:rsidRPr="00A84A20">
        <w:rPr>
          <w:sz w:val="24"/>
          <w:szCs w:val="24"/>
        </w:rPr>
        <w:t>196</w:t>
      </w:r>
      <w:r>
        <w:rPr>
          <w:sz w:val="24"/>
          <w:szCs w:val="24"/>
        </w:rPr>
        <w:t>,</w:t>
      </w:r>
      <w:r w:rsidRPr="00A84A20">
        <w:rPr>
          <w:sz w:val="24"/>
          <w:szCs w:val="24"/>
        </w:rPr>
        <w:t xml:space="preserve"> cited in Herbert, </w:t>
      </w:r>
      <w:r w:rsidRPr="00A84A20">
        <w:rPr>
          <w:i/>
          <w:sz w:val="24"/>
          <w:szCs w:val="24"/>
        </w:rPr>
        <w:t>War of No Pity</w:t>
      </w:r>
      <w:r>
        <w:rPr>
          <w:i/>
          <w:sz w:val="24"/>
          <w:szCs w:val="24"/>
        </w:rPr>
        <w:t xml:space="preserve"> </w:t>
      </w:r>
      <w:r>
        <w:rPr>
          <w:iCs/>
          <w:sz w:val="24"/>
          <w:szCs w:val="24"/>
        </w:rPr>
        <w:t>(n 78)</w:t>
      </w:r>
      <w:r w:rsidRPr="00A84A20">
        <w:rPr>
          <w:i/>
          <w:sz w:val="24"/>
          <w:szCs w:val="24"/>
        </w:rPr>
        <w:t xml:space="preserve"> </w:t>
      </w:r>
      <w:r w:rsidRPr="00A84A20">
        <w:rPr>
          <w:sz w:val="24"/>
          <w:szCs w:val="24"/>
        </w:rPr>
        <w:t>9, 175.</w:t>
      </w:r>
    </w:p>
  </w:footnote>
  <w:footnote w:id="81">
    <w:p w14:paraId="38E1C45B"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Herbert, </w:t>
      </w:r>
      <w:r w:rsidRPr="00A84A20">
        <w:rPr>
          <w:i/>
          <w:iCs/>
          <w:sz w:val="24"/>
          <w:szCs w:val="24"/>
        </w:rPr>
        <w:t>War of No Pity</w:t>
      </w:r>
      <w:r>
        <w:rPr>
          <w:sz w:val="24"/>
          <w:szCs w:val="24"/>
        </w:rPr>
        <w:t xml:space="preserve"> (n 78)</w:t>
      </w:r>
      <w:r w:rsidRPr="00A84A20">
        <w:rPr>
          <w:sz w:val="24"/>
          <w:szCs w:val="24"/>
        </w:rPr>
        <w:t xml:space="preserve"> 55. </w:t>
      </w:r>
      <w:r w:rsidRPr="00A84A20">
        <w:rPr>
          <w:sz w:val="24"/>
          <w:szCs w:val="24"/>
          <w:shd w:val="clear" w:color="auto" w:fill="FFFFFF"/>
        </w:rPr>
        <w:t xml:space="preserve">See also Joanna de Groot, </w:t>
      </w:r>
      <w:r>
        <w:rPr>
          <w:sz w:val="24"/>
          <w:szCs w:val="24"/>
          <w:shd w:val="clear" w:color="auto" w:fill="FFFFFF"/>
        </w:rPr>
        <w:t>‘</w:t>
      </w:r>
      <w:r w:rsidRPr="00A84A20">
        <w:rPr>
          <w:sz w:val="24"/>
          <w:szCs w:val="24"/>
          <w:shd w:val="clear" w:color="auto" w:fill="FFFFFF"/>
        </w:rPr>
        <w:t>Depicting Conflict in India in 1857</w:t>
      </w:r>
      <w:r>
        <w:rPr>
          <w:sz w:val="24"/>
          <w:szCs w:val="24"/>
          <w:shd w:val="clear" w:color="auto" w:fill="FFFFFF"/>
        </w:rPr>
        <w:t>-</w:t>
      </w:r>
      <w:r w:rsidRPr="00A84A20">
        <w:rPr>
          <w:sz w:val="24"/>
          <w:szCs w:val="24"/>
          <w:shd w:val="clear" w:color="auto" w:fill="FFFFFF"/>
        </w:rPr>
        <w:t>8: The Instabilities of Gender, Violence, and Colonialism</w:t>
      </w:r>
      <w:r>
        <w:rPr>
          <w:sz w:val="24"/>
          <w:szCs w:val="24"/>
          <w:shd w:val="clear" w:color="auto" w:fill="FFFFFF"/>
        </w:rPr>
        <w:t>’</w:t>
      </w:r>
      <w:r w:rsidRPr="00A84A20">
        <w:rPr>
          <w:sz w:val="24"/>
          <w:szCs w:val="24"/>
          <w:shd w:val="clear" w:color="auto" w:fill="FFFFFF"/>
        </w:rPr>
        <w:t xml:space="preserve">, </w:t>
      </w:r>
      <w:r w:rsidRPr="00A84A20">
        <w:rPr>
          <w:i/>
          <w:sz w:val="24"/>
          <w:szCs w:val="24"/>
          <w:shd w:val="clear" w:color="auto" w:fill="FFFFFF"/>
        </w:rPr>
        <w:t>Cultural and Social History</w:t>
      </w:r>
      <w:r w:rsidRPr="00A84A20">
        <w:rPr>
          <w:sz w:val="24"/>
          <w:szCs w:val="24"/>
          <w:shd w:val="clear" w:color="auto" w:fill="FFFFFF"/>
        </w:rPr>
        <w:t xml:space="preserve"> 14</w:t>
      </w:r>
      <w:r>
        <w:rPr>
          <w:sz w:val="24"/>
          <w:szCs w:val="24"/>
          <w:shd w:val="clear" w:color="auto" w:fill="FFFFFF"/>
        </w:rPr>
        <w:t>/</w:t>
      </w:r>
      <w:r w:rsidRPr="00A84A20">
        <w:rPr>
          <w:sz w:val="24"/>
          <w:szCs w:val="24"/>
          <w:shd w:val="clear" w:color="auto" w:fill="FFFFFF"/>
        </w:rPr>
        <w:t>4 (2017)</w:t>
      </w:r>
      <w:r>
        <w:rPr>
          <w:sz w:val="24"/>
          <w:szCs w:val="24"/>
          <w:shd w:val="clear" w:color="auto" w:fill="FFFFFF"/>
        </w:rPr>
        <w:t>,</w:t>
      </w:r>
      <w:r w:rsidRPr="00A84A20">
        <w:rPr>
          <w:sz w:val="24"/>
          <w:szCs w:val="24"/>
          <w:shd w:val="clear" w:color="auto" w:fill="FFFFFF"/>
        </w:rPr>
        <w:t xml:space="preserve"> 472</w:t>
      </w:r>
      <w:r>
        <w:rPr>
          <w:sz w:val="24"/>
          <w:szCs w:val="24"/>
          <w:shd w:val="clear" w:color="auto" w:fill="FFFFFF"/>
        </w:rPr>
        <w:t>-</w:t>
      </w:r>
      <w:r w:rsidRPr="00A84A20">
        <w:rPr>
          <w:sz w:val="24"/>
          <w:szCs w:val="24"/>
          <w:shd w:val="clear" w:color="auto" w:fill="FFFFFF"/>
        </w:rPr>
        <w:t xml:space="preserve">73. </w:t>
      </w:r>
      <w:r w:rsidRPr="00A84A20">
        <w:rPr>
          <w:sz w:val="24"/>
          <w:szCs w:val="24"/>
        </w:rPr>
        <w:t xml:space="preserve">The revolt thus revealed the reality of what Albert Memmi calls the </w:t>
      </w:r>
      <w:r>
        <w:rPr>
          <w:sz w:val="24"/>
          <w:szCs w:val="24"/>
        </w:rPr>
        <w:t>‘</w:t>
      </w:r>
      <w:r w:rsidRPr="00A84A20">
        <w:rPr>
          <w:sz w:val="24"/>
          <w:szCs w:val="24"/>
        </w:rPr>
        <w:t>Nero</w:t>
      </w:r>
      <w:r>
        <w:rPr>
          <w:sz w:val="24"/>
          <w:szCs w:val="24"/>
        </w:rPr>
        <w:t>’</w:t>
      </w:r>
      <w:r w:rsidRPr="00A84A20">
        <w:rPr>
          <w:sz w:val="24"/>
          <w:szCs w:val="24"/>
        </w:rPr>
        <w:t xml:space="preserve"> complex, according to which the coloni</w:t>
      </w:r>
      <w:r>
        <w:rPr>
          <w:sz w:val="24"/>
          <w:szCs w:val="24"/>
        </w:rPr>
        <w:t>z</w:t>
      </w:r>
      <w:r w:rsidRPr="00A84A20">
        <w:rPr>
          <w:sz w:val="24"/>
          <w:szCs w:val="24"/>
        </w:rPr>
        <w:t>ers, unable to deal with the realization that they are oppressors instead of the benign civili</w:t>
      </w:r>
      <w:r>
        <w:rPr>
          <w:sz w:val="24"/>
          <w:szCs w:val="24"/>
        </w:rPr>
        <w:t>z</w:t>
      </w:r>
      <w:r w:rsidRPr="00A84A20">
        <w:rPr>
          <w:sz w:val="24"/>
          <w:szCs w:val="24"/>
        </w:rPr>
        <w:t>ers they believe themselves to be, respond with growing contempt for their victims, which is manifested through an irrational desire to exterminate the subject population and an increasingly authoritarian and repressive system of rule. For Zahid Chaudhary it is the alienation of the coloni</w:t>
      </w:r>
      <w:r>
        <w:rPr>
          <w:sz w:val="24"/>
          <w:szCs w:val="24"/>
        </w:rPr>
        <w:t>z</w:t>
      </w:r>
      <w:r w:rsidRPr="00A84A20">
        <w:rPr>
          <w:sz w:val="24"/>
          <w:szCs w:val="24"/>
        </w:rPr>
        <w:t xml:space="preserve">ers induced by such a process, to both their own pain and that of the other, that makes such violence possible. Albert Memmi, </w:t>
      </w:r>
      <w:r w:rsidRPr="00A84A20">
        <w:rPr>
          <w:i/>
          <w:sz w:val="24"/>
          <w:szCs w:val="24"/>
        </w:rPr>
        <w:t xml:space="preserve">The Colonizer and the Colonized </w:t>
      </w:r>
      <w:r w:rsidRPr="00A84A20">
        <w:rPr>
          <w:sz w:val="24"/>
          <w:szCs w:val="24"/>
        </w:rPr>
        <w:t>(</w:t>
      </w:r>
      <w:r>
        <w:rPr>
          <w:w w:val="110"/>
          <w:position w:val="-2"/>
          <w:sz w:val="24"/>
          <w:szCs w:val="24"/>
        </w:rPr>
        <w:t xml:space="preserve">first published in 1957, </w:t>
      </w:r>
      <w:r w:rsidRPr="00A84A20">
        <w:rPr>
          <w:sz w:val="24"/>
          <w:szCs w:val="24"/>
        </w:rPr>
        <w:t xml:space="preserve">Boston: Beacon Press 1965); Herbert, </w:t>
      </w:r>
      <w:r w:rsidRPr="00A84A20">
        <w:rPr>
          <w:i/>
          <w:sz w:val="24"/>
          <w:szCs w:val="24"/>
        </w:rPr>
        <w:t>War of No Pity</w:t>
      </w:r>
      <w:r>
        <w:rPr>
          <w:i/>
          <w:sz w:val="24"/>
          <w:szCs w:val="24"/>
        </w:rPr>
        <w:t xml:space="preserve"> </w:t>
      </w:r>
      <w:r>
        <w:rPr>
          <w:iCs/>
          <w:sz w:val="24"/>
          <w:szCs w:val="24"/>
        </w:rPr>
        <w:t>(n 78)</w:t>
      </w:r>
      <w:r w:rsidRPr="00A84A20">
        <w:rPr>
          <w:i/>
          <w:sz w:val="24"/>
          <w:szCs w:val="24"/>
        </w:rPr>
        <w:t xml:space="preserve"> </w:t>
      </w:r>
      <w:r w:rsidRPr="00A84A20">
        <w:rPr>
          <w:sz w:val="24"/>
          <w:szCs w:val="24"/>
        </w:rPr>
        <w:t xml:space="preserve">74, 80; and Zahid Chaudhary, </w:t>
      </w:r>
      <w:r>
        <w:rPr>
          <w:sz w:val="24"/>
          <w:szCs w:val="24"/>
        </w:rPr>
        <w:t>‘</w:t>
      </w:r>
      <w:r w:rsidRPr="00A84A20">
        <w:rPr>
          <w:sz w:val="24"/>
          <w:szCs w:val="24"/>
        </w:rPr>
        <w:t>Phantasmagoric Aesthetics: Colonial Violence and the Management of Perception</w:t>
      </w:r>
      <w:r>
        <w:rPr>
          <w:sz w:val="24"/>
          <w:szCs w:val="24"/>
        </w:rPr>
        <w:t>’</w:t>
      </w:r>
      <w:r w:rsidRPr="00A84A20">
        <w:rPr>
          <w:sz w:val="24"/>
          <w:szCs w:val="24"/>
        </w:rPr>
        <w:t xml:space="preserve">, </w:t>
      </w:r>
      <w:r w:rsidRPr="00A84A20">
        <w:rPr>
          <w:i/>
          <w:sz w:val="24"/>
          <w:szCs w:val="24"/>
        </w:rPr>
        <w:t>Cultural Critique</w:t>
      </w:r>
      <w:r w:rsidRPr="00A84A20">
        <w:rPr>
          <w:sz w:val="24"/>
          <w:szCs w:val="24"/>
        </w:rPr>
        <w:t xml:space="preserve"> 59 (2005), 107</w:t>
      </w:r>
      <w:r>
        <w:rPr>
          <w:sz w:val="24"/>
          <w:szCs w:val="24"/>
        </w:rPr>
        <w:t xml:space="preserve"> (hereafter Chaudhary, ‘Phantasmagoric Aesthetics’)</w:t>
      </w:r>
      <w:r w:rsidRPr="00A84A20">
        <w:rPr>
          <w:sz w:val="24"/>
          <w:szCs w:val="24"/>
        </w:rPr>
        <w:t>.</w:t>
      </w:r>
    </w:p>
  </w:footnote>
  <w:footnote w:id="82">
    <w:p w14:paraId="4836A73B"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Michael Rothberg, </w:t>
      </w:r>
      <w:r w:rsidRPr="00A84A20">
        <w:rPr>
          <w:i/>
          <w:iCs/>
          <w:sz w:val="24"/>
          <w:szCs w:val="24"/>
        </w:rPr>
        <w:t xml:space="preserve">The Implicated Subject: Beyond Victims and Perpetrators </w:t>
      </w:r>
      <w:r w:rsidRPr="00A84A20">
        <w:rPr>
          <w:sz w:val="24"/>
          <w:szCs w:val="24"/>
        </w:rPr>
        <w:t xml:space="preserve">(Stanford: Stanford University Press 2019), 1. Not all members of a society are, of course, implicated in the same ways, or to the same degrees. For Rothberg </w:t>
      </w:r>
      <w:r>
        <w:rPr>
          <w:sz w:val="24"/>
          <w:szCs w:val="24"/>
        </w:rPr>
        <w:t>‘</w:t>
      </w:r>
      <w:r w:rsidRPr="00A84A20">
        <w:rPr>
          <w:sz w:val="24"/>
          <w:szCs w:val="24"/>
        </w:rPr>
        <w:t>[t]he point of introducing the ‘implicated subject’ is to draw attention to ambiguous spaces that do not fit neatly into our scripts for explaining violence and injustice</w:t>
      </w:r>
      <w:r>
        <w:rPr>
          <w:sz w:val="24"/>
          <w:szCs w:val="24"/>
        </w:rPr>
        <w:t>’</w:t>
      </w:r>
      <w:r w:rsidRPr="00A84A20">
        <w:rPr>
          <w:sz w:val="24"/>
          <w:szCs w:val="24"/>
        </w:rPr>
        <w:t xml:space="preserve">; it is thus </w:t>
      </w:r>
      <w:r>
        <w:rPr>
          <w:sz w:val="24"/>
          <w:szCs w:val="24"/>
        </w:rPr>
        <w:t>‘</w:t>
      </w:r>
      <w:r w:rsidRPr="00A84A20">
        <w:rPr>
          <w:sz w:val="24"/>
          <w:szCs w:val="24"/>
        </w:rPr>
        <w:t xml:space="preserve">an umbrella term that gathers a range of subject positions . . . </w:t>
      </w:r>
      <w:r>
        <w:rPr>
          <w:sz w:val="24"/>
          <w:szCs w:val="24"/>
        </w:rPr>
        <w:t>‘</w:t>
      </w:r>
      <w:r w:rsidRPr="00A84A20">
        <w:rPr>
          <w:sz w:val="24"/>
          <w:szCs w:val="24"/>
        </w:rPr>
        <w:t xml:space="preserve"> (f7, 13). </w:t>
      </w:r>
    </w:p>
  </w:footnote>
  <w:footnote w:id="83">
    <w:p w14:paraId="73BA69E8"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w:t>
      </w:r>
      <w:r w:rsidRPr="00A84A20">
        <w:rPr>
          <w:bCs/>
          <w:sz w:val="24"/>
          <w:szCs w:val="24"/>
        </w:rPr>
        <w:t xml:space="preserve">Angela Woollacott, </w:t>
      </w:r>
      <w:r>
        <w:rPr>
          <w:bCs/>
          <w:sz w:val="24"/>
          <w:szCs w:val="24"/>
        </w:rPr>
        <w:t>‘</w:t>
      </w:r>
      <w:r w:rsidRPr="00A84A20">
        <w:rPr>
          <w:bCs/>
          <w:sz w:val="24"/>
          <w:szCs w:val="24"/>
        </w:rPr>
        <w:t>Making Empire Visible or Making Colonialism Visible? The Struggle for the British Imperial Past</w:t>
      </w:r>
      <w:r>
        <w:rPr>
          <w:bCs/>
          <w:sz w:val="24"/>
          <w:szCs w:val="24"/>
        </w:rPr>
        <w:t>’</w:t>
      </w:r>
      <w:r w:rsidRPr="00A84A20">
        <w:rPr>
          <w:bCs/>
          <w:sz w:val="24"/>
          <w:szCs w:val="24"/>
        </w:rPr>
        <w:t xml:space="preserve">, </w:t>
      </w:r>
      <w:r w:rsidRPr="00A84A20">
        <w:rPr>
          <w:bCs/>
          <w:i/>
          <w:sz w:val="24"/>
          <w:szCs w:val="24"/>
        </w:rPr>
        <w:t xml:space="preserve">British Scholar </w:t>
      </w:r>
      <w:r w:rsidRPr="00A84A20">
        <w:rPr>
          <w:bCs/>
          <w:sz w:val="24"/>
          <w:szCs w:val="24"/>
        </w:rPr>
        <w:t>1</w:t>
      </w:r>
      <w:r>
        <w:rPr>
          <w:bCs/>
          <w:sz w:val="24"/>
          <w:szCs w:val="24"/>
        </w:rPr>
        <w:t>/</w:t>
      </w:r>
      <w:r w:rsidRPr="00A84A20">
        <w:rPr>
          <w:bCs/>
          <w:sz w:val="24"/>
          <w:szCs w:val="24"/>
        </w:rPr>
        <w:t>2 (2009), 163.</w:t>
      </w:r>
      <w:r w:rsidRPr="00A84A20">
        <w:rPr>
          <w:sz w:val="24"/>
          <w:szCs w:val="24"/>
        </w:rPr>
        <w:t xml:space="preserve"> Ann Laura Stoler makes a similar argument regarding the </w:t>
      </w:r>
      <w:r>
        <w:rPr>
          <w:sz w:val="24"/>
          <w:szCs w:val="24"/>
        </w:rPr>
        <w:t>‘</w:t>
      </w:r>
      <w:r w:rsidRPr="00A84A20">
        <w:rPr>
          <w:sz w:val="24"/>
          <w:szCs w:val="24"/>
        </w:rPr>
        <w:t>discovery</w:t>
      </w:r>
      <w:r>
        <w:rPr>
          <w:sz w:val="24"/>
          <w:szCs w:val="24"/>
        </w:rPr>
        <w:t>’</w:t>
      </w:r>
      <w:r w:rsidRPr="00A84A20">
        <w:rPr>
          <w:sz w:val="24"/>
          <w:szCs w:val="24"/>
        </w:rPr>
        <w:t xml:space="preserve"> of colonial violence in France. Forgetting, Stoler notes, </w:t>
      </w:r>
      <w:r>
        <w:rPr>
          <w:sz w:val="24"/>
          <w:szCs w:val="24"/>
        </w:rPr>
        <w:t>‘</w:t>
      </w:r>
      <w:r w:rsidRPr="00A84A20">
        <w:rPr>
          <w:sz w:val="24"/>
          <w:szCs w:val="24"/>
        </w:rPr>
        <w:t>is an achieved state</w:t>
      </w:r>
      <w:r>
        <w:rPr>
          <w:sz w:val="24"/>
          <w:szCs w:val="24"/>
        </w:rPr>
        <w:t>’</w:t>
      </w:r>
      <w:r w:rsidRPr="00A84A20">
        <w:rPr>
          <w:sz w:val="24"/>
          <w:szCs w:val="24"/>
        </w:rPr>
        <w:t xml:space="preserve">. Part of the challenge in articulating the violence of empire, I would argue, is what Pierre Bourdieu and Loïc Wacquant refer to as </w:t>
      </w:r>
      <w:r>
        <w:rPr>
          <w:sz w:val="24"/>
          <w:szCs w:val="24"/>
        </w:rPr>
        <w:t>‘</w:t>
      </w:r>
      <w:r w:rsidRPr="00A84A20">
        <w:rPr>
          <w:sz w:val="24"/>
          <w:szCs w:val="24"/>
        </w:rPr>
        <w:t>misrecognition</w:t>
      </w:r>
      <w:r>
        <w:rPr>
          <w:sz w:val="24"/>
          <w:szCs w:val="24"/>
        </w:rPr>
        <w:t>’</w:t>
      </w:r>
      <w:r w:rsidRPr="00A84A20">
        <w:rPr>
          <w:sz w:val="24"/>
          <w:szCs w:val="24"/>
        </w:rPr>
        <w:t xml:space="preserve">, namely </w:t>
      </w:r>
      <w:r>
        <w:rPr>
          <w:sz w:val="24"/>
          <w:szCs w:val="24"/>
        </w:rPr>
        <w:t>‘</w:t>
      </w:r>
      <w:r w:rsidRPr="00A84A20">
        <w:rPr>
          <w:sz w:val="24"/>
          <w:szCs w:val="24"/>
        </w:rPr>
        <w:t>the fact of recognizing a violence which is wielded precisely inasmuch as one does not perceive it as such</w:t>
      </w:r>
      <w:r>
        <w:rPr>
          <w:sz w:val="24"/>
          <w:szCs w:val="24"/>
        </w:rPr>
        <w:t>’</w:t>
      </w:r>
      <w:r w:rsidRPr="00A84A20">
        <w:rPr>
          <w:sz w:val="24"/>
          <w:szCs w:val="24"/>
        </w:rPr>
        <w:t xml:space="preserve">. Stoler, </w:t>
      </w:r>
      <w:r>
        <w:rPr>
          <w:sz w:val="24"/>
          <w:szCs w:val="24"/>
        </w:rPr>
        <w:t>‘</w:t>
      </w:r>
      <w:r w:rsidRPr="00A84A20">
        <w:rPr>
          <w:sz w:val="24"/>
          <w:szCs w:val="24"/>
        </w:rPr>
        <w:t>Colonial Aphasia</w:t>
      </w:r>
      <w:r>
        <w:rPr>
          <w:sz w:val="24"/>
          <w:szCs w:val="24"/>
        </w:rPr>
        <w:t>’ (n 64)</w:t>
      </w:r>
      <w:r w:rsidRPr="00A84A20">
        <w:rPr>
          <w:sz w:val="24"/>
          <w:szCs w:val="24"/>
        </w:rPr>
        <w:t xml:space="preserve"> 123, 141; and Pierre </w:t>
      </w:r>
      <w:bookmarkStart w:id="15" w:name="_Hlk41044408"/>
      <w:r w:rsidRPr="00A84A20">
        <w:rPr>
          <w:sz w:val="24"/>
          <w:szCs w:val="24"/>
        </w:rPr>
        <w:t xml:space="preserve">Bourdieu and Loïc Wacquant, </w:t>
      </w:r>
      <w:r>
        <w:rPr>
          <w:sz w:val="24"/>
          <w:szCs w:val="24"/>
        </w:rPr>
        <w:t>‘</w:t>
      </w:r>
      <w:r w:rsidRPr="00A84A20">
        <w:rPr>
          <w:sz w:val="24"/>
          <w:szCs w:val="24"/>
        </w:rPr>
        <w:t>Symbolic Violence</w:t>
      </w:r>
      <w:r>
        <w:rPr>
          <w:sz w:val="24"/>
          <w:szCs w:val="24"/>
        </w:rPr>
        <w:t>’</w:t>
      </w:r>
      <w:r w:rsidRPr="00A84A20">
        <w:rPr>
          <w:sz w:val="24"/>
          <w:szCs w:val="24"/>
        </w:rPr>
        <w:t xml:space="preserve">, </w:t>
      </w:r>
      <w:bookmarkEnd w:id="15"/>
      <w:r w:rsidRPr="00A84A20">
        <w:rPr>
          <w:sz w:val="24"/>
          <w:szCs w:val="24"/>
        </w:rPr>
        <w:t xml:space="preserve">in </w:t>
      </w:r>
      <w:r>
        <w:rPr>
          <w:sz w:val="24"/>
          <w:szCs w:val="24"/>
        </w:rPr>
        <w:t xml:space="preserve">Nancy </w:t>
      </w:r>
      <w:r w:rsidRPr="00A84A20">
        <w:rPr>
          <w:sz w:val="24"/>
          <w:szCs w:val="24"/>
        </w:rPr>
        <w:t>Schepe</w:t>
      </w:r>
      <w:r>
        <w:rPr>
          <w:sz w:val="24"/>
          <w:szCs w:val="24"/>
        </w:rPr>
        <w:t>r-</w:t>
      </w:r>
      <w:r w:rsidRPr="00A84A20">
        <w:rPr>
          <w:sz w:val="24"/>
          <w:szCs w:val="24"/>
        </w:rPr>
        <w:t xml:space="preserve">Hughes and </w:t>
      </w:r>
      <w:r>
        <w:rPr>
          <w:sz w:val="24"/>
          <w:szCs w:val="24"/>
        </w:rPr>
        <w:t xml:space="preserve">Philippe </w:t>
      </w:r>
      <w:r w:rsidRPr="00A84A20">
        <w:rPr>
          <w:sz w:val="24"/>
          <w:szCs w:val="24"/>
        </w:rPr>
        <w:t>Bourgois</w:t>
      </w:r>
      <w:r>
        <w:rPr>
          <w:sz w:val="24"/>
          <w:szCs w:val="24"/>
        </w:rPr>
        <w:t xml:space="preserve"> (eds)</w:t>
      </w:r>
      <w:r w:rsidRPr="00A84A20">
        <w:rPr>
          <w:sz w:val="24"/>
          <w:szCs w:val="24"/>
        </w:rPr>
        <w:t xml:space="preserve">, </w:t>
      </w:r>
      <w:r w:rsidRPr="00A84A20">
        <w:rPr>
          <w:i/>
          <w:iCs/>
          <w:sz w:val="24"/>
          <w:szCs w:val="24"/>
        </w:rPr>
        <w:t>Violence in War and Peace: An Anthology</w:t>
      </w:r>
      <w:r>
        <w:rPr>
          <w:i/>
          <w:iCs/>
          <w:sz w:val="24"/>
          <w:szCs w:val="24"/>
        </w:rPr>
        <w:t xml:space="preserve"> </w:t>
      </w:r>
      <w:r w:rsidRPr="00A84A20">
        <w:rPr>
          <w:sz w:val="24"/>
          <w:szCs w:val="24"/>
        </w:rPr>
        <w:t>(Malden, MA: Blackwell, 2006), 272</w:t>
      </w:r>
      <w:r>
        <w:rPr>
          <w:sz w:val="24"/>
          <w:szCs w:val="24"/>
        </w:rPr>
        <w:t xml:space="preserve"> (hereafter Bourdieu and Wacquant, ‘Symbolic Violence’)</w:t>
      </w:r>
      <w:r w:rsidRPr="00A84A20">
        <w:rPr>
          <w:sz w:val="24"/>
          <w:szCs w:val="24"/>
        </w:rPr>
        <w:t>.</w:t>
      </w:r>
    </w:p>
  </w:footnote>
  <w:footnote w:id="84">
    <w:p w14:paraId="517DE390"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Stoler, </w:t>
      </w:r>
      <w:r>
        <w:rPr>
          <w:sz w:val="24"/>
          <w:szCs w:val="24"/>
        </w:rPr>
        <w:t>‘</w:t>
      </w:r>
      <w:r w:rsidRPr="00A84A20">
        <w:rPr>
          <w:sz w:val="24"/>
          <w:szCs w:val="24"/>
        </w:rPr>
        <w:t>Coloni</w:t>
      </w:r>
      <w:r>
        <w:rPr>
          <w:sz w:val="24"/>
          <w:szCs w:val="24"/>
        </w:rPr>
        <w:t>a</w:t>
      </w:r>
      <w:r w:rsidRPr="00A84A20">
        <w:rPr>
          <w:sz w:val="24"/>
          <w:szCs w:val="24"/>
        </w:rPr>
        <w:t>l Aphasia</w:t>
      </w:r>
      <w:r>
        <w:rPr>
          <w:sz w:val="24"/>
          <w:szCs w:val="24"/>
        </w:rPr>
        <w:t>’</w:t>
      </w:r>
      <w:r w:rsidRPr="00A84A20">
        <w:rPr>
          <w:sz w:val="24"/>
          <w:szCs w:val="24"/>
        </w:rPr>
        <w:t>, 125.</w:t>
      </w:r>
    </w:p>
  </w:footnote>
  <w:footnote w:id="85">
    <w:p w14:paraId="658FF5EF"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Ibid, 144. See also Robert Aldrich, </w:t>
      </w:r>
      <w:r>
        <w:rPr>
          <w:sz w:val="24"/>
          <w:szCs w:val="24"/>
        </w:rPr>
        <w:t>‘</w:t>
      </w:r>
      <w:r w:rsidRPr="00A84A20">
        <w:rPr>
          <w:sz w:val="24"/>
          <w:szCs w:val="24"/>
        </w:rPr>
        <w:t>Colonial Past, Post</w:t>
      </w:r>
      <w:r>
        <w:rPr>
          <w:sz w:val="24"/>
          <w:szCs w:val="24"/>
        </w:rPr>
        <w:t>-</w:t>
      </w:r>
      <w:r w:rsidRPr="00A84A20">
        <w:rPr>
          <w:sz w:val="24"/>
          <w:szCs w:val="24"/>
        </w:rPr>
        <w:t>colonial Present: History Wars French</w:t>
      </w:r>
      <w:r>
        <w:rPr>
          <w:sz w:val="24"/>
          <w:szCs w:val="24"/>
        </w:rPr>
        <w:t>-</w:t>
      </w:r>
      <w:r w:rsidRPr="00A84A20">
        <w:rPr>
          <w:sz w:val="24"/>
          <w:szCs w:val="24"/>
        </w:rPr>
        <w:t>style</w:t>
      </w:r>
      <w:r>
        <w:rPr>
          <w:sz w:val="24"/>
          <w:szCs w:val="24"/>
        </w:rPr>
        <w:t>’</w:t>
      </w:r>
      <w:r w:rsidRPr="00A84A20">
        <w:rPr>
          <w:sz w:val="24"/>
          <w:szCs w:val="24"/>
        </w:rPr>
        <w:t xml:space="preserve">, </w:t>
      </w:r>
      <w:r w:rsidRPr="00A84A20">
        <w:rPr>
          <w:i/>
          <w:iCs/>
          <w:sz w:val="24"/>
          <w:szCs w:val="24"/>
        </w:rPr>
        <w:t>History Australia</w:t>
      </w:r>
      <w:r w:rsidRPr="00A84A20">
        <w:rPr>
          <w:sz w:val="24"/>
          <w:szCs w:val="24"/>
        </w:rPr>
        <w:t xml:space="preserve"> 3 (2006), 14.1</w:t>
      </w:r>
      <w:r>
        <w:rPr>
          <w:sz w:val="24"/>
          <w:szCs w:val="24"/>
        </w:rPr>
        <w:t>-</w:t>
      </w:r>
      <w:r w:rsidRPr="00A84A20">
        <w:rPr>
          <w:sz w:val="24"/>
          <w:szCs w:val="24"/>
        </w:rPr>
        <w:t>14.10.</w:t>
      </w:r>
    </w:p>
  </w:footnote>
  <w:footnote w:id="86">
    <w:p w14:paraId="5EDABDDF"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Howe, </w:t>
      </w:r>
      <w:r>
        <w:rPr>
          <w:sz w:val="24"/>
          <w:szCs w:val="24"/>
        </w:rPr>
        <w:t>‘</w:t>
      </w:r>
      <w:r w:rsidRPr="00A84A20">
        <w:rPr>
          <w:sz w:val="24"/>
          <w:szCs w:val="24"/>
        </w:rPr>
        <w:t>Colonising and Exterminating?</w:t>
      </w:r>
      <w:r>
        <w:rPr>
          <w:sz w:val="24"/>
          <w:szCs w:val="24"/>
        </w:rPr>
        <w:t xml:space="preserve"> (n 69)’</w:t>
      </w:r>
      <w:r w:rsidRPr="00A84A20">
        <w:rPr>
          <w:sz w:val="24"/>
          <w:szCs w:val="24"/>
        </w:rPr>
        <w:t xml:space="preserve">; and Huw Bennet, </w:t>
      </w:r>
      <w:r>
        <w:rPr>
          <w:sz w:val="24"/>
          <w:szCs w:val="24"/>
        </w:rPr>
        <w:t>‘</w:t>
      </w:r>
      <w:r w:rsidRPr="00A84A20">
        <w:rPr>
          <w:sz w:val="24"/>
          <w:szCs w:val="24"/>
        </w:rPr>
        <w:t>Soldiers in the Court Room: The British Army’s Part in the Kenya Emergency under the Legal Spotlight</w:t>
      </w:r>
      <w:r>
        <w:rPr>
          <w:sz w:val="24"/>
          <w:szCs w:val="24"/>
        </w:rPr>
        <w:t>’</w:t>
      </w:r>
      <w:r w:rsidRPr="00A84A20">
        <w:rPr>
          <w:sz w:val="24"/>
          <w:szCs w:val="24"/>
        </w:rPr>
        <w:t xml:space="preserve">, </w:t>
      </w:r>
      <w:r w:rsidRPr="00A84A20">
        <w:rPr>
          <w:i/>
          <w:iCs/>
          <w:sz w:val="24"/>
          <w:szCs w:val="24"/>
        </w:rPr>
        <w:t>The Journal of Imperial and Commonwealth History</w:t>
      </w:r>
      <w:r w:rsidRPr="00A84A20">
        <w:rPr>
          <w:sz w:val="24"/>
          <w:szCs w:val="24"/>
        </w:rPr>
        <w:t xml:space="preserve"> 39</w:t>
      </w:r>
      <w:r>
        <w:rPr>
          <w:sz w:val="24"/>
          <w:szCs w:val="24"/>
        </w:rPr>
        <w:t>/</w:t>
      </w:r>
      <w:r w:rsidRPr="00A84A20">
        <w:rPr>
          <w:sz w:val="24"/>
          <w:szCs w:val="24"/>
        </w:rPr>
        <w:t>5 (2011), 727. As to whether we can refer to a post</w:t>
      </w:r>
      <w:r>
        <w:rPr>
          <w:sz w:val="24"/>
          <w:szCs w:val="24"/>
        </w:rPr>
        <w:t>-</w:t>
      </w:r>
      <w:r w:rsidRPr="00A84A20">
        <w:rPr>
          <w:sz w:val="24"/>
          <w:szCs w:val="24"/>
        </w:rPr>
        <w:t xml:space="preserve">imperial present see Hardt and Negri, </w:t>
      </w:r>
      <w:r w:rsidRPr="00A84A20">
        <w:rPr>
          <w:i/>
          <w:iCs/>
          <w:sz w:val="24"/>
          <w:szCs w:val="24"/>
        </w:rPr>
        <w:t>Empire</w:t>
      </w:r>
      <w:r>
        <w:rPr>
          <w:i/>
          <w:iCs/>
          <w:sz w:val="24"/>
          <w:szCs w:val="24"/>
        </w:rPr>
        <w:t xml:space="preserve"> </w:t>
      </w:r>
      <w:r>
        <w:rPr>
          <w:sz w:val="24"/>
          <w:szCs w:val="24"/>
        </w:rPr>
        <w:t>(n 38)</w:t>
      </w:r>
      <w:r w:rsidRPr="00A84A20">
        <w:rPr>
          <w:i/>
          <w:iCs/>
          <w:sz w:val="24"/>
          <w:szCs w:val="24"/>
        </w:rPr>
        <w:t xml:space="preserve">. </w:t>
      </w:r>
    </w:p>
  </w:footnote>
  <w:footnote w:id="87">
    <w:p w14:paraId="08B2EB02"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Mbembe, </w:t>
      </w:r>
      <w:r>
        <w:rPr>
          <w:sz w:val="24"/>
          <w:szCs w:val="24"/>
        </w:rPr>
        <w:t>‘</w:t>
      </w:r>
      <w:r w:rsidRPr="00A84A20">
        <w:rPr>
          <w:sz w:val="24"/>
          <w:szCs w:val="24"/>
        </w:rPr>
        <w:t>Necropolitics</w:t>
      </w:r>
      <w:r>
        <w:rPr>
          <w:sz w:val="24"/>
          <w:szCs w:val="24"/>
        </w:rPr>
        <w:t>’ (n 58)</w:t>
      </w:r>
      <w:r w:rsidRPr="00A84A20">
        <w:rPr>
          <w:sz w:val="24"/>
          <w:szCs w:val="24"/>
        </w:rPr>
        <w:t xml:space="preserve">; Gavin Rand, </w:t>
      </w:r>
      <w:r>
        <w:rPr>
          <w:sz w:val="24"/>
          <w:szCs w:val="24"/>
        </w:rPr>
        <w:t>‘”</w:t>
      </w:r>
      <w:r w:rsidRPr="00A84A20">
        <w:rPr>
          <w:sz w:val="24"/>
          <w:szCs w:val="24"/>
        </w:rPr>
        <w:t>Martial Races</w:t>
      </w:r>
      <w:r>
        <w:rPr>
          <w:sz w:val="24"/>
          <w:szCs w:val="24"/>
        </w:rPr>
        <w:t xml:space="preserve">” </w:t>
      </w:r>
      <w:r w:rsidRPr="00A84A20">
        <w:rPr>
          <w:sz w:val="24"/>
          <w:szCs w:val="24"/>
        </w:rPr>
        <w:t xml:space="preserve">and </w:t>
      </w:r>
      <w:r>
        <w:rPr>
          <w:sz w:val="24"/>
          <w:szCs w:val="24"/>
        </w:rPr>
        <w:t>“</w:t>
      </w:r>
      <w:r w:rsidRPr="00A84A20">
        <w:rPr>
          <w:sz w:val="24"/>
          <w:szCs w:val="24"/>
        </w:rPr>
        <w:t>Imperial Subjects</w:t>
      </w:r>
      <w:r>
        <w:rPr>
          <w:sz w:val="24"/>
          <w:szCs w:val="24"/>
        </w:rPr>
        <w:t>”</w:t>
      </w:r>
      <w:r w:rsidRPr="00A84A20">
        <w:rPr>
          <w:sz w:val="24"/>
          <w:szCs w:val="24"/>
        </w:rPr>
        <w:t>: Violence and Governance in Colonial India, 1857</w:t>
      </w:r>
      <w:r>
        <w:rPr>
          <w:sz w:val="24"/>
          <w:szCs w:val="24"/>
        </w:rPr>
        <w:t>-</w:t>
      </w:r>
      <w:r w:rsidRPr="00A84A20">
        <w:rPr>
          <w:sz w:val="24"/>
          <w:szCs w:val="24"/>
        </w:rPr>
        <w:t>1914</w:t>
      </w:r>
      <w:r>
        <w:rPr>
          <w:sz w:val="24"/>
          <w:szCs w:val="24"/>
        </w:rPr>
        <w:t>’</w:t>
      </w:r>
      <w:r w:rsidRPr="00A84A20">
        <w:rPr>
          <w:sz w:val="24"/>
          <w:szCs w:val="24"/>
        </w:rPr>
        <w:t>,</w:t>
      </w:r>
      <w:r w:rsidRPr="00A84A20">
        <w:rPr>
          <w:b/>
          <w:sz w:val="24"/>
          <w:szCs w:val="24"/>
        </w:rPr>
        <w:t xml:space="preserve"> </w:t>
      </w:r>
      <w:r w:rsidRPr="00A84A20">
        <w:rPr>
          <w:i/>
          <w:sz w:val="24"/>
          <w:szCs w:val="24"/>
        </w:rPr>
        <w:t>European Review of History</w:t>
      </w:r>
      <w:r w:rsidRPr="00A84A20">
        <w:rPr>
          <w:sz w:val="24"/>
          <w:szCs w:val="24"/>
        </w:rPr>
        <w:t xml:space="preserve"> 13</w:t>
      </w:r>
      <w:r>
        <w:rPr>
          <w:sz w:val="24"/>
          <w:szCs w:val="24"/>
        </w:rPr>
        <w:t>/</w:t>
      </w:r>
      <w:r w:rsidRPr="00A84A20">
        <w:rPr>
          <w:sz w:val="24"/>
          <w:szCs w:val="24"/>
        </w:rPr>
        <w:t>1 (2006)</w:t>
      </w:r>
      <w:r>
        <w:rPr>
          <w:sz w:val="24"/>
          <w:szCs w:val="24"/>
        </w:rPr>
        <w:t xml:space="preserve">, </w:t>
      </w:r>
      <w:r w:rsidRPr="00A84A20">
        <w:rPr>
          <w:sz w:val="24"/>
          <w:szCs w:val="24"/>
        </w:rPr>
        <w:t>1</w:t>
      </w:r>
      <w:r>
        <w:rPr>
          <w:sz w:val="24"/>
          <w:szCs w:val="24"/>
        </w:rPr>
        <w:t>-</w:t>
      </w:r>
      <w:r w:rsidRPr="00A84A20">
        <w:rPr>
          <w:sz w:val="24"/>
          <w:szCs w:val="24"/>
        </w:rPr>
        <w:t xml:space="preserve">20; Joch McCulloch, </w:t>
      </w:r>
      <w:r>
        <w:rPr>
          <w:bCs/>
          <w:sz w:val="24"/>
          <w:szCs w:val="24"/>
        </w:rPr>
        <w:t>‘</w:t>
      </w:r>
      <w:r w:rsidRPr="00A84A20">
        <w:rPr>
          <w:bCs/>
          <w:sz w:val="24"/>
          <w:szCs w:val="24"/>
        </w:rPr>
        <w:t>Empire and Violence, 1900</w:t>
      </w:r>
      <w:r>
        <w:rPr>
          <w:bCs/>
          <w:sz w:val="24"/>
          <w:szCs w:val="24"/>
        </w:rPr>
        <w:t>-</w:t>
      </w:r>
      <w:r w:rsidRPr="00A84A20">
        <w:rPr>
          <w:bCs/>
          <w:sz w:val="24"/>
          <w:szCs w:val="24"/>
        </w:rPr>
        <w:t>1939</w:t>
      </w:r>
      <w:r>
        <w:rPr>
          <w:bCs/>
          <w:sz w:val="24"/>
          <w:szCs w:val="24"/>
        </w:rPr>
        <w:t>’</w:t>
      </w:r>
      <w:r w:rsidRPr="00A84A20">
        <w:rPr>
          <w:bCs/>
          <w:sz w:val="24"/>
          <w:szCs w:val="24"/>
        </w:rPr>
        <w:t xml:space="preserve">, in Philippa Levine (ed.), </w:t>
      </w:r>
      <w:r w:rsidRPr="00A84A20">
        <w:rPr>
          <w:bCs/>
          <w:i/>
          <w:sz w:val="24"/>
          <w:szCs w:val="24"/>
        </w:rPr>
        <w:t>Gender and Empire</w:t>
      </w:r>
      <w:r w:rsidRPr="00A84A20">
        <w:rPr>
          <w:b/>
          <w:sz w:val="24"/>
          <w:szCs w:val="24"/>
        </w:rPr>
        <w:t xml:space="preserve"> </w:t>
      </w:r>
      <w:r w:rsidRPr="00A84A20">
        <w:rPr>
          <w:sz w:val="24"/>
          <w:szCs w:val="24"/>
        </w:rPr>
        <w:t>(Oxford: Oxford University Press 2007), 220</w:t>
      </w:r>
      <w:r>
        <w:rPr>
          <w:sz w:val="24"/>
          <w:szCs w:val="24"/>
        </w:rPr>
        <w:t>-</w:t>
      </w:r>
      <w:r w:rsidRPr="00A84A20">
        <w:rPr>
          <w:sz w:val="24"/>
          <w:szCs w:val="24"/>
        </w:rPr>
        <w:t xml:space="preserve">39; Peter Iadicola, </w:t>
      </w:r>
      <w:r>
        <w:rPr>
          <w:bCs/>
          <w:sz w:val="24"/>
          <w:szCs w:val="24"/>
        </w:rPr>
        <w:t>‘</w:t>
      </w:r>
      <w:r w:rsidRPr="00A84A20">
        <w:rPr>
          <w:bCs/>
          <w:sz w:val="24"/>
          <w:szCs w:val="24"/>
        </w:rPr>
        <w:t>The Violence of Empire,</w:t>
      </w:r>
      <w:r>
        <w:rPr>
          <w:bCs/>
          <w:sz w:val="24"/>
          <w:szCs w:val="24"/>
        </w:rPr>
        <w:t>’</w:t>
      </w:r>
      <w:r w:rsidRPr="00A84A20">
        <w:rPr>
          <w:b/>
          <w:sz w:val="24"/>
          <w:szCs w:val="24"/>
        </w:rPr>
        <w:t xml:space="preserve"> </w:t>
      </w:r>
      <w:r w:rsidRPr="00A84A20">
        <w:rPr>
          <w:i/>
          <w:sz w:val="24"/>
          <w:szCs w:val="24"/>
        </w:rPr>
        <w:t>International Journal of Contemporary Sociology</w:t>
      </w:r>
      <w:r w:rsidRPr="00A84A20">
        <w:rPr>
          <w:sz w:val="24"/>
          <w:szCs w:val="24"/>
        </w:rPr>
        <w:t xml:space="preserve"> 46</w:t>
      </w:r>
      <w:r>
        <w:rPr>
          <w:sz w:val="24"/>
          <w:szCs w:val="24"/>
        </w:rPr>
        <w:t>/</w:t>
      </w:r>
      <w:r w:rsidRPr="00A84A20">
        <w:rPr>
          <w:sz w:val="24"/>
          <w:szCs w:val="24"/>
        </w:rPr>
        <w:t>2 (2009)</w:t>
      </w:r>
      <w:r>
        <w:rPr>
          <w:sz w:val="24"/>
          <w:szCs w:val="24"/>
        </w:rPr>
        <w:t xml:space="preserve">, </w:t>
      </w:r>
      <w:r w:rsidRPr="00A84A20">
        <w:rPr>
          <w:sz w:val="24"/>
          <w:szCs w:val="24"/>
        </w:rPr>
        <w:t>185</w:t>
      </w:r>
      <w:r>
        <w:rPr>
          <w:sz w:val="24"/>
          <w:szCs w:val="24"/>
        </w:rPr>
        <w:t>-</w:t>
      </w:r>
      <w:r w:rsidRPr="00A84A20">
        <w:rPr>
          <w:sz w:val="24"/>
          <w:szCs w:val="24"/>
        </w:rPr>
        <w:t xml:space="preserve">212; and Phillip Dwyer and Amanda Nettlebeck (eds), </w:t>
      </w:r>
      <w:r w:rsidRPr="00A84A20">
        <w:rPr>
          <w:i/>
          <w:iCs/>
          <w:sz w:val="24"/>
          <w:szCs w:val="24"/>
        </w:rPr>
        <w:t xml:space="preserve">Violence, Colonialism and Empire in the Modern World </w:t>
      </w:r>
      <w:r w:rsidRPr="00A84A20">
        <w:rPr>
          <w:sz w:val="24"/>
          <w:szCs w:val="24"/>
        </w:rPr>
        <w:t>(Cham, Switzerland: Palgrave Macmillan 2018)</w:t>
      </w:r>
      <w:r w:rsidRPr="00A84A20">
        <w:rPr>
          <w:sz w:val="24"/>
          <w:szCs w:val="24"/>
          <w:shd w:val="clear" w:color="auto" w:fill="FFFFFF"/>
        </w:rPr>
        <w:t>.</w:t>
      </w:r>
    </w:p>
  </w:footnote>
  <w:footnote w:id="88">
    <w:p w14:paraId="52EE5AC8"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Subrata Bobby Banerjee, </w:t>
      </w:r>
      <w:r>
        <w:rPr>
          <w:sz w:val="24"/>
          <w:szCs w:val="24"/>
        </w:rPr>
        <w:t>‘</w:t>
      </w:r>
      <w:r w:rsidRPr="00A84A20">
        <w:rPr>
          <w:sz w:val="24"/>
          <w:szCs w:val="24"/>
        </w:rPr>
        <w:t>Live and Let Die: Colonial Sovereignties and the Death Worlds of Necrocapitalism</w:t>
      </w:r>
      <w:r>
        <w:rPr>
          <w:sz w:val="24"/>
          <w:szCs w:val="24"/>
        </w:rPr>
        <w:t>’</w:t>
      </w:r>
      <w:r w:rsidRPr="00A84A20">
        <w:rPr>
          <w:sz w:val="24"/>
          <w:szCs w:val="24"/>
        </w:rPr>
        <w:t xml:space="preserve">, </w:t>
      </w:r>
      <w:r w:rsidRPr="00A84A20">
        <w:rPr>
          <w:i/>
          <w:iCs/>
          <w:sz w:val="24"/>
          <w:szCs w:val="24"/>
        </w:rPr>
        <w:t>Borderlands</w:t>
      </w:r>
      <w:r w:rsidRPr="00A84A20">
        <w:rPr>
          <w:sz w:val="24"/>
          <w:szCs w:val="24"/>
        </w:rPr>
        <w:t xml:space="preserve"> 5</w:t>
      </w:r>
      <w:r>
        <w:rPr>
          <w:sz w:val="24"/>
          <w:szCs w:val="24"/>
        </w:rPr>
        <w:t>/</w:t>
      </w:r>
      <w:r w:rsidRPr="00A84A20">
        <w:rPr>
          <w:sz w:val="24"/>
          <w:szCs w:val="24"/>
        </w:rPr>
        <w:t>1 (2006</w:t>
      </w:r>
      <w:r>
        <w:rPr>
          <w:sz w:val="24"/>
          <w:szCs w:val="24"/>
        </w:rPr>
        <w:t>)</w:t>
      </w:r>
      <w:r w:rsidRPr="00A84A20">
        <w:rPr>
          <w:sz w:val="24"/>
          <w:szCs w:val="24"/>
        </w:rPr>
        <w:t xml:space="preserve"> </w:t>
      </w:r>
      <w:r>
        <w:rPr>
          <w:sz w:val="24"/>
          <w:szCs w:val="24"/>
        </w:rPr>
        <w:t>&lt;</w:t>
      </w:r>
      <w:hyperlink r:id="rId39" w:history="1">
        <w:r w:rsidRPr="00CB4094">
          <w:rPr>
            <w:rStyle w:val="Hyperlink"/>
            <w:sz w:val="24"/>
            <w:szCs w:val="24"/>
          </w:rPr>
          <w:t>http://www.borderlands.net.au/vol5no1_2006/banerjee_live.htm</w:t>
        </w:r>
      </w:hyperlink>
      <w:r>
        <w:rPr>
          <w:sz w:val="24"/>
          <w:szCs w:val="24"/>
        </w:rPr>
        <w:t>&gt; accessed 17 May 2020;</w:t>
      </w:r>
      <w:r w:rsidRPr="00A84A20">
        <w:rPr>
          <w:sz w:val="24"/>
          <w:szCs w:val="24"/>
        </w:rPr>
        <w:t xml:space="preserve"> Taylor C. Sherman, </w:t>
      </w:r>
      <w:r w:rsidRPr="00A84A20">
        <w:rPr>
          <w:i/>
          <w:sz w:val="24"/>
          <w:szCs w:val="24"/>
        </w:rPr>
        <w:t>State Violence and Punishment in India</w:t>
      </w:r>
      <w:r w:rsidRPr="00A84A20">
        <w:rPr>
          <w:sz w:val="24"/>
          <w:szCs w:val="24"/>
        </w:rPr>
        <w:t xml:space="preserve"> (London and New York: Routledge, 2010)</w:t>
      </w:r>
      <w:r>
        <w:rPr>
          <w:sz w:val="24"/>
          <w:szCs w:val="24"/>
        </w:rPr>
        <w:t xml:space="preserve"> (hereafter Sherman, </w:t>
      </w:r>
      <w:r>
        <w:rPr>
          <w:i/>
          <w:iCs/>
          <w:sz w:val="24"/>
          <w:szCs w:val="24"/>
        </w:rPr>
        <w:t>State Violence</w:t>
      </w:r>
      <w:r>
        <w:rPr>
          <w:sz w:val="24"/>
          <w:szCs w:val="24"/>
        </w:rPr>
        <w:t>)</w:t>
      </w:r>
      <w:r w:rsidRPr="00A84A20">
        <w:rPr>
          <w:sz w:val="24"/>
          <w:szCs w:val="24"/>
        </w:rPr>
        <w:t xml:space="preserve">; Deana Heath, </w:t>
      </w:r>
      <w:r>
        <w:rPr>
          <w:sz w:val="24"/>
          <w:szCs w:val="24"/>
        </w:rPr>
        <w:t>‘</w:t>
      </w:r>
      <w:r w:rsidRPr="00A84A20">
        <w:rPr>
          <w:sz w:val="24"/>
          <w:szCs w:val="24"/>
        </w:rPr>
        <w:t>Bureaucracy, Power and Violence in Colonial India</w:t>
      </w:r>
      <w:r>
        <w:rPr>
          <w:sz w:val="24"/>
          <w:szCs w:val="24"/>
        </w:rPr>
        <w:t>’</w:t>
      </w:r>
      <w:r w:rsidRPr="00A84A20">
        <w:rPr>
          <w:sz w:val="24"/>
          <w:szCs w:val="24"/>
        </w:rPr>
        <w:t xml:space="preserve">, in Peter Crooks and Tim Parsons (ed.), </w:t>
      </w:r>
      <w:r w:rsidRPr="00A84A20">
        <w:rPr>
          <w:i/>
          <w:sz w:val="24"/>
          <w:szCs w:val="24"/>
        </w:rPr>
        <w:t>Empires and Bureaucracy from Late Antiquity to the Modern World</w:t>
      </w:r>
      <w:r w:rsidRPr="00A84A20">
        <w:rPr>
          <w:sz w:val="24"/>
          <w:szCs w:val="24"/>
        </w:rPr>
        <w:t xml:space="preserve"> (Cambridge: Cambridge University Press, 2016), 364</w:t>
      </w:r>
      <w:r>
        <w:rPr>
          <w:sz w:val="24"/>
          <w:szCs w:val="24"/>
        </w:rPr>
        <w:t>-</w:t>
      </w:r>
      <w:r w:rsidRPr="00A84A20">
        <w:rPr>
          <w:sz w:val="24"/>
          <w:szCs w:val="24"/>
        </w:rPr>
        <w:t>90</w:t>
      </w:r>
      <w:r>
        <w:rPr>
          <w:sz w:val="24"/>
          <w:szCs w:val="24"/>
        </w:rPr>
        <w:t xml:space="preserve"> (hereafter Heath, ‘Bureaucracy, Power and Violence’)</w:t>
      </w:r>
      <w:r w:rsidRPr="00A84A20">
        <w:rPr>
          <w:sz w:val="24"/>
          <w:szCs w:val="24"/>
        </w:rPr>
        <w:t xml:space="preserve">; and Condos, </w:t>
      </w:r>
      <w:r w:rsidRPr="00A84A20">
        <w:rPr>
          <w:i/>
          <w:iCs/>
          <w:sz w:val="24"/>
          <w:szCs w:val="24"/>
        </w:rPr>
        <w:t>The Insecurity State</w:t>
      </w:r>
      <w:r>
        <w:rPr>
          <w:i/>
          <w:iCs/>
          <w:sz w:val="24"/>
          <w:szCs w:val="24"/>
        </w:rPr>
        <w:t xml:space="preserve"> </w:t>
      </w:r>
      <w:r>
        <w:rPr>
          <w:sz w:val="24"/>
          <w:szCs w:val="24"/>
        </w:rPr>
        <w:t>(n 38)</w:t>
      </w:r>
      <w:r w:rsidRPr="00A84A20">
        <w:rPr>
          <w:sz w:val="24"/>
          <w:szCs w:val="24"/>
        </w:rPr>
        <w:t>.</w:t>
      </w:r>
    </w:p>
  </w:footnote>
  <w:footnote w:id="89">
    <w:p w14:paraId="1D1D8732"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Elkins, </w:t>
      </w:r>
      <w:r w:rsidRPr="00A84A20">
        <w:rPr>
          <w:i/>
          <w:sz w:val="24"/>
          <w:szCs w:val="24"/>
        </w:rPr>
        <w:t>Imperial Reckoning</w:t>
      </w:r>
      <w:r w:rsidRPr="00A84A20">
        <w:rPr>
          <w:sz w:val="24"/>
          <w:szCs w:val="24"/>
        </w:rPr>
        <w:t>;</w:t>
      </w:r>
      <w:r w:rsidRPr="00A84A20">
        <w:rPr>
          <w:i/>
          <w:sz w:val="24"/>
          <w:szCs w:val="24"/>
        </w:rPr>
        <w:t xml:space="preserve"> </w:t>
      </w:r>
      <w:r w:rsidRPr="00A84A20">
        <w:rPr>
          <w:sz w:val="24"/>
          <w:szCs w:val="24"/>
        </w:rPr>
        <w:t xml:space="preserve">Anderson, </w:t>
      </w:r>
      <w:r w:rsidRPr="00A84A20">
        <w:rPr>
          <w:i/>
          <w:sz w:val="24"/>
          <w:szCs w:val="24"/>
        </w:rPr>
        <w:t>Histories of the Hanged</w:t>
      </w:r>
      <w:r w:rsidRPr="00A84A20">
        <w:rPr>
          <w:sz w:val="24"/>
          <w:szCs w:val="24"/>
        </w:rPr>
        <w:t xml:space="preserve">; Bennett, </w:t>
      </w:r>
      <w:r w:rsidRPr="00A84A20">
        <w:rPr>
          <w:i/>
          <w:iCs/>
          <w:sz w:val="24"/>
          <w:szCs w:val="24"/>
        </w:rPr>
        <w:t xml:space="preserve">Fighting the Mau Mau; </w:t>
      </w:r>
      <w:r w:rsidRPr="00A84A20">
        <w:rPr>
          <w:sz w:val="24"/>
          <w:szCs w:val="24"/>
        </w:rPr>
        <w:t xml:space="preserve">Matthew Hughes, </w:t>
      </w:r>
      <w:r>
        <w:rPr>
          <w:sz w:val="24"/>
          <w:szCs w:val="24"/>
        </w:rPr>
        <w:t>‘</w:t>
      </w:r>
      <w:r w:rsidRPr="00A84A20">
        <w:rPr>
          <w:sz w:val="24"/>
          <w:szCs w:val="24"/>
        </w:rPr>
        <w:t xml:space="preserve">The Banality of Brutality: British Armed Forces and the </w:t>
      </w:r>
      <w:r>
        <w:rPr>
          <w:sz w:val="24"/>
          <w:szCs w:val="24"/>
        </w:rPr>
        <w:t>R</w:t>
      </w:r>
      <w:r w:rsidRPr="00A84A20">
        <w:rPr>
          <w:sz w:val="24"/>
          <w:szCs w:val="24"/>
        </w:rPr>
        <w:t xml:space="preserve">epression of the Arab </w:t>
      </w:r>
      <w:r>
        <w:rPr>
          <w:sz w:val="24"/>
          <w:szCs w:val="24"/>
        </w:rPr>
        <w:t>R</w:t>
      </w:r>
      <w:r w:rsidRPr="00A84A20">
        <w:rPr>
          <w:sz w:val="24"/>
          <w:szCs w:val="24"/>
        </w:rPr>
        <w:t>evolt in Palestine, 1936</w:t>
      </w:r>
      <w:r>
        <w:rPr>
          <w:sz w:val="24"/>
          <w:szCs w:val="24"/>
        </w:rPr>
        <w:t>-</w:t>
      </w:r>
      <w:r w:rsidRPr="00A84A20">
        <w:rPr>
          <w:sz w:val="24"/>
          <w:szCs w:val="24"/>
        </w:rPr>
        <w:t>39</w:t>
      </w:r>
      <w:r>
        <w:rPr>
          <w:sz w:val="24"/>
          <w:szCs w:val="24"/>
        </w:rPr>
        <w:t>’</w:t>
      </w:r>
      <w:r w:rsidRPr="00A84A20">
        <w:rPr>
          <w:sz w:val="24"/>
          <w:szCs w:val="24"/>
        </w:rPr>
        <w:t xml:space="preserve">, </w:t>
      </w:r>
      <w:r w:rsidRPr="00A84A20">
        <w:rPr>
          <w:i/>
          <w:iCs/>
          <w:sz w:val="24"/>
          <w:szCs w:val="24"/>
        </w:rPr>
        <w:t>English Historical Review</w:t>
      </w:r>
      <w:r w:rsidRPr="00A84A20">
        <w:rPr>
          <w:sz w:val="24"/>
          <w:szCs w:val="24"/>
        </w:rPr>
        <w:t xml:space="preserve"> CXXIV, 507 (2009), 313</w:t>
      </w:r>
      <w:r>
        <w:rPr>
          <w:sz w:val="24"/>
          <w:szCs w:val="24"/>
        </w:rPr>
        <w:t>-</w:t>
      </w:r>
      <w:r w:rsidRPr="00A84A20">
        <w:rPr>
          <w:sz w:val="24"/>
          <w:szCs w:val="24"/>
        </w:rPr>
        <w:t xml:space="preserve">54; and Wagner, </w:t>
      </w:r>
      <w:r>
        <w:rPr>
          <w:sz w:val="24"/>
          <w:szCs w:val="24"/>
        </w:rPr>
        <w:t>‘</w:t>
      </w:r>
      <w:r w:rsidRPr="00A84A20">
        <w:rPr>
          <w:sz w:val="24"/>
          <w:szCs w:val="24"/>
        </w:rPr>
        <w:t>Savage Warfare</w:t>
      </w:r>
      <w:r>
        <w:rPr>
          <w:sz w:val="24"/>
          <w:szCs w:val="24"/>
        </w:rPr>
        <w:t>’ (n 22)</w:t>
      </w:r>
      <w:r w:rsidRPr="00A84A20">
        <w:rPr>
          <w:bCs/>
          <w:sz w:val="24"/>
          <w:szCs w:val="24"/>
        </w:rPr>
        <w:t>.</w:t>
      </w:r>
    </w:p>
  </w:footnote>
  <w:footnote w:id="90">
    <w:p w14:paraId="10D84928" w14:textId="77777777" w:rsidR="00997966" w:rsidRPr="00A84A20" w:rsidRDefault="00997966" w:rsidP="00997966">
      <w:pPr>
        <w:pStyle w:val="FootnoteText"/>
        <w:spacing w:line="480" w:lineRule="auto"/>
        <w:contextualSpacing/>
        <w:rPr>
          <w:i/>
          <w:iCs/>
          <w:sz w:val="24"/>
          <w:szCs w:val="24"/>
        </w:rPr>
      </w:pPr>
      <w:r w:rsidRPr="00A84A20">
        <w:rPr>
          <w:rStyle w:val="FootnoteReference"/>
          <w:sz w:val="24"/>
          <w:szCs w:val="24"/>
        </w:rPr>
        <w:footnoteRef/>
      </w:r>
      <w:r w:rsidRPr="00A84A20">
        <w:rPr>
          <w:sz w:val="24"/>
          <w:szCs w:val="24"/>
        </w:rPr>
        <w:t xml:space="preserve"> Lyndall Ryan, </w:t>
      </w:r>
      <w:r>
        <w:rPr>
          <w:sz w:val="24"/>
          <w:szCs w:val="24"/>
        </w:rPr>
        <w:t>‘</w:t>
      </w:r>
      <w:r w:rsidRPr="00A84A20">
        <w:rPr>
          <w:sz w:val="24"/>
          <w:szCs w:val="24"/>
        </w:rPr>
        <w:t>Massacre in the Black War in Tasmania 1823</w:t>
      </w:r>
      <w:r>
        <w:rPr>
          <w:sz w:val="24"/>
          <w:szCs w:val="24"/>
        </w:rPr>
        <w:t>-</w:t>
      </w:r>
      <w:r w:rsidRPr="00A84A20">
        <w:rPr>
          <w:sz w:val="24"/>
          <w:szCs w:val="24"/>
        </w:rPr>
        <w:t xml:space="preserve">34: A </w:t>
      </w:r>
      <w:r>
        <w:rPr>
          <w:sz w:val="24"/>
          <w:szCs w:val="24"/>
        </w:rPr>
        <w:t>C</w:t>
      </w:r>
      <w:r w:rsidRPr="00A84A20">
        <w:rPr>
          <w:sz w:val="24"/>
          <w:szCs w:val="24"/>
        </w:rPr>
        <w:t xml:space="preserve">ase </w:t>
      </w:r>
      <w:r>
        <w:rPr>
          <w:sz w:val="24"/>
          <w:szCs w:val="24"/>
        </w:rPr>
        <w:t>S</w:t>
      </w:r>
      <w:r w:rsidRPr="00A84A20">
        <w:rPr>
          <w:sz w:val="24"/>
          <w:szCs w:val="24"/>
        </w:rPr>
        <w:t>tudy of the Meander River Region, June 1827</w:t>
      </w:r>
      <w:r>
        <w:rPr>
          <w:sz w:val="24"/>
          <w:szCs w:val="24"/>
        </w:rPr>
        <w:t>’</w:t>
      </w:r>
      <w:r w:rsidRPr="00A84A20">
        <w:rPr>
          <w:sz w:val="24"/>
          <w:szCs w:val="24"/>
        </w:rPr>
        <w:t xml:space="preserve">, </w:t>
      </w:r>
      <w:r w:rsidRPr="00A84A20">
        <w:rPr>
          <w:i/>
          <w:iCs/>
          <w:sz w:val="24"/>
          <w:szCs w:val="24"/>
        </w:rPr>
        <w:t>Journal of Genocide Research</w:t>
      </w:r>
      <w:r w:rsidRPr="00A84A20">
        <w:rPr>
          <w:sz w:val="24"/>
          <w:szCs w:val="24"/>
        </w:rPr>
        <w:t xml:space="preserve"> 10</w:t>
      </w:r>
      <w:r>
        <w:rPr>
          <w:sz w:val="24"/>
          <w:szCs w:val="24"/>
        </w:rPr>
        <w:t>/</w:t>
      </w:r>
      <w:r w:rsidRPr="00A84A20">
        <w:rPr>
          <w:sz w:val="24"/>
          <w:szCs w:val="24"/>
        </w:rPr>
        <w:t>4 (2008)</w:t>
      </w:r>
      <w:r>
        <w:rPr>
          <w:sz w:val="24"/>
          <w:szCs w:val="24"/>
        </w:rPr>
        <w:t>,</w:t>
      </w:r>
      <w:r w:rsidRPr="00A84A20">
        <w:rPr>
          <w:sz w:val="24"/>
          <w:szCs w:val="24"/>
        </w:rPr>
        <w:t xml:space="preserve"> 479</w:t>
      </w:r>
      <w:r>
        <w:rPr>
          <w:sz w:val="24"/>
          <w:szCs w:val="24"/>
        </w:rPr>
        <w:t>-</w:t>
      </w:r>
      <w:r w:rsidRPr="00A84A20">
        <w:rPr>
          <w:sz w:val="24"/>
          <w:szCs w:val="24"/>
        </w:rPr>
        <w:t xml:space="preserve">99 and </w:t>
      </w:r>
      <w:r>
        <w:rPr>
          <w:sz w:val="24"/>
          <w:szCs w:val="24"/>
        </w:rPr>
        <w:t>‘</w:t>
      </w:r>
      <w:r w:rsidRPr="00A84A20">
        <w:rPr>
          <w:sz w:val="24"/>
          <w:szCs w:val="24"/>
        </w:rPr>
        <w:t>Settler Massacre on the Australian Colonial Frontier 1836–1851</w:t>
      </w:r>
      <w:r>
        <w:rPr>
          <w:sz w:val="24"/>
          <w:szCs w:val="24"/>
        </w:rPr>
        <w:t>’</w:t>
      </w:r>
      <w:r w:rsidRPr="00A84A20">
        <w:rPr>
          <w:sz w:val="24"/>
          <w:szCs w:val="24"/>
        </w:rPr>
        <w:t xml:space="preserve">, in Philip Dwyer and Lyndall Ryan (eds), </w:t>
      </w:r>
      <w:r w:rsidRPr="00A84A20">
        <w:rPr>
          <w:i/>
          <w:iCs/>
          <w:sz w:val="24"/>
          <w:szCs w:val="24"/>
        </w:rPr>
        <w:t>Theatres of Violence</w:t>
      </w:r>
      <w:r>
        <w:rPr>
          <w:i/>
          <w:iCs/>
          <w:sz w:val="24"/>
          <w:szCs w:val="24"/>
        </w:rPr>
        <w:t>:</w:t>
      </w:r>
      <w:r w:rsidRPr="00A84A20">
        <w:rPr>
          <w:i/>
          <w:iCs/>
          <w:sz w:val="24"/>
          <w:szCs w:val="24"/>
        </w:rPr>
        <w:t xml:space="preserve"> Massacre, Mass Killing and Atrocity </w:t>
      </w:r>
      <w:r>
        <w:rPr>
          <w:i/>
          <w:iCs/>
          <w:sz w:val="24"/>
          <w:szCs w:val="24"/>
        </w:rPr>
        <w:t>T</w:t>
      </w:r>
      <w:r w:rsidRPr="00A84A20">
        <w:rPr>
          <w:i/>
          <w:iCs/>
          <w:sz w:val="24"/>
          <w:szCs w:val="24"/>
        </w:rPr>
        <w:t>hroughout History</w:t>
      </w:r>
      <w:r w:rsidRPr="00A84A20">
        <w:rPr>
          <w:sz w:val="24"/>
          <w:szCs w:val="24"/>
        </w:rPr>
        <w:t xml:space="preserve"> (New York: Berghahn Books, 2012), 94</w:t>
      </w:r>
      <w:r>
        <w:rPr>
          <w:sz w:val="24"/>
          <w:szCs w:val="24"/>
        </w:rPr>
        <w:t>-</w:t>
      </w:r>
      <w:r w:rsidRPr="00A84A20">
        <w:rPr>
          <w:sz w:val="24"/>
          <w:szCs w:val="24"/>
        </w:rPr>
        <w:t xml:space="preserve">109; Doyle, </w:t>
      </w:r>
      <w:r>
        <w:rPr>
          <w:sz w:val="24"/>
          <w:szCs w:val="24"/>
        </w:rPr>
        <w:t>‘</w:t>
      </w:r>
      <w:r w:rsidRPr="00A84A20">
        <w:rPr>
          <w:sz w:val="24"/>
          <w:szCs w:val="24"/>
        </w:rPr>
        <w:t>Massacre by the Book</w:t>
      </w:r>
      <w:r>
        <w:rPr>
          <w:sz w:val="24"/>
          <w:szCs w:val="24"/>
        </w:rPr>
        <w:t>’ (n 26)</w:t>
      </w:r>
      <w:r w:rsidRPr="00A84A20">
        <w:rPr>
          <w:sz w:val="24"/>
          <w:szCs w:val="24"/>
        </w:rPr>
        <w:t xml:space="preserve">; Robert McLain, </w:t>
      </w:r>
      <w:r w:rsidRPr="00A84A20">
        <w:rPr>
          <w:i/>
          <w:sz w:val="24"/>
          <w:szCs w:val="24"/>
        </w:rPr>
        <w:t>Gender and Violence in British India:</w:t>
      </w:r>
      <w:r>
        <w:rPr>
          <w:i/>
          <w:sz w:val="24"/>
          <w:szCs w:val="24"/>
        </w:rPr>
        <w:t xml:space="preserve"> </w:t>
      </w:r>
      <w:r w:rsidRPr="00A84A20">
        <w:rPr>
          <w:i/>
          <w:sz w:val="24"/>
          <w:szCs w:val="24"/>
        </w:rPr>
        <w:t>The Road to Amritsar 1914</w:t>
      </w:r>
      <w:r>
        <w:rPr>
          <w:i/>
          <w:sz w:val="24"/>
          <w:szCs w:val="24"/>
        </w:rPr>
        <w:t>-</w:t>
      </w:r>
      <w:r w:rsidRPr="00A84A20">
        <w:rPr>
          <w:i/>
          <w:sz w:val="24"/>
          <w:szCs w:val="24"/>
        </w:rPr>
        <w:t>1919</w:t>
      </w:r>
      <w:r w:rsidRPr="00A84A20">
        <w:rPr>
          <w:sz w:val="24"/>
          <w:szCs w:val="24"/>
        </w:rPr>
        <w:t xml:space="preserve"> (Palgrave Macmillan 2014); and Wagner, </w:t>
      </w:r>
      <w:r w:rsidRPr="00A84A20">
        <w:rPr>
          <w:i/>
          <w:iCs/>
          <w:sz w:val="24"/>
          <w:szCs w:val="24"/>
        </w:rPr>
        <w:t>Amritsar 1919</w:t>
      </w:r>
      <w:r>
        <w:rPr>
          <w:i/>
          <w:iCs/>
          <w:sz w:val="24"/>
          <w:szCs w:val="24"/>
        </w:rPr>
        <w:t xml:space="preserve"> </w:t>
      </w:r>
      <w:r>
        <w:rPr>
          <w:sz w:val="24"/>
          <w:szCs w:val="24"/>
        </w:rPr>
        <w:t>(n 76)</w:t>
      </w:r>
      <w:r w:rsidRPr="00A84A20">
        <w:rPr>
          <w:i/>
          <w:iCs/>
          <w:sz w:val="24"/>
          <w:szCs w:val="24"/>
        </w:rPr>
        <w:t>.</w:t>
      </w:r>
    </w:p>
  </w:footnote>
  <w:footnote w:id="91">
    <w:p w14:paraId="547B3BA7"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G. </w:t>
      </w:r>
      <w:r>
        <w:rPr>
          <w:sz w:val="24"/>
          <w:szCs w:val="24"/>
        </w:rPr>
        <w:t xml:space="preserve">Jan </w:t>
      </w:r>
      <w:r w:rsidRPr="00A84A20">
        <w:rPr>
          <w:sz w:val="24"/>
          <w:szCs w:val="24"/>
        </w:rPr>
        <w:t>Col</w:t>
      </w:r>
      <w:r>
        <w:rPr>
          <w:sz w:val="24"/>
          <w:szCs w:val="24"/>
        </w:rPr>
        <w:t>ij</w:t>
      </w:r>
      <w:r w:rsidRPr="00A84A20">
        <w:rPr>
          <w:sz w:val="24"/>
          <w:szCs w:val="24"/>
        </w:rPr>
        <w:t xml:space="preserve">n, </w:t>
      </w:r>
      <w:r>
        <w:rPr>
          <w:sz w:val="24"/>
          <w:szCs w:val="24"/>
        </w:rPr>
        <w:t>‘</w:t>
      </w:r>
      <w:r w:rsidRPr="00A84A20">
        <w:rPr>
          <w:sz w:val="24"/>
          <w:szCs w:val="24"/>
        </w:rPr>
        <w:t>Carnage Before Our Time: Nineteenth</w:t>
      </w:r>
      <w:r>
        <w:rPr>
          <w:sz w:val="24"/>
          <w:szCs w:val="24"/>
        </w:rPr>
        <w:t>-</w:t>
      </w:r>
      <w:r w:rsidRPr="00A84A20">
        <w:rPr>
          <w:sz w:val="24"/>
          <w:szCs w:val="24"/>
        </w:rPr>
        <w:t>Century Colonial Genocide</w:t>
      </w:r>
      <w:r>
        <w:rPr>
          <w:sz w:val="24"/>
          <w:szCs w:val="24"/>
        </w:rPr>
        <w:t>’</w:t>
      </w:r>
      <w:r w:rsidRPr="00A84A20">
        <w:rPr>
          <w:sz w:val="24"/>
          <w:szCs w:val="24"/>
        </w:rPr>
        <w:t xml:space="preserve">, </w:t>
      </w:r>
      <w:r w:rsidRPr="00A84A20">
        <w:rPr>
          <w:i/>
          <w:sz w:val="24"/>
          <w:szCs w:val="24"/>
        </w:rPr>
        <w:t>Journal of Genocide Research</w:t>
      </w:r>
      <w:r w:rsidRPr="00A84A20">
        <w:rPr>
          <w:sz w:val="24"/>
          <w:szCs w:val="24"/>
        </w:rPr>
        <w:t xml:space="preserve"> 5</w:t>
      </w:r>
      <w:r>
        <w:rPr>
          <w:sz w:val="24"/>
          <w:szCs w:val="24"/>
        </w:rPr>
        <w:t>/</w:t>
      </w:r>
      <w:r w:rsidRPr="00A84A20">
        <w:rPr>
          <w:sz w:val="24"/>
          <w:szCs w:val="24"/>
        </w:rPr>
        <w:t>4 (2003)</w:t>
      </w:r>
      <w:r>
        <w:rPr>
          <w:sz w:val="24"/>
          <w:szCs w:val="24"/>
        </w:rPr>
        <w:t xml:space="preserve">, </w:t>
      </w:r>
      <w:r w:rsidRPr="00A84A20">
        <w:rPr>
          <w:sz w:val="24"/>
          <w:szCs w:val="24"/>
        </w:rPr>
        <w:t>617</w:t>
      </w:r>
      <w:r>
        <w:rPr>
          <w:sz w:val="24"/>
          <w:szCs w:val="24"/>
        </w:rPr>
        <w:t>-</w:t>
      </w:r>
      <w:r w:rsidRPr="00A84A20">
        <w:rPr>
          <w:sz w:val="24"/>
          <w:szCs w:val="24"/>
        </w:rPr>
        <w:t xml:space="preserve">25; Michael Mann, </w:t>
      </w:r>
      <w:r w:rsidRPr="00A84A20">
        <w:rPr>
          <w:i/>
          <w:iCs/>
          <w:sz w:val="24"/>
          <w:szCs w:val="24"/>
        </w:rPr>
        <w:t>The Dark Side of Democracy: Explaining Ethnic Cleansing</w:t>
      </w:r>
      <w:r w:rsidRPr="00A84A20">
        <w:rPr>
          <w:sz w:val="24"/>
          <w:szCs w:val="24"/>
        </w:rPr>
        <w:t xml:space="preserve"> (New York: Cambridge University Press 2004); A. Dirk Moses, </w:t>
      </w:r>
      <w:r w:rsidRPr="00A84A20">
        <w:rPr>
          <w:rFonts w:eastAsia="Calibri"/>
          <w:i/>
          <w:sz w:val="24"/>
          <w:szCs w:val="24"/>
        </w:rPr>
        <w:t>Genocide and Settler Society: Frontier Violence and Stolen Indigenous Children in Australian History</w:t>
      </w:r>
      <w:r w:rsidRPr="00A84A20">
        <w:rPr>
          <w:rFonts w:eastAsia="Calibri"/>
          <w:sz w:val="24"/>
          <w:szCs w:val="24"/>
        </w:rPr>
        <w:t xml:space="preserve"> (</w:t>
      </w:r>
      <w:r>
        <w:rPr>
          <w:rFonts w:eastAsia="Calibri"/>
          <w:sz w:val="24"/>
          <w:szCs w:val="24"/>
        </w:rPr>
        <w:t xml:space="preserve">New York: </w:t>
      </w:r>
      <w:r w:rsidRPr="00A84A20">
        <w:rPr>
          <w:rFonts w:eastAsia="Calibri"/>
          <w:sz w:val="24"/>
          <w:szCs w:val="24"/>
        </w:rPr>
        <w:t>Berghahn Books 2005)</w:t>
      </w:r>
      <w:r w:rsidRPr="00A84A20">
        <w:rPr>
          <w:sz w:val="24"/>
          <w:szCs w:val="24"/>
        </w:rPr>
        <w:t xml:space="preserve">; A. Dirk Moses and Dan Stone, </w:t>
      </w:r>
      <w:r w:rsidRPr="00A84A20">
        <w:rPr>
          <w:rFonts w:eastAsia="Calibri"/>
          <w:i/>
          <w:sz w:val="24"/>
          <w:szCs w:val="24"/>
        </w:rPr>
        <w:t>Colonialism and Genocide</w:t>
      </w:r>
      <w:r w:rsidRPr="00A84A20">
        <w:rPr>
          <w:rFonts w:eastAsia="Calibri"/>
          <w:sz w:val="24"/>
          <w:szCs w:val="24"/>
        </w:rPr>
        <w:t xml:space="preserve"> (</w:t>
      </w:r>
      <w:r>
        <w:rPr>
          <w:rFonts w:eastAsia="Calibri"/>
          <w:sz w:val="24"/>
          <w:szCs w:val="24"/>
        </w:rPr>
        <w:t xml:space="preserve">London and New York: </w:t>
      </w:r>
      <w:r w:rsidRPr="00A84A20">
        <w:rPr>
          <w:rFonts w:eastAsia="Calibri"/>
          <w:sz w:val="24"/>
          <w:szCs w:val="24"/>
        </w:rPr>
        <w:t>Routledge 2007)</w:t>
      </w:r>
      <w:r w:rsidRPr="00A84A20">
        <w:rPr>
          <w:sz w:val="24"/>
          <w:szCs w:val="24"/>
        </w:rPr>
        <w:t xml:space="preserve">; Ben Kiernan, </w:t>
      </w:r>
      <w:r w:rsidRPr="00A84A20">
        <w:rPr>
          <w:i/>
          <w:iCs/>
          <w:sz w:val="24"/>
          <w:szCs w:val="24"/>
        </w:rPr>
        <w:t>Blood and Soil: A World History of Genocide and Extermination from Sparta to Darfur</w:t>
      </w:r>
      <w:r w:rsidRPr="00A84A20">
        <w:rPr>
          <w:sz w:val="24"/>
          <w:szCs w:val="24"/>
        </w:rPr>
        <w:t xml:space="preserve"> (New Haven: Yale University Press</w:t>
      </w:r>
      <w:r>
        <w:rPr>
          <w:sz w:val="24"/>
          <w:szCs w:val="24"/>
        </w:rPr>
        <w:t xml:space="preserve"> </w:t>
      </w:r>
      <w:r w:rsidRPr="00A84A20">
        <w:rPr>
          <w:sz w:val="24"/>
          <w:szCs w:val="24"/>
        </w:rPr>
        <w:t xml:space="preserve">2007); A. Dirk Moses (ed.), </w:t>
      </w:r>
      <w:r w:rsidRPr="00A84A20">
        <w:rPr>
          <w:i/>
          <w:iCs/>
          <w:sz w:val="24"/>
          <w:szCs w:val="24"/>
        </w:rPr>
        <w:t xml:space="preserve">Empire, Colony, Genocide: Conquest, Occupation, and Subaltern Resistance in World History </w:t>
      </w:r>
      <w:r w:rsidRPr="00A84A20">
        <w:rPr>
          <w:sz w:val="24"/>
          <w:szCs w:val="24"/>
        </w:rPr>
        <w:t xml:space="preserve">(New York: Berghan Books 2009); Jürgen Zimmerer and Dominik J. Schaller (eds), </w:t>
      </w:r>
      <w:r w:rsidRPr="00A84A20">
        <w:rPr>
          <w:i/>
          <w:iCs/>
          <w:sz w:val="24"/>
          <w:szCs w:val="24"/>
        </w:rPr>
        <w:t>Settlers</w:t>
      </w:r>
      <w:r>
        <w:rPr>
          <w:sz w:val="24"/>
          <w:szCs w:val="24"/>
        </w:rPr>
        <w:t>—</w:t>
      </w:r>
      <w:r w:rsidRPr="00A84A20">
        <w:rPr>
          <w:i/>
          <w:iCs/>
          <w:sz w:val="24"/>
          <w:szCs w:val="24"/>
        </w:rPr>
        <w:t>Imperialism</w:t>
      </w:r>
      <w:r>
        <w:rPr>
          <w:sz w:val="24"/>
          <w:szCs w:val="24"/>
        </w:rPr>
        <w:t>—</w:t>
      </w:r>
      <w:r w:rsidRPr="00A84A20">
        <w:rPr>
          <w:i/>
          <w:iCs/>
          <w:sz w:val="24"/>
          <w:szCs w:val="24"/>
        </w:rPr>
        <w:t>Genocide</w:t>
      </w:r>
      <w:r w:rsidRPr="00A84A20">
        <w:rPr>
          <w:sz w:val="24"/>
          <w:szCs w:val="24"/>
        </w:rPr>
        <w:t xml:space="preserve"> (London: Routledge 2009); Tom Lawson, </w:t>
      </w:r>
      <w:r w:rsidRPr="00A84A20">
        <w:rPr>
          <w:rFonts w:eastAsia="Calibri"/>
          <w:i/>
          <w:sz w:val="24"/>
          <w:szCs w:val="24"/>
        </w:rPr>
        <w:t xml:space="preserve">The Last Man: A British Genocide in Tasmania </w:t>
      </w:r>
      <w:r w:rsidRPr="00A84A20">
        <w:rPr>
          <w:rFonts w:eastAsia="Calibri"/>
          <w:sz w:val="24"/>
          <w:szCs w:val="24"/>
        </w:rPr>
        <w:t xml:space="preserve">(New York: I.B. Taurus 2014); and </w:t>
      </w:r>
      <w:r w:rsidRPr="00A84A20">
        <w:rPr>
          <w:rStyle w:val="a-size-extra-large"/>
          <w:color w:val="111111"/>
          <w:sz w:val="24"/>
          <w:szCs w:val="24"/>
        </w:rPr>
        <w:t xml:space="preserve">Damien Short, </w:t>
      </w:r>
      <w:r w:rsidRPr="002C28E5">
        <w:rPr>
          <w:rStyle w:val="a-size-extra-large"/>
          <w:i/>
          <w:iCs/>
          <w:color w:val="111111"/>
          <w:sz w:val="24"/>
          <w:szCs w:val="24"/>
        </w:rPr>
        <w:t>Redefining Genocide: Settler Colonialism, Social Death and Ecocide</w:t>
      </w:r>
      <w:r w:rsidRPr="00A84A20">
        <w:rPr>
          <w:rStyle w:val="a-size-extra-large"/>
          <w:color w:val="111111"/>
          <w:sz w:val="24"/>
          <w:szCs w:val="24"/>
        </w:rPr>
        <w:t xml:space="preserve"> (London: Zed Books 2016).</w:t>
      </w:r>
      <w:r>
        <w:rPr>
          <w:rStyle w:val="a-size-extra-large"/>
          <w:color w:val="111111"/>
          <w:sz w:val="24"/>
          <w:szCs w:val="24"/>
        </w:rPr>
        <w:t xml:space="preserve"> </w:t>
      </w:r>
    </w:p>
  </w:footnote>
  <w:footnote w:id="92">
    <w:p w14:paraId="16AC5162"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Julie Evans, </w:t>
      </w:r>
      <w:r>
        <w:rPr>
          <w:color w:val="222222"/>
          <w:sz w:val="24"/>
          <w:szCs w:val="24"/>
          <w:lang w:eastAsia="en-GB"/>
        </w:rPr>
        <w:t>‘</w:t>
      </w:r>
      <w:r w:rsidRPr="00A84A20">
        <w:rPr>
          <w:color w:val="222222"/>
          <w:sz w:val="24"/>
          <w:szCs w:val="24"/>
          <w:lang w:eastAsia="en-GB"/>
        </w:rPr>
        <w:t>Where Lawlessness is Law: The Settler</w:t>
      </w:r>
      <w:r>
        <w:rPr>
          <w:color w:val="222222"/>
          <w:sz w:val="24"/>
          <w:szCs w:val="24"/>
          <w:lang w:eastAsia="en-GB"/>
        </w:rPr>
        <w:t>-</w:t>
      </w:r>
      <w:r w:rsidRPr="00A84A20">
        <w:rPr>
          <w:color w:val="222222"/>
          <w:sz w:val="24"/>
          <w:szCs w:val="24"/>
          <w:lang w:eastAsia="en-GB"/>
        </w:rPr>
        <w:t xml:space="preserve">Colonial Frontier as a Legal Space </w:t>
      </w:r>
    </w:p>
    <w:p w14:paraId="6BBADCAA" w14:textId="77777777" w:rsidR="00997966" w:rsidRPr="00A84A20" w:rsidRDefault="00997966" w:rsidP="00997966">
      <w:pPr>
        <w:pStyle w:val="FootnoteText"/>
        <w:spacing w:line="480" w:lineRule="auto"/>
        <w:contextualSpacing/>
        <w:rPr>
          <w:color w:val="222222"/>
          <w:sz w:val="24"/>
          <w:szCs w:val="24"/>
          <w:lang w:eastAsia="en-GB"/>
        </w:rPr>
      </w:pPr>
      <w:r w:rsidRPr="00A84A20">
        <w:rPr>
          <w:color w:val="222222"/>
          <w:sz w:val="24"/>
          <w:szCs w:val="24"/>
          <w:lang w:eastAsia="en-GB"/>
        </w:rPr>
        <w:t>of Violence</w:t>
      </w:r>
      <w:r>
        <w:rPr>
          <w:color w:val="222222"/>
          <w:sz w:val="24"/>
          <w:szCs w:val="24"/>
          <w:lang w:eastAsia="en-GB"/>
        </w:rPr>
        <w:t>’</w:t>
      </w:r>
      <w:r w:rsidRPr="00A84A20">
        <w:rPr>
          <w:color w:val="222222"/>
          <w:sz w:val="24"/>
          <w:szCs w:val="24"/>
          <w:lang w:eastAsia="en-GB"/>
        </w:rPr>
        <w:t xml:space="preserve">, </w:t>
      </w:r>
      <w:r w:rsidRPr="00A84A20">
        <w:rPr>
          <w:i/>
          <w:iCs/>
          <w:color w:val="222222"/>
          <w:sz w:val="24"/>
          <w:szCs w:val="24"/>
          <w:lang w:eastAsia="en-GB"/>
        </w:rPr>
        <w:t>Australian Feminist Law Journal</w:t>
      </w:r>
      <w:r w:rsidRPr="00A84A20">
        <w:rPr>
          <w:color w:val="222222"/>
          <w:sz w:val="24"/>
          <w:szCs w:val="24"/>
          <w:lang w:eastAsia="en-GB"/>
        </w:rPr>
        <w:t xml:space="preserve"> 30</w:t>
      </w:r>
      <w:r>
        <w:rPr>
          <w:color w:val="222222"/>
          <w:sz w:val="24"/>
          <w:szCs w:val="24"/>
          <w:lang w:eastAsia="en-GB"/>
        </w:rPr>
        <w:t>/</w:t>
      </w:r>
      <w:r w:rsidRPr="00A84A20">
        <w:rPr>
          <w:color w:val="222222"/>
          <w:sz w:val="24"/>
          <w:szCs w:val="24"/>
          <w:lang w:eastAsia="en-GB"/>
        </w:rPr>
        <w:t>1 (2009)</w:t>
      </w:r>
      <w:r>
        <w:rPr>
          <w:color w:val="222222"/>
          <w:sz w:val="24"/>
          <w:szCs w:val="24"/>
          <w:lang w:eastAsia="en-GB"/>
        </w:rPr>
        <w:t>,</w:t>
      </w:r>
      <w:r w:rsidRPr="00A84A20">
        <w:rPr>
          <w:color w:val="222222"/>
          <w:sz w:val="24"/>
          <w:szCs w:val="24"/>
          <w:lang w:eastAsia="en-GB"/>
        </w:rPr>
        <w:t xml:space="preserve"> 3</w:t>
      </w:r>
      <w:r>
        <w:rPr>
          <w:color w:val="222222"/>
          <w:sz w:val="24"/>
          <w:szCs w:val="24"/>
          <w:lang w:eastAsia="en-GB"/>
        </w:rPr>
        <w:t>-</w:t>
      </w:r>
      <w:r w:rsidRPr="00A84A20">
        <w:rPr>
          <w:color w:val="222222"/>
          <w:sz w:val="24"/>
          <w:szCs w:val="24"/>
          <w:lang w:eastAsia="en-GB"/>
        </w:rPr>
        <w:t>22</w:t>
      </w:r>
      <w:r>
        <w:rPr>
          <w:color w:val="222222"/>
          <w:sz w:val="24"/>
          <w:szCs w:val="24"/>
          <w:lang w:eastAsia="en-GB"/>
        </w:rPr>
        <w:t xml:space="preserve"> (hereafter Evans, ‘Where Lawlesness is Law’)</w:t>
      </w:r>
      <w:r w:rsidRPr="00A84A20">
        <w:rPr>
          <w:color w:val="222222"/>
          <w:sz w:val="24"/>
          <w:szCs w:val="24"/>
          <w:lang w:eastAsia="en-GB"/>
        </w:rPr>
        <w:t xml:space="preserve">; </w:t>
      </w:r>
      <w:r w:rsidRPr="00A84A20">
        <w:rPr>
          <w:sz w:val="24"/>
          <w:szCs w:val="24"/>
        </w:rPr>
        <w:t xml:space="preserve">Penelope Edmonds, </w:t>
      </w:r>
      <w:r>
        <w:rPr>
          <w:sz w:val="24"/>
          <w:szCs w:val="24"/>
        </w:rPr>
        <w:t>‘</w:t>
      </w:r>
      <w:r w:rsidRPr="00A84A20">
        <w:rPr>
          <w:sz w:val="24"/>
          <w:szCs w:val="24"/>
        </w:rPr>
        <w:t xml:space="preserve">The Intimate, Urbanising Frontier: </w:t>
      </w:r>
      <w:r>
        <w:rPr>
          <w:sz w:val="24"/>
          <w:szCs w:val="24"/>
        </w:rPr>
        <w:t>“</w:t>
      </w:r>
      <w:r w:rsidRPr="00A84A20">
        <w:rPr>
          <w:sz w:val="24"/>
          <w:szCs w:val="24"/>
        </w:rPr>
        <w:t>Native Camps</w:t>
      </w:r>
      <w:r>
        <w:rPr>
          <w:sz w:val="24"/>
          <w:szCs w:val="24"/>
        </w:rPr>
        <w:t xml:space="preserve">”, </w:t>
      </w:r>
      <w:r w:rsidRPr="00A84A20">
        <w:rPr>
          <w:sz w:val="24"/>
          <w:szCs w:val="24"/>
        </w:rPr>
        <w:t>Gender Relations and Settler</w:t>
      </w:r>
      <w:r>
        <w:rPr>
          <w:sz w:val="24"/>
          <w:szCs w:val="24"/>
        </w:rPr>
        <w:t xml:space="preserve"> C</w:t>
      </w:r>
      <w:r w:rsidRPr="00A84A20">
        <w:rPr>
          <w:sz w:val="24"/>
          <w:szCs w:val="24"/>
        </w:rPr>
        <w:t>olonialism's Violent Array of Spaces Around Early Melbourne</w:t>
      </w:r>
      <w:r>
        <w:rPr>
          <w:sz w:val="24"/>
          <w:szCs w:val="24"/>
        </w:rPr>
        <w:t>’</w:t>
      </w:r>
      <w:r w:rsidRPr="00A84A20">
        <w:rPr>
          <w:sz w:val="24"/>
          <w:szCs w:val="24"/>
        </w:rPr>
        <w:t xml:space="preserve">, in </w:t>
      </w:r>
      <w:r>
        <w:rPr>
          <w:sz w:val="24"/>
          <w:szCs w:val="24"/>
        </w:rPr>
        <w:t xml:space="preserve">Tracey </w:t>
      </w:r>
      <w:r w:rsidRPr="00A84A20">
        <w:rPr>
          <w:sz w:val="24"/>
          <w:szCs w:val="24"/>
        </w:rPr>
        <w:t>Banivanua</w:t>
      </w:r>
      <w:r>
        <w:rPr>
          <w:sz w:val="24"/>
          <w:szCs w:val="24"/>
        </w:rPr>
        <w:t>-</w:t>
      </w:r>
      <w:r w:rsidRPr="00A84A20">
        <w:rPr>
          <w:sz w:val="24"/>
          <w:szCs w:val="24"/>
        </w:rPr>
        <w:t xml:space="preserve">Mar and </w:t>
      </w:r>
      <w:r>
        <w:rPr>
          <w:sz w:val="24"/>
          <w:szCs w:val="24"/>
        </w:rPr>
        <w:t xml:space="preserve">Penelope </w:t>
      </w:r>
      <w:r w:rsidRPr="00A84A20">
        <w:rPr>
          <w:sz w:val="24"/>
          <w:szCs w:val="24"/>
        </w:rPr>
        <w:t>Edmonds</w:t>
      </w:r>
      <w:r w:rsidRPr="00A84A20">
        <w:rPr>
          <w:i/>
          <w:iCs/>
          <w:sz w:val="24"/>
          <w:szCs w:val="24"/>
        </w:rPr>
        <w:t xml:space="preserve"> </w:t>
      </w:r>
      <w:r w:rsidRPr="00A84A20">
        <w:rPr>
          <w:sz w:val="24"/>
          <w:szCs w:val="24"/>
        </w:rPr>
        <w:t xml:space="preserve">(ed.), </w:t>
      </w:r>
      <w:r w:rsidRPr="00A84A20">
        <w:rPr>
          <w:i/>
          <w:iCs/>
          <w:sz w:val="24"/>
          <w:szCs w:val="24"/>
        </w:rPr>
        <w:t xml:space="preserve">Making Settler Colonial Space: Perspectives on </w:t>
      </w:r>
      <w:r>
        <w:rPr>
          <w:i/>
          <w:iCs/>
          <w:sz w:val="24"/>
          <w:szCs w:val="24"/>
        </w:rPr>
        <w:t>R</w:t>
      </w:r>
      <w:r w:rsidRPr="00A84A20">
        <w:rPr>
          <w:i/>
          <w:iCs/>
          <w:sz w:val="24"/>
          <w:szCs w:val="24"/>
        </w:rPr>
        <w:t xml:space="preserve">ace, </w:t>
      </w:r>
      <w:r>
        <w:rPr>
          <w:i/>
          <w:iCs/>
          <w:sz w:val="24"/>
          <w:szCs w:val="24"/>
        </w:rPr>
        <w:t>P</w:t>
      </w:r>
      <w:r w:rsidRPr="00A84A20">
        <w:rPr>
          <w:i/>
          <w:iCs/>
          <w:sz w:val="24"/>
          <w:szCs w:val="24"/>
        </w:rPr>
        <w:t xml:space="preserve">lace and </w:t>
      </w:r>
      <w:r>
        <w:rPr>
          <w:i/>
          <w:iCs/>
          <w:sz w:val="24"/>
          <w:szCs w:val="24"/>
        </w:rPr>
        <w:t>I</w:t>
      </w:r>
      <w:r w:rsidRPr="00A84A20">
        <w:rPr>
          <w:i/>
          <w:iCs/>
          <w:sz w:val="24"/>
          <w:szCs w:val="24"/>
        </w:rPr>
        <w:t>dentity</w:t>
      </w:r>
      <w:r w:rsidRPr="00A84A20">
        <w:rPr>
          <w:sz w:val="24"/>
          <w:szCs w:val="24"/>
        </w:rPr>
        <w:t xml:space="preserve"> (Basingstoke: Palgrave UK 2010), 129</w:t>
      </w:r>
      <w:r>
        <w:rPr>
          <w:sz w:val="24"/>
          <w:szCs w:val="24"/>
        </w:rPr>
        <w:t>-</w:t>
      </w:r>
      <w:r w:rsidRPr="00A84A20">
        <w:rPr>
          <w:sz w:val="24"/>
          <w:szCs w:val="24"/>
        </w:rPr>
        <w:t>54</w:t>
      </w:r>
      <w:r w:rsidRPr="00A84A20">
        <w:rPr>
          <w:color w:val="222222"/>
          <w:sz w:val="24"/>
          <w:szCs w:val="24"/>
          <w:lang w:eastAsia="en-GB"/>
        </w:rPr>
        <w:t xml:space="preserve">; </w:t>
      </w:r>
      <w:r w:rsidRPr="00A84A20">
        <w:rPr>
          <w:sz w:val="24"/>
          <w:szCs w:val="24"/>
        </w:rPr>
        <w:t xml:space="preserve">Timothy Bottoms, </w:t>
      </w:r>
      <w:r w:rsidRPr="00A84A20">
        <w:rPr>
          <w:i/>
          <w:iCs/>
          <w:sz w:val="24"/>
          <w:szCs w:val="24"/>
        </w:rPr>
        <w:t>Conspiracy of Silence: Queensland’s Frontier Killing</w:t>
      </w:r>
      <w:r>
        <w:rPr>
          <w:i/>
          <w:iCs/>
          <w:sz w:val="24"/>
          <w:szCs w:val="24"/>
        </w:rPr>
        <w:t>-</w:t>
      </w:r>
      <w:r w:rsidRPr="00A84A20">
        <w:rPr>
          <w:i/>
          <w:iCs/>
          <w:sz w:val="24"/>
          <w:szCs w:val="24"/>
        </w:rPr>
        <w:t>Time</w:t>
      </w:r>
      <w:r w:rsidRPr="00A84A20">
        <w:rPr>
          <w:sz w:val="24"/>
          <w:szCs w:val="24"/>
        </w:rPr>
        <w:t xml:space="preserve"> (Crows Nest, NSW: Allen &amp; Unwin 2013); Nicholas Clements, </w:t>
      </w:r>
      <w:r w:rsidRPr="00A84A20">
        <w:rPr>
          <w:i/>
          <w:iCs/>
          <w:sz w:val="24"/>
          <w:szCs w:val="24"/>
        </w:rPr>
        <w:t>The Black War: Fear, Sex and Resistance in Tasmania</w:t>
      </w:r>
      <w:r w:rsidRPr="00A84A20">
        <w:rPr>
          <w:sz w:val="24"/>
          <w:szCs w:val="24"/>
        </w:rPr>
        <w:t xml:space="preserve"> (St Lucia: University of Queensland Press 2014); </w:t>
      </w:r>
      <w:r w:rsidRPr="00A84A20">
        <w:rPr>
          <w:color w:val="222222"/>
          <w:sz w:val="24"/>
          <w:szCs w:val="24"/>
          <w:lang w:eastAsia="en-GB"/>
        </w:rPr>
        <w:t xml:space="preserve">Kolsky, </w:t>
      </w:r>
      <w:r>
        <w:rPr>
          <w:sz w:val="24"/>
          <w:szCs w:val="24"/>
        </w:rPr>
        <w:t>‘</w:t>
      </w:r>
      <w:r w:rsidRPr="00A84A20">
        <w:rPr>
          <w:sz w:val="24"/>
          <w:szCs w:val="24"/>
        </w:rPr>
        <w:t>The Colonial Rule of Law</w:t>
      </w:r>
      <w:r>
        <w:rPr>
          <w:sz w:val="24"/>
          <w:szCs w:val="24"/>
        </w:rPr>
        <w:t xml:space="preserve">’ (n 62) </w:t>
      </w:r>
      <w:r w:rsidRPr="00A84A20">
        <w:rPr>
          <w:sz w:val="24"/>
          <w:szCs w:val="24"/>
        </w:rPr>
        <w:t>1218</w:t>
      </w:r>
      <w:r>
        <w:rPr>
          <w:sz w:val="24"/>
          <w:szCs w:val="24"/>
        </w:rPr>
        <w:t>-</w:t>
      </w:r>
      <w:r w:rsidRPr="00A84A20">
        <w:rPr>
          <w:sz w:val="24"/>
          <w:szCs w:val="24"/>
        </w:rPr>
        <w:t>46.</w:t>
      </w:r>
    </w:p>
  </w:footnote>
  <w:footnote w:id="93">
    <w:p w14:paraId="7AB04B35"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Elizabeth Elbourne, </w:t>
      </w:r>
      <w:r>
        <w:rPr>
          <w:sz w:val="24"/>
          <w:szCs w:val="24"/>
        </w:rPr>
        <w:t>‘</w:t>
      </w:r>
      <w:r w:rsidRPr="00A84A20">
        <w:rPr>
          <w:sz w:val="24"/>
          <w:szCs w:val="24"/>
        </w:rPr>
        <w:t>The Sin of the Settler: The 1835</w:t>
      </w:r>
      <w:r>
        <w:rPr>
          <w:sz w:val="24"/>
          <w:szCs w:val="24"/>
        </w:rPr>
        <w:t>-</w:t>
      </w:r>
      <w:r w:rsidRPr="00A84A20">
        <w:rPr>
          <w:sz w:val="24"/>
          <w:szCs w:val="24"/>
        </w:rPr>
        <w:t>36 Select Committee on Aborigines and Debates Over Virtue and Conquest in the Early Nineteenth Century British White Settler Empire</w:t>
      </w:r>
      <w:r>
        <w:rPr>
          <w:sz w:val="24"/>
          <w:szCs w:val="24"/>
        </w:rPr>
        <w:t>’</w:t>
      </w:r>
      <w:r w:rsidRPr="00A84A20">
        <w:rPr>
          <w:sz w:val="24"/>
          <w:szCs w:val="24"/>
        </w:rPr>
        <w:t xml:space="preserve">, </w:t>
      </w:r>
      <w:r w:rsidRPr="00A84A20">
        <w:rPr>
          <w:i/>
          <w:iCs/>
          <w:sz w:val="24"/>
          <w:szCs w:val="24"/>
        </w:rPr>
        <w:t>Journal of Colonialism and Colonial Studies</w:t>
      </w:r>
      <w:r w:rsidRPr="00A84A20">
        <w:rPr>
          <w:sz w:val="24"/>
          <w:szCs w:val="24"/>
        </w:rPr>
        <w:t xml:space="preserve"> 4</w:t>
      </w:r>
      <w:r>
        <w:rPr>
          <w:sz w:val="24"/>
          <w:szCs w:val="24"/>
        </w:rPr>
        <w:t>/</w:t>
      </w:r>
      <w:r w:rsidRPr="00A84A20">
        <w:rPr>
          <w:sz w:val="24"/>
          <w:szCs w:val="24"/>
        </w:rPr>
        <w:t>3 (2003)</w:t>
      </w:r>
      <w:r>
        <w:rPr>
          <w:sz w:val="24"/>
          <w:szCs w:val="24"/>
        </w:rPr>
        <w:t xml:space="preserve"> </w:t>
      </w:r>
      <w:r w:rsidRPr="008C6CB6">
        <w:rPr>
          <w:sz w:val="24"/>
          <w:szCs w:val="24"/>
        </w:rPr>
        <w:t>[</w:t>
      </w:r>
      <w:r w:rsidRPr="008C6CB6">
        <w:rPr>
          <w:color w:val="0A0A0A"/>
          <w:sz w:val="24"/>
          <w:szCs w:val="24"/>
          <w:shd w:val="clear" w:color="auto" w:fill="FFFFFF"/>
        </w:rPr>
        <w:t>DOI: </w:t>
      </w:r>
      <w:hyperlink r:id="rId40" w:history="1">
        <w:r w:rsidRPr="008C6CB6">
          <w:rPr>
            <w:rStyle w:val="Hyperlink"/>
            <w:color w:val="284F84"/>
            <w:sz w:val="24"/>
            <w:szCs w:val="24"/>
            <w:shd w:val="clear" w:color="auto" w:fill="FFFFFF"/>
          </w:rPr>
          <w:t>10.1353/cch.2004.0003</w:t>
        </w:r>
      </w:hyperlink>
      <w:r w:rsidRPr="008C6CB6">
        <w:rPr>
          <w:sz w:val="24"/>
          <w:szCs w:val="24"/>
        </w:rPr>
        <w:t>];</w:t>
      </w:r>
      <w:r w:rsidRPr="00A84A20">
        <w:rPr>
          <w:sz w:val="24"/>
          <w:szCs w:val="24"/>
        </w:rPr>
        <w:t xml:space="preserve"> Patrick Wolfe, </w:t>
      </w:r>
      <w:r>
        <w:rPr>
          <w:sz w:val="24"/>
          <w:szCs w:val="24"/>
        </w:rPr>
        <w:t>‘</w:t>
      </w:r>
      <w:r w:rsidRPr="00A84A20">
        <w:rPr>
          <w:sz w:val="24"/>
          <w:szCs w:val="24"/>
        </w:rPr>
        <w:t>Settler Colonialism and the Elimination of the Native</w:t>
      </w:r>
      <w:r>
        <w:rPr>
          <w:sz w:val="24"/>
          <w:szCs w:val="24"/>
        </w:rPr>
        <w:t>’</w:t>
      </w:r>
      <w:r w:rsidRPr="00A84A20">
        <w:rPr>
          <w:sz w:val="24"/>
          <w:szCs w:val="24"/>
        </w:rPr>
        <w:t xml:space="preserve">, </w:t>
      </w:r>
      <w:r w:rsidRPr="00A84A20">
        <w:rPr>
          <w:i/>
          <w:iCs/>
          <w:sz w:val="24"/>
          <w:szCs w:val="24"/>
        </w:rPr>
        <w:t>Journal of Genocide Researc</w:t>
      </w:r>
      <w:r>
        <w:rPr>
          <w:i/>
          <w:iCs/>
          <w:sz w:val="24"/>
          <w:szCs w:val="24"/>
        </w:rPr>
        <w:t>,</w:t>
      </w:r>
      <w:r w:rsidRPr="00A84A20">
        <w:rPr>
          <w:sz w:val="24"/>
          <w:szCs w:val="24"/>
        </w:rPr>
        <w:t xml:space="preserve"> 8</w:t>
      </w:r>
      <w:r>
        <w:rPr>
          <w:sz w:val="24"/>
          <w:szCs w:val="24"/>
        </w:rPr>
        <w:t>/</w:t>
      </w:r>
      <w:r w:rsidRPr="00A84A20">
        <w:rPr>
          <w:sz w:val="24"/>
          <w:szCs w:val="24"/>
        </w:rPr>
        <w:t>4 (2006)</w:t>
      </w:r>
      <w:r>
        <w:rPr>
          <w:sz w:val="24"/>
          <w:szCs w:val="24"/>
        </w:rPr>
        <w:t xml:space="preserve">, </w:t>
      </w:r>
      <w:r w:rsidRPr="00A84A20">
        <w:rPr>
          <w:sz w:val="24"/>
          <w:szCs w:val="24"/>
        </w:rPr>
        <w:t>387</w:t>
      </w:r>
      <w:r>
        <w:rPr>
          <w:sz w:val="24"/>
          <w:szCs w:val="24"/>
        </w:rPr>
        <w:t>-</w:t>
      </w:r>
      <w:r w:rsidRPr="00A84A20">
        <w:rPr>
          <w:sz w:val="24"/>
          <w:szCs w:val="24"/>
        </w:rPr>
        <w:t xml:space="preserve">409; and Henry Reynolds, </w:t>
      </w:r>
      <w:r w:rsidRPr="00A84A20">
        <w:rPr>
          <w:i/>
          <w:iCs/>
          <w:sz w:val="24"/>
          <w:szCs w:val="24"/>
        </w:rPr>
        <w:t>Forgotten Wars</w:t>
      </w:r>
      <w:r w:rsidRPr="00A84A20">
        <w:rPr>
          <w:sz w:val="24"/>
          <w:szCs w:val="24"/>
        </w:rPr>
        <w:t xml:space="preserve"> (Sydney, N.S.W.: NewSouth Publishing 2013).</w:t>
      </w:r>
    </w:p>
  </w:footnote>
  <w:footnote w:id="94">
    <w:p w14:paraId="58422E5B" w14:textId="77777777" w:rsidR="00997966" w:rsidRPr="00FD5A0E" w:rsidRDefault="00997966" w:rsidP="00997966">
      <w:pPr>
        <w:pStyle w:val="FootnoteText"/>
        <w:spacing w:line="480" w:lineRule="auto"/>
        <w:contextualSpacing/>
        <w:rPr>
          <w:i/>
          <w:iCs/>
          <w:sz w:val="24"/>
          <w:szCs w:val="24"/>
        </w:rPr>
      </w:pPr>
      <w:r w:rsidRPr="00A84A20">
        <w:rPr>
          <w:rStyle w:val="FootnoteReference"/>
          <w:sz w:val="24"/>
          <w:szCs w:val="24"/>
        </w:rPr>
        <w:footnoteRef/>
      </w:r>
      <w:r w:rsidRPr="00A84A20">
        <w:rPr>
          <w:sz w:val="24"/>
          <w:szCs w:val="24"/>
        </w:rPr>
        <w:t xml:space="preserve"> Hussain, </w:t>
      </w:r>
      <w:r w:rsidRPr="00A84A20">
        <w:rPr>
          <w:bCs/>
          <w:i/>
          <w:iCs/>
          <w:sz w:val="24"/>
          <w:szCs w:val="24"/>
        </w:rPr>
        <w:t>The Jurisprudence of Emergency</w:t>
      </w:r>
      <w:r>
        <w:rPr>
          <w:sz w:val="24"/>
          <w:szCs w:val="24"/>
        </w:rPr>
        <w:t xml:space="preserve"> (n 58);</w:t>
      </w:r>
      <w:r w:rsidRPr="00A84A20">
        <w:rPr>
          <w:sz w:val="24"/>
          <w:szCs w:val="24"/>
        </w:rPr>
        <w:t xml:space="preserve"> Rande W. Kostal, </w:t>
      </w:r>
      <w:r w:rsidRPr="00A84A20">
        <w:rPr>
          <w:i/>
          <w:iCs/>
          <w:sz w:val="24"/>
          <w:szCs w:val="24"/>
        </w:rPr>
        <w:t>A Jurisprudence of Power: Victorian Empire and the Rule of Law</w:t>
      </w:r>
      <w:r w:rsidRPr="00A84A20">
        <w:rPr>
          <w:sz w:val="24"/>
          <w:szCs w:val="24"/>
        </w:rPr>
        <w:t xml:space="preserve"> (Oxford: Oxford University Press 2005)</w:t>
      </w:r>
      <w:r>
        <w:rPr>
          <w:sz w:val="24"/>
          <w:szCs w:val="24"/>
        </w:rPr>
        <w:t xml:space="preserve"> (hereafter Kostal, </w:t>
      </w:r>
      <w:r>
        <w:rPr>
          <w:i/>
          <w:iCs/>
          <w:sz w:val="24"/>
          <w:szCs w:val="24"/>
        </w:rPr>
        <w:t>A Jurisprudence of Power</w:t>
      </w:r>
      <w:r>
        <w:rPr>
          <w:sz w:val="24"/>
          <w:szCs w:val="24"/>
        </w:rPr>
        <w:t>)</w:t>
      </w:r>
      <w:r w:rsidRPr="00A84A20">
        <w:rPr>
          <w:sz w:val="24"/>
          <w:szCs w:val="24"/>
        </w:rPr>
        <w:t xml:space="preserve">; </w:t>
      </w:r>
      <w:r>
        <w:rPr>
          <w:sz w:val="24"/>
          <w:szCs w:val="24"/>
        </w:rPr>
        <w:t xml:space="preserve">Ranabir </w:t>
      </w:r>
      <w:r w:rsidRPr="00A84A20">
        <w:rPr>
          <w:sz w:val="24"/>
          <w:szCs w:val="24"/>
        </w:rPr>
        <w:t xml:space="preserve">Samaddar, </w:t>
      </w:r>
      <w:r>
        <w:rPr>
          <w:sz w:val="24"/>
          <w:szCs w:val="24"/>
        </w:rPr>
        <w:t>‘</w:t>
      </w:r>
      <w:r w:rsidRPr="00A84A20">
        <w:rPr>
          <w:sz w:val="24"/>
          <w:szCs w:val="24"/>
        </w:rPr>
        <w:t>Colonial State, Terror and Law</w:t>
      </w:r>
      <w:r>
        <w:rPr>
          <w:sz w:val="24"/>
          <w:szCs w:val="24"/>
        </w:rPr>
        <w:t>’ (n 57); Ranabir Samaddar,</w:t>
      </w:r>
      <w:r w:rsidRPr="00A84A20">
        <w:rPr>
          <w:sz w:val="24"/>
          <w:szCs w:val="24"/>
        </w:rPr>
        <w:t xml:space="preserve"> </w:t>
      </w:r>
      <w:r>
        <w:rPr>
          <w:bCs/>
          <w:sz w:val="24"/>
          <w:szCs w:val="24"/>
        </w:rPr>
        <w:t>‘</w:t>
      </w:r>
      <w:r w:rsidRPr="00A84A20">
        <w:rPr>
          <w:bCs/>
          <w:sz w:val="24"/>
          <w:szCs w:val="24"/>
        </w:rPr>
        <w:t>Law and Terror in the Age of Colonial Constitution Making</w:t>
      </w:r>
      <w:r>
        <w:rPr>
          <w:bCs/>
          <w:sz w:val="24"/>
          <w:szCs w:val="24"/>
        </w:rPr>
        <w:t>’,</w:t>
      </w:r>
      <w:r w:rsidRPr="00A84A20">
        <w:rPr>
          <w:bCs/>
          <w:sz w:val="24"/>
          <w:szCs w:val="24"/>
        </w:rPr>
        <w:t xml:space="preserve"> </w:t>
      </w:r>
      <w:r w:rsidRPr="00A84A20">
        <w:rPr>
          <w:bCs/>
          <w:i/>
          <w:iCs/>
          <w:sz w:val="24"/>
          <w:szCs w:val="24"/>
        </w:rPr>
        <w:t>Diogenes</w:t>
      </w:r>
      <w:r w:rsidRPr="00A84A20">
        <w:rPr>
          <w:bCs/>
          <w:sz w:val="24"/>
          <w:szCs w:val="24"/>
        </w:rPr>
        <w:t xml:space="preserve"> 212 (2006)</w:t>
      </w:r>
      <w:r>
        <w:rPr>
          <w:bCs/>
          <w:sz w:val="24"/>
          <w:szCs w:val="24"/>
        </w:rPr>
        <w:t>,</w:t>
      </w:r>
      <w:r w:rsidRPr="00A84A20">
        <w:rPr>
          <w:bCs/>
          <w:sz w:val="24"/>
          <w:szCs w:val="24"/>
        </w:rPr>
        <w:t xml:space="preserve"> 18</w:t>
      </w:r>
      <w:r>
        <w:rPr>
          <w:bCs/>
          <w:sz w:val="24"/>
          <w:szCs w:val="24"/>
        </w:rPr>
        <w:t>-</w:t>
      </w:r>
      <w:r w:rsidRPr="00A84A20">
        <w:rPr>
          <w:bCs/>
          <w:sz w:val="24"/>
          <w:szCs w:val="24"/>
        </w:rPr>
        <w:t xml:space="preserve">33; </w:t>
      </w:r>
      <w:r w:rsidRPr="00A84A20">
        <w:rPr>
          <w:sz w:val="24"/>
          <w:szCs w:val="24"/>
        </w:rPr>
        <w:t xml:space="preserve">Ranjan Chakrabarti, </w:t>
      </w:r>
      <w:r w:rsidRPr="00A84A20">
        <w:rPr>
          <w:i/>
          <w:sz w:val="24"/>
          <w:szCs w:val="24"/>
        </w:rPr>
        <w:t>Terror, Crime and Punishment: Order and Disorder in Early Colonial Bengal 1800</w:t>
      </w:r>
      <w:r>
        <w:rPr>
          <w:i/>
          <w:sz w:val="24"/>
          <w:szCs w:val="24"/>
        </w:rPr>
        <w:t>-</w:t>
      </w:r>
      <w:r w:rsidRPr="00A84A20">
        <w:rPr>
          <w:i/>
          <w:sz w:val="24"/>
          <w:szCs w:val="24"/>
        </w:rPr>
        <w:t>1860</w:t>
      </w:r>
      <w:r w:rsidRPr="00A84A20">
        <w:rPr>
          <w:sz w:val="24"/>
          <w:szCs w:val="24"/>
        </w:rPr>
        <w:t xml:space="preserve"> (Kolkata: Reader’s Service, 2009); Esmeir, </w:t>
      </w:r>
      <w:r w:rsidRPr="00A84A20">
        <w:rPr>
          <w:i/>
          <w:iCs/>
          <w:sz w:val="24"/>
          <w:szCs w:val="24"/>
        </w:rPr>
        <w:t>Juridical Humanity</w:t>
      </w:r>
      <w:r>
        <w:rPr>
          <w:i/>
          <w:iCs/>
          <w:sz w:val="24"/>
          <w:szCs w:val="24"/>
        </w:rPr>
        <w:t xml:space="preserve"> </w:t>
      </w:r>
      <w:r>
        <w:rPr>
          <w:sz w:val="24"/>
          <w:szCs w:val="24"/>
        </w:rPr>
        <w:t>(n 36)</w:t>
      </w:r>
      <w:r w:rsidRPr="00A84A20">
        <w:rPr>
          <w:i/>
          <w:iCs/>
          <w:sz w:val="24"/>
          <w:szCs w:val="24"/>
        </w:rPr>
        <w:t xml:space="preserve">; </w:t>
      </w:r>
      <w:r w:rsidRPr="00A84A20">
        <w:rPr>
          <w:sz w:val="24"/>
          <w:szCs w:val="24"/>
        </w:rPr>
        <w:t xml:space="preserve">Mark Condos, </w:t>
      </w:r>
      <w:r>
        <w:rPr>
          <w:sz w:val="24"/>
          <w:szCs w:val="24"/>
        </w:rPr>
        <w:t>‘</w:t>
      </w:r>
      <w:r w:rsidRPr="00A84A20">
        <w:rPr>
          <w:sz w:val="24"/>
          <w:szCs w:val="24"/>
        </w:rPr>
        <w:t>License to Kill: The Murderous Outrages Act and the Rule of Law in Colonial India, 1867</w:t>
      </w:r>
      <w:r>
        <w:rPr>
          <w:sz w:val="24"/>
          <w:szCs w:val="24"/>
        </w:rPr>
        <w:t>-</w:t>
      </w:r>
      <w:r w:rsidRPr="00A84A20">
        <w:rPr>
          <w:sz w:val="24"/>
          <w:szCs w:val="24"/>
        </w:rPr>
        <w:t>1925</w:t>
      </w:r>
      <w:r>
        <w:rPr>
          <w:sz w:val="24"/>
          <w:szCs w:val="24"/>
        </w:rPr>
        <w:t>’</w:t>
      </w:r>
      <w:r w:rsidRPr="00A84A20">
        <w:rPr>
          <w:sz w:val="24"/>
          <w:szCs w:val="24"/>
        </w:rPr>
        <w:t>,</w:t>
      </w:r>
      <w:r w:rsidRPr="00A84A20">
        <w:rPr>
          <w:b/>
          <w:bCs/>
          <w:sz w:val="24"/>
          <w:szCs w:val="24"/>
        </w:rPr>
        <w:t xml:space="preserve"> </w:t>
      </w:r>
      <w:r w:rsidRPr="00A84A20">
        <w:rPr>
          <w:i/>
          <w:iCs/>
          <w:sz w:val="24"/>
          <w:szCs w:val="24"/>
        </w:rPr>
        <w:t>Modern Asian Studies</w:t>
      </w:r>
      <w:r w:rsidRPr="00A84A20">
        <w:rPr>
          <w:sz w:val="24"/>
          <w:szCs w:val="24"/>
        </w:rPr>
        <w:t xml:space="preserve"> 50</w:t>
      </w:r>
      <w:r>
        <w:rPr>
          <w:sz w:val="24"/>
          <w:szCs w:val="24"/>
        </w:rPr>
        <w:t>/</w:t>
      </w:r>
      <w:r w:rsidRPr="00A84A20">
        <w:rPr>
          <w:sz w:val="24"/>
          <w:szCs w:val="24"/>
        </w:rPr>
        <w:t>2 (2016)</w:t>
      </w:r>
      <w:r>
        <w:rPr>
          <w:sz w:val="24"/>
          <w:szCs w:val="24"/>
        </w:rPr>
        <w:t>,</w:t>
      </w:r>
      <w:r w:rsidRPr="00A84A20">
        <w:rPr>
          <w:sz w:val="24"/>
          <w:szCs w:val="24"/>
        </w:rPr>
        <w:t xml:space="preserve"> 479</w:t>
      </w:r>
      <w:r>
        <w:rPr>
          <w:sz w:val="24"/>
          <w:szCs w:val="24"/>
        </w:rPr>
        <w:t>-</w:t>
      </w:r>
      <w:r w:rsidRPr="00A84A20">
        <w:rPr>
          <w:sz w:val="24"/>
          <w:szCs w:val="24"/>
        </w:rPr>
        <w:t>17</w:t>
      </w:r>
      <w:r>
        <w:rPr>
          <w:sz w:val="24"/>
          <w:szCs w:val="24"/>
        </w:rPr>
        <w:t xml:space="preserve"> (hereafter Condos, ‘License to Kill’)</w:t>
      </w:r>
      <w:r w:rsidRPr="00A84A20">
        <w:rPr>
          <w:sz w:val="24"/>
          <w:szCs w:val="24"/>
        </w:rPr>
        <w:t>; Reynolds,</w:t>
      </w:r>
      <w:r w:rsidRPr="00A84A20">
        <w:rPr>
          <w:i/>
          <w:iCs/>
          <w:sz w:val="24"/>
          <w:szCs w:val="24"/>
        </w:rPr>
        <w:t xml:space="preserve"> Empire</w:t>
      </w:r>
      <w:r>
        <w:rPr>
          <w:i/>
          <w:iCs/>
          <w:sz w:val="24"/>
          <w:szCs w:val="24"/>
        </w:rPr>
        <w:t xml:space="preserve"> </w:t>
      </w:r>
      <w:r>
        <w:rPr>
          <w:sz w:val="24"/>
          <w:szCs w:val="24"/>
        </w:rPr>
        <w:t>(n 15)</w:t>
      </w:r>
      <w:r w:rsidRPr="00A84A20">
        <w:rPr>
          <w:sz w:val="24"/>
          <w:szCs w:val="24"/>
        </w:rPr>
        <w:t xml:space="preserve">; and Lyndall Ryan, </w:t>
      </w:r>
      <w:r>
        <w:rPr>
          <w:sz w:val="24"/>
          <w:szCs w:val="24"/>
        </w:rPr>
        <w:t>‘</w:t>
      </w:r>
      <w:r w:rsidRPr="00A84A20">
        <w:rPr>
          <w:sz w:val="24"/>
          <w:szCs w:val="24"/>
        </w:rPr>
        <w:t>Martial Law in the British Empire</w:t>
      </w:r>
      <w:r>
        <w:rPr>
          <w:sz w:val="24"/>
          <w:szCs w:val="24"/>
        </w:rPr>
        <w:t>’</w:t>
      </w:r>
      <w:r w:rsidRPr="00A84A20">
        <w:rPr>
          <w:sz w:val="24"/>
          <w:szCs w:val="24"/>
        </w:rPr>
        <w:t xml:space="preserve">, in </w:t>
      </w:r>
      <w:r>
        <w:rPr>
          <w:sz w:val="24"/>
          <w:szCs w:val="24"/>
        </w:rPr>
        <w:t xml:space="preserve">Philip </w:t>
      </w:r>
      <w:r w:rsidRPr="00A84A20">
        <w:rPr>
          <w:sz w:val="24"/>
          <w:szCs w:val="24"/>
        </w:rPr>
        <w:t xml:space="preserve">Dwyer and </w:t>
      </w:r>
      <w:r>
        <w:rPr>
          <w:sz w:val="24"/>
          <w:szCs w:val="24"/>
        </w:rPr>
        <w:t xml:space="preserve">Amanda </w:t>
      </w:r>
      <w:r w:rsidRPr="00A84A20">
        <w:rPr>
          <w:sz w:val="24"/>
          <w:szCs w:val="24"/>
        </w:rPr>
        <w:t>Nettlebeck</w:t>
      </w:r>
      <w:r>
        <w:rPr>
          <w:sz w:val="24"/>
          <w:szCs w:val="24"/>
        </w:rPr>
        <w:t xml:space="preserve"> (eds), </w:t>
      </w:r>
      <w:r w:rsidRPr="00A84A20">
        <w:rPr>
          <w:i/>
          <w:iCs/>
          <w:sz w:val="24"/>
          <w:szCs w:val="24"/>
        </w:rPr>
        <w:t>Violence, Colonialism and Empire in the Modern World</w:t>
      </w:r>
      <w:r>
        <w:rPr>
          <w:i/>
          <w:iCs/>
          <w:sz w:val="24"/>
          <w:szCs w:val="24"/>
        </w:rPr>
        <w:t xml:space="preserve">, </w:t>
      </w:r>
      <w:r w:rsidRPr="00FD5A0E">
        <w:rPr>
          <w:sz w:val="24"/>
          <w:szCs w:val="24"/>
        </w:rPr>
        <w:t>(Cham, Switzerland: Palgrave Macmillan, 2018), 9</w:t>
      </w:r>
      <w:r w:rsidRPr="00A84A20">
        <w:rPr>
          <w:sz w:val="24"/>
          <w:szCs w:val="24"/>
        </w:rPr>
        <w:t>3</w:t>
      </w:r>
      <w:r>
        <w:rPr>
          <w:sz w:val="24"/>
          <w:szCs w:val="24"/>
        </w:rPr>
        <w:t>-</w:t>
      </w:r>
      <w:r w:rsidRPr="00A84A20">
        <w:rPr>
          <w:sz w:val="24"/>
          <w:szCs w:val="24"/>
        </w:rPr>
        <w:t>109.</w:t>
      </w:r>
      <w:r>
        <w:rPr>
          <w:sz w:val="24"/>
          <w:szCs w:val="24"/>
        </w:rPr>
        <w:t xml:space="preserve"> </w:t>
      </w:r>
    </w:p>
  </w:footnote>
  <w:footnote w:id="95">
    <w:p w14:paraId="7DF94DDE"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Martin Thomas, </w:t>
      </w:r>
      <w:r w:rsidRPr="00A84A20">
        <w:rPr>
          <w:i/>
          <w:iCs/>
          <w:sz w:val="24"/>
          <w:szCs w:val="24"/>
        </w:rPr>
        <w:t>Violence and Colonial Order: Police, Workers and Protest in the European Colonial Empires, 1918</w:t>
      </w:r>
      <w:r>
        <w:rPr>
          <w:i/>
          <w:iCs/>
          <w:sz w:val="24"/>
          <w:szCs w:val="24"/>
        </w:rPr>
        <w:t>-</w:t>
      </w:r>
      <w:r w:rsidRPr="00A84A20">
        <w:rPr>
          <w:i/>
          <w:iCs/>
          <w:sz w:val="24"/>
          <w:szCs w:val="24"/>
        </w:rPr>
        <w:t>1940</w:t>
      </w:r>
      <w:r w:rsidRPr="00A84A20">
        <w:rPr>
          <w:b/>
          <w:bCs/>
          <w:sz w:val="24"/>
          <w:szCs w:val="24"/>
        </w:rPr>
        <w:t xml:space="preserve"> </w:t>
      </w:r>
      <w:r w:rsidRPr="00A84A20">
        <w:rPr>
          <w:sz w:val="24"/>
          <w:szCs w:val="24"/>
        </w:rPr>
        <w:t>(Cambridge: Cambridge University Press 2012)</w:t>
      </w:r>
      <w:r>
        <w:rPr>
          <w:sz w:val="24"/>
          <w:szCs w:val="24"/>
        </w:rPr>
        <w:t xml:space="preserve"> (hereafter Thomas, </w:t>
      </w:r>
      <w:r>
        <w:rPr>
          <w:i/>
          <w:iCs/>
          <w:sz w:val="24"/>
          <w:szCs w:val="24"/>
        </w:rPr>
        <w:t>Violence and Colonial Order</w:t>
      </w:r>
      <w:r>
        <w:rPr>
          <w:sz w:val="24"/>
          <w:szCs w:val="24"/>
        </w:rPr>
        <w:t>)</w:t>
      </w:r>
      <w:r w:rsidRPr="00A84A20">
        <w:rPr>
          <w:sz w:val="24"/>
          <w:szCs w:val="24"/>
        </w:rPr>
        <w:t xml:space="preserve">; and Radha Kumar, </w:t>
      </w:r>
      <w:r>
        <w:rPr>
          <w:sz w:val="24"/>
          <w:szCs w:val="24"/>
          <w:shd w:val="clear" w:color="auto" w:fill="FFFFFF"/>
        </w:rPr>
        <w:t>‘</w:t>
      </w:r>
      <w:r w:rsidRPr="00A84A20">
        <w:rPr>
          <w:sz w:val="24"/>
          <w:szCs w:val="24"/>
          <w:shd w:val="clear" w:color="auto" w:fill="FFFFFF"/>
        </w:rPr>
        <w:t>Seeing Like a Policeman: Everyday Violence in British India, c. 1900</w:t>
      </w:r>
      <w:r>
        <w:rPr>
          <w:sz w:val="24"/>
          <w:szCs w:val="24"/>
          <w:shd w:val="clear" w:color="auto" w:fill="FFFFFF"/>
        </w:rPr>
        <w:t>-</w:t>
      </w:r>
      <w:r w:rsidRPr="00A84A20">
        <w:rPr>
          <w:sz w:val="24"/>
          <w:szCs w:val="24"/>
          <w:shd w:val="clear" w:color="auto" w:fill="FFFFFF"/>
        </w:rPr>
        <w:t>1950</w:t>
      </w:r>
      <w:r>
        <w:rPr>
          <w:sz w:val="24"/>
          <w:szCs w:val="24"/>
          <w:shd w:val="clear" w:color="auto" w:fill="FFFFFF"/>
        </w:rPr>
        <w:t>’</w:t>
      </w:r>
      <w:r w:rsidRPr="00A84A20">
        <w:rPr>
          <w:sz w:val="24"/>
          <w:szCs w:val="24"/>
          <w:shd w:val="clear" w:color="auto" w:fill="FFFFFF"/>
        </w:rPr>
        <w:t>,</w:t>
      </w:r>
      <w:r w:rsidRPr="00A84A20">
        <w:rPr>
          <w:b/>
          <w:bCs/>
          <w:sz w:val="24"/>
          <w:szCs w:val="24"/>
          <w:shd w:val="clear" w:color="auto" w:fill="FFFFFF"/>
        </w:rPr>
        <w:t xml:space="preserve"> </w:t>
      </w:r>
      <w:r>
        <w:rPr>
          <w:sz w:val="24"/>
          <w:szCs w:val="24"/>
          <w:shd w:val="clear" w:color="auto" w:fill="FFFFFF"/>
        </w:rPr>
        <w:t xml:space="preserve">in </w:t>
      </w:r>
      <w:r>
        <w:rPr>
          <w:sz w:val="24"/>
          <w:szCs w:val="24"/>
        </w:rPr>
        <w:t xml:space="preserve">Philip </w:t>
      </w:r>
      <w:r w:rsidRPr="00A84A20">
        <w:rPr>
          <w:sz w:val="24"/>
          <w:szCs w:val="24"/>
        </w:rPr>
        <w:t xml:space="preserve">Dwyer and </w:t>
      </w:r>
      <w:r>
        <w:rPr>
          <w:sz w:val="24"/>
          <w:szCs w:val="24"/>
        </w:rPr>
        <w:t xml:space="preserve">Amanda </w:t>
      </w:r>
      <w:r w:rsidRPr="00A84A20">
        <w:rPr>
          <w:sz w:val="24"/>
          <w:szCs w:val="24"/>
        </w:rPr>
        <w:t>Nettlebeck</w:t>
      </w:r>
      <w:r>
        <w:rPr>
          <w:sz w:val="24"/>
          <w:szCs w:val="24"/>
        </w:rPr>
        <w:t xml:space="preserve"> (eds), </w:t>
      </w:r>
      <w:r w:rsidRPr="00A84A20">
        <w:rPr>
          <w:i/>
          <w:iCs/>
          <w:sz w:val="24"/>
          <w:szCs w:val="24"/>
        </w:rPr>
        <w:t>Violence, Colonialism and Empire in the Modern World</w:t>
      </w:r>
      <w:r>
        <w:rPr>
          <w:i/>
          <w:iCs/>
          <w:sz w:val="24"/>
          <w:szCs w:val="24"/>
        </w:rPr>
        <w:t xml:space="preserve"> </w:t>
      </w:r>
      <w:r w:rsidRPr="00FD5A0E">
        <w:rPr>
          <w:sz w:val="24"/>
          <w:szCs w:val="24"/>
        </w:rPr>
        <w:t>(Cham, Switzerland: Palgrave Macmillan, 2018),</w:t>
      </w:r>
      <w:r w:rsidRPr="00A84A20">
        <w:rPr>
          <w:sz w:val="24"/>
          <w:szCs w:val="24"/>
          <w:shd w:val="clear" w:color="auto" w:fill="FFFFFF"/>
        </w:rPr>
        <w:t xml:space="preserve"> 131</w:t>
      </w:r>
      <w:r>
        <w:rPr>
          <w:sz w:val="24"/>
          <w:szCs w:val="24"/>
          <w:shd w:val="clear" w:color="auto" w:fill="FFFFFF"/>
        </w:rPr>
        <w:t>-</w:t>
      </w:r>
      <w:r w:rsidRPr="00A84A20">
        <w:rPr>
          <w:sz w:val="24"/>
          <w:szCs w:val="24"/>
          <w:shd w:val="clear" w:color="auto" w:fill="FFFFFF"/>
        </w:rPr>
        <w:t>49</w:t>
      </w:r>
      <w:r>
        <w:rPr>
          <w:sz w:val="24"/>
          <w:szCs w:val="24"/>
          <w:shd w:val="clear" w:color="auto" w:fill="FFFFFF"/>
        </w:rPr>
        <w:t xml:space="preserve"> (hereafter Kumar, ‘Seeing Like a Policeman’)</w:t>
      </w:r>
      <w:r w:rsidRPr="00A84A20">
        <w:rPr>
          <w:sz w:val="24"/>
          <w:szCs w:val="24"/>
          <w:shd w:val="clear" w:color="auto" w:fill="FFFFFF"/>
        </w:rPr>
        <w:t>.</w:t>
      </w:r>
      <w:r>
        <w:rPr>
          <w:sz w:val="24"/>
          <w:szCs w:val="24"/>
          <w:shd w:val="clear" w:color="auto" w:fill="FFFFFF"/>
        </w:rPr>
        <w:t xml:space="preserve"> </w:t>
      </w:r>
    </w:p>
  </w:footnote>
  <w:footnote w:id="96">
    <w:p w14:paraId="602D44AB" w14:textId="77777777" w:rsidR="00997966" w:rsidRPr="000A40A9" w:rsidRDefault="00997966" w:rsidP="00997966">
      <w:pPr>
        <w:pStyle w:val="FootnoteText"/>
        <w:spacing w:line="480" w:lineRule="auto"/>
        <w:rPr>
          <w:sz w:val="24"/>
          <w:szCs w:val="24"/>
        </w:rPr>
      </w:pPr>
      <w:r w:rsidRPr="000A40A9">
        <w:rPr>
          <w:rStyle w:val="FootnoteReference"/>
          <w:sz w:val="24"/>
          <w:szCs w:val="24"/>
        </w:rPr>
        <w:footnoteRef/>
      </w:r>
      <w:r w:rsidRPr="000A40A9">
        <w:rPr>
          <w:sz w:val="24"/>
          <w:szCs w:val="24"/>
        </w:rPr>
        <w:t xml:space="preserve"> Satadru Sen, </w:t>
      </w:r>
      <w:r w:rsidRPr="000A40A9">
        <w:rPr>
          <w:i/>
          <w:iCs/>
          <w:sz w:val="24"/>
          <w:szCs w:val="24"/>
        </w:rPr>
        <w:t xml:space="preserve">Disciplining Punishment: Colonialism and Convict Society in the Andaman Islands </w:t>
      </w:r>
      <w:r w:rsidRPr="000A40A9">
        <w:rPr>
          <w:sz w:val="24"/>
          <w:szCs w:val="24"/>
        </w:rPr>
        <w:t xml:space="preserve">(New Delhi: Oxford University Press 2000); Florence Bernault (ed.) </w:t>
      </w:r>
      <w:r w:rsidRPr="000A40A9">
        <w:rPr>
          <w:i/>
          <w:iCs/>
          <w:sz w:val="24"/>
          <w:szCs w:val="24"/>
        </w:rPr>
        <w:t>A History of Prison and Confinement in Africa</w:t>
      </w:r>
      <w:r w:rsidRPr="000A40A9">
        <w:rPr>
          <w:sz w:val="24"/>
          <w:szCs w:val="24"/>
        </w:rPr>
        <w:t xml:space="preserve"> (Portsmouth, NH: Heinemann 2003); Diana Paton, </w:t>
      </w:r>
      <w:r w:rsidRPr="000A40A9">
        <w:rPr>
          <w:i/>
          <w:iCs/>
          <w:sz w:val="24"/>
          <w:szCs w:val="24"/>
        </w:rPr>
        <w:t>No Bond but the Law: Punishment, Race and Gender in Jamaican State Formation, 1780-1870</w:t>
      </w:r>
      <w:r w:rsidRPr="000A40A9">
        <w:rPr>
          <w:sz w:val="24"/>
          <w:szCs w:val="24"/>
        </w:rPr>
        <w:t xml:space="preserve"> (Durham: Duke University Press 2004)</w:t>
      </w:r>
      <w:r>
        <w:rPr>
          <w:sz w:val="24"/>
          <w:szCs w:val="24"/>
        </w:rPr>
        <w:t>;</w:t>
      </w:r>
      <w:r w:rsidRPr="000A40A9">
        <w:rPr>
          <w:sz w:val="24"/>
          <w:szCs w:val="24"/>
        </w:rPr>
        <w:t xml:space="preserve"> Clare Anderson, </w:t>
      </w:r>
      <w:r w:rsidRPr="000A40A9">
        <w:rPr>
          <w:i/>
          <w:iCs/>
          <w:sz w:val="24"/>
          <w:szCs w:val="24"/>
        </w:rPr>
        <w:t xml:space="preserve">The Indian Uprising of 1857-8: Prisons, Prisoners and Rebellion </w:t>
      </w:r>
      <w:r w:rsidRPr="000A40A9">
        <w:rPr>
          <w:sz w:val="24"/>
          <w:szCs w:val="24"/>
        </w:rPr>
        <w:t xml:space="preserve">(London: Athen Press 2007); and Frank Dikötter and Ian Brown (eds.), </w:t>
      </w:r>
      <w:r w:rsidRPr="000A40A9">
        <w:rPr>
          <w:i/>
          <w:iCs/>
          <w:sz w:val="24"/>
          <w:szCs w:val="24"/>
        </w:rPr>
        <w:t xml:space="preserve">Cultures of Confinement: </w:t>
      </w:r>
      <w:r>
        <w:rPr>
          <w:i/>
          <w:iCs/>
          <w:sz w:val="24"/>
          <w:szCs w:val="24"/>
        </w:rPr>
        <w:t>A</w:t>
      </w:r>
      <w:r w:rsidRPr="000A40A9">
        <w:rPr>
          <w:i/>
          <w:iCs/>
          <w:sz w:val="24"/>
          <w:szCs w:val="24"/>
        </w:rPr>
        <w:t xml:space="preserve"> History of the Prison in Africa, Asia and Latin America</w:t>
      </w:r>
      <w:r w:rsidRPr="000A40A9">
        <w:rPr>
          <w:sz w:val="24"/>
          <w:szCs w:val="24"/>
        </w:rPr>
        <w:t xml:space="preserve"> (London: Hurst &amp; Company 2007)</w:t>
      </w:r>
      <w:r>
        <w:rPr>
          <w:sz w:val="24"/>
          <w:szCs w:val="24"/>
        </w:rPr>
        <w:t>.</w:t>
      </w:r>
    </w:p>
  </w:footnote>
  <w:footnote w:id="97">
    <w:p w14:paraId="43B03A40" w14:textId="77777777" w:rsidR="00997966" w:rsidRPr="00B75BB5" w:rsidRDefault="00997966" w:rsidP="00997966">
      <w:pPr>
        <w:pStyle w:val="FootnoteText"/>
        <w:spacing w:line="480" w:lineRule="auto"/>
        <w:contextualSpacing/>
        <w:rPr>
          <w:sz w:val="24"/>
          <w:szCs w:val="24"/>
        </w:rPr>
      </w:pPr>
      <w:r w:rsidRPr="00B75BB5">
        <w:rPr>
          <w:rStyle w:val="FootnoteReference"/>
          <w:sz w:val="24"/>
          <w:szCs w:val="24"/>
        </w:rPr>
        <w:footnoteRef/>
      </w:r>
      <w:r w:rsidRPr="00B75BB5">
        <w:rPr>
          <w:sz w:val="24"/>
          <w:szCs w:val="24"/>
        </w:rPr>
        <w:t xml:space="preserve"> Clare Anderson, </w:t>
      </w:r>
      <w:r w:rsidRPr="00B75BB5">
        <w:rPr>
          <w:i/>
          <w:iCs/>
          <w:sz w:val="24"/>
          <w:szCs w:val="24"/>
        </w:rPr>
        <w:t>Convicts in the Indian Ocean: Transportation from South Asia to Mauritius, 1815-1853</w:t>
      </w:r>
      <w:r w:rsidRPr="00B75BB5">
        <w:rPr>
          <w:sz w:val="24"/>
          <w:szCs w:val="24"/>
        </w:rPr>
        <w:t xml:space="preserve"> (Houndmills: Macmillan 2000); Alice Bullard, </w:t>
      </w:r>
      <w:r w:rsidRPr="000A40A9">
        <w:rPr>
          <w:i/>
          <w:iCs/>
          <w:sz w:val="24"/>
          <w:szCs w:val="24"/>
        </w:rPr>
        <w:t>Exile to Paradise: Savagery and Civilisation in Paris and the South Pacific, 1790-1900</w:t>
      </w:r>
      <w:r w:rsidRPr="00B75BB5">
        <w:rPr>
          <w:sz w:val="24"/>
          <w:szCs w:val="24"/>
        </w:rPr>
        <w:t xml:space="preserve"> (Stanford: Stanford University Press 2000); Stephen A. Toth, </w:t>
      </w:r>
      <w:r w:rsidRPr="00B75BB5">
        <w:rPr>
          <w:i/>
          <w:iCs/>
          <w:sz w:val="24"/>
          <w:szCs w:val="24"/>
        </w:rPr>
        <w:t>Beyond Papillon: the French Overseas Penal Colonies, 1854-1952</w:t>
      </w:r>
      <w:r w:rsidRPr="00B75BB5">
        <w:rPr>
          <w:sz w:val="24"/>
          <w:szCs w:val="24"/>
        </w:rPr>
        <w:t xml:space="preserve"> (Lincoln: University of Nebraska Press 2006); and Tracey Banivanua-Mar, </w:t>
      </w:r>
      <w:r w:rsidRPr="00B75BB5">
        <w:rPr>
          <w:i/>
          <w:iCs/>
          <w:sz w:val="24"/>
          <w:szCs w:val="24"/>
        </w:rPr>
        <w:t>Violence and Colonial Dialogue: The Australian-Pacific Indentured Labor Trade</w:t>
      </w:r>
      <w:r w:rsidRPr="00B75BB5">
        <w:rPr>
          <w:sz w:val="24"/>
          <w:szCs w:val="24"/>
        </w:rPr>
        <w:t xml:space="preserve"> (Honolulu: University of Hawaii Press 2007). </w:t>
      </w:r>
    </w:p>
  </w:footnote>
  <w:footnote w:id="98">
    <w:p w14:paraId="5AB772D4"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w:t>
      </w:r>
      <w:r w:rsidRPr="00A84A20">
        <w:rPr>
          <w:sz w:val="24"/>
          <w:szCs w:val="24"/>
          <w:shd w:val="clear" w:color="auto" w:fill="FFFFFF"/>
        </w:rPr>
        <w:t xml:space="preserve">Jonas Kreienbaum, </w:t>
      </w:r>
      <w:r>
        <w:rPr>
          <w:sz w:val="24"/>
          <w:szCs w:val="24"/>
          <w:shd w:val="clear" w:color="auto" w:fill="FFFFFF"/>
        </w:rPr>
        <w:t>‘</w:t>
      </w:r>
      <w:r w:rsidRPr="00A84A20">
        <w:rPr>
          <w:sz w:val="24"/>
          <w:szCs w:val="24"/>
          <w:shd w:val="clear" w:color="auto" w:fill="FFFFFF"/>
        </w:rPr>
        <w:t>Deadly Learning? Concentration Camps in Colonial Wars Around 1900</w:t>
      </w:r>
      <w:r>
        <w:rPr>
          <w:sz w:val="24"/>
          <w:szCs w:val="24"/>
          <w:shd w:val="clear" w:color="auto" w:fill="FFFFFF"/>
        </w:rPr>
        <w:t>’</w:t>
      </w:r>
      <w:r w:rsidRPr="00A84A20">
        <w:rPr>
          <w:sz w:val="24"/>
          <w:szCs w:val="24"/>
          <w:shd w:val="clear" w:color="auto" w:fill="FFFFFF"/>
        </w:rPr>
        <w:t xml:space="preserve">, in Volker Barth and Roland Cvetkovski (eds), </w:t>
      </w:r>
      <w:r w:rsidRPr="00A84A20">
        <w:rPr>
          <w:i/>
          <w:iCs/>
          <w:sz w:val="24"/>
          <w:szCs w:val="24"/>
          <w:shd w:val="clear" w:color="auto" w:fill="FFFFFF"/>
        </w:rPr>
        <w:t>Imperial Co</w:t>
      </w:r>
      <w:r>
        <w:rPr>
          <w:i/>
          <w:iCs/>
          <w:sz w:val="24"/>
          <w:szCs w:val="24"/>
          <w:shd w:val="clear" w:color="auto" w:fill="FFFFFF"/>
        </w:rPr>
        <w:t>-</w:t>
      </w:r>
      <w:r w:rsidRPr="00A84A20">
        <w:rPr>
          <w:i/>
          <w:iCs/>
          <w:sz w:val="24"/>
          <w:szCs w:val="24"/>
          <w:shd w:val="clear" w:color="auto" w:fill="FFFFFF"/>
        </w:rPr>
        <w:t>operation and Transfer, 1870</w:t>
      </w:r>
      <w:r>
        <w:rPr>
          <w:i/>
          <w:iCs/>
          <w:sz w:val="24"/>
          <w:szCs w:val="24"/>
          <w:shd w:val="clear" w:color="auto" w:fill="FFFFFF"/>
        </w:rPr>
        <w:t>-</w:t>
      </w:r>
      <w:r w:rsidRPr="00A84A20">
        <w:rPr>
          <w:i/>
          <w:iCs/>
          <w:sz w:val="24"/>
          <w:szCs w:val="24"/>
          <w:shd w:val="clear" w:color="auto" w:fill="FFFFFF"/>
        </w:rPr>
        <w:t>1930</w:t>
      </w:r>
      <w:r w:rsidRPr="00A84A20">
        <w:rPr>
          <w:sz w:val="24"/>
          <w:szCs w:val="24"/>
          <w:shd w:val="clear" w:color="auto" w:fill="FFFFFF"/>
        </w:rPr>
        <w:t xml:space="preserve"> (London: Bloomsbury, 2015), 219</w:t>
      </w:r>
      <w:r>
        <w:rPr>
          <w:sz w:val="24"/>
          <w:szCs w:val="24"/>
          <w:shd w:val="clear" w:color="auto" w:fill="FFFFFF"/>
        </w:rPr>
        <w:t>-</w:t>
      </w:r>
      <w:r w:rsidRPr="00A84A20">
        <w:rPr>
          <w:sz w:val="24"/>
          <w:szCs w:val="24"/>
          <w:shd w:val="clear" w:color="auto" w:fill="FFFFFF"/>
        </w:rPr>
        <w:t xml:space="preserve">35; Aidan Forth, </w:t>
      </w:r>
      <w:r w:rsidRPr="00A84A20">
        <w:rPr>
          <w:i/>
          <w:iCs/>
          <w:sz w:val="24"/>
          <w:szCs w:val="24"/>
          <w:shd w:val="clear" w:color="auto" w:fill="FFFFFF"/>
        </w:rPr>
        <w:t>Barbed</w:t>
      </w:r>
      <w:r>
        <w:rPr>
          <w:i/>
          <w:iCs/>
          <w:sz w:val="24"/>
          <w:szCs w:val="24"/>
          <w:shd w:val="clear" w:color="auto" w:fill="FFFFFF"/>
        </w:rPr>
        <w:t>-</w:t>
      </w:r>
      <w:r w:rsidRPr="00A84A20">
        <w:rPr>
          <w:i/>
          <w:iCs/>
          <w:sz w:val="24"/>
          <w:szCs w:val="24"/>
          <w:shd w:val="clear" w:color="auto" w:fill="FFFFFF"/>
        </w:rPr>
        <w:t>Wire Imperialism: Britain’s Empire of Camps, 1876</w:t>
      </w:r>
      <w:r>
        <w:rPr>
          <w:i/>
          <w:iCs/>
          <w:sz w:val="24"/>
          <w:szCs w:val="24"/>
          <w:shd w:val="clear" w:color="auto" w:fill="FFFFFF"/>
        </w:rPr>
        <w:t>-</w:t>
      </w:r>
      <w:r w:rsidRPr="00A84A20">
        <w:rPr>
          <w:i/>
          <w:iCs/>
          <w:sz w:val="24"/>
          <w:szCs w:val="24"/>
          <w:shd w:val="clear" w:color="auto" w:fill="FFFFFF"/>
        </w:rPr>
        <w:t xml:space="preserve">1903 </w:t>
      </w:r>
      <w:r w:rsidRPr="00A84A20">
        <w:rPr>
          <w:sz w:val="24"/>
          <w:szCs w:val="24"/>
          <w:shd w:val="clear" w:color="auto" w:fill="FFFFFF"/>
        </w:rPr>
        <w:t xml:space="preserve">(Berkeley: University of California Press 2017); and </w:t>
      </w:r>
      <w:r w:rsidRPr="00A84A20">
        <w:rPr>
          <w:sz w:val="24"/>
          <w:szCs w:val="24"/>
        </w:rPr>
        <w:t xml:space="preserve">Dan Stone, </w:t>
      </w:r>
      <w:r w:rsidRPr="00A84A20">
        <w:rPr>
          <w:i/>
          <w:iCs/>
          <w:sz w:val="24"/>
          <w:szCs w:val="24"/>
        </w:rPr>
        <w:t>Concentration Camps: A Short History</w:t>
      </w:r>
      <w:r w:rsidRPr="00A84A20">
        <w:rPr>
          <w:sz w:val="24"/>
          <w:szCs w:val="24"/>
        </w:rPr>
        <w:t xml:space="preserve"> (Oxford: Oxford University Press 2017).</w:t>
      </w:r>
    </w:p>
  </w:footnote>
  <w:footnote w:id="99">
    <w:p w14:paraId="4ABD1717" w14:textId="77777777" w:rsidR="00997966" w:rsidRPr="00B01B29" w:rsidRDefault="00997966" w:rsidP="00997966">
      <w:pPr>
        <w:pStyle w:val="FootnoteText"/>
        <w:spacing w:line="480" w:lineRule="auto"/>
        <w:contextualSpacing/>
        <w:rPr>
          <w:i/>
          <w:iCs/>
          <w:sz w:val="24"/>
          <w:szCs w:val="24"/>
        </w:rPr>
      </w:pPr>
      <w:r w:rsidRPr="00A84A20">
        <w:rPr>
          <w:rStyle w:val="FootnoteReference"/>
          <w:sz w:val="24"/>
          <w:szCs w:val="24"/>
        </w:rPr>
        <w:footnoteRef/>
      </w:r>
      <w:r w:rsidRPr="00A84A20">
        <w:rPr>
          <w:sz w:val="24"/>
          <w:szCs w:val="24"/>
        </w:rPr>
        <w:t xml:space="preserve"> Kolsky, </w:t>
      </w:r>
      <w:r w:rsidRPr="00A84A20">
        <w:rPr>
          <w:i/>
          <w:iCs/>
          <w:sz w:val="24"/>
          <w:szCs w:val="24"/>
        </w:rPr>
        <w:t>Colonial Justice</w:t>
      </w:r>
      <w:r>
        <w:rPr>
          <w:i/>
          <w:iCs/>
          <w:sz w:val="24"/>
          <w:szCs w:val="24"/>
        </w:rPr>
        <w:t xml:space="preserve"> </w:t>
      </w:r>
      <w:r>
        <w:rPr>
          <w:sz w:val="24"/>
          <w:szCs w:val="24"/>
        </w:rPr>
        <w:t>(n 75)</w:t>
      </w:r>
      <w:r w:rsidRPr="00A84A20">
        <w:rPr>
          <w:i/>
          <w:iCs/>
          <w:sz w:val="24"/>
          <w:szCs w:val="24"/>
        </w:rPr>
        <w:t xml:space="preserve">; </w:t>
      </w:r>
      <w:r w:rsidRPr="00A84A20">
        <w:rPr>
          <w:sz w:val="24"/>
          <w:szCs w:val="24"/>
        </w:rPr>
        <w:t xml:space="preserve">and </w:t>
      </w:r>
      <w:r w:rsidRPr="0076048F">
        <w:rPr>
          <w:rStyle w:val="Emphasis"/>
          <w:i w:val="0"/>
          <w:iCs w:val="0"/>
          <w:sz w:val="24"/>
          <w:szCs w:val="24"/>
          <w:bdr w:val="none" w:sz="0" w:space="0" w:color="auto" w:frame="1"/>
        </w:rPr>
        <w:t>Jordanna Bailkin,</w:t>
      </w:r>
      <w:r w:rsidRPr="00A84A20">
        <w:rPr>
          <w:rStyle w:val="Emphasis"/>
          <w:sz w:val="24"/>
          <w:szCs w:val="24"/>
          <w:bdr w:val="none" w:sz="0" w:space="0" w:color="auto" w:frame="1"/>
        </w:rPr>
        <w:t xml:space="preserve"> </w:t>
      </w:r>
      <w:r>
        <w:rPr>
          <w:rStyle w:val="Emphasis"/>
          <w:sz w:val="24"/>
          <w:szCs w:val="24"/>
          <w:bdr w:val="none" w:sz="0" w:space="0" w:color="auto" w:frame="1"/>
        </w:rPr>
        <w:t>‘</w:t>
      </w:r>
      <w:r w:rsidRPr="00B01B29">
        <w:rPr>
          <w:rStyle w:val="Emphasis"/>
          <w:i w:val="0"/>
          <w:iCs w:val="0"/>
          <w:sz w:val="24"/>
          <w:szCs w:val="24"/>
          <w:bdr w:val="none" w:sz="0" w:space="0" w:color="auto" w:frame="1"/>
        </w:rPr>
        <w:t>The Boot and the Spleen: When Was Murder Possible in British India?</w:t>
      </w:r>
      <w:r>
        <w:rPr>
          <w:rStyle w:val="Emphasis"/>
          <w:i w:val="0"/>
          <w:iCs w:val="0"/>
          <w:sz w:val="24"/>
          <w:szCs w:val="24"/>
          <w:bdr w:val="none" w:sz="0" w:space="0" w:color="auto" w:frame="1"/>
        </w:rPr>
        <w:t>’</w:t>
      </w:r>
      <w:r w:rsidRPr="00B01B29">
        <w:rPr>
          <w:rStyle w:val="Emphasis"/>
          <w:i w:val="0"/>
          <w:iCs w:val="0"/>
          <w:sz w:val="24"/>
          <w:szCs w:val="24"/>
          <w:bdr w:val="none" w:sz="0" w:space="0" w:color="auto" w:frame="1"/>
        </w:rPr>
        <w:t>,</w:t>
      </w:r>
      <w:r w:rsidRPr="00A84A20">
        <w:rPr>
          <w:rStyle w:val="Emphasis"/>
          <w:sz w:val="24"/>
          <w:szCs w:val="24"/>
          <w:bdr w:val="none" w:sz="0" w:space="0" w:color="auto" w:frame="1"/>
        </w:rPr>
        <w:t> Comparative Studies in Society and History </w:t>
      </w:r>
      <w:r w:rsidRPr="00B01B29">
        <w:rPr>
          <w:rStyle w:val="Emphasis"/>
          <w:i w:val="0"/>
          <w:iCs w:val="0"/>
          <w:sz w:val="24"/>
          <w:szCs w:val="24"/>
          <w:bdr w:val="none" w:sz="0" w:space="0" w:color="auto" w:frame="1"/>
        </w:rPr>
        <w:t>48</w:t>
      </w:r>
      <w:r>
        <w:rPr>
          <w:rStyle w:val="Emphasis"/>
          <w:i w:val="0"/>
          <w:iCs w:val="0"/>
          <w:sz w:val="24"/>
          <w:szCs w:val="24"/>
          <w:bdr w:val="none" w:sz="0" w:space="0" w:color="auto" w:frame="1"/>
        </w:rPr>
        <w:t>/</w:t>
      </w:r>
      <w:r w:rsidRPr="00B01B29">
        <w:rPr>
          <w:rStyle w:val="Emphasis"/>
          <w:i w:val="0"/>
          <w:iCs w:val="0"/>
          <w:sz w:val="24"/>
          <w:szCs w:val="24"/>
          <w:bdr w:val="none" w:sz="0" w:space="0" w:color="auto" w:frame="1"/>
        </w:rPr>
        <w:t>2 (2006)</w:t>
      </w:r>
      <w:r>
        <w:rPr>
          <w:rStyle w:val="Emphasis"/>
          <w:i w:val="0"/>
          <w:iCs w:val="0"/>
          <w:sz w:val="24"/>
          <w:szCs w:val="24"/>
          <w:bdr w:val="none" w:sz="0" w:space="0" w:color="auto" w:frame="1"/>
        </w:rPr>
        <w:t>,</w:t>
      </w:r>
      <w:r w:rsidRPr="00B01B29">
        <w:rPr>
          <w:rStyle w:val="Emphasis"/>
          <w:i w:val="0"/>
          <w:iCs w:val="0"/>
          <w:sz w:val="24"/>
          <w:szCs w:val="24"/>
          <w:bdr w:val="none" w:sz="0" w:space="0" w:color="auto" w:frame="1"/>
        </w:rPr>
        <w:t xml:space="preserve"> 462</w:t>
      </w:r>
      <w:r>
        <w:rPr>
          <w:rStyle w:val="Emphasis"/>
          <w:i w:val="0"/>
          <w:iCs w:val="0"/>
          <w:sz w:val="24"/>
          <w:szCs w:val="24"/>
          <w:bdr w:val="none" w:sz="0" w:space="0" w:color="auto" w:frame="1"/>
        </w:rPr>
        <w:t>-</w:t>
      </w:r>
      <w:r w:rsidRPr="00B01B29">
        <w:rPr>
          <w:rStyle w:val="Emphasis"/>
          <w:i w:val="0"/>
          <w:iCs w:val="0"/>
          <w:sz w:val="24"/>
          <w:szCs w:val="24"/>
          <w:bdr w:val="none" w:sz="0" w:space="0" w:color="auto" w:frame="1"/>
        </w:rPr>
        <w:t>93</w:t>
      </w:r>
      <w:r>
        <w:rPr>
          <w:rStyle w:val="Emphasis"/>
          <w:i w:val="0"/>
          <w:iCs w:val="0"/>
          <w:sz w:val="24"/>
          <w:szCs w:val="24"/>
          <w:bdr w:val="none" w:sz="0" w:space="0" w:color="auto" w:frame="1"/>
        </w:rPr>
        <w:t xml:space="preserve"> (hereafter Bailkin, ‘The Boot and the Spleen’)</w:t>
      </w:r>
      <w:r w:rsidRPr="00B01B29">
        <w:rPr>
          <w:rStyle w:val="Emphasis"/>
          <w:i w:val="0"/>
          <w:iCs w:val="0"/>
          <w:sz w:val="24"/>
          <w:szCs w:val="24"/>
          <w:bdr w:val="none" w:sz="0" w:space="0" w:color="auto" w:frame="1"/>
        </w:rPr>
        <w:t>.</w:t>
      </w:r>
    </w:p>
  </w:footnote>
  <w:footnote w:id="100">
    <w:p w14:paraId="532BB2A8"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Alison Blunt, </w:t>
      </w:r>
      <w:r>
        <w:rPr>
          <w:sz w:val="24"/>
          <w:szCs w:val="24"/>
        </w:rPr>
        <w:t>‘</w:t>
      </w:r>
      <w:r w:rsidRPr="00A84A20">
        <w:rPr>
          <w:sz w:val="24"/>
          <w:szCs w:val="24"/>
        </w:rPr>
        <w:t xml:space="preserve">Embodying War: British Women and Domestic Defilement in the Indian </w:t>
      </w:r>
      <w:r>
        <w:rPr>
          <w:sz w:val="24"/>
          <w:szCs w:val="24"/>
        </w:rPr>
        <w:t>“</w:t>
      </w:r>
      <w:r w:rsidRPr="00A84A20">
        <w:rPr>
          <w:sz w:val="24"/>
          <w:szCs w:val="24"/>
        </w:rPr>
        <w:t>Mutiny</w:t>
      </w:r>
      <w:r>
        <w:rPr>
          <w:sz w:val="24"/>
          <w:szCs w:val="24"/>
        </w:rPr>
        <w:t>”</w:t>
      </w:r>
      <w:r w:rsidRPr="00A84A20">
        <w:rPr>
          <w:sz w:val="24"/>
          <w:szCs w:val="24"/>
        </w:rPr>
        <w:t>, 1857</w:t>
      </w:r>
      <w:r>
        <w:rPr>
          <w:sz w:val="24"/>
          <w:szCs w:val="24"/>
        </w:rPr>
        <w:t>-</w:t>
      </w:r>
      <w:r w:rsidRPr="00A84A20">
        <w:rPr>
          <w:sz w:val="24"/>
          <w:szCs w:val="24"/>
        </w:rPr>
        <w:t>8</w:t>
      </w:r>
      <w:r>
        <w:rPr>
          <w:sz w:val="24"/>
          <w:szCs w:val="24"/>
        </w:rPr>
        <w:t>’</w:t>
      </w:r>
      <w:r w:rsidRPr="00A84A20">
        <w:rPr>
          <w:sz w:val="24"/>
          <w:szCs w:val="24"/>
        </w:rPr>
        <w:t xml:space="preserve">, </w:t>
      </w:r>
      <w:r w:rsidRPr="00A84A20">
        <w:rPr>
          <w:i/>
          <w:sz w:val="24"/>
          <w:szCs w:val="24"/>
        </w:rPr>
        <w:t>Journal of Historical Geography</w:t>
      </w:r>
      <w:r w:rsidRPr="00A84A20">
        <w:rPr>
          <w:sz w:val="24"/>
          <w:szCs w:val="24"/>
        </w:rPr>
        <w:t xml:space="preserve"> 26</w:t>
      </w:r>
      <w:r>
        <w:rPr>
          <w:sz w:val="24"/>
          <w:szCs w:val="24"/>
        </w:rPr>
        <w:t>/</w:t>
      </w:r>
      <w:r w:rsidRPr="00A84A20">
        <w:rPr>
          <w:sz w:val="24"/>
          <w:szCs w:val="24"/>
        </w:rPr>
        <w:t>3 (2000),</w:t>
      </w:r>
      <w:r>
        <w:rPr>
          <w:sz w:val="24"/>
          <w:szCs w:val="24"/>
        </w:rPr>
        <w:t xml:space="preserve"> </w:t>
      </w:r>
      <w:r w:rsidRPr="00A84A20">
        <w:rPr>
          <w:sz w:val="24"/>
          <w:szCs w:val="24"/>
        </w:rPr>
        <w:t>403</w:t>
      </w:r>
      <w:r>
        <w:rPr>
          <w:sz w:val="24"/>
          <w:szCs w:val="24"/>
        </w:rPr>
        <w:t>-</w:t>
      </w:r>
      <w:r w:rsidRPr="00A84A20">
        <w:rPr>
          <w:sz w:val="24"/>
          <w:szCs w:val="24"/>
        </w:rPr>
        <w:t xml:space="preserve">28; Angela Woollacott, </w:t>
      </w:r>
      <w:r>
        <w:rPr>
          <w:sz w:val="24"/>
          <w:szCs w:val="24"/>
        </w:rPr>
        <w:t>‘</w:t>
      </w:r>
      <w:r w:rsidRPr="00A84A20">
        <w:rPr>
          <w:sz w:val="24"/>
          <w:szCs w:val="24"/>
        </w:rPr>
        <w:t>Frontier Violence and Settler Manhood</w:t>
      </w:r>
      <w:r>
        <w:rPr>
          <w:sz w:val="24"/>
          <w:szCs w:val="24"/>
        </w:rPr>
        <w:t>’</w:t>
      </w:r>
      <w:r w:rsidRPr="00A84A20">
        <w:rPr>
          <w:sz w:val="24"/>
          <w:szCs w:val="24"/>
        </w:rPr>
        <w:t xml:space="preserve">, </w:t>
      </w:r>
      <w:r w:rsidRPr="00A84A20">
        <w:rPr>
          <w:i/>
          <w:iCs/>
          <w:sz w:val="24"/>
          <w:szCs w:val="24"/>
        </w:rPr>
        <w:t>History Australia</w:t>
      </w:r>
      <w:r w:rsidRPr="00A84A20">
        <w:rPr>
          <w:sz w:val="24"/>
          <w:szCs w:val="24"/>
        </w:rPr>
        <w:t xml:space="preserve"> 6</w:t>
      </w:r>
      <w:r>
        <w:rPr>
          <w:sz w:val="24"/>
          <w:szCs w:val="24"/>
        </w:rPr>
        <w:t>/</w:t>
      </w:r>
      <w:r w:rsidRPr="00A84A20">
        <w:rPr>
          <w:sz w:val="24"/>
          <w:szCs w:val="24"/>
        </w:rPr>
        <w:t>1 (2009), 11.1</w:t>
      </w:r>
      <w:r>
        <w:rPr>
          <w:sz w:val="24"/>
          <w:szCs w:val="24"/>
        </w:rPr>
        <w:t>-</w:t>
      </w:r>
      <w:r w:rsidRPr="00A84A20">
        <w:rPr>
          <w:sz w:val="24"/>
          <w:szCs w:val="24"/>
        </w:rPr>
        <w:t xml:space="preserve">11.15; Elizabeth Kolsky, </w:t>
      </w:r>
      <w:r>
        <w:rPr>
          <w:bCs/>
          <w:sz w:val="24"/>
          <w:szCs w:val="24"/>
        </w:rPr>
        <w:t>‘</w:t>
      </w:r>
      <w:r w:rsidRPr="00A84A20">
        <w:rPr>
          <w:bCs/>
          <w:sz w:val="24"/>
          <w:szCs w:val="24"/>
        </w:rPr>
        <w:t>The Rule of Colonial Indifference: Rape on Trial in Early Colonial India, 1805</w:t>
      </w:r>
      <w:r>
        <w:rPr>
          <w:bCs/>
          <w:sz w:val="24"/>
          <w:szCs w:val="24"/>
        </w:rPr>
        <w:t>-</w:t>
      </w:r>
      <w:r w:rsidRPr="00A84A20">
        <w:rPr>
          <w:bCs/>
          <w:sz w:val="24"/>
          <w:szCs w:val="24"/>
        </w:rPr>
        <w:t>57</w:t>
      </w:r>
      <w:r>
        <w:rPr>
          <w:bCs/>
          <w:sz w:val="24"/>
          <w:szCs w:val="24"/>
        </w:rPr>
        <w:t>’,</w:t>
      </w:r>
      <w:r w:rsidRPr="00A84A20">
        <w:rPr>
          <w:bCs/>
          <w:sz w:val="24"/>
          <w:szCs w:val="24"/>
        </w:rPr>
        <w:t xml:space="preserve"> </w:t>
      </w:r>
      <w:r w:rsidRPr="00A84A20">
        <w:rPr>
          <w:bCs/>
          <w:i/>
          <w:sz w:val="24"/>
          <w:szCs w:val="24"/>
        </w:rPr>
        <w:t>The Journal of Asian Studies</w:t>
      </w:r>
      <w:r w:rsidRPr="00A84A20">
        <w:rPr>
          <w:bCs/>
          <w:sz w:val="24"/>
          <w:szCs w:val="24"/>
        </w:rPr>
        <w:t xml:space="preserve"> 69</w:t>
      </w:r>
      <w:r>
        <w:rPr>
          <w:bCs/>
          <w:sz w:val="24"/>
          <w:szCs w:val="24"/>
        </w:rPr>
        <w:t>/</w:t>
      </w:r>
      <w:r w:rsidRPr="00A84A20">
        <w:rPr>
          <w:bCs/>
          <w:sz w:val="24"/>
          <w:szCs w:val="24"/>
        </w:rPr>
        <w:t>4 (2010)</w:t>
      </w:r>
      <w:r>
        <w:rPr>
          <w:bCs/>
          <w:sz w:val="24"/>
          <w:szCs w:val="24"/>
        </w:rPr>
        <w:t xml:space="preserve">, </w:t>
      </w:r>
      <w:r w:rsidRPr="00A84A20">
        <w:rPr>
          <w:bCs/>
          <w:sz w:val="24"/>
          <w:szCs w:val="24"/>
        </w:rPr>
        <w:t>1093</w:t>
      </w:r>
      <w:r>
        <w:rPr>
          <w:bCs/>
          <w:sz w:val="24"/>
          <w:szCs w:val="24"/>
        </w:rPr>
        <w:t>-</w:t>
      </w:r>
      <w:r w:rsidRPr="00A84A20">
        <w:rPr>
          <w:bCs/>
          <w:sz w:val="24"/>
          <w:szCs w:val="24"/>
        </w:rPr>
        <w:t>117</w:t>
      </w:r>
      <w:r>
        <w:rPr>
          <w:bCs/>
          <w:sz w:val="24"/>
          <w:szCs w:val="24"/>
        </w:rPr>
        <w:t>; Elizabeth Kolsky,</w:t>
      </w:r>
      <w:r w:rsidRPr="00A84A20">
        <w:rPr>
          <w:bCs/>
          <w:sz w:val="24"/>
          <w:szCs w:val="24"/>
        </w:rPr>
        <w:t xml:space="preserve"> </w:t>
      </w:r>
      <w:r>
        <w:rPr>
          <w:bCs/>
          <w:sz w:val="24"/>
          <w:szCs w:val="24"/>
        </w:rPr>
        <w:t>‘”</w:t>
      </w:r>
      <w:r w:rsidRPr="00A84A20">
        <w:rPr>
          <w:bCs/>
          <w:sz w:val="24"/>
          <w:szCs w:val="24"/>
        </w:rPr>
        <w:t>The Body Evidencing the Crime</w:t>
      </w:r>
      <w:r>
        <w:rPr>
          <w:bCs/>
          <w:sz w:val="24"/>
          <w:szCs w:val="24"/>
        </w:rPr>
        <w:t>”</w:t>
      </w:r>
      <w:r w:rsidRPr="00A84A20">
        <w:rPr>
          <w:bCs/>
          <w:sz w:val="24"/>
          <w:szCs w:val="24"/>
        </w:rPr>
        <w:t>: Rape on Trial in Colonial India, 1860</w:t>
      </w:r>
      <w:r>
        <w:rPr>
          <w:bCs/>
          <w:sz w:val="24"/>
          <w:szCs w:val="24"/>
        </w:rPr>
        <w:t>-</w:t>
      </w:r>
      <w:r w:rsidRPr="00A84A20">
        <w:rPr>
          <w:bCs/>
          <w:sz w:val="24"/>
          <w:szCs w:val="24"/>
        </w:rPr>
        <w:t>1947</w:t>
      </w:r>
      <w:r>
        <w:rPr>
          <w:bCs/>
          <w:sz w:val="24"/>
          <w:szCs w:val="24"/>
        </w:rPr>
        <w:t>’</w:t>
      </w:r>
      <w:r w:rsidRPr="00A84A20">
        <w:rPr>
          <w:bCs/>
          <w:sz w:val="24"/>
          <w:szCs w:val="24"/>
        </w:rPr>
        <w:t>,</w:t>
      </w:r>
      <w:r w:rsidRPr="00A84A20">
        <w:rPr>
          <w:b/>
          <w:sz w:val="24"/>
          <w:szCs w:val="24"/>
        </w:rPr>
        <w:t xml:space="preserve"> </w:t>
      </w:r>
      <w:r w:rsidRPr="00A84A20">
        <w:rPr>
          <w:i/>
          <w:sz w:val="24"/>
          <w:szCs w:val="24"/>
        </w:rPr>
        <w:t>Gender &amp; History</w:t>
      </w:r>
      <w:r w:rsidRPr="00A84A20">
        <w:rPr>
          <w:sz w:val="24"/>
          <w:szCs w:val="24"/>
        </w:rPr>
        <w:t xml:space="preserve"> 22</w:t>
      </w:r>
      <w:r>
        <w:rPr>
          <w:sz w:val="24"/>
          <w:szCs w:val="24"/>
        </w:rPr>
        <w:t>/</w:t>
      </w:r>
      <w:r w:rsidRPr="00A84A20">
        <w:rPr>
          <w:sz w:val="24"/>
          <w:szCs w:val="24"/>
        </w:rPr>
        <w:t>1 (2010)</w:t>
      </w:r>
      <w:r>
        <w:rPr>
          <w:sz w:val="24"/>
          <w:szCs w:val="24"/>
        </w:rPr>
        <w:t>,</w:t>
      </w:r>
      <w:r w:rsidRPr="00A84A20">
        <w:rPr>
          <w:sz w:val="24"/>
          <w:szCs w:val="24"/>
        </w:rPr>
        <w:t xml:space="preserve"> 109</w:t>
      </w:r>
      <w:r>
        <w:rPr>
          <w:sz w:val="24"/>
          <w:szCs w:val="24"/>
        </w:rPr>
        <w:t>-</w:t>
      </w:r>
      <w:r w:rsidRPr="00A84A20">
        <w:rPr>
          <w:sz w:val="24"/>
          <w:szCs w:val="24"/>
        </w:rPr>
        <w:t>30; Jonathan Saha,</w:t>
      </w:r>
      <w:r>
        <w:rPr>
          <w:spacing w:val="1"/>
          <w:sz w:val="24"/>
          <w:szCs w:val="24"/>
        </w:rPr>
        <w:t xml:space="preserve"> ‘</w:t>
      </w:r>
      <w:r w:rsidRPr="00A84A20">
        <w:rPr>
          <w:spacing w:val="1"/>
          <w:sz w:val="24"/>
          <w:szCs w:val="24"/>
        </w:rPr>
        <w:t xml:space="preserve">The Male State: Colonialism, </w:t>
      </w:r>
      <w:r>
        <w:rPr>
          <w:spacing w:val="1"/>
          <w:sz w:val="24"/>
          <w:szCs w:val="24"/>
        </w:rPr>
        <w:t>C</w:t>
      </w:r>
      <w:r w:rsidRPr="00A84A20">
        <w:rPr>
          <w:spacing w:val="1"/>
          <w:sz w:val="24"/>
          <w:szCs w:val="24"/>
        </w:rPr>
        <w:t xml:space="preserve">orruption and </w:t>
      </w:r>
      <w:r>
        <w:rPr>
          <w:spacing w:val="1"/>
          <w:sz w:val="24"/>
          <w:szCs w:val="24"/>
        </w:rPr>
        <w:t>R</w:t>
      </w:r>
      <w:r w:rsidRPr="00A84A20">
        <w:rPr>
          <w:spacing w:val="1"/>
          <w:sz w:val="24"/>
          <w:szCs w:val="24"/>
        </w:rPr>
        <w:t xml:space="preserve">ape </w:t>
      </w:r>
      <w:r>
        <w:rPr>
          <w:spacing w:val="1"/>
          <w:sz w:val="24"/>
          <w:szCs w:val="24"/>
        </w:rPr>
        <w:t>I</w:t>
      </w:r>
      <w:r w:rsidRPr="00A84A20">
        <w:rPr>
          <w:spacing w:val="1"/>
          <w:sz w:val="24"/>
          <w:szCs w:val="24"/>
        </w:rPr>
        <w:t>nvestigations in the Irrawaddy Delta c. 1900</w:t>
      </w:r>
      <w:r>
        <w:rPr>
          <w:spacing w:val="1"/>
          <w:sz w:val="24"/>
          <w:szCs w:val="24"/>
        </w:rPr>
        <w:t>’</w:t>
      </w:r>
      <w:r w:rsidRPr="00A84A20">
        <w:rPr>
          <w:spacing w:val="1"/>
          <w:sz w:val="24"/>
          <w:szCs w:val="24"/>
        </w:rPr>
        <w:t>,</w:t>
      </w:r>
      <w:r w:rsidRPr="00A84A20">
        <w:rPr>
          <w:b/>
          <w:spacing w:val="1"/>
          <w:sz w:val="24"/>
          <w:szCs w:val="24"/>
        </w:rPr>
        <w:t xml:space="preserve"> </w:t>
      </w:r>
      <w:r w:rsidRPr="00A84A20">
        <w:rPr>
          <w:i/>
          <w:spacing w:val="1"/>
          <w:sz w:val="24"/>
          <w:szCs w:val="24"/>
        </w:rPr>
        <w:t>The Indian Economic and Social History Review</w:t>
      </w:r>
      <w:r w:rsidRPr="00A84A20">
        <w:rPr>
          <w:spacing w:val="1"/>
          <w:sz w:val="24"/>
          <w:szCs w:val="24"/>
        </w:rPr>
        <w:t xml:space="preserve"> 47</w:t>
      </w:r>
      <w:r>
        <w:rPr>
          <w:spacing w:val="1"/>
          <w:sz w:val="24"/>
          <w:szCs w:val="24"/>
        </w:rPr>
        <w:t>/</w:t>
      </w:r>
      <w:r w:rsidRPr="00A84A20">
        <w:rPr>
          <w:spacing w:val="1"/>
          <w:sz w:val="24"/>
          <w:szCs w:val="24"/>
        </w:rPr>
        <w:t>3 (2010)</w:t>
      </w:r>
      <w:r>
        <w:rPr>
          <w:spacing w:val="1"/>
          <w:sz w:val="24"/>
          <w:szCs w:val="24"/>
        </w:rPr>
        <w:t xml:space="preserve">, </w:t>
      </w:r>
      <w:r w:rsidRPr="00A84A20">
        <w:rPr>
          <w:spacing w:val="1"/>
          <w:sz w:val="24"/>
          <w:szCs w:val="24"/>
        </w:rPr>
        <w:t>343</w:t>
      </w:r>
      <w:r>
        <w:rPr>
          <w:spacing w:val="1"/>
          <w:sz w:val="24"/>
          <w:szCs w:val="24"/>
        </w:rPr>
        <w:t>-</w:t>
      </w:r>
      <w:r w:rsidRPr="00A84A20">
        <w:rPr>
          <w:spacing w:val="1"/>
          <w:sz w:val="24"/>
          <w:szCs w:val="24"/>
        </w:rPr>
        <w:t>76</w:t>
      </w:r>
      <w:r w:rsidRPr="00A84A20">
        <w:rPr>
          <w:sz w:val="24"/>
          <w:szCs w:val="24"/>
        </w:rPr>
        <w:t>; Ishita Pande,</w:t>
      </w:r>
      <w:r>
        <w:rPr>
          <w:bCs/>
          <w:sz w:val="24"/>
          <w:szCs w:val="24"/>
        </w:rPr>
        <w:t>’</w:t>
      </w:r>
      <w:r w:rsidRPr="00A84A20">
        <w:rPr>
          <w:bCs/>
          <w:sz w:val="24"/>
          <w:szCs w:val="24"/>
        </w:rPr>
        <w:t>Phulmoni’s Body: The Autopsy, the Inquest and the Humanitarian Narrative on Child Rape in India</w:t>
      </w:r>
      <w:r>
        <w:rPr>
          <w:bCs/>
          <w:sz w:val="24"/>
          <w:szCs w:val="24"/>
        </w:rPr>
        <w:t>’</w:t>
      </w:r>
      <w:r w:rsidRPr="00A84A20">
        <w:rPr>
          <w:bCs/>
          <w:sz w:val="24"/>
          <w:szCs w:val="24"/>
        </w:rPr>
        <w:t>,</w:t>
      </w:r>
      <w:r w:rsidRPr="00A84A20">
        <w:rPr>
          <w:b/>
          <w:sz w:val="24"/>
          <w:szCs w:val="24"/>
        </w:rPr>
        <w:t xml:space="preserve"> </w:t>
      </w:r>
      <w:r w:rsidRPr="00A84A20">
        <w:rPr>
          <w:i/>
          <w:sz w:val="24"/>
          <w:szCs w:val="24"/>
        </w:rPr>
        <w:t>South Asian History and Culture</w:t>
      </w:r>
      <w:r w:rsidRPr="00A84A20">
        <w:rPr>
          <w:sz w:val="24"/>
          <w:szCs w:val="24"/>
        </w:rPr>
        <w:t xml:space="preserve"> 4</w:t>
      </w:r>
      <w:r>
        <w:rPr>
          <w:sz w:val="24"/>
          <w:szCs w:val="24"/>
        </w:rPr>
        <w:t>/</w:t>
      </w:r>
      <w:r w:rsidRPr="00A84A20">
        <w:rPr>
          <w:sz w:val="24"/>
          <w:szCs w:val="24"/>
        </w:rPr>
        <w:t>1</w:t>
      </w:r>
      <w:r>
        <w:rPr>
          <w:sz w:val="24"/>
          <w:szCs w:val="24"/>
        </w:rPr>
        <w:t xml:space="preserve"> </w:t>
      </w:r>
      <w:r w:rsidRPr="00A84A20">
        <w:rPr>
          <w:sz w:val="24"/>
          <w:szCs w:val="24"/>
        </w:rPr>
        <w:t>(2013)</w:t>
      </w:r>
      <w:r>
        <w:rPr>
          <w:sz w:val="24"/>
          <w:szCs w:val="24"/>
        </w:rPr>
        <w:t xml:space="preserve">, </w:t>
      </w:r>
      <w:r w:rsidRPr="00A84A20">
        <w:rPr>
          <w:sz w:val="24"/>
          <w:szCs w:val="24"/>
        </w:rPr>
        <w:t>9</w:t>
      </w:r>
      <w:r>
        <w:rPr>
          <w:sz w:val="24"/>
          <w:szCs w:val="24"/>
        </w:rPr>
        <w:t>-</w:t>
      </w:r>
      <w:r w:rsidRPr="00A84A20">
        <w:rPr>
          <w:sz w:val="24"/>
          <w:szCs w:val="24"/>
        </w:rPr>
        <w:t>30</w:t>
      </w:r>
      <w:r>
        <w:rPr>
          <w:sz w:val="24"/>
          <w:szCs w:val="24"/>
        </w:rPr>
        <w:t xml:space="preserve"> (hereafter Pande, ‘Phulmoni’s Body’)</w:t>
      </w:r>
      <w:r w:rsidRPr="00A84A20">
        <w:rPr>
          <w:sz w:val="24"/>
          <w:szCs w:val="24"/>
        </w:rPr>
        <w:t xml:space="preserve">; Deana Heath, </w:t>
      </w:r>
      <w:r>
        <w:rPr>
          <w:sz w:val="24"/>
          <w:szCs w:val="24"/>
        </w:rPr>
        <w:t>‘</w:t>
      </w:r>
      <w:r w:rsidRPr="00A84A20">
        <w:rPr>
          <w:sz w:val="24"/>
          <w:szCs w:val="24"/>
        </w:rPr>
        <w:t>Torture, the State and Sexual Violence Against Men in Colonial India</w:t>
      </w:r>
      <w:r>
        <w:rPr>
          <w:sz w:val="24"/>
          <w:szCs w:val="24"/>
        </w:rPr>
        <w:t>’</w:t>
      </w:r>
      <w:r w:rsidRPr="00052FD8">
        <w:rPr>
          <w:sz w:val="24"/>
          <w:szCs w:val="24"/>
        </w:rPr>
        <w:t xml:space="preserve">, </w:t>
      </w:r>
      <w:r w:rsidRPr="00052FD8">
        <w:rPr>
          <w:i/>
          <w:sz w:val="24"/>
          <w:szCs w:val="24"/>
        </w:rPr>
        <w:t>Radical History Review</w:t>
      </w:r>
      <w:r w:rsidRPr="00052FD8">
        <w:rPr>
          <w:sz w:val="24"/>
          <w:szCs w:val="24"/>
        </w:rPr>
        <w:t xml:space="preserve"> 126 (2017)</w:t>
      </w:r>
      <w:r>
        <w:rPr>
          <w:sz w:val="24"/>
          <w:szCs w:val="24"/>
        </w:rPr>
        <w:t>,</w:t>
      </w:r>
      <w:r w:rsidRPr="00052FD8">
        <w:rPr>
          <w:sz w:val="24"/>
          <w:szCs w:val="24"/>
        </w:rPr>
        <w:t xml:space="preserve"> 122</w:t>
      </w:r>
      <w:r>
        <w:rPr>
          <w:sz w:val="24"/>
          <w:szCs w:val="24"/>
        </w:rPr>
        <w:t>-</w:t>
      </w:r>
      <w:r w:rsidRPr="00052FD8">
        <w:rPr>
          <w:sz w:val="24"/>
          <w:szCs w:val="24"/>
        </w:rPr>
        <w:t>33</w:t>
      </w:r>
      <w:r>
        <w:rPr>
          <w:sz w:val="24"/>
          <w:szCs w:val="24"/>
        </w:rPr>
        <w:t xml:space="preserve"> (hereafter Heath, ‘Torture, the State and Sexual Violence’)</w:t>
      </w:r>
      <w:r w:rsidRPr="00A84A20">
        <w:rPr>
          <w:sz w:val="24"/>
          <w:szCs w:val="24"/>
        </w:rPr>
        <w:t xml:space="preserve">; </w:t>
      </w:r>
      <w:r w:rsidRPr="00A84A20">
        <w:rPr>
          <w:bCs/>
          <w:sz w:val="24"/>
          <w:szCs w:val="24"/>
        </w:rPr>
        <w:t xml:space="preserve">Joanna de Groot, </w:t>
      </w:r>
      <w:r>
        <w:rPr>
          <w:bCs/>
          <w:sz w:val="24"/>
          <w:szCs w:val="24"/>
        </w:rPr>
        <w:t>‘</w:t>
      </w:r>
      <w:r w:rsidRPr="00A84A20">
        <w:rPr>
          <w:bCs/>
          <w:sz w:val="24"/>
          <w:szCs w:val="24"/>
        </w:rPr>
        <w:t>Depicting Conflict in India in 1857</w:t>
      </w:r>
      <w:r>
        <w:rPr>
          <w:bCs/>
          <w:sz w:val="24"/>
          <w:szCs w:val="24"/>
        </w:rPr>
        <w:t>-</w:t>
      </w:r>
      <w:r w:rsidRPr="00A84A20">
        <w:rPr>
          <w:bCs/>
          <w:sz w:val="24"/>
          <w:szCs w:val="24"/>
        </w:rPr>
        <w:t>8: The Instabilities of Gender, Violence, and Colonialism</w:t>
      </w:r>
      <w:r>
        <w:rPr>
          <w:bCs/>
          <w:sz w:val="24"/>
          <w:szCs w:val="24"/>
        </w:rPr>
        <w:t>’</w:t>
      </w:r>
      <w:r w:rsidRPr="00A84A20">
        <w:rPr>
          <w:bCs/>
          <w:sz w:val="24"/>
          <w:szCs w:val="24"/>
        </w:rPr>
        <w:t xml:space="preserve">, </w:t>
      </w:r>
      <w:r w:rsidRPr="00A84A20">
        <w:rPr>
          <w:bCs/>
          <w:i/>
          <w:sz w:val="24"/>
          <w:szCs w:val="24"/>
        </w:rPr>
        <w:t>Cultural &amp; Social History</w:t>
      </w:r>
      <w:r w:rsidRPr="00A84A20">
        <w:rPr>
          <w:bCs/>
          <w:sz w:val="24"/>
          <w:szCs w:val="24"/>
        </w:rPr>
        <w:t xml:space="preserve"> 14</w:t>
      </w:r>
      <w:r>
        <w:rPr>
          <w:bCs/>
          <w:sz w:val="24"/>
          <w:szCs w:val="24"/>
        </w:rPr>
        <w:t>/</w:t>
      </w:r>
      <w:r w:rsidRPr="00A84A20">
        <w:rPr>
          <w:bCs/>
          <w:sz w:val="24"/>
          <w:szCs w:val="24"/>
        </w:rPr>
        <w:t>4 (2017)</w:t>
      </w:r>
      <w:r>
        <w:rPr>
          <w:bCs/>
          <w:sz w:val="24"/>
          <w:szCs w:val="24"/>
        </w:rPr>
        <w:t>,</w:t>
      </w:r>
      <w:r w:rsidRPr="00A84A20">
        <w:rPr>
          <w:bCs/>
          <w:sz w:val="24"/>
          <w:szCs w:val="24"/>
        </w:rPr>
        <w:t xml:space="preserve"> 463</w:t>
      </w:r>
      <w:r>
        <w:rPr>
          <w:bCs/>
          <w:sz w:val="24"/>
          <w:szCs w:val="24"/>
        </w:rPr>
        <w:t>-</w:t>
      </w:r>
      <w:r w:rsidRPr="00A84A20">
        <w:rPr>
          <w:bCs/>
          <w:sz w:val="24"/>
          <w:szCs w:val="24"/>
        </w:rPr>
        <w:t>82;</w:t>
      </w:r>
      <w:r w:rsidRPr="00A84A20">
        <w:rPr>
          <w:sz w:val="24"/>
          <w:szCs w:val="24"/>
        </w:rPr>
        <w:t xml:space="preserve"> and David Anderson and Julianne Weis, </w:t>
      </w:r>
      <w:r>
        <w:rPr>
          <w:sz w:val="24"/>
          <w:szCs w:val="24"/>
        </w:rPr>
        <w:t>‘</w:t>
      </w:r>
      <w:r w:rsidRPr="00A84A20">
        <w:rPr>
          <w:sz w:val="24"/>
          <w:szCs w:val="24"/>
        </w:rPr>
        <w:t>The Prosecution of Rape in Wartime: Evidence from the Mau Mau Rebellion, Kenya, 1952</w:t>
      </w:r>
      <w:r>
        <w:rPr>
          <w:sz w:val="24"/>
          <w:szCs w:val="24"/>
        </w:rPr>
        <w:t>-</w:t>
      </w:r>
      <w:r w:rsidRPr="00A84A20">
        <w:rPr>
          <w:sz w:val="24"/>
          <w:szCs w:val="24"/>
        </w:rPr>
        <w:t>60</w:t>
      </w:r>
      <w:r>
        <w:rPr>
          <w:sz w:val="24"/>
          <w:szCs w:val="24"/>
        </w:rPr>
        <w:t>’</w:t>
      </w:r>
      <w:r w:rsidRPr="00A84A20">
        <w:rPr>
          <w:sz w:val="24"/>
          <w:szCs w:val="24"/>
        </w:rPr>
        <w:t xml:space="preserve">, </w:t>
      </w:r>
      <w:r w:rsidRPr="00A84A20">
        <w:rPr>
          <w:i/>
          <w:iCs/>
          <w:sz w:val="24"/>
          <w:szCs w:val="24"/>
        </w:rPr>
        <w:t>Law and History Review</w:t>
      </w:r>
      <w:r w:rsidRPr="00A84A20">
        <w:rPr>
          <w:sz w:val="24"/>
          <w:szCs w:val="24"/>
        </w:rPr>
        <w:t xml:space="preserve"> 36</w:t>
      </w:r>
      <w:r>
        <w:rPr>
          <w:sz w:val="24"/>
          <w:szCs w:val="24"/>
        </w:rPr>
        <w:t>/</w:t>
      </w:r>
      <w:r w:rsidRPr="00A84A20">
        <w:rPr>
          <w:sz w:val="24"/>
          <w:szCs w:val="24"/>
        </w:rPr>
        <w:t>2 (2018)</w:t>
      </w:r>
      <w:r>
        <w:rPr>
          <w:sz w:val="24"/>
          <w:szCs w:val="24"/>
        </w:rPr>
        <w:t>,</w:t>
      </w:r>
      <w:r w:rsidRPr="00A84A20">
        <w:rPr>
          <w:sz w:val="24"/>
          <w:szCs w:val="24"/>
        </w:rPr>
        <w:t xml:space="preserve"> 267</w:t>
      </w:r>
      <w:r>
        <w:rPr>
          <w:sz w:val="24"/>
          <w:szCs w:val="24"/>
        </w:rPr>
        <w:t>-</w:t>
      </w:r>
      <w:r w:rsidRPr="00A84A20">
        <w:rPr>
          <w:sz w:val="24"/>
          <w:szCs w:val="24"/>
        </w:rPr>
        <w:t>94.</w:t>
      </w:r>
      <w:r>
        <w:rPr>
          <w:sz w:val="24"/>
          <w:szCs w:val="24"/>
        </w:rPr>
        <w:t xml:space="preserve"> </w:t>
      </w:r>
    </w:p>
  </w:footnote>
  <w:footnote w:id="101">
    <w:p w14:paraId="4E71C70C"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Anupama Rao, </w:t>
      </w:r>
      <w:r>
        <w:rPr>
          <w:bCs/>
          <w:sz w:val="24"/>
          <w:szCs w:val="24"/>
        </w:rPr>
        <w:t>‘</w:t>
      </w:r>
      <w:r w:rsidRPr="00A84A20">
        <w:rPr>
          <w:bCs/>
          <w:sz w:val="24"/>
          <w:szCs w:val="24"/>
        </w:rPr>
        <w:t>Problems of Violence, States of Terror: Torture in Colonial India</w:t>
      </w:r>
      <w:r>
        <w:rPr>
          <w:bCs/>
          <w:sz w:val="24"/>
          <w:szCs w:val="24"/>
        </w:rPr>
        <w:t>’</w:t>
      </w:r>
      <w:r w:rsidRPr="00A84A20">
        <w:rPr>
          <w:bCs/>
          <w:sz w:val="24"/>
          <w:szCs w:val="24"/>
        </w:rPr>
        <w:t>,</w:t>
      </w:r>
      <w:r w:rsidRPr="00A84A20">
        <w:rPr>
          <w:b/>
          <w:sz w:val="24"/>
          <w:szCs w:val="24"/>
        </w:rPr>
        <w:t xml:space="preserve"> </w:t>
      </w:r>
      <w:r w:rsidRPr="00A84A20">
        <w:rPr>
          <w:bCs/>
          <w:sz w:val="24"/>
          <w:szCs w:val="24"/>
        </w:rPr>
        <w:t xml:space="preserve">in </w:t>
      </w:r>
    </w:p>
    <w:p w14:paraId="7DEE0666" w14:textId="77777777" w:rsidR="00997966" w:rsidRPr="00A84A20" w:rsidRDefault="00997966" w:rsidP="00997966">
      <w:pPr>
        <w:pStyle w:val="FootnoteText"/>
        <w:spacing w:line="480" w:lineRule="auto"/>
        <w:contextualSpacing/>
        <w:rPr>
          <w:bCs/>
          <w:sz w:val="24"/>
          <w:szCs w:val="24"/>
        </w:rPr>
      </w:pPr>
      <w:r w:rsidRPr="00A84A20">
        <w:rPr>
          <w:bCs/>
          <w:sz w:val="24"/>
          <w:szCs w:val="24"/>
        </w:rPr>
        <w:t xml:space="preserve">Steven Pierce and Anumpama Rao (eds.), </w:t>
      </w:r>
      <w:r w:rsidRPr="00A84A20">
        <w:rPr>
          <w:bCs/>
          <w:i/>
          <w:iCs/>
          <w:sz w:val="24"/>
          <w:szCs w:val="24"/>
        </w:rPr>
        <w:t>Discipline and the Other Body</w:t>
      </w:r>
      <w:r>
        <w:rPr>
          <w:bCs/>
          <w:i/>
          <w:iCs/>
          <w:sz w:val="24"/>
          <w:szCs w:val="24"/>
        </w:rPr>
        <w:t xml:space="preserve">: </w:t>
      </w:r>
      <w:r w:rsidRPr="00A84A20">
        <w:rPr>
          <w:bCs/>
          <w:i/>
          <w:iCs/>
          <w:sz w:val="24"/>
          <w:szCs w:val="24"/>
        </w:rPr>
        <w:t>Correction, Corporeality, Colonialism</w:t>
      </w:r>
      <w:r w:rsidRPr="00A84A20">
        <w:rPr>
          <w:bCs/>
          <w:sz w:val="24"/>
          <w:szCs w:val="24"/>
        </w:rPr>
        <w:t xml:space="preserve"> (Durham and London:  Duke UP 2006), 151</w:t>
      </w:r>
      <w:r>
        <w:rPr>
          <w:bCs/>
          <w:sz w:val="24"/>
          <w:szCs w:val="24"/>
        </w:rPr>
        <w:t>-</w:t>
      </w:r>
      <w:r w:rsidRPr="00A84A20">
        <w:rPr>
          <w:bCs/>
          <w:sz w:val="24"/>
          <w:szCs w:val="24"/>
        </w:rPr>
        <w:t>85</w:t>
      </w:r>
      <w:r>
        <w:rPr>
          <w:bCs/>
          <w:sz w:val="24"/>
          <w:szCs w:val="24"/>
        </w:rPr>
        <w:t xml:space="preserve"> (hereafter Rao, ‘Problems of Violence’)</w:t>
      </w:r>
      <w:r w:rsidRPr="00A84A20">
        <w:rPr>
          <w:bCs/>
          <w:sz w:val="24"/>
          <w:szCs w:val="24"/>
        </w:rPr>
        <w:t>;</w:t>
      </w:r>
      <w:r w:rsidRPr="00A84A20">
        <w:rPr>
          <w:sz w:val="24"/>
          <w:szCs w:val="24"/>
        </w:rPr>
        <w:t xml:space="preserve"> Anuj Bhuwania, </w:t>
      </w:r>
      <w:r>
        <w:rPr>
          <w:sz w:val="24"/>
          <w:szCs w:val="24"/>
        </w:rPr>
        <w:t>‘”</w:t>
      </w:r>
      <w:r w:rsidRPr="00A84A20">
        <w:rPr>
          <w:sz w:val="24"/>
          <w:szCs w:val="24"/>
        </w:rPr>
        <w:t>Very Wicked Children</w:t>
      </w:r>
      <w:r>
        <w:rPr>
          <w:sz w:val="24"/>
          <w:szCs w:val="24"/>
        </w:rPr>
        <w:t>”</w:t>
      </w:r>
      <w:r w:rsidRPr="00A84A20">
        <w:rPr>
          <w:sz w:val="24"/>
          <w:szCs w:val="24"/>
        </w:rPr>
        <w:t xml:space="preserve">: </w:t>
      </w:r>
      <w:r>
        <w:rPr>
          <w:sz w:val="24"/>
          <w:szCs w:val="24"/>
        </w:rPr>
        <w:t>“</w:t>
      </w:r>
      <w:r w:rsidRPr="00A84A20">
        <w:rPr>
          <w:sz w:val="24"/>
          <w:szCs w:val="24"/>
        </w:rPr>
        <w:t>Indian torture</w:t>
      </w:r>
      <w:r>
        <w:rPr>
          <w:sz w:val="24"/>
          <w:szCs w:val="24"/>
        </w:rPr>
        <w:t>”</w:t>
      </w:r>
      <w:r w:rsidRPr="00A84A20">
        <w:rPr>
          <w:sz w:val="24"/>
          <w:szCs w:val="24"/>
        </w:rPr>
        <w:t xml:space="preserve"> and the Madras Torture Commission Report of 1855</w:t>
      </w:r>
      <w:r>
        <w:rPr>
          <w:sz w:val="24"/>
          <w:szCs w:val="24"/>
        </w:rPr>
        <w:t>’</w:t>
      </w:r>
      <w:r w:rsidRPr="00A84A20">
        <w:rPr>
          <w:sz w:val="24"/>
          <w:szCs w:val="24"/>
        </w:rPr>
        <w:t xml:space="preserve">, </w:t>
      </w:r>
      <w:r w:rsidRPr="00A84A20">
        <w:rPr>
          <w:i/>
          <w:sz w:val="24"/>
          <w:szCs w:val="24"/>
        </w:rPr>
        <w:t>SUR</w:t>
      </w:r>
      <w:r>
        <w:rPr>
          <w:i/>
          <w:sz w:val="24"/>
          <w:szCs w:val="24"/>
        </w:rPr>
        <w:t xml:space="preserve">: </w:t>
      </w:r>
      <w:r w:rsidRPr="00052FD8">
        <w:rPr>
          <w:i/>
          <w:sz w:val="24"/>
          <w:szCs w:val="24"/>
        </w:rPr>
        <w:t>International Journal on Human Rights</w:t>
      </w:r>
      <w:r w:rsidRPr="00A84A20">
        <w:rPr>
          <w:i/>
          <w:sz w:val="24"/>
          <w:szCs w:val="24"/>
        </w:rPr>
        <w:t xml:space="preserve"> </w:t>
      </w:r>
      <w:r w:rsidRPr="00A84A20">
        <w:rPr>
          <w:sz w:val="24"/>
          <w:szCs w:val="24"/>
        </w:rPr>
        <w:t>10 (2009)</w:t>
      </w:r>
      <w:r>
        <w:rPr>
          <w:sz w:val="24"/>
          <w:szCs w:val="24"/>
        </w:rPr>
        <w:t>,</w:t>
      </w:r>
      <w:r w:rsidRPr="00A84A20">
        <w:rPr>
          <w:sz w:val="24"/>
          <w:szCs w:val="24"/>
        </w:rPr>
        <w:t xml:space="preserve"> 6</w:t>
      </w:r>
      <w:r>
        <w:rPr>
          <w:sz w:val="24"/>
          <w:szCs w:val="24"/>
        </w:rPr>
        <w:t>-</w:t>
      </w:r>
      <w:r w:rsidRPr="00A84A20">
        <w:rPr>
          <w:sz w:val="24"/>
          <w:szCs w:val="24"/>
        </w:rPr>
        <w:t xml:space="preserve">27; and Elliott, </w:t>
      </w:r>
      <w:r>
        <w:rPr>
          <w:bCs/>
          <w:sz w:val="24"/>
          <w:szCs w:val="24"/>
        </w:rPr>
        <w:t>‘</w:t>
      </w:r>
      <w:r w:rsidRPr="00A84A20">
        <w:rPr>
          <w:bCs/>
          <w:sz w:val="24"/>
          <w:szCs w:val="24"/>
        </w:rPr>
        <w:t>Torture, Taxes</w:t>
      </w:r>
      <w:r>
        <w:rPr>
          <w:bCs/>
          <w:sz w:val="24"/>
          <w:szCs w:val="24"/>
        </w:rPr>
        <w:t>’ (n 52)</w:t>
      </w:r>
      <w:r w:rsidRPr="00A84A20">
        <w:rPr>
          <w:bCs/>
          <w:sz w:val="24"/>
          <w:szCs w:val="24"/>
        </w:rPr>
        <w:t xml:space="preserve">; and Deana Heath, </w:t>
      </w:r>
      <w:r>
        <w:rPr>
          <w:color w:val="000000"/>
          <w:sz w:val="24"/>
          <w:szCs w:val="24"/>
        </w:rPr>
        <w:t>‘</w:t>
      </w:r>
      <w:r w:rsidRPr="00A84A20">
        <w:rPr>
          <w:color w:val="000000"/>
          <w:sz w:val="24"/>
          <w:szCs w:val="24"/>
        </w:rPr>
        <w:t>The Tortured Body: The Irrevocable Tension Between Sovereign and Biopower in Colonial Indian Technologies of Rule</w:t>
      </w:r>
      <w:r>
        <w:rPr>
          <w:color w:val="000000"/>
          <w:sz w:val="24"/>
          <w:szCs w:val="24"/>
        </w:rPr>
        <w:t>’</w:t>
      </w:r>
      <w:r w:rsidRPr="00A84A20">
        <w:rPr>
          <w:color w:val="000000"/>
          <w:sz w:val="24"/>
          <w:szCs w:val="24"/>
        </w:rPr>
        <w:t xml:space="preserve">, </w:t>
      </w:r>
      <w:r w:rsidRPr="00A84A20">
        <w:rPr>
          <w:sz w:val="24"/>
          <w:szCs w:val="24"/>
        </w:rPr>
        <w:t xml:space="preserve">in </w:t>
      </w:r>
      <w:r>
        <w:rPr>
          <w:sz w:val="24"/>
          <w:szCs w:val="24"/>
        </w:rPr>
        <w:t xml:space="preserve">Stephen Legg and Deana Heath (eds), </w:t>
      </w:r>
      <w:r w:rsidRPr="00A84A20">
        <w:rPr>
          <w:i/>
          <w:sz w:val="24"/>
          <w:szCs w:val="24"/>
        </w:rPr>
        <w:t xml:space="preserve">South Asian Governmentalities: Michel Foucault and the Question of Postcolonial Orderings </w:t>
      </w:r>
      <w:r w:rsidRPr="00A84A20">
        <w:rPr>
          <w:sz w:val="24"/>
          <w:szCs w:val="24"/>
        </w:rPr>
        <w:t>(Cambridge: Cambridge University Press 2018), 222</w:t>
      </w:r>
      <w:r>
        <w:rPr>
          <w:sz w:val="24"/>
          <w:szCs w:val="24"/>
        </w:rPr>
        <w:t>-</w:t>
      </w:r>
      <w:r w:rsidRPr="00A84A20">
        <w:rPr>
          <w:sz w:val="24"/>
          <w:szCs w:val="24"/>
        </w:rPr>
        <w:t>44</w:t>
      </w:r>
      <w:r>
        <w:rPr>
          <w:sz w:val="24"/>
          <w:szCs w:val="24"/>
        </w:rPr>
        <w:t xml:space="preserve"> (hereafter Heath, ‘The Tortured Body’)</w:t>
      </w:r>
      <w:r w:rsidRPr="00A84A20">
        <w:rPr>
          <w:sz w:val="24"/>
          <w:szCs w:val="24"/>
        </w:rPr>
        <w:t>.</w:t>
      </w:r>
      <w:r>
        <w:rPr>
          <w:sz w:val="24"/>
          <w:szCs w:val="24"/>
        </w:rPr>
        <w:t xml:space="preserve"> </w:t>
      </w:r>
    </w:p>
  </w:footnote>
  <w:footnote w:id="102">
    <w:p w14:paraId="2F787E9A"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Stephen Pierce, </w:t>
      </w:r>
      <w:r>
        <w:rPr>
          <w:bCs/>
          <w:sz w:val="24"/>
          <w:szCs w:val="24"/>
        </w:rPr>
        <w:t>‘</w:t>
      </w:r>
      <w:r w:rsidRPr="00A84A20">
        <w:rPr>
          <w:bCs/>
          <w:sz w:val="24"/>
          <w:szCs w:val="24"/>
        </w:rPr>
        <w:t>Punishment and the Political Body: Flogging and Colonialism in Northern Nigeria</w:t>
      </w:r>
      <w:r>
        <w:rPr>
          <w:bCs/>
          <w:sz w:val="24"/>
          <w:szCs w:val="24"/>
        </w:rPr>
        <w:t>’</w:t>
      </w:r>
      <w:r w:rsidRPr="00A84A20">
        <w:rPr>
          <w:bCs/>
          <w:sz w:val="24"/>
          <w:szCs w:val="24"/>
        </w:rPr>
        <w:t xml:space="preserve">, </w:t>
      </w:r>
      <w:r w:rsidRPr="00A84A20">
        <w:rPr>
          <w:i/>
          <w:sz w:val="24"/>
          <w:szCs w:val="24"/>
        </w:rPr>
        <w:t>interventions</w:t>
      </w:r>
      <w:r w:rsidRPr="00A84A20">
        <w:rPr>
          <w:sz w:val="24"/>
          <w:szCs w:val="24"/>
        </w:rPr>
        <w:t xml:space="preserve"> 3</w:t>
      </w:r>
      <w:r>
        <w:rPr>
          <w:sz w:val="24"/>
          <w:szCs w:val="24"/>
        </w:rPr>
        <w:t>/</w:t>
      </w:r>
      <w:r w:rsidRPr="00A84A20">
        <w:rPr>
          <w:sz w:val="24"/>
          <w:szCs w:val="24"/>
        </w:rPr>
        <w:t>2 (2001)</w:t>
      </w:r>
      <w:r>
        <w:rPr>
          <w:sz w:val="24"/>
          <w:szCs w:val="24"/>
        </w:rPr>
        <w:t>,</w:t>
      </w:r>
      <w:r w:rsidRPr="00A84A20">
        <w:rPr>
          <w:sz w:val="24"/>
          <w:szCs w:val="24"/>
        </w:rPr>
        <w:t xml:space="preserve"> 206</w:t>
      </w:r>
      <w:r>
        <w:rPr>
          <w:sz w:val="24"/>
          <w:szCs w:val="24"/>
        </w:rPr>
        <w:t>-</w:t>
      </w:r>
      <w:r w:rsidRPr="00A84A20">
        <w:rPr>
          <w:sz w:val="24"/>
          <w:szCs w:val="24"/>
        </w:rPr>
        <w:t>21</w:t>
      </w:r>
      <w:r>
        <w:rPr>
          <w:sz w:val="24"/>
          <w:szCs w:val="24"/>
        </w:rPr>
        <w:t xml:space="preserve"> (hereafter Pierce, ‘Punishment and the Political Body’)</w:t>
      </w:r>
      <w:r w:rsidRPr="00A84A20">
        <w:rPr>
          <w:sz w:val="24"/>
          <w:szCs w:val="24"/>
        </w:rPr>
        <w:t xml:space="preserve">; Stephen Pete and Annie Devenish, </w:t>
      </w:r>
      <w:r>
        <w:rPr>
          <w:sz w:val="24"/>
          <w:szCs w:val="24"/>
        </w:rPr>
        <w:t>‘</w:t>
      </w:r>
      <w:r w:rsidRPr="00A84A20">
        <w:rPr>
          <w:sz w:val="24"/>
          <w:szCs w:val="24"/>
        </w:rPr>
        <w:t>Flogging, Fear and Food: Punishment and Race in Colonial Natal</w:t>
      </w:r>
      <w:r>
        <w:rPr>
          <w:sz w:val="24"/>
          <w:szCs w:val="24"/>
        </w:rPr>
        <w:t>’</w:t>
      </w:r>
      <w:r w:rsidRPr="00A84A20">
        <w:rPr>
          <w:sz w:val="24"/>
          <w:szCs w:val="24"/>
        </w:rPr>
        <w:t xml:space="preserve">, </w:t>
      </w:r>
      <w:r w:rsidRPr="00A84A20">
        <w:rPr>
          <w:i/>
          <w:iCs/>
          <w:sz w:val="24"/>
          <w:szCs w:val="24"/>
        </w:rPr>
        <w:t>Journal of Southern African Studies</w:t>
      </w:r>
      <w:r w:rsidRPr="00A84A20">
        <w:rPr>
          <w:sz w:val="24"/>
          <w:szCs w:val="24"/>
        </w:rPr>
        <w:t xml:space="preserve"> 31</w:t>
      </w:r>
      <w:r>
        <w:rPr>
          <w:sz w:val="24"/>
          <w:szCs w:val="24"/>
        </w:rPr>
        <w:t>/</w:t>
      </w:r>
      <w:r w:rsidRPr="00A84A20">
        <w:rPr>
          <w:sz w:val="24"/>
          <w:szCs w:val="24"/>
        </w:rPr>
        <w:t>1 (2005), 3</w:t>
      </w:r>
      <w:r>
        <w:rPr>
          <w:sz w:val="24"/>
          <w:szCs w:val="24"/>
        </w:rPr>
        <w:t>-</w:t>
      </w:r>
      <w:r w:rsidRPr="00A84A20">
        <w:rPr>
          <w:sz w:val="24"/>
          <w:szCs w:val="24"/>
        </w:rPr>
        <w:t>21; Penny Edwards and Hamish Maxwell</w:t>
      </w:r>
      <w:r>
        <w:rPr>
          <w:sz w:val="24"/>
          <w:szCs w:val="24"/>
        </w:rPr>
        <w:t>-</w:t>
      </w:r>
      <w:r w:rsidRPr="00A84A20">
        <w:rPr>
          <w:sz w:val="24"/>
          <w:szCs w:val="24"/>
        </w:rPr>
        <w:t xml:space="preserve">Stewart, </w:t>
      </w:r>
      <w:r>
        <w:rPr>
          <w:sz w:val="24"/>
          <w:szCs w:val="24"/>
        </w:rPr>
        <w:t>‘”</w:t>
      </w:r>
      <w:r w:rsidRPr="00A84A20">
        <w:rPr>
          <w:sz w:val="24"/>
          <w:szCs w:val="24"/>
        </w:rPr>
        <w:t>The Whip Is a Very Contagious Kind of Thing</w:t>
      </w:r>
      <w:r>
        <w:rPr>
          <w:sz w:val="24"/>
          <w:szCs w:val="24"/>
        </w:rPr>
        <w:t>”</w:t>
      </w:r>
      <w:r w:rsidRPr="00A84A20">
        <w:rPr>
          <w:sz w:val="24"/>
          <w:szCs w:val="24"/>
        </w:rPr>
        <w:t>: Flogging and Humanitarian Reform in Penal Australia</w:t>
      </w:r>
      <w:r>
        <w:rPr>
          <w:sz w:val="24"/>
          <w:szCs w:val="24"/>
        </w:rPr>
        <w:t>’</w:t>
      </w:r>
      <w:r w:rsidRPr="00A84A20">
        <w:rPr>
          <w:sz w:val="24"/>
          <w:szCs w:val="24"/>
        </w:rPr>
        <w:t xml:space="preserve">, </w:t>
      </w:r>
      <w:r w:rsidRPr="00A84A20">
        <w:rPr>
          <w:i/>
          <w:iCs/>
          <w:sz w:val="24"/>
          <w:szCs w:val="24"/>
        </w:rPr>
        <w:t>Journal of Colonialism and Colonial History</w:t>
      </w:r>
      <w:r w:rsidRPr="00A84A20">
        <w:rPr>
          <w:sz w:val="24"/>
          <w:szCs w:val="24"/>
        </w:rPr>
        <w:t xml:space="preserve"> 17</w:t>
      </w:r>
      <w:r>
        <w:rPr>
          <w:sz w:val="24"/>
          <w:szCs w:val="24"/>
        </w:rPr>
        <w:t>/</w:t>
      </w:r>
      <w:r w:rsidRPr="00A84A20">
        <w:rPr>
          <w:sz w:val="24"/>
          <w:szCs w:val="24"/>
        </w:rPr>
        <w:t>1 (2016)</w:t>
      </w:r>
      <w:r>
        <w:rPr>
          <w:sz w:val="24"/>
          <w:szCs w:val="24"/>
        </w:rPr>
        <w:t xml:space="preserve"> </w:t>
      </w:r>
      <w:r w:rsidRPr="00DE4BB3">
        <w:rPr>
          <w:sz w:val="24"/>
          <w:szCs w:val="24"/>
        </w:rPr>
        <w:t>[DOI 10.1353/CCH.2016.006]</w:t>
      </w:r>
      <w:r w:rsidRPr="00A84A20">
        <w:rPr>
          <w:sz w:val="24"/>
          <w:szCs w:val="24"/>
        </w:rPr>
        <w:t xml:space="preserve">; Radhika Singha, </w:t>
      </w:r>
      <w:r>
        <w:rPr>
          <w:color w:val="000000"/>
          <w:sz w:val="24"/>
          <w:szCs w:val="24"/>
        </w:rPr>
        <w:t>‘</w:t>
      </w:r>
      <w:r w:rsidRPr="00A84A20">
        <w:rPr>
          <w:color w:val="000000"/>
          <w:sz w:val="24"/>
          <w:szCs w:val="24"/>
        </w:rPr>
        <w:t xml:space="preserve">The </w:t>
      </w:r>
      <w:r>
        <w:rPr>
          <w:color w:val="000000"/>
          <w:sz w:val="24"/>
          <w:szCs w:val="24"/>
        </w:rPr>
        <w:t>“</w:t>
      </w:r>
      <w:r w:rsidRPr="00A84A20">
        <w:rPr>
          <w:color w:val="000000"/>
          <w:sz w:val="24"/>
          <w:szCs w:val="24"/>
        </w:rPr>
        <w:t>Rare Infliction</w:t>
      </w:r>
      <w:r>
        <w:rPr>
          <w:color w:val="000000"/>
          <w:sz w:val="24"/>
          <w:szCs w:val="24"/>
        </w:rPr>
        <w:t>”</w:t>
      </w:r>
      <w:r w:rsidRPr="00A84A20">
        <w:rPr>
          <w:color w:val="000000"/>
          <w:sz w:val="24"/>
          <w:szCs w:val="24"/>
        </w:rPr>
        <w:t>: The Abolition of Flogging in the Indian Army, circa 1835</w:t>
      </w:r>
      <w:r>
        <w:rPr>
          <w:color w:val="000000"/>
          <w:sz w:val="24"/>
          <w:szCs w:val="24"/>
        </w:rPr>
        <w:t>-</w:t>
      </w:r>
      <w:r w:rsidRPr="00A84A20">
        <w:rPr>
          <w:color w:val="000000"/>
          <w:sz w:val="24"/>
          <w:szCs w:val="24"/>
        </w:rPr>
        <w:t>1920</w:t>
      </w:r>
      <w:r>
        <w:rPr>
          <w:color w:val="000000"/>
          <w:sz w:val="24"/>
          <w:szCs w:val="24"/>
        </w:rPr>
        <w:t>’</w:t>
      </w:r>
      <w:r w:rsidRPr="00A84A20">
        <w:rPr>
          <w:color w:val="000000"/>
          <w:sz w:val="24"/>
          <w:szCs w:val="24"/>
        </w:rPr>
        <w:t xml:space="preserve">, </w:t>
      </w:r>
      <w:r w:rsidRPr="00A84A20">
        <w:rPr>
          <w:i/>
          <w:iCs/>
          <w:color w:val="000000"/>
          <w:sz w:val="24"/>
          <w:szCs w:val="24"/>
        </w:rPr>
        <w:t>Law and History Review</w:t>
      </w:r>
      <w:r w:rsidRPr="00A84A20">
        <w:rPr>
          <w:color w:val="000000"/>
          <w:sz w:val="24"/>
          <w:szCs w:val="24"/>
        </w:rPr>
        <w:t xml:space="preserve"> 1</w:t>
      </w:r>
      <w:r>
        <w:rPr>
          <w:color w:val="000000"/>
          <w:sz w:val="24"/>
          <w:szCs w:val="24"/>
        </w:rPr>
        <w:t>/</w:t>
      </w:r>
      <w:r w:rsidRPr="00A84A20">
        <w:rPr>
          <w:color w:val="000000"/>
          <w:sz w:val="24"/>
          <w:szCs w:val="24"/>
        </w:rPr>
        <w:t>3 (2016)</w:t>
      </w:r>
      <w:r>
        <w:rPr>
          <w:color w:val="000000"/>
          <w:sz w:val="24"/>
          <w:szCs w:val="24"/>
        </w:rPr>
        <w:t>,</w:t>
      </w:r>
      <w:r w:rsidRPr="00A84A20">
        <w:rPr>
          <w:color w:val="000000"/>
          <w:sz w:val="24"/>
          <w:szCs w:val="24"/>
        </w:rPr>
        <w:t xml:space="preserve"> 1</w:t>
      </w:r>
      <w:r>
        <w:rPr>
          <w:color w:val="000000"/>
          <w:sz w:val="24"/>
          <w:szCs w:val="24"/>
        </w:rPr>
        <w:t>-</w:t>
      </w:r>
      <w:r w:rsidRPr="00A84A20">
        <w:rPr>
          <w:color w:val="000000"/>
          <w:sz w:val="24"/>
          <w:szCs w:val="24"/>
        </w:rPr>
        <w:t>36</w:t>
      </w:r>
      <w:r w:rsidRPr="00A84A20">
        <w:rPr>
          <w:sz w:val="24"/>
          <w:szCs w:val="24"/>
        </w:rPr>
        <w:t xml:space="preserve">; and Amanda Nettlebeck, </w:t>
      </w:r>
      <w:r>
        <w:rPr>
          <w:sz w:val="24"/>
          <w:szCs w:val="24"/>
        </w:rPr>
        <w:t>‘</w:t>
      </w:r>
      <w:r w:rsidRPr="00A84A20">
        <w:rPr>
          <w:sz w:val="24"/>
          <w:szCs w:val="24"/>
        </w:rPr>
        <w:t>Flogging as Judicial Violence: The Colonial Rationale of Corporal Punishment</w:t>
      </w:r>
      <w:r>
        <w:rPr>
          <w:sz w:val="24"/>
          <w:szCs w:val="24"/>
        </w:rPr>
        <w:t>’</w:t>
      </w:r>
      <w:r w:rsidRPr="00A84A20">
        <w:rPr>
          <w:sz w:val="24"/>
          <w:szCs w:val="24"/>
        </w:rPr>
        <w:t>,</w:t>
      </w:r>
      <w:r w:rsidRPr="00A84A20">
        <w:rPr>
          <w:b/>
          <w:bCs/>
          <w:sz w:val="24"/>
          <w:szCs w:val="24"/>
        </w:rPr>
        <w:t xml:space="preserve"> </w:t>
      </w:r>
      <w:r w:rsidRPr="00A84A20">
        <w:rPr>
          <w:sz w:val="24"/>
          <w:szCs w:val="24"/>
        </w:rPr>
        <w:t>in</w:t>
      </w:r>
      <w:r>
        <w:rPr>
          <w:sz w:val="24"/>
          <w:szCs w:val="24"/>
        </w:rPr>
        <w:t xml:space="preserve"> Philip </w:t>
      </w:r>
      <w:r w:rsidRPr="00A84A20">
        <w:rPr>
          <w:sz w:val="24"/>
          <w:szCs w:val="24"/>
        </w:rPr>
        <w:t xml:space="preserve">Dwyer and </w:t>
      </w:r>
      <w:r>
        <w:rPr>
          <w:sz w:val="24"/>
          <w:szCs w:val="24"/>
        </w:rPr>
        <w:t xml:space="preserve">Amanda </w:t>
      </w:r>
      <w:r w:rsidRPr="00A84A20">
        <w:rPr>
          <w:sz w:val="24"/>
          <w:szCs w:val="24"/>
        </w:rPr>
        <w:t>Nettlebeck</w:t>
      </w:r>
      <w:r>
        <w:rPr>
          <w:sz w:val="24"/>
          <w:szCs w:val="24"/>
        </w:rPr>
        <w:t xml:space="preserve"> (eds)</w:t>
      </w:r>
      <w:r w:rsidRPr="00A84A20">
        <w:rPr>
          <w:sz w:val="24"/>
          <w:szCs w:val="24"/>
        </w:rPr>
        <w:t xml:space="preserve">, </w:t>
      </w:r>
      <w:r w:rsidRPr="00A84A20">
        <w:rPr>
          <w:i/>
          <w:iCs/>
          <w:sz w:val="24"/>
          <w:szCs w:val="24"/>
        </w:rPr>
        <w:t>Violence, Colonialism and Empire in the Modern World</w:t>
      </w:r>
      <w:r>
        <w:rPr>
          <w:sz w:val="24"/>
          <w:szCs w:val="24"/>
        </w:rPr>
        <w:t xml:space="preserve"> </w:t>
      </w:r>
      <w:r w:rsidRPr="002C5187">
        <w:rPr>
          <w:sz w:val="24"/>
          <w:szCs w:val="24"/>
        </w:rPr>
        <w:t>(Cham, Switzerland: Palgrave Macmillan, 2018),</w:t>
      </w:r>
      <w:r>
        <w:rPr>
          <w:sz w:val="24"/>
          <w:szCs w:val="24"/>
        </w:rPr>
        <w:t xml:space="preserve"> </w:t>
      </w:r>
      <w:r w:rsidRPr="00A84A20">
        <w:rPr>
          <w:sz w:val="24"/>
          <w:szCs w:val="24"/>
        </w:rPr>
        <w:t>111</w:t>
      </w:r>
      <w:r>
        <w:rPr>
          <w:sz w:val="24"/>
          <w:szCs w:val="24"/>
        </w:rPr>
        <w:t>-</w:t>
      </w:r>
      <w:r w:rsidRPr="00A84A20">
        <w:rPr>
          <w:sz w:val="24"/>
          <w:szCs w:val="24"/>
        </w:rPr>
        <w:t>30.</w:t>
      </w:r>
      <w:r>
        <w:rPr>
          <w:sz w:val="24"/>
          <w:szCs w:val="24"/>
        </w:rPr>
        <w:t xml:space="preserve"> </w:t>
      </w:r>
    </w:p>
  </w:footnote>
  <w:footnote w:id="103">
    <w:p w14:paraId="3C9DA40D"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David Lloyd, </w:t>
      </w:r>
      <w:r>
        <w:rPr>
          <w:sz w:val="24"/>
          <w:szCs w:val="24"/>
        </w:rPr>
        <w:t>‘</w:t>
      </w:r>
      <w:r w:rsidRPr="00A84A20">
        <w:rPr>
          <w:sz w:val="24"/>
          <w:szCs w:val="24"/>
        </w:rPr>
        <w:t>The Indigent Sublime: Specters of Irish Hunger</w:t>
      </w:r>
      <w:r>
        <w:rPr>
          <w:sz w:val="24"/>
          <w:szCs w:val="24"/>
        </w:rPr>
        <w:t>’</w:t>
      </w:r>
      <w:r w:rsidRPr="00A84A20">
        <w:rPr>
          <w:sz w:val="24"/>
          <w:szCs w:val="24"/>
        </w:rPr>
        <w:t xml:space="preserve">, </w:t>
      </w:r>
      <w:r w:rsidRPr="00A84A20">
        <w:rPr>
          <w:i/>
          <w:sz w:val="24"/>
          <w:szCs w:val="24"/>
        </w:rPr>
        <w:t>Representations</w:t>
      </w:r>
      <w:r w:rsidRPr="00A84A20">
        <w:rPr>
          <w:sz w:val="24"/>
          <w:szCs w:val="24"/>
        </w:rPr>
        <w:t xml:space="preserve"> 92</w:t>
      </w:r>
      <w:r>
        <w:rPr>
          <w:sz w:val="24"/>
          <w:szCs w:val="24"/>
        </w:rPr>
        <w:t>/</w:t>
      </w:r>
      <w:r w:rsidRPr="00A84A20">
        <w:rPr>
          <w:sz w:val="24"/>
          <w:szCs w:val="24"/>
        </w:rPr>
        <w:t>1 (2005)</w:t>
      </w:r>
      <w:r>
        <w:rPr>
          <w:sz w:val="24"/>
          <w:szCs w:val="24"/>
        </w:rPr>
        <w:t>,</w:t>
      </w:r>
      <w:r w:rsidRPr="00A84A20">
        <w:rPr>
          <w:sz w:val="24"/>
          <w:szCs w:val="24"/>
        </w:rPr>
        <w:t xml:space="preserve"> 152</w:t>
      </w:r>
      <w:r>
        <w:rPr>
          <w:sz w:val="24"/>
          <w:szCs w:val="24"/>
        </w:rPr>
        <w:t>-</w:t>
      </w:r>
      <w:r w:rsidRPr="00A84A20">
        <w:rPr>
          <w:sz w:val="24"/>
          <w:szCs w:val="24"/>
        </w:rPr>
        <w:t xml:space="preserve">85; Partha Chatterjee, </w:t>
      </w:r>
      <w:r w:rsidRPr="00A84A20">
        <w:rPr>
          <w:i/>
          <w:iCs/>
          <w:sz w:val="24"/>
          <w:szCs w:val="24"/>
        </w:rPr>
        <w:t>The Black Hole of Empire: History of a Global Practice of Power</w:t>
      </w:r>
      <w:r w:rsidRPr="00A84A20">
        <w:rPr>
          <w:sz w:val="24"/>
          <w:szCs w:val="24"/>
        </w:rPr>
        <w:t xml:space="preserve"> (Princeton: Princeton University Press 2012); Chaudhary, </w:t>
      </w:r>
      <w:r>
        <w:rPr>
          <w:sz w:val="24"/>
          <w:szCs w:val="24"/>
        </w:rPr>
        <w:t>‘</w:t>
      </w:r>
      <w:r w:rsidRPr="00A84A20">
        <w:rPr>
          <w:sz w:val="24"/>
          <w:szCs w:val="24"/>
        </w:rPr>
        <w:t>Phantasmagoric Aesthetics</w:t>
      </w:r>
      <w:r>
        <w:rPr>
          <w:sz w:val="24"/>
          <w:szCs w:val="24"/>
        </w:rPr>
        <w:t xml:space="preserve">’ (n 81); Nathan K. </w:t>
      </w:r>
      <w:r w:rsidRPr="00A84A20">
        <w:rPr>
          <w:sz w:val="24"/>
          <w:szCs w:val="24"/>
        </w:rPr>
        <w:t xml:space="preserve">Hensley, </w:t>
      </w:r>
      <w:r w:rsidRPr="00E419E1">
        <w:rPr>
          <w:i/>
          <w:iCs/>
          <w:sz w:val="24"/>
          <w:szCs w:val="24"/>
        </w:rPr>
        <w:t>Forms of Empire: The Poetics of Victorian Sovereignty</w:t>
      </w:r>
      <w:r w:rsidRPr="00E419E1">
        <w:rPr>
          <w:sz w:val="24"/>
          <w:szCs w:val="24"/>
        </w:rPr>
        <w:t xml:space="preserve"> (Oxford: Oxford University Press 2016)</w:t>
      </w:r>
      <w:r>
        <w:rPr>
          <w:i/>
          <w:iCs/>
          <w:sz w:val="24"/>
          <w:szCs w:val="24"/>
        </w:rPr>
        <w:t>;</w:t>
      </w:r>
      <w:r w:rsidRPr="00A84A20">
        <w:rPr>
          <w:sz w:val="24"/>
          <w:szCs w:val="24"/>
        </w:rPr>
        <w:t xml:space="preserve"> </w:t>
      </w:r>
      <w:r>
        <w:rPr>
          <w:sz w:val="24"/>
          <w:szCs w:val="24"/>
        </w:rPr>
        <w:t xml:space="preserve">and Zahid Chaudhary, </w:t>
      </w:r>
      <w:r w:rsidRPr="00A84A20">
        <w:rPr>
          <w:i/>
          <w:sz w:val="24"/>
          <w:szCs w:val="24"/>
        </w:rPr>
        <w:t>Afterimage of Empire: Photography in Nineteenth Century India</w:t>
      </w:r>
      <w:r w:rsidRPr="00A84A20">
        <w:rPr>
          <w:sz w:val="24"/>
          <w:szCs w:val="24"/>
        </w:rPr>
        <w:t xml:space="preserve"> (Minneapolis and London: University of Minnesota Press 2012).</w:t>
      </w:r>
      <w:r>
        <w:rPr>
          <w:sz w:val="24"/>
          <w:szCs w:val="24"/>
        </w:rPr>
        <w:t xml:space="preserve"> </w:t>
      </w:r>
    </w:p>
  </w:footnote>
  <w:footnote w:id="104">
    <w:p w14:paraId="06AB52DB" w14:textId="77777777" w:rsidR="00997966" w:rsidRPr="00A84A20" w:rsidRDefault="00997966" w:rsidP="00997966">
      <w:pPr>
        <w:pStyle w:val="FootnoteText"/>
        <w:spacing w:line="480" w:lineRule="auto"/>
        <w:contextualSpacing/>
        <w:rPr>
          <w:bCs/>
          <w:sz w:val="24"/>
          <w:szCs w:val="24"/>
        </w:rPr>
      </w:pPr>
      <w:r w:rsidRPr="00A84A20">
        <w:rPr>
          <w:rStyle w:val="FootnoteReference"/>
          <w:sz w:val="24"/>
          <w:szCs w:val="24"/>
        </w:rPr>
        <w:footnoteRef/>
      </w:r>
      <w:r w:rsidRPr="00A84A20">
        <w:rPr>
          <w:sz w:val="24"/>
          <w:szCs w:val="24"/>
        </w:rPr>
        <w:t xml:space="preserve"> Mario Klarer, </w:t>
      </w:r>
      <w:r>
        <w:rPr>
          <w:bCs/>
          <w:sz w:val="24"/>
          <w:szCs w:val="24"/>
        </w:rPr>
        <w:t>‘</w:t>
      </w:r>
      <w:r w:rsidRPr="00A84A20">
        <w:rPr>
          <w:bCs/>
          <w:sz w:val="24"/>
          <w:szCs w:val="24"/>
        </w:rPr>
        <w:t xml:space="preserve">Humanitarian Pornography: John Gabriel Stedman’s </w:t>
      </w:r>
      <w:r w:rsidRPr="00A84A20">
        <w:rPr>
          <w:bCs/>
          <w:i/>
          <w:sz w:val="24"/>
          <w:szCs w:val="24"/>
        </w:rPr>
        <w:t xml:space="preserve">Narrative of Five </w:t>
      </w:r>
    </w:p>
    <w:p w14:paraId="75963DA6" w14:textId="77777777" w:rsidR="00997966" w:rsidRPr="00754636" w:rsidRDefault="00997966" w:rsidP="00997966">
      <w:pPr>
        <w:pStyle w:val="FootnoteText"/>
        <w:spacing w:line="480" w:lineRule="auto"/>
        <w:contextualSpacing/>
        <w:rPr>
          <w:b/>
          <w:bCs/>
          <w:i/>
          <w:iCs/>
          <w:sz w:val="24"/>
          <w:szCs w:val="24"/>
        </w:rPr>
      </w:pPr>
      <w:r w:rsidRPr="00A84A20">
        <w:rPr>
          <w:bCs/>
          <w:i/>
          <w:sz w:val="24"/>
          <w:szCs w:val="24"/>
        </w:rPr>
        <w:t>Years Expedition Against the Revolted Negroes of Surinam</w:t>
      </w:r>
      <w:r>
        <w:rPr>
          <w:bCs/>
          <w:iCs/>
          <w:sz w:val="24"/>
          <w:szCs w:val="24"/>
        </w:rPr>
        <w:t>’</w:t>
      </w:r>
      <w:r w:rsidRPr="00A84A20">
        <w:rPr>
          <w:bCs/>
          <w:sz w:val="24"/>
          <w:szCs w:val="24"/>
        </w:rPr>
        <w:t>,</w:t>
      </w:r>
      <w:r w:rsidRPr="00A84A20">
        <w:rPr>
          <w:b/>
          <w:sz w:val="24"/>
          <w:szCs w:val="24"/>
        </w:rPr>
        <w:t xml:space="preserve"> </w:t>
      </w:r>
      <w:r w:rsidRPr="00A84A20">
        <w:rPr>
          <w:i/>
          <w:sz w:val="24"/>
          <w:szCs w:val="24"/>
        </w:rPr>
        <w:t>New literary History</w:t>
      </w:r>
      <w:r w:rsidRPr="00A84A20">
        <w:rPr>
          <w:sz w:val="24"/>
          <w:szCs w:val="24"/>
        </w:rPr>
        <w:t xml:space="preserve"> 36 (2005)</w:t>
      </w:r>
      <w:r>
        <w:rPr>
          <w:sz w:val="24"/>
          <w:szCs w:val="24"/>
        </w:rPr>
        <w:t>,</w:t>
      </w:r>
      <w:r w:rsidRPr="00A84A20">
        <w:rPr>
          <w:sz w:val="24"/>
          <w:szCs w:val="24"/>
        </w:rPr>
        <w:t xml:space="preserve"> 559</w:t>
      </w:r>
      <w:r>
        <w:rPr>
          <w:sz w:val="24"/>
          <w:szCs w:val="24"/>
        </w:rPr>
        <w:t>-</w:t>
      </w:r>
      <w:r w:rsidRPr="00A84A20">
        <w:rPr>
          <w:sz w:val="24"/>
          <w:szCs w:val="24"/>
        </w:rPr>
        <w:t>87</w:t>
      </w:r>
      <w:r>
        <w:rPr>
          <w:sz w:val="24"/>
          <w:szCs w:val="24"/>
        </w:rPr>
        <w:t xml:space="preserve"> (hereafter Klarer, ‘Humanitarian Pornography’)</w:t>
      </w:r>
      <w:r w:rsidRPr="00A84A20">
        <w:rPr>
          <w:sz w:val="24"/>
          <w:szCs w:val="24"/>
        </w:rPr>
        <w:t xml:space="preserve">; Anupama Rao and Stephen Pierce, </w:t>
      </w:r>
      <w:r>
        <w:rPr>
          <w:bCs/>
          <w:sz w:val="24"/>
          <w:szCs w:val="24"/>
        </w:rPr>
        <w:t>‘</w:t>
      </w:r>
      <w:r w:rsidRPr="00A84A20">
        <w:rPr>
          <w:bCs/>
          <w:sz w:val="24"/>
          <w:szCs w:val="24"/>
        </w:rPr>
        <w:t>Discipline and the Other Body: Humanitarianism, Violence, and the Colonial Exception,</w:t>
      </w:r>
      <w:r>
        <w:rPr>
          <w:bCs/>
          <w:sz w:val="24"/>
          <w:szCs w:val="24"/>
        </w:rPr>
        <w:t>’</w:t>
      </w:r>
      <w:r w:rsidRPr="00A84A20">
        <w:rPr>
          <w:bCs/>
          <w:sz w:val="24"/>
          <w:szCs w:val="24"/>
        </w:rPr>
        <w:t xml:space="preserve"> in </w:t>
      </w:r>
      <w:r>
        <w:rPr>
          <w:bCs/>
          <w:sz w:val="24"/>
          <w:szCs w:val="24"/>
        </w:rPr>
        <w:t xml:space="preserve">Stephen </w:t>
      </w:r>
      <w:r w:rsidRPr="00A84A20">
        <w:rPr>
          <w:bCs/>
          <w:sz w:val="24"/>
          <w:szCs w:val="24"/>
        </w:rPr>
        <w:t>Pierce and</w:t>
      </w:r>
      <w:r>
        <w:rPr>
          <w:bCs/>
          <w:sz w:val="24"/>
          <w:szCs w:val="24"/>
        </w:rPr>
        <w:t xml:space="preserve"> Anupama </w:t>
      </w:r>
      <w:r w:rsidRPr="00A84A20">
        <w:rPr>
          <w:bCs/>
          <w:sz w:val="24"/>
          <w:szCs w:val="24"/>
        </w:rPr>
        <w:t>Rao</w:t>
      </w:r>
      <w:r>
        <w:rPr>
          <w:bCs/>
          <w:sz w:val="24"/>
          <w:szCs w:val="24"/>
        </w:rPr>
        <w:t xml:space="preserve"> (eds),</w:t>
      </w:r>
      <w:r w:rsidRPr="00A84A20">
        <w:rPr>
          <w:bCs/>
          <w:sz w:val="24"/>
          <w:szCs w:val="24"/>
        </w:rPr>
        <w:t xml:space="preserve"> </w:t>
      </w:r>
      <w:r w:rsidRPr="00A84A20">
        <w:rPr>
          <w:bCs/>
          <w:i/>
          <w:iCs/>
          <w:sz w:val="24"/>
          <w:szCs w:val="24"/>
        </w:rPr>
        <w:t>Discipline and the Other Body</w:t>
      </w:r>
      <w:r>
        <w:rPr>
          <w:bCs/>
          <w:i/>
          <w:iCs/>
          <w:sz w:val="24"/>
          <w:szCs w:val="24"/>
        </w:rPr>
        <w:t>:</w:t>
      </w:r>
      <w:r w:rsidRPr="00754636">
        <w:rPr>
          <w:bCs/>
          <w:i/>
          <w:iCs/>
          <w:sz w:val="24"/>
          <w:szCs w:val="24"/>
        </w:rPr>
        <w:t xml:space="preserve"> </w:t>
      </w:r>
      <w:r w:rsidRPr="00052FD8">
        <w:rPr>
          <w:bCs/>
          <w:i/>
          <w:iCs/>
          <w:sz w:val="24"/>
          <w:szCs w:val="24"/>
        </w:rPr>
        <w:t>Correction, Corporeality, Colonialism</w:t>
      </w:r>
      <w:r w:rsidRPr="00052FD8">
        <w:rPr>
          <w:bCs/>
          <w:sz w:val="24"/>
          <w:szCs w:val="24"/>
        </w:rPr>
        <w:t xml:space="preserve"> (Durham and London: Duke University Press 2006)</w:t>
      </w:r>
      <w:r>
        <w:rPr>
          <w:bCs/>
          <w:i/>
          <w:iCs/>
          <w:sz w:val="24"/>
          <w:szCs w:val="24"/>
        </w:rPr>
        <w:t xml:space="preserve"> </w:t>
      </w:r>
      <w:r w:rsidRPr="00A84A20">
        <w:rPr>
          <w:bCs/>
          <w:sz w:val="24"/>
          <w:szCs w:val="24"/>
        </w:rPr>
        <w:t>1</w:t>
      </w:r>
      <w:r>
        <w:rPr>
          <w:bCs/>
          <w:sz w:val="24"/>
          <w:szCs w:val="24"/>
        </w:rPr>
        <w:t>-</w:t>
      </w:r>
      <w:r w:rsidRPr="00A84A20">
        <w:rPr>
          <w:bCs/>
          <w:sz w:val="24"/>
          <w:szCs w:val="24"/>
        </w:rPr>
        <w:t>35</w:t>
      </w:r>
      <w:r w:rsidRPr="00A84A20">
        <w:rPr>
          <w:sz w:val="24"/>
          <w:szCs w:val="24"/>
        </w:rPr>
        <w:t xml:space="preserve">; </w:t>
      </w:r>
      <w:r w:rsidRPr="00A84A20">
        <w:rPr>
          <w:bCs/>
          <w:sz w:val="24"/>
          <w:szCs w:val="24"/>
        </w:rPr>
        <w:t xml:space="preserve">Christina Twomey, </w:t>
      </w:r>
      <w:r>
        <w:rPr>
          <w:bCs/>
          <w:sz w:val="24"/>
          <w:szCs w:val="24"/>
        </w:rPr>
        <w:t>‘</w:t>
      </w:r>
      <w:r w:rsidRPr="00A84A20">
        <w:rPr>
          <w:bCs/>
          <w:sz w:val="24"/>
          <w:szCs w:val="24"/>
        </w:rPr>
        <w:t>Framing Atrocity: Photography and Humanitarianism</w:t>
      </w:r>
      <w:r>
        <w:rPr>
          <w:bCs/>
          <w:sz w:val="24"/>
          <w:szCs w:val="24"/>
        </w:rPr>
        <w:t>’</w:t>
      </w:r>
      <w:r w:rsidRPr="00A84A20">
        <w:rPr>
          <w:bCs/>
          <w:sz w:val="24"/>
          <w:szCs w:val="24"/>
        </w:rPr>
        <w:t xml:space="preserve">, </w:t>
      </w:r>
      <w:r w:rsidRPr="00A84A20">
        <w:rPr>
          <w:bCs/>
          <w:i/>
          <w:sz w:val="24"/>
          <w:szCs w:val="24"/>
        </w:rPr>
        <w:t xml:space="preserve">History </w:t>
      </w:r>
      <w:r w:rsidRPr="00A84A20">
        <w:rPr>
          <w:i/>
          <w:sz w:val="24"/>
          <w:szCs w:val="24"/>
        </w:rPr>
        <w:t>of Photography</w:t>
      </w:r>
      <w:r w:rsidRPr="00A84A20">
        <w:rPr>
          <w:sz w:val="24"/>
          <w:szCs w:val="24"/>
        </w:rPr>
        <w:t xml:space="preserve"> 36</w:t>
      </w:r>
      <w:r>
        <w:rPr>
          <w:sz w:val="24"/>
          <w:szCs w:val="24"/>
        </w:rPr>
        <w:t>/</w:t>
      </w:r>
      <w:r w:rsidRPr="00A84A20">
        <w:rPr>
          <w:sz w:val="24"/>
          <w:szCs w:val="24"/>
        </w:rPr>
        <w:t>3 (2012)</w:t>
      </w:r>
      <w:r>
        <w:rPr>
          <w:sz w:val="24"/>
          <w:szCs w:val="24"/>
        </w:rPr>
        <w:t>,</w:t>
      </w:r>
      <w:r w:rsidRPr="00A84A20">
        <w:rPr>
          <w:sz w:val="24"/>
          <w:szCs w:val="24"/>
        </w:rPr>
        <w:t xml:space="preserve"> 255</w:t>
      </w:r>
      <w:r>
        <w:rPr>
          <w:sz w:val="24"/>
          <w:szCs w:val="24"/>
        </w:rPr>
        <w:t>-</w:t>
      </w:r>
      <w:r w:rsidRPr="00A84A20">
        <w:rPr>
          <w:sz w:val="24"/>
          <w:szCs w:val="24"/>
        </w:rPr>
        <w:t xml:space="preserve">64; Zoë Laidlaw, </w:t>
      </w:r>
      <w:r>
        <w:rPr>
          <w:sz w:val="24"/>
          <w:szCs w:val="24"/>
        </w:rPr>
        <w:t>‘”</w:t>
      </w:r>
      <w:r w:rsidRPr="00A84A20">
        <w:rPr>
          <w:sz w:val="24"/>
          <w:szCs w:val="24"/>
        </w:rPr>
        <w:t>Justice to India</w:t>
      </w:r>
      <w:r>
        <w:rPr>
          <w:sz w:val="24"/>
          <w:szCs w:val="24"/>
        </w:rPr>
        <w:t>—</w:t>
      </w:r>
      <w:r w:rsidRPr="00A84A20">
        <w:rPr>
          <w:sz w:val="24"/>
          <w:szCs w:val="24"/>
        </w:rPr>
        <w:t>Prosperity to England</w:t>
      </w:r>
      <w:r>
        <w:rPr>
          <w:sz w:val="24"/>
          <w:szCs w:val="24"/>
        </w:rPr>
        <w:t>—</w:t>
      </w:r>
      <w:r w:rsidRPr="00A84A20">
        <w:rPr>
          <w:sz w:val="24"/>
          <w:szCs w:val="24"/>
        </w:rPr>
        <w:t>Freedom to the Slave!</w:t>
      </w:r>
      <w:r>
        <w:rPr>
          <w:sz w:val="24"/>
          <w:szCs w:val="24"/>
        </w:rPr>
        <w:t>”</w:t>
      </w:r>
      <w:r w:rsidRPr="00A84A20">
        <w:rPr>
          <w:sz w:val="24"/>
          <w:szCs w:val="24"/>
        </w:rPr>
        <w:t xml:space="preserve"> Humanitarian and Moral Reform Campaigns on India, Aborigines and American Slavery</w:t>
      </w:r>
      <w:r>
        <w:rPr>
          <w:sz w:val="24"/>
          <w:szCs w:val="24"/>
        </w:rPr>
        <w:t>’,</w:t>
      </w:r>
      <w:r w:rsidRPr="00A84A20">
        <w:rPr>
          <w:sz w:val="24"/>
          <w:szCs w:val="24"/>
        </w:rPr>
        <w:t xml:space="preserve"> </w:t>
      </w:r>
      <w:r w:rsidRPr="00A84A20">
        <w:rPr>
          <w:i/>
          <w:sz w:val="24"/>
          <w:szCs w:val="24"/>
        </w:rPr>
        <w:t>Journal of the Royal Asiatic Society</w:t>
      </w:r>
      <w:r w:rsidRPr="00A84A20">
        <w:rPr>
          <w:sz w:val="24"/>
          <w:szCs w:val="24"/>
        </w:rPr>
        <w:t xml:space="preserve"> 22</w:t>
      </w:r>
      <w:r>
        <w:rPr>
          <w:sz w:val="24"/>
          <w:szCs w:val="24"/>
        </w:rPr>
        <w:t>/</w:t>
      </w:r>
      <w:r w:rsidRPr="00A84A20">
        <w:rPr>
          <w:sz w:val="24"/>
          <w:szCs w:val="24"/>
        </w:rPr>
        <w:t>2 (2012)</w:t>
      </w:r>
      <w:r>
        <w:rPr>
          <w:sz w:val="24"/>
          <w:szCs w:val="24"/>
        </w:rPr>
        <w:t>,</w:t>
      </w:r>
      <w:r w:rsidRPr="00A84A20">
        <w:rPr>
          <w:sz w:val="24"/>
          <w:szCs w:val="24"/>
        </w:rPr>
        <w:t xml:space="preserve"> 299</w:t>
      </w:r>
      <w:r>
        <w:rPr>
          <w:sz w:val="24"/>
          <w:szCs w:val="24"/>
        </w:rPr>
        <w:t>-</w:t>
      </w:r>
      <w:r w:rsidRPr="00A84A20">
        <w:rPr>
          <w:sz w:val="24"/>
          <w:szCs w:val="24"/>
        </w:rPr>
        <w:t xml:space="preserve">324; Anna Clark, </w:t>
      </w:r>
      <w:r>
        <w:rPr>
          <w:color w:val="222222"/>
          <w:sz w:val="24"/>
          <w:szCs w:val="24"/>
          <w:shd w:val="clear" w:color="auto" w:fill="FFFFFF"/>
        </w:rPr>
        <w:t>‘</w:t>
      </w:r>
      <w:r w:rsidRPr="00A84A20">
        <w:rPr>
          <w:color w:val="222222"/>
          <w:sz w:val="24"/>
          <w:szCs w:val="24"/>
          <w:shd w:val="clear" w:color="auto" w:fill="FFFFFF"/>
        </w:rPr>
        <w:t>Humanitarianism, Human Rights and Biopolitics in the British Empire, 1890</w:t>
      </w:r>
      <w:r>
        <w:rPr>
          <w:color w:val="222222"/>
          <w:sz w:val="24"/>
          <w:szCs w:val="24"/>
          <w:shd w:val="clear" w:color="auto" w:fill="FFFFFF"/>
        </w:rPr>
        <w:t>-</w:t>
      </w:r>
      <w:r w:rsidRPr="00A84A20">
        <w:rPr>
          <w:color w:val="222222"/>
          <w:sz w:val="24"/>
          <w:szCs w:val="24"/>
          <w:shd w:val="clear" w:color="auto" w:fill="FFFFFF"/>
        </w:rPr>
        <w:t>1902</w:t>
      </w:r>
      <w:r>
        <w:rPr>
          <w:color w:val="222222"/>
          <w:sz w:val="24"/>
          <w:szCs w:val="24"/>
          <w:shd w:val="clear" w:color="auto" w:fill="FFFFFF"/>
        </w:rPr>
        <w:t>’,</w:t>
      </w:r>
      <w:r w:rsidRPr="00A84A20">
        <w:rPr>
          <w:color w:val="222222"/>
          <w:sz w:val="24"/>
          <w:szCs w:val="24"/>
          <w:shd w:val="clear" w:color="auto" w:fill="FFFFFF"/>
        </w:rPr>
        <w:t xml:space="preserve"> </w:t>
      </w:r>
      <w:r w:rsidRPr="00A84A20">
        <w:rPr>
          <w:i/>
          <w:color w:val="222222"/>
          <w:sz w:val="24"/>
          <w:szCs w:val="24"/>
          <w:shd w:val="clear" w:color="auto" w:fill="FFFFFF"/>
        </w:rPr>
        <w:t>Britain and the World</w:t>
      </w:r>
      <w:r>
        <w:rPr>
          <w:color w:val="222222"/>
          <w:sz w:val="24"/>
          <w:szCs w:val="24"/>
          <w:shd w:val="clear" w:color="auto" w:fill="FFFFFF"/>
        </w:rPr>
        <w:t xml:space="preserve"> </w:t>
      </w:r>
      <w:r w:rsidRPr="00A84A20">
        <w:rPr>
          <w:color w:val="222222"/>
          <w:sz w:val="24"/>
          <w:szCs w:val="24"/>
          <w:shd w:val="clear" w:color="auto" w:fill="FFFFFF"/>
        </w:rPr>
        <w:t>9</w:t>
      </w:r>
      <w:r>
        <w:rPr>
          <w:color w:val="222222"/>
          <w:sz w:val="24"/>
          <w:szCs w:val="24"/>
          <w:shd w:val="clear" w:color="auto" w:fill="FFFFFF"/>
        </w:rPr>
        <w:t>/</w:t>
      </w:r>
      <w:r w:rsidRPr="00A84A20">
        <w:rPr>
          <w:color w:val="222222"/>
          <w:sz w:val="24"/>
          <w:szCs w:val="24"/>
          <w:shd w:val="clear" w:color="auto" w:fill="FFFFFF"/>
        </w:rPr>
        <w:t>1 (2016)</w:t>
      </w:r>
      <w:r>
        <w:rPr>
          <w:color w:val="222222"/>
          <w:sz w:val="24"/>
          <w:szCs w:val="24"/>
          <w:shd w:val="clear" w:color="auto" w:fill="FFFFFF"/>
        </w:rPr>
        <w:t>,</w:t>
      </w:r>
      <w:r w:rsidRPr="00A84A20">
        <w:rPr>
          <w:color w:val="222222"/>
          <w:sz w:val="24"/>
          <w:szCs w:val="24"/>
          <w:shd w:val="clear" w:color="auto" w:fill="FFFFFF"/>
        </w:rPr>
        <w:t xml:space="preserve"> 96</w:t>
      </w:r>
      <w:r>
        <w:rPr>
          <w:color w:val="222222"/>
          <w:sz w:val="24"/>
          <w:szCs w:val="24"/>
          <w:shd w:val="clear" w:color="auto" w:fill="FFFFFF"/>
        </w:rPr>
        <w:t>-</w:t>
      </w:r>
      <w:r w:rsidRPr="00A84A20">
        <w:rPr>
          <w:color w:val="222222"/>
          <w:sz w:val="24"/>
          <w:szCs w:val="24"/>
          <w:shd w:val="clear" w:color="auto" w:fill="FFFFFF"/>
        </w:rPr>
        <w:t xml:space="preserve">111; and </w:t>
      </w:r>
      <w:r w:rsidRPr="00A84A20">
        <w:rPr>
          <w:sz w:val="24"/>
          <w:szCs w:val="24"/>
        </w:rPr>
        <w:t xml:space="preserve">Penelope Edmonds and Anna Johnston, </w:t>
      </w:r>
      <w:r>
        <w:rPr>
          <w:sz w:val="24"/>
          <w:szCs w:val="24"/>
        </w:rPr>
        <w:t>‘</w:t>
      </w:r>
      <w:r w:rsidRPr="00A84A20">
        <w:rPr>
          <w:sz w:val="24"/>
          <w:szCs w:val="24"/>
        </w:rPr>
        <w:t>Empire, Humanitarianism and Violence in the Colonies</w:t>
      </w:r>
      <w:r>
        <w:rPr>
          <w:sz w:val="24"/>
          <w:szCs w:val="24"/>
        </w:rPr>
        <w:t>’</w:t>
      </w:r>
      <w:r w:rsidRPr="00A84A20">
        <w:rPr>
          <w:sz w:val="24"/>
          <w:szCs w:val="24"/>
        </w:rPr>
        <w:t xml:space="preserve">, </w:t>
      </w:r>
      <w:r w:rsidRPr="00A84A20">
        <w:rPr>
          <w:i/>
          <w:iCs/>
          <w:sz w:val="24"/>
          <w:szCs w:val="24"/>
        </w:rPr>
        <w:t>Journal of Colonialism and Colonial History</w:t>
      </w:r>
      <w:r>
        <w:rPr>
          <w:sz w:val="24"/>
          <w:szCs w:val="24"/>
        </w:rPr>
        <w:t xml:space="preserve"> </w:t>
      </w:r>
      <w:r w:rsidRPr="00A84A20">
        <w:rPr>
          <w:sz w:val="24"/>
          <w:szCs w:val="24"/>
        </w:rPr>
        <w:t>17</w:t>
      </w:r>
      <w:r>
        <w:rPr>
          <w:sz w:val="24"/>
          <w:szCs w:val="24"/>
        </w:rPr>
        <w:t>/</w:t>
      </w:r>
      <w:r w:rsidRPr="00A84A20">
        <w:rPr>
          <w:sz w:val="24"/>
          <w:szCs w:val="24"/>
        </w:rPr>
        <w:t>1 (2016)</w:t>
      </w:r>
      <w:r>
        <w:rPr>
          <w:sz w:val="24"/>
          <w:szCs w:val="24"/>
        </w:rPr>
        <w:t xml:space="preserve"> </w:t>
      </w:r>
      <w:r w:rsidRPr="00754636">
        <w:rPr>
          <w:sz w:val="24"/>
          <w:szCs w:val="24"/>
        </w:rPr>
        <w:t>[</w:t>
      </w:r>
      <w:r w:rsidRPr="00754636">
        <w:rPr>
          <w:rStyle w:val="muitypography-root-125"/>
          <w:spacing w:val="2"/>
          <w:sz w:val="24"/>
          <w:szCs w:val="24"/>
        </w:rPr>
        <w:t>DOI</w:t>
      </w:r>
      <w:r w:rsidRPr="00754636">
        <w:rPr>
          <w:sz w:val="24"/>
          <w:szCs w:val="24"/>
        </w:rPr>
        <w:t xml:space="preserve"> </w:t>
      </w:r>
      <w:hyperlink r:id="rId41" w:history="1">
        <w:r w:rsidRPr="00754636">
          <w:rPr>
            <w:rStyle w:val="Hyperlink"/>
            <w:spacing w:val="2"/>
            <w:sz w:val="24"/>
            <w:szCs w:val="24"/>
          </w:rPr>
          <w:t>https://doi.org/10.1353/cch.2016.0013</w:t>
        </w:r>
      </w:hyperlink>
      <w:r w:rsidRPr="00754636">
        <w:rPr>
          <w:rStyle w:val="muitypography-root-125"/>
          <w:spacing w:val="2"/>
          <w:sz w:val="24"/>
          <w:szCs w:val="24"/>
        </w:rPr>
        <w:t>]</w:t>
      </w:r>
      <w:r w:rsidRPr="00754636">
        <w:rPr>
          <w:color w:val="222222"/>
          <w:sz w:val="24"/>
          <w:szCs w:val="24"/>
          <w:shd w:val="clear" w:color="auto" w:fill="FFFFFF"/>
        </w:rPr>
        <w:t>.</w:t>
      </w:r>
    </w:p>
  </w:footnote>
  <w:footnote w:id="105">
    <w:p w14:paraId="1FC7FBF3"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Nicholas Dirks, </w:t>
      </w:r>
      <w:r w:rsidRPr="00A84A20">
        <w:rPr>
          <w:bCs/>
          <w:i/>
          <w:sz w:val="24"/>
          <w:szCs w:val="24"/>
        </w:rPr>
        <w:t>The Scandal of Empire: India and the Creation of Imperial Britain</w:t>
      </w:r>
      <w:r w:rsidRPr="00A84A20">
        <w:rPr>
          <w:bCs/>
          <w:sz w:val="24"/>
          <w:szCs w:val="24"/>
        </w:rPr>
        <w:t xml:space="preserve"> (Cambridge and London: Harvard University Press, 2006)</w:t>
      </w:r>
      <w:r>
        <w:rPr>
          <w:bCs/>
          <w:sz w:val="24"/>
          <w:szCs w:val="24"/>
        </w:rPr>
        <w:t xml:space="preserve"> (hereafter Dirks, </w:t>
      </w:r>
      <w:r>
        <w:rPr>
          <w:bCs/>
          <w:i/>
          <w:iCs/>
          <w:sz w:val="24"/>
          <w:szCs w:val="24"/>
        </w:rPr>
        <w:t>The Scandal of Empire</w:t>
      </w:r>
      <w:r>
        <w:rPr>
          <w:bCs/>
          <w:sz w:val="24"/>
          <w:szCs w:val="24"/>
        </w:rPr>
        <w:t>)</w:t>
      </w:r>
      <w:r w:rsidRPr="00A84A20">
        <w:rPr>
          <w:bCs/>
          <w:sz w:val="24"/>
          <w:szCs w:val="24"/>
        </w:rPr>
        <w:t xml:space="preserve">; and James Epstein, </w:t>
      </w:r>
      <w:r>
        <w:rPr>
          <w:bCs/>
          <w:sz w:val="24"/>
          <w:szCs w:val="24"/>
        </w:rPr>
        <w:t>‘</w:t>
      </w:r>
      <w:r w:rsidRPr="00A84A20">
        <w:rPr>
          <w:bCs/>
          <w:sz w:val="24"/>
          <w:szCs w:val="24"/>
        </w:rPr>
        <w:t>Politics of Colonial Sensation: The Trial of Thomas Picton and the Cause of Louisa Calderon</w:t>
      </w:r>
      <w:r>
        <w:rPr>
          <w:bCs/>
          <w:sz w:val="24"/>
          <w:szCs w:val="24"/>
        </w:rPr>
        <w:t>’</w:t>
      </w:r>
      <w:r w:rsidRPr="00A84A20">
        <w:rPr>
          <w:bCs/>
          <w:sz w:val="24"/>
          <w:szCs w:val="24"/>
        </w:rPr>
        <w:t>,</w:t>
      </w:r>
      <w:r w:rsidRPr="00A84A20">
        <w:rPr>
          <w:b/>
          <w:sz w:val="24"/>
          <w:szCs w:val="24"/>
        </w:rPr>
        <w:t xml:space="preserve"> </w:t>
      </w:r>
      <w:r w:rsidRPr="00A84A20">
        <w:rPr>
          <w:i/>
          <w:sz w:val="24"/>
          <w:szCs w:val="24"/>
        </w:rPr>
        <w:t>American Historical Review</w:t>
      </w:r>
      <w:r>
        <w:rPr>
          <w:sz w:val="24"/>
          <w:szCs w:val="24"/>
        </w:rPr>
        <w:t xml:space="preserve"> </w:t>
      </w:r>
      <w:r w:rsidRPr="00A84A20">
        <w:rPr>
          <w:sz w:val="24"/>
          <w:szCs w:val="24"/>
        </w:rPr>
        <w:t>6</w:t>
      </w:r>
      <w:r>
        <w:rPr>
          <w:sz w:val="24"/>
          <w:szCs w:val="24"/>
        </w:rPr>
        <w:t>/</w:t>
      </w:r>
      <w:r w:rsidRPr="00A84A20">
        <w:rPr>
          <w:sz w:val="24"/>
          <w:szCs w:val="24"/>
        </w:rPr>
        <w:t>1 (2006)</w:t>
      </w:r>
      <w:r>
        <w:rPr>
          <w:sz w:val="24"/>
          <w:szCs w:val="24"/>
        </w:rPr>
        <w:t xml:space="preserve">, </w:t>
      </w:r>
      <w:r w:rsidRPr="00A84A20">
        <w:rPr>
          <w:sz w:val="24"/>
          <w:szCs w:val="24"/>
        </w:rPr>
        <w:t>712</w:t>
      </w:r>
      <w:r>
        <w:rPr>
          <w:sz w:val="24"/>
          <w:szCs w:val="24"/>
        </w:rPr>
        <w:t>-</w:t>
      </w:r>
      <w:r w:rsidRPr="00A84A20">
        <w:rPr>
          <w:sz w:val="24"/>
          <w:szCs w:val="24"/>
        </w:rPr>
        <w:t xml:space="preserve">41 </w:t>
      </w:r>
      <w:r>
        <w:rPr>
          <w:sz w:val="24"/>
          <w:szCs w:val="24"/>
        </w:rPr>
        <w:t xml:space="preserve">(hereafter Epstein, ‘The Politics’); </w:t>
      </w:r>
      <w:r w:rsidRPr="00A84A20">
        <w:rPr>
          <w:sz w:val="24"/>
          <w:szCs w:val="24"/>
        </w:rPr>
        <w:t xml:space="preserve">and </w:t>
      </w:r>
      <w:r>
        <w:rPr>
          <w:sz w:val="24"/>
          <w:szCs w:val="24"/>
        </w:rPr>
        <w:t xml:space="preserve">James Epstein, </w:t>
      </w:r>
      <w:r w:rsidRPr="001F412E">
        <w:rPr>
          <w:rStyle w:val="a-size-extra-large"/>
          <w:i/>
          <w:iCs/>
          <w:color w:val="111111"/>
          <w:sz w:val="24"/>
          <w:szCs w:val="24"/>
        </w:rPr>
        <w:t xml:space="preserve">Scandal of Colonial Rule: Power and Subversion in the British Atlantic </w:t>
      </w:r>
      <w:r>
        <w:rPr>
          <w:rStyle w:val="a-size-extra-large"/>
          <w:i/>
          <w:iCs/>
          <w:color w:val="111111"/>
          <w:sz w:val="24"/>
          <w:szCs w:val="24"/>
        </w:rPr>
        <w:t>D</w:t>
      </w:r>
      <w:r w:rsidRPr="001F412E">
        <w:rPr>
          <w:rStyle w:val="a-size-extra-large"/>
          <w:i/>
          <w:iCs/>
          <w:color w:val="111111"/>
          <w:sz w:val="24"/>
          <w:szCs w:val="24"/>
        </w:rPr>
        <w:t>uring the Age of Revolution</w:t>
      </w:r>
      <w:r w:rsidRPr="00A84A20">
        <w:rPr>
          <w:rStyle w:val="a-size-extra-large"/>
          <w:color w:val="111111"/>
          <w:sz w:val="24"/>
          <w:szCs w:val="24"/>
        </w:rPr>
        <w:t xml:space="preserve"> (Cambridge: Cambridge University Press, 2012).</w:t>
      </w:r>
    </w:p>
  </w:footnote>
  <w:footnote w:id="106">
    <w:p w14:paraId="56194975"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Price,</w:t>
      </w:r>
      <w:r>
        <w:rPr>
          <w:sz w:val="24"/>
          <w:szCs w:val="24"/>
        </w:rPr>
        <w:t xml:space="preserve"> ‘</w:t>
      </w:r>
      <w:r w:rsidRPr="00A84A20">
        <w:rPr>
          <w:sz w:val="24"/>
          <w:szCs w:val="24"/>
        </w:rPr>
        <w:t>The Psychology of Colonial Violence</w:t>
      </w:r>
      <w:r>
        <w:rPr>
          <w:sz w:val="24"/>
          <w:szCs w:val="24"/>
        </w:rPr>
        <w:t xml:space="preserve">’ (52) </w:t>
      </w:r>
      <w:r w:rsidRPr="00CD7FE4">
        <w:rPr>
          <w:sz w:val="24"/>
          <w:szCs w:val="24"/>
        </w:rPr>
        <w:t>25</w:t>
      </w:r>
      <w:r>
        <w:rPr>
          <w:sz w:val="24"/>
          <w:szCs w:val="24"/>
        </w:rPr>
        <w:t>-</w:t>
      </w:r>
      <w:r w:rsidRPr="00A84A20">
        <w:rPr>
          <w:sz w:val="24"/>
          <w:szCs w:val="24"/>
        </w:rPr>
        <w:t>.</w:t>
      </w:r>
    </w:p>
  </w:footnote>
  <w:footnote w:id="107">
    <w:p w14:paraId="2323DF7A" w14:textId="77777777" w:rsidR="00997966" w:rsidRPr="00A84A20" w:rsidRDefault="00997966" w:rsidP="00997966">
      <w:pPr>
        <w:pStyle w:val="FootnoteText"/>
        <w:spacing w:line="480" w:lineRule="auto"/>
        <w:contextualSpacing/>
        <w:rPr>
          <w:bCs/>
          <w:sz w:val="24"/>
          <w:szCs w:val="24"/>
        </w:rPr>
      </w:pPr>
      <w:r w:rsidRPr="00A84A20">
        <w:rPr>
          <w:rStyle w:val="FootnoteReference"/>
          <w:sz w:val="24"/>
          <w:szCs w:val="24"/>
        </w:rPr>
        <w:footnoteRef/>
      </w:r>
      <w:r w:rsidRPr="00A84A20">
        <w:rPr>
          <w:sz w:val="24"/>
          <w:szCs w:val="24"/>
        </w:rPr>
        <w:t xml:space="preserve"> Veena Das, </w:t>
      </w:r>
      <w:r w:rsidRPr="00A84A20">
        <w:rPr>
          <w:bCs/>
          <w:i/>
          <w:sz w:val="24"/>
          <w:szCs w:val="24"/>
        </w:rPr>
        <w:t>Life and Words: Violence and the Descent into the Ordinary</w:t>
      </w:r>
      <w:r>
        <w:rPr>
          <w:bCs/>
          <w:sz w:val="24"/>
          <w:szCs w:val="24"/>
        </w:rPr>
        <w:t xml:space="preserve"> </w:t>
      </w:r>
      <w:r w:rsidRPr="00A84A20">
        <w:rPr>
          <w:bCs/>
          <w:sz w:val="24"/>
          <w:szCs w:val="24"/>
        </w:rPr>
        <w:t>(forward by Stanley Cavell</w:t>
      </w:r>
      <w:r>
        <w:rPr>
          <w:bCs/>
          <w:sz w:val="24"/>
          <w:szCs w:val="24"/>
        </w:rPr>
        <w:t xml:space="preserve">, </w:t>
      </w:r>
      <w:r w:rsidRPr="00A84A20">
        <w:rPr>
          <w:bCs/>
          <w:sz w:val="24"/>
          <w:szCs w:val="24"/>
        </w:rPr>
        <w:t>Berkeley, Los Angeles</w:t>
      </w:r>
      <w:r>
        <w:rPr>
          <w:bCs/>
          <w:sz w:val="24"/>
          <w:szCs w:val="24"/>
        </w:rPr>
        <w:t>,</w:t>
      </w:r>
      <w:r w:rsidRPr="00A84A20">
        <w:rPr>
          <w:bCs/>
          <w:sz w:val="24"/>
          <w:szCs w:val="24"/>
        </w:rPr>
        <w:t xml:space="preserve"> and London: University of California Press 2006)</w:t>
      </w:r>
      <w:r>
        <w:rPr>
          <w:bCs/>
          <w:sz w:val="24"/>
          <w:szCs w:val="24"/>
        </w:rPr>
        <w:t xml:space="preserve"> (hereafter Das, </w:t>
      </w:r>
      <w:r>
        <w:rPr>
          <w:bCs/>
          <w:i/>
          <w:iCs/>
          <w:sz w:val="24"/>
          <w:szCs w:val="24"/>
        </w:rPr>
        <w:t>Life and Words</w:t>
      </w:r>
      <w:r>
        <w:rPr>
          <w:bCs/>
          <w:sz w:val="24"/>
          <w:szCs w:val="24"/>
        </w:rPr>
        <w:t>)</w:t>
      </w:r>
      <w:r w:rsidRPr="00A84A20">
        <w:rPr>
          <w:bCs/>
          <w:sz w:val="24"/>
          <w:szCs w:val="24"/>
        </w:rPr>
        <w:t xml:space="preserve">; Michael Rothberg, </w:t>
      </w:r>
      <w:r>
        <w:rPr>
          <w:bCs/>
          <w:sz w:val="24"/>
          <w:szCs w:val="24"/>
        </w:rPr>
        <w:t>‘</w:t>
      </w:r>
      <w:r w:rsidRPr="00A84A20">
        <w:rPr>
          <w:bCs/>
          <w:sz w:val="24"/>
          <w:szCs w:val="24"/>
        </w:rPr>
        <w:t>Decolonizing Trauma Studies: A Response</w:t>
      </w:r>
      <w:r>
        <w:rPr>
          <w:bCs/>
          <w:sz w:val="24"/>
          <w:szCs w:val="24"/>
        </w:rPr>
        <w:t>’,</w:t>
      </w:r>
      <w:r w:rsidRPr="00A84A20">
        <w:rPr>
          <w:bCs/>
          <w:sz w:val="24"/>
          <w:szCs w:val="24"/>
        </w:rPr>
        <w:t xml:space="preserve"> </w:t>
      </w:r>
      <w:r w:rsidRPr="00A84A20">
        <w:rPr>
          <w:bCs/>
          <w:i/>
          <w:sz w:val="24"/>
          <w:szCs w:val="24"/>
        </w:rPr>
        <w:t>Studies in the Novel</w:t>
      </w:r>
      <w:r w:rsidRPr="00A84A20">
        <w:rPr>
          <w:bCs/>
          <w:sz w:val="24"/>
          <w:szCs w:val="24"/>
        </w:rPr>
        <w:t xml:space="preserve"> </w:t>
      </w:r>
      <w:r w:rsidRPr="00A84A20">
        <w:rPr>
          <w:sz w:val="24"/>
          <w:szCs w:val="24"/>
        </w:rPr>
        <w:t>40</w:t>
      </w:r>
      <w:r>
        <w:rPr>
          <w:sz w:val="24"/>
          <w:szCs w:val="24"/>
        </w:rPr>
        <w:t>/</w:t>
      </w:r>
      <w:r w:rsidRPr="00A84A20">
        <w:rPr>
          <w:sz w:val="24"/>
          <w:szCs w:val="24"/>
        </w:rPr>
        <w:t>1 &amp; 2 (2008)</w:t>
      </w:r>
      <w:r>
        <w:rPr>
          <w:sz w:val="24"/>
          <w:szCs w:val="24"/>
        </w:rPr>
        <w:t>,</w:t>
      </w:r>
      <w:r w:rsidRPr="00A84A20">
        <w:rPr>
          <w:sz w:val="24"/>
          <w:szCs w:val="24"/>
        </w:rPr>
        <w:t xml:space="preserve"> 224</w:t>
      </w:r>
      <w:r>
        <w:rPr>
          <w:sz w:val="24"/>
          <w:szCs w:val="24"/>
        </w:rPr>
        <w:t>-</w:t>
      </w:r>
      <w:r w:rsidRPr="00A84A20">
        <w:rPr>
          <w:sz w:val="24"/>
          <w:szCs w:val="24"/>
        </w:rPr>
        <w:t>34</w:t>
      </w:r>
      <w:r w:rsidRPr="00A84A20">
        <w:rPr>
          <w:bCs/>
          <w:sz w:val="24"/>
          <w:szCs w:val="24"/>
        </w:rPr>
        <w:t xml:space="preserve">; Herbert, </w:t>
      </w:r>
      <w:r w:rsidRPr="00A84A20">
        <w:rPr>
          <w:bCs/>
          <w:i/>
          <w:iCs/>
          <w:sz w:val="24"/>
          <w:szCs w:val="24"/>
        </w:rPr>
        <w:t>War of No Pity</w:t>
      </w:r>
      <w:r>
        <w:rPr>
          <w:bCs/>
          <w:i/>
          <w:iCs/>
          <w:sz w:val="24"/>
          <w:szCs w:val="24"/>
        </w:rPr>
        <w:t xml:space="preserve"> </w:t>
      </w:r>
      <w:r>
        <w:rPr>
          <w:bCs/>
          <w:sz w:val="24"/>
          <w:szCs w:val="24"/>
        </w:rPr>
        <w:t>(n 78)</w:t>
      </w:r>
      <w:r w:rsidRPr="00A84A20">
        <w:rPr>
          <w:bCs/>
          <w:sz w:val="24"/>
          <w:szCs w:val="24"/>
        </w:rPr>
        <w:t xml:space="preserve">; and Abigail Ward, </w:t>
      </w:r>
      <w:r w:rsidRPr="00A84A20">
        <w:rPr>
          <w:bCs/>
          <w:i/>
          <w:iCs/>
          <w:sz w:val="24"/>
          <w:szCs w:val="24"/>
        </w:rPr>
        <w:t xml:space="preserve">Postcolonial Traumas: Memory, Narrative, Resistance </w:t>
      </w:r>
      <w:r w:rsidRPr="00A84A20">
        <w:rPr>
          <w:bCs/>
          <w:sz w:val="24"/>
          <w:szCs w:val="24"/>
        </w:rPr>
        <w:t>(London: Palgrave Macmillan 2015).</w:t>
      </w:r>
    </w:p>
  </w:footnote>
  <w:footnote w:id="108">
    <w:p w14:paraId="32411A39"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Elkins, </w:t>
      </w:r>
      <w:r>
        <w:rPr>
          <w:sz w:val="24"/>
          <w:szCs w:val="24"/>
        </w:rPr>
        <w:t>‘</w:t>
      </w:r>
      <w:r w:rsidRPr="00A84A20">
        <w:rPr>
          <w:sz w:val="24"/>
          <w:szCs w:val="24"/>
        </w:rPr>
        <w:t>Looking</w:t>
      </w:r>
      <w:r>
        <w:rPr>
          <w:sz w:val="24"/>
          <w:szCs w:val="24"/>
        </w:rPr>
        <w:t xml:space="preserve"> B</w:t>
      </w:r>
      <w:r w:rsidRPr="00A84A20">
        <w:rPr>
          <w:sz w:val="24"/>
          <w:szCs w:val="24"/>
        </w:rPr>
        <w:t>eyond Mau Mau</w:t>
      </w:r>
      <w:r>
        <w:rPr>
          <w:sz w:val="24"/>
          <w:szCs w:val="24"/>
        </w:rPr>
        <w:t>’ (n 23)</w:t>
      </w:r>
      <w:r w:rsidRPr="00A84A20">
        <w:rPr>
          <w:sz w:val="24"/>
          <w:szCs w:val="24"/>
        </w:rPr>
        <w:t xml:space="preserve">; and </w:t>
      </w:r>
      <w:r w:rsidRPr="00A84A20">
        <w:rPr>
          <w:bCs/>
          <w:sz w:val="24"/>
          <w:szCs w:val="24"/>
        </w:rPr>
        <w:t xml:space="preserve">Marisa J. </w:t>
      </w:r>
      <w:r>
        <w:rPr>
          <w:bCs/>
          <w:sz w:val="24"/>
          <w:szCs w:val="24"/>
        </w:rPr>
        <w:t xml:space="preserve">Fuentes, </w:t>
      </w:r>
      <w:r w:rsidRPr="00A84A20">
        <w:rPr>
          <w:bCs/>
          <w:i/>
          <w:sz w:val="24"/>
          <w:szCs w:val="24"/>
        </w:rPr>
        <w:t xml:space="preserve">Dispossessed Lives: Enslaved Women, </w:t>
      </w:r>
      <w:proofErr w:type="gramStart"/>
      <w:r w:rsidRPr="00A84A20">
        <w:rPr>
          <w:bCs/>
          <w:i/>
          <w:sz w:val="24"/>
          <w:szCs w:val="24"/>
        </w:rPr>
        <w:t>Violence</w:t>
      </w:r>
      <w:proofErr w:type="gramEnd"/>
      <w:r w:rsidRPr="00A84A20">
        <w:rPr>
          <w:bCs/>
          <w:i/>
          <w:sz w:val="24"/>
          <w:szCs w:val="24"/>
        </w:rPr>
        <w:t xml:space="preserve"> and the Archive </w:t>
      </w:r>
      <w:r w:rsidRPr="00A84A20">
        <w:rPr>
          <w:bCs/>
          <w:sz w:val="24"/>
          <w:szCs w:val="24"/>
        </w:rPr>
        <w:t>(Philadelphia: University of Pennsylvania Press 2016).</w:t>
      </w:r>
    </w:p>
  </w:footnote>
  <w:footnote w:id="109">
    <w:p w14:paraId="0697BA74"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Richard Price, </w:t>
      </w:r>
      <w:r w:rsidRPr="00A84A20">
        <w:rPr>
          <w:i/>
          <w:iCs/>
          <w:sz w:val="24"/>
          <w:szCs w:val="24"/>
        </w:rPr>
        <w:t>Making Empire: Colonial Encounters and Creation of Imperial Rule in Nineteenth Century Africa</w:t>
      </w:r>
      <w:r w:rsidRPr="00A84A20">
        <w:rPr>
          <w:sz w:val="24"/>
          <w:szCs w:val="24"/>
        </w:rPr>
        <w:t xml:space="preserve"> (Cambridge: Cambridge University Press 2008); Richard Gott, </w:t>
      </w:r>
      <w:r w:rsidRPr="00A84A20">
        <w:rPr>
          <w:i/>
          <w:iCs/>
          <w:sz w:val="24"/>
          <w:szCs w:val="24"/>
        </w:rPr>
        <w:t>Britain’s Empire: Resistance, Repression and Revolt</w:t>
      </w:r>
      <w:r w:rsidRPr="00A84A20">
        <w:rPr>
          <w:sz w:val="24"/>
          <w:szCs w:val="24"/>
        </w:rPr>
        <w:t xml:space="preserve"> (London: Verso 2011); and Antoinette Burton, </w:t>
      </w:r>
      <w:r w:rsidRPr="00A84A20">
        <w:rPr>
          <w:i/>
          <w:iCs/>
          <w:sz w:val="24"/>
          <w:szCs w:val="24"/>
        </w:rPr>
        <w:t>The Trouble with Empire: Challenges to Modern British Imperialism</w:t>
      </w:r>
      <w:r w:rsidRPr="00A84A20">
        <w:rPr>
          <w:sz w:val="24"/>
          <w:szCs w:val="24"/>
        </w:rPr>
        <w:t xml:space="preserve"> (New York: Oxford University Press 2015).</w:t>
      </w:r>
    </w:p>
  </w:footnote>
  <w:footnote w:id="110">
    <w:p w14:paraId="05D89B08"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w:t>
      </w:r>
      <w:r w:rsidRPr="00A84A20">
        <w:rPr>
          <w:sz w:val="24"/>
          <w:szCs w:val="24"/>
          <w:lang w:val="en-US"/>
        </w:rPr>
        <w:t xml:space="preserve">Kolsky, </w:t>
      </w:r>
      <w:r w:rsidRPr="00A84A20">
        <w:rPr>
          <w:i/>
          <w:iCs/>
          <w:sz w:val="24"/>
          <w:szCs w:val="24"/>
          <w:lang w:val="en-US"/>
        </w:rPr>
        <w:t>Colonial Justice</w:t>
      </w:r>
      <w:r>
        <w:rPr>
          <w:sz w:val="24"/>
          <w:szCs w:val="24"/>
        </w:rPr>
        <w:t xml:space="preserve"> (n 75)</w:t>
      </w:r>
      <w:r w:rsidRPr="00A84A20">
        <w:rPr>
          <w:sz w:val="24"/>
          <w:szCs w:val="24"/>
        </w:rPr>
        <w:t xml:space="preserve"> 9, 2. See also Sherman, </w:t>
      </w:r>
      <w:r w:rsidRPr="00A84A20">
        <w:rPr>
          <w:bCs/>
          <w:i/>
          <w:sz w:val="24"/>
          <w:szCs w:val="24"/>
        </w:rPr>
        <w:t xml:space="preserve">State Violence </w:t>
      </w:r>
      <w:r w:rsidRPr="00852D1E">
        <w:rPr>
          <w:bCs/>
          <w:iCs/>
          <w:sz w:val="24"/>
          <w:szCs w:val="24"/>
        </w:rPr>
        <w:t>(n 88);</w:t>
      </w:r>
      <w:r w:rsidRPr="00A84A20">
        <w:rPr>
          <w:sz w:val="24"/>
          <w:szCs w:val="24"/>
        </w:rPr>
        <w:t xml:space="preserve"> and Jonathan Saha, </w:t>
      </w:r>
      <w:r>
        <w:rPr>
          <w:sz w:val="24"/>
          <w:szCs w:val="24"/>
        </w:rPr>
        <w:t>‘</w:t>
      </w:r>
      <w:r w:rsidRPr="00A84A20">
        <w:rPr>
          <w:sz w:val="24"/>
          <w:szCs w:val="24"/>
        </w:rPr>
        <w:t>Histories of Everyday Violence in British India</w:t>
      </w:r>
      <w:r>
        <w:rPr>
          <w:sz w:val="24"/>
          <w:szCs w:val="24"/>
        </w:rPr>
        <w:t>’</w:t>
      </w:r>
      <w:r w:rsidRPr="00A84A20">
        <w:rPr>
          <w:sz w:val="24"/>
          <w:szCs w:val="24"/>
        </w:rPr>
        <w:t xml:space="preserve">, </w:t>
      </w:r>
      <w:r w:rsidRPr="00A84A20">
        <w:rPr>
          <w:i/>
          <w:sz w:val="24"/>
          <w:szCs w:val="24"/>
        </w:rPr>
        <w:t>History Compass</w:t>
      </w:r>
      <w:r w:rsidRPr="00A84A20">
        <w:rPr>
          <w:sz w:val="24"/>
          <w:szCs w:val="24"/>
        </w:rPr>
        <w:t xml:space="preserve"> 9</w:t>
      </w:r>
      <w:r>
        <w:rPr>
          <w:sz w:val="24"/>
          <w:szCs w:val="24"/>
        </w:rPr>
        <w:t>/</w:t>
      </w:r>
      <w:r w:rsidRPr="00A84A20">
        <w:rPr>
          <w:sz w:val="24"/>
          <w:szCs w:val="24"/>
        </w:rPr>
        <w:t>11 (2011)</w:t>
      </w:r>
      <w:r>
        <w:rPr>
          <w:sz w:val="24"/>
          <w:szCs w:val="24"/>
        </w:rPr>
        <w:t>,</w:t>
      </w:r>
      <w:r w:rsidRPr="00A84A20">
        <w:rPr>
          <w:sz w:val="24"/>
          <w:szCs w:val="24"/>
        </w:rPr>
        <w:t xml:space="preserve"> 844</w:t>
      </w:r>
      <w:r>
        <w:rPr>
          <w:sz w:val="24"/>
          <w:szCs w:val="24"/>
        </w:rPr>
        <w:t>-</w:t>
      </w:r>
      <w:r w:rsidRPr="00A84A20">
        <w:rPr>
          <w:sz w:val="24"/>
          <w:szCs w:val="24"/>
        </w:rPr>
        <w:t>53.</w:t>
      </w:r>
      <w:r>
        <w:rPr>
          <w:sz w:val="24"/>
          <w:szCs w:val="24"/>
        </w:rPr>
        <w:t xml:space="preserve"> </w:t>
      </w:r>
    </w:p>
  </w:footnote>
  <w:footnote w:id="111">
    <w:p w14:paraId="61C03FCC"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Gyan Pandey, </w:t>
      </w:r>
      <w:r>
        <w:rPr>
          <w:sz w:val="24"/>
          <w:szCs w:val="24"/>
        </w:rPr>
        <w:t>‘</w:t>
      </w:r>
      <w:r w:rsidRPr="00A84A20">
        <w:rPr>
          <w:sz w:val="24"/>
          <w:szCs w:val="24"/>
        </w:rPr>
        <w:t>In Defense of the Fragment: Writing About Hindu</w:t>
      </w:r>
      <w:r>
        <w:rPr>
          <w:sz w:val="24"/>
          <w:szCs w:val="24"/>
        </w:rPr>
        <w:t>-</w:t>
      </w:r>
      <w:r w:rsidRPr="00A84A20">
        <w:rPr>
          <w:sz w:val="24"/>
          <w:szCs w:val="24"/>
        </w:rPr>
        <w:t>Muslim Riots in India Today</w:t>
      </w:r>
      <w:r>
        <w:rPr>
          <w:sz w:val="24"/>
          <w:szCs w:val="24"/>
        </w:rPr>
        <w:t>’</w:t>
      </w:r>
      <w:r w:rsidRPr="00A84A20">
        <w:rPr>
          <w:sz w:val="24"/>
          <w:szCs w:val="24"/>
        </w:rPr>
        <w:t xml:space="preserve">, </w:t>
      </w:r>
      <w:r w:rsidRPr="00A84A20">
        <w:rPr>
          <w:i/>
          <w:sz w:val="24"/>
          <w:szCs w:val="24"/>
        </w:rPr>
        <w:t xml:space="preserve">Representations </w:t>
      </w:r>
      <w:r w:rsidRPr="00A84A20">
        <w:rPr>
          <w:sz w:val="24"/>
          <w:szCs w:val="24"/>
        </w:rPr>
        <w:t>37 (1992), 27, 33.</w:t>
      </w:r>
    </w:p>
  </w:footnote>
  <w:footnote w:id="112">
    <w:p w14:paraId="275C504D"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w:t>
      </w:r>
      <w:r w:rsidRPr="00A84A20">
        <w:rPr>
          <w:sz w:val="24"/>
          <w:szCs w:val="24"/>
          <w:lang w:val="en-US"/>
        </w:rPr>
        <w:t>Ibid, 27</w:t>
      </w:r>
      <w:r w:rsidRPr="00A84A20">
        <w:rPr>
          <w:sz w:val="24"/>
          <w:szCs w:val="24"/>
        </w:rPr>
        <w:t>.</w:t>
      </w:r>
    </w:p>
  </w:footnote>
  <w:footnote w:id="113">
    <w:p w14:paraId="1B814FA0"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Bailkin, </w:t>
      </w:r>
      <w:r>
        <w:rPr>
          <w:sz w:val="24"/>
          <w:szCs w:val="24"/>
        </w:rPr>
        <w:t>‘</w:t>
      </w:r>
      <w:r w:rsidRPr="00A84A20">
        <w:rPr>
          <w:sz w:val="24"/>
          <w:szCs w:val="24"/>
        </w:rPr>
        <w:t>The Boot and the Spleen</w:t>
      </w:r>
      <w:r>
        <w:rPr>
          <w:sz w:val="24"/>
          <w:szCs w:val="24"/>
        </w:rPr>
        <w:t>’ (n 98)</w:t>
      </w:r>
      <w:r w:rsidRPr="00A84A20">
        <w:rPr>
          <w:sz w:val="24"/>
          <w:szCs w:val="24"/>
        </w:rPr>
        <w:t xml:space="preserve"> 467.</w:t>
      </w:r>
    </w:p>
  </w:footnote>
  <w:footnote w:id="114">
    <w:p w14:paraId="4AD862B3"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Peter Iadicola, </w:t>
      </w:r>
      <w:r>
        <w:rPr>
          <w:sz w:val="24"/>
          <w:szCs w:val="24"/>
        </w:rPr>
        <w:t>‘</w:t>
      </w:r>
      <w:r w:rsidRPr="00A84A20">
        <w:rPr>
          <w:sz w:val="24"/>
          <w:szCs w:val="24"/>
        </w:rPr>
        <w:t>The Violence of Empire</w:t>
      </w:r>
      <w:r>
        <w:rPr>
          <w:sz w:val="24"/>
          <w:szCs w:val="24"/>
        </w:rPr>
        <w:t>’</w:t>
      </w:r>
      <w:r w:rsidRPr="00A84A20">
        <w:rPr>
          <w:sz w:val="24"/>
          <w:szCs w:val="24"/>
        </w:rPr>
        <w:t xml:space="preserve">, </w:t>
      </w:r>
      <w:r w:rsidRPr="00A84A20">
        <w:rPr>
          <w:i/>
          <w:sz w:val="24"/>
          <w:szCs w:val="24"/>
        </w:rPr>
        <w:t xml:space="preserve">International Journal of Contemporary Sociology </w:t>
      </w:r>
      <w:r w:rsidRPr="00A84A20">
        <w:rPr>
          <w:sz w:val="24"/>
          <w:szCs w:val="24"/>
        </w:rPr>
        <w:t>46</w:t>
      </w:r>
      <w:r>
        <w:rPr>
          <w:sz w:val="24"/>
          <w:szCs w:val="24"/>
        </w:rPr>
        <w:t>/</w:t>
      </w:r>
      <w:r w:rsidRPr="00A84A20">
        <w:rPr>
          <w:sz w:val="24"/>
          <w:szCs w:val="24"/>
        </w:rPr>
        <w:t>2 (2009), 190</w:t>
      </w:r>
      <w:r>
        <w:rPr>
          <w:sz w:val="24"/>
          <w:szCs w:val="24"/>
        </w:rPr>
        <w:t xml:space="preserve"> (hereafter Iadicola, ‘The Violence of Empire’)</w:t>
      </w:r>
      <w:r w:rsidRPr="00A84A20">
        <w:rPr>
          <w:sz w:val="24"/>
          <w:szCs w:val="24"/>
        </w:rPr>
        <w:t>.</w:t>
      </w:r>
    </w:p>
  </w:footnote>
  <w:footnote w:id="115">
    <w:p w14:paraId="6A4F41FE"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David Riches, </w:t>
      </w:r>
      <w:r>
        <w:rPr>
          <w:sz w:val="24"/>
          <w:szCs w:val="24"/>
        </w:rPr>
        <w:t>‘</w:t>
      </w:r>
      <w:r w:rsidRPr="00A84A20">
        <w:rPr>
          <w:sz w:val="24"/>
          <w:szCs w:val="24"/>
        </w:rPr>
        <w:t>The Phenomenon of Violence</w:t>
      </w:r>
      <w:r>
        <w:rPr>
          <w:sz w:val="24"/>
          <w:szCs w:val="24"/>
        </w:rPr>
        <w:t>’</w:t>
      </w:r>
      <w:r w:rsidRPr="00A84A20">
        <w:rPr>
          <w:sz w:val="24"/>
          <w:szCs w:val="24"/>
        </w:rPr>
        <w:t xml:space="preserve">, in David Riches (ed.), </w:t>
      </w:r>
      <w:r w:rsidRPr="00A84A20">
        <w:rPr>
          <w:i/>
          <w:sz w:val="24"/>
          <w:szCs w:val="24"/>
        </w:rPr>
        <w:t xml:space="preserve">The Anthropology of Violence </w:t>
      </w:r>
      <w:r w:rsidRPr="00A84A20">
        <w:rPr>
          <w:sz w:val="24"/>
          <w:szCs w:val="24"/>
        </w:rPr>
        <w:t>(Oxford: Basil Blackwell 1986), 8</w:t>
      </w:r>
      <w:r>
        <w:rPr>
          <w:sz w:val="24"/>
          <w:szCs w:val="24"/>
        </w:rPr>
        <w:t xml:space="preserve"> (hereafter Riches, ‘The Phenomenon of Violence’)</w:t>
      </w:r>
      <w:r w:rsidRPr="00287921">
        <w:rPr>
          <w:bCs/>
          <w:sz w:val="24"/>
          <w:szCs w:val="24"/>
        </w:rPr>
        <w:t>.</w:t>
      </w:r>
    </w:p>
  </w:footnote>
  <w:footnote w:id="116">
    <w:p w14:paraId="7DA3ACB9" w14:textId="77777777" w:rsidR="00997966" w:rsidRDefault="00997966" w:rsidP="00997966">
      <w:pPr>
        <w:pStyle w:val="FootnoteText"/>
        <w:spacing w:line="480" w:lineRule="auto"/>
      </w:pPr>
      <w:r>
        <w:rPr>
          <w:rStyle w:val="FootnoteReference"/>
        </w:rPr>
        <w:footnoteRef/>
      </w:r>
      <w:r>
        <w:t xml:space="preserve"> </w:t>
      </w:r>
      <w:r w:rsidRPr="00A84A20">
        <w:rPr>
          <w:sz w:val="24"/>
          <w:szCs w:val="24"/>
        </w:rPr>
        <w:t xml:space="preserve">Slavoj </w:t>
      </w:r>
      <w:r w:rsidRPr="00A84A20">
        <w:rPr>
          <w:rFonts w:eastAsia="MS Mincho"/>
          <w:bCs/>
          <w:sz w:val="24"/>
          <w:szCs w:val="24"/>
        </w:rPr>
        <w:t>Ž</w:t>
      </w:r>
      <w:r w:rsidRPr="00A84A20">
        <w:rPr>
          <w:bCs/>
          <w:sz w:val="24"/>
          <w:szCs w:val="24"/>
        </w:rPr>
        <w:t>i</w:t>
      </w:r>
      <w:r w:rsidRPr="00A84A20">
        <w:rPr>
          <w:rFonts w:eastAsia="MS Mincho"/>
          <w:bCs/>
          <w:sz w:val="24"/>
          <w:szCs w:val="24"/>
        </w:rPr>
        <w:t>ž</w:t>
      </w:r>
      <w:r w:rsidRPr="00A84A20">
        <w:rPr>
          <w:bCs/>
          <w:sz w:val="24"/>
          <w:szCs w:val="24"/>
        </w:rPr>
        <w:t xml:space="preserve">ek, </w:t>
      </w:r>
      <w:r w:rsidRPr="00A84A20">
        <w:rPr>
          <w:bCs/>
          <w:i/>
          <w:sz w:val="24"/>
          <w:szCs w:val="24"/>
        </w:rPr>
        <w:t>Violence: Six Sideways Reflections</w:t>
      </w:r>
      <w:r w:rsidRPr="00A84A20">
        <w:rPr>
          <w:bCs/>
          <w:sz w:val="24"/>
          <w:szCs w:val="24"/>
        </w:rPr>
        <w:t xml:space="preserve"> (London: Profile Books 2008), 2</w:t>
      </w:r>
      <w:r>
        <w:rPr>
          <w:bCs/>
          <w:sz w:val="24"/>
          <w:szCs w:val="24"/>
        </w:rPr>
        <w:t>.</w:t>
      </w:r>
    </w:p>
  </w:footnote>
  <w:footnote w:id="117">
    <w:p w14:paraId="0B26344A"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w:t>
      </w:r>
      <w:r>
        <w:rPr>
          <w:sz w:val="24"/>
          <w:szCs w:val="24"/>
        </w:rPr>
        <w:t>Ibid</w:t>
      </w:r>
      <w:r w:rsidRPr="00A84A20">
        <w:rPr>
          <w:bCs/>
          <w:sz w:val="24"/>
          <w:szCs w:val="24"/>
        </w:rPr>
        <w:t xml:space="preserve">. </w:t>
      </w:r>
      <w:r>
        <w:rPr>
          <w:sz w:val="24"/>
          <w:szCs w:val="24"/>
        </w:rPr>
        <w:t>S</w:t>
      </w:r>
      <w:r w:rsidRPr="00A84A20">
        <w:rPr>
          <w:sz w:val="24"/>
          <w:szCs w:val="24"/>
        </w:rPr>
        <w:t>tructural violence, which is constant as opposed to episodic, includes the uneven distribution of resources, education, or medical services as well as the power to decide their distribution</w:t>
      </w:r>
      <w:r>
        <w:rPr>
          <w:sz w:val="24"/>
          <w:szCs w:val="24"/>
        </w:rPr>
        <w:t xml:space="preserve"> (see n. 121).</w:t>
      </w:r>
      <w:r w:rsidRPr="00A84A20">
        <w:rPr>
          <w:bCs/>
          <w:sz w:val="24"/>
          <w:szCs w:val="24"/>
        </w:rPr>
        <w:t xml:space="preserve"> Symbolic violence, as </w:t>
      </w:r>
      <w:r w:rsidRPr="00A84A20">
        <w:rPr>
          <w:sz w:val="24"/>
          <w:szCs w:val="24"/>
        </w:rPr>
        <w:t xml:space="preserve">Pierre Bourdieu and Loïc Wacquant argue, is </w:t>
      </w:r>
      <w:r>
        <w:rPr>
          <w:sz w:val="24"/>
          <w:szCs w:val="24"/>
        </w:rPr>
        <w:t>‘</w:t>
      </w:r>
      <w:r w:rsidRPr="00A84A20">
        <w:rPr>
          <w:sz w:val="24"/>
          <w:szCs w:val="24"/>
        </w:rPr>
        <w:t xml:space="preserve">the </w:t>
      </w:r>
      <w:r w:rsidRPr="00A84A20">
        <w:rPr>
          <w:i/>
          <w:iCs/>
          <w:sz w:val="24"/>
          <w:szCs w:val="24"/>
        </w:rPr>
        <w:t>violence which is exercised upon a social agent with his or her complicity</w:t>
      </w:r>
      <w:r>
        <w:rPr>
          <w:i/>
          <w:iCs/>
          <w:sz w:val="24"/>
          <w:szCs w:val="24"/>
        </w:rPr>
        <w:t>’</w:t>
      </w:r>
      <w:r>
        <w:rPr>
          <w:sz w:val="24"/>
          <w:szCs w:val="24"/>
        </w:rPr>
        <w:t xml:space="preserve"> </w:t>
      </w:r>
      <w:r w:rsidRPr="00A84A20">
        <w:rPr>
          <w:sz w:val="24"/>
          <w:szCs w:val="24"/>
        </w:rPr>
        <w:t>but that they do not recognise as such</w:t>
      </w:r>
      <w:r w:rsidRPr="00A84A20">
        <w:rPr>
          <w:i/>
          <w:iCs/>
          <w:sz w:val="24"/>
          <w:szCs w:val="24"/>
        </w:rPr>
        <w:t xml:space="preserve"> </w:t>
      </w:r>
      <w:r w:rsidRPr="00A84A20">
        <w:rPr>
          <w:sz w:val="24"/>
          <w:szCs w:val="24"/>
        </w:rPr>
        <w:t xml:space="preserve">(emphasis in original). Bourdieu and Wacquant, </w:t>
      </w:r>
      <w:r>
        <w:rPr>
          <w:sz w:val="24"/>
          <w:szCs w:val="24"/>
        </w:rPr>
        <w:t>‘</w:t>
      </w:r>
      <w:r w:rsidRPr="00A84A20">
        <w:rPr>
          <w:sz w:val="24"/>
          <w:szCs w:val="24"/>
        </w:rPr>
        <w:t>Symbolic Violence</w:t>
      </w:r>
      <w:r>
        <w:rPr>
          <w:sz w:val="24"/>
          <w:szCs w:val="24"/>
        </w:rPr>
        <w:t>’</w:t>
      </w:r>
      <w:r w:rsidRPr="00A84A20">
        <w:rPr>
          <w:sz w:val="24"/>
          <w:szCs w:val="24"/>
        </w:rPr>
        <w:t>, 272</w:t>
      </w:r>
      <w:r>
        <w:rPr>
          <w:sz w:val="24"/>
          <w:szCs w:val="24"/>
        </w:rPr>
        <w:t xml:space="preserve"> (n 83)</w:t>
      </w:r>
      <w:r w:rsidRPr="00A84A20">
        <w:rPr>
          <w:sz w:val="24"/>
          <w:szCs w:val="24"/>
        </w:rPr>
        <w:t xml:space="preserve">; see also Pierre </w:t>
      </w:r>
      <w:bookmarkStart w:id="16" w:name="_Hlk41044544"/>
      <w:r w:rsidRPr="00A84A20">
        <w:rPr>
          <w:sz w:val="24"/>
          <w:szCs w:val="24"/>
        </w:rPr>
        <w:t xml:space="preserve">Bourdieu, </w:t>
      </w:r>
      <w:r>
        <w:rPr>
          <w:sz w:val="24"/>
          <w:szCs w:val="24"/>
        </w:rPr>
        <w:t>‘</w:t>
      </w:r>
      <w:r w:rsidRPr="00A84A20">
        <w:rPr>
          <w:sz w:val="24"/>
          <w:szCs w:val="24"/>
        </w:rPr>
        <w:t>Gender and Symbolic Violence</w:t>
      </w:r>
      <w:r>
        <w:rPr>
          <w:sz w:val="24"/>
          <w:szCs w:val="24"/>
        </w:rPr>
        <w:t>’</w:t>
      </w:r>
      <w:r w:rsidRPr="00A84A20">
        <w:rPr>
          <w:sz w:val="24"/>
          <w:szCs w:val="24"/>
        </w:rPr>
        <w:t xml:space="preserve">, </w:t>
      </w:r>
      <w:bookmarkEnd w:id="16"/>
      <w:r w:rsidRPr="00A84A20">
        <w:rPr>
          <w:sz w:val="24"/>
          <w:szCs w:val="24"/>
        </w:rPr>
        <w:t xml:space="preserve">in </w:t>
      </w:r>
      <w:r>
        <w:rPr>
          <w:sz w:val="24"/>
          <w:szCs w:val="24"/>
        </w:rPr>
        <w:t xml:space="preserve">Nancy </w:t>
      </w:r>
      <w:r w:rsidRPr="00A84A20">
        <w:rPr>
          <w:sz w:val="24"/>
          <w:szCs w:val="24"/>
        </w:rPr>
        <w:t>Scheper</w:t>
      </w:r>
      <w:r>
        <w:rPr>
          <w:sz w:val="24"/>
          <w:szCs w:val="24"/>
        </w:rPr>
        <w:t>-</w:t>
      </w:r>
      <w:r w:rsidRPr="00A84A20">
        <w:rPr>
          <w:sz w:val="24"/>
          <w:szCs w:val="24"/>
        </w:rPr>
        <w:t xml:space="preserve">Hughes and </w:t>
      </w:r>
      <w:r>
        <w:rPr>
          <w:sz w:val="24"/>
          <w:szCs w:val="24"/>
        </w:rPr>
        <w:t xml:space="preserve">Philippe </w:t>
      </w:r>
      <w:r w:rsidRPr="00A84A20">
        <w:rPr>
          <w:sz w:val="24"/>
          <w:szCs w:val="24"/>
        </w:rPr>
        <w:t>Bourgois</w:t>
      </w:r>
      <w:r>
        <w:rPr>
          <w:sz w:val="24"/>
          <w:szCs w:val="24"/>
        </w:rPr>
        <w:t xml:space="preserve"> (eds)</w:t>
      </w:r>
      <w:r w:rsidRPr="00A84A20">
        <w:rPr>
          <w:sz w:val="24"/>
          <w:szCs w:val="24"/>
        </w:rPr>
        <w:t xml:space="preserve">, </w:t>
      </w:r>
      <w:r w:rsidRPr="000E6C13">
        <w:rPr>
          <w:i/>
          <w:iCs/>
          <w:sz w:val="24"/>
          <w:szCs w:val="24"/>
        </w:rPr>
        <w:t xml:space="preserve">Violence in War and Peace: An Anthology </w:t>
      </w:r>
      <w:r w:rsidRPr="000E6C13">
        <w:rPr>
          <w:sz w:val="24"/>
          <w:szCs w:val="24"/>
        </w:rPr>
        <w:t>(Malden, MA: Blackwell, 2006),</w:t>
      </w:r>
      <w:r>
        <w:rPr>
          <w:i/>
          <w:iCs/>
          <w:sz w:val="24"/>
          <w:szCs w:val="24"/>
        </w:rPr>
        <w:t xml:space="preserve"> </w:t>
      </w:r>
      <w:r w:rsidRPr="00A84A20">
        <w:rPr>
          <w:sz w:val="24"/>
          <w:szCs w:val="24"/>
        </w:rPr>
        <w:t>339</w:t>
      </w:r>
      <w:r>
        <w:rPr>
          <w:sz w:val="24"/>
          <w:szCs w:val="24"/>
        </w:rPr>
        <w:t>-</w:t>
      </w:r>
      <w:r w:rsidRPr="00A84A20">
        <w:rPr>
          <w:sz w:val="24"/>
          <w:szCs w:val="24"/>
        </w:rPr>
        <w:t>42.</w:t>
      </w:r>
    </w:p>
  </w:footnote>
  <w:footnote w:id="118">
    <w:p w14:paraId="53B0B0C1"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w:t>
      </w:r>
      <w:r w:rsidRPr="00A84A20">
        <w:rPr>
          <w:rFonts w:eastAsia="MS Mincho"/>
          <w:bCs/>
          <w:sz w:val="24"/>
          <w:szCs w:val="24"/>
        </w:rPr>
        <w:t>Ibid</w:t>
      </w:r>
      <w:r w:rsidRPr="00A84A20">
        <w:rPr>
          <w:bCs/>
          <w:i/>
          <w:sz w:val="24"/>
          <w:szCs w:val="24"/>
        </w:rPr>
        <w:t xml:space="preserve">, </w:t>
      </w:r>
      <w:r w:rsidRPr="00A84A20">
        <w:rPr>
          <w:bCs/>
          <w:sz w:val="24"/>
          <w:szCs w:val="24"/>
        </w:rPr>
        <w:t>9.</w:t>
      </w:r>
    </w:p>
  </w:footnote>
  <w:footnote w:id="119">
    <w:p w14:paraId="3C79CCF5"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Riches, </w:t>
      </w:r>
      <w:r>
        <w:rPr>
          <w:sz w:val="24"/>
          <w:szCs w:val="24"/>
        </w:rPr>
        <w:t>‘</w:t>
      </w:r>
      <w:r w:rsidRPr="00A84A20">
        <w:rPr>
          <w:sz w:val="24"/>
          <w:szCs w:val="24"/>
        </w:rPr>
        <w:t>The Phenomenon of Violence</w:t>
      </w:r>
      <w:r>
        <w:rPr>
          <w:sz w:val="24"/>
          <w:szCs w:val="24"/>
        </w:rPr>
        <w:t xml:space="preserve">’ (n 114) </w:t>
      </w:r>
      <w:r w:rsidRPr="00A84A20">
        <w:rPr>
          <w:sz w:val="24"/>
          <w:szCs w:val="24"/>
        </w:rPr>
        <w:t>32. Colonial states were particularly skilled at re</w:t>
      </w:r>
      <w:r>
        <w:rPr>
          <w:sz w:val="24"/>
          <w:szCs w:val="24"/>
        </w:rPr>
        <w:t>-</w:t>
      </w:r>
      <w:r w:rsidRPr="00A84A20">
        <w:rPr>
          <w:sz w:val="24"/>
          <w:szCs w:val="24"/>
        </w:rPr>
        <w:t>framing the violation of colonialism in humanitarian terms</w:t>
      </w:r>
      <w:r>
        <w:rPr>
          <w:sz w:val="24"/>
          <w:szCs w:val="24"/>
        </w:rPr>
        <w:t>—</w:t>
      </w:r>
      <w:r w:rsidRPr="00A84A20">
        <w:rPr>
          <w:sz w:val="24"/>
          <w:szCs w:val="24"/>
        </w:rPr>
        <w:t xml:space="preserve">as, to borrow from Ishita Pande, </w:t>
      </w:r>
      <w:r>
        <w:rPr>
          <w:sz w:val="24"/>
          <w:szCs w:val="24"/>
        </w:rPr>
        <w:t>‘</w:t>
      </w:r>
      <w:r w:rsidRPr="00A84A20">
        <w:rPr>
          <w:sz w:val="24"/>
          <w:szCs w:val="24"/>
        </w:rPr>
        <w:t>ameliorative action</w:t>
      </w:r>
      <w:r>
        <w:rPr>
          <w:sz w:val="24"/>
          <w:szCs w:val="24"/>
        </w:rPr>
        <w:t>’</w:t>
      </w:r>
      <w:r w:rsidRPr="00A84A20">
        <w:rPr>
          <w:sz w:val="24"/>
          <w:szCs w:val="24"/>
        </w:rPr>
        <w:t xml:space="preserve">. Pande, </w:t>
      </w:r>
      <w:r>
        <w:rPr>
          <w:sz w:val="24"/>
          <w:szCs w:val="24"/>
        </w:rPr>
        <w:t>‘</w:t>
      </w:r>
      <w:r w:rsidRPr="00A84A20">
        <w:rPr>
          <w:sz w:val="24"/>
          <w:szCs w:val="24"/>
        </w:rPr>
        <w:t xml:space="preserve">Phulmoni’s </w:t>
      </w:r>
      <w:r>
        <w:rPr>
          <w:sz w:val="24"/>
          <w:szCs w:val="24"/>
        </w:rPr>
        <w:t>B</w:t>
      </w:r>
      <w:r w:rsidRPr="00A84A20">
        <w:rPr>
          <w:sz w:val="24"/>
          <w:szCs w:val="24"/>
        </w:rPr>
        <w:t>ody</w:t>
      </w:r>
      <w:r>
        <w:rPr>
          <w:sz w:val="24"/>
          <w:szCs w:val="24"/>
        </w:rPr>
        <w:t xml:space="preserve">’ (n 99) </w:t>
      </w:r>
      <w:r w:rsidRPr="00A84A20">
        <w:rPr>
          <w:sz w:val="24"/>
          <w:szCs w:val="24"/>
        </w:rPr>
        <w:t>10.</w:t>
      </w:r>
    </w:p>
  </w:footnote>
  <w:footnote w:id="120">
    <w:p w14:paraId="27B89B9C"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John Galtung, </w:t>
      </w:r>
      <w:r>
        <w:rPr>
          <w:sz w:val="24"/>
          <w:szCs w:val="24"/>
        </w:rPr>
        <w:t>‘</w:t>
      </w:r>
      <w:r w:rsidRPr="00A84A20">
        <w:rPr>
          <w:sz w:val="24"/>
          <w:szCs w:val="24"/>
        </w:rPr>
        <w:t>Violence, Peace, and Peace Research</w:t>
      </w:r>
      <w:r>
        <w:rPr>
          <w:sz w:val="24"/>
          <w:szCs w:val="24"/>
        </w:rPr>
        <w:t>’</w:t>
      </w:r>
      <w:r w:rsidRPr="00A84A20">
        <w:rPr>
          <w:sz w:val="24"/>
          <w:szCs w:val="24"/>
        </w:rPr>
        <w:t>,</w:t>
      </w:r>
      <w:r w:rsidRPr="00A84A20">
        <w:rPr>
          <w:i/>
          <w:sz w:val="24"/>
          <w:szCs w:val="24"/>
        </w:rPr>
        <w:t xml:space="preserve"> Journal of Peace Research</w:t>
      </w:r>
      <w:r w:rsidRPr="00A84A20">
        <w:rPr>
          <w:sz w:val="24"/>
          <w:szCs w:val="24"/>
        </w:rPr>
        <w:t xml:space="preserve"> 6</w:t>
      </w:r>
      <w:r>
        <w:rPr>
          <w:sz w:val="24"/>
          <w:szCs w:val="24"/>
        </w:rPr>
        <w:t>/</w:t>
      </w:r>
      <w:r w:rsidRPr="00A84A20">
        <w:rPr>
          <w:sz w:val="24"/>
          <w:szCs w:val="24"/>
        </w:rPr>
        <w:t>3 (1969), 168</w:t>
      </w:r>
      <w:r>
        <w:rPr>
          <w:sz w:val="24"/>
          <w:szCs w:val="24"/>
        </w:rPr>
        <w:t xml:space="preserve"> (hereafter Galtung, ‘Violence’)</w:t>
      </w:r>
      <w:r w:rsidRPr="00A84A20">
        <w:rPr>
          <w:sz w:val="24"/>
          <w:szCs w:val="24"/>
        </w:rPr>
        <w:t>.</w:t>
      </w:r>
      <w:r>
        <w:rPr>
          <w:sz w:val="24"/>
          <w:szCs w:val="24"/>
        </w:rPr>
        <w:t xml:space="preserve"> See also </w:t>
      </w:r>
      <w:r w:rsidRPr="00A84A20">
        <w:rPr>
          <w:sz w:val="24"/>
          <w:szCs w:val="24"/>
          <w:shd w:val="clear" w:color="auto" w:fill="FFFFFF"/>
        </w:rPr>
        <w:t xml:space="preserve">Akhil Gupta, </w:t>
      </w:r>
      <w:r w:rsidRPr="00A84A20">
        <w:rPr>
          <w:i/>
          <w:iCs/>
          <w:sz w:val="24"/>
          <w:szCs w:val="24"/>
          <w:lang w:eastAsia="en-GB"/>
        </w:rPr>
        <w:t>Red Tape: Bureaucracy, Structural Violence, and Poverty in India</w:t>
      </w:r>
      <w:r w:rsidRPr="00A84A20">
        <w:rPr>
          <w:sz w:val="24"/>
          <w:szCs w:val="24"/>
          <w:lang w:eastAsia="en-GB"/>
        </w:rPr>
        <w:t xml:space="preserve"> (Duke University Press: Durham and London 2012)</w:t>
      </w:r>
      <w:r w:rsidRPr="00A84A20">
        <w:rPr>
          <w:i/>
          <w:iCs/>
          <w:sz w:val="24"/>
          <w:szCs w:val="24"/>
        </w:rPr>
        <w:t xml:space="preserve">, </w:t>
      </w:r>
      <w:r w:rsidRPr="00A84A20">
        <w:rPr>
          <w:sz w:val="24"/>
          <w:szCs w:val="24"/>
        </w:rPr>
        <w:t>20</w:t>
      </w:r>
      <w:r>
        <w:rPr>
          <w:sz w:val="24"/>
          <w:szCs w:val="24"/>
        </w:rPr>
        <w:t xml:space="preserve"> (hereafter Gupta, </w:t>
      </w:r>
      <w:r>
        <w:rPr>
          <w:i/>
          <w:iCs/>
          <w:sz w:val="24"/>
          <w:szCs w:val="24"/>
        </w:rPr>
        <w:t>Red Tape</w:t>
      </w:r>
      <w:r>
        <w:rPr>
          <w:sz w:val="24"/>
          <w:szCs w:val="24"/>
        </w:rPr>
        <w:t>)</w:t>
      </w:r>
      <w:r w:rsidRPr="00A84A20">
        <w:rPr>
          <w:sz w:val="24"/>
          <w:szCs w:val="24"/>
        </w:rPr>
        <w:t xml:space="preserve">; </w:t>
      </w:r>
      <w:r w:rsidRPr="00A84A20">
        <w:rPr>
          <w:iCs/>
          <w:sz w:val="24"/>
          <w:szCs w:val="24"/>
        </w:rPr>
        <w:t xml:space="preserve">Paul </w:t>
      </w:r>
      <w:bookmarkStart w:id="17" w:name="_Hlk41044518"/>
      <w:r w:rsidRPr="00A84A20">
        <w:rPr>
          <w:iCs/>
          <w:sz w:val="24"/>
          <w:szCs w:val="24"/>
        </w:rPr>
        <w:t xml:space="preserve">Farmer, </w:t>
      </w:r>
      <w:r w:rsidRPr="00A84A20">
        <w:rPr>
          <w:i/>
          <w:iCs/>
          <w:sz w:val="24"/>
          <w:szCs w:val="24"/>
        </w:rPr>
        <w:t>Pathologies of Power: Health, Human Rights, and the New War on the Poor</w:t>
      </w:r>
      <w:r w:rsidRPr="00A84A20">
        <w:rPr>
          <w:sz w:val="24"/>
          <w:szCs w:val="24"/>
        </w:rPr>
        <w:t xml:space="preserve"> (Berkeley: University of California Press 2005)</w:t>
      </w:r>
      <w:r>
        <w:rPr>
          <w:sz w:val="24"/>
          <w:szCs w:val="24"/>
        </w:rPr>
        <w:t xml:space="preserve">; </w:t>
      </w:r>
      <w:r w:rsidRPr="00A84A20">
        <w:rPr>
          <w:iCs/>
          <w:sz w:val="24"/>
          <w:szCs w:val="24"/>
        </w:rPr>
        <w:t>and</w:t>
      </w:r>
      <w:r>
        <w:rPr>
          <w:iCs/>
          <w:sz w:val="24"/>
          <w:szCs w:val="24"/>
        </w:rPr>
        <w:t xml:space="preserve"> Paul Farmer,</w:t>
      </w:r>
      <w:r w:rsidRPr="00A84A20">
        <w:rPr>
          <w:iCs/>
          <w:sz w:val="24"/>
          <w:szCs w:val="24"/>
        </w:rPr>
        <w:t xml:space="preserve"> </w:t>
      </w:r>
      <w:r>
        <w:rPr>
          <w:iCs/>
          <w:sz w:val="24"/>
          <w:szCs w:val="24"/>
        </w:rPr>
        <w:t>‘</w:t>
      </w:r>
      <w:r w:rsidRPr="00A84A20">
        <w:rPr>
          <w:iCs/>
          <w:sz w:val="24"/>
          <w:szCs w:val="24"/>
        </w:rPr>
        <w:t>On Suffering and Structural Violence</w:t>
      </w:r>
      <w:bookmarkEnd w:id="17"/>
      <w:r w:rsidRPr="00A84A20">
        <w:rPr>
          <w:iCs/>
          <w:sz w:val="24"/>
          <w:szCs w:val="24"/>
        </w:rPr>
        <w:t>: A View from Below</w:t>
      </w:r>
      <w:r>
        <w:rPr>
          <w:iCs/>
          <w:sz w:val="24"/>
          <w:szCs w:val="24"/>
        </w:rPr>
        <w:t>’</w:t>
      </w:r>
      <w:r w:rsidRPr="00A84A20">
        <w:rPr>
          <w:iCs/>
          <w:sz w:val="24"/>
          <w:szCs w:val="24"/>
        </w:rPr>
        <w:t xml:space="preserve">, </w:t>
      </w:r>
      <w:r w:rsidRPr="00A84A20">
        <w:rPr>
          <w:sz w:val="24"/>
          <w:szCs w:val="24"/>
        </w:rPr>
        <w:t xml:space="preserve">in </w:t>
      </w:r>
      <w:r>
        <w:rPr>
          <w:sz w:val="24"/>
          <w:szCs w:val="24"/>
        </w:rPr>
        <w:t xml:space="preserve">Nancy </w:t>
      </w:r>
      <w:r w:rsidRPr="00A84A20">
        <w:rPr>
          <w:sz w:val="24"/>
          <w:szCs w:val="24"/>
        </w:rPr>
        <w:t>Scheper</w:t>
      </w:r>
      <w:r>
        <w:rPr>
          <w:sz w:val="24"/>
          <w:szCs w:val="24"/>
        </w:rPr>
        <w:t>-</w:t>
      </w:r>
      <w:r w:rsidRPr="00A84A20">
        <w:rPr>
          <w:sz w:val="24"/>
          <w:szCs w:val="24"/>
        </w:rPr>
        <w:t xml:space="preserve">Hughes and </w:t>
      </w:r>
      <w:r>
        <w:rPr>
          <w:sz w:val="24"/>
          <w:szCs w:val="24"/>
        </w:rPr>
        <w:t xml:space="preserve">Philippe </w:t>
      </w:r>
      <w:r w:rsidRPr="00A84A20">
        <w:rPr>
          <w:sz w:val="24"/>
          <w:szCs w:val="24"/>
        </w:rPr>
        <w:t>Bourgois</w:t>
      </w:r>
      <w:r>
        <w:rPr>
          <w:sz w:val="24"/>
          <w:szCs w:val="24"/>
        </w:rPr>
        <w:t xml:space="preserve"> (eds)</w:t>
      </w:r>
      <w:r w:rsidRPr="00A84A20">
        <w:rPr>
          <w:sz w:val="24"/>
          <w:szCs w:val="24"/>
        </w:rPr>
        <w:t xml:space="preserve">, </w:t>
      </w:r>
      <w:r w:rsidRPr="000E6C13">
        <w:rPr>
          <w:i/>
          <w:iCs/>
          <w:sz w:val="24"/>
          <w:szCs w:val="24"/>
        </w:rPr>
        <w:t xml:space="preserve">Violence in War and Peace: An Anthology </w:t>
      </w:r>
      <w:r w:rsidRPr="000E6C13">
        <w:rPr>
          <w:sz w:val="24"/>
          <w:szCs w:val="24"/>
        </w:rPr>
        <w:t>(Malden, MA: Blackwell, 2006)</w:t>
      </w:r>
      <w:r w:rsidRPr="00A84A20">
        <w:rPr>
          <w:sz w:val="24"/>
          <w:szCs w:val="24"/>
        </w:rPr>
        <w:t>, 281</w:t>
      </w:r>
      <w:r>
        <w:rPr>
          <w:sz w:val="24"/>
          <w:szCs w:val="24"/>
        </w:rPr>
        <w:t>-</w:t>
      </w:r>
      <w:r w:rsidRPr="00A84A20">
        <w:rPr>
          <w:sz w:val="24"/>
          <w:szCs w:val="24"/>
        </w:rPr>
        <w:t>89.</w:t>
      </w:r>
    </w:p>
  </w:footnote>
  <w:footnote w:id="121">
    <w:p w14:paraId="703689E2"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Ibid, 169. </w:t>
      </w:r>
    </w:p>
  </w:footnote>
  <w:footnote w:id="122">
    <w:p w14:paraId="7754979D"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Ibid, 171; and </w:t>
      </w:r>
      <w:r w:rsidRPr="00A84A20">
        <w:rPr>
          <w:sz w:val="24"/>
          <w:szCs w:val="24"/>
          <w:shd w:val="clear" w:color="auto" w:fill="FFFFFF"/>
        </w:rPr>
        <w:t xml:space="preserve">Gupta, </w:t>
      </w:r>
      <w:r w:rsidRPr="00A84A20">
        <w:rPr>
          <w:i/>
          <w:iCs/>
          <w:sz w:val="24"/>
          <w:szCs w:val="24"/>
          <w:lang w:eastAsia="en-GB"/>
        </w:rPr>
        <w:t>Red Tape</w:t>
      </w:r>
      <w:r>
        <w:rPr>
          <w:i/>
          <w:iCs/>
          <w:sz w:val="24"/>
          <w:szCs w:val="24"/>
        </w:rPr>
        <w:t xml:space="preserve"> </w:t>
      </w:r>
      <w:r>
        <w:rPr>
          <w:sz w:val="24"/>
          <w:szCs w:val="24"/>
        </w:rPr>
        <w:t>(n 119)</w:t>
      </w:r>
      <w:r w:rsidRPr="00A84A20">
        <w:rPr>
          <w:i/>
          <w:iCs/>
          <w:sz w:val="24"/>
          <w:szCs w:val="24"/>
        </w:rPr>
        <w:t xml:space="preserve"> </w:t>
      </w:r>
      <w:r w:rsidRPr="00A84A20">
        <w:rPr>
          <w:sz w:val="24"/>
          <w:szCs w:val="24"/>
        </w:rPr>
        <w:t xml:space="preserve">138. Gupta gives, as a shocking example of such </w:t>
      </w:r>
      <w:r>
        <w:rPr>
          <w:sz w:val="24"/>
          <w:szCs w:val="24"/>
        </w:rPr>
        <w:t>‘</w:t>
      </w:r>
      <w:r w:rsidRPr="00A84A20">
        <w:rPr>
          <w:sz w:val="24"/>
          <w:szCs w:val="24"/>
        </w:rPr>
        <w:t>malign neglect</w:t>
      </w:r>
      <w:r>
        <w:rPr>
          <w:sz w:val="24"/>
          <w:szCs w:val="24"/>
        </w:rPr>
        <w:t>’</w:t>
      </w:r>
      <w:r w:rsidRPr="00A84A20">
        <w:rPr>
          <w:sz w:val="24"/>
          <w:szCs w:val="24"/>
        </w:rPr>
        <w:t>, the fact that more people die in India each year from structural violence wrought by the Indian state’s failure to provide sufficient food, clean water, medicine</w:t>
      </w:r>
      <w:r>
        <w:rPr>
          <w:sz w:val="24"/>
          <w:szCs w:val="24"/>
        </w:rPr>
        <w:t>,</w:t>
      </w:r>
      <w:r w:rsidRPr="00A84A20">
        <w:rPr>
          <w:sz w:val="24"/>
          <w:szCs w:val="24"/>
        </w:rPr>
        <w:t xml:space="preserve"> and housing than if there had been a major famine every decade, leading to a </w:t>
      </w:r>
      <w:r>
        <w:rPr>
          <w:sz w:val="24"/>
          <w:szCs w:val="24"/>
        </w:rPr>
        <w:t>‘</w:t>
      </w:r>
      <w:r w:rsidRPr="00A84A20">
        <w:rPr>
          <w:sz w:val="24"/>
          <w:szCs w:val="24"/>
        </w:rPr>
        <w:t>missing</w:t>
      </w:r>
      <w:r>
        <w:rPr>
          <w:sz w:val="24"/>
          <w:szCs w:val="24"/>
        </w:rPr>
        <w:t>’</w:t>
      </w:r>
      <w:r w:rsidRPr="00A84A20">
        <w:rPr>
          <w:sz w:val="24"/>
          <w:szCs w:val="24"/>
        </w:rPr>
        <w:t xml:space="preserve"> population of what he estimates as 140 million people.</w:t>
      </w:r>
      <w:r>
        <w:rPr>
          <w:sz w:val="24"/>
          <w:szCs w:val="24"/>
        </w:rPr>
        <w:t xml:space="preserve"> But in addition to a failure to meet peoples’ bodily needs, </w:t>
      </w:r>
      <w:r w:rsidRPr="00A84A20">
        <w:rPr>
          <w:sz w:val="24"/>
          <w:szCs w:val="24"/>
        </w:rPr>
        <w:t>the exclusion of particular groups from forms of recognition such as rights to education, equality before the law, and citizenship rights, all of which is justified on the grounds of moral worth</w:t>
      </w:r>
      <w:r>
        <w:rPr>
          <w:sz w:val="24"/>
          <w:szCs w:val="24"/>
        </w:rPr>
        <w:t>, is also a form of structural violence, although it is</w:t>
      </w:r>
      <w:r w:rsidRPr="00A84A20">
        <w:rPr>
          <w:sz w:val="24"/>
          <w:szCs w:val="24"/>
        </w:rPr>
        <w:t xml:space="preserve"> so </w:t>
      </w:r>
      <w:r>
        <w:rPr>
          <w:sz w:val="24"/>
          <w:szCs w:val="24"/>
        </w:rPr>
        <w:t>‘</w:t>
      </w:r>
      <w:r w:rsidRPr="00A84A20">
        <w:rPr>
          <w:sz w:val="24"/>
          <w:szCs w:val="24"/>
        </w:rPr>
        <w:t>taken for granted in the routinized practices of state institutions . . . that it disappears from view and cannot be thematized as violence at all</w:t>
      </w:r>
      <w:r>
        <w:rPr>
          <w:sz w:val="24"/>
          <w:szCs w:val="24"/>
        </w:rPr>
        <w:t>’</w:t>
      </w:r>
      <w:r w:rsidRPr="00A84A20">
        <w:rPr>
          <w:sz w:val="24"/>
          <w:szCs w:val="24"/>
        </w:rPr>
        <w:t xml:space="preserve">. Gupta, </w:t>
      </w:r>
      <w:r w:rsidRPr="00A84A20">
        <w:rPr>
          <w:i/>
          <w:iCs/>
          <w:sz w:val="24"/>
          <w:szCs w:val="24"/>
        </w:rPr>
        <w:t>Red Tape</w:t>
      </w:r>
      <w:r>
        <w:rPr>
          <w:i/>
          <w:iCs/>
          <w:sz w:val="24"/>
          <w:szCs w:val="24"/>
        </w:rPr>
        <w:t xml:space="preserve"> </w:t>
      </w:r>
      <w:r>
        <w:rPr>
          <w:sz w:val="24"/>
          <w:szCs w:val="24"/>
        </w:rPr>
        <w:t>(n 119)</w:t>
      </w:r>
      <w:r w:rsidRPr="00A84A20">
        <w:rPr>
          <w:i/>
          <w:iCs/>
          <w:sz w:val="24"/>
          <w:szCs w:val="24"/>
        </w:rPr>
        <w:t xml:space="preserve"> </w:t>
      </w:r>
      <w:r w:rsidRPr="00A84A20">
        <w:rPr>
          <w:sz w:val="24"/>
          <w:szCs w:val="24"/>
        </w:rPr>
        <w:t>5, 20</w:t>
      </w:r>
      <w:r>
        <w:rPr>
          <w:sz w:val="24"/>
          <w:szCs w:val="24"/>
        </w:rPr>
        <w:t>-</w:t>
      </w:r>
      <w:r w:rsidRPr="00A84A20">
        <w:rPr>
          <w:sz w:val="24"/>
          <w:szCs w:val="24"/>
        </w:rPr>
        <w:t xml:space="preserve">21, 138; and Hughes and Bourgeois, </w:t>
      </w:r>
      <w:r>
        <w:rPr>
          <w:sz w:val="24"/>
          <w:szCs w:val="24"/>
        </w:rPr>
        <w:t>‘</w:t>
      </w:r>
      <w:r w:rsidRPr="00A84A20">
        <w:rPr>
          <w:sz w:val="24"/>
          <w:szCs w:val="24"/>
        </w:rPr>
        <w:t>Introduction</w:t>
      </w:r>
      <w:r>
        <w:rPr>
          <w:sz w:val="24"/>
          <w:szCs w:val="24"/>
        </w:rPr>
        <w:t>’ (n 70)</w:t>
      </w:r>
      <w:r w:rsidRPr="00A84A20">
        <w:rPr>
          <w:sz w:val="24"/>
          <w:szCs w:val="24"/>
        </w:rPr>
        <w:t xml:space="preserve"> 4. See also Michael Mann, </w:t>
      </w:r>
      <w:r>
        <w:rPr>
          <w:sz w:val="24"/>
          <w:szCs w:val="24"/>
        </w:rPr>
        <w:t>‘</w:t>
      </w:r>
      <w:r w:rsidRPr="00A84A20">
        <w:rPr>
          <w:sz w:val="24"/>
          <w:szCs w:val="24"/>
        </w:rPr>
        <w:t xml:space="preserve">The Autonomous Power of the State: Its Origins, Mechanisms, and </w:t>
      </w:r>
      <w:r>
        <w:rPr>
          <w:sz w:val="24"/>
          <w:szCs w:val="24"/>
        </w:rPr>
        <w:t>R</w:t>
      </w:r>
      <w:r w:rsidRPr="00A84A20">
        <w:rPr>
          <w:sz w:val="24"/>
          <w:szCs w:val="24"/>
        </w:rPr>
        <w:t>esults</w:t>
      </w:r>
      <w:r>
        <w:rPr>
          <w:sz w:val="24"/>
          <w:szCs w:val="24"/>
        </w:rPr>
        <w:t>’</w:t>
      </w:r>
      <w:r w:rsidRPr="00A84A20">
        <w:rPr>
          <w:sz w:val="24"/>
          <w:szCs w:val="24"/>
        </w:rPr>
        <w:t xml:space="preserve">, </w:t>
      </w:r>
      <w:r w:rsidRPr="00A84A20">
        <w:rPr>
          <w:i/>
          <w:iCs/>
          <w:sz w:val="24"/>
          <w:szCs w:val="24"/>
        </w:rPr>
        <w:t>Archives européenes de sociologie</w:t>
      </w:r>
      <w:r w:rsidRPr="00A84A20">
        <w:rPr>
          <w:sz w:val="24"/>
          <w:szCs w:val="24"/>
        </w:rPr>
        <w:t xml:space="preserve"> 25 (1984)</w:t>
      </w:r>
      <w:r>
        <w:rPr>
          <w:sz w:val="24"/>
          <w:szCs w:val="24"/>
        </w:rPr>
        <w:t>,</w:t>
      </w:r>
      <w:r w:rsidRPr="00A84A20">
        <w:rPr>
          <w:sz w:val="24"/>
          <w:szCs w:val="24"/>
        </w:rPr>
        <w:t xml:space="preserve"> 185</w:t>
      </w:r>
      <w:r>
        <w:rPr>
          <w:sz w:val="24"/>
          <w:szCs w:val="24"/>
        </w:rPr>
        <w:t>-</w:t>
      </w:r>
      <w:r w:rsidRPr="00A84A20">
        <w:rPr>
          <w:sz w:val="24"/>
          <w:szCs w:val="24"/>
        </w:rPr>
        <w:t xml:space="preserve">213; Michael Taussig, </w:t>
      </w:r>
      <w:r>
        <w:rPr>
          <w:sz w:val="24"/>
          <w:szCs w:val="24"/>
        </w:rPr>
        <w:t>‘</w:t>
      </w:r>
      <w:r w:rsidRPr="00A84A20">
        <w:rPr>
          <w:sz w:val="24"/>
          <w:szCs w:val="24"/>
        </w:rPr>
        <w:t>Terror as Usual: Walter Benjamin’s Theory of History as State of Siege</w:t>
      </w:r>
      <w:r>
        <w:rPr>
          <w:sz w:val="24"/>
          <w:szCs w:val="24"/>
        </w:rPr>
        <w:t>’</w:t>
      </w:r>
      <w:r w:rsidRPr="00A84A20">
        <w:rPr>
          <w:sz w:val="24"/>
          <w:szCs w:val="24"/>
        </w:rPr>
        <w:t xml:space="preserve">, in </w:t>
      </w:r>
      <w:r>
        <w:rPr>
          <w:sz w:val="24"/>
          <w:szCs w:val="24"/>
        </w:rPr>
        <w:t xml:space="preserve">Nancy </w:t>
      </w:r>
      <w:r w:rsidRPr="00807B01">
        <w:rPr>
          <w:sz w:val="24"/>
          <w:szCs w:val="24"/>
        </w:rPr>
        <w:t>Scheper</w:t>
      </w:r>
      <w:r>
        <w:rPr>
          <w:sz w:val="24"/>
          <w:szCs w:val="24"/>
        </w:rPr>
        <w:t>-</w:t>
      </w:r>
      <w:r w:rsidRPr="00807B01">
        <w:rPr>
          <w:sz w:val="24"/>
          <w:szCs w:val="24"/>
        </w:rPr>
        <w:t>Hughes and P</w:t>
      </w:r>
      <w:r>
        <w:rPr>
          <w:sz w:val="24"/>
          <w:szCs w:val="24"/>
        </w:rPr>
        <w:t xml:space="preserve">hilippe </w:t>
      </w:r>
      <w:r w:rsidRPr="00807B01">
        <w:rPr>
          <w:sz w:val="24"/>
          <w:szCs w:val="24"/>
        </w:rPr>
        <w:t>Bourgois (eds),</w:t>
      </w:r>
      <w:r w:rsidRPr="00807B01">
        <w:rPr>
          <w:b/>
          <w:bCs/>
          <w:sz w:val="24"/>
          <w:szCs w:val="24"/>
        </w:rPr>
        <w:t xml:space="preserve"> </w:t>
      </w:r>
      <w:r w:rsidRPr="00807B01">
        <w:rPr>
          <w:i/>
          <w:iCs/>
          <w:sz w:val="24"/>
          <w:szCs w:val="24"/>
        </w:rPr>
        <w:t xml:space="preserve">Violence in War and Peace: An Anthology </w:t>
      </w:r>
      <w:r w:rsidRPr="00807B01">
        <w:rPr>
          <w:sz w:val="24"/>
          <w:szCs w:val="24"/>
        </w:rPr>
        <w:t>(Malden, MA: Blackwell, 2006),</w:t>
      </w:r>
      <w:r>
        <w:rPr>
          <w:sz w:val="24"/>
          <w:szCs w:val="24"/>
        </w:rPr>
        <w:t xml:space="preserve"> </w:t>
      </w:r>
      <w:r w:rsidRPr="00A84A20">
        <w:rPr>
          <w:sz w:val="24"/>
          <w:szCs w:val="24"/>
        </w:rPr>
        <w:t>269</w:t>
      </w:r>
      <w:r>
        <w:rPr>
          <w:sz w:val="24"/>
          <w:szCs w:val="24"/>
        </w:rPr>
        <w:t>-</w:t>
      </w:r>
      <w:r w:rsidRPr="00A84A20">
        <w:rPr>
          <w:sz w:val="24"/>
          <w:szCs w:val="24"/>
        </w:rPr>
        <w:t>74</w:t>
      </w:r>
      <w:r>
        <w:rPr>
          <w:sz w:val="24"/>
          <w:szCs w:val="24"/>
        </w:rPr>
        <w:t xml:space="preserve"> (hereafter Taussig, ‘Terror as Usual’)</w:t>
      </w:r>
      <w:r w:rsidRPr="00A84A20">
        <w:rPr>
          <w:sz w:val="24"/>
          <w:szCs w:val="24"/>
        </w:rPr>
        <w:t xml:space="preserve">; and Das, </w:t>
      </w:r>
      <w:r w:rsidRPr="00A84A20">
        <w:rPr>
          <w:i/>
          <w:iCs/>
          <w:sz w:val="24"/>
          <w:szCs w:val="24"/>
        </w:rPr>
        <w:t>Life and Words</w:t>
      </w:r>
      <w:r>
        <w:rPr>
          <w:i/>
          <w:iCs/>
          <w:sz w:val="24"/>
          <w:szCs w:val="24"/>
        </w:rPr>
        <w:t xml:space="preserve"> </w:t>
      </w:r>
      <w:r>
        <w:rPr>
          <w:sz w:val="24"/>
          <w:szCs w:val="24"/>
        </w:rPr>
        <w:t>(n 106)</w:t>
      </w:r>
      <w:r w:rsidRPr="00A84A20">
        <w:rPr>
          <w:sz w:val="24"/>
          <w:szCs w:val="24"/>
        </w:rPr>
        <w:t>.</w:t>
      </w:r>
    </w:p>
  </w:footnote>
  <w:footnote w:id="123">
    <w:p w14:paraId="03494D43"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Riches, </w:t>
      </w:r>
      <w:r>
        <w:rPr>
          <w:sz w:val="24"/>
          <w:szCs w:val="24"/>
        </w:rPr>
        <w:t>‘</w:t>
      </w:r>
      <w:r w:rsidRPr="00A84A20">
        <w:rPr>
          <w:sz w:val="24"/>
          <w:szCs w:val="24"/>
        </w:rPr>
        <w:t>The Phenomenon of Violence</w:t>
      </w:r>
      <w:r>
        <w:rPr>
          <w:sz w:val="24"/>
          <w:szCs w:val="24"/>
        </w:rPr>
        <w:t>’ (n 144)</w:t>
      </w:r>
      <w:r w:rsidRPr="00A84A20">
        <w:rPr>
          <w:sz w:val="24"/>
          <w:szCs w:val="24"/>
        </w:rPr>
        <w:t xml:space="preserve"> 32; and Iadicola, </w:t>
      </w:r>
      <w:r>
        <w:rPr>
          <w:sz w:val="24"/>
          <w:szCs w:val="24"/>
        </w:rPr>
        <w:t>‘</w:t>
      </w:r>
      <w:r w:rsidRPr="00A84A20">
        <w:rPr>
          <w:sz w:val="24"/>
          <w:szCs w:val="24"/>
        </w:rPr>
        <w:t>The Violence of Empire</w:t>
      </w:r>
      <w:r>
        <w:rPr>
          <w:sz w:val="24"/>
          <w:szCs w:val="24"/>
        </w:rPr>
        <w:t xml:space="preserve">’ (n 113) </w:t>
      </w:r>
      <w:r w:rsidRPr="00A84A20">
        <w:rPr>
          <w:sz w:val="24"/>
          <w:szCs w:val="24"/>
        </w:rPr>
        <w:t xml:space="preserve">192. It is important not to neglect, furthermore, the impact of psychological violence, which Galtung describes as </w:t>
      </w:r>
      <w:r>
        <w:rPr>
          <w:sz w:val="24"/>
          <w:szCs w:val="24"/>
        </w:rPr>
        <w:t>‘</w:t>
      </w:r>
      <w:r w:rsidRPr="00A84A20">
        <w:rPr>
          <w:sz w:val="24"/>
          <w:szCs w:val="24"/>
        </w:rPr>
        <w:t>violence that works on the soul . . .</w:t>
      </w:r>
      <w:r>
        <w:rPr>
          <w:sz w:val="24"/>
          <w:szCs w:val="24"/>
        </w:rPr>
        <w:t>’</w:t>
      </w:r>
      <w:r w:rsidRPr="00A84A20">
        <w:rPr>
          <w:sz w:val="24"/>
          <w:szCs w:val="24"/>
        </w:rPr>
        <w:t xml:space="preserve"> Galtung, </w:t>
      </w:r>
      <w:r>
        <w:rPr>
          <w:sz w:val="24"/>
          <w:szCs w:val="24"/>
        </w:rPr>
        <w:t>‘</w:t>
      </w:r>
      <w:r w:rsidRPr="00A84A20">
        <w:rPr>
          <w:sz w:val="24"/>
          <w:szCs w:val="24"/>
        </w:rPr>
        <w:t>Violence</w:t>
      </w:r>
      <w:r>
        <w:rPr>
          <w:sz w:val="24"/>
          <w:szCs w:val="24"/>
        </w:rPr>
        <w:t>’ (n 119)</w:t>
      </w:r>
      <w:r w:rsidRPr="00A84A20">
        <w:rPr>
          <w:sz w:val="24"/>
          <w:szCs w:val="24"/>
        </w:rPr>
        <w:t xml:space="preserve"> 169.</w:t>
      </w:r>
    </w:p>
  </w:footnote>
  <w:footnote w:id="124">
    <w:p w14:paraId="2E25B41F"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w:t>
      </w:r>
      <w:bookmarkStart w:id="18" w:name="_Hlk41392013"/>
      <w:r w:rsidRPr="00A84A20">
        <w:rPr>
          <w:sz w:val="24"/>
          <w:szCs w:val="24"/>
        </w:rPr>
        <w:t xml:space="preserve">Samaddar, </w:t>
      </w:r>
      <w:r>
        <w:rPr>
          <w:sz w:val="24"/>
          <w:szCs w:val="24"/>
        </w:rPr>
        <w:t>‘</w:t>
      </w:r>
      <w:r w:rsidRPr="00A84A20">
        <w:rPr>
          <w:sz w:val="24"/>
          <w:szCs w:val="24"/>
        </w:rPr>
        <w:t>Colonial State, Terror and Law</w:t>
      </w:r>
      <w:r>
        <w:rPr>
          <w:sz w:val="24"/>
          <w:szCs w:val="24"/>
        </w:rPr>
        <w:t>’ (n 57)</w:t>
      </w:r>
      <w:r w:rsidRPr="00A84A20">
        <w:rPr>
          <w:sz w:val="24"/>
          <w:szCs w:val="24"/>
        </w:rPr>
        <w:t>,</w:t>
      </w:r>
      <w:bookmarkEnd w:id="18"/>
      <w:r w:rsidRPr="00A84A20">
        <w:rPr>
          <w:sz w:val="24"/>
          <w:szCs w:val="24"/>
        </w:rPr>
        <w:t xml:space="preserve"> 51.</w:t>
      </w:r>
    </w:p>
  </w:footnote>
  <w:footnote w:id="125">
    <w:p w14:paraId="777BC641"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Harald Fischer</w:t>
      </w:r>
      <w:r>
        <w:rPr>
          <w:sz w:val="24"/>
          <w:szCs w:val="24"/>
        </w:rPr>
        <w:t>-</w:t>
      </w:r>
      <w:r w:rsidRPr="00A84A20">
        <w:rPr>
          <w:sz w:val="24"/>
          <w:szCs w:val="24"/>
        </w:rPr>
        <w:t xml:space="preserve">Tiné and Christine Whyte, </w:t>
      </w:r>
      <w:r>
        <w:rPr>
          <w:sz w:val="24"/>
          <w:szCs w:val="24"/>
        </w:rPr>
        <w:t>‘</w:t>
      </w:r>
      <w:r w:rsidRPr="00A84A20">
        <w:rPr>
          <w:sz w:val="24"/>
          <w:szCs w:val="24"/>
        </w:rPr>
        <w:t>Introduction: Empires and Emotions</w:t>
      </w:r>
      <w:r>
        <w:rPr>
          <w:sz w:val="24"/>
          <w:szCs w:val="24"/>
        </w:rPr>
        <w:t>’</w:t>
      </w:r>
      <w:r w:rsidRPr="00A84A20">
        <w:rPr>
          <w:sz w:val="24"/>
          <w:szCs w:val="24"/>
        </w:rPr>
        <w:t>, in Harald Fischer</w:t>
      </w:r>
      <w:r>
        <w:rPr>
          <w:sz w:val="24"/>
          <w:szCs w:val="24"/>
        </w:rPr>
        <w:t>-</w:t>
      </w:r>
      <w:r w:rsidRPr="00A84A20">
        <w:rPr>
          <w:sz w:val="24"/>
          <w:szCs w:val="24"/>
        </w:rPr>
        <w:t xml:space="preserve">Tiné (ed.), </w:t>
      </w:r>
      <w:r w:rsidRPr="00A84A20">
        <w:rPr>
          <w:i/>
          <w:iCs/>
          <w:sz w:val="24"/>
          <w:szCs w:val="24"/>
        </w:rPr>
        <w:t>Anxieties, Fear and Panic in Colonial Settings: Empires on the Verge of a Nervous Breakdown</w:t>
      </w:r>
      <w:r w:rsidRPr="00A84A20">
        <w:rPr>
          <w:sz w:val="24"/>
          <w:szCs w:val="24"/>
        </w:rPr>
        <w:t xml:space="preserve"> (Basingstoke: Palgrave 2017), 12.</w:t>
      </w:r>
    </w:p>
  </w:footnote>
  <w:footnote w:id="126">
    <w:p w14:paraId="627196E9"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See Gayatri Chakravorty Spivak’s revised version of her </w:t>
      </w:r>
      <w:r>
        <w:rPr>
          <w:sz w:val="24"/>
          <w:szCs w:val="24"/>
        </w:rPr>
        <w:t>pivotal</w:t>
      </w:r>
      <w:r w:rsidRPr="00A84A20">
        <w:rPr>
          <w:sz w:val="24"/>
          <w:szCs w:val="24"/>
        </w:rPr>
        <w:t xml:space="preserve"> essay </w:t>
      </w:r>
      <w:r>
        <w:rPr>
          <w:bCs/>
          <w:sz w:val="24"/>
          <w:szCs w:val="24"/>
          <w:shd w:val="clear" w:color="auto" w:fill="FFFFFF"/>
        </w:rPr>
        <w:t>‘</w:t>
      </w:r>
      <w:r w:rsidRPr="00A84A20">
        <w:rPr>
          <w:bCs/>
          <w:sz w:val="24"/>
          <w:szCs w:val="24"/>
          <w:shd w:val="clear" w:color="auto" w:fill="FFFFFF"/>
        </w:rPr>
        <w:t>Can the Subaltern Speak</w:t>
      </w:r>
      <w:r w:rsidRPr="00A84A20">
        <w:rPr>
          <w:bCs/>
          <w:sz w:val="24"/>
          <w:szCs w:val="24"/>
        </w:rPr>
        <w:t>?</w:t>
      </w:r>
      <w:r>
        <w:rPr>
          <w:bCs/>
          <w:sz w:val="24"/>
          <w:szCs w:val="24"/>
        </w:rPr>
        <w:t>’</w:t>
      </w:r>
      <w:r w:rsidRPr="00A84A20">
        <w:rPr>
          <w:b/>
          <w:sz w:val="24"/>
          <w:szCs w:val="24"/>
        </w:rPr>
        <w:t xml:space="preserve"> </w:t>
      </w:r>
      <w:r w:rsidRPr="00A84A20">
        <w:rPr>
          <w:sz w:val="24"/>
          <w:szCs w:val="24"/>
        </w:rPr>
        <w:t>in Rosalind Morris (ed</w:t>
      </w:r>
      <w:r>
        <w:rPr>
          <w:sz w:val="24"/>
          <w:szCs w:val="24"/>
        </w:rPr>
        <w:t>.</w:t>
      </w:r>
      <w:r w:rsidRPr="00A84A20">
        <w:rPr>
          <w:sz w:val="24"/>
          <w:szCs w:val="24"/>
        </w:rPr>
        <w:t xml:space="preserve">), </w:t>
      </w:r>
      <w:r w:rsidRPr="00A84A20">
        <w:rPr>
          <w:i/>
          <w:sz w:val="24"/>
          <w:szCs w:val="24"/>
        </w:rPr>
        <w:t>Can the Subaltern Speak?: Reflections on the History of an Idea</w:t>
      </w:r>
      <w:r w:rsidRPr="00A84A20">
        <w:rPr>
          <w:sz w:val="24"/>
          <w:szCs w:val="24"/>
        </w:rPr>
        <w:t xml:space="preserve"> (New York: Columbia University Press 2010), 21</w:t>
      </w:r>
      <w:r>
        <w:rPr>
          <w:sz w:val="24"/>
          <w:szCs w:val="24"/>
        </w:rPr>
        <w:t>-</w:t>
      </w:r>
      <w:r w:rsidRPr="00A84A20">
        <w:rPr>
          <w:sz w:val="24"/>
          <w:szCs w:val="24"/>
        </w:rPr>
        <w:t>78</w:t>
      </w:r>
      <w:r>
        <w:rPr>
          <w:sz w:val="24"/>
          <w:szCs w:val="24"/>
        </w:rPr>
        <w:t xml:space="preserve">; </w:t>
      </w:r>
      <w:r w:rsidRPr="00A84A20">
        <w:rPr>
          <w:sz w:val="24"/>
          <w:szCs w:val="24"/>
        </w:rPr>
        <w:t xml:space="preserve">and </w:t>
      </w:r>
      <w:r w:rsidRPr="00A84A20">
        <w:rPr>
          <w:bCs/>
          <w:sz w:val="24"/>
          <w:szCs w:val="24"/>
        </w:rPr>
        <w:t xml:space="preserve">Rajeswari Sunder Rajan’s </w:t>
      </w:r>
      <w:r>
        <w:rPr>
          <w:bCs/>
          <w:sz w:val="24"/>
          <w:szCs w:val="24"/>
        </w:rPr>
        <w:t>‘</w:t>
      </w:r>
      <w:r w:rsidRPr="00A84A20">
        <w:rPr>
          <w:bCs/>
          <w:sz w:val="24"/>
          <w:szCs w:val="24"/>
        </w:rPr>
        <w:t>Death and the Subaltern</w:t>
      </w:r>
      <w:r>
        <w:rPr>
          <w:bCs/>
          <w:sz w:val="24"/>
          <w:szCs w:val="24"/>
        </w:rPr>
        <w:t>’</w:t>
      </w:r>
      <w:r w:rsidRPr="00A84A20">
        <w:rPr>
          <w:bCs/>
          <w:sz w:val="24"/>
          <w:szCs w:val="24"/>
        </w:rPr>
        <w:t xml:space="preserve">, </w:t>
      </w:r>
      <w:r>
        <w:rPr>
          <w:bCs/>
          <w:sz w:val="24"/>
          <w:szCs w:val="24"/>
        </w:rPr>
        <w:t xml:space="preserve">in Morris, </w:t>
      </w:r>
      <w:r w:rsidRPr="00A84A20">
        <w:rPr>
          <w:bCs/>
          <w:i/>
          <w:sz w:val="24"/>
          <w:szCs w:val="24"/>
        </w:rPr>
        <w:t xml:space="preserve">Can the Subaltern Speak, </w:t>
      </w:r>
      <w:r w:rsidRPr="00A84A20">
        <w:rPr>
          <w:bCs/>
          <w:iCs/>
          <w:sz w:val="24"/>
          <w:szCs w:val="24"/>
        </w:rPr>
        <w:t>117</w:t>
      </w:r>
      <w:r>
        <w:rPr>
          <w:bCs/>
          <w:iCs/>
          <w:sz w:val="24"/>
          <w:szCs w:val="24"/>
        </w:rPr>
        <w:t>-</w:t>
      </w:r>
      <w:r w:rsidRPr="00A84A20">
        <w:rPr>
          <w:bCs/>
          <w:iCs/>
          <w:sz w:val="24"/>
          <w:szCs w:val="24"/>
        </w:rPr>
        <w:t>38</w:t>
      </w:r>
      <w:r w:rsidRPr="00A84A20">
        <w:rPr>
          <w:bCs/>
          <w:sz w:val="24"/>
          <w:szCs w:val="24"/>
        </w:rPr>
        <w:t>, for ways in which subaltern can speak but not be heard.</w:t>
      </w:r>
    </w:p>
  </w:footnote>
  <w:footnote w:id="127">
    <w:p w14:paraId="3AB746AE"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As Kim Wagner argues in response to Shahid Amin’s claim that examining the testimony of legal approvers is a means of listening to the voices of peasants caught in the colonial judicial system, subjecting such testimony to a discursive analysis is to reduce </w:t>
      </w:r>
      <w:r>
        <w:rPr>
          <w:sz w:val="24"/>
          <w:szCs w:val="24"/>
        </w:rPr>
        <w:t>‘</w:t>
      </w:r>
      <w:r w:rsidRPr="00A84A20">
        <w:rPr>
          <w:sz w:val="24"/>
          <w:szCs w:val="24"/>
        </w:rPr>
        <w:t>[t]he conversation between colonizer and colonized . . . to a dialogue between the ventriloquist and his dummy . . .</w:t>
      </w:r>
      <w:r>
        <w:rPr>
          <w:sz w:val="24"/>
          <w:szCs w:val="24"/>
        </w:rPr>
        <w:t>’</w:t>
      </w:r>
      <w:r w:rsidRPr="00A84A20">
        <w:rPr>
          <w:sz w:val="24"/>
          <w:szCs w:val="24"/>
          <w:shd w:val="clear" w:color="auto" w:fill="FFFFFF"/>
        </w:rPr>
        <w:t xml:space="preserve">. </w:t>
      </w:r>
      <w:r w:rsidRPr="00A84A20">
        <w:rPr>
          <w:sz w:val="24"/>
          <w:szCs w:val="24"/>
        </w:rPr>
        <w:t xml:space="preserve">Shahid Amin, </w:t>
      </w:r>
      <w:r>
        <w:rPr>
          <w:sz w:val="24"/>
          <w:szCs w:val="24"/>
        </w:rPr>
        <w:t>‘</w:t>
      </w:r>
      <w:r w:rsidRPr="00A84A20">
        <w:rPr>
          <w:sz w:val="24"/>
          <w:szCs w:val="24"/>
        </w:rPr>
        <w:t>Approver’s Testimony, Judicial Discourse: The Case of Chauri Chaura</w:t>
      </w:r>
      <w:r>
        <w:rPr>
          <w:sz w:val="24"/>
          <w:szCs w:val="24"/>
        </w:rPr>
        <w:t>’</w:t>
      </w:r>
      <w:r w:rsidRPr="00A84A20">
        <w:rPr>
          <w:sz w:val="24"/>
          <w:szCs w:val="24"/>
        </w:rPr>
        <w:t xml:space="preserve">, in </w:t>
      </w:r>
      <w:r w:rsidRPr="00C4770F">
        <w:rPr>
          <w:i/>
          <w:iCs/>
          <w:sz w:val="24"/>
          <w:szCs w:val="24"/>
        </w:rPr>
        <w:t>Subaltern Studies</w:t>
      </w:r>
      <w:r w:rsidRPr="00A84A20">
        <w:rPr>
          <w:sz w:val="24"/>
          <w:szCs w:val="24"/>
        </w:rPr>
        <w:t xml:space="preserve"> V (Delhi: Oxford University Press India 1987), 168, cited in </w:t>
      </w:r>
      <w:r w:rsidRPr="00A84A20">
        <w:rPr>
          <w:sz w:val="24"/>
          <w:szCs w:val="24"/>
          <w:shd w:val="clear" w:color="auto" w:fill="FFFFFF"/>
        </w:rPr>
        <w:t xml:space="preserve">Kim Wagner, </w:t>
      </w:r>
      <w:r>
        <w:rPr>
          <w:sz w:val="24"/>
          <w:szCs w:val="24"/>
        </w:rPr>
        <w:t>‘”</w:t>
      </w:r>
      <w:r w:rsidRPr="00A84A20">
        <w:rPr>
          <w:sz w:val="24"/>
          <w:szCs w:val="24"/>
        </w:rPr>
        <w:t>In Unrestrained Conversation</w:t>
      </w:r>
      <w:r>
        <w:rPr>
          <w:sz w:val="24"/>
          <w:szCs w:val="24"/>
        </w:rPr>
        <w:t>”</w:t>
      </w:r>
      <w:r w:rsidRPr="00A84A20">
        <w:rPr>
          <w:sz w:val="24"/>
          <w:szCs w:val="24"/>
        </w:rPr>
        <w:t>: Approvers and the Colonial Ethnography of Crime in Nineteenth</w:t>
      </w:r>
      <w:r>
        <w:rPr>
          <w:sz w:val="24"/>
          <w:szCs w:val="24"/>
        </w:rPr>
        <w:t>-</w:t>
      </w:r>
      <w:r w:rsidRPr="00A84A20">
        <w:rPr>
          <w:sz w:val="24"/>
          <w:szCs w:val="24"/>
        </w:rPr>
        <w:t>century India</w:t>
      </w:r>
      <w:r>
        <w:rPr>
          <w:sz w:val="24"/>
          <w:szCs w:val="24"/>
        </w:rPr>
        <w:t>’</w:t>
      </w:r>
      <w:r w:rsidRPr="00A84A20">
        <w:rPr>
          <w:sz w:val="24"/>
          <w:szCs w:val="24"/>
        </w:rPr>
        <w:t xml:space="preserve">, in Kim A. Wagner and Ricardo Roque (eds), </w:t>
      </w:r>
      <w:r w:rsidRPr="00A84A20">
        <w:rPr>
          <w:i/>
          <w:iCs/>
          <w:sz w:val="24"/>
          <w:szCs w:val="24"/>
        </w:rPr>
        <w:t>Engaging Colonial Knowledge: Reading European Archives in World History</w:t>
      </w:r>
      <w:r w:rsidRPr="00A84A20">
        <w:rPr>
          <w:sz w:val="24"/>
          <w:szCs w:val="24"/>
        </w:rPr>
        <w:t xml:space="preserve"> (Basingstoke: Palgrave 2011), 156.</w:t>
      </w:r>
      <w:r>
        <w:rPr>
          <w:sz w:val="24"/>
          <w:szCs w:val="24"/>
        </w:rPr>
        <w:t xml:space="preserve"> </w:t>
      </w:r>
    </w:p>
  </w:footnote>
  <w:footnote w:id="128">
    <w:p w14:paraId="241F597A"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Sarah Ahmed, </w:t>
      </w:r>
      <w:r>
        <w:rPr>
          <w:sz w:val="24"/>
          <w:szCs w:val="24"/>
        </w:rPr>
        <w:t>‘</w:t>
      </w:r>
      <w:r w:rsidRPr="00A84A20">
        <w:rPr>
          <w:sz w:val="24"/>
          <w:szCs w:val="24"/>
        </w:rPr>
        <w:t>The Contingency of Pain</w:t>
      </w:r>
      <w:r>
        <w:rPr>
          <w:sz w:val="24"/>
          <w:szCs w:val="24"/>
        </w:rPr>
        <w:t>’</w:t>
      </w:r>
      <w:r w:rsidRPr="00A84A20">
        <w:rPr>
          <w:sz w:val="24"/>
          <w:szCs w:val="24"/>
        </w:rPr>
        <w:t xml:space="preserve">, </w:t>
      </w:r>
      <w:r w:rsidRPr="00A84A20">
        <w:rPr>
          <w:i/>
          <w:sz w:val="24"/>
          <w:szCs w:val="24"/>
        </w:rPr>
        <w:t xml:space="preserve">parallax </w:t>
      </w:r>
      <w:r w:rsidRPr="00A84A20">
        <w:rPr>
          <w:sz w:val="24"/>
          <w:szCs w:val="24"/>
        </w:rPr>
        <w:t>8</w:t>
      </w:r>
      <w:r>
        <w:rPr>
          <w:sz w:val="24"/>
          <w:szCs w:val="24"/>
        </w:rPr>
        <w:t>/</w:t>
      </w:r>
      <w:r w:rsidRPr="00A84A20">
        <w:rPr>
          <w:sz w:val="24"/>
          <w:szCs w:val="24"/>
        </w:rPr>
        <w:t>1 (2002), 21</w:t>
      </w:r>
      <w:r>
        <w:rPr>
          <w:sz w:val="24"/>
          <w:szCs w:val="24"/>
        </w:rPr>
        <w:t xml:space="preserve"> (hereafter Ahmed, ‘The Contingency of Pain’)</w:t>
      </w:r>
      <w:r w:rsidRPr="00A84A20">
        <w:rPr>
          <w:sz w:val="24"/>
          <w:szCs w:val="24"/>
        </w:rPr>
        <w:t xml:space="preserve">. See also Elaine Scarry, </w:t>
      </w:r>
      <w:r w:rsidRPr="00A84A20">
        <w:rPr>
          <w:i/>
          <w:sz w:val="24"/>
          <w:szCs w:val="24"/>
        </w:rPr>
        <w:t>The Body in Pain: The Making and Unmaking of the World</w:t>
      </w:r>
      <w:r w:rsidRPr="00A84A20">
        <w:rPr>
          <w:sz w:val="24"/>
          <w:szCs w:val="24"/>
        </w:rPr>
        <w:t xml:space="preserve"> (New York and Oxford: O</w:t>
      </w:r>
      <w:r>
        <w:rPr>
          <w:sz w:val="24"/>
          <w:szCs w:val="24"/>
        </w:rPr>
        <w:t xml:space="preserve">xford University </w:t>
      </w:r>
      <w:r w:rsidRPr="00A84A20">
        <w:rPr>
          <w:sz w:val="24"/>
          <w:szCs w:val="24"/>
        </w:rPr>
        <w:t>P</w:t>
      </w:r>
      <w:r>
        <w:rPr>
          <w:sz w:val="24"/>
          <w:szCs w:val="24"/>
        </w:rPr>
        <w:t>ress</w:t>
      </w:r>
      <w:r w:rsidRPr="00A84A20">
        <w:rPr>
          <w:sz w:val="24"/>
          <w:szCs w:val="24"/>
        </w:rPr>
        <w:t xml:space="preserve"> 1985), 28</w:t>
      </w:r>
      <w:r>
        <w:rPr>
          <w:sz w:val="24"/>
          <w:szCs w:val="24"/>
        </w:rPr>
        <w:t xml:space="preserve"> (hereafter Scarry, </w:t>
      </w:r>
      <w:r>
        <w:rPr>
          <w:i/>
          <w:iCs/>
          <w:sz w:val="24"/>
          <w:szCs w:val="24"/>
        </w:rPr>
        <w:t>The Body in Pain</w:t>
      </w:r>
      <w:r>
        <w:rPr>
          <w:sz w:val="24"/>
          <w:szCs w:val="24"/>
        </w:rPr>
        <w:t>)</w:t>
      </w:r>
      <w:r w:rsidRPr="00A84A20">
        <w:rPr>
          <w:sz w:val="24"/>
          <w:szCs w:val="24"/>
        </w:rPr>
        <w:t xml:space="preserve">; Veena Das, </w:t>
      </w:r>
      <w:r>
        <w:rPr>
          <w:sz w:val="24"/>
          <w:szCs w:val="24"/>
        </w:rPr>
        <w:t>‘</w:t>
      </w:r>
      <w:r w:rsidRPr="00A84A20">
        <w:rPr>
          <w:sz w:val="24"/>
          <w:szCs w:val="24"/>
        </w:rPr>
        <w:t>Language and Body: Transactions in the Construction of Pain</w:t>
      </w:r>
      <w:r>
        <w:rPr>
          <w:sz w:val="24"/>
          <w:szCs w:val="24"/>
        </w:rPr>
        <w:t>’</w:t>
      </w:r>
      <w:r w:rsidRPr="00A84A20">
        <w:rPr>
          <w:sz w:val="24"/>
          <w:szCs w:val="24"/>
        </w:rPr>
        <w:t xml:space="preserve">, </w:t>
      </w:r>
      <w:r>
        <w:rPr>
          <w:iCs/>
          <w:sz w:val="24"/>
          <w:szCs w:val="24"/>
        </w:rPr>
        <w:t>in</w:t>
      </w:r>
      <w:r w:rsidRPr="00A84A20">
        <w:rPr>
          <w:sz w:val="24"/>
          <w:szCs w:val="24"/>
        </w:rPr>
        <w:t xml:space="preserve"> Arthur Kleinman, Veena Das</w:t>
      </w:r>
      <w:r>
        <w:rPr>
          <w:sz w:val="24"/>
          <w:szCs w:val="24"/>
        </w:rPr>
        <w:t>,</w:t>
      </w:r>
      <w:r w:rsidRPr="00A84A20">
        <w:rPr>
          <w:sz w:val="24"/>
          <w:szCs w:val="24"/>
        </w:rPr>
        <w:t xml:space="preserve"> </w:t>
      </w:r>
      <w:r>
        <w:rPr>
          <w:sz w:val="24"/>
          <w:szCs w:val="24"/>
        </w:rPr>
        <w:t>and</w:t>
      </w:r>
      <w:r w:rsidRPr="00A84A20">
        <w:rPr>
          <w:sz w:val="24"/>
          <w:szCs w:val="24"/>
        </w:rPr>
        <w:t xml:space="preserve"> Margaret Lock </w:t>
      </w:r>
      <w:r>
        <w:rPr>
          <w:sz w:val="24"/>
          <w:szCs w:val="24"/>
        </w:rPr>
        <w:t xml:space="preserve">(eds), </w:t>
      </w:r>
      <w:r>
        <w:rPr>
          <w:i/>
          <w:iCs/>
          <w:sz w:val="24"/>
          <w:szCs w:val="24"/>
        </w:rPr>
        <w:t xml:space="preserve">Social Suffering </w:t>
      </w:r>
      <w:r w:rsidRPr="00A84A20">
        <w:rPr>
          <w:sz w:val="24"/>
          <w:szCs w:val="24"/>
        </w:rPr>
        <w:t>(</w:t>
      </w:r>
      <w:r>
        <w:rPr>
          <w:sz w:val="24"/>
          <w:szCs w:val="24"/>
        </w:rPr>
        <w:t>Berkeley: University of California</w:t>
      </w:r>
      <w:r w:rsidRPr="00A84A20">
        <w:rPr>
          <w:sz w:val="24"/>
          <w:szCs w:val="24"/>
        </w:rPr>
        <w:t xml:space="preserve"> Press 1997), 67</w:t>
      </w:r>
      <w:r>
        <w:rPr>
          <w:sz w:val="24"/>
          <w:szCs w:val="24"/>
        </w:rPr>
        <w:t>-</w:t>
      </w:r>
      <w:r w:rsidRPr="00A84A20">
        <w:rPr>
          <w:sz w:val="24"/>
          <w:szCs w:val="24"/>
        </w:rPr>
        <w:t>98</w:t>
      </w:r>
      <w:r>
        <w:rPr>
          <w:sz w:val="24"/>
          <w:szCs w:val="24"/>
        </w:rPr>
        <w:t xml:space="preserve"> (hereafter Das, ‘Language and Body’)</w:t>
      </w:r>
      <w:r w:rsidRPr="00A84A20">
        <w:rPr>
          <w:sz w:val="24"/>
          <w:szCs w:val="24"/>
        </w:rPr>
        <w:t xml:space="preserve">; and Drew Leder, </w:t>
      </w:r>
      <w:r w:rsidRPr="00A84A20">
        <w:rPr>
          <w:i/>
          <w:sz w:val="24"/>
          <w:szCs w:val="24"/>
          <w:lang w:val="en-US"/>
        </w:rPr>
        <w:t>The Absent Body</w:t>
      </w:r>
      <w:r w:rsidRPr="00A84A20">
        <w:rPr>
          <w:sz w:val="24"/>
          <w:szCs w:val="24"/>
          <w:lang w:val="en-US"/>
        </w:rPr>
        <w:t xml:space="preserve"> (Chicago: University of Chicago Press 1990), 11</w:t>
      </w:r>
      <w:r>
        <w:rPr>
          <w:sz w:val="24"/>
          <w:szCs w:val="24"/>
          <w:lang w:val="en-US"/>
        </w:rPr>
        <w:t xml:space="preserve"> (hereafter Leder, </w:t>
      </w:r>
      <w:r>
        <w:rPr>
          <w:i/>
          <w:iCs/>
          <w:sz w:val="24"/>
          <w:szCs w:val="24"/>
          <w:lang w:val="en-US"/>
        </w:rPr>
        <w:t>The Absent Body</w:t>
      </w:r>
      <w:r>
        <w:rPr>
          <w:sz w:val="24"/>
          <w:szCs w:val="24"/>
          <w:lang w:val="en-US"/>
        </w:rPr>
        <w:t>)</w:t>
      </w:r>
      <w:r w:rsidRPr="00A84A20">
        <w:rPr>
          <w:sz w:val="24"/>
          <w:szCs w:val="24"/>
          <w:lang w:val="en-US"/>
        </w:rPr>
        <w:t>.</w:t>
      </w:r>
    </w:p>
  </w:footnote>
  <w:footnote w:id="129">
    <w:p w14:paraId="61B8761C"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David B. </w:t>
      </w:r>
      <w:bookmarkStart w:id="19" w:name="_Hlk514183362"/>
      <w:r w:rsidRPr="00A84A20">
        <w:rPr>
          <w:sz w:val="24"/>
          <w:szCs w:val="24"/>
        </w:rPr>
        <w:t xml:space="preserve">Morris, </w:t>
      </w:r>
      <w:r>
        <w:rPr>
          <w:sz w:val="24"/>
          <w:szCs w:val="24"/>
        </w:rPr>
        <w:t>‘</w:t>
      </w:r>
      <w:r w:rsidRPr="00A84A20">
        <w:rPr>
          <w:sz w:val="24"/>
          <w:szCs w:val="24"/>
        </w:rPr>
        <w:t>The Languages of Pain</w:t>
      </w:r>
      <w:r>
        <w:rPr>
          <w:sz w:val="24"/>
          <w:szCs w:val="24"/>
        </w:rPr>
        <w:t>’</w:t>
      </w:r>
      <w:r w:rsidRPr="00A84A20">
        <w:rPr>
          <w:sz w:val="24"/>
          <w:szCs w:val="24"/>
        </w:rPr>
        <w:t xml:space="preserve">, in </w:t>
      </w:r>
      <w:r>
        <w:rPr>
          <w:sz w:val="24"/>
          <w:szCs w:val="24"/>
        </w:rPr>
        <w:t xml:space="preserve">Robert Kaplan (ed), </w:t>
      </w:r>
      <w:r w:rsidRPr="00A84A20">
        <w:rPr>
          <w:i/>
          <w:sz w:val="24"/>
          <w:szCs w:val="24"/>
        </w:rPr>
        <w:t>Exploring the Concept of Mind</w:t>
      </w:r>
      <w:r>
        <w:rPr>
          <w:sz w:val="24"/>
          <w:szCs w:val="24"/>
        </w:rPr>
        <w:t xml:space="preserve"> </w:t>
      </w:r>
      <w:r w:rsidRPr="00A84A20">
        <w:rPr>
          <w:sz w:val="24"/>
          <w:szCs w:val="24"/>
        </w:rPr>
        <w:t xml:space="preserve">(Iowa City: University of Iowa Press 1986), </w:t>
      </w:r>
      <w:bookmarkEnd w:id="19"/>
      <w:r w:rsidRPr="00A84A20">
        <w:rPr>
          <w:sz w:val="24"/>
          <w:szCs w:val="24"/>
        </w:rPr>
        <w:t>93</w:t>
      </w:r>
      <w:r>
        <w:rPr>
          <w:sz w:val="24"/>
          <w:szCs w:val="24"/>
        </w:rPr>
        <w:t xml:space="preserve"> (hereafter Morris, ‘The Languages of Pain’)</w:t>
      </w:r>
      <w:r w:rsidRPr="00A84A20">
        <w:rPr>
          <w:sz w:val="24"/>
          <w:szCs w:val="24"/>
        </w:rPr>
        <w:t>.</w:t>
      </w:r>
    </w:p>
  </w:footnote>
  <w:footnote w:id="130">
    <w:p w14:paraId="7C97F360"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Ibid, 25; and </w:t>
      </w:r>
      <w:bookmarkStart w:id="20" w:name="_Hlk514183520"/>
      <w:r w:rsidRPr="00A84A20">
        <w:rPr>
          <w:sz w:val="24"/>
          <w:szCs w:val="24"/>
        </w:rPr>
        <w:t xml:space="preserve">Klarer, </w:t>
      </w:r>
      <w:r>
        <w:rPr>
          <w:sz w:val="24"/>
          <w:szCs w:val="24"/>
        </w:rPr>
        <w:t>‘</w:t>
      </w:r>
      <w:r w:rsidRPr="00A84A20">
        <w:rPr>
          <w:sz w:val="24"/>
          <w:szCs w:val="24"/>
        </w:rPr>
        <w:t>Humanitarian Pornography</w:t>
      </w:r>
      <w:r>
        <w:rPr>
          <w:sz w:val="24"/>
          <w:szCs w:val="24"/>
        </w:rPr>
        <w:t>’</w:t>
      </w:r>
      <w:bookmarkEnd w:id="20"/>
      <w:r>
        <w:rPr>
          <w:sz w:val="24"/>
          <w:szCs w:val="24"/>
        </w:rPr>
        <w:t xml:space="preserve"> (n 103)</w:t>
      </w:r>
      <w:r w:rsidRPr="00A84A20">
        <w:rPr>
          <w:sz w:val="24"/>
          <w:szCs w:val="24"/>
        </w:rPr>
        <w:t xml:space="preserve"> 559. As J. M. Coetzee puts it, </w:t>
      </w:r>
      <w:r>
        <w:rPr>
          <w:sz w:val="24"/>
          <w:szCs w:val="24"/>
        </w:rPr>
        <w:t>‘</w:t>
      </w:r>
      <w:r w:rsidRPr="00A84A20">
        <w:rPr>
          <w:sz w:val="24"/>
          <w:szCs w:val="24"/>
        </w:rPr>
        <w:t>Pain is truth; all else is subject to doubt</w:t>
      </w:r>
      <w:r>
        <w:rPr>
          <w:sz w:val="24"/>
          <w:szCs w:val="24"/>
        </w:rPr>
        <w:t>’</w:t>
      </w:r>
      <w:r w:rsidRPr="00A84A20">
        <w:rPr>
          <w:sz w:val="24"/>
          <w:szCs w:val="24"/>
        </w:rPr>
        <w:t xml:space="preserve">. For Saidiya Hartman pain also gives humanity a common language while extending such humanity to those who are dispossessed. J. M. Coetzee, </w:t>
      </w:r>
      <w:r w:rsidRPr="00A84A20">
        <w:rPr>
          <w:i/>
          <w:iCs/>
          <w:sz w:val="24"/>
          <w:szCs w:val="24"/>
        </w:rPr>
        <w:t xml:space="preserve">Waiting for the Barbarians </w:t>
      </w:r>
      <w:r w:rsidRPr="00A84A20">
        <w:rPr>
          <w:sz w:val="24"/>
          <w:szCs w:val="24"/>
        </w:rPr>
        <w:t>(</w:t>
      </w:r>
      <w:r>
        <w:rPr>
          <w:sz w:val="24"/>
          <w:szCs w:val="24"/>
        </w:rPr>
        <w:t>2</w:t>
      </w:r>
      <w:r w:rsidRPr="00D06E05">
        <w:rPr>
          <w:sz w:val="24"/>
          <w:szCs w:val="24"/>
          <w:vertAlign w:val="superscript"/>
        </w:rPr>
        <w:t>nd</w:t>
      </w:r>
      <w:r>
        <w:rPr>
          <w:sz w:val="24"/>
          <w:szCs w:val="24"/>
        </w:rPr>
        <w:t xml:space="preserve"> edn, </w:t>
      </w:r>
      <w:r w:rsidRPr="00A84A20">
        <w:rPr>
          <w:sz w:val="24"/>
          <w:szCs w:val="24"/>
        </w:rPr>
        <w:t>Harmondsworth: Penguin, 1982), 5</w:t>
      </w:r>
      <w:r>
        <w:rPr>
          <w:sz w:val="24"/>
          <w:szCs w:val="24"/>
        </w:rPr>
        <w:t xml:space="preserve"> (hereafter Coetzee, </w:t>
      </w:r>
      <w:r>
        <w:rPr>
          <w:i/>
          <w:iCs/>
          <w:sz w:val="24"/>
          <w:szCs w:val="24"/>
        </w:rPr>
        <w:t>Waiting for the Barbarians</w:t>
      </w:r>
      <w:r>
        <w:rPr>
          <w:sz w:val="24"/>
          <w:szCs w:val="24"/>
        </w:rPr>
        <w:t>)</w:t>
      </w:r>
      <w:r w:rsidRPr="00A84A20">
        <w:rPr>
          <w:sz w:val="24"/>
          <w:szCs w:val="24"/>
        </w:rPr>
        <w:t xml:space="preserve">; and Saidiya V. </w:t>
      </w:r>
      <w:bookmarkStart w:id="21" w:name="_Hlk514183595"/>
      <w:r w:rsidRPr="00A84A20">
        <w:rPr>
          <w:sz w:val="24"/>
          <w:szCs w:val="24"/>
        </w:rPr>
        <w:t xml:space="preserve">Hartman, </w:t>
      </w:r>
      <w:r w:rsidRPr="00A84A20">
        <w:rPr>
          <w:i/>
          <w:sz w:val="24"/>
          <w:szCs w:val="24"/>
        </w:rPr>
        <w:t>Scenes of Subjection: Terror, Slavery, and Self</w:t>
      </w:r>
      <w:r>
        <w:rPr>
          <w:i/>
          <w:sz w:val="24"/>
          <w:szCs w:val="24"/>
        </w:rPr>
        <w:t>-</w:t>
      </w:r>
      <w:r w:rsidRPr="00A84A20">
        <w:rPr>
          <w:i/>
          <w:sz w:val="24"/>
          <w:szCs w:val="24"/>
        </w:rPr>
        <w:t>Making in Nineteenth</w:t>
      </w:r>
      <w:r>
        <w:rPr>
          <w:i/>
          <w:sz w:val="24"/>
          <w:szCs w:val="24"/>
        </w:rPr>
        <w:t>-</w:t>
      </w:r>
      <w:r w:rsidRPr="00A84A20">
        <w:rPr>
          <w:i/>
          <w:sz w:val="24"/>
          <w:szCs w:val="24"/>
        </w:rPr>
        <w:t xml:space="preserve">Century America </w:t>
      </w:r>
      <w:r w:rsidRPr="00A84A20">
        <w:rPr>
          <w:sz w:val="24"/>
          <w:szCs w:val="24"/>
        </w:rPr>
        <w:t>(New York and Oxford: Oxford University Press 1997)</w:t>
      </w:r>
      <w:bookmarkEnd w:id="21"/>
      <w:r w:rsidRPr="00A84A20">
        <w:rPr>
          <w:sz w:val="24"/>
          <w:szCs w:val="24"/>
        </w:rPr>
        <w:t>, 18.</w:t>
      </w:r>
    </w:p>
  </w:footnote>
  <w:footnote w:id="131">
    <w:p w14:paraId="6C609698"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Scarry, </w:t>
      </w:r>
      <w:r w:rsidRPr="00A84A20">
        <w:rPr>
          <w:i/>
          <w:sz w:val="24"/>
          <w:szCs w:val="24"/>
        </w:rPr>
        <w:t>The Body in Pain</w:t>
      </w:r>
      <w:r>
        <w:rPr>
          <w:sz w:val="24"/>
          <w:szCs w:val="24"/>
        </w:rPr>
        <w:t xml:space="preserve"> (n 127)</w:t>
      </w:r>
      <w:r w:rsidRPr="00A84A20">
        <w:rPr>
          <w:sz w:val="24"/>
          <w:szCs w:val="24"/>
        </w:rPr>
        <w:t xml:space="preserve"> 4; and Morris, </w:t>
      </w:r>
      <w:r>
        <w:rPr>
          <w:sz w:val="24"/>
          <w:szCs w:val="24"/>
        </w:rPr>
        <w:t>‘</w:t>
      </w:r>
      <w:r w:rsidRPr="00A84A20">
        <w:rPr>
          <w:sz w:val="24"/>
          <w:szCs w:val="24"/>
        </w:rPr>
        <w:t>The Languages of Pain</w:t>
      </w:r>
      <w:r>
        <w:rPr>
          <w:sz w:val="24"/>
          <w:szCs w:val="24"/>
        </w:rPr>
        <w:t>’ (n 128)</w:t>
      </w:r>
      <w:r w:rsidRPr="00A84A20">
        <w:rPr>
          <w:sz w:val="24"/>
          <w:szCs w:val="24"/>
        </w:rPr>
        <w:t xml:space="preserve"> 90</w:t>
      </w:r>
      <w:r w:rsidRPr="00A84A20">
        <w:rPr>
          <w:sz w:val="24"/>
          <w:szCs w:val="24"/>
          <w:lang w:val="en-US"/>
        </w:rPr>
        <w:t>.</w:t>
      </w:r>
    </w:p>
  </w:footnote>
  <w:footnote w:id="132">
    <w:p w14:paraId="507E34A3"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Joanna </w:t>
      </w:r>
      <w:bookmarkStart w:id="22" w:name="_Hlk514183640"/>
      <w:r w:rsidRPr="00A84A20">
        <w:rPr>
          <w:sz w:val="24"/>
          <w:szCs w:val="24"/>
        </w:rPr>
        <w:t xml:space="preserve">Bourke, </w:t>
      </w:r>
      <w:r>
        <w:rPr>
          <w:sz w:val="24"/>
          <w:szCs w:val="24"/>
        </w:rPr>
        <w:t>‘</w:t>
      </w:r>
      <w:r w:rsidRPr="00A84A20">
        <w:rPr>
          <w:sz w:val="24"/>
          <w:szCs w:val="24"/>
        </w:rPr>
        <w:t>Introduction</w:t>
      </w:r>
      <w:r>
        <w:rPr>
          <w:sz w:val="24"/>
          <w:szCs w:val="24"/>
        </w:rPr>
        <w:t>’ (</w:t>
      </w:r>
      <w:r w:rsidRPr="00A84A20">
        <w:rPr>
          <w:i/>
          <w:sz w:val="24"/>
          <w:szCs w:val="24"/>
        </w:rPr>
        <w:t xml:space="preserve">Pain and its Meanings, </w:t>
      </w:r>
      <w:r w:rsidRPr="00A84A20">
        <w:rPr>
          <w:sz w:val="24"/>
          <w:szCs w:val="24"/>
        </w:rPr>
        <w:t>10 December 2012</w:t>
      </w:r>
      <w:r>
        <w:rPr>
          <w:sz w:val="24"/>
          <w:szCs w:val="24"/>
        </w:rPr>
        <w:t>)</w:t>
      </w:r>
      <w:r w:rsidRPr="00A84A20">
        <w:rPr>
          <w:sz w:val="24"/>
          <w:szCs w:val="24"/>
        </w:rPr>
        <w:t xml:space="preserve"> </w:t>
      </w:r>
      <w:r>
        <w:rPr>
          <w:sz w:val="24"/>
          <w:szCs w:val="24"/>
        </w:rPr>
        <w:t>&lt;</w:t>
      </w:r>
      <w:hyperlink r:id="rId42" w:history="1">
        <w:r w:rsidRPr="00CB4094">
          <w:rPr>
            <w:rStyle w:val="Hyperlink"/>
            <w:sz w:val="24"/>
            <w:szCs w:val="24"/>
          </w:rPr>
          <w:t>http://www.bbk.ac.uk/history/our-research/birkbeckpainproject/Pain%20and%20its%20Meanings%20v3.pdf</w:t>
        </w:r>
      </w:hyperlink>
      <w:r>
        <w:rPr>
          <w:sz w:val="24"/>
          <w:szCs w:val="24"/>
        </w:rPr>
        <w:t xml:space="preserve">&gt; </w:t>
      </w:r>
      <w:r w:rsidRPr="00A84A20">
        <w:rPr>
          <w:sz w:val="24"/>
          <w:szCs w:val="24"/>
        </w:rPr>
        <w:t xml:space="preserve">accessed </w:t>
      </w:r>
      <w:r>
        <w:rPr>
          <w:sz w:val="24"/>
          <w:szCs w:val="24"/>
        </w:rPr>
        <w:t xml:space="preserve">14 </w:t>
      </w:r>
      <w:r w:rsidRPr="00A84A20">
        <w:rPr>
          <w:sz w:val="24"/>
          <w:szCs w:val="24"/>
        </w:rPr>
        <w:t>May 2018.</w:t>
      </w:r>
      <w:bookmarkEnd w:id="22"/>
      <w:r w:rsidRPr="00A84A20">
        <w:rPr>
          <w:sz w:val="24"/>
          <w:szCs w:val="24"/>
        </w:rPr>
        <w:t xml:space="preserve"> See also Leder, </w:t>
      </w:r>
      <w:r w:rsidRPr="00A84A20">
        <w:rPr>
          <w:i/>
          <w:sz w:val="24"/>
          <w:szCs w:val="24"/>
        </w:rPr>
        <w:t>The Absent Body</w:t>
      </w:r>
      <w:r>
        <w:rPr>
          <w:i/>
          <w:sz w:val="24"/>
          <w:szCs w:val="24"/>
        </w:rPr>
        <w:t xml:space="preserve"> </w:t>
      </w:r>
      <w:r>
        <w:rPr>
          <w:iCs/>
          <w:sz w:val="24"/>
          <w:szCs w:val="24"/>
        </w:rPr>
        <w:t>(n 127)</w:t>
      </w:r>
      <w:r w:rsidRPr="00A84A20">
        <w:rPr>
          <w:i/>
          <w:sz w:val="24"/>
          <w:szCs w:val="24"/>
        </w:rPr>
        <w:t xml:space="preserve"> </w:t>
      </w:r>
      <w:r w:rsidRPr="00A84A20">
        <w:rPr>
          <w:sz w:val="24"/>
          <w:szCs w:val="24"/>
        </w:rPr>
        <w:t>21.</w:t>
      </w:r>
    </w:p>
  </w:footnote>
  <w:footnote w:id="133">
    <w:p w14:paraId="14B62EF4" w14:textId="77777777" w:rsidR="00997966" w:rsidRPr="00A84A20" w:rsidRDefault="00997966" w:rsidP="00997966">
      <w:pPr>
        <w:pStyle w:val="FootnoteText"/>
        <w:spacing w:line="480" w:lineRule="auto"/>
        <w:contextualSpacing/>
        <w:rPr>
          <w:sz w:val="24"/>
          <w:szCs w:val="24"/>
          <w:lang w:val="en-US"/>
        </w:rPr>
      </w:pPr>
      <w:r w:rsidRPr="00A84A20">
        <w:rPr>
          <w:rStyle w:val="FootnoteReference"/>
          <w:sz w:val="24"/>
          <w:szCs w:val="24"/>
        </w:rPr>
        <w:footnoteRef/>
      </w:r>
      <w:r w:rsidRPr="00A84A20">
        <w:rPr>
          <w:sz w:val="24"/>
          <w:szCs w:val="24"/>
        </w:rPr>
        <w:t xml:space="preserve"> </w:t>
      </w:r>
      <w:r w:rsidRPr="00A84A20">
        <w:rPr>
          <w:sz w:val="24"/>
          <w:szCs w:val="24"/>
          <w:lang w:val="en-US"/>
        </w:rPr>
        <w:t xml:space="preserve">Scarry, </w:t>
      </w:r>
      <w:r w:rsidRPr="00A84A20">
        <w:rPr>
          <w:i/>
          <w:sz w:val="24"/>
          <w:szCs w:val="24"/>
          <w:lang w:val="en-US"/>
        </w:rPr>
        <w:t>The Body in Pain</w:t>
      </w:r>
      <w:r>
        <w:rPr>
          <w:iCs/>
          <w:sz w:val="24"/>
          <w:szCs w:val="24"/>
          <w:lang w:val="en-US"/>
        </w:rPr>
        <w:t xml:space="preserve"> (n 127)</w:t>
      </w:r>
      <w:r w:rsidRPr="00A84A20">
        <w:rPr>
          <w:i/>
          <w:sz w:val="24"/>
          <w:szCs w:val="24"/>
          <w:lang w:val="en-US"/>
        </w:rPr>
        <w:t xml:space="preserve"> </w:t>
      </w:r>
      <w:r w:rsidRPr="00A84A20">
        <w:rPr>
          <w:sz w:val="24"/>
          <w:szCs w:val="24"/>
          <w:lang w:val="en-US"/>
        </w:rPr>
        <w:t xml:space="preserve">29. What makes torture </w:t>
      </w:r>
      <w:r>
        <w:rPr>
          <w:sz w:val="24"/>
          <w:szCs w:val="24"/>
          <w:lang w:val="en-US"/>
        </w:rPr>
        <w:t>‘</w:t>
      </w:r>
      <w:r w:rsidRPr="00A84A20">
        <w:rPr>
          <w:sz w:val="24"/>
          <w:szCs w:val="24"/>
          <w:lang w:val="en-US"/>
        </w:rPr>
        <w:t>world</w:t>
      </w:r>
      <w:r>
        <w:rPr>
          <w:sz w:val="24"/>
          <w:szCs w:val="24"/>
          <w:lang w:val="en-US"/>
        </w:rPr>
        <w:t>-</w:t>
      </w:r>
      <w:r w:rsidRPr="00A84A20">
        <w:rPr>
          <w:sz w:val="24"/>
          <w:szCs w:val="24"/>
          <w:lang w:val="en-US"/>
        </w:rPr>
        <w:t>destroying</w:t>
      </w:r>
      <w:r>
        <w:rPr>
          <w:sz w:val="24"/>
          <w:szCs w:val="24"/>
          <w:lang w:val="en-US"/>
        </w:rPr>
        <w:t>’</w:t>
      </w:r>
      <w:r w:rsidRPr="00A84A20">
        <w:rPr>
          <w:sz w:val="24"/>
          <w:szCs w:val="24"/>
          <w:lang w:val="en-US"/>
        </w:rPr>
        <w:t xml:space="preserve">, as Darius Rejali asserts, is not </w:t>
      </w:r>
      <w:r>
        <w:rPr>
          <w:sz w:val="24"/>
          <w:szCs w:val="24"/>
          <w:lang w:val="en-US"/>
        </w:rPr>
        <w:t>simply</w:t>
      </w:r>
      <w:r w:rsidRPr="00A84A20">
        <w:rPr>
          <w:sz w:val="24"/>
          <w:szCs w:val="24"/>
          <w:lang w:val="en-US"/>
        </w:rPr>
        <w:t xml:space="preserve"> that torture drives victims into </w:t>
      </w:r>
      <w:r>
        <w:rPr>
          <w:sz w:val="24"/>
          <w:szCs w:val="24"/>
          <w:lang w:val="en-US"/>
        </w:rPr>
        <w:t>‘</w:t>
      </w:r>
      <w:r w:rsidRPr="00A84A20">
        <w:rPr>
          <w:sz w:val="24"/>
          <w:szCs w:val="24"/>
          <w:lang w:val="en-US"/>
        </w:rPr>
        <w:t>prelinguistic silence</w:t>
      </w:r>
      <w:r>
        <w:rPr>
          <w:sz w:val="24"/>
          <w:szCs w:val="24"/>
          <w:lang w:val="en-US"/>
        </w:rPr>
        <w:t>’</w:t>
      </w:r>
      <w:r w:rsidRPr="00A84A20">
        <w:rPr>
          <w:sz w:val="24"/>
          <w:szCs w:val="24"/>
          <w:lang w:val="en-US"/>
        </w:rPr>
        <w:t xml:space="preserve">, but that such silence gives states the power to shape the ways in which both the tortured and the communities or societies to which they belong interpret and articulate their own reality. However, Rejali also argues that psychological techniques can be as effective as physical ones in such a process of unworlding, and that for some individuals pain can strengthen rather than undermine their sense of self. Rejali, </w:t>
      </w:r>
      <w:r w:rsidRPr="00A84A20">
        <w:rPr>
          <w:i/>
          <w:sz w:val="24"/>
          <w:szCs w:val="24"/>
          <w:lang w:val="en-US"/>
        </w:rPr>
        <w:t>Torture and Democracy</w:t>
      </w:r>
      <w:r>
        <w:rPr>
          <w:sz w:val="24"/>
          <w:szCs w:val="24"/>
          <w:lang w:val="en-US"/>
        </w:rPr>
        <w:t xml:space="preserve"> (n 36)</w:t>
      </w:r>
      <w:r w:rsidRPr="00A84A20">
        <w:rPr>
          <w:sz w:val="24"/>
          <w:szCs w:val="24"/>
          <w:lang w:val="en-US"/>
        </w:rPr>
        <w:t xml:space="preserve"> 441</w:t>
      </w:r>
      <w:r>
        <w:rPr>
          <w:sz w:val="24"/>
          <w:szCs w:val="24"/>
          <w:lang w:val="en-US"/>
        </w:rPr>
        <w:t>-</w:t>
      </w:r>
      <w:r w:rsidRPr="00A84A20">
        <w:rPr>
          <w:sz w:val="24"/>
          <w:szCs w:val="24"/>
          <w:lang w:val="en-US"/>
        </w:rPr>
        <w:t xml:space="preserve">42. See also Allen </w:t>
      </w:r>
      <w:bookmarkStart w:id="23" w:name="_Hlk514183705"/>
      <w:r w:rsidRPr="00A84A20">
        <w:rPr>
          <w:sz w:val="24"/>
          <w:szCs w:val="24"/>
          <w:lang w:val="en-US"/>
        </w:rPr>
        <w:t xml:space="preserve">Feldman, </w:t>
      </w:r>
      <w:r w:rsidRPr="00A84A20">
        <w:rPr>
          <w:i/>
          <w:sz w:val="24"/>
          <w:szCs w:val="24"/>
          <w:lang w:val="en-US"/>
        </w:rPr>
        <w:t xml:space="preserve">Formations of Violence </w:t>
      </w:r>
      <w:r w:rsidRPr="00A84A20">
        <w:rPr>
          <w:sz w:val="24"/>
          <w:szCs w:val="24"/>
          <w:lang w:val="en-US"/>
        </w:rPr>
        <w:t>(Chicago: Chicago University Press 1991)</w:t>
      </w:r>
      <w:bookmarkEnd w:id="23"/>
      <w:r w:rsidRPr="00A84A20">
        <w:rPr>
          <w:sz w:val="24"/>
          <w:szCs w:val="24"/>
          <w:lang w:val="en-US"/>
        </w:rPr>
        <w:t xml:space="preserve">; and Veena Das, </w:t>
      </w:r>
      <w:r>
        <w:rPr>
          <w:sz w:val="24"/>
          <w:szCs w:val="24"/>
          <w:lang w:val="en-US"/>
        </w:rPr>
        <w:t>‘</w:t>
      </w:r>
      <w:r w:rsidRPr="00A84A20">
        <w:rPr>
          <w:sz w:val="24"/>
          <w:szCs w:val="24"/>
          <w:lang w:val="en-US"/>
        </w:rPr>
        <w:t>Language and Body</w:t>
      </w:r>
      <w:r>
        <w:rPr>
          <w:sz w:val="24"/>
          <w:szCs w:val="24"/>
          <w:lang w:val="en-US"/>
        </w:rPr>
        <w:t>’ (n 127)</w:t>
      </w:r>
      <w:r w:rsidRPr="00A84A20">
        <w:rPr>
          <w:sz w:val="24"/>
          <w:szCs w:val="24"/>
          <w:lang w:val="en-US"/>
        </w:rPr>
        <w:t>.</w:t>
      </w:r>
      <w:r>
        <w:rPr>
          <w:sz w:val="24"/>
          <w:szCs w:val="24"/>
          <w:lang w:val="en-US"/>
        </w:rPr>
        <w:t xml:space="preserve"> </w:t>
      </w:r>
    </w:p>
  </w:footnote>
  <w:footnote w:id="134">
    <w:p w14:paraId="2C340309"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Ibid.</w:t>
      </w:r>
    </w:p>
  </w:footnote>
  <w:footnote w:id="135">
    <w:p w14:paraId="6265332E"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lang w:val="en-US"/>
        </w:rPr>
        <w:t xml:space="preserve"> Ibid, 23, 38. Drew Leder observes that the painful body is often experienced as something alien to the self; the sense of the body as alien can, furthermore, swell </w:t>
      </w:r>
      <w:r>
        <w:rPr>
          <w:sz w:val="24"/>
          <w:szCs w:val="24"/>
        </w:rPr>
        <w:t>‘</w:t>
      </w:r>
      <w:r w:rsidRPr="00A84A20">
        <w:rPr>
          <w:sz w:val="24"/>
          <w:szCs w:val="24"/>
        </w:rPr>
        <w:t>until it can threaten the entirety of one’s world</w:t>
      </w:r>
      <w:r>
        <w:rPr>
          <w:sz w:val="24"/>
          <w:szCs w:val="24"/>
        </w:rPr>
        <w:t>’</w:t>
      </w:r>
      <w:r w:rsidRPr="00A84A20">
        <w:rPr>
          <w:sz w:val="24"/>
          <w:szCs w:val="24"/>
        </w:rPr>
        <w:t>. But as many critics have observed, not all forms of pain (such as tattooing, piercing</w:t>
      </w:r>
      <w:r>
        <w:rPr>
          <w:sz w:val="24"/>
          <w:szCs w:val="24"/>
        </w:rPr>
        <w:t>,</w:t>
      </w:r>
      <w:r w:rsidRPr="00A84A20">
        <w:rPr>
          <w:sz w:val="24"/>
          <w:szCs w:val="24"/>
        </w:rPr>
        <w:t xml:space="preserve"> or sadomasochism) result in such subjectivit</w:t>
      </w:r>
      <w:r>
        <w:rPr>
          <w:sz w:val="24"/>
          <w:szCs w:val="24"/>
        </w:rPr>
        <w:t>y-</w:t>
      </w:r>
      <w:r w:rsidRPr="00A84A20">
        <w:rPr>
          <w:sz w:val="24"/>
          <w:szCs w:val="24"/>
        </w:rPr>
        <w:t>destroying unmaking. What makes the difference</w:t>
      </w:r>
      <w:r>
        <w:rPr>
          <w:sz w:val="24"/>
          <w:szCs w:val="24"/>
        </w:rPr>
        <w:t>, for example,</w:t>
      </w:r>
      <w:r w:rsidRPr="00A84A20">
        <w:rPr>
          <w:sz w:val="24"/>
          <w:szCs w:val="24"/>
        </w:rPr>
        <w:t xml:space="preserve"> between torture</w:t>
      </w:r>
      <w:r>
        <w:rPr>
          <w:sz w:val="24"/>
          <w:szCs w:val="24"/>
        </w:rPr>
        <w:t xml:space="preserve"> </w:t>
      </w:r>
      <w:r w:rsidRPr="00A84A20">
        <w:rPr>
          <w:sz w:val="24"/>
          <w:szCs w:val="24"/>
        </w:rPr>
        <w:t xml:space="preserve">as an act of violation versus a service that people will pay for, according to David Canter, is the different relationships that people have to their bodies. Leder, </w:t>
      </w:r>
      <w:r w:rsidRPr="00A84A20">
        <w:rPr>
          <w:i/>
          <w:sz w:val="24"/>
          <w:szCs w:val="24"/>
        </w:rPr>
        <w:t>The Absent Body</w:t>
      </w:r>
      <w:r>
        <w:rPr>
          <w:sz w:val="24"/>
          <w:szCs w:val="24"/>
        </w:rPr>
        <w:t xml:space="preserve"> (n 127)</w:t>
      </w:r>
      <w:r w:rsidRPr="00A84A20">
        <w:rPr>
          <w:sz w:val="24"/>
          <w:szCs w:val="24"/>
        </w:rPr>
        <w:t xml:space="preserve"> 83; and </w:t>
      </w:r>
      <w:bookmarkStart w:id="24" w:name="_Hlk514183744"/>
      <w:r w:rsidRPr="00A84A20">
        <w:rPr>
          <w:sz w:val="24"/>
          <w:szCs w:val="24"/>
          <w:lang w:eastAsia="en-GB"/>
        </w:rPr>
        <w:t xml:space="preserve">David Canter, </w:t>
      </w:r>
      <w:r>
        <w:rPr>
          <w:sz w:val="24"/>
          <w:szCs w:val="24"/>
          <w:lang w:eastAsia="en-GB"/>
        </w:rPr>
        <w:t>‘</w:t>
      </w:r>
      <w:r w:rsidRPr="00A84A20">
        <w:rPr>
          <w:sz w:val="24"/>
          <w:szCs w:val="24"/>
          <w:lang w:eastAsia="en-GB"/>
        </w:rPr>
        <w:t>The Violated Body</w:t>
      </w:r>
      <w:r>
        <w:rPr>
          <w:sz w:val="24"/>
          <w:szCs w:val="24"/>
          <w:lang w:eastAsia="en-GB"/>
        </w:rPr>
        <w:t>’</w:t>
      </w:r>
      <w:r w:rsidRPr="00A84A20">
        <w:rPr>
          <w:sz w:val="24"/>
          <w:szCs w:val="24"/>
          <w:lang w:eastAsia="en-GB"/>
        </w:rPr>
        <w:t xml:space="preserve">, in </w:t>
      </w:r>
      <w:r>
        <w:rPr>
          <w:sz w:val="24"/>
          <w:szCs w:val="24"/>
          <w:lang w:eastAsia="en-GB"/>
        </w:rPr>
        <w:t xml:space="preserve">Sean T. Sweeney and Ian Hodder (eds), </w:t>
      </w:r>
      <w:r w:rsidRPr="00A84A20">
        <w:rPr>
          <w:i/>
          <w:sz w:val="24"/>
          <w:szCs w:val="24"/>
          <w:lang w:eastAsia="en-GB"/>
        </w:rPr>
        <w:t xml:space="preserve">The Body </w:t>
      </w:r>
      <w:r w:rsidRPr="00A84A20">
        <w:rPr>
          <w:sz w:val="24"/>
          <w:szCs w:val="24"/>
          <w:lang w:eastAsia="en-GB"/>
        </w:rPr>
        <w:t>(Cambridge: Cambridge University Press 2002),</w:t>
      </w:r>
      <w:bookmarkEnd w:id="24"/>
      <w:r w:rsidRPr="00A84A20">
        <w:rPr>
          <w:sz w:val="24"/>
          <w:szCs w:val="24"/>
          <w:lang w:eastAsia="en-GB"/>
        </w:rPr>
        <w:t xml:space="preserve"> </w:t>
      </w:r>
      <w:r w:rsidRPr="00A84A20">
        <w:rPr>
          <w:sz w:val="24"/>
          <w:szCs w:val="24"/>
        </w:rPr>
        <w:t xml:space="preserve">61. See also Wendy </w:t>
      </w:r>
      <w:bookmarkStart w:id="25" w:name="_Hlk514183795"/>
      <w:r w:rsidRPr="00A84A20">
        <w:rPr>
          <w:sz w:val="24"/>
          <w:szCs w:val="24"/>
        </w:rPr>
        <w:t xml:space="preserve">Lee, </w:t>
      </w:r>
      <w:r>
        <w:rPr>
          <w:sz w:val="24"/>
          <w:szCs w:val="24"/>
        </w:rPr>
        <w:t>‘</w:t>
      </w:r>
      <w:r w:rsidRPr="00A84A20">
        <w:rPr>
          <w:sz w:val="24"/>
          <w:szCs w:val="24"/>
        </w:rPr>
        <w:t>On the (</w:t>
      </w:r>
      <w:r>
        <w:rPr>
          <w:sz w:val="24"/>
          <w:szCs w:val="24"/>
        </w:rPr>
        <w:t>I</w:t>
      </w:r>
      <w:r w:rsidRPr="00A84A20">
        <w:rPr>
          <w:sz w:val="24"/>
          <w:szCs w:val="24"/>
        </w:rPr>
        <w:t xml:space="preserve">m)materiality of </w:t>
      </w:r>
      <w:r>
        <w:rPr>
          <w:sz w:val="24"/>
          <w:szCs w:val="24"/>
        </w:rPr>
        <w:t>V</w:t>
      </w:r>
      <w:r w:rsidRPr="00A84A20">
        <w:rPr>
          <w:sz w:val="24"/>
          <w:szCs w:val="24"/>
        </w:rPr>
        <w:t xml:space="preserve">iolence: Subjects, </w:t>
      </w:r>
      <w:r>
        <w:rPr>
          <w:sz w:val="24"/>
          <w:szCs w:val="24"/>
        </w:rPr>
        <w:t>B</w:t>
      </w:r>
      <w:r w:rsidRPr="00A84A20">
        <w:rPr>
          <w:sz w:val="24"/>
          <w:szCs w:val="24"/>
        </w:rPr>
        <w:t xml:space="preserve">odies, and the </w:t>
      </w:r>
      <w:r>
        <w:rPr>
          <w:sz w:val="24"/>
          <w:szCs w:val="24"/>
        </w:rPr>
        <w:t>E</w:t>
      </w:r>
      <w:r w:rsidRPr="00A84A20">
        <w:rPr>
          <w:sz w:val="24"/>
          <w:szCs w:val="24"/>
        </w:rPr>
        <w:t xml:space="preserve">xperience of </w:t>
      </w:r>
      <w:r>
        <w:rPr>
          <w:sz w:val="24"/>
          <w:szCs w:val="24"/>
        </w:rPr>
        <w:t>P</w:t>
      </w:r>
      <w:r w:rsidRPr="00A84A20">
        <w:rPr>
          <w:sz w:val="24"/>
          <w:szCs w:val="24"/>
        </w:rPr>
        <w:t>ain</w:t>
      </w:r>
      <w:r>
        <w:rPr>
          <w:sz w:val="24"/>
          <w:szCs w:val="24"/>
        </w:rPr>
        <w:t>’</w:t>
      </w:r>
      <w:r w:rsidRPr="00A84A20">
        <w:rPr>
          <w:sz w:val="24"/>
          <w:szCs w:val="24"/>
        </w:rPr>
        <w:t>,</w:t>
      </w:r>
      <w:r w:rsidRPr="00A84A20">
        <w:rPr>
          <w:b/>
          <w:sz w:val="24"/>
          <w:szCs w:val="24"/>
        </w:rPr>
        <w:t xml:space="preserve"> </w:t>
      </w:r>
      <w:r w:rsidRPr="00A84A20">
        <w:rPr>
          <w:i/>
          <w:sz w:val="24"/>
          <w:szCs w:val="24"/>
        </w:rPr>
        <w:t>Feminist Theory</w:t>
      </w:r>
      <w:r w:rsidRPr="00A84A20">
        <w:rPr>
          <w:sz w:val="24"/>
          <w:szCs w:val="24"/>
        </w:rPr>
        <w:t xml:space="preserve"> 6</w:t>
      </w:r>
      <w:r>
        <w:rPr>
          <w:sz w:val="24"/>
          <w:szCs w:val="24"/>
        </w:rPr>
        <w:t>/</w:t>
      </w:r>
      <w:r w:rsidRPr="00A84A20">
        <w:rPr>
          <w:sz w:val="24"/>
          <w:szCs w:val="24"/>
        </w:rPr>
        <w:t>3 (2005)</w:t>
      </w:r>
      <w:r>
        <w:rPr>
          <w:sz w:val="24"/>
          <w:szCs w:val="24"/>
        </w:rPr>
        <w:t>,</w:t>
      </w:r>
      <w:r w:rsidRPr="00A84A20">
        <w:rPr>
          <w:sz w:val="24"/>
          <w:szCs w:val="24"/>
        </w:rPr>
        <w:t xml:space="preserve"> 277</w:t>
      </w:r>
      <w:r>
        <w:rPr>
          <w:sz w:val="24"/>
          <w:szCs w:val="24"/>
        </w:rPr>
        <w:t>-</w:t>
      </w:r>
      <w:r w:rsidRPr="00A84A20">
        <w:rPr>
          <w:sz w:val="24"/>
          <w:szCs w:val="24"/>
        </w:rPr>
        <w:t>95.</w:t>
      </w:r>
      <w:bookmarkEnd w:id="25"/>
    </w:p>
  </w:footnote>
  <w:footnote w:id="136">
    <w:p w14:paraId="5F694D6A"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Esmeir, </w:t>
      </w:r>
      <w:r w:rsidRPr="00A84A20">
        <w:rPr>
          <w:i/>
          <w:iCs/>
          <w:sz w:val="24"/>
          <w:szCs w:val="24"/>
        </w:rPr>
        <w:t>Juridical Humanity</w:t>
      </w:r>
      <w:r>
        <w:rPr>
          <w:sz w:val="24"/>
          <w:szCs w:val="24"/>
        </w:rPr>
        <w:t xml:space="preserve"> (n 36)</w:t>
      </w:r>
      <w:r w:rsidRPr="00A84A20">
        <w:rPr>
          <w:sz w:val="24"/>
          <w:szCs w:val="24"/>
        </w:rPr>
        <w:t xml:space="preserve"> 119.</w:t>
      </w:r>
    </w:p>
  </w:footnote>
  <w:footnote w:id="137">
    <w:p w14:paraId="65CBD650" w14:textId="77777777" w:rsidR="00997966" w:rsidRPr="00B45A9A" w:rsidRDefault="00997966" w:rsidP="00997966">
      <w:pPr>
        <w:pStyle w:val="FootnoteText"/>
        <w:spacing w:line="480" w:lineRule="auto"/>
        <w:rPr>
          <w:sz w:val="24"/>
          <w:szCs w:val="24"/>
          <w:lang w:val="en-US"/>
        </w:rPr>
      </w:pPr>
      <w:r w:rsidRPr="00A84A20">
        <w:rPr>
          <w:rStyle w:val="FootnoteReference"/>
          <w:sz w:val="24"/>
          <w:szCs w:val="24"/>
        </w:rPr>
        <w:footnoteRef/>
      </w:r>
      <w:r w:rsidRPr="00A84A20">
        <w:rPr>
          <w:sz w:val="24"/>
          <w:szCs w:val="24"/>
        </w:rPr>
        <w:t xml:space="preserve"> </w:t>
      </w:r>
      <w:r w:rsidRPr="00A84A20">
        <w:rPr>
          <w:sz w:val="24"/>
          <w:szCs w:val="24"/>
          <w:lang w:val="en-US"/>
        </w:rPr>
        <w:t xml:space="preserve">Scarry, </w:t>
      </w:r>
      <w:r w:rsidRPr="00A84A20">
        <w:rPr>
          <w:i/>
          <w:sz w:val="24"/>
          <w:szCs w:val="24"/>
          <w:lang w:val="en-US"/>
        </w:rPr>
        <w:t>The Body in Pain</w:t>
      </w:r>
      <w:r>
        <w:rPr>
          <w:sz w:val="24"/>
          <w:szCs w:val="24"/>
          <w:lang w:val="en-US"/>
        </w:rPr>
        <w:t xml:space="preserve"> (n 127) </w:t>
      </w:r>
      <w:r w:rsidRPr="00A84A20">
        <w:rPr>
          <w:sz w:val="24"/>
          <w:szCs w:val="24"/>
          <w:lang w:val="en-US"/>
        </w:rPr>
        <w:t>12.</w:t>
      </w:r>
      <w:r>
        <w:rPr>
          <w:sz w:val="24"/>
          <w:szCs w:val="24"/>
          <w:lang w:val="en-US"/>
        </w:rPr>
        <w:t xml:space="preserve"> </w:t>
      </w:r>
      <w:r>
        <w:rPr>
          <w:sz w:val="24"/>
          <w:szCs w:val="24"/>
        </w:rPr>
        <w:t>On the ways in which language can erase violence s</w:t>
      </w:r>
      <w:r w:rsidRPr="00B45A9A">
        <w:rPr>
          <w:sz w:val="24"/>
          <w:szCs w:val="24"/>
        </w:rPr>
        <w:t xml:space="preserve">ee also Carol Cohn, </w:t>
      </w:r>
      <w:r>
        <w:rPr>
          <w:sz w:val="24"/>
          <w:szCs w:val="24"/>
        </w:rPr>
        <w:t>‘</w:t>
      </w:r>
      <w:r w:rsidRPr="00B45A9A">
        <w:rPr>
          <w:sz w:val="24"/>
          <w:szCs w:val="24"/>
        </w:rPr>
        <w:t>Sex and Death in the Rational World of Defense Intellectuals</w:t>
      </w:r>
      <w:r>
        <w:rPr>
          <w:sz w:val="24"/>
          <w:szCs w:val="24"/>
        </w:rPr>
        <w:t>’</w:t>
      </w:r>
      <w:r w:rsidRPr="00B45A9A">
        <w:rPr>
          <w:sz w:val="24"/>
          <w:szCs w:val="24"/>
        </w:rPr>
        <w:t>,</w:t>
      </w:r>
      <w:r>
        <w:rPr>
          <w:b/>
          <w:bCs/>
          <w:sz w:val="24"/>
          <w:szCs w:val="24"/>
        </w:rPr>
        <w:t xml:space="preserve"> </w:t>
      </w:r>
      <w:r w:rsidRPr="003B4093">
        <w:rPr>
          <w:sz w:val="24"/>
          <w:szCs w:val="24"/>
        </w:rPr>
        <w:t xml:space="preserve">in Nancy </w:t>
      </w:r>
      <w:r w:rsidRPr="00967F85">
        <w:rPr>
          <w:sz w:val="24"/>
          <w:szCs w:val="24"/>
        </w:rPr>
        <w:t>Scheper</w:t>
      </w:r>
      <w:r>
        <w:rPr>
          <w:sz w:val="24"/>
          <w:szCs w:val="24"/>
        </w:rPr>
        <w:t>-</w:t>
      </w:r>
      <w:r w:rsidRPr="00967F85">
        <w:rPr>
          <w:sz w:val="24"/>
          <w:szCs w:val="24"/>
        </w:rPr>
        <w:t>Hughes and P</w:t>
      </w:r>
      <w:r>
        <w:rPr>
          <w:sz w:val="24"/>
          <w:szCs w:val="24"/>
        </w:rPr>
        <w:t>hilippe</w:t>
      </w:r>
      <w:r w:rsidRPr="00967F85">
        <w:rPr>
          <w:sz w:val="24"/>
          <w:szCs w:val="24"/>
        </w:rPr>
        <w:t xml:space="preserve"> Bourgois (eds), </w:t>
      </w:r>
      <w:r w:rsidRPr="00967F85">
        <w:rPr>
          <w:i/>
          <w:iCs/>
          <w:sz w:val="24"/>
          <w:szCs w:val="24"/>
        </w:rPr>
        <w:t xml:space="preserve">Violence in War and Peace: An Anthology </w:t>
      </w:r>
      <w:r w:rsidRPr="00967F85">
        <w:rPr>
          <w:sz w:val="24"/>
          <w:szCs w:val="24"/>
        </w:rPr>
        <w:t>(Malden, MA: Blackwell 2006), 354</w:t>
      </w:r>
      <w:r>
        <w:rPr>
          <w:sz w:val="24"/>
          <w:szCs w:val="24"/>
        </w:rPr>
        <w:t>-</w:t>
      </w:r>
      <w:r w:rsidRPr="00967F85">
        <w:rPr>
          <w:sz w:val="24"/>
          <w:szCs w:val="24"/>
        </w:rPr>
        <w:t>61</w:t>
      </w:r>
      <w:r w:rsidRPr="00B45A9A">
        <w:rPr>
          <w:sz w:val="24"/>
          <w:szCs w:val="24"/>
        </w:rPr>
        <w:t>.</w:t>
      </w:r>
    </w:p>
  </w:footnote>
  <w:footnote w:id="138">
    <w:p w14:paraId="57E9B019" w14:textId="77777777" w:rsidR="00997966" w:rsidRPr="00A84A20" w:rsidRDefault="00997966" w:rsidP="00997966">
      <w:pPr>
        <w:autoSpaceDE w:val="0"/>
        <w:autoSpaceDN w:val="0"/>
        <w:adjustRightInd w:val="0"/>
        <w:spacing w:after="0" w:line="480" w:lineRule="auto"/>
      </w:pPr>
      <w:r w:rsidRPr="00A84A20">
        <w:rPr>
          <w:rStyle w:val="FootnoteReference"/>
        </w:rPr>
        <w:footnoteRef/>
      </w:r>
      <w:r w:rsidRPr="00A84A20">
        <w:t xml:space="preserve"> </w:t>
      </w:r>
      <w:r w:rsidRPr="00A84A20">
        <w:rPr>
          <w:lang w:val="en-US"/>
        </w:rPr>
        <w:t xml:space="preserve">Wendy Brown, </w:t>
      </w:r>
      <w:r w:rsidRPr="00A84A20">
        <w:rPr>
          <w:i/>
          <w:lang w:val="en-US"/>
        </w:rPr>
        <w:t xml:space="preserve">States of Injury: Power and Freedom in Late Modernity </w:t>
      </w:r>
      <w:r w:rsidRPr="00A84A20">
        <w:rPr>
          <w:lang w:val="en-US"/>
        </w:rPr>
        <w:t>(Princeton: Princeton University Press, 1995).</w:t>
      </w:r>
    </w:p>
  </w:footnote>
  <w:footnote w:id="139">
    <w:p w14:paraId="3B15A4A5"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Coetzee, </w:t>
      </w:r>
      <w:r w:rsidRPr="00A84A20">
        <w:rPr>
          <w:i/>
          <w:iCs/>
          <w:sz w:val="24"/>
          <w:szCs w:val="24"/>
        </w:rPr>
        <w:t>Waiting for the Barbarians</w:t>
      </w:r>
      <w:r>
        <w:rPr>
          <w:sz w:val="24"/>
          <w:szCs w:val="24"/>
        </w:rPr>
        <w:t xml:space="preserve"> (n 129)</w:t>
      </w:r>
      <w:r w:rsidRPr="00A84A20">
        <w:rPr>
          <w:sz w:val="24"/>
          <w:szCs w:val="24"/>
        </w:rPr>
        <w:t xml:space="preserve"> 23; and Ahmed, </w:t>
      </w:r>
      <w:r>
        <w:rPr>
          <w:sz w:val="24"/>
          <w:szCs w:val="24"/>
        </w:rPr>
        <w:t>‘</w:t>
      </w:r>
      <w:r w:rsidRPr="00052FD8">
        <w:rPr>
          <w:sz w:val="24"/>
          <w:szCs w:val="24"/>
        </w:rPr>
        <w:t>The Contingency of Pain</w:t>
      </w:r>
      <w:r>
        <w:rPr>
          <w:sz w:val="24"/>
          <w:szCs w:val="24"/>
        </w:rPr>
        <w:t xml:space="preserve">’ (n 127) </w:t>
      </w:r>
      <w:r w:rsidRPr="00A84A20">
        <w:rPr>
          <w:sz w:val="24"/>
          <w:szCs w:val="24"/>
        </w:rPr>
        <w:t xml:space="preserve">26. This is not to suggest that all pain can or must be shared. As Veena Das reveals in the case of women who witnessed the violence unleashed by male family members during the partition of India, instead of disclosing or sharing their pain they have, instead, </w:t>
      </w:r>
      <w:r>
        <w:rPr>
          <w:sz w:val="24"/>
          <w:szCs w:val="24"/>
        </w:rPr>
        <w:t>learned</w:t>
      </w:r>
      <w:r w:rsidRPr="00A84A20">
        <w:rPr>
          <w:sz w:val="24"/>
          <w:szCs w:val="24"/>
        </w:rPr>
        <w:t xml:space="preserve"> to hold it inside in order to enable </w:t>
      </w:r>
      <w:r>
        <w:rPr>
          <w:sz w:val="24"/>
          <w:szCs w:val="24"/>
        </w:rPr>
        <w:t xml:space="preserve">their lives </w:t>
      </w:r>
      <w:r w:rsidRPr="00A84A20">
        <w:rPr>
          <w:sz w:val="24"/>
          <w:szCs w:val="24"/>
        </w:rPr>
        <w:t xml:space="preserve">to continue, which she regards as a movement that renders passivity a form of agency. Breaking such silence, Das suggests, can thus be another form of violence. Veena Das, </w:t>
      </w:r>
      <w:r>
        <w:rPr>
          <w:sz w:val="24"/>
          <w:szCs w:val="24"/>
        </w:rPr>
        <w:t>‘</w:t>
      </w:r>
      <w:r w:rsidRPr="00A84A20">
        <w:rPr>
          <w:sz w:val="24"/>
          <w:szCs w:val="24"/>
        </w:rPr>
        <w:t>Language and Body</w:t>
      </w:r>
      <w:r>
        <w:rPr>
          <w:sz w:val="24"/>
          <w:szCs w:val="24"/>
        </w:rPr>
        <w:t>’ (n 127)</w:t>
      </w:r>
      <w:r w:rsidRPr="00A84A20">
        <w:rPr>
          <w:sz w:val="24"/>
          <w:szCs w:val="24"/>
        </w:rPr>
        <w:t xml:space="preserve"> 85, 88.</w:t>
      </w:r>
    </w:p>
  </w:footnote>
  <w:footnote w:id="140">
    <w:p w14:paraId="485A278E"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Dhillon, </w:t>
      </w:r>
      <w:r w:rsidRPr="00A84A20">
        <w:rPr>
          <w:i/>
          <w:iCs/>
          <w:sz w:val="24"/>
          <w:szCs w:val="24"/>
        </w:rPr>
        <w:t>Defenders of the Establishment</w:t>
      </w:r>
      <w:r>
        <w:rPr>
          <w:sz w:val="24"/>
          <w:szCs w:val="24"/>
        </w:rPr>
        <w:t xml:space="preserve"> (n 55)</w:t>
      </w:r>
      <w:r w:rsidRPr="00A84A20">
        <w:rPr>
          <w:sz w:val="24"/>
          <w:szCs w:val="24"/>
        </w:rPr>
        <w:t xml:space="preserve"> 20.</w:t>
      </w:r>
      <w:r>
        <w:rPr>
          <w:sz w:val="24"/>
          <w:szCs w:val="24"/>
        </w:rPr>
        <w:t xml:space="preserve"> For former Indian police officer Edmund Cox t</w:t>
      </w:r>
      <w:r w:rsidRPr="001C2F22">
        <w:rPr>
          <w:sz w:val="24"/>
          <w:szCs w:val="24"/>
        </w:rPr>
        <w:t xml:space="preserve">he Police department in India </w:t>
      </w:r>
      <w:r>
        <w:rPr>
          <w:sz w:val="24"/>
          <w:szCs w:val="24"/>
        </w:rPr>
        <w:t>was no less than ‘</w:t>
      </w:r>
      <w:r w:rsidRPr="001C2F22">
        <w:rPr>
          <w:sz w:val="24"/>
          <w:szCs w:val="24"/>
        </w:rPr>
        <w:t>the very essence of our administration</w:t>
      </w:r>
      <w:r>
        <w:rPr>
          <w:sz w:val="24"/>
          <w:szCs w:val="24"/>
        </w:rPr>
        <w:t>’, since in addition to being the visible representative of the government there was ‘</w:t>
      </w:r>
      <w:r w:rsidRPr="001C2F22">
        <w:rPr>
          <w:sz w:val="24"/>
          <w:szCs w:val="24"/>
        </w:rPr>
        <w:t>no other which so much concern</w:t>
      </w:r>
      <w:r>
        <w:rPr>
          <w:sz w:val="24"/>
          <w:szCs w:val="24"/>
        </w:rPr>
        <w:t>[ed]</w:t>
      </w:r>
      <w:r w:rsidRPr="001C2F22">
        <w:rPr>
          <w:sz w:val="24"/>
          <w:szCs w:val="24"/>
        </w:rPr>
        <w:t xml:space="preserve"> the life of the people</w:t>
      </w:r>
      <w:r>
        <w:rPr>
          <w:sz w:val="24"/>
          <w:szCs w:val="24"/>
        </w:rPr>
        <w:t>’ or ‘</w:t>
      </w:r>
      <w:r w:rsidRPr="001C2F22">
        <w:rPr>
          <w:sz w:val="24"/>
          <w:szCs w:val="24"/>
        </w:rPr>
        <w:t xml:space="preserve">upon whose goodwill and uprightness </w:t>
      </w:r>
      <w:r>
        <w:rPr>
          <w:sz w:val="24"/>
          <w:szCs w:val="24"/>
        </w:rPr>
        <w:t>[their]</w:t>
      </w:r>
      <w:r w:rsidRPr="001C2F22">
        <w:rPr>
          <w:sz w:val="24"/>
          <w:szCs w:val="24"/>
        </w:rPr>
        <w:t xml:space="preserve"> happiness so greatly depend</w:t>
      </w:r>
      <w:r>
        <w:rPr>
          <w:sz w:val="24"/>
          <w:szCs w:val="24"/>
        </w:rPr>
        <w:t>[ed’</w:t>
      </w:r>
      <w:r w:rsidRPr="001C2F22">
        <w:rPr>
          <w:sz w:val="24"/>
          <w:szCs w:val="24"/>
        </w:rPr>
        <w:t>.</w:t>
      </w:r>
      <w:r>
        <w:rPr>
          <w:rStyle w:val="FootnoteReference"/>
        </w:rPr>
        <w:t xml:space="preserve"> </w:t>
      </w:r>
      <w:r w:rsidRPr="00A84A20">
        <w:rPr>
          <w:sz w:val="24"/>
          <w:szCs w:val="24"/>
        </w:rPr>
        <w:t xml:space="preserve">Sir Edmund Cox, </w:t>
      </w:r>
      <w:r w:rsidRPr="00A84A20">
        <w:rPr>
          <w:i/>
          <w:iCs/>
          <w:sz w:val="24"/>
          <w:szCs w:val="24"/>
        </w:rPr>
        <w:t>Police and Crime in India</w:t>
      </w:r>
      <w:r w:rsidRPr="00A84A20">
        <w:rPr>
          <w:sz w:val="24"/>
          <w:szCs w:val="24"/>
        </w:rPr>
        <w:t xml:space="preserve"> (</w:t>
      </w:r>
      <w:r>
        <w:rPr>
          <w:sz w:val="24"/>
          <w:szCs w:val="24"/>
        </w:rPr>
        <w:t xml:space="preserve">first published in 1910, </w:t>
      </w:r>
      <w:r w:rsidRPr="00A84A20">
        <w:rPr>
          <w:sz w:val="24"/>
          <w:szCs w:val="24"/>
        </w:rPr>
        <w:t>New Delhi: Manu Publications 1976), 7</w:t>
      </w:r>
      <w:r>
        <w:rPr>
          <w:sz w:val="24"/>
          <w:szCs w:val="24"/>
        </w:rPr>
        <w:t>.</w:t>
      </w:r>
    </w:p>
  </w:footnote>
  <w:footnote w:id="141">
    <w:p w14:paraId="45AC55B7"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w:t>
      </w:r>
      <w:r>
        <w:rPr>
          <w:sz w:val="24"/>
          <w:szCs w:val="24"/>
        </w:rPr>
        <w:t xml:space="preserve">As </w:t>
      </w:r>
      <w:r w:rsidRPr="00A84A20">
        <w:rPr>
          <w:sz w:val="24"/>
          <w:szCs w:val="24"/>
        </w:rPr>
        <w:t>Markus Dubber and Mariana Valverde</w:t>
      </w:r>
      <w:r>
        <w:rPr>
          <w:sz w:val="24"/>
          <w:szCs w:val="24"/>
        </w:rPr>
        <w:t xml:space="preserve"> note, p</w:t>
      </w:r>
      <w:r w:rsidRPr="00A84A20">
        <w:rPr>
          <w:sz w:val="24"/>
          <w:szCs w:val="24"/>
        </w:rPr>
        <w:t>olice power has</w:t>
      </w:r>
      <w:r>
        <w:rPr>
          <w:sz w:val="24"/>
          <w:szCs w:val="24"/>
        </w:rPr>
        <w:t xml:space="preserve"> </w:t>
      </w:r>
      <w:r w:rsidRPr="00A84A20">
        <w:rPr>
          <w:sz w:val="24"/>
          <w:szCs w:val="24"/>
        </w:rPr>
        <w:t xml:space="preserve">attracted considerably less attention than, for example, emergency powers, and not just in the case of colonial policing. Markus D. Dubber and Mariana Valverde, </w:t>
      </w:r>
      <w:r>
        <w:rPr>
          <w:sz w:val="24"/>
          <w:szCs w:val="24"/>
        </w:rPr>
        <w:t>‘</w:t>
      </w:r>
      <w:r w:rsidRPr="00A84A20">
        <w:rPr>
          <w:sz w:val="24"/>
          <w:szCs w:val="24"/>
        </w:rPr>
        <w:t>Introduction: Policing the Rechtsstaat</w:t>
      </w:r>
      <w:r>
        <w:rPr>
          <w:sz w:val="24"/>
          <w:szCs w:val="24"/>
        </w:rPr>
        <w:t>’</w:t>
      </w:r>
      <w:r w:rsidRPr="00A84A20">
        <w:rPr>
          <w:sz w:val="24"/>
          <w:szCs w:val="24"/>
        </w:rPr>
        <w:t>, in Markus D. and Mariana Valverde (</w:t>
      </w:r>
      <w:r>
        <w:rPr>
          <w:sz w:val="24"/>
          <w:szCs w:val="24"/>
        </w:rPr>
        <w:t>eds</w:t>
      </w:r>
      <w:r w:rsidRPr="00A84A20">
        <w:rPr>
          <w:sz w:val="24"/>
          <w:szCs w:val="24"/>
        </w:rPr>
        <w:t>)</w:t>
      </w:r>
      <w:r>
        <w:rPr>
          <w:sz w:val="24"/>
          <w:szCs w:val="24"/>
        </w:rPr>
        <w:t>,</w:t>
      </w:r>
      <w:r w:rsidRPr="00A84A20">
        <w:rPr>
          <w:sz w:val="24"/>
          <w:szCs w:val="24"/>
        </w:rPr>
        <w:t xml:space="preserve"> </w:t>
      </w:r>
      <w:r w:rsidRPr="00A84A20">
        <w:rPr>
          <w:i/>
          <w:iCs/>
          <w:sz w:val="24"/>
          <w:szCs w:val="24"/>
        </w:rPr>
        <w:t>Police and the Liberal State</w:t>
      </w:r>
      <w:r w:rsidRPr="00A84A20">
        <w:rPr>
          <w:sz w:val="24"/>
          <w:szCs w:val="24"/>
        </w:rPr>
        <w:t xml:space="preserve"> (Stanford, CA: Stanford University Press, 2008), 1. For scholarship on colonial policing see, for example, </w:t>
      </w:r>
      <w:bookmarkStart w:id="26" w:name="_Hlk49786608"/>
      <w:r w:rsidRPr="00A84A20">
        <w:rPr>
          <w:sz w:val="24"/>
          <w:szCs w:val="24"/>
        </w:rPr>
        <w:t xml:space="preserve">Charles Jeffries, </w:t>
      </w:r>
      <w:r w:rsidRPr="00A84A20">
        <w:rPr>
          <w:i/>
          <w:iCs/>
          <w:sz w:val="24"/>
          <w:szCs w:val="24"/>
        </w:rPr>
        <w:t>The Colonial Police</w:t>
      </w:r>
      <w:r w:rsidRPr="00A84A20">
        <w:rPr>
          <w:sz w:val="24"/>
          <w:szCs w:val="24"/>
        </w:rPr>
        <w:t xml:space="preserve"> (London: Max Parrish 1952); Thomas Dunlay, </w:t>
      </w:r>
      <w:r w:rsidRPr="00A84A20">
        <w:rPr>
          <w:i/>
          <w:iCs/>
          <w:sz w:val="24"/>
          <w:szCs w:val="24"/>
        </w:rPr>
        <w:t>Wolves for the Blue Soldiers: Indian Scouts and Auxiliaries with the United States Army 1860</w:t>
      </w:r>
      <w:r>
        <w:rPr>
          <w:i/>
          <w:iCs/>
          <w:sz w:val="24"/>
          <w:szCs w:val="24"/>
        </w:rPr>
        <w:t>-</w:t>
      </w:r>
      <w:r w:rsidRPr="00A84A20">
        <w:rPr>
          <w:i/>
          <w:iCs/>
          <w:sz w:val="24"/>
          <w:szCs w:val="24"/>
        </w:rPr>
        <w:t>1890</w:t>
      </w:r>
      <w:r w:rsidRPr="00A84A20">
        <w:rPr>
          <w:sz w:val="24"/>
          <w:szCs w:val="24"/>
        </w:rPr>
        <w:t xml:space="preserve"> (Lincoln: University of Nebraska Press 1982); Arnold, </w:t>
      </w:r>
      <w:r w:rsidRPr="00C50874">
        <w:rPr>
          <w:i/>
          <w:iCs/>
          <w:sz w:val="24"/>
          <w:szCs w:val="24"/>
        </w:rPr>
        <w:t>Police Power and</w:t>
      </w:r>
      <w:r w:rsidRPr="00A84A20">
        <w:rPr>
          <w:i/>
          <w:iCs/>
          <w:sz w:val="24"/>
          <w:szCs w:val="24"/>
        </w:rPr>
        <w:t xml:space="preserve"> Colonial Rule: Madras, 1859</w:t>
      </w:r>
      <w:r>
        <w:rPr>
          <w:i/>
          <w:iCs/>
          <w:sz w:val="24"/>
          <w:szCs w:val="24"/>
        </w:rPr>
        <w:t>-</w:t>
      </w:r>
      <w:r w:rsidRPr="00A84A20">
        <w:rPr>
          <w:i/>
          <w:iCs/>
          <w:sz w:val="24"/>
          <w:szCs w:val="24"/>
        </w:rPr>
        <w:t xml:space="preserve">1947 </w:t>
      </w:r>
      <w:r w:rsidRPr="00A84A20">
        <w:rPr>
          <w:sz w:val="24"/>
          <w:szCs w:val="24"/>
        </w:rPr>
        <w:t>(Delhi: Oxford University Press 1986)</w:t>
      </w:r>
      <w:r>
        <w:rPr>
          <w:sz w:val="24"/>
          <w:szCs w:val="24"/>
        </w:rPr>
        <w:t xml:space="preserve"> (hereafter Arnold, </w:t>
      </w:r>
      <w:r>
        <w:rPr>
          <w:i/>
          <w:iCs/>
          <w:sz w:val="24"/>
          <w:szCs w:val="24"/>
        </w:rPr>
        <w:t>Police Power</w:t>
      </w:r>
      <w:r>
        <w:rPr>
          <w:sz w:val="24"/>
          <w:szCs w:val="24"/>
        </w:rPr>
        <w:t>)</w:t>
      </w:r>
      <w:r w:rsidRPr="00A84A20">
        <w:rPr>
          <w:sz w:val="24"/>
          <w:szCs w:val="24"/>
        </w:rPr>
        <w:t xml:space="preserve">; Richard Hill, </w:t>
      </w:r>
      <w:r w:rsidRPr="00A84A20">
        <w:rPr>
          <w:i/>
          <w:iCs/>
          <w:sz w:val="24"/>
          <w:szCs w:val="24"/>
        </w:rPr>
        <w:t>Policing the Colonial Frontier: The Theory and Practice of Coercive Social and Racial Control in New Zealand, 1767</w:t>
      </w:r>
      <w:r>
        <w:rPr>
          <w:i/>
          <w:iCs/>
          <w:sz w:val="24"/>
          <w:szCs w:val="24"/>
        </w:rPr>
        <w:t>-</w:t>
      </w:r>
      <w:r w:rsidRPr="00A84A20">
        <w:rPr>
          <w:i/>
          <w:iCs/>
          <w:sz w:val="24"/>
          <w:szCs w:val="24"/>
        </w:rPr>
        <w:t>1867</w:t>
      </w:r>
      <w:r w:rsidRPr="00A84A20">
        <w:rPr>
          <w:sz w:val="24"/>
          <w:szCs w:val="24"/>
        </w:rPr>
        <w:t xml:space="preserve"> (Wellington: V.R. Ward 1986); Mike Brogden, </w:t>
      </w:r>
      <w:r>
        <w:rPr>
          <w:sz w:val="24"/>
          <w:szCs w:val="24"/>
        </w:rPr>
        <w:t>‘</w:t>
      </w:r>
      <w:r w:rsidRPr="00A84A20">
        <w:rPr>
          <w:sz w:val="24"/>
          <w:szCs w:val="24"/>
        </w:rPr>
        <w:t>The Emergence of the Police</w:t>
      </w:r>
      <w:r>
        <w:t>—</w:t>
      </w:r>
      <w:r w:rsidRPr="00A84A20">
        <w:rPr>
          <w:sz w:val="24"/>
          <w:szCs w:val="24"/>
        </w:rPr>
        <w:t>The Colonial Dimension</w:t>
      </w:r>
      <w:r>
        <w:rPr>
          <w:sz w:val="24"/>
          <w:szCs w:val="24"/>
        </w:rPr>
        <w:t>’</w:t>
      </w:r>
      <w:r w:rsidRPr="00A84A20">
        <w:rPr>
          <w:sz w:val="24"/>
          <w:szCs w:val="24"/>
        </w:rPr>
        <w:t xml:space="preserve">, </w:t>
      </w:r>
      <w:r w:rsidRPr="00A84A20">
        <w:rPr>
          <w:i/>
          <w:iCs/>
          <w:sz w:val="24"/>
          <w:szCs w:val="24"/>
        </w:rPr>
        <w:t>British Journal of Criminology</w:t>
      </w:r>
      <w:r w:rsidRPr="00A84A20">
        <w:rPr>
          <w:sz w:val="24"/>
          <w:szCs w:val="24"/>
        </w:rPr>
        <w:t xml:space="preserve"> 27</w:t>
      </w:r>
      <w:r>
        <w:rPr>
          <w:sz w:val="24"/>
          <w:szCs w:val="24"/>
        </w:rPr>
        <w:t>/</w:t>
      </w:r>
      <w:r w:rsidRPr="00A84A20">
        <w:rPr>
          <w:sz w:val="24"/>
          <w:szCs w:val="24"/>
        </w:rPr>
        <w:t>1 (1987)</w:t>
      </w:r>
      <w:r>
        <w:rPr>
          <w:sz w:val="24"/>
          <w:szCs w:val="24"/>
        </w:rPr>
        <w:t>,</w:t>
      </w:r>
      <w:r w:rsidRPr="00A84A20">
        <w:rPr>
          <w:sz w:val="24"/>
          <w:szCs w:val="24"/>
        </w:rPr>
        <w:t xml:space="preserve"> 4</w:t>
      </w:r>
      <w:r>
        <w:rPr>
          <w:sz w:val="24"/>
          <w:szCs w:val="24"/>
        </w:rPr>
        <w:t>-</w:t>
      </w:r>
      <w:r w:rsidRPr="00A84A20">
        <w:rPr>
          <w:sz w:val="24"/>
          <w:szCs w:val="24"/>
        </w:rPr>
        <w:t xml:space="preserve">14; Marie Fels, </w:t>
      </w:r>
      <w:r w:rsidRPr="00A84A20">
        <w:rPr>
          <w:i/>
          <w:iCs/>
          <w:sz w:val="24"/>
          <w:szCs w:val="24"/>
        </w:rPr>
        <w:t>Good Men and True: The Aboriginal Police of the Port Phillip District 1847</w:t>
      </w:r>
      <w:r>
        <w:rPr>
          <w:i/>
          <w:iCs/>
          <w:sz w:val="24"/>
          <w:szCs w:val="24"/>
        </w:rPr>
        <w:t>-</w:t>
      </w:r>
      <w:r w:rsidRPr="00A84A20">
        <w:rPr>
          <w:i/>
          <w:iCs/>
          <w:sz w:val="24"/>
          <w:szCs w:val="24"/>
        </w:rPr>
        <w:t>1853</w:t>
      </w:r>
      <w:r w:rsidRPr="00A84A20">
        <w:rPr>
          <w:sz w:val="24"/>
          <w:szCs w:val="24"/>
        </w:rPr>
        <w:t xml:space="preserve"> (Melbourne: Melbourne University Press 1988); Anthony Clayton and David Killingray, </w:t>
      </w:r>
      <w:r w:rsidRPr="00A84A20">
        <w:rPr>
          <w:i/>
          <w:iCs/>
          <w:sz w:val="24"/>
          <w:szCs w:val="24"/>
        </w:rPr>
        <w:t>Khaki and Blue:</w:t>
      </w:r>
      <w:r>
        <w:rPr>
          <w:i/>
          <w:iCs/>
          <w:sz w:val="24"/>
          <w:szCs w:val="24"/>
        </w:rPr>
        <w:t xml:space="preserve"> </w:t>
      </w:r>
      <w:r w:rsidRPr="00A84A20">
        <w:rPr>
          <w:i/>
          <w:iCs/>
          <w:sz w:val="24"/>
          <w:szCs w:val="24"/>
        </w:rPr>
        <w:t>Military and Police in British Colonial Africa</w:t>
      </w:r>
      <w:r w:rsidRPr="00A84A20">
        <w:rPr>
          <w:sz w:val="24"/>
          <w:szCs w:val="24"/>
        </w:rPr>
        <w:t xml:space="preserve"> (Athens, Ohio: Ohio University Monographs in International Studies 1989); David M. Anderson and David Killingray, </w:t>
      </w:r>
      <w:r w:rsidRPr="00A84A20">
        <w:rPr>
          <w:i/>
          <w:iCs/>
          <w:sz w:val="24"/>
          <w:szCs w:val="24"/>
        </w:rPr>
        <w:t>Policing the Empire: Government, Authority</w:t>
      </w:r>
      <w:r>
        <w:rPr>
          <w:i/>
          <w:iCs/>
          <w:sz w:val="24"/>
          <w:szCs w:val="24"/>
        </w:rPr>
        <w:t>,</w:t>
      </w:r>
      <w:r w:rsidRPr="00A84A20">
        <w:rPr>
          <w:i/>
          <w:iCs/>
          <w:sz w:val="24"/>
          <w:szCs w:val="24"/>
        </w:rPr>
        <w:t xml:space="preserve"> and Control, 1830</w:t>
      </w:r>
      <w:r>
        <w:rPr>
          <w:i/>
          <w:iCs/>
          <w:sz w:val="24"/>
          <w:szCs w:val="24"/>
        </w:rPr>
        <w:t>-</w:t>
      </w:r>
      <w:r w:rsidRPr="00A84A20">
        <w:rPr>
          <w:i/>
          <w:iCs/>
          <w:sz w:val="24"/>
          <w:szCs w:val="24"/>
        </w:rPr>
        <w:t>1940</w:t>
      </w:r>
      <w:r w:rsidRPr="00A84A20">
        <w:rPr>
          <w:sz w:val="24"/>
          <w:szCs w:val="24"/>
        </w:rPr>
        <w:t xml:space="preserve"> (Manchester and New York: Manchester University Press 1991)</w:t>
      </w:r>
      <w:r>
        <w:rPr>
          <w:sz w:val="24"/>
          <w:szCs w:val="24"/>
        </w:rPr>
        <w:t xml:space="preserve"> (hereafter Anderson and Killingray, </w:t>
      </w:r>
      <w:r>
        <w:rPr>
          <w:i/>
          <w:iCs/>
          <w:sz w:val="24"/>
          <w:szCs w:val="24"/>
        </w:rPr>
        <w:t>Policing the Empire</w:t>
      </w:r>
      <w:r>
        <w:rPr>
          <w:sz w:val="24"/>
          <w:szCs w:val="24"/>
        </w:rPr>
        <w:t>)</w:t>
      </w:r>
      <w:r w:rsidRPr="00A84A20">
        <w:rPr>
          <w:sz w:val="24"/>
          <w:szCs w:val="24"/>
        </w:rPr>
        <w:t xml:space="preserve">; Philip Terdoo Ahire, </w:t>
      </w:r>
      <w:r w:rsidRPr="00A84A20">
        <w:rPr>
          <w:i/>
          <w:iCs/>
          <w:sz w:val="24"/>
          <w:szCs w:val="24"/>
        </w:rPr>
        <w:t>Imperial Policing: The Emergence and Role of the Police in Colonial Nigeria 1860</w:t>
      </w:r>
      <w:r>
        <w:rPr>
          <w:i/>
          <w:iCs/>
          <w:sz w:val="24"/>
          <w:szCs w:val="24"/>
        </w:rPr>
        <w:t>-</w:t>
      </w:r>
      <w:r w:rsidRPr="00A84A20">
        <w:rPr>
          <w:i/>
          <w:iCs/>
          <w:sz w:val="24"/>
          <w:szCs w:val="24"/>
        </w:rPr>
        <w:t>1960</w:t>
      </w:r>
      <w:r w:rsidRPr="00A84A20">
        <w:rPr>
          <w:sz w:val="24"/>
          <w:szCs w:val="24"/>
        </w:rPr>
        <w:t xml:space="preserve"> (Milton Keynes and Philadelphia: Open U</w:t>
      </w:r>
      <w:r>
        <w:rPr>
          <w:sz w:val="24"/>
          <w:szCs w:val="24"/>
        </w:rPr>
        <w:t>niversity Press</w:t>
      </w:r>
      <w:r w:rsidRPr="00A84A20">
        <w:rPr>
          <w:sz w:val="24"/>
          <w:szCs w:val="24"/>
        </w:rPr>
        <w:t xml:space="preserve"> 1991); Georgina Sinclair, </w:t>
      </w:r>
      <w:r w:rsidRPr="00A84A20">
        <w:rPr>
          <w:i/>
          <w:iCs/>
          <w:sz w:val="24"/>
          <w:szCs w:val="24"/>
        </w:rPr>
        <w:t>At the End of the Line: Colonial Policing and the Imperial Endgame 1945</w:t>
      </w:r>
      <w:r>
        <w:rPr>
          <w:i/>
          <w:iCs/>
          <w:sz w:val="24"/>
          <w:szCs w:val="24"/>
        </w:rPr>
        <w:t>-</w:t>
      </w:r>
      <w:r w:rsidRPr="00A84A20">
        <w:rPr>
          <w:i/>
          <w:iCs/>
          <w:sz w:val="24"/>
          <w:szCs w:val="24"/>
        </w:rPr>
        <w:t>80</w:t>
      </w:r>
      <w:r w:rsidRPr="00A84A20">
        <w:rPr>
          <w:sz w:val="24"/>
          <w:szCs w:val="24"/>
        </w:rPr>
        <w:t xml:space="preserve"> (Manchester and New York:  Manchester University Press 2006)</w:t>
      </w:r>
      <w:r>
        <w:rPr>
          <w:sz w:val="24"/>
          <w:szCs w:val="24"/>
        </w:rPr>
        <w:t xml:space="preserve"> (hereafter Sinclair, </w:t>
      </w:r>
      <w:r>
        <w:rPr>
          <w:i/>
          <w:iCs/>
          <w:sz w:val="24"/>
          <w:szCs w:val="24"/>
        </w:rPr>
        <w:t>At the End of the Line</w:t>
      </w:r>
      <w:r>
        <w:rPr>
          <w:sz w:val="24"/>
          <w:szCs w:val="24"/>
        </w:rPr>
        <w:t>)</w:t>
      </w:r>
      <w:r w:rsidRPr="00A84A20">
        <w:rPr>
          <w:sz w:val="24"/>
          <w:szCs w:val="24"/>
        </w:rPr>
        <w:t xml:space="preserve">; and Thomas, </w:t>
      </w:r>
      <w:r w:rsidRPr="00A84A20">
        <w:rPr>
          <w:i/>
          <w:iCs/>
          <w:sz w:val="24"/>
          <w:szCs w:val="24"/>
        </w:rPr>
        <w:t>Violence and Colonial Order</w:t>
      </w:r>
      <w:bookmarkEnd w:id="26"/>
      <w:r>
        <w:rPr>
          <w:sz w:val="24"/>
          <w:szCs w:val="24"/>
        </w:rPr>
        <w:t xml:space="preserve"> (n 95). </w:t>
      </w:r>
    </w:p>
  </w:footnote>
  <w:footnote w:id="142">
    <w:p w14:paraId="7F61333B" w14:textId="77777777" w:rsidR="00997966" w:rsidRPr="00A84A20" w:rsidRDefault="00997966" w:rsidP="00997966">
      <w:pPr>
        <w:pStyle w:val="FootnoteText"/>
        <w:spacing w:line="480" w:lineRule="auto"/>
        <w:rPr>
          <w:b/>
          <w:bCs/>
          <w:i/>
          <w:iCs/>
          <w:sz w:val="24"/>
          <w:szCs w:val="24"/>
        </w:rPr>
      </w:pPr>
      <w:r w:rsidRPr="00A84A20">
        <w:rPr>
          <w:rStyle w:val="FootnoteReference"/>
          <w:sz w:val="24"/>
          <w:szCs w:val="24"/>
        </w:rPr>
        <w:footnoteRef/>
      </w:r>
      <w:r w:rsidRPr="00A84A20">
        <w:rPr>
          <w:sz w:val="24"/>
          <w:szCs w:val="24"/>
        </w:rPr>
        <w:t xml:space="preserve"> Notable examples include T. C. Arthur, </w:t>
      </w:r>
      <w:r w:rsidRPr="00A84A20">
        <w:rPr>
          <w:i/>
          <w:iCs/>
          <w:sz w:val="24"/>
          <w:szCs w:val="24"/>
        </w:rPr>
        <w:t xml:space="preserve">Reminiscences of an Indian Police Official </w:t>
      </w:r>
      <w:r w:rsidRPr="00A84A20">
        <w:rPr>
          <w:sz w:val="24"/>
          <w:szCs w:val="24"/>
        </w:rPr>
        <w:t xml:space="preserve">(London: Sampson, Low, Marston &amp; Company 1894); Cox, </w:t>
      </w:r>
      <w:r w:rsidRPr="00A84A20">
        <w:rPr>
          <w:i/>
          <w:iCs/>
          <w:sz w:val="24"/>
          <w:szCs w:val="24"/>
        </w:rPr>
        <w:t>Police and Crime</w:t>
      </w:r>
      <w:r>
        <w:rPr>
          <w:i/>
          <w:iCs/>
          <w:sz w:val="24"/>
          <w:szCs w:val="24"/>
        </w:rPr>
        <w:t xml:space="preserve"> </w:t>
      </w:r>
      <w:r>
        <w:rPr>
          <w:sz w:val="24"/>
          <w:szCs w:val="24"/>
        </w:rPr>
        <w:t>(n 139)</w:t>
      </w:r>
      <w:r w:rsidRPr="00A84A20">
        <w:rPr>
          <w:sz w:val="24"/>
          <w:szCs w:val="24"/>
        </w:rPr>
        <w:t xml:space="preserve">; C. E. Gouldsbury, </w:t>
      </w:r>
      <w:r w:rsidRPr="00A84A20">
        <w:rPr>
          <w:i/>
          <w:iCs/>
          <w:sz w:val="24"/>
          <w:szCs w:val="24"/>
        </w:rPr>
        <w:t>Life in the Indian Police</w:t>
      </w:r>
      <w:r w:rsidRPr="00A84A20">
        <w:rPr>
          <w:sz w:val="24"/>
          <w:szCs w:val="24"/>
        </w:rPr>
        <w:t xml:space="preserve"> (</w:t>
      </w:r>
      <w:r>
        <w:rPr>
          <w:sz w:val="24"/>
          <w:szCs w:val="24"/>
        </w:rPr>
        <w:t xml:space="preserve">first published in 1912, </w:t>
      </w:r>
      <w:r w:rsidRPr="00A84A20">
        <w:rPr>
          <w:sz w:val="24"/>
          <w:szCs w:val="24"/>
        </w:rPr>
        <w:t xml:space="preserve">New Delhi: Manu Publications 1977); J. C. Curry, </w:t>
      </w:r>
      <w:r w:rsidRPr="00A84A20">
        <w:rPr>
          <w:i/>
          <w:iCs/>
          <w:sz w:val="24"/>
          <w:szCs w:val="24"/>
        </w:rPr>
        <w:t xml:space="preserve">The Indian Police </w:t>
      </w:r>
      <w:r w:rsidRPr="00A84A20">
        <w:rPr>
          <w:sz w:val="24"/>
          <w:szCs w:val="24"/>
        </w:rPr>
        <w:t>(London: Faber and Faber 1932)</w:t>
      </w:r>
      <w:r>
        <w:rPr>
          <w:sz w:val="24"/>
          <w:szCs w:val="24"/>
        </w:rPr>
        <w:t xml:space="preserve"> (hereafter Curry, </w:t>
      </w:r>
      <w:r>
        <w:rPr>
          <w:i/>
          <w:iCs/>
          <w:sz w:val="24"/>
          <w:szCs w:val="24"/>
        </w:rPr>
        <w:t>The Indian Police</w:t>
      </w:r>
      <w:r>
        <w:rPr>
          <w:sz w:val="24"/>
          <w:szCs w:val="24"/>
        </w:rPr>
        <w:t>)</w:t>
      </w:r>
      <w:r w:rsidRPr="00A84A20">
        <w:rPr>
          <w:sz w:val="24"/>
          <w:szCs w:val="24"/>
        </w:rPr>
        <w:t xml:space="preserve">; </w:t>
      </w:r>
      <w:r w:rsidRPr="00A84A20">
        <w:rPr>
          <w:sz w:val="24"/>
          <w:szCs w:val="24"/>
          <w:shd w:val="clear" w:color="auto" w:fill="FFFFFF"/>
        </w:rPr>
        <w:t xml:space="preserve">S. T. Hollins, </w:t>
      </w:r>
      <w:r w:rsidRPr="00A84A20">
        <w:rPr>
          <w:i/>
          <w:iCs/>
          <w:sz w:val="24"/>
          <w:szCs w:val="24"/>
          <w:shd w:val="clear" w:color="auto" w:fill="FFFFFF"/>
        </w:rPr>
        <w:t>No Ten Commandments: Life in the Indian Police</w:t>
      </w:r>
      <w:r w:rsidRPr="00A84A20">
        <w:rPr>
          <w:sz w:val="24"/>
          <w:szCs w:val="24"/>
          <w:shd w:val="clear" w:color="auto" w:fill="FFFFFF"/>
        </w:rPr>
        <w:t xml:space="preserve"> (Hutchinson: London 1954); </w:t>
      </w:r>
      <w:r w:rsidRPr="00A84A20">
        <w:rPr>
          <w:sz w:val="24"/>
          <w:szCs w:val="24"/>
        </w:rPr>
        <w:t xml:space="preserve">B. N. Lahiri, </w:t>
      </w:r>
      <w:r w:rsidRPr="00A84A20">
        <w:rPr>
          <w:i/>
          <w:iCs/>
          <w:sz w:val="24"/>
          <w:szCs w:val="24"/>
        </w:rPr>
        <w:t xml:space="preserve">Leaves from A Policeman’s Diary </w:t>
      </w:r>
      <w:r w:rsidRPr="00A84A20">
        <w:rPr>
          <w:sz w:val="24"/>
          <w:szCs w:val="24"/>
        </w:rPr>
        <w:t xml:space="preserve">(Meerut: Meenakshi Prakashan 1967); Sir Percival Griffiths, </w:t>
      </w:r>
      <w:r w:rsidRPr="00A84A20">
        <w:rPr>
          <w:i/>
          <w:sz w:val="24"/>
          <w:szCs w:val="24"/>
        </w:rPr>
        <w:t>To Guard My People: The History of the Indian Police</w:t>
      </w:r>
      <w:r w:rsidRPr="00A84A20">
        <w:rPr>
          <w:sz w:val="24"/>
          <w:szCs w:val="24"/>
        </w:rPr>
        <w:t xml:space="preserve"> (London: Ernest Benn Limited)</w:t>
      </w:r>
      <w:r w:rsidRPr="00A84A20">
        <w:rPr>
          <w:sz w:val="24"/>
          <w:szCs w:val="24"/>
          <w:shd w:val="clear" w:color="auto" w:fill="FFFFFF"/>
        </w:rPr>
        <w:t xml:space="preserve">; </w:t>
      </w:r>
      <w:r>
        <w:rPr>
          <w:sz w:val="24"/>
          <w:szCs w:val="24"/>
          <w:shd w:val="clear" w:color="auto" w:fill="FFFFFF"/>
        </w:rPr>
        <w:t xml:space="preserve">B. N. Lahiri, </w:t>
      </w:r>
      <w:r w:rsidRPr="00A84A20">
        <w:rPr>
          <w:i/>
          <w:iCs/>
          <w:sz w:val="24"/>
          <w:szCs w:val="24"/>
        </w:rPr>
        <w:t>Before and After</w:t>
      </w:r>
      <w:r w:rsidRPr="00A84A20">
        <w:rPr>
          <w:sz w:val="24"/>
          <w:szCs w:val="24"/>
        </w:rPr>
        <w:t xml:space="preserve"> (Allahabad: Chugh Publications 1974)</w:t>
      </w:r>
      <w:r>
        <w:rPr>
          <w:sz w:val="24"/>
          <w:szCs w:val="24"/>
        </w:rPr>
        <w:t xml:space="preserve">; </w:t>
      </w:r>
      <w:r w:rsidRPr="00A84A20">
        <w:rPr>
          <w:rFonts w:eastAsia="Times New Roman"/>
          <w:bCs/>
          <w:spacing w:val="2"/>
          <w:sz w:val="24"/>
          <w:szCs w:val="24"/>
          <w:lang w:eastAsia="en-GB"/>
        </w:rPr>
        <w:t xml:space="preserve">Trilok Nath, </w:t>
      </w:r>
      <w:r w:rsidRPr="00A84A20">
        <w:rPr>
          <w:rFonts w:eastAsia="Times New Roman"/>
          <w:bCs/>
          <w:i/>
          <w:spacing w:val="2"/>
          <w:sz w:val="24"/>
          <w:szCs w:val="24"/>
          <w:lang w:eastAsia="en-GB"/>
        </w:rPr>
        <w:t xml:space="preserve">Forty Years of Indian Police </w:t>
      </w:r>
      <w:r w:rsidRPr="00A84A20">
        <w:rPr>
          <w:rFonts w:eastAsia="Times New Roman"/>
          <w:bCs/>
          <w:spacing w:val="2"/>
          <w:sz w:val="24"/>
          <w:szCs w:val="24"/>
          <w:lang w:eastAsia="en-GB"/>
        </w:rPr>
        <w:t xml:space="preserve">(New Delhi: Concept Publishing Company, 1981); and </w:t>
      </w:r>
      <w:r w:rsidRPr="00A84A20">
        <w:rPr>
          <w:sz w:val="24"/>
          <w:szCs w:val="24"/>
        </w:rPr>
        <w:t xml:space="preserve">Eric Stracey, </w:t>
      </w:r>
      <w:r w:rsidRPr="00A84A20">
        <w:rPr>
          <w:i/>
          <w:iCs/>
          <w:sz w:val="24"/>
          <w:szCs w:val="24"/>
        </w:rPr>
        <w:t>Odd Man In: My Years in the Indian Police</w:t>
      </w:r>
      <w:r w:rsidRPr="00A84A20">
        <w:rPr>
          <w:b/>
          <w:bCs/>
          <w:sz w:val="24"/>
          <w:szCs w:val="24"/>
        </w:rPr>
        <w:t xml:space="preserve"> </w:t>
      </w:r>
      <w:r w:rsidRPr="00A84A20">
        <w:rPr>
          <w:sz w:val="24"/>
          <w:szCs w:val="24"/>
        </w:rPr>
        <w:t>(New Delhi: Vikas Publishing House Pvt Ltd., 1981).</w:t>
      </w:r>
    </w:p>
  </w:footnote>
  <w:footnote w:id="143">
    <w:p w14:paraId="4EF751E6" w14:textId="77777777" w:rsidR="00997966" w:rsidRPr="00A84A20" w:rsidRDefault="00997966" w:rsidP="00997966">
      <w:pPr>
        <w:pStyle w:val="FootnoteText"/>
        <w:spacing w:line="480" w:lineRule="auto"/>
        <w:rPr>
          <w:bCs/>
          <w:sz w:val="24"/>
          <w:szCs w:val="24"/>
        </w:rPr>
      </w:pPr>
      <w:r w:rsidRPr="00A84A20">
        <w:rPr>
          <w:rStyle w:val="FootnoteReference"/>
          <w:sz w:val="24"/>
          <w:szCs w:val="24"/>
        </w:rPr>
        <w:footnoteRef/>
      </w:r>
      <w:r w:rsidRPr="00A84A20">
        <w:rPr>
          <w:sz w:val="24"/>
          <w:szCs w:val="24"/>
        </w:rPr>
        <w:t xml:space="preserve"> </w:t>
      </w:r>
      <w:r>
        <w:rPr>
          <w:sz w:val="24"/>
          <w:szCs w:val="24"/>
        </w:rPr>
        <w:t xml:space="preserve">See </w:t>
      </w:r>
      <w:r w:rsidRPr="00A84A20">
        <w:rPr>
          <w:bCs/>
          <w:sz w:val="24"/>
          <w:szCs w:val="24"/>
        </w:rPr>
        <w:t xml:space="preserve">N. Majumdar, </w:t>
      </w:r>
      <w:r w:rsidRPr="00A84A20">
        <w:rPr>
          <w:bCs/>
          <w:i/>
          <w:sz w:val="24"/>
          <w:szCs w:val="24"/>
        </w:rPr>
        <w:t>Justice and Police in Bengal 1765</w:t>
      </w:r>
      <w:r>
        <w:rPr>
          <w:bCs/>
          <w:i/>
          <w:sz w:val="24"/>
          <w:szCs w:val="24"/>
        </w:rPr>
        <w:t>-</w:t>
      </w:r>
      <w:r w:rsidRPr="00A84A20">
        <w:rPr>
          <w:bCs/>
          <w:i/>
          <w:sz w:val="24"/>
          <w:szCs w:val="24"/>
        </w:rPr>
        <w:t>1793: A Study of the Nizamat in Decline</w:t>
      </w:r>
      <w:r w:rsidRPr="00A84A20">
        <w:rPr>
          <w:bCs/>
          <w:sz w:val="24"/>
          <w:szCs w:val="24"/>
        </w:rPr>
        <w:t xml:space="preserve"> (Calcutta: Firma K. L. Mukhopadhyay 1960);</w:t>
      </w:r>
      <w:r w:rsidRPr="00A84A20">
        <w:rPr>
          <w:b/>
          <w:sz w:val="24"/>
          <w:szCs w:val="24"/>
        </w:rPr>
        <w:t xml:space="preserve"> </w:t>
      </w:r>
      <w:r w:rsidRPr="00A84A20">
        <w:rPr>
          <w:bCs/>
          <w:sz w:val="24"/>
          <w:szCs w:val="24"/>
        </w:rPr>
        <w:t xml:space="preserve">Anandswarup Gupta, </w:t>
      </w:r>
      <w:r w:rsidRPr="00A84A20">
        <w:rPr>
          <w:bCs/>
          <w:i/>
          <w:sz w:val="24"/>
          <w:szCs w:val="24"/>
        </w:rPr>
        <w:t xml:space="preserve">Crime and Police in India [Upto 1861] </w:t>
      </w:r>
      <w:r w:rsidRPr="00A84A20">
        <w:rPr>
          <w:bCs/>
          <w:sz w:val="24"/>
          <w:szCs w:val="24"/>
        </w:rPr>
        <w:t>(Agra: Sahitya Bhawan,1974)</w:t>
      </w:r>
      <w:r>
        <w:rPr>
          <w:bCs/>
          <w:sz w:val="24"/>
          <w:szCs w:val="24"/>
        </w:rPr>
        <w:t xml:space="preserve">; Anandswarup Gupta, </w:t>
      </w:r>
      <w:r w:rsidRPr="00A84A20">
        <w:rPr>
          <w:bCs/>
          <w:i/>
          <w:sz w:val="24"/>
          <w:szCs w:val="24"/>
        </w:rPr>
        <w:t>The Police in British India 1861</w:t>
      </w:r>
      <w:r>
        <w:rPr>
          <w:bCs/>
          <w:i/>
          <w:sz w:val="24"/>
          <w:szCs w:val="24"/>
        </w:rPr>
        <w:t>-</w:t>
      </w:r>
      <w:r w:rsidRPr="00A84A20">
        <w:rPr>
          <w:bCs/>
          <w:i/>
          <w:sz w:val="24"/>
          <w:szCs w:val="24"/>
        </w:rPr>
        <w:t xml:space="preserve">1947 </w:t>
      </w:r>
      <w:r w:rsidRPr="00A84A20">
        <w:rPr>
          <w:bCs/>
          <w:sz w:val="24"/>
          <w:szCs w:val="24"/>
        </w:rPr>
        <w:t>(New Delhi: Concept Publishing Company 1979);</w:t>
      </w:r>
      <w:r w:rsidRPr="00A84A20">
        <w:rPr>
          <w:b/>
          <w:sz w:val="24"/>
          <w:szCs w:val="24"/>
        </w:rPr>
        <w:t xml:space="preserve"> </w:t>
      </w:r>
      <w:r w:rsidRPr="00A84A20">
        <w:rPr>
          <w:bCs/>
          <w:sz w:val="24"/>
          <w:szCs w:val="24"/>
        </w:rPr>
        <w:t xml:space="preserve">J. C. Madan, </w:t>
      </w:r>
      <w:r w:rsidRPr="00A84A20">
        <w:rPr>
          <w:bCs/>
          <w:i/>
          <w:sz w:val="24"/>
          <w:szCs w:val="24"/>
        </w:rPr>
        <w:t>Indian Police: Its Development up to 1905 an Historical Analysis</w:t>
      </w:r>
      <w:r w:rsidRPr="00A84A20">
        <w:rPr>
          <w:bCs/>
          <w:sz w:val="24"/>
          <w:szCs w:val="24"/>
        </w:rPr>
        <w:t xml:space="preserve"> (New Delhi: Uppal Publishing House 1980);</w:t>
      </w:r>
      <w:r w:rsidRPr="00A84A20">
        <w:rPr>
          <w:sz w:val="24"/>
          <w:szCs w:val="24"/>
        </w:rPr>
        <w:t xml:space="preserve"> </w:t>
      </w:r>
      <w:r>
        <w:rPr>
          <w:sz w:val="24"/>
          <w:szCs w:val="24"/>
        </w:rPr>
        <w:t xml:space="preserve">S. R. </w:t>
      </w:r>
      <w:r w:rsidRPr="00A84A20">
        <w:rPr>
          <w:bCs/>
          <w:sz w:val="24"/>
          <w:szCs w:val="24"/>
        </w:rPr>
        <w:t xml:space="preserve">Kapse, </w:t>
      </w:r>
      <w:r w:rsidRPr="00A84A20">
        <w:rPr>
          <w:bCs/>
          <w:i/>
          <w:sz w:val="24"/>
          <w:szCs w:val="24"/>
        </w:rPr>
        <w:t>Police Administration in Bombay, 1600</w:t>
      </w:r>
      <w:r>
        <w:rPr>
          <w:bCs/>
          <w:i/>
          <w:sz w:val="24"/>
          <w:szCs w:val="24"/>
        </w:rPr>
        <w:t>-</w:t>
      </w:r>
      <w:r w:rsidRPr="00A84A20">
        <w:rPr>
          <w:bCs/>
          <w:i/>
          <w:sz w:val="24"/>
          <w:szCs w:val="24"/>
        </w:rPr>
        <w:t>1865</w:t>
      </w:r>
      <w:r w:rsidRPr="00A84A20">
        <w:rPr>
          <w:bCs/>
          <w:sz w:val="24"/>
          <w:szCs w:val="24"/>
        </w:rPr>
        <w:t xml:space="preserve"> (Bombay: Himalaya Publishing House 1987);</w:t>
      </w:r>
      <w:r w:rsidRPr="00A84A20">
        <w:rPr>
          <w:b/>
          <w:sz w:val="24"/>
          <w:szCs w:val="24"/>
        </w:rPr>
        <w:t xml:space="preserve"> </w:t>
      </w:r>
      <w:r w:rsidRPr="00A84A20">
        <w:rPr>
          <w:bCs/>
          <w:sz w:val="24"/>
          <w:szCs w:val="24"/>
        </w:rPr>
        <w:t xml:space="preserve">and </w:t>
      </w:r>
      <w:r w:rsidRPr="00A84A20">
        <w:rPr>
          <w:rFonts w:eastAsia="Times New Roman"/>
          <w:bCs/>
          <w:sz w:val="24"/>
          <w:szCs w:val="24"/>
          <w:lang w:eastAsia="en-GB"/>
        </w:rPr>
        <w:t xml:space="preserve">Saroj Kumar Bhowmik, </w:t>
      </w:r>
      <w:r w:rsidRPr="00A84A20">
        <w:rPr>
          <w:rFonts w:eastAsia="Times New Roman"/>
          <w:bCs/>
          <w:i/>
          <w:sz w:val="24"/>
          <w:szCs w:val="24"/>
          <w:lang w:eastAsia="en-GB"/>
        </w:rPr>
        <w:t>Rural Police, Local Justice in Bengal (1772</w:t>
      </w:r>
      <w:r>
        <w:rPr>
          <w:rFonts w:eastAsia="Times New Roman"/>
          <w:bCs/>
          <w:i/>
          <w:sz w:val="24"/>
          <w:szCs w:val="24"/>
          <w:lang w:eastAsia="en-GB"/>
        </w:rPr>
        <w:t>-</w:t>
      </w:r>
      <w:r w:rsidRPr="00A84A20">
        <w:rPr>
          <w:rFonts w:eastAsia="Times New Roman"/>
          <w:bCs/>
          <w:i/>
          <w:sz w:val="24"/>
          <w:szCs w:val="24"/>
          <w:lang w:eastAsia="en-GB"/>
        </w:rPr>
        <w:t xml:space="preserve">1870) </w:t>
      </w:r>
      <w:r w:rsidRPr="00A84A20">
        <w:rPr>
          <w:rFonts w:eastAsia="Times New Roman"/>
          <w:bCs/>
          <w:sz w:val="24"/>
          <w:szCs w:val="24"/>
          <w:lang w:eastAsia="en-GB"/>
        </w:rPr>
        <w:t>(Calcutta: Nalanda Publications 1991).</w:t>
      </w:r>
    </w:p>
  </w:footnote>
  <w:footnote w:id="144">
    <w:p w14:paraId="010DBAF4"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Arnold, </w:t>
      </w:r>
      <w:r w:rsidRPr="00A84A20">
        <w:rPr>
          <w:i/>
          <w:iCs/>
          <w:sz w:val="24"/>
          <w:szCs w:val="24"/>
        </w:rPr>
        <w:t>Police Power</w:t>
      </w:r>
      <w:r>
        <w:rPr>
          <w:i/>
          <w:iCs/>
          <w:sz w:val="24"/>
          <w:szCs w:val="24"/>
        </w:rPr>
        <w:t xml:space="preserve"> </w:t>
      </w:r>
      <w:r>
        <w:rPr>
          <w:sz w:val="24"/>
          <w:szCs w:val="24"/>
        </w:rPr>
        <w:t>(n 140)</w:t>
      </w:r>
      <w:r w:rsidRPr="00A84A20">
        <w:rPr>
          <w:sz w:val="24"/>
          <w:szCs w:val="24"/>
        </w:rPr>
        <w:t xml:space="preserve">; Ranjan Chakrabarti, </w:t>
      </w:r>
      <w:r>
        <w:rPr>
          <w:sz w:val="24"/>
          <w:szCs w:val="24"/>
        </w:rPr>
        <w:t>‘</w:t>
      </w:r>
      <w:r w:rsidRPr="00A84A20">
        <w:rPr>
          <w:sz w:val="24"/>
          <w:szCs w:val="24"/>
        </w:rPr>
        <w:t>Pax Britannica and the Nature of Police Control in Bengal c. 1800</w:t>
      </w:r>
      <w:r>
        <w:rPr>
          <w:sz w:val="24"/>
          <w:szCs w:val="24"/>
        </w:rPr>
        <w:t>-</w:t>
      </w:r>
      <w:r w:rsidRPr="00A84A20">
        <w:rPr>
          <w:sz w:val="24"/>
          <w:szCs w:val="24"/>
        </w:rPr>
        <w:t>1860</w:t>
      </w:r>
      <w:r>
        <w:rPr>
          <w:sz w:val="24"/>
          <w:szCs w:val="24"/>
        </w:rPr>
        <w:t>’</w:t>
      </w:r>
      <w:r w:rsidRPr="00A84A20">
        <w:rPr>
          <w:sz w:val="24"/>
          <w:szCs w:val="24"/>
        </w:rPr>
        <w:t xml:space="preserve">, </w:t>
      </w:r>
      <w:r w:rsidRPr="00A84A20">
        <w:rPr>
          <w:i/>
          <w:sz w:val="24"/>
          <w:szCs w:val="24"/>
        </w:rPr>
        <w:t>Bengal Past and Present</w:t>
      </w:r>
      <w:r>
        <w:rPr>
          <w:sz w:val="24"/>
          <w:szCs w:val="24"/>
        </w:rPr>
        <w:t xml:space="preserve"> </w:t>
      </w:r>
      <w:r w:rsidRPr="00A84A20">
        <w:rPr>
          <w:sz w:val="24"/>
          <w:szCs w:val="24"/>
        </w:rPr>
        <w:t>105</w:t>
      </w:r>
      <w:r>
        <w:rPr>
          <w:sz w:val="24"/>
          <w:szCs w:val="24"/>
        </w:rPr>
        <w:t>/</w:t>
      </w:r>
      <w:r w:rsidRPr="00A84A20">
        <w:rPr>
          <w:sz w:val="24"/>
          <w:szCs w:val="24"/>
        </w:rPr>
        <w:t>1</w:t>
      </w:r>
      <w:r>
        <w:rPr>
          <w:sz w:val="24"/>
          <w:szCs w:val="24"/>
        </w:rPr>
        <w:t>-</w:t>
      </w:r>
      <w:r w:rsidRPr="00A84A20">
        <w:rPr>
          <w:sz w:val="24"/>
          <w:szCs w:val="24"/>
        </w:rPr>
        <w:t>2 (1986)</w:t>
      </w:r>
      <w:r>
        <w:rPr>
          <w:sz w:val="24"/>
          <w:szCs w:val="24"/>
        </w:rPr>
        <w:t>,</w:t>
      </w:r>
      <w:r w:rsidRPr="00A84A20">
        <w:rPr>
          <w:sz w:val="24"/>
          <w:szCs w:val="24"/>
        </w:rPr>
        <w:t xml:space="preserve"> 78</w:t>
      </w:r>
      <w:r>
        <w:rPr>
          <w:sz w:val="24"/>
          <w:szCs w:val="24"/>
        </w:rPr>
        <w:t>-</w:t>
      </w:r>
      <w:r w:rsidRPr="00A84A20">
        <w:rPr>
          <w:sz w:val="24"/>
          <w:szCs w:val="24"/>
        </w:rPr>
        <w:t>99</w:t>
      </w:r>
      <w:r>
        <w:rPr>
          <w:sz w:val="24"/>
          <w:szCs w:val="24"/>
        </w:rPr>
        <w:t xml:space="preserve"> (hereafter Chakrabarti, ‘Pax Britannica’)</w:t>
      </w:r>
      <w:r w:rsidRPr="00A84A20">
        <w:rPr>
          <w:sz w:val="24"/>
          <w:szCs w:val="24"/>
        </w:rPr>
        <w:t xml:space="preserve">; Peter Robb, </w:t>
      </w:r>
      <w:r>
        <w:rPr>
          <w:sz w:val="24"/>
          <w:szCs w:val="24"/>
        </w:rPr>
        <w:t>‘</w:t>
      </w:r>
      <w:r w:rsidRPr="00A84A20">
        <w:rPr>
          <w:sz w:val="24"/>
          <w:szCs w:val="24"/>
        </w:rPr>
        <w:t>The Ordering of Rural India: The Policing of Nineteenth</w:t>
      </w:r>
      <w:r>
        <w:rPr>
          <w:sz w:val="24"/>
          <w:szCs w:val="24"/>
        </w:rPr>
        <w:t>-</w:t>
      </w:r>
      <w:r w:rsidRPr="00A84A20">
        <w:rPr>
          <w:sz w:val="24"/>
          <w:szCs w:val="24"/>
        </w:rPr>
        <w:t>Century Bengal and Bihar</w:t>
      </w:r>
      <w:r>
        <w:rPr>
          <w:sz w:val="24"/>
          <w:szCs w:val="24"/>
        </w:rPr>
        <w:t>’</w:t>
      </w:r>
      <w:r w:rsidRPr="00A84A20">
        <w:rPr>
          <w:sz w:val="24"/>
          <w:szCs w:val="24"/>
        </w:rPr>
        <w:t>, in Anderson and Killingray</w:t>
      </w:r>
      <w:r>
        <w:rPr>
          <w:sz w:val="24"/>
          <w:szCs w:val="24"/>
        </w:rPr>
        <w:t xml:space="preserve">, </w:t>
      </w:r>
      <w:r w:rsidRPr="00A84A20">
        <w:rPr>
          <w:i/>
          <w:iCs/>
          <w:sz w:val="24"/>
          <w:szCs w:val="24"/>
        </w:rPr>
        <w:t>Policing the Empire</w:t>
      </w:r>
      <w:r>
        <w:rPr>
          <w:sz w:val="24"/>
          <w:szCs w:val="24"/>
        </w:rPr>
        <w:t xml:space="preserve"> (n 140) </w:t>
      </w:r>
      <w:r w:rsidRPr="00A84A20">
        <w:rPr>
          <w:sz w:val="24"/>
          <w:szCs w:val="24"/>
        </w:rPr>
        <w:t>126</w:t>
      </w:r>
      <w:r>
        <w:rPr>
          <w:sz w:val="24"/>
          <w:szCs w:val="24"/>
        </w:rPr>
        <w:t>-</w:t>
      </w:r>
      <w:r w:rsidRPr="00A84A20">
        <w:rPr>
          <w:sz w:val="24"/>
          <w:szCs w:val="24"/>
        </w:rPr>
        <w:t>50</w:t>
      </w:r>
      <w:r>
        <w:rPr>
          <w:sz w:val="24"/>
          <w:szCs w:val="24"/>
        </w:rPr>
        <w:t xml:space="preserve"> (hereafter Robb, ‘The Ordering’)</w:t>
      </w:r>
      <w:r w:rsidRPr="00A84A20">
        <w:rPr>
          <w:sz w:val="24"/>
          <w:szCs w:val="24"/>
        </w:rPr>
        <w:t xml:space="preserve">; Dhillon, </w:t>
      </w:r>
      <w:r w:rsidRPr="00A84A20">
        <w:rPr>
          <w:i/>
          <w:iCs/>
          <w:sz w:val="24"/>
          <w:szCs w:val="24"/>
        </w:rPr>
        <w:t>Defenders of the Establishment</w:t>
      </w:r>
      <w:r>
        <w:rPr>
          <w:i/>
          <w:iCs/>
          <w:sz w:val="24"/>
          <w:szCs w:val="24"/>
        </w:rPr>
        <w:t xml:space="preserve"> </w:t>
      </w:r>
      <w:r>
        <w:rPr>
          <w:sz w:val="24"/>
          <w:szCs w:val="24"/>
        </w:rPr>
        <w:t>(n 55)</w:t>
      </w:r>
      <w:r w:rsidRPr="00A84A20">
        <w:rPr>
          <w:sz w:val="24"/>
          <w:szCs w:val="24"/>
        </w:rPr>
        <w:t xml:space="preserve">; </w:t>
      </w:r>
      <w:r>
        <w:rPr>
          <w:sz w:val="24"/>
          <w:szCs w:val="24"/>
        </w:rPr>
        <w:t xml:space="preserve">Michael Silvestri, </w:t>
      </w:r>
      <w:r w:rsidRPr="008F1994">
        <w:rPr>
          <w:sz w:val="24"/>
          <w:szCs w:val="24"/>
        </w:rPr>
        <w:t>‘”The Dirty Work of Empire”: Policing, Political Violence and Public Order in Colonial Bengal, 1905</w:t>
      </w:r>
      <w:r>
        <w:rPr>
          <w:sz w:val="24"/>
          <w:szCs w:val="24"/>
        </w:rPr>
        <w:t>-</w:t>
      </w:r>
      <w:r w:rsidRPr="008F1994">
        <w:rPr>
          <w:sz w:val="24"/>
          <w:szCs w:val="24"/>
        </w:rPr>
        <w:t>1947” (PhD Diss., Columbia University 1998)</w:t>
      </w:r>
      <w:r>
        <w:rPr>
          <w:sz w:val="24"/>
          <w:szCs w:val="24"/>
        </w:rPr>
        <w:t xml:space="preserve"> (hereafter Silvestri, ‘”The Dirty Work”’)</w:t>
      </w:r>
      <w:r w:rsidRPr="00A84A20">
        <w:rPr>
          <w:sz w:val="24"/>
          <w:szCs w:val="24"/>
        </w:rPr>
        <w:t xml:space="preserve">; Clea T. Finkle, </w:t>
      </w:r>
      <w:r>
        <w:rPr>
          <w:sz w:val="24"/>
          <w:szCs w:val="24"/>
        </w:rPr>
        <w:t>‘</w:t>
      </w:r>
      <w:r w:rsidRPr="00A84A20">
        <w:rPr>
          <w:sz w:val="24"/>
          <w:szCs w:val="24"/>
        </w:rPr>
        <w:t>State, Power, and Police in Colonial North India</w:t>
      </w:r>
      <w:r>
        <w:rPr>
          <w:sz w:val="24"/>
          <w:szCs w:val="24"/>
        </w:rPr>
        <w:t>’ (</w:t>
      </w:r>
      <w:r w:rsidRPr="00A84A20">
        <w:rPr>
          <w:sz w:val="24"/>
          <w:szCs w:val="24"/>
        </w:rPr>
        <w:t>PhD. Diss., University of Washington 1999</w:t>
      </w:r>
      <w:r>
        <w:rPr>
          <w:sz w:val="24"/>
          <w:szCs w:val="24"/>
        </w:rPr>
        <w:t>) (hereafter Finkle, ‘State, Power, and Police’)</w:t>
      </w:r>
      <w:r w:rsidRPr="00A84A20">
        <w:rPr>
          <w:sz w:val="24"/>
          <w:szCs w:val="24"/>
        </w:rPr>
        <w:t xml:space="preserve">; Arvind Verma, </w:t>
      </w:r>
      <w:r>
        <w:rPr>
          <w:sz w:val="24"/>
          <w:szCs w:val="24"/>
        </w:rPr>
        <w:t>‘</w:t>
      </w:r>
      <w:r w:rsidRPr="00A84A20">
        <w:rPr>
          <w:sz w:val="24"/>
          <w:szCs w:val="24"/>
        </w:rPr>
        <w:t>Consolidation of the Raj: Notes from a Police Station in British India, 1865</w:t>
      </w:r>
      <w:r>
        <w:rPr>
          <w:sz w:val="24"/>
          <w:szCs w:val="24"/>
        </w:rPr>
        <w:t>-</w:t>
      </w:r>
      <w:r w:rsidRPr="00A84A20">
        <w:rPr>
          <w:sz w:val="24"/>
          <w:szCs w:val="24"/>
        </w:rPr>
        <w:t>1928</w:t>
      </w:r>
      <w:r>
        <w:rPr>
          <w:sz w:val="24"/>
          <w:szCs w:val="24"/>
        </w:rPr>
        <w:t>’</w:t>
      </w:r>
      <w:r w:rsidRPr="00A84A20">
        <w:rPr>
          <w:sz w:val="24"/>
          <w:szCs w:val="24"/>
        </w:rPr>
        <w:t xml:space="preserve">, </w:t>
      </w:r>
      <w:r w:rsidRPr="00A84A20">
        <w:rPr>
          <w:bCs/>
          <w:i/>
          <w:sz w:val="24"/>
          <w:szCs w:val="24"/>
        </w:rPr>
        <w:t>Criminal Justice History</w:t>
      </w:r>
      <w:r w:rsidRPr="00A84A20">
        <w:rPr>
          <w:bCs/>
          <w:sz w:val="24"/>
          <w:szCs w:val="24"/>
        </w:rPr>
        <w:t xml:space="preserve"> 17 (2002)</w:t>
      </w:r>
      <w:r>
        <w:rPr>
          <w:bCs/>
          <w:sz w:val="24"/>
          <w:szCs w:val="24"/>
        </w:rPr>
        <w:t xml:space="preserve">, </w:t>
      </w:r>
      <w:r w:rsidRPr="00A84A20">
        <w:rPr>
          <w:bCs/>
          <w:sz w:val="24"/>
          <w:szCs w:val="24"/>
        </w:rPr>
        <w:t>109</w:t>
      </w:r>
      <w:r>
        <w:rPr>
          <w:bCs/>
          <w:sz w:val="24"/>
          <w:szCs w:val="24"/>
        </w:rPr>
        <w:t>-</w:t>
      </w:r>
      <w:r w:rsidRPr="00A84A20">
        <w:rPr>
          <w:bCs/>
          <w:sz w:val="24"/>
          <w:szCs w:val="24"/>
        </w:rPr>
        <w:t>32</w:t>
      </w:r>
      <w:r w:rsidRPr="00A84A20">
        <w:rPr>
          <w:sz w:val="24"/>
          <w:szCs w:val="24"/>
        </w:rPr>
        <w:t xml:space="preserve">; Arnaud </w:t>
      </w:r>
      <w:bookmarkStart w:id="27" w:name="_Hlk40445708"/>
      <w:r w:rsidRPr="00A84A20">
        <w:rPr>
          <w:sz w:val="24"/>
          <w:szCs w:val="24"/>
        </w:rPr>
        <w:t xml:space="preserve">Sauli, </w:t>
      </w:r>
      <w:r>
        <w:rPr>
          <w:sz w:val="24"/>
          <w:szCs w:val="24"/>
        </w:rPr>
        <w:t>‘</w:t>
      </w:r>
      <w:r w:rsidRPr="00A84A20">
        <w:rPr>
          <w:sz w:val="24"/>
          <w:szCs w:val="24"/>
        </w:rPr>
        <w:t>Circulation and Authority</w:t>
      </w:r>
      <w:bookmarkEnd w:id="27"/>
      <w:r w:rsidRPr="00A84A20">
        <w:rPr>
          <w:sz w:val="24"/>
          <w:szCs w:val="24"/>
        </w:rPr>
        <w:t>: Police, Public Space and Territorial Control in Punjab, 1861</w:t>
      </w:r>
      <w:r>
        <w:rPr>
          <w:sz w:val="24"/>
          <w:szCs w:val="24"/>
        </w:rPr>
        <w:t>-</w:t>
      </w:r>
      <w:r w:rsidRPr="00A84A20">
        <w:rPr>
          <w:sz w:val="24"/>
          <w:szCs w:val="24"/>
        </w:rPr>
        <w:t>1920</w:t>
      </w:r>
      <w:r>
        <w:rPr>
          <w:sz w:val="24"/>
          <w:szCs w:val="24"/>
        </w:rPr>
        <w:t>’</w:t>
      </w:r>
      <w:r w:rsidRPr="00A84A20">
        <w:rPr>
          <w:sz w:val="24"/>
          <w:szCs w:val="24"/>
        </w:rPr>
        <w:t>, in Claude Markovits, Jacques Pouchepadass</w:t>
      </w:r>
      <w:r>
        <w:rPr>
          <w:sz w:val="24"/>
          <w:szCs w:val="24"/>
        </w:rPr>
        <w:t>,</w:t>
      </w:r>
      <w:r w:rsidRPr="00A84A20">
        <w:rPr>
          <w:sz w:val="24"/>
          <w:szCs w:val="24"/>
        </w:rPr>
        <w:t xml:space="preserve"> and Sanjay Subrahmanyam (eds), </w:t>
      </w:r>
      <w:r w:rsidRPr="00A84A20">
        <w:rPr>
          <w:i/>
          <w:iCs/>
          <w:sz w:val="24"/>
          <w:szCs w:val="24"/>
        </w:rPr>
        <w:t>Society and Circulation: Mobile People and Itinerant Cultures in South Asia, 1750</w:t>
      </w:r>
      <w:r>
        <w:rPr>
          <w:i/>
          <w:iCs/>
          <w:sz w:val="24"/>
          <w:szCs w:val="24"/>
        </w:rPr>
        <w:t>-</w:t>
      </w:r>
      <w:r w:rsidRPr="00A84A20">
        <w:rPr>
          <w:i/>
          <w:iCs/>
          <w:sz w:val="24"/>
          <w:szCs w:val="24"/>
        </w:rPr>
        <w:t xml:space="preserve">1950 </w:t>
      </w:r>
      <w:r w:rsidRPr="00A84A20">
        <w:rPr>
          <w:sz w:val="24"/>
          <w:szCs w:val="24"/>
        </w:rPr>
        <w:t>(Delhi: Permanent Black 2003), 215</w:t>
      </w:r>
      <w:r>
        <w:rPr>
          <w:sz w:val="24"/>
          <w:szCs w:val="24"/>
        </w:rPr>
        <w:t>-</w:t>
      </w:r>
      <w:r w:rsidRPr="00A84A20">
        <w:rPr>
          <w:sz w:val="24"/>
          <w:szCs w:val="24"/>
        </w:rPr>
        <w:t xml:space="preserve">74; and </w:t>
      </w:r>
      <w:r w:rsidRPr="00A84A20">
        <w:rPr>
          <w:bCs/>
          <w:sz w:val="24"/>
          <w:szCs w:val="24"/>
        </w:rPr>
        <w:t xml:space="preserve">T. K. Vinod Kumar and Arvind Verma, </w:t>
      </w:r>
      <w:r>
        <w:rPr>
          <w:bCs/>
          <w:sz w:val="24"/>
          <w:szCs w:val="24"/>
        </w:rPr>
        <w:t>‘</w:t>
      </w:r>
      <w:r w:rsidRPr="00A84A20">
        <w:rPr>
          <w:bCs/>
          <w:sz w:val="24"/>
          <w:szCs w:val="24"/>
        </w:rPr>
        <w:t>Hegemony, Discipline and Control in the Administration of Police in Colonial India</w:t>
      </w:r>
      <w:r>
        <w:rPr>
          <w:bCs/>
          <w:sz w:val="24"/>
          <w:szCs w:val="24"/>
        </w:rPr>
        <w:t>’</w:t>
      </w:r>
      <w:r w:rsidRPr="00A84A20">
        <w:rPr>
          <w:bCs/>
          <w:sz w:val="24"/>
          <w:szCs w:val="24"/>
        </w:rPr>
        <w:t xml:space="preserve">, </w:t>
      </w:r>
      <w:r w:rsidRPr="00A84A20">
        <w:rPr>
          <w:bCs/>
          <w:i/>
          <w:sz w:val="24"/>
          <w:szCs w:val="24"/>
        </w:rPr>
        <w:t>Asian Criminology</w:t>
      </w:r>
      <w:r w:rsidRPr="00A84A20">
        <w:rPr>
          <w:bCs/>
          <w:sz w:val="24"/>
          <w:szCs w:val="24"/>
        </w:rPr>
        <w:t xml:space="preserve"> 4 (2009)</w:t>
      </w:r>
      <w:r>
        <w:rPr>
          <w:bCs/>
          <w:sz w:val="24"/>
          <w:szCs w:val="24"/>
        </w:rPr>
        <w:t>,</w:t>
      </w:r>
      <w:r w:rsidRPr="00A84A20">
        <w:rPr>
          <w:bCs/>
          <w:sz w:val="24"/>
          <w:szCs w:val="24"/>
        </w:rPr>
        <w:t xml:space="preserve"> 61</w:t>
      </w:r>
      <w:r>
        <w:rPr>
          <w:bCs/>
          <w:sz w:val="24"/>
          <w:szCs w:val="24"/>
        </w:rPr>
        <w:t>-</w:t>
      </w:r>
      <w:r w:rsidRPr="00A84A20">
        <w:rPr>
          <w:bCs/>
          <w:sz w:val="24"/>
          <w:szCs w:val="24"/>
        </w:rPr>
        <w:t>78</w:t>
      </w:r>
      <w:r>
        <w:rPr>
          <w:bCs/>
          <w:sz w:val="24"/>
          <w:szCs w:val="24"/>
        </w:rPr>
        <w:t xml:space="preserve"> (hereafter Kumar and Verma, ‘Hegemony, Discipline and Control’).</w:t>
      </w:r>
      <w:r w:rsidRPr="00A84A20">
        <w:rPr>
          <w:sz w:val="24"/>
          <w:szCs w:val="24"/>
        </w:rPr>
        <w:t xml:space="preserve"> </w:t>
      </w:r>
      <w:r>
        <w:rPr>
          <w:sz w:val="24"/>
          <w:szCs w:val="24"/>
        </w:rPr>
        <w:t xml:space="preserve"> </w:t>
      </w:r>
    </w:p>
  </w:footnote>
  <w:footnote w:id="145">
    <w:p w14:paraId="06C9C051"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David Arnold</w:t>
      </w:r>
      <w:bookmarkStart w:id="28" w:name="_Hlk40444089"/>
      <w:r w:rsidRPr="00A84A20">
        <w:rPr>
          <w:sz w:val="24"/>
          <w:szCs w:val="24"/>
        </w:rPr>
        <w:t xml:space="preserve">, </w:t>
      </w:r>
      <w:r>
        <w:rPr>
          <w:sz w:val="24"/>
          <w:szCs w:val="24"/>
        </w:rPr>
        <w:t>‘</w:t>
      </w:r>
      <w:r w:rsidRPr="00A84A20">
        <w:rPr>
          <w:sz w:val="24"/>
          <w:szCs w:val="24"/>
        </w:rPr>
        <w:t>Police Power and the Demise of British Rule in India, 1930</w:t>
      </w:r>
      <w:r>
        <w:rPr>
          <w:sz w:val="24"/>
          <w:szCs w:val="24"/>
        </w:rPr>
        <w:t>-</w:t>
      </w:r>
      <w:r w:rsidRPr="00A84A20">
        <w:rPr>
          <w:sz w:val="24"/>
          <w:szCs w:val="24"/>
        </w:rPr>
        <w:t>47</w:t>
      </w:r>
      <w:r>
        <w:rPr>
          <w:sz w:val="24"/>
          <w:szCs w:val="24"/>
        </w:rPr>
        <w:t>’</w:t>
      </w:r>
      <w:r w:rsidRPr="00A84A20">
        <w:rPr>
          <w:sz w:val="24"/>
          <w:szCs w:val="24"/>
        </w:rPr>
        <w:t>,</w:t>
      </w:r>
      <w:r w:rsidRPr="00A84A20">
        <w:rPr>
          <w:b/>
          <w:bCs/>
          <w:sz w:val="24"/>
          <w:szCs w:val="24"/>
        </w:rPr>
        <w:t xml:space="preserve"> </w:t>
      </w:r>
      <w:r w:rsidRPr="00A84A20">
        <w:rPr>
          <w:sz w:val="24"/>
          <w:szCs w:val="24"/>
        </w:rPr>
        <w:t xml:space="preserve">in David M. Anderson and David Killingray (eds), </w:t>
      </w:r>
      <w:r w:rsidRPr="00A84A20">
        <w:rPr>
          <w:i/>
          <w:iCs/>
          <w:sz w:val="24"/>
          <w:szCs w:val="24"/>
        </w:rPr>
        <w:t>Policing and Decolonisation: Politics, Nationalism and the Police 1917</w:t>
      </w:r>
      <w:r>
        <w:rPr>
          <w:i/>
          <w:iCs/>
          <w:sz w:val="24"/>
          <w:szCs w:val="24"/>
        </w:rPr>
        <w:t>-</w:t>
      </w:r>
      <w:r w:rsidRPr="00A84A20">
        <w:rPr>
          <w:i/>
          <w:iCs/>
          <w:sz w:val="24"/>
          <w:szCs w:val="24"/>
        </w:rPr>
        <w:t>65</w:t>
      </w:r>
      <w:r w:rsidRPr="00A84A20">
        <w:rPr>
          <w:sz w:val="24"/>
          <w:szCs w:val="24"/>
        </w:rPr>
        <w:t xml:space="preserve"> (Manchester and New York: Manchester University Press 1992), 42</w:t>
      </w:r>
      <w:r>
        <w:rPr>
          <w:sz w:val="24"/>
          <w:szCs w:val="24"/>
        </w:rPr>
        <w:t>-</w:t>
      </w:r>
      <w:r w:rsidRPr="00A84A20">
        <w:rPr>
          <w:sz w:val="24"/>
          <w:szCs w:val="24"/>
        </w:rPr>
        <w:t>61</w:t>
      </w:r>
      <w:bookmarkEnd w:id="28"/>
      <w:r w:rsidRPr="00A84A20">
        <w:rPr>
          <w:sz w:val="24"/>
          <w:szCs w:val="24"/>
        </w:rPr>
        <w:t xml:space="preserve">; Sinclair, </w:t>
      </w:r>
      <w:r w:rsidRPr="00A84A20">
        <w:rPr>
          <w:i/>
          <w:iCs/>
          <w:sz w:val="24"/>
          <w:szCs w:val="24"/>
        </w:rPr>
        <w:t>At the End of the Line</w:t>
      </w:r>
      <w:r>
        <w:rPr>
          <w:i/>
          <w:iCs/>
          <w:sz w:val="24"/>
          <w:szCs w:val="24"/>
        </w:rPr>
        <w:t xml:space="preserve"> </w:t>
      </w:r>
      <w:r>
        <w:rPr>
          <w:sz w:val="24"/>
          <w:szCs w:val="24"/>
        </w:rPr>
        <w:t>(n 140)</w:t>
      </w:r>
      <w:r w:rsidRPr="00A84A20">
        <w:rPr>
          <w:i/>
          <w:iCs/>
          <w:sz w:val="24"/>
          <w:szCs w:val="24"/>
        </w:rPr>
        <w:t xml:space="preserve">; </w:t>
      </w:r>
      <w:r w:rsidRPr="00A84A20">
        <w:rPr>
          <w:sz w:val="24"/>
          <w:szCs w:val="24"/>
        </w:rPr>
        <w:t xml:space="preserve">and </w:t>
      </w:r>
      <w:r w:rsidRPr="00A84A20">
        <w:rPr>
          <w:bCs/>
          <w:iCs/>
          <w:sz w:val="24"/>
          <w:szCs w:val="24"/>
        </w:rPr>
        <w:t xml:space="preserve">Mahmood Farooqui, </w:t>
      </w:r>
      <w:r>
        <w:rPr>
          <w:sz w:val="24"/>
          <w:szCs w:val="24"/>
        </w:rPr>
        <w:t>‘</w:t>
      </w:r>
      <w:r w:rsidRPr="00A84A20">
        <w:rPr>
          <w:sz w:val="24"/>
          <w:szCs w:val="24"/>
        </w:rPr>
        <w:t>The Police in Delhi in 1857</w:t>
      </w:r>
      <w:r>
        <w:rPr>
          <w:sz w:val="24"/>
          <w:szCs w:val="24"/>
        </w:rPr>
        <w:t>’</w:t>
      </w:r>
      <w:r w:rsidRPr="00A84A20">
        <w:rPr>
          <w:sz w:val="24"/>
          <w:szCs w:val="24"/>
        </w:rPr>
        <w:t>,</w:t>
      </w:r>
      <w:r w:rsidRPr="00A84A20">
        <w:rPr>
          <w:b/>
          <w:bCs/>
          <w:sz w:val="24"/>
          <w:szCs w:val="24"/>
        </w:rPr>
        <w:t xml:space="preserve"> </w:t>
      </w:r>
      <w:r w:rsidRPr="00A84A20">
        <w:rPr>
          <w:sz w:val="24"/>
          <w:szCs w:val="24"/>
        </w:rPr>
        <w:t xml:space="preserve">in Crispin Bates (ed.), </w:t>
      </w:r>
      <w:r w:rsidRPr="00A84A20">
        <w:rPr>
          <w:i/>
          <w:iCs/>
          <w:sz w:val="24"/>
          <w:szCs w:val="24"/>
        </w:rPr>
        <w:t xml:space="preserve">Mutiny at the Margins: New Perspectives on the Indian Uprising of 1857, </w:t>
      </w:r>
      <w:r w:rsidRPr="00A84A20">
        <w:rPr>
          <w:sz w:val="24"/>
          <w:szCs w:val="24"/>
        </w:rPr>
        <w:t xml:space="preserve">Vol. 1: </w:t>
      </w:r>
      <w:r w:rsidRPr="00A84A20">
        <w:rPr>
          <w:i/>
          <w:iCs/>
          <w:sz w:val="24"/>
          <w:szCs w:val="24"/>
        </w:rPr>
        <w:t>Anticipations and Experiences in the Locality</w:t>
      </w:r>
      <w:r w:rsidRPr="00A84A20">
        <w:rPr>
          <w:sz w:val="24"/>
          <w:szCs w:val="24"/>
        </w:rPr>
        <w:t xml:space="preserve"> (New Dehi: Sage Publications 2013), 98</w:t>
      </w:r>
      <w:r>
        <w:rPr>
          <w:sz w:val="24"/>
          <w:szCs w:val="24"/>
        </w:rPr>
        <w:t>-</w:t>
      </w:r>
      <w:r w:rsidRPr="00A84A20">
        <w:rPr>
          <w:sz w:val="24"/>
          <w:szCs w:val="24"/>
        </w:rPr>
        <w:t>119.</w:t>
      </w:r>
      <w:r w:rsidRPr="00A84A20">
        <w:rPr>
          <w:i/>
          <w:iCs/>
          <w:sz w:val="24"/>
          <w:szCs w:val="24"/>
        </w:rPr>
        <w:t xml:space="preserve"> </w:t>
      </w:r>
    </w:p>
  </w:footnote>
  <w:footnote w:id="146">
    <w:p w14:paraId="04E39436"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David A. Campion, </w:t>
      </w:r>
      <w:r>
        <w:rPr>
          <w:color w:val="000000" w:themeColor="text1"/>
          <w:sz w:val="24"/>
          <w:szCs w:val="24"/>
        </w:rPr>
        <w:t>‘</w:t>
      </w:r>
      <w:r w:rsidRPr="00A84A20">
        <w:rPr>
          <w:color w:val="000000" w:themeColor="text1"/>
          <w:sz w:val="24"/>
          <w:szCs w:val="24"/>
        </w:rPr>
        <w:t>Watchmen of the Raj: The United Provinces Police, 1870</w:t>
      </w:r>
      <w:r>
        <w:rPr>
          <w:color w:val="000000" w:themeColor="text1"/>
          <w:sz w:val="24"/>
          <w:szCs w:val="24"/>
        </w:rPr>
        <w:t>-</w:t>
      </w:r>
      <w:r w:rsidRPr="00A84A20">
        <w:rPr>
          <w:color w:val="000000" w:themeColor="text1"/>
          <w:sz w:val="24"/>
          <w:szCs w:val="24"/>
        </w:rPr>
        <w:t>1931 and the Dilemmas of Colonial Policing in British India</w:t>
      </w:r>
      <w:r>
        <w:rPr>
          <w:color w:val="000000" w:themeColor="text1"/>
          <w:sz w:val="24"/>
          <w:szCs w:val="24"/>
        </w:rPr>
        <w:t>’ (</w:t>
      </w:r>
      <w:r w:rsidRPr="00A84A20">
        <w:rPr>
          <w:color w:val="000000" w:themeColor="text1"/>
          <w:sz w:val="24"/>
          <w:szCs w:val="24"/>
        </w:rPr>
        <w:t>PhD</w:t>
      </w:r>
      <w:r>
        <w:rPr>
          <w:color w:val="000000" w:themeColor="text1"/>
          <w:sz w:val="24"/>
          <w:szCs w:val="24"/>
        </w:rPr>
        <w:t xml:space="preserve"> Diss.</w:t>
      </w:r>
      <w:r w:rsidRPr="00A84A20">
        <w:rPr>
          <w:color w:val="000000" w:themeColor="text1"/>
          <w:sz w:val="24"/>
          <w:szCs w:val="24"/>
        </w:rPr>
        <w:t>, University of Virginia 2002</w:t>
      </w:r>
      <w:r>
        <w:rPr>
          <w:color w:val="000000" w:themeColor="text1"/>
          <w:sz w:val="24"/>
          <w:szCs w:val="24"/>
        </w:rPr>
        <w:t>) (hereafter Campion, ‘Watchmen of the Raj’)</w:t>
      </w:r>
      <w:r>
        <w:rPr>
          <w:sz w:val="24"/>
          <w:szCs w:val="24"/>
        </w:rPr>
        <w:t>; David A. Campion,</w:t>
      </w:r>
      <w:r w:rsidRPr="00A84A20">
        <w:rPr>
          <w:sz w:val="24"/>
          <w:szCs w:val="24"/>
        </w:rPr>
        <w:t xml:space="preserve"> </w:t>
      </w:r>
      <w:r>
        <w:rPr>
          <w:sz w:val="24"/>
          <w:szCs w:val="24"/>
        </w:rPr>
        <w:t>‘</w:t>
      </w:r>
      <w:r w:rsidRPr="00A84A20">
        <w:rPr>
          <w:sz w:val="24"/>
          <w:szCs w:val="24"/>
        </w:rPr>
        <w:t xml:space="preserve">Authority, Accountability and Representation: </w:t>
      </w:r>
      <w:r>
        <w:rPr>
          <w:sz w:val="24"/>
          <w:szCs w:val="24"/>
        </w:rPr>
        <w:t>T</w:t>
      </w:r>
      <w:r w:rsidRPr="00A84A20">
        <w:rPr>
          <w:sz w:val="24"/>
          <w:szCs w:val="24"/>
        </w:rPr>
        <w:t xml:space="preserve">he United Provinces </w:t>
      </w:r>
      <w:r>
        <w:rPr>
          <w:sz w:val="24"/>
          <w:szCs w:val="24"/>
        </w:rPr>
        <w:t>P</w:t>
      </w:r>
      <w:r w:rsidRPr="00A84A20">
        <w:rPr>
          <w:sz w:val="24"/>
          <w:szCs w:val="24"/>
        </w:rPr>
        <w:t xml:space="preserve">olice and the </w:t>
      </w:r>
      <w:r>
        <w:rPr>
          <w:sz w:val="24"/>
          <w:szCs w:val="24"/>
        </w:rPr>
        <w:t>D</w:t>
      </w:r>
      <w:r w:rsidRPr="00A84A20">
        <w:rPr>
          <w:sz w:val="24"/>
          <w:szCs w:val="24"/>
        </w:rPr>
        <w:t xml:space="preserve">ilemmas of the </w:t>
      </w:r>
      <w:r>
        <w:rPr>
          <w:sz w:val="24"/>
          <w:szCs w:val="24"/>
        </w:rPr>
        <w:t>C</w:t>
      </w:r>
      <w:r w:rsidRPr="00A84A20">
        <w:rPr>
          <w:sz w:val="24"/>
          <w:szCs w:val="24"/>
        </w:rPr>
        <w:t xml:space="preserve">olonial </w:t>
      </w:r>
      <w:r>
        <w:rPr>
          <w:sz w:val="24"/>
          <w:szCs w:val="24"/>
        </w:rPr>
        <w:t>P</w:t>
      </w:r>
      <w:r w:rsidRPr="00A84A20">
        <w:rPr>
          <w:sz w:val="24"/>
          <w:szCs w:val="24"/>
        </w:rPr>
        <w:t>oliceman in British India, 1902</w:t>
      </w:r>
      <w:r>
        <w:rPr>
          <w:sz w:val="24"/>
          <w:szCs w:val="24"/>
        </w:rPr>
        <w:t>-</w:t>
      </w:r>
      <w:r w:rsidRPr="00A84A20">
        <w:rPr>
          <w:sz w:val="24"/>
          <w:szCs w:val="24"/>
        </w:rPr>
        <w:t>39</w:t>
      </w:r>
      <w:r>
        <w:rPr>
          <w:sz w:val="24"/>
          <w:szCs w:val="24"/>
        </w:rPr>
        <w:t>’</w:t>
      </w:r>
      <w:r w:rsidRPr="00A84A20">
        <w:rPr>
          <w:sz w:val="24"/>
          <w:szCs w:val="24"/>
        </w:rPr>
        <w:t xml:space="preserve">, </w:t>
      </w:r>
      <w:r w:rsidRPr="00A84A20">
        <w:rPr>
          <w:i/>
          <w:iCs/>
          <w:sz w:val="24"/>
          <w:szCs w:val="24"/>
        </w:rPr>
        <w:t>Historical Research</w:t>
      </w:r>
      <w:r w:rsidRPr="00A84A20">
        <w:rPr>
          <w:sz w:val="24"/>
          <w:szCs w:val="24"/>
        </w:rPr>
        <w:t xml:space="preserve"> 76</w:t>
      </w:r>
      <w:r>
        <w:rPr>
          <w:sz w:val="24"/>
          <w:szCs w:val="24"/>
        </w:rPr>
        <w:t>/</w:t>
      </w:r>
      <w:r w:rsidRPr="00A84A20">
        <w:rPr>
          <w:sz w:val="24"/>
          <w:szCs w:val="24"/>
        </w:rPr>
        <w:t>192 (2003)</w:t>
      </w:r>
      <w:r>
        <w:rPr>
          <w:sz w:val="24"/>
          <w:szCs w:val="24"/>
        </w:rPr>
        <w:t>,</w:t>
      </w:r>
      <w:r w:rsidRPr="00A84A20">
        <w:rPr>
          <w:sz w:val="24"/>
          <w:szCs w:val="24"/>
        </w:rPr>
        <w:t xml:space="preserve"> 217</w:t>
      </w:r>
      <w:r>
        <w:rPr>
          <w:sz w:val="24"/>
          <w:szCs w:val="24"/>
        </w:rPr>
        <w:t>-</w:t>
      </w:r>
      <w:r w:rsidRPr="00A84A20">
        <w:rPr>
          <w:sz w:val="24"/>
          <w:szCs w:val="24"/>
        </w:rPr>
        <w:t xml:space="preserve">37; and Gagan Preet Singh, </w:t>
      </w:r>
      <w:r>
        <w:rPr>
          <w:sz w:val="24"/>
          <w:szCs w:val="24"/>
        </w:rPr>
        <w:t>‘</w:t>
      </w:r>
      <w:r w:rsidRPr="00A84A20">
        <w:rPr>
          <w:sz w:val="24"/>
          <w:szCs w:val="24"/>
        </w:rPr>
        <w:t>Property’s Guardians, People’s Terror: Police Avoidance in Colonial North India</w:t>
      </w:r>
      <w:r>
        <w:rPr>
          <w:sz w:val="24"/>
          <w:szCs w:val="24"/>
        </w:rPr>
        <w:t>’</w:t>
      </w:r>
      <w:r w:rsidRPr="00A84A20">
        <w:rPr>
          <w:sz w:val="24"/>
          <w:szCs w:val="24"/>
        </w:rPr>
        <w:t xml:space="preserve">, </w:t>
      </w:r>
      <w:r w:rsidRPr="00A84A20">
        <w:rPr>
          <w:i/>
          <w:iCs/>
          <w:sz w:val="24"/>
          <w:szCs w:val="24"/>
        </w:rPr>
        <w:t>Radical History Review</w:t>
      </w:r>
      <w:r w:rsidRPr="00A84A20">
        <w:rPr>
          <w:sz w:val="24"/>
          <w:szCs w:val="24"/>
        </w:rPr>
        <w:t xml:space="preserve"> 137 (2020)</w:t>
      </w:r>
      <w:r>
        <w:rPr>
          <w:sz w:val="24"/>
          <w:szCs w:val="24"/>
        </w:rPr>
        <w:t>,</w:t>
      </w:r>
      <w:r w:rsidRPr="00A84A20">
        <w:rPr>
          <w:sz w:val="24"/>
          <w:szCs w:val="24"/>
        </w:rPr>
        <w:t xml:space="preserve"> 54</w:t>
      </w:r>
      <w:r>
        <w:rPr>
          <w:sz w:val="24"/>
          <w:szCs w:val="24"/>
        </w:rPr>
        <w:t>-</w:t>
      </w:r>
      <w:r w:rsidRPr="00A84A20">
        <w:rPr>
          <w:sz w:val="24"/>
          <w:szCs w:val="24"/>
        </w:rPr>
        <w:t xml:space="preserve">74. </w:t>
      </w:r>
    </w:p>
  </w:footnote>
  <w:footnote w:id="147">
    <w:p w14:paraId="29B97DC0"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Dhillon, </w:t>
      </w:r>
      <w:r w:rsidRPr="00A84A20">
        <w:rPr>
          <w:i/>
          <w:iCs/>
          <w:sz w:val="24"/>
          <w:szCs w:val="24"/>
        </w:rPr>
        <w:t>Defenders of the Establishment</w:t>
      </w:r>
      <w:r>
        <w:rPr>
          <w:i/>
          <w:iCs/>
          <w:sz w:val="24"/>
          <w:szCs w:val="24"/>
        </w:rPr>
        <w:t xml:space="preserve"> </w:t>
      </w:r>
      <w:r>
        <w:rPr>
          <w:sz w:val="24"/>
          <w:szCs w:val="24"/>
        </w:rPr>
        <w:t>(n 55)</w:t>
      </w:r>
      <w:r w:rsidRPr="00A84A20">
        <w:rPr>
          <w:i/>
          <w:iCs/>
          <w:sz w:val="24"/>
          <w:szCs w:val="24"/>
        </w:rPr>
        <w:t xml:space="preserve">, </w:t>
      </w:r>
      <w:r w:rsidRPr="00A84A20">
        <w:rPr>
          <w:sz w:val="24"/>
          <w:szCs w:val="24"/>
        </w:rPr>
        <w:t>20. The police also played an important subjugating role prior to 1857, but as I shall demonstrate police violence became more systemati</w:t>
      </w:r>
      <w:r>
        <w:rPr>
          <w:sz w:val="24"/>
          <w:szCs w:val="24"/>
        </w:rPr>
        <w:t>z</w:t>
      </w:r>
      <w:r w:rsidRPr="00A84A20">
        <w:rPr>
          <w:sz w:val="24"/>
          <w:szCs w:val="24"/>
        </w:rPr>
        <w:t>ed after the 1857 Revolt.</w:t>
      </w:r>
    </w:p>
  </w:footnote>
  <w:footnote w:id="148">
    <w:p w14:paraId="4C19EB54"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Rajnarayan Chandavarkar, </w:t>
      </w:r>
      <w:r w:rsidRPr="00A84A20">
        <w:rPr>
          <w:i/>
          <w:sz w:val="24"/>
          <w:szCs w:val="24"/>
        </w:rPr>
        <w:t>Imperial Power and Popular Politics: Class, Resistance and the State in India, 1850</w:t>
      </w:r>
      <w:r>
        <w:rPr>
          <w:i/>
          <w:sz w:val="24"/>
          <w:szCs w:val="24"/>
        </w:rPr>
        <w:t>-</w:t>
      </w:r>
      <w:r w:rsidRPr="00A84A20">
        <w:rPr>
          <w:i/>
          <w:sz w:val="24"/>
          <w:szCs w:val="24"/>
        </w:rPr>
        <w:t xml:space="preserve">1950 </w:t>
      </w:r>
      <w:r w:rsidRPr="00A84A20">
        <w:rPr>
          <w:iCs/>
          <w:sz w:val="24"/>
          <w:szCs w:val="24"/>
        </w:rPr>
        <w:t xml:space="preserve">(Cambridge: </w:t>
      </w:r>
      <w:r w:rsidRPr="00A84A20">
        <w:rPr>
          <w:sz w:val="24"/>
          <w:szCs w:val="24"/>
        </w:rPr>
        <w:t>Cambridge University Press, 1998)</w:t>
      </w:r>
      <w:r>
        <w:rPr>
          <w:sz w:val="24"/>
          <w:szCs w:val="24"/>
        </w:rPr>
        <w:t xml:space="preserve"> (hereafter Chandavarkar, </w:t>
      </w:r>
      <w:r>
        <w:rPr>
          <w:i/>
          <w:iCs/>
          <w:sz w:val="24"/>
          <w:szCs w:val="24"/>
        </w:rPr>
        <w:t>Imperial Power</w:t>
      </w:r>
      <w:r>
        <w:rPr>
          <w:sz w:val="24"/>
          <w:szCs w:val="24"/>
        </w:rPr>
        <w:t>)</w:t>
      </w:r>
      <w:r w:rsidRPr="00A84A20">
        <w:rPr>
          <w:sz w:val="24"/>
          <w:szCs w:val="24"/>
        </w:rPr>
        <w:t xml:space="preserve">; Nandini Gooptu, </w:t>
      </w:r>
      <w:r w:rsidRPr="00A84A20">
        <w:rPr>
          <w:i/>
          <w:iCs/>
          <w:sz w:val="24"/>
          <w:szCs w:val="24"/>
        </w:rPr>
        <w:t>The Politics of the Urban Poor in Early Twentieth</w:t>
      </w:r>
      <w:r>
        <w:rPr>
          <w:i/>
          <w:iCs/>
          <w:sz w:val="24"/>
          <w:szCs w:val="24"/>
        </w:rPr>
        <w:t>-</w:t>
      </w:r>
      <w:r w:rsidRPr="00A84A20">
        <w:rPr>
          <w:i/>
          <w:iCs/>
          <w:sz w:val="24"/>
          <w:szCs w:val="24"/>
        </w:rPr>
        <w:t xml:space="preserve">Century India </w:t>
      </w:r>
      <w:r w:rsidRPr="00A84A20">
        <w:rPr>
          <w:sz w:val="24"/>
          <w:szCs w:val="24"/>
        </w:rPr>
        <w:t>(Cambridge: Cambridge University Press 2001)</w:t>
      </w:r>
      <w:r>
        <w:rPr>
          <w:sz w:val="24"/>
          <w:szCs w:val="24"/>
        </w:rPr>
        <w:t xml:space="preserve"> (hereafter Gooptu, </w:t>
      </w:r>
      <w:r>
        <w:rPr>
          <w:i/>
          <w:iCs/>
          <w:sz w:val="24"/>
          <w:szCs w:val="24"/>
        </w:rPr>
        <w:t>The Politics of the Urban Poor</w:t>
      </w:r>
      <w:r>
        <w:rPr>
          <w:sz w:val="24"/>
          <w:szCs w:val="24"/>
        </w:rPr>
        <w:t>)</w:t>
      </w:r>
      <w:r w:rsidRPr="00A84A20">
        <w:rPr>
          <w:sz w:val="24"/>
          <w:szCs w:val="24"/>
        </w:rPr>
        <w:t xml:space="preserve">; Prashant Kidambi, </w:t>
      </w:r>
      <w:r>
        <w:rPr>
          <w:sz w:val="24"/>
          <w:szCs w:val="24"/>
        </w:rPr>
        <w:t>‘”</w:t>
      </w:r>
      <w:r w:rsidRPr="00A84A20">
        <w:rPr>
          <w:sz w:val="24"/>
          <w:szCs w:val="24"/>
        </w:rPr>
        <w:t>The ultimate masters of the city</w:t>
      </w:r>
      <w:r>
        <w:rPr>
          <w:sz w:val="24"/>
          <w:szCs w:val="24"/>
        </w:rPr>
        <w:t>”</w:t>
      </w:r>
      <w:r w:rsidRPr="00A84A20">
        <w:rPr>
          <w:sz w:val="24"/>
          <w:szCs w:val="24"/>
        </w:rPr>
        <w:t xml:space="preserve">: Police, </w:t>
      </w:r>
      <w:r>
        <w:rPr>
          <w:sz w:val="24"/>
          <w:szCs w:val="24"/>
        </w:rPr>
        <w:t>P</w:t>
      </w:r>
      <w:r w:rsidRPr="00A84A20">
        <w:rPr>
          <w:sz w:val="24"/>
          <w:szCs w:val="24"/>
        </w:rPr>
        <w:t xml:space="preserve">ublic </w:t>
      </w:r>
      <w:r>
        <w:rPr>
          <w:sz w:val="24"/>
          <w:szCs w:val="24"/>
        </w:rPr>
        <w:t>O</w:t>
      </w:r>
      <w:r w:rsidRPr="00A84A20">
        <w:rPr>
          <w:sz w:val="24"/>
          <w:szCs w:val="24"/>
        </w:rPr>
        <w:t xml:space="preserve">rder and the </w:t>
      </w:r>
      <w:r>
        <w:rPr>
          <w:sz w:val="24"/>
          <w:szCs w:val="24"/>
        </w:rPr>
        <w:t>P</w:t>
      </w:r>
      <w:r w:rsidRPr="00A84A20">
        <w:rPr>
          <w:sz w:val="24"/>
          <w:szCs w:val="24"/>
        </w:rPr>
        <w:t xml:space="preserve">oor in </w:t>
      </w:r>
      <w:r>
        <w:rPr>
          <w:sz w:val="24"/>
          <w:szCs w:val="24"/>
        </w:rPr>
        <w:t>C</w:t>
      </w:r>
      <w:r w:rsidRPr="00A84A20">
        <w:rPr>
          <w:sz w:val="24"/>
          <w:szCs w:val="24"/>
        </w:rPr>
        <w:t>olonial Bombay, c. 1893</w:t>
      </w:r>
      <w:r>
        <w:rPr>
          <w:sz w:val="24"/>
          <w:szCs w:val="24"/>
        </w:rPr>
        <w:t>-</w:t>
      </w:r>
      <w:r w:rsidRPr="00A84A20">
        <w:rPr>
          <w:sz w:val="24"/>
          <w:szCs w:val="24"/>
        </w:rPr>
        <w:t>1914</w:t>
      </w:r>
      <w:r>
        <w:rPr>
          <w:sz w:val="24"/>
          <w:szCs w:val="24"/>
        </w:rPr>
        <w:t>’</w:t>
      </w:r>
      <w:r w:rsidRPr="00A84A20">
        <w:rPr>
          <w:sz w:val="24"/>
          <w:szCs w:val="24"/>
        </w:rPr>
        <w:t xml:space="preserve">, </w:t>
      </w:r>
      <w:r w:rsidRPr="00A84A20">
        <w:rPr>
          <w:i/>
          <w:iCs/>
          <w:sz w:val="24"/>
          <w:szCs w:val="24"/>
        </w:rPr>
        <w:t>Crime, Histoire &amp; Societies</w:t>
      </w:r>
      <w:r>
        <w:rPr>
          <w:sz w:val="24"/>
          <w:szCs w:val="24"/>
        </w:rPr>
        <w:t xml:space="preserve"> 8/</w:t>
      </w:r>
      <w:r w:rsidRPr="00A84A20">
        <w:rPr>
          <w:sz w:val="24"/>
          <w:szCs w:val="24"/>
        </w:rPr>
        <w:t>1 (2004</w:t>
      </w:r>
      <w:r>
        <w:rPr>
          <w:sz w:val="24"/>
          <w:szCs w:val="24"/>
        </w:rPr>
        <w:t xml:space="preserve">) [DOI: </w:t>
      </w:r>
      <w:hyperlink r:id="rId43" w:history="1">
        <w:r w:rsidRPr="00740A5C">
          <w:rPr>
            <w:rStyle w:val="Hyperlink"/>
            <w:sz w:val="24"/>
            <w:szCs w:val="24"/>
          </w:rPr>
          <w:t>https://doi.org/10.4000/chs.513</w:t>
        </w:r>
      </w:hyperlink>
      <w:r>
        <w:rPr>
          <w:sz w:val="24"/>
          <w:szCs w:val="24"/>
        </w:rPr>
        <w:t>] (hereafter Kidambi, ‘”The ultimate masters’”)</w:t>
      </w:r>
      <w:r w:rsidRPr="00A84A20">
        <w:rPr>
          <w:sz w:val="24"/>
          <w:szCs w:val="24"/>
        </w:rPr>
        <w:t xml:space="preserve">; </w:t>
      </w:r>
      <w:r w:rsidRPr="00A84A20">
        <w:rPr>
          <w:sz w:val="24"/>
          <w:szCs w:val="24"/>
          <w:shd w:val="clear" w:color="auto" w:fill="FFFFFF"/>
        </w:rPr>
        <w:t xml:space="preserve">Radha Kumar, </w:t>
      </w:r>
      <w:r>
        <w:rPr>
          <w:sz w:val="24"/>
          <w:szCs w:val="24"/>
          <w:shd w:val="clear" w:color="auto" w:fill="FFFFFF"/>
        </w:rPr>
        <w:t>‘</w:t>
      </w:r>
      <w:r w:rsidRPr="00A84A20">
        <w:rPr>
          <w:sz w:val="24"/>
          <w:szCs w:val="24"/>
          <w:shd w:val="clear" w:color="auto" w:fill="FFFFFF"/>
        </w:rPr>
        <w:t>Police Matters</w:t>
      </w:r>
      <w:r>
        <w:rPr>
          <w:sz w:val="24"/>
          <w:szCs w:val="24"/>
          <w:shd w:val="clear" w:color="auto" w:fill="FFFFFF"/>
        </w:rPr>
        <w:t>’</w:t>
      </w:r>
      <w:r w:rsidRPr="00A84A20">
        <w:rPr>
          <w:sz w:val="24"/>
          <w:szCs w:val="24"/>
          <w:shd w:val="clear" w:color="auto" w:fill="FFFFFF"/>
        </w:rPr>
        <w:t xml:space="preserve"> </w:t>
      </w:r>
      <w:r>
        <w:rPr>
          <w:sz w:val="24"/>
          <w:szCs w:val="24"/>
          <w:shd w:val="clear" w:color="auto" w:fill="FFFFFF"/>
        </w:rPr>
        <w:t>(n 61); and Radha Kumar, ‘</w:t>
      </w:r>
      <w:r w:rsidRPr="00A84A20">
        <w:rPr>
          <w:sz w:val="24"/>
          <w:szCs w:val="24"/>
          <w:shd w:val="clear" w:color="auto" w:fill="FFFFFF"/>
        </w:rPr>
        <w:t>Policing Everyday Life: The FIR in the Tamil Countryside, c. 1900</w:t>
      </w:r>
      <w:r>
        <w:rPr>
          <w:sz w:val="24"/>
          <w:szCs w:val="24"/>
          <w:shd w:val="clear" w:color="auto" w:fill="FFFFFF"/>
        </w:rPr>
        <w:t>-</w:t>
      </w:r>
      <w:r w:rsidRPr="00A84A20">
        <w:rPr>
          <w:sz w:val="24"/>
          <w:szCs w:val="24"/>
          <w:shd w:val="clear" w:color="auto" w:fill="FFFFFF"/>
        </w:rPr>
        <w:t>50</w:t>
      </w:r>
      <w:r>
        <w:rPr>
          <w:sz w:val="24"/>
          <w:szCs w:val="24"/>
          <w:shd w:val="clear" w:color="auto" w:fill="FFFFFF"/>
        </w:rPr>
        <w:t>’</w:t>
      </w:r>
      <w:r w:rsidRPr="00A84A20">
        <w:rPr>
          <w:sz w:val="24"/>
          <w:szCs w:val="24"/>
          <w:shd w:val="clear" w:color="auto" w:fill="FFFFFF"/>
        </w:rPr>
        <w:t xml:space="preserve">, </w:t>
      </w:r>
      <w:r w:rsidRPr="00A84A20">
        <w:rPr>
          <w:i/>
          <w:iCs/>
          <w:sz w:val="24"/>
          <w:szCs w:val="24"/>
          <w:shd w:val="clear" w:color="auto" w:fill="FFFFFF"/>
        </w:rPr>
        <w:t>The Indian Economic and Social History Review</w:t>
      </w:r>
      <w:r w:rsidRPr="00A84A20">
        <w:rPr>
          <w:sz w:val="24"/>
          <w:szCs w:val="24"/>
          <w:shd w:val="clear" w:color="auto" w:fill="FFFFFF"/>
        </w:rPr>
        <w:t xml:space="preserve"> 54</w:t>
      </w:r>
      <w:r>
        <w:rPr>
          <w:sz w:val="24"/>
          <w:szCs w:val="24"/>
          <w:shd w:val="clear" w:color="auto" w:fill="FFFFFF"/>
        </w:rPr>
        <w:t>/</w:t>
      </w:r>
      <w:r w:rsidRPr="00A84A20">
        <w:rPr>
          <w:sz w:val="24"/>
          <w:szCs w:val="24"/>
          <w:shd w:val="clear" w:color="auto" w:fill="FFFFFF"/>
        </w:rPr>
        <w:t>3 (2017)</w:t>
      </w:r>
      <w:r>
        <w:rPr>
          <w:sz w:val="24"/>
          <w:szCs w:val="24"/>
          <w:shd w:val="clear" w:color="auto" w:fill="FFFFFF"/>
        </w:rPr>
        <w:t>,</w:t>
      </w:r>
      <w:r w:rsidRPr="00A84A20">
        <w:rPr>
          <w:sz w:val="24"/>
          <w:szCs w:val="24"/>
          <w:shd w:val="clear" w:color="auto" w:fill="FFFFFF"/>
        </w:rPr>
        <w:t xml:space="preserve"> 361</w:t>
      </w:r>
      <w:r>
        <w:rPr>
          <w:sz w:val="24"/>
          <w:szCs w:val="24"/>
          <w:shd w:val="clear" w:color="auto" w:fill="FFFFFF"/>
        </w:rPr>
        <w:t>-</w:t>
      </w:r>
      <w:r w:rsidRPr="00A84A20">
        <w:rPr>
          <w:sz w:val="24"/>
          <w:szCs w:val="24"/>
          <w:shd w:val="clear" w:color="auto" w:fill="FFFFFF"/>
        </w:rPr>
        <w:t>87</w:t>
      </w:r>
      <w:r>
        <w:rPr>
          <w:sz w:val="24"/>
          <w:szCs w:val="24"/>
          <w:shd w:val="clear" w:color="auto" w:fill="FFFFFF"/>
        </w:rPr>
        <w:t xml:space="preserve"> (hereafter Kumar, ‘Policing Everyday Life’)</w:t>
      </w:r>
      <w:r w:rsidRPr="00A84A20">
        <w:rPr>
          <w:sz w:val="24"/>
          <w:szCs w:val="24"/>
          <w:shd w:val="clear" w:color="auto" w:fill="FFFFFF"/>
        </w:rPr>
        <w:t>.</w:t>
      </w:r>
    </w:p>
  </w:footnote>
  <w:footnote w:id="149">
    <w:p w14:paraId="1965DD08"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Douglas Peers, </w:t>
      </w:r>
      <w:r>
        <w:rPr>
          <w:sz w:val="24"/>
          <w:szCs w:val="24"/>
        </w:rPr>
        <w:t>‘</w:t>
      </w:r>
      <w:r w:rsidRPr="00A84A20">
        <w:rPr>
          <w:sz w:val="24"/>
          <w:szCs w:val="24"/>
        </w:rPr>
        <w:t xml:space="preserve">Torture, the Police, and the Colonial </w:t>
      </w:r>
      <w:r>
        <w:rPr>
          <w:sz w:val="24"/>
          <w:szCs w:val="24"/>
        </w:rPr>
        <w:t>S</w:t>
      </w:r>
      <w:r w:rsidRPr="00A84A20">
        <w:rPr>
          <w:sz w:val="24"/>
          <w:szCs w:val="24"/>
        </w:rPr>
        <w:t xml:space="preserve">tate in the Madras Presidency, </w:t>
      </w:r>
    </w:p>
    <w:p w14:paraId="73DD4017" w14:textId="77777777" w:rsidR="00997966" w:rsidRPr="00A84A20" w:rsidRDefault="00997966" w:rsidP="00997966">
      <w:pPr>
        <w:pStyle w:val="FootnoteText"/>
        <w:spacing w:line="480" w:lineRule="auto"/>
        <w:rPr>
          <w:sz w:val="24"/>
          <w:szCs w:val="24"/>
        </w:rPr>
      </w:pPr>
      <w:r w:rsidRPr="00A84A20">
        <w:rPr>
          <w:sz w:val="24"/>
          <w:szCs w:val="24"/>
        </w:rPr>
        <w:t>1816</w:t>
      </w:r>
      <w:r>
        <w:rPr>
          <w:sz w:val="24"/>
          <w:szCs w:val="24"/>
        </w:rPr>
        <w:t>-</w:t>
      </w:r>
      <w:r w:rsidRPr="00A84A20">
        <w:rPr>
          <w:sz w:val="24"/>
          <w:szCs w:val="24"/>
        </w:rPr>
        <w:t>55</w:t>
      </w:r>
      <w:r>
        <w:rPr>
          <w:sz w:val="24"/>
          <w:szCs w:val="24"/>
        </w:rPr>
        <w:t>’</w:t>
      </w:r>
      <w:r w:rsidRPr="00A84A20">
        <w:rPr>
          <w:sz w:val="24"/>
          <w:szCs w:val="24"/>
        </w:rPr>
        <w:t xml:space="preserve">, </w:t>
      </w:r>
      <w:r w:rsidRPr="00A84A20">
        <w:rPr>
          <w:i/>
          <w:sz w:val="24"/>
          <w:szCs w:val="24"/>
        </w:rPr>
        <w:t>Criminal Justice History: An International Annual</w:t>
      </w:r>
      <w:r w:rsidRPr="00A84A20">
        <w:rPr>
          <w:sz w:val="24"/>
          <w:szCs w:val="24"/>
        </w:rPr>
        <w:t xml:space="preserve"> 12 (1991), 29</w:t>
      </w:r>
      <w:r>
        <w:rPr>
          <w:sz w:val="24"/>
          <w:szCs w:val="24"/>
        </w:rPr>
        <w:t>-</w:t>
      </w:r>
      <w:r w:rsidRPr="00A84A20">
        <w:rPr>
          <w:sz w:val="24"/>
          <w:szCs w:val="24"/>
        </w:rPr>
        <w:t xml:space="preserve">56; Rao, </w:t>
      </w:r>
      <w:r>
        <w:rPr>
          <w:sz w:val="24"/>
          <w:szCs w:val="24"/>
        </w:rPr>
        <w:t>‘</w:t>
      </w:r>
      <w:r w:rsidRPr="00A84A20">
        <w:rPr>
          <w:sz w:val="24"/>
          <w:szCs w:val="24"/>
        </w:rPr>
        <w:t>Problems of Violence</w:t>
      </w:r>
      <w:r>
        <w:rPr>
          <w:sz w:val="24"/>
          <w:szCs w:val="24"/>
        </w:rPr>
        <w:t>’ (n 100)</w:t>
      </w:r>
      <w:r w:rsidRPr="00A84A20">
        <w:rPr>
          <w:sz w:val="24"/>
          <w:szCs w:val="24"/>
        </w:rPr>
        <w:t xml:space="preserve">; and Kumar, </w:t>
      </w:r>
      <w:r>
        <w:rPr>
          <w:sz w:val="24"/>
          <w:szCs w:val="24"/>
        </w:rPr>
        <w:t>‘</w:t>
      </w:r>
      <w:r w:rsidRPr="00A84A20">
        <w:rPr>
          <w:sz w:val="24"/>
          <w:szCs w:val="24"/>
        </w:rPr>
        <w:t>Seeing Like a Policeman</w:t>
      </w:r>
      <w:r>
        <w:rPr>
          <w:sz w:val="24"/>
          <w:szCs w:val="24"/>
        </w:rPr>
        <w:t>’ (n 95)</w:t>
      </w:r>
      <w:r w:rsidRPr="00A84A20">
        <w:rPr>
          <w:sz w:val="24"/>
          <w:szCs w:val="24"/>
        </w:rPr>
        <w:t xml:space="preserve">. For an overview of such work see Gagan Preet Singh, </w:t>
      </w:r>
      <w:r>
        <w:rPr>
          <w:sz w:val="24"/>
          <w:szCs w:val="24"/>
        </w:rPr>
        <w:t>‘</w:t>
      </w:r>
      <w:r w:rsidRPr="00A84A20">
        <w:rPr>
          <w:sz w:val="24"/>
          <w:szCs w:val="24"/>
        </w:rPr>
        <w:t>Police</w:t>
      </w:r>
      <w:r>
        <w:rPr>
          <w:sz w:val="24"/>
          <w:szCs w:val="24"/>
        </w:rPr>
        <w:t>-</w:t>
      </w:r>
      <w:r w:rsidRPr="00A84A20">
        <w:rPr>
          <w:sz w:val="24"/>
          <w:szCs w:val="24"/>
        </w:rPr>
        <w:t xml:space="preserve">public </w:t>
      </w:r>
      <w:r>
        <w:rPr>
          <w:sz w:val="24"/>
          <w:szCs w:val="24"/>
        </w:rPr>
        <w:t>R</w:t>
      </w:r>
      <w:r w:rsidRPr="00A84A20">
        <w:rPr>
          <w:sz w:val="24"/>
          <w:szCs w:val="24"/>
        </w:rPr>
        <w:t xml:space="preserve">elations in </w:t>
      </w:r>
      <w:r>
        <w:rPr>
          <w:sz w:val="24"/>
          <w:szCs w:val="24"/>
        </w:rPr>
        <w:t>C</w:t>
      </w:r>
      <w:r w:rsidRPr="00A84A20">
        <w:rPr>
          <w:sz w:val="24"/>
          <w:szCs w:val="24"/>
        </w:rPr>
        <w:t>olonial India</w:t>
      </w:r>
      <w:r>
        <w:rPr>
          <w:sz w:val="24"/>
          <w:szCs w:val="24"/>
        </w:rPr>
        <w:t>’</w:t>
      </w:r>
      <w:r w:rsidRPr="00A84A20">
        <w:rPr>
          <w:sz w:val="24"/>
          <w:szCs w:val="24"/>
        </w:rPr>
        <w:t xml:space="preserve"> </w:t>
      </w:r>
      <w:r>
        <w:rPr>
          <w:sz w:val="24"/>
          <w:szCs w:val="24"/>
        </w:rPr>
        <w:t>(</w:t>
      </w:r>
      <w:r w:rsidRPr="00A84A20">
        <w:rPr>
          <w:i/>
          <w:iCs/>
          <w:sz w:val="24"/>
          <w:szCs w:val="24"/>
        </w:rPr>
        <w:t xml:space="preserve">History Compass, </w:t>
      </w:r>
      <w:r w:rsidRPr="00A84A20">
        <w:rPr>
          <w:sz w:val="24"/>
          <w:szCs w:val="24"/>
        </w:rPr>
        <w:t xml:space="preserve">1 September </w:t>
      </w:r>
      <w:r w:rsidRPr="00B20C56">
        <w:rPr>
          <w:sz w:val="24"/>
          <w:szCs w:val="24"/>
        </w:rPr>
        <w:t>2019</w:t>
      </w:r>
      <w:r>
        <w:rPr>
          <w:sz w:val="24"/>
          <w:szCs w:val="24"/>
        </w:rPr>
        <w:t xml:space="preserve">) [DOI: </w:t>
      </w:r>
      <w:hyperlink r:id="rId44" w:history="1">
        <w:r w:rsidRPr="00A84A20">
          <w:rPr>
            <w:rStyle w:val="Hyperlink"/>
            <w:color w:val="005274"/>
            <w:sz w:val="24"/>
            <w:szCs w:val="24"/>
          </w:rPr>
          <w:t>https://doi.org/10.1111/hic3.12595</w:t>
        </w:r>
      </w:hyperlink>
      <w:r w:rsidRPr="002906E1">
        <w:rPr>
          <w:rStyle w:val="Hyperlink"/>
          <w:color w:val="auto"/>
          <w:sz w:val="24"/>
          <w:szCs w:val="24"/>
          <w:u w:val="none"/>
        </w:rPr>
        <w:t>].</w:t>
      </w:r>
    </w:p>
  </w:footnote>
  <w:footnote w:id="150">
    <w:p w14:paraId="09F09770"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For scholarship that does not see Heath, </w:t>
      </w:r>
      <w:r>
        <w:rPr>
          <w:sz w:val="24"/>
          <w:szCs w:val="24"/>
        </w:rPr>
        <w:t>‘</w:t>
      </w:r>
      <w:r w:rsidRPr="00A84A20">
        <w:rPr>
          <w:sz w:val="24"/>
          <w:szCs w:val="24"/>
        </w:rPr>
        <w:t>Bureaucracy, Power and Violence</w:t>
      </w:r>
      <w:r>
        <w:rPr>
          <w:sz w:val="24"/>
          <w:szCs w:val="24"/>
        </w:rPr>
        <w:t>’ (n 88); Heath, ‘</w:t>
      </w:r>
      <w:r w:rsidRPr="00A84A20">
        <w:rPr>
          <w:sz w:val="24"/>
          <w:szCs w:val="24"/>
        </w:rPr>
        <w:t>Torture, the State and Sexual Violence</w:t>
      </w:r>
      <w:r>
        <w:rPr>
          <w:sz w:val="24"/>
          <w:szCs w:val="24"/>
        </w:rPr>
        <w:t>’ (n 99);</w:t>
      </w:r>
      <w:r w:rsidRPr="00A84A20">
        <w:rPr>
          <w:sz w:val="24"/>
          <w:szCs w:val="24"/>
        </w:rPr>
        <w:t xml:space="preserve"> and </w:t>
      </w:r>
      <w:r>
        <w:rPr>
          <w:sz w:val="24"/>
          <w:szCs w:val="24"/>
        </w:rPr>
        <w:t>Heath, ‘</w:t>
      </w:r>
      <w:r w:rsidRPr="00A84A20">
        <w:rPr>
          <w:sz w:val="24"/>
          <w:szCs w:val="24"/>
        </w:rPr>
        <w:t>The Tortured Body</w:t>
      </w:r>
      <w:r>
        <w:rPr>
          <w:sz w:val="24"/>
          <w:szCs w:val="24"/>
        </w:rPr>
        <w:t>’ (n 100)</w:t>
      </w:r>
      <w:r w:rsidRPr="00A84A20">
        <w:rPr>
          <w:sz w:val="24"/>
          <w:szCs w:val="24"/>
        </w:rPr>
        <w:t>.</w:t>
      </w:r>
    </w:p>
  </w:footnote>
  <w:footnote w:id="151">
    <w:p w14:paraId="6DEE5882"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Ann Laura Stoler, </w:t>
      </w:r>
      <w:r>
        <w:rPr>
          <w:sz w:val="24"/>
          <w:szCs w:val="24"/>
        </w:rPr>
        <w:t>‘</w:t>
      </w:r>
      <w:r w:rsidRPr="00A84A20">
        <w:rPr>
          <w:sz w:val="24"/>
          <w:szCs w:val="24"/>
        </w:rPr>
        <w:t>Colonial Archives and the Arts of Governance</w:t>
      </w:r>
      <w:r>
        <w:rPr>
          <w:sz w:val="24"/>
          <w:szCs w:val="24"/>
        </w:rPr>
        <w:t>’,</w:t>
      </w:r>
      <w:r w:rsidRPr="00A84A20">
        <w:rPr>
          <w:sz w:val="24"/>
          <w:szCs w:val="24"/>
        </w:rPr>
        <w:t xml:space="preserve"> </w:t>
      </w:r>
      <w:r w:rsidRPr="00A84A20">
        <w:rPr>
          <w:i/>
          <w:sz w:val="24"/>
          <w:szCs w:val="24"/>
        </w:rPr>
        <w:t>Archival Science</w:t>
      </w:r>
      <w:r w:rsidRPr="00A84A20">
        <w:rPr>
          <w:sz w:val="24"/>
          <w:szCs w:val="24"/>
        </w:rPr>
        <w:t xml:space="preserve"> 2 (2002), 100. While reading against the archival grain evades the power that shaped the production of the archive (including, for example, the destruction of records, or the fragmentary nature of the archive), reading along it, Stoler argues, makes it possible to </w:t>
      </w:r>
      <w:r>
        <w:rPr>
          <w:sz w:val="24"/>
          <w:szCs w:val="24"/>
        </w:rPr>
        <w:t>‘</w:t>
      </w:r>
      <w:r w:rsidRPr="00A84A20">
        <w:rPr>
          <w:sz w:val="24"/>
          <w:szCs w:val="24"/>
        </w:rPr>
        <w:t xml:space="preserve">distinguish between what was </w:t>
      </w:r>
      <w:r>
        <w:rPr>
          <w:sz w:val="24"/>
          <w:szCs w:val="24"/>
        </w:rPr>
        <w:t>“</w:t>
      </w:r>
      <w:r w:rsidRPr="00A84A20">
        <w:rPr>
          <w:sz w:val="24"/>
          <w:szCs w:val="24"/>
        </w:rPr>
        <w:t>unwritten</w:t>
      </w:r>
      <w:r>
        <w:rPr>
          <w:sz w:val="24"/>
          <w:szCs w:val="24"/>
        </w:rPr>
        <w:t>”</w:t>
      </w:r>
      <w:r w:rsidRPr="00A84A20">
        <w:rPr>
          <w:sz w:val="24"/>
          <w:szCs w:val="24"/>
        </w:rPr>
        <w:t xml:space="preserve"> because it could go without saying and </w:t>
      </w:r>
      <w:r>
        <w:rPr>
          <w:sz w:val="24"/>
          <w:szCs w:val="24"/>
        </w:rPr>
        <w:t>“</w:t>
      </w:r>
      <w:r w:rsidRPr="00A84A20">
        <w:rPr>
          <w:sz w:val="24"/>
          <w:szCs w:val="24"/>
        </w:rPr>
        <w:t>everyone knew it</w:t>
      </w:r>
      <w:r>
        <w:rPr>
          <w:sz w:val="24"/>
          <w:szCs w:val="24"/>
        </w:rPr>
        <w:t>”,</w:t>
      </w:r>
      <w:r w:rsidRPr="00A84A20">
        <w:rPr>
          <w:sz w:val="24"/>
          <w:szCs w:val="24"/>
        </w:rPr>
        <w:t xml:space="preserve"> what was unwritten because it could not yet be articulated, and what was unwritten because it could not be said</w:t>
      </w:r>
      <w:r>
        <w:rPr>
          <w:sz w:val="24"/>
          <w:szCs w:val="24"/>
        </w:rPr>
        <w:t>’</w:t>
      </w:r>
      <w:r w:rsidRPr="00A84A20">
        <w:rPr>
          <w:sz w:val="24"/>
          <w:szCs w:val="24"/>
        </w:rPr>
        <w:t xml:space="preserve">. Stoler, </w:t>
      </w:r>
      <w:r>
        <w:rPr>
          <w:sz w:val="24"/>
          <w:szCs w:val="24"/>
        </w:rPr>
        <w:t>‘</w:t>
      </w:r>
      <w:r w:rsidRPr="00A84A20">
        <w:rPr>
          <w:sz w:val="24"/>
          <w:szCs w:val="24"/>
        </w:rPr>
        <w:t>Colonial Archives</w:t>
      </w:r>
      <w:r>
        <w:rPr>
          <w:sz w:val="24"/>
          <w:szCs w:val="24"/>
        </w:rPr>
        <w:t>’</w:t>
      </w:r>
      <w:r w:rsidRPr="00A84A20">
        <w:rPr>
          <w:sz w:val="24"/>
          <w:szCs w:val="24"/>
        </w:rPr>
        <w:t>, 101</w:t>
      </w:r>
      <w:r>
        <w:rPr>
          <w:sz w:val="24"/>
          <w:szCs w:val="24"/>
        </w:rPr>
        <w:t>;</w:t>
      </w:r>
      <w:r w:rsidRPr="00A84A20">
        <w:rPr>
          <w:sz w:val="24"/>
          <w:szCs w:val="24"/>
        </w:rPr>
        <w:t xml:space="preserve"> and </w:t>
      </w:r>
      <w:r>
        <w:rPr>
          <w:sz w:val="24"/>
          <w:szCs w:val="24"/>
        </w:rPr>
        <w:t xml:space="preserve">Ann Laura Stoler, </w:t>
      </w:r>
      <w:r w:rsidRPr="00A84A20">
        <w:rPr>
          <w:i/>
          <w:iCs/>
          <w:sz w:val="24"/>
          <w:szCs w:val="24"/>
        </w:rPr>
        <w:t>Along the Archival Grain</w:t>
      </w:r>
      <w:r>
        <w:rPr>
          <w:i/>
          <w:iCs/>
          <w:sz w:val="24"/>
          <w:szCs w:val="24"/>
        </w:rPr>
        <w:t xml:space="preserve"> </w:t>
      </w:r>
      <w:r>
        <w:rPr>
          <w:sz w:val="24"/>
          <w:szCs w:val="24"/>
        </w:rPr>
        <w:t>(n 78)</w:t>
      </w:r>
      <w:r w:rsidRPr="00A84A20">
        <w:rPr>
          <w:sz w:val="24"/>
          <w:szCs w:val="24"/>
        </w:rPr>
        <w:t xml:space="preserve"> 3. See also Michel Foucault, </w:t>
      </w:r>
      <w:r w:rsidRPr="00A84A20">
        <w:rPr>
          <w:i/>
          <w:iCs/>
          <w:sz w:val="24"/>
          <w:szCs w:val="24"/>
        </w:rPr>
        <w:t xml:space="preserve">The Archaeology of </w:t>
      </w:r>
      <w:proofErr w:type="gramStart"/>
      <w:r w:rsidRPr="00A84A20">
        <w:rPr>
          <w:i/>
          <w:iCs/>
          <w:sz w:val="24"/>
          <w:szCs w:val="24"/>
        </w:rPr>
        <w:t>Knowledge</w:t>
      </w:r>
      <w:proofErr w:type="gramEnd"/>
      <w:r w:rsidRPr="00A84A20">
        <w:rPr>
          <w:i/>
          <w:iCs/>
          <w:sz w:val="24"/>
          <w:szCs w:val="24"/>
        </w:rPr>
        <w:t xml:space="preserve"> and the Discourse on Language</w:t>
      </w:r>
      <w:r>
        <w:rPr>
          <w:i/>
          <w:iCs/>
          <w:sz w:val="24"/>
          <w:szCs w:val="24"/>
        </w:rPr>
        <w:t xml:space="preserve"> </w:t>
      </w:r>
      <w:r>
        <w:rPr>
          <w:sz w:val="24"/>
          <w:szCs w:val="24"/>
        </w:rPr>
        <w:t>(</w:t>
      </w:r>
      <w:r w:rsidRPr="00A84A20">
        <w:rPr>
          <w:sz w:val="24"/>
          <w:szCs w:val="24"/>
        </w:rPr>
        <w:t>A. M. Sheridan Smith</w:t>
      </w:r>
      <w:r>
        <w:rPr>
          <w:sz w:val="24"/>
          <w:szCs w:val="24"/>
        </w:rPr>
        <w:t xml:space="preserve"> tr, </w:t>
      </w:r>
      <w:r w:rsidRPr="00A84A20">
        <w:rPr>
          <w:sz w:val="24"/>
          <w:szCs w:val="24"/>
        </w:rPr>
        <w:t>New York: Pantheon Books 1972), 129</w:t>
      </w:r>
      <w:r>
        <w:rPr>
          <w:sz w:val="24"/>
          <w:szCs w:val="24"/>
        </w:rPr>
        <w:t>-</w:t>
      </w:r>
      <w:r w:rsidRPr="00A84A20">
        <w:rPr>
          <w:sz w:val="24"/>
          <w:szCs w:val="24"/>
        </w:rPr>
        <w:t>30.</w:t>
      </w:r>
    </w:p>
  </w:footnote>
  <w:footnote w:id="152">
    <w:p w14:paraId="6BC67599"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Beatrice Jauregui, </w:t>
      </w:r>
      <w:r w:rsidRPr="00A84A20">
        <w:rPr>
          <w:i/>
          <w:iCs/>
          <w:sz w:val="24"/>
          <w:szCs w:val="24"/>
        </w:rPr>
        <w:t>Provisional Authority: Police, Order, and Security in India</w:t>
      </w:r>
      <w:r w:rsidRPr="00A84A20">
        <w:rPr>
          <w:sz w:val="24"/>
          <w:szCs w:val="24"/>
        </w:rPr>
        <w:t xml:space="preserve"> (Ranikhet: Permanent Black, 2016), 12</w:t>
      </w:r>
      <w:r>
        <w:rPr>
          <w:sz w:val="24"/>
          <w:szCs w:val="24"/>
        </w:rPr>
        <w:t xml:space="preserve"> (hereafter Jauregui, </w:t>
      </w:r>
      <w:r>
        <w:rPr>
          <w:i/>
          <w:iCs/>
          <w:sz w:val="24"/>
          <w:szCs w:val="24"/>
        </w:rPr>
        <w:t>Provisional Authority</w:t>
      </w:r>
      <w:r>
        <w:rPr>
          <w:sz w:val="24"/>
          <w:szCs w:val="24"/>
        </w:rPr>
        <w:t>)</w:t>
      </w:r>
      <w:r w:rsidRPr="00A84A20">
        <w:rPr>
          <w:sz w:val="24"/>
          <w:szCs w:val="24"/>
        </w:rPr>
        <w:t xml:space="preserve">. Prashant Kidambi’s suggestion of a shift, two decades ago, from viewing the colonial Indian police as a coercive instrument of colonial control that was external to society to regarding them as too weak to assume such a role (although a focus on coercion has again been at the forefront of more recent scholarship) may in part explain such a lacuna.  Kidambi, </w:t>
      </w:r>
      <w:proofErr w:type="gramStart"/>
      <w:r>
        <w:rPr>
          <w:sz w:val="24"/>
          <w:szCs w:val="24"/>
        </w:rPr>
        <w:t>‘”</w:t>
      </w:r>
      <w:r w:rsidRPr="00A84A20">
        <w:rPr>
          <w:sz w:val="24"/>
          <w:szCs w:val="24"/>
        </w:rPr>
        <w:t>The</w:t>
      </w:r>
      <w:proofErr w:type="gramEnd"/>
      <w:r w:rsidRPr="00A84A20">
        <w:rPr>
          <w:sz w:val="24"/>
          <w:szCs w:val="24"/>
        </w:rPr>
        <w:t xml:space="preserve"> ultimate masters of the city’</w:t>
      </w:r>
      <w:r>
        <w:rPr>
          <w:sz w:val="24"/>
          <w:szCs w:val="24"/>
        </w:rPr>
        <w:t xml:space="preserve">” (n 147) </w:t>
      </w:r>
      <w:r w:rsidRPr="00A84A20">
        <w:rPr>
          <w:sz w:val="24"/>
          <w:szCs w:val="24"/>
        </w:rPr>
        <w:t xml:space="preserve">para 2. The classic study on the coercive nature of the police in colonial India is Arnold, </w:t>
      </w:r>
      <w:r w:rsidRPr="00A84A20">
        <w:rPr>
          <w:i/>
          <w:iCs/>
          <w:sz w:val="24"/>
          <w:szCs w:val="24"/>
        </w:rPr>
        <w:t>Police Power</w:t>
      </w:r>
      <w:r>
        <w:rPr>
          <w:i/>
          <w:iCs/>
          <w:sz w:val="24"/>
          <w:szCs w:val="24"/>
        </w:rPr>
        <w:t xml:space="preserve"> </w:t>
      </w:r>
      <w:r>
        <w:rPr>
          <w:sz w:val="24"/>
          <w:szCs w:val="24"/>
        </w:rPr>
        <w:t>(n 140)</w:t>
      </w:r>
      <w:r w:rsidRPr="00A84A20">
        <w:rPr>
          <w:i/>
          <w:iCs/>
          <w:sz w:val="24"/>
          <w:szCs w:val="24"/>
        </w:rPr>
        <w:t xml:space="preserve">; </w:t>
      </w:r>
      <w:r w:rsidRPr="00A84A20">
        <w:rPr>
          <w:sz w:val="24"/>
          <w:szCs w:val="24"/>
        </w:rPr>
        <w:t xml:space="preserve">on their purported weakness see Anand Yang, </w:t>
      </w:r>
      <w:r>
        <w:rPr>
          <w:sz w:val="24"/>
          <w:szCs w:val="24"/>
        </w:rPr>
        <w:t>‘</w:t>
      </w:r>
      <w:r w:rsidRPr="00A84A20">
        <w:rPr>
          <w:sz w:val="24"/>
          <w:szCs w:val="24"/>
        </w:rPr>
        <w:t>Introduction</w:t>
      </w:r>
      <w:r>
        <w:rPr>
          <w:sz w:val="24"/>
          <w:szCs w:val="24"/>
        </w:rPr>
        <w:t>’</w:t>
      </w:r>
      <w:r w:rsidRPr="00A84A20">
        <w:rPr>
          <w:sz w:val="24"/>
          <w:szCs w:val="24"/>
        </w:rPr>
        <w:t xml:space="preserve">, in </w:t>
      </w:r>
      <w:r>
        <w:rPr>
          <w:sz w:val="24"/>
          <w:szCs w:val="24"/>
        </w:rPr>
        <w:t xml:space="preserve">Anand Yang (ed.), </w:t>
      </w:r>
      <w:r w:rsidRPr="00A84A20">
        <w:rPr>
          <w:i/>
          <w:iCs/>
          <w:sz w:val="24"/>
          <w:szCs w:val="24"/>
        </w:rPr>
        <w:t>Crime and Criminality in British India</w:t>
      </w:r>
      <w:r w:rsidRPr="00A84A20">
        <w:rPr>
          <w:sz w:val="24"/>
          <w:szCs w:val="24"/>
        </w:rPr>
        <w:t xml:space="preserve"> (Tucson, AZ: University of Arizona Press 1986), 1</w:t>
      </w:r>
      <w:r>
        <w:rPr>
          <w:sz w:val="24"/>
          <w:szCs w:val="24"/>
        </w:rPr>
        <w:t>-</w:t>
      </w:r>
      <w:r w:rsidRPr="00A84A20">
        <w:rPr>
          <w:sz w:val="24"/>
          <w:szCs w:val="24"/>
        </w:rPr>
        <w:t xml:space="preserve">25; Chandarvarker, </w:t>
      </w:r>
      <w:r w:rsidRPr="00A84A20">
        <w:rPr>
          <w:i/>
          <w:iCs/>
          <w:sz w:val="24"/>
          <w:szCs w:val="24"/>
        </w:rPr>
        <w:t>Imperial Power</w:t>
      </w:r>
      <w:r>
        <w:rPr>
          <w:i/>
          <w:iCs/>
          <w:sz w:val="24"/>
          <w:szCs w:val="24"/>
        </w:rPr>
        <w:t xml:space="preserve"> </w:t>
      </w:r>
      <w:r>
        <w:rPr>
          <w:sz w:val="24"/>
          <w:szCs w:val="24"/>
        </w:rPr>
        <w:t>(n 147)</w:t>
      </w:r>
      <w:r w:rsidRPr="00A84A20">
        <w:rPr>
          <w:sz w:val="24"/>
          <w:szCs w:val="24"/>
        </w:rPr>
        <w:t xml:space="preserve">; Gooptu, </w:t>
      </w:r>
      <w:r w:rsidRPr="00A84A20">
        <w:rPr>
          <w:i/>
          <w:iCs/>
          <w:sz w:val="24"/>
          <w:szCs w:val="24"/>
        </w:rPr>
        <w:t>The Politics of the Urban Poor</w:t>
      </w:r>
      <w:r>
        <w:rPr>
          <w:i/>
          <w:iCs/>
          <w:sz w:val="24"/>
          <w:szCs w:val="24"/>
        </w:rPr>
        <w:t xml:space="preserve"> </w:t>
      </w:r>
      <w:r>
        <w:rPr>
          <w:sz w:val="24"/>
          <w:szCs w:val="24"/>
        </w:rPr>
        <w:t>(n 147)</w:t>
      </w:r>
      <w:r w:rsidRPr="00A84A20">
        <w:rPr>
          <w:sz w:val="24"/>
          <w:szCs w:val="24"/>
        </w:rPr>
        <w:t xml:space="preserve">; and Campion, </w:t>
      </w:r>
      <w:r>
        <w:rPr>
          <w:sz w:val="24"/>
          <w:szCs w:val="24"/>
        </w:rPr>
        <w:t>‘</w:t>
      </w:r>
      <w:r w:rsidRPr="00A84A20">
        <w:rPr>
          <w:sz w:val="24"/>
          <w:szCs w:val="24"/>
        </w:rPr>
        <w:t>Watchmen of the Raj</w:t>
      </w:r>
      <w:r>
        <w:rPr>
          <w:sz w:val="24"/>
          <w:szCs w:val="24"/>
        </w:rPr>
        <w:t>’ (n 145)</w:t>
      </w:r>
      <w:r w:rsidRPr="00A84A20">
        <w:rPr>
          <w:sz w:val="24"/>
          <w:szCs w:val="24"/>
        </w:rPr>
        <w:t xml:space="preserve">. See also Egon Bittner, </w:t>
      </w:r>
      <w:r w:rsidRPr="00A84A20">
        <w:rPr>
          <w:i/>
          <w:iCs/>
          <w:sz w:val="24"/>
          <w:szCs w:val="24"/>
        </w:rPr>
        <w:t xml:space="preserve">The Functions of the Police in Modern Society </w:t>
      </w:r>
      <w:r w:rsidRPr="00A84A20">
        <w:rPr>
          <w:sz w:val="24"/>
          <w:szCs w:val="24"/>
        </w:rPr>
        <w:t>(Bethesda, MD: National Institute of Mental Health, Center for Studies of Crime and Delinquency 1970</w:t>
      </w:r>
      <w:r>
        <w:rPr>
          <w:sz w:val="24"/>
          <w:szCs w:val="24"/>
        </w:rPr>
        <w:t>)</w:t>
      </w:r>
      <w:r w:rsidRPr="00A84A20">
        <w:rPr>
          <w:sz w:val="24"/>
          <w:szCs w:val="24"/>
        </w:rPr>
        <w:t xml:space="preserve">; Shailendra Misra, </w:t>
      </w:r>
      <w:r w:rsidRPr="00A84A20">
        <w:rPr>
          <w:bCs/>
          <w:i/>
          <w:sz w:val="24"/>
          <w:szCs w:val="24"/>
        </w:rPr>
        <w:t>Police Brutality: An Analysis of Police Behaviour</w:t>
      </w:r>
      <w:r w:rsidRPr="00A84A20">
        <w:rPr>
          <w:bCs/>
          <w:sz w:val="24"/>
          <w:szCs w:val="24"/>
        </w:rPr>
        <w:t xml:space="preserve"> (New Delhi: Vikas Publishing House Pvt. Ltd. 1986)</w:t>
      </w:r>
      <w:r w:rsidRPr="00A84A20">
        <w:rPr>
          <w:sz w:val="24"/>
          <w:szCs w:val="24"/>
        </w:rPr>
        <w:t xml:space="preserve">; </w:t>
      </w:r>
      <w:r>
        <w:rPr>
          <w:sz w:val="24"/>
          <w:szCs w:val="24"/>
        </w:rPr>
        <w:t xml:space="preserve">Egon Bittner, </w:t>
      </w:r>
      <w:r w:rsidRPr="00A84A20">
        <w:rPr>
          <w:i/>
          <w:iCs/>
          <w:sz w:val="24"/>
          <w:szCs w:val="24"/>
        </w:rPr>
        <w:t xml:space="preserve">Aspects of Police Work </w:t>
      </w:r>
      <w:r w:rsidRPr="00A84A20">
        <w:rPr>
          <w:sz w:val="24"/>
          <w:szCs w:val="24"/>
        </w:rPr>
        <w:t>(Boston: Northeastern University Press 1990)</w:t>
      </w:r>
      <w:r>
        <w:rPr>
          <w:sz w:val="24"/>
          <w:szCs w:val="24"/>
        </w:rPr>
        <w:t xml:space="preserve">; </w:t>
      </w:r>
      <w:r w:rsidRPr="00A84A20">
        <w:rPr>
          <w:sz w:val="24"/>
          <w:szCs w:val="24"/>
        </w:rPr>
        <w:t>Huggins, Haritos</w:t>
      </w:r>
      <w:r>
        <w:rPr>
          <w:sz w:val="24"/>
          <w:szCs w:val="24"/>
        </w:rPr>
        <w:t>-</w:t>
      </w:r>
      <w:r w:rsidRPr="00A84A20">
        <w:rPr>
          <w:sz w:val="24"/>
          <w:szCs w:val="24"/>
        </w:rPr>
        <w:t>Fatouros</w:t>
      </w:r>
      <w:r>
        <w:rPr>
          <w:sz w:val="24"/>
          <w:szCs w:val="24"/>
        </w:rPr>
        <w:t>,</w:t>
      </w:r>
      <w:r w:rsidRPr="00A84A20">
        <w:rPr>
          <w:sz w:val="24"/>
          <w:szCs w:val="24"/>
        </w:rPr>
        <w:t xml:space="preserve"> and Zimbardo, </w:t>
      </w:r>
      <w:r w:rsidRPr="00A84A20">
        <w:rPr>
          <w:i/>
          <w:iCs/>
          <w:sz w:val="24"/>
          <w:szCs w:val="24"/>
        </w:rPr>
        <w:t>Violence Workers</w:t>
      </w:r>
      <w:r>
        <w:rPr>
          <w:i/>
          <w:iCs/>
          <w:sz w:val="24"/>
          <w:szCs w:val="24"/>
        </w:rPr>
        <w:t xml:space="preserve"> </w:t>
      </w:r>
      <w:r>
        <w:rPr>
          <w:sz w:val="24"/>
          <w:szCs w:val="24"/>
        </w:rPr>
        <w:t>(n 54)</w:t>
      </w:r>
      <w:r w:rsidRPr="00A84A20">
        <w:rPr>
          <w:i/>
          <w:iCs/>
          <w:sz w:val="24"/>
          <w:szCs w:val="24"/>
        </w:rPr>
        <w:t xml:space="preserve">; </w:t>
      </w:r>
      <w:r w:rsidRPr="00A84A20">
        <w:rPr>
          <w:sz w:val="24"/>
          <w:szCs w:val="24"/>
        </w:rPr>
        <w:t xml:space="preserve">Beatrice Jauregui, </w:t>
      </w:r>
      <w:r>
        <w:rPr>
          <w:sz w:val="24"/>
          <w:szCs w:val="24"/>
        </w:rPr>
        <w:t>‘</w:t>
      </w:r>
      <w:r w:rsidRPr="00A84A20">
        <w:rPr>
          <w:sz w:val="24"/>
          <w:szCs w:val="24"/>
        </w:rPr>
        <w:t>Law and Order: Police Encounter Killings and Routinized Political Violence</w:t>
      </w:r>
      <w:r>
        <w:rPr>
          <w:sz w:val="24"/>
          <w:szCs w:val="24"/>
        </w:rPr>
        <w:t>’</w:t>
      </w:r>
      <w:r w:rsidRPr="00A84A20">
        <w:rPr>
          <w:sz w:val="24"/>
          <w:szCs w:val="24"/>
        </w:rPr>
        <w:t>, in Isaelle Clark</w:t>
      </w:r>
      <w:r>
        <w:rPr>
          <w:sz w:val="24"/>
          <w:szCs w:val="24"/>
        </w:rPr>
        <w:t>-</w:t>
      </w:r>
      <w:r w:rsidRPr="00A84A20">
        <w:rPr>
          <w:sz w:val="24"/>
          <w:szCs w:val="24"/>
        </w:rPr>
        <w:t>Decès</w:t>
      </w:r>
      <w:r>
        <w:rPr>
          <w:sz w:val="24"/>
          <w:szCs w:val="24"/>
        </w:rPr>
        <w:t xml:space="preserve"> (ed.)</w:t>
      </w:r>
      <w:r w:rsidRPr="00A84A20">
        <w:rPr>
          <w:sz w:val="24"/>
          <w:szCs w:val="24"/>
        </w:rPr>
        <w:t xml:space="preserve">, </w:t>
      </w:r>
      <w:r w:rsidRPr="00A84A20">
        <w:rPr>
          <w:i/>
          <w:iCs/>
          <w:sz w:val="24"/>
          <w:szCs w:val="24"/>
        </w:rPr>
        <w:t>A Companion to the Anthropology of India</w:t>
      </w:r>
      <w:r w:rsidRPr="00A84A20">
        <w:rPr>
          <w:sz w:val="24"/>
          <w:szCs w:val="24"/>
        </w:rPr>
        <w:t xml:space="preserve"> (Oxford: Wiley</w:t>
      </w:r>
      <w:r>
        <w:rPr>
          <w:sz w:val="24"/>
          <w:szCs w:val="24"/>
        </w:rPr>
        <w:t>-</w:t>
      </w:r>
      <w:r w:rsidRPr="00A84A20">
        <w:rPr>
          <w:sz w:val="24"/>
          <w:szCs w:val="24"/>
        </w:rPr>
        <w:t>Blackwell, 2010), 371</w:t>
      </w:r>
      <w:r>
        <w:rPr>
          <w:sz w:val="24"/>
          <w:szCs w:val="24"/>
        </w:rPr>
        <w:t>-</w:t>
      </w:r>
      <w:r w:rsidRPr="00A84A20">
        <w:rPr>
          <w:sz w:val="24"/>
          <w:szCs w:val="24"/>
        </w:rPr>
        <w:t>88</w:t>
      </w:r>
      <w:r>
        <w:rPr>
          <w:sz w:val="24"/>
          <w:szCs w:val="24"/>
        </w:rPr>
        <w:t xml:space="preserve">; </w:t>
      </w:r>
      <w:r w:rsidRPr="00A84A20">
        <w:rPr>
          <w:sz w:val="24"/>
          <w:szCs w:val="24"/>
        </w:rPr>
        <w:t xml:space="preserve">Lokaneeta, </w:t>
      </w:r>
      <w:r w:rsidRPr="00A84A20">
        <w:rPr>
          <w:i/>
          <w:iCs/>
          <w:sz w:val="24"/>
          <w:szCs w:val="24"/>
        </w:rPr>
        <w:t xml:space="preserve">Transnational Torture </w:t>
      </w:r>
      <w:r>
        <w:rPr>
          <w:sz w:val="24"/>
          <w:szCs w:val="24"/>
        </w:rPr>
        <w:t xml:space="preserve">(n 36); Beatrice Jauregui, </w:t>
      </w:r>
      <w:r>
        <w:rPr>
          <w:color w:val="333333"/>
          <w:sz w:val="24"/>
          <w:szCs w:val="24"/>
          <w:shd w:val="clear" w:color="auto" w:fill="FFFFFF"/>
        </w:rPr>
        <w:t>‘</w:t>
      </w:r>
      <w:r w:rsidRPr="00A84A20">
        <w:rPr>
          <w:color w:val="333333"/>
          <w:sz w:val="24"/>
          <w:szCs w:val="24"/>
          <w:shd w:val="clear" w:color="auto" w:fill="FFFFFF"/>
        </w:rPr>
        <w:t>Just War: The Metaphysics of Police Vigilantism in India</w:t>
      </w:r>
      <w:r>
        <w:rPr>
          <w:color w:val="333333"/>
          <w:sz w:val="24"/>
          <w:szCs w:val="24"/>
          <w:shd w:val="clear" w:color="auto" w:fill="FFFFFF"/>
        </w:rPr>
        <w:t>’</w:t>
      </w:r>
      <w:r w:rsidRPr="00A84A20">
        <w:rPr>
          <w:color w:val="333333"/>
          <w:sz w:val="24"/>
          <w:szCs w:val="24"/>
          <w:shd w:val="clear" w:color="auto" w:fill="FFFFFF"/>
        </w:rPr>
        <w:t>, </w:t>
      </w:r>
      <w:r w:rsidRPr="00A84A20">
        <w:rPr>
          <w:i/>
          <w:iCs/>
          <w:color w:val="333333"/>
          <w:sz w:val="24"/>
          <w:szCs w:val="24"/>
          <w:bdr w:val="none" w:sz="0" w:space="0" w:color="auto" w:frame="1"/>
          <w:shd w:val="clear" w:color="auto" w:fill="FFFFFF"/>
        </w:rPr>
        <w:t>Conflict and Society</w:t>
      </w:r>
      <w:r>
        <w:rPr>
          <w:color w:val="333333"/>
          <w:sz w:val="24"/>
          <w:szCs w:val="24"/>
          <w:shd w:val="clear" w:color="auto" w:fill="FFFFFF"/>
        </w:rPr>
        <w:t xml:space="preserve"> </w:t>
      </w:r>
      <w:r w:rsidRPr="00A84A20">
        <w:rPr>
          <w:color w:val="333333"/>
          <w:sz w:val="24"/>
          <w:szCs w:val="24"/>
          <w:shd w:val="clear" w:color="auto" w:fill="FFFFFF"/>
        </w:rPr>
        <w:t>1</w:t>
      </w:r>
      <w:r>
        <w:rPr>
          <w:color w:val="333333"/>
          <w:sz w:val="24"/>
          <w:szCs w:val="24"/>
          <w:shd w:val="clear" w:color="auto" w:fill="FFFFFF"/>
        </w:rPr>
        <w:t>/</w:t>
      </w:r>
      <w:r w:rsidRPr="00A84A20">
        <w:rPr>
          <w:color w:val="333333"/>
          <w:sz w:val="24"/>
          <w:szCs w:val="24"/>
          <w:shd w:val="clear" w:color="auto" w:fill="FFFFFF"/>
        </w:rPr>
        <w:t>1 (2015)</w:t>
      </w:r>
      <w:r>
        <w:rPr>
          <w:color w:val="333333"/>
          <w:sz w:val="24"/>
          <w:szCs w:val="24"/>
          <w:shd w:val="clear" w:color="auto" w:fill="FFFFFF"/>
        </w:rPr>
        <w:t>,</w:t>
      </w:r>
      <w:r w:rsidRPr="00A84A20">
        <w:rPr>
          <w:color w:val="333333"/>
          <w:sz w:val="24"/>
          <w:szCs w:val="24"/>
          <w:shd w:val="clear" w:color="auto" w:fill="FFFFFF"/>
        </w:rPr>
        <w:t xml:space="preserve"> 41</w:t>
      </w:r>
      <w:r>
        <w:rPr>
          <w:color w:val="333333"/>
          <w:sz w:val="24"/>
          <w:szCs w:val="24"/>
          <w:shd w:val="clear" w:color="auto" w:fill="FFFFFF"/>
        </w:rPr>
        <w:t>-</w:t>
      </w:r>
      <w:r w:rsidRPr="00A84A20">
        <w:rPr>
          <w:color w:val="333333"/>
          <w:sz w:val="24"/>
          <w:szCs w:val="24"/>
          <w:shd w:val="clear" w:color="auto" w:fill="FFFFFF"/>
        </w:rPr>
        <w:t>59</w:t>
      </w:r>
      <w:r>
        <w:rPr>
          <w:color w:val="333333"/>
          <w:sz w:val="24"/>
          <w:szCs w:val="24"/>
          <w:shd w:val="clear" w:color="auto" w:fill="FFFFFF"/>
        </w:rPr>
        <w:t>; Beatrice Jauregui,</w:t>
      </w:r>
      <w:r w:rsidRPr="00A84A20">
        <w:rPr>
          <w:color w:val="333333"/>
          <w:sz w:val="24"/>
          <w:szCs w:val="24"/>
          <w:shd w:val="clear" w:color="auto" w:fill="FFFFFF"/>
        </w:rPr>
        <w:t xml:space="preserve"> </w:t>
      </w:r>
      <w:r w:rsidRPr="00A84A20">
        <w:rPr>
          <w:i/>
          <w:iCs/>
          <w:color w:val="333333"/>
          <w:sz w:val="24"/>
          <w:szCs w:val="24"/>
          <w:shd w:val="clear" w:color="auto" w:fill="FFFFFF"/>
        </w:rPr>
        <w:t>Provisional Authority</w:t>
      </w:r>
      <w:r>
        <w:rPr>
          <w:i/>
          <w:iCs/>
          <w:color w:val="333333"/>
          <w:sz w:val="24"/>
          <w:szCs w:val="24"/>
          <w:shd w:val="clear" w:color="auto" w:fill="FFFFFF"/>
        </w:rPr>
        <w:t xml:space="preserve"> </w:t>
      </w:r>
      <w:r>
        <w:rPr>
          <w:color w:val="333333"/>
          <w:sz w:val="24"/>
          <w:szCs w:val="24"/>
          <w:shd w:val="clear" w:color="auto" w:fill="FFFFFF"/>
        </w:rPr>
        <w:t>(n 151)</w:t>
      </w:r>
      <w:r w:rsidRPr="00A84A20">
        <w:rPr>
          <w:sz w:val="24"/>
          <w:szCs w:val="24"/>
        </w:rPr>
        <w:t xml:space="preserve">; </w:t>
      </w:r>
      <w:r>
        <w:rPr>
          <w:sz w:val="24"/>
          <w:szCs w:val="24"/>
        </w:rPr>
        <w:t>Lokaneeta,</w:t>
      </w:r>
      <w:r w:rsidRPr="00A84A20">
        <w:rPr>
          <w:sz w:val="24"/>
          <w:szCs w:val="24"/>
        </w:rPr>
        <w:t xml:space="preserve"> </w:t>
      </w:r>
      <w:r w:rsidRPr="00A84A20">
        <w:rPr>
          <w:i/>
          <w:iCs/>
          <w:sz w:val="24"/>
          <w:szCs w:val="24"/>
        </w:rPr>
        <w:t>The Truth Machines</w:t>
      </w:r>
      <w:r>
        <w:rPr>
          <w:i/>
          <w:iCs/>
          <w:sz w:val="24"/>
          <w:szCs w:val="24"/>
        </w:rPr>
        <w:t xml:space="preserve"> </w:t>
      </w:r>
      <w:r>
        <w:rPr>
          <w:sz w:val="24"/>
          <w:szCs w:val="24"/>
        </w:rPr>
        <w:t>(n 51)</w:t>
      </w:r>
      <w:r w:rsidRPr="00A84A20">
        <w:rPr>
          <w:i/>
          <w:iCs/>
          <w:sz w:val="24"/>
          <w:szCs w:val="24"/>
        </w:rPr>
        <w:t xml:space="preserve">; </w:t>
      </w:r>
      <w:r w:rsidRPr="00A84A20">
        <w:rPr>
          <w:sz w:val="24"/>
          <w:szCs w:val="24"/>
        </w:rPr>
        <w:t xml:space="preserve">Wahl, </w:t>
      </w:r>
      <w:r w:rsidRPr="00A84A20">
        <w:rPr>
          <w:i/>
          <w:iCs/>
          <w:sz w:val="24"/>
          <w:szCs w:val="24"/>
        </w:rPr>
        <w:t>Just Violence</w:t>
      </w:r>
      <w:r>
        <w:rPr>
          <w:i/>
          <w:iCs/>
          <w:sz w:val="24"/>
          <w:szCs w:val="24"/>
        </w:rPr>
        <w:t xml:space="preserve"> </w:t>
      </w:r>
      <w:r>
        <w:rPr>
          <w:sz w:val="24"/>
          <w:szCs w:val="24"/>
        </w:rPr>
        <w:t>(n 51)</w:t>
      </w:r>
      <w:r w:rsidRPr="00A84A20">
        <w:rPr>
          <w:sz w:val="24"/>
          <w:szCs w:val="24"/>
        </w:rPr>
        <w:t xml:space="preserve">; and Khanikar, </w:t>
      </w:r>
      <w:r w:rsidRPr="00A84A20">
        <w:rPr>
          <w:i/>
          <w:iCs/>
          <w:sz w:val="24"/>
          <w:szCs w:val="24"/>
        </w:rPr>
        <w:t>State</w:t>
      </w:r>
      <w:r>
        <w:rPr>
          <w:i/>
          <w:iCs/>
          <w:sz w:val="24"/>
          <w:szCs w:val="24"/>
        </w:rPr>
        <w:t>,</w:t>
      </w:r>
      <w:r w:rsidRPr="00A84A20">
        <w:rPr>
          <w:i/>
          <w:iCs/>
          <w:sz w:val="24"/>
          <w:szCs w:val="24"/>
        </w:rPr>
        <w:t xml:space="preserve"> Violence</w:t>
      </w:r>
      <w:r>
        <w:rPr>
          <w:i/>
          <w:iCs/>
          <w:sz w:val="24"/>
          <w:szCs w:val="24"/>
        </w:rPr>
        <w:t xml:space="preserve"> and Legitimacy </w:t>
      </w:r>
      <w:r>
        <w:rPr>
          <w:sz w:val="24"/>
          <w:szCs w:val="24"/>
        </w:rPr>
        <w:t>(n 59)</w:t>
      </w:r>
      <w:r w:rsidRPr="00A84A20">
        <w:rPr>
          <w:i/>
          <w:iCs/>
          <w:sz w:val="24"/>
          <w:szCs w:val="24"/>
        </w:rPr>
        <w:t>.</w:t>
      </w:r>
    </w:p>
  </w:footnote>
  <w:footnote w:id="153">
    <w:p w14:paraId="379A70E2"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Ibid. See, for example, Benjamin, </w:t>
      </w:r>
      <w:r>
        <w:rPr>
          <w:sz w:val="24"/>
          <w:szCs w:val="24"/>
        </w:rPr>
        <w:t>‘</w:t>
      </w:r>
      <w:r w:rsidRPr="00A84A20">
        <w:rPr>
          <w:sz w:val="24"/>
          <w:szCs w:val="24"/>
        </w:rPr>
        <w:t>Critique of Violence</w:t>
      </w:r>
      <w:r>
        <w:rPr>
          <w:sz w:val="24"/>
          <w:szCs w:val="24"/>
        </w:rPr>
        <w:t>’ (n 53)</w:t>
      </w:r>
      <w:r w:rsidRPr="00A84A20">
        <w:rPr>
          <w:sz w:val="24"/>
          <w:szCs w:val="24"/>
        </w:rPr>
        <w:t xml:space="preserve">; Hannah Arendt, </w:t>
      </w:r>
      <w:r w:rsidRPr="00A84A20">
        <w:rPr>
          <w:i/>
          <w:iCs/>
          <w:sz w:val="24"/>
          <w:szCs w:val="24"/>
        </w:rPr>
        <w:t xml:space="preserve">The Origins of Totalitarianism </w:t>
      </w:r>
      <w:r w:rsidRPr="00A84A20">
        <w:rPr>
          <w:sz w:val="24"/>
          <w:szCs w:val="24"/>
        </w:rPr>
        <w:t xml:space="preserve">(New York: </w:t>
      </w:r>
      <w:r>
        <w:rPr>
          <w:sz w:val="24"/>
          <w:szCs w:val="24"/>
        </w:rPr>
        <w:t>Schoken</w:t>
      </w:r>
      <w:r w:rsidRPr="00A84A20">
        <w:rPr>
          <w:sz w:val="24"/>
          <w:szCs w:val="24"/>
        </w:rPr>
        <w:t xml:space="preserve"> 1951)</w:t>
      </w:r>
      <w:r>
        <w:rPr>
          <w:sz w:val="24"/>
          <w:szCs w:val="24"/>
        </w:rPr>
        <w:t xml:space="preserve">; Hannah Arendt, </w:t>
      </w:r>
      <w:r w:rsidRPr="00A84A20">
        <w:rPr>
          <w:i/>
          <w:iCs/>
          <w:sz w:val="24"/>
          <w:szCs w:val="24"/>
        </w:rPr>
        <w:t>The Human Condition</w:t>
      </w:r>
      <w:r w:rsidRPr="00A84A20">
        <w:rPr>
          <w:sz w:val="24"/>
          <w:szCs w:val="24"/>
        </w:rPr>
        <w:t xml:space="preserve"> (Chicago: University of Chicago Press 1998); </w:t>
      </w:r>
      <w:r>
        <w:rPr>
          <w:sz w:val="24"/>
          <w:szCs w:val="24"/>
        </w:rPr>
        <w:t xml:space="preserve">and </w:t>
      </w:r>
      <w:r w:rsidRPr="00A84A20">
        <w:rPr>
          <w:sz w:val="24"/>
          <w:szCs w:val="24"/>
        </w:rPr>
        <w:t xml:space="preserve">Jacques Derrida, </w:t>
      </w:r>
      <w:r>
        <w:rPr>
          <w:sz w:val="24"/>
          <w:szCs w:val="24"/>
        </w:rPr>
        <w:t>‘</w:t>
      </w:r>
      <w:r w:rsidRPr="00A84A20">
        <w:rPr>
          <w:sz w:val="24"/>
          <w:szCs w:val="24"/>
        </w:rPr>
        <w:t xml:space="preserve">Force of Law: The </w:t>
      </w:r>
      <w:r>
        <w:rPr>
          <w:sz w:val="24"/>
          <w:szCs w:val="24"/>
        </w:rPr>
        <w:t>“</w:t>
      </w:r>
      <w:r w:rsidRPr="00A84A20">
        <w:rPr>
          <w:sz w:val="24"/>
          <w:szCs w:val="24"/>
        </w:rPr>
        <w:t>Mystical Foundations of Authority</w:t>
      </w:r>
      <w:r>
        <w:rPr>
          <w:sz w:val="24"/>
          <w:szCs w:val="24"/>
        </w:rPr>
        <w:t>”’</w:t>
      </w:r>
      <w:r w:rsidRPr="00A84A20">
        <w:rPr>
          <w:sz w:val="24"/>
          <w:szCs w:val="24"/>
        </w:rPr>
        <w:t xml:space="preserve">, in Drucilla Cornell, Michael Rosenfeld, and David Gray Carlson </w:t>
      </w:r>
      <w:r>
        <w:rPr>
          <w:sz w:val="24"/>
          <w:szCs w:val="24"/>
        </w:rPr>
        <w:t xml:space="preserve">(eds), </w:t>
      </w:r>
      <w:r w:rsidRPr="00A84A20">
        <w:rPr>
          <w:i/>
          <w:sz w:val="24"/>
          <w:szCs w:val="24"/>
        </w:rPr>
        <w:t>Deconstruction and the Possibility of Justice</w:t>
      </w:r>
      <w:r w:rsidRPr="00A84A20">
        <w:rPr>
          <w:sz w:val="24"/>
          <w:szCs w:val="24"/>
        </w:rPr>
        <w:t>, (New York: Routledge 1992), 3</w:t>
      </w:r>
      <w:r>
        <w:rPr>
          <w:sz w:val="24"/>
          <w:szCs w:val="24"/>
        </w:rPr>
        <w:t>-</w:t>
      </w:r>
      <w:r w:rsidRPr="00A84A20">
        <w:rPr>
          <w:sz w:val="24"/>
          <w:szCs w:val="24"/>
        </w:rPr>
        <w:t>67.</w:t>
      </w:r>
    </w:p>
  </w:footnote>
  <w:footnote w:id="154">
    <w:p w14:paraId="3AE96325"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Lokaneeta, </w:t>
      </w:r>
      <w:r w:rsidRPr="00A84A20">
        <w:rPr>
          <w:i/>
          <w:iCs/>
          <w:sz w:val="24"/>
          <w:szCs w:val="24"/>
        </w:rPr>
        <w:t>Truth Machines</w:t>
      </w:r>
      <w:r>
        <w:rPr>
          <w:i/>
          <w:iCs/>
          <w:sz w:val="24"/>
          <w:szCs w:val="24"/>
        </w:rPr>
        <w:t xml:space="preserve"> </w:t>
      </w:r>
      <w:r>
        <w:rPr>
          <w:sz w:val="24"/>
          <w:szCs w:val="24"/>
        </w:rPr>
        <w:t>(n 51)</w:t>
      </w:r>
      <w:r w:rsidRPr="00A84A20">
        <w:rPr>
          <w:i/>
          <w:iCs/>
          <w:sz w:val="24"/>
          <w:szCs w:val="24"/>
        </w:rPr>
        <w:t xml:space="preserve"> </w:t>
      </w:r>
      <w:r w:rsidRPr="00A84A20">
        <w:rPr>
          <w:sz w:val="24"/>
          <w:szCs w:val="24"/>
        </w:rPr>
        <w:t xml:space="preserve">16. See also Max Weber, </w:t>
      </w:r>
      <w:r>
        <w:rPr>
          <w:color w:val="000000"/>
          <w:sz w:val="24"/>
          <w:szCs w:val="24"/>
        </w:rPr>
        <w:t>‘</w:t>
      </w:r>
      <w:r w:rsidRPr="00A84A20">
        <w:rPr>
          <w:color w:val="000000"/>
          <w:sz w:val="24"/>
          <w:szCs w:val="24"/>
        </w:rPr>
        <w:t>Bureaucracy</w:t>
      </w:r>
      <w:r>
        <w:rPr>
          <w:color w:val="000000"/>
          <w:sz w:val="24"/>
          <w:szCs w:val="24"/>
        </w:rPr>
        <w:t>’</w:t>
      </w:r>
      <w:r w:rsidRPr="00A84A20">
        <w:rPr>
          <w:color w:val="000000"/>
          <w:sz w:val="24"/>
          <w:szCs w:val="24"/>
        </w:rPr>
        <w:t xml:space="preserve">, in Guenther Roth and Claus Wittich (eds), </w:t>
      </w:r>
      <w:r w:rsidRPr="00A84A20">
        <w:rPr>
          <w:i/>
          <w:iCs/>
          <w:color w:val="000000"/>
          <w:sz w:val="24"/>
          <w:szCs w:val="24"/>
        </w:rPr>
        <w:t>Economy and Society: An Outline of Interpretive Sociology</w:t>
      </w:r>
      <w:r w:rsidRPr="00A84A20">
        <w:rPr>
          <w:color w:val="000000"/>
          <w:sz w:val="24"/>
          <w:szCs w:val="24"/>
        </w:rPr>
        <w:t xml:space="preserve">, </w:t>
      </w:r>
      <w:r>
        <w:rPr>
          <w:color w:val="000000"/>
          <w:sz w:val="24"/>
          <w:szCs w:val="24"/>
        </w:rPr>
        <w:t>Vol. 1</w:t>
      </w:r>
      <w:r w:rsidRPr="00A84A20">
        <w:rPr>
          <w:color w:val="000000"/>
          <w:sz w:val="24"/>
          <w:szCs w:val="24"/>
        </w:rPr>
        <w:t xml:space="preserve"> (</w:t>
      </w:r>
      <w:r>
        <w:rPr>
          <w:color w:val="000000"/>
          <w:sz w:val="24"/>
          <w:szCs w:val="24"/>
        </w:rPr>
        <w:t xml:space="preserve">first published in 1921, </w:t>
      </w:r>
      <w:r w:rsidRPr="00A84A20">
        <w:rPr>
          <w:color w:val="000000"/>
          <w:sz w:val="24"/>
          <w:szCs w:val="24"/>
        </w:rPr>
        <w:t>New York: Bedminster Press 1968), 956</w:t>
      </w:r>
      <w:r>
        <w:rPr>
          <w:color w:val="000000"/>
          <w:sz w:val="24"/>
          <w:szCs w:val="24"/>
        </w:rPr>
        <w:t>-</w:t>
      </w:r>
      <w:r w:rsidRPr="00A84A20">
        <w:rPr>
          <w:color w:val="000000"/>
          <w:sz w:val="24"/>
          <w:szCs w:val="24"/>
        </w:rPr>
        <w:t xml:space="preserve">58 ; and </w:t>
      </w:r>
      <w:r>
        <w:rPr>
          <w:color w:val="000000"/>
          <w:sz w:val="24"/>
          <w:szCs w:val="24"/>
        </w:rPr>
        <w:t xml:space="preserve">Max Weber, </w:t>
      </w:r>
      <w:r>
        <w:rPr>
          <w:sz w:val="24"/>
          <w:szCs w:val="24"/>
        </w:rPr>
        <w:t>‘</w:t>
      </w:r>
      <w:r w:rsidRPr="00A84A20">
        <w:rPr>
          <w:sz w:val="24"/>
          <w:szCs w:val="24"/>
        </w:rPr>
        <w:t>The Economic System and the Normative Orders</w:t>
      </w:r>
      <w:r>
        <w:rPr>
          <w:sz w:val="24"/>
          <w:szCs w:val="24"/>
        </w:rPr>
        <w:t>’</w:t>
      </w:r>
      <w:r w:rsidRPr="00A84A20">
        <w:rPr>
          <w:sz w:val="24"/>
          <w:szCs w:val="24"/>
        </w:rPr>
        <w:t xml:space="preserve">, in Max Rheinstein (ed.), </w:t>
      </w:r>
      <w:r w:rsidRPr="00A84A20">
        <w:rPr>
          <w:i/>
          <w:iCs/>
          <w:sz w:val="24"/>
          <w:szCs w:val="24"/>
        </w:rPr>
        <w:t>Max Weber on Law, Economy and Society</w:t>
      </w:r>
      <w:r w:rsidRPr="00A84A20">
        <w:rPr>
          <w:sz w:val="24"/>
          <w:szCs w:val="24"/>
        </w:rPr>
        <w:t xml:space="preserve"> (</w:t>
      </w:r>
      <w:r>
        <w:rPr>
          <w:sz w:val="24"/>
          <w:szCs w:val="24"/>
        </w:rPr>
        <w:t xml:space="preserve">first published in 1922, </w:t>
      </w:r>
      <w:r w:rsidRPr="00A84A20">
        <w:rPr>
          <w:sz w:val="24"/>
          <w:szCs w:val="24"/>
        </w:rPr>
        <w:t xml:space="preserve">Max Rheinstein and Edward A. Shils </w:t>
      </w:r>
      <w:r>
        <w:rPr>
          <w:sz w:val="24"/>
          <w:szCs w:val="24"/>
        </w:rPr>
        <w:t xml:space="preserve">tr, </w:t>
      </w:r>
      <w:r w:rsidRPr="00A84A20">
        <w:rPr>
          <w:sz w:val="24"/>
          <w:szCs w:val="24"/>
        </w:rPr>
        <w:t>Cambridge, MA: Harvard University Press, 1954), 10</w:t>
      </w:r>
      <w:r>
        <w:rPr>
          <w:sz w:val="24"/>
          <w:szCs w:val="24"/>
        </w:rPr>
        <w:t>-</w:t>
      </w:r>
      <w:r w:rsidRPr="00A84A20">
        <w:rPr>
          <w:sz w:val="24"/>
          <w:szCs w:val="24"/>
        </w:rPr>
        <w:t xml:space="preserve">40. </w:t>
      </w:r>
    </w:p>
  </w:footnote>
  <w:footnote w:id="155">
    <w:p w14:paraId="268D6280" w14:textId="77777777" w:rsidR="00997966" w:rsidRPr="00A84A20" w:rsidRDefault="00997966" w:rsidP="00997966">
      <w:pPr>
        <w:pStyle w:val="FootnoteText"/>
        <w:spacing w:line="480" w:lineRule="auto"/>
        <w:rPr>
          <w:color w:val="000000"/>
          <w:sz w:val="24"/>
          <w:szCs w:val="24"/>
        </w:rPr>
      </w:pPr>
      <w:r w:rsidRPr="00A84A20">
        <w:rPr>
          <w:rStyle w:val="FootnoteReference"/>
          <w:sz w:val="24"/>
          <w:szCs w:val="24"/>
        </w:rPr>
        <w:footnoteRef/>
      </w:r>
      <w:r w:rsidRPr="00A84A20">
        <w:rPr>
          <w:sz w:val="24"/>
          <w:szCs w:val="24"/>
        </w:rPr>
        <w:t xml:space="preserve"> The same is true, however, </w:t>
      </w:r>
      <w:r>
        <w:rPr>
          <w:sz w:val="24"/>
          <w:szCs w:val="24"/>
        </w:rPr>
        <w:t>of</w:t>
      </w:r>
      <w:r w:rsidRPr="00A84A20">
        <w:rPr>
          <w:sz w:val="24"/>
          <w:szCs w:val="24"/>
        </w:rPr>
        <w:t xml:space="preserve"> the post</w:t>
      </w:r>
      <w:r>
        <w:rPr>
          <w:sz w:val="24"/>
          <w:szCs w:val="24"/>
        </w:rPr>
        <w:t>-</w:t>
      </w:r>
      <w:r w:rsidRPr="00A84A20">
        <w:rPr>
          <w:sz w:val="24"/>
          <w:szCs w:val="24"/>
        </w:rPr>
        <w:t>colonial state. The scholars who do explore the relationship between violence, policing</w:t>
      </w:r>
      <w:r>
        <w:rPr>
          <w:sz w:val="24"/>
          <w:szCs w:val="24"/>
        </w:rPr>
        <w:t>,</w:t>
      </w:r>
      <w:r w:rsidRPr="00A84A20">
        <w:rPr>
          <w:sz w:val="24"/>
          <w:szCs w:val="24"/>
        </w:rPr>
        <w:t xml:space="preserve"> and the state</w:t>
      </w:r>
      <w:r>
        <w:rPr>
          <w:sz w:val="24"/>
          <w:szCs w:val="24"/>
        </w:rPr>
        <w:t>—</w:t>
      </w:r>
      <w:r w:rsidRPr="00A84A20">
        <w:rPr>
          <w:sz w:val="24"/>
          <w:szCs w:val="24"/>
        </w:rPr>
        <w:t>individuals such as K. G. Kannabrian, Kandalla Balagopal</w:t>
      </w:r>
      <w:r>
        <w:rPr>
          <w:sz w:val="24"/>
          <w:szCs w:val="24"/>
        </w:rPr>
        <w:t>,</w:t>
      </w:r>
      <w:r w:rsidRPr="00A84A20">
        <w:rPr>
          <w:sz w:val="24"/>
          <w:szCs w:val="24"/>
        </w:rPr>
        <w:t xml:space="preserve"> and Ujjwal Singh, are also all, notably, civil liberties and democratic rights activists. Lokaneeta, </w:t>
      </w:r>
      <w:r w:rsidRPr="00A84A20">
        <w:rPr>
          <w:i/>
          <w:iCs/>
          <w:sz w:val="24"/>
          <w:szCs w:val="24"/>
        </w:rPr>
        <w:t>The Truth Machines</w:t>
      </w:r>
      <w:r>
        <w:rPr>
          <w:i/>
          <w:iCs/>
          <w:sz w:val="24"/>
          <w:szCs w:val="24"/>
        </w:rPr>
        <w:t xml:space="preserve"> </w:t>
      </w:r>
      <w:r>
        <w:rPr>
          <w:sz w:val="24"/>
          <w:szCs w:val="24"/>
        </w:rPr>
        <w:t xml:space="preserve">(n 51) </w:t>
      </w:r>
      <w:r w:rsidRPr="00A84A20">
        <w:rPr>
          <w:sz w:val="24"/>
          <w:szCs w:val="24"/>
        </w:rPr>
        <w:t>11</w:t>
      </w:r>
      <w:r>
        <w:rPr>
          <w:sz w:val="24"/>
          <w:szCs w:val="24"/>
        </w:rPr>
        <w:t>-</w:t>
      </w:r>
      <w:r w:rsidRPr="00A84A20">
        <w:rPr>
          <w:sz w:val="24"/>
          <w:szCs w:val="24"/>
        </w:rPr>
        <w:t xml:space="preserve">12.  See also </w:t>
      </w:r>
      <w:r w:rsidRPr="00A84A20">
        <w:rPr>
          <w:color w:val="000000"/>
          <w:sz w:val="24"/>
          <w:szCs w:val="24"/>
        </w:rPr>
        <w:t xml:space="preserve">K. G. Kannabiran, </w:t>
      </w:r>
      <w:r w:rsidRPr="00A84A20">
        <w:rPr>
          <w:i/>
          <w:iCs/>
          <w:color w:val="000000"/>
          <w:sz w:val="24"/>
          <w:szCs w:val="24"/>
        </w:rPr>
        <w:t>The Wages of Impunity: Power, Justice, and Human Rights</w:t>
      </w:r>
      <w:r w:rsidRPr="00A84A20">
        <w:rPr>
          <w:color w:val="000000"/>
          <w:sz w:val="24"/>
          <w:szCs w:val="24"/>
        </w:rPr>
        <w:t xml:space="preserve"> (New Delhi: Orient Longman 2003); K. Balagopal, </w:t>
      </w:r>
      <w:r>
        <w:rPr>
          <w:color w:val="000000"/>
          <w:sz w:val="24"/>
          <w:szCs w:val="24"/>
        </w:rPr>
        <w:t>‘</w:t>
      </w:r>
      <w:r w:rsidRPr="00A84A20">
        <w:rPr>
          <w:sz w:val="24"/>
          <w:szCs w:val="24"/>
        </w:rPr>
        <w:t>Deaths in Police Custody: Whom and Why Do the Police Kill?</w:t>
      </w:r>
      <w:r>
        <w:rPr>
          <w:sz w:val="24"/>
          <w:szCs w:val="24"/>
        </w:rPr>
        <w:t>’</w:t>
      </w:r>
      <w:r w:rsidRPr="00A84A20">
        <w:rPr>
          <w:sz w:val="24"/>
          <w:szCs w:val="24"/>
        </w:rPr>
        <w:t xml:space="preserve">, </w:t>
      </w:r>
      <w:r w:rsidRPr="00A84A20">
        <w:rPr>
          <w:i/>
          <w:iCs/>
          <w:sz w:val="24"/>
          <w:szCs w:val="24"/>
        </w:rPr>
        <w:t>Economic and Political Weekly</w:t>
      </w:r>
      <w:r>
        <w:rPr>
          <w:sz w:val="24"/>
          <w:szCs w:val="24"/>
        </w:rPr>
        <w:t xml:space="preserve"> (22 </w:t>
      </w:r>
      <w:r w:rsidRPr="00A84A20">
        <w:rPr>
          <w:sz w:val="24"/>
          <w:szCs w:val="24"/>
        </w:rPr>
        <w:t>November 1986</w:t>
      </w:r>
      <w:r>
        <w:rPr>
          <w:sz w:val="24"/>
          <w:szCs w:val="24"/>
        </w:rPr>
        <w:t>)</w:t>
      </w:r>
      <w:r w:rsidRPr="00A84A20">
        <w:rPr>
          <w:sz w:val="24"/>
          <w:szCs w:val="24"/>
        </w:rPr>
        <w:t>, 2028</w:t>
      </w:r>
      <w:r>
        <w:rPr>
          <w:sz w:val="24"/>
          <w:szCs w:val="24"/>
        </w:rPr>
        <w:t>-</w:t>
      </w:r>
      <w:r w:rsidRPr="00A84A20">
        <w:rPr>
          <w:sz w:val="24"/>
          <w:szCs w:val="24"/>
        </w:rPr>
        <w:t>29</w:t>
      </w:r>
      <w:r>
        <w:rPr>
          <w:sz w:val="24"/>
          <w:szCs w:val="24"/>
        </w:rPr>
        <w:t xml:space="preserve"> (hereafter Balagopal, ‘Deaths in Police Custody’)</w:t>
      </w:r>
      <w:r w:rsidRPr="00A84A20">
        <w:rPr>
          <w:color w:val="000000"/>
          <w:sz w:val="24"/>
          <w:szCs w:val="24"/>
        </w:rPr>
        <w:t xml:space="preserve">; and Ujjwal Kumar Singh, </w:t>
      </w:r>
      <w:r w:rsidRPr="00A84A20">
        <w:rPr>
          <w:i/>
          <w:iCs/>
          <w:color w:val="000000"/>
          <w:sz w:val="24"/>
          <w:szCs w:val="24"/>
        </w:rPr>
        <w:t>State, Democracy, and Anti</w:t>
      </w:r>
      <w:r>
        <w:rPr>
          <w:i/>
          <w:iCs/>
          <w:color w:val="000000"/>
          <w:sz w:val="24"/>
          <w:szCs w:val="24"/>
        </w:rPr>
        <w:t>-</w:t>
      </w:r>
      <w:r w:rsidRPr="00A84A20">
        <w:rPr>
          <w:i/>
          <w:iCs/>
          <w:color w:val="000000"/>
          <w:sz w:val="24"/>
          <w:szCs w:val="24"/>
        </w:rPr>
        <w:t>Terror Laws in India</w:t>
      </w:r>
      <w:r w:rsidRPr="00A84A20">
        <w:rPr>
          <w:color w:val="000000"/>
          <w:sz w:val="24"/>
          <w:szCs w:val="24"/>
        </w:rPr>
        <w:t xml:space="preserve"> (New Delhi: Sage 2007). Lokaneeta also delineates four other bodies of scholarship that examine the nature of state violence, of which police violence is situated as an aspect: testimonial narratives by those who have been the victims of state violence</w:t>
      </w:r>
      <w:r>
        <w:rPr>
          <w:color w:val="000000"/>
          <w:sz w:val="24"/>
          <w:szCs w:val="24"/>
        </w:rPr>
        <w:t>;</w:t>
      </w:r>
      <w:r w:rsidRPr="00A84A20">
        <w:rPr>
          <w:color w:val="000000"/>
          <w:sz w:val="24"/>
          <w:szCs w:val="24"/>
        </w:rPr>
        <w:t xml:space="preserve"> empirical work on sites of state violence</w:t>
      </w:r>
      <w:r>
        <w:rPr>
          <w:color w:val="000000"/>
          <w:sz w:val="24"/>
          <w:szCs w:val="24"/>
        </w:rPr>
        <w:t>;</w:t>
      </w:r>
      <w:r w:rsidRPr="00A84A20">
        <w:rPr>
          <w:color w:val="000000"/>
          <w:sz w:val="24"/>
          <w:szCs w:val="24"/>
        </w:rPr>
        <w:t xml:space="preserve"> works on impunity for those who commit violence</w:t>
      </w:r>
      <w:r>
        <w:rPr>
          <w:color w:val="000000"/>
          <w:sz w:val="24"/>
          <w:szCs w:val="24"/>
        </w:rPr>
        <w:t>;</w:t>
      </w:r>
      <w:r w:rsidRPr="00A84A20">
        <w:rPr>
          <w:color w:val="000000"/>
          <w:sz w:val="24"/>
          <w:szCs w:val="24"/>
        </w:rPr>
        <w:t xml:space="preserve"> and scholarship on policing in contemporary India</w:t>
      </w:r>
      <w:r>
        <w:rPr>
          <w:color w:val="000000"/>
          <w:sz w:val="24"/>
          <w:szCs w:val="24"/>
        </w:rPr>
        <w:t xml:space="preserve">. Lokaneeta, </w:t>
      </w:r>
      <w:r>
        <w:rPr>
          <w:i/>
          <w:iCs/>
          <w:color w:val="000000"/>
          <w:sz w:val="24"/>
          <w:szCs w:val="24"/>
        </w:rPr>
        <w:t xml:space="preserve">The Truth Machines, </w:t>
      </w:r>
      <w:r w:rsidRPr="00A84A20">
        <w:rPr>
          <w:color w:val="000000"/>
          <w:sz w:val="24"/>
          <w:szCs w:val="24"/>
        </w:rPr>
        <w:t>14</w:t>
      </w:r>
      <w:r>
        <w:rPr>
          <w:color w:val="000000"/>
          <w:sz w:val="24"/>
          <w:szCs w:val="24"/>
        </w:rPr>
        <w:t>-</w:t>
      </w:r>
      <w:r w:rsidRPr="00A84A20">
        <w:rPr>
          <w:color w:val="000000"/>
          <w:sz w:val="24"/>
          <w:szCs w:val="24"/>
        </w:rPr>
        <w:t>15.</w:t>
      </w:r>
    </w:p>
  </w:footnote>
  <w:footnote w:id="156">
    <w:p w14:paraId="19089D19" w14:textId="77777777" w:rsidR="00997966" w:rsidRPr="00A84A20" w:rsidRDefault="00997966" w:rsidP="00997966">
      <w:pPr>
        <w:pStyle w:val="FootnoteText"/>
        <w:spacing w:line="480" w:lineRule="auto"/>
        <w:rPr>
          <w:bCs/>
          <w:sz w:val="24"/>
          <w:szCs w:val="24"/>
        </w:rPr>
      </w:pPr>
      <w:r w:rsidRPr="00A84A20">
        <w:rPr>
          <w:rStyle w:val="FootnoteReference"/>
          <w:sz w:val="24"/>
          <w:szCs w:val="24"/>
        </w:rPr>
        <w:footnoteRef/>
      </w:r>
      <w:r w:rsidRPr="00A84A20">
        <w:rPr>
          <w:sz w:val="24"/>
          <w:szCs w:val="24"/>
        </w:rPr>
        <w:t xml:space="preserve"> Arnold, </w:t>
      </w:r>
      <w:r w:rsidRPr="00A84A20">
        <w:rPr>
          <w:i/>
          <w:iCs/>
          <w:sz w:val="24"/>
          <w:szCs w:val="24"/>
        </w:rPr>
        <w:t>Police Power</w:t>
      </w:r>
      <w:r>
        <w:rPr>
          <w:i/>
          <w:iCs/>
          <w:sz w:val="24"/>
          <w:szCs w:val="24"/>
        </w:rPr>
        <w:t xml:space="preserve"> </w:t>
      </w:r>
      <w:r>
        <w:rPr>
          <w:sz w:val="24"/>
          <w:szCs w:val="24"/>
        </w:rPr>
        <w:t>(n 14)</w:t>
      </w:r>
      <w:r w:rsidRPr="00A84A20">
        <w:rPr>
          <w:i/>
          <w:iCs/>
          <w:sz w:val="24"/>
          <w:szCs w:val="24"/>
        </w:rPr>
        <w:t xml:space="preserve">; </w:t>
      </w:r>
      <w:r w:rsidRPr="00A84A20">
        <w:rPr>
          <w:sz w:val="24"/>
          <w:szCs w:val="24"/>
          <w:shd w:val="clear" w:color="auto" w:fill="FFFFFF"/>
        </w:rPr>
        <w:t xml:space="preserve">Lata Singh, </w:t>
      </w:r>
      <w:r>
        <w:rPr>
          <w:sz w:val="24"/>
          <w:szCs w:val="24"/>
          <w:shd w:val="clear" w:color="auto" w:fill="FFFFFF"/>
        </w:rPr>
        <w:t>‘</w:t>
      </w:r>
      <w:r w:rsidRPr="00A84A20">
        <w:rPr>
          <w:sz w:val="24"/>
          <w:szCs w:val="24"/>
          <w:shd w:val="clear" w:color="auto" w:fill="FFFFFF"/>
        </w:rPr>
        <w:t>Locating the Bihar Constabulary, 1920</w:t>
      </w:r>
      <w:r>
        <w:rPr>
          <w:sz w:val="24"/>
          <w:szCs w:val="24"/>
          <w:shd w:val="clear" w:color="auto" w:fill="FFFFFF"/>
        </w:rPr>
        <w:t>-</w:t>
      </w:r>
      <w:r w:rsidRPr="00A84A20">
        <w:rPr>
          <w:sz w:val="24"/>
          <w:szCs w:val="24"/>
          <w:shd w:val="clear" w:color="auto" w:fill="FFFFFF"/>
        </w:rPr>
        <w:t>22: An Exploration into the Margins of Resistance</w:t>
      </w:r>
      <w:r>
        <w:rPr>
          <w:sz w:val="24"/>
          <w:szCs w:val="24"/>
          <w:shd w:val="clear" w:color="auto" w:fill="FFFFFF"/>
        </w:rPr>
        <w:t>’</w:t>
      </w:r>
      <w:r w:rsidRPr="00A84A20">
        <w:rPr>
          <w:sz w:val="24"/>
          <w:szCs w:val="24"/>
          <w:shd w:val="clear" w:color="auto" w:fill="FFFFFF"/>
        </w:rPr>
        <w:t xml:space="preserve">, </w:t>
      </w:r>
      <w:r w:rsidRPr="00A84A20">
        <w:rPr>
          <w:i/>
          <w:iCs/>
          <w:sz w:val="24"/>
          <w:szCs w:val="24"/>
          <w:shd w:val="clear" w:color="auto" w:fill="FFFFFF"/>
        </w:rPr>
        <w:t>Social Scientist</w:t>
      </w:r>
      <w:r w:rsidRPr="00A84A20">
        <w:rPr>
          <w:sz w:val="24"/>
          <w:szCs w:val="24"/>
          <w:shd w:val="clear" w:color="auto" w:fill="FFFFFF"/>
        </w:rPr>
        <w:t xml:space="preserve"> 30</w:t>
      </w:r>
      <w:r>
        <w:rPr>
          <w:sz w:val="24"/>
          <w:szCs w:val="24"/>
          <w:shd w:val="clear" w:color="auto" w:fill="FFFFFF"/>
        </w:rPr>
        <w:t>/</w:t>
      </w:r>
      <w:r w:rsidRPr="00A84A20">
        <w:rPr>
          <w:sz w:val="24"/>
          <w:szCs w:val="24"/>
          <w:shd w:val="clear" w:color="auto" w:fill="FFFFFF"/>
        </w:rPr>
        <w:t>9/10 (2002)</w:t>
      </w:r>
      <w:r>
        <w:rPr>
          <w:sz w:val="24"/>
          <w:szCs w:val="24"/>
          <w:shd w:val="clear" w:color="auto" w:fill="FFFFFF"/>
        </w:rPr>
        <w:t>,</w:t>
      </w:r>
      <w:r w:rsidRPr="00A84A20">
        <w:rPr>
          <w:sz w:val="24"/>
          <w:szCs w:val="24"/>
          <w:shd w:val="clear" w:color="auto" w:fill="FFFFFF"/>
        </w:rPr>
        <w:t xml:space="preserve"> 47</w:t>
      </w:r>
      <w:r>
        <w:rPr>
          <w:sz w:val="24"/>
          <w:szCs w:val="24"/>
          <w:shd w:val="clear" w:color="auto" w:fill="FFFFFF"/>
        </w:rPr>
        <w:t>-</w:t>
      </w:r>
      <w:r w:rsidRPr="00A84A20">
        <w:rPr>
          <w:sz w:val="24"/>
          <w:szCs w:val="24"/>
          <w:shd w:val="clear" w:color="auto" w:fill="FFFFFF"/>
        </w:rPr>
        <w:t>71</w:t>
      </w:r>
      <w:r>
        <w:rPr>
          <w:sz w:val="24"/>
          <w:szCs w:val="24"/>
          <w:shd w:val="clear" w:color="auto" w:fill="FFFFFF"/>
        </w:rPr>
        <w:t xml:space="preserve"> (hereafter Singh, ‘Locating the Bihar Constabulary’)</w:t>
      </w:r>
      <w:r w:rsidRPr="00A84A20">
        <w:rPr>
          <w:sz w:val="24"/>
          <w:szCs w:val="24"/>
        </w:rPr>
        <w:t xml:space="preserve">; William </w:t>
      </w:r>
      <w:bookmarkStart w:id="29" w:name="_Hlk41303573"/>
      <w:r w:rsidRPr="00A84A20">
        <w:rPr>
          <w:sz w:val="24"/>
          <w:szCs w:val="24"/>
        </w:rPr>
        <w:t xml:space="preserve">Gould, </w:t>
      </w:r>
      <w:r>
        <w:rPr>
          <w:sz w:val="24"/>
          <w:szCs w:val="24"/>
        </w:rPr>
        <w:t>‘</w:t>
      </w:r>
      <w:r w:rsidRPr="00A84A20">
        <w:rPr>
          <w:sz w:val="24"/>
          <w:szCs w:val="24"/>
        </w:rPr>
        <w:t xml:space="preserve">The Dual State: </w:t>
      </w:r>
      <w:bookmarkEnd w:id="29"/>
      <w:r w:rsidRPr="00A84A20">
        <w:rPr>
          <w:sz w:val="24"/>
          <w:szCs w:val="24"/>
        </w:rPr>
        <w:t xml:space="preserve">The Unruly </w:t>
      </w:r>
      <w:r>
        <w:rPr>
          <w:sz w:val="24"/>
          <w:szCs w:val="24"/>
        </w:rPr>
        <w:t>“</w:t>
      </w:r>
      <w:r w:rsidRPr="00A84A20">
        <w:rPr>
          <w:sz w:val="24"/>
          <w:szCs w:val="24"/>
        </w:rPr>
        <w:t>Subordinate</w:t>
      </w:r>
      <w:r>
        <w:rPr>
          <w:sz w:val="24"/>
          <w:szCs w:val="24"/>
        </w:rPr>
        <w:t>”</w:t>
      </w:r>
      <w:r w:rsidRPr="00A84A20">
        <w:rPr>
          <w:sz w:val="24"/>
          <w:szCs w:val="24"/>
        </w:rPr>
        <w:t>, Caste, Community and Civil Service Recruitment in North India, 1930</w:t>
      </w:r>
      <w:r>
        <w:rPr>
          <w:sz w:val="24"/>
          <w:szCs w:val="24"/>
        </w:rPr>
        <w:t>-</w:t>
      </w:r>
      <w:r w:rsidRPr="00A84A20">
        <w:rPr>
          <w:sz w:val="24"/>
          <w:szCs w:val="24"/>
        </w:rPr>
        <w:t>1955</w:t>
      </w:r>
      <w:r>
        <w:rPr>
          <w:sz w:val="24"/>
          <w:szCs w:val="24"/>
        </w:rPr>
        <w:t>’</w:t>
      </w:r>
      <w:r w:rsidRPr="00A84A20">
        <w:rPr>
          <w:sz w:val="24"/>
          <w:szCs w:val="24"/>
        </w:rPr>
        <w:t xml:space="preserve">, </w:t>
      </w:r>
      <w:r w:rsidRPr="00A84A20">
        <w:rPr>
          <w:i/>
          <w:iCs/>
          <w:sz w:val="24"/>
          <w:szCs w:val="24"/>
        </w:rPr>
        <w:t>Journal of Historical Sociology</w:t>
      </w:r>
      <w:r w:rsidRPr="00A84A20">
        <w:rPr>
          <w:sz w:val="24"/>
          <w:szCs w:val="24"/>
        </w:rPr>
        <w:t xml:space="preserve"> 20</w:t>
      </w:r>
      <w:r>
        <w:rPr>
          <w:sz w:val="24"/>
          <w:szCs w:val="24"/>
        </w:rPr>
        <w:t>/</w:t>
      </w:r>
      <w:r w:rsidRPr="00A84A20">
        <w:rPr>
          <w:sz w:val="24"/>
          <w:szCs w:val="24"/>
        </w:rPr>
        <w:t>1/2 (2007)</w:t>
      </w:r>
      <w:r>
        <w:rPr>
          <w:sz w:val="24"/>
          <w:szCs w:val="24"/>
        </w:rPr>
        <w:t>,</w:t>
      </w:r>
      <w:r w:rsidRPr="00A84A20">
        <w:rPr>
          <w:sz w:val="24"/>
          <w:szCs w:val="24"/>
        </w:rPr>
        <w:t xml:space="preserve"> 13</w:t>
      </w:r>
      <w:r>
        <w:rPr>
          <w:sz w:val="24"/>
          <w:szCs w:val="24"/>
        </w:rPr>
        <w:t>-</w:t>
      </w:r>
      <w:r w:rsidRPr="00A84A20">
        <w:rPr>
          <w:sz w:val="24"/>
          <w:szCs w:val="24"/>
        </w:rPr>
        <w:t>43</w:t>
      </w:r>
      <w:r>
        <w:rPr>
          <w:sz w:val="24"/>
          <w:szCs w:val="24"/>
        </w:rPr>
        <w:t xml:space="preserve"> (hereafter Gould, ‘The Dual State’)</w:t>
      </w:r>
      <w:r w:rsidRPr="00A84A20">
        <w:rPr>
          <w:bCs/>
          <w:sz w:val="24"/>
          <w:szCs w:val="24"/>
        </w:rPr>
        <w:t xml:space="preserve">; </w:t>
      </w:r>
      <w:r w:rsidRPr="00A84A20">
        <w:rPr>
          <w:sz w:val="24"/>
          <w:szCs w:val="24"/>
        </w:rPr>
        <w:t xml:space="preserve">Bhavani Raman, </w:t>
      </w:r>
      <w:r>
        <w:rPr>
          <w:sz w:val="24"/>
          <w:szCs w:val="24"/>
        </w:rPr>
        <w:t>‘</w:t>
      </w:r>
      <w:r w:rsidRPr="00A84A20">
        <w:rPr>
          <w:sz w:val="24"/>
          <w:szCs w:val="24"/>
        </w:rPr>
        <w:t xml:space="preserve">The Familial World of the Company’s </w:t>
      </w:r>
      <w:r w:rsidRPr="00A84A20">
        <w:rPr>
          <w:i/>
          <w:sz w:val="24"/>
          <w:szCs w:val="24"/>
        </w:rPr>
        <w:t>Kacceri</w:t>
      </w:r>
      <w:r w:rsidRPr="00A84A20">
        <w:rPr>
          <w:sz w:val="24"/>
          <w:szCs w:val="24"/>
        </w:rPr>
        <w:t xml:space="preserve"> in Early Colonial Madras</w:t>
      </w:r>
      <w:r>
        <w:rPr>
          <w:sz w:val="24"/>
          <w:szCs w:val="24"/>
        </w:rPr>
        <w:t>’</w:t>
      </w:r>
      <w:r w:rsidRPr="00A84A20">
        <w:rPr>
          <w:sz w:val="24"/>
          <w:szCs w:val="24"/>
        </w:rPr>
        <w:t xml:space="preserve">, </w:t>
      </w:r>
      <w:r w:rsidRPr="00A84A20">
        <w:rPr>
          <w:i/>
          <w:sz w:val="24"/>
          <w:szCs w:val="24"/>
        </w:rPr>
        <w:t>Journal of Colonialism and Colonial History</w:t>
      </w:r>
      <w:r w:rsidRPr="00A84A20">
        <w:rPr>
          <w:sz w:val="24"/>
          <w:szCs w:val="24"/>
        </w:rPr>
        <w:t xml:space="preserve"> 9</w:t>
      </w:r>
      <w:r>
        <w:rPr>
          <w:sz w:val="24"/>
          <w:szCs w:val="24"/>
        </w:rPr>
        <w:t>/</w:t>
      </w:r>
      <w:r w:rsidRPr="00A84A20">
        <w:rPr>
          <w:sz w:val="24"/>
          <w:szCs w:val="24"/>
        </w:rPr>
        <w:t>2 (2008)</w:t>
      </w:r>
      <w:r>
        <w:rPr>
          <w:sz w:val="24"/>
          <w:szCs w:val="24"/>
        </w:rPr>
        <w:t xml:space="preserve"> [DOI: 10.1343/cch.0.0011];</w:t>
      </w:r>
      <w:r w:rsidRPr="00A84A20">
        <w:rPr>
          <w:bCs/>
          <w:sz w:val="24"/>
          <w:szCs w:val="24"/>
        </w:rPr>
        <w:t xml:space="preserve"> Anastasia Piliavsky, </w:t>
      </w:r>
      <w:r>
        <w:rPr>
          <w:bCs/>
          <w:sz w:val="24"/>
          <w:szCs w:val="24"/>
        </w:rPr>
        <w:t>‘</w:t>
      </w:r>
      <w:r w:rsidRPr="00A84A20">
        <w:rPr>
          <w:bCs/>
          <w:iCs/>
          <w:sz w:val="24"/>
          <w:szCs w:val="24"/>
        </w:rPr>
        <w:t>The Moghia Menace, or the Watch Over Watchmen In British India</w:t>
      </w:r>
      <w:r>
        <w:rPr>
          <w:bCs/>
          <w:iCs/>
          <w:sz w:val="24"/>
          <w:szCs w:val="24"/>
        </w:rPr>
        <w:t>’</w:t>
      </w:r>
      <w:r w:rsidRPr="00A84A20">
        <w:rPr>
          <w:bCs/>
          <w:iCs/>
          <w:sz w:val="24"/>
          <w:szCs w:val="24"/>
        </w:rPr>
        <w:t xml:space="preserve">, </w:t>
      </w:r>
      <w:r w:rsidRPr="00A84A20">
        <w:rPr>
          <w:bCs/>
          <w:i/>
          <w:iCs/>
          <w:sz w:val="24"/>
          <w:szCs w:val="24"/>
        </w:rPr>
        <w:t xml:space="preserve">Modern Asian Studies </w:t>
      </w:r>
      <w:r w:rsidRPr="00A84A20">
        <w:rPr>
          <w:bCs/>
          <w:iCs/>
          <w:sz w:val="24"/>
          <w:szCs w:val="24"/>
        </w:rPr>
        <w:t>47</w:t>
      </w:r>
      <w:r>
        <w:rPr>
          <w:bCs/>
          <w:iCs/>
          <w:sz w:val="24"/>
          <w:szCs w:val="24"/>
        </w:rPr>
        <w:t>/</w:t>
      </w:r>
      <w:r w:rsidRPr="00A84A20">
        <w:rPr>
          <w:bCs/>
          <w:iCs/>
          <w:sz w:val="24"/>
          <w:szCs w:val="24"/>
        </w:rPr>
        <w:t>3 (2013), 751</w:t>
      </w:r>
      <w:r>
        <w:rPr>
          <w:bCs/>
          <w:iCs/>
          <w:sz w:val="24"/>
          <w:szCs w:val="24"/>
        </w:rPr>
        <w:t>-</w:t>
      </w:r>
      <w:r w:rsidRPr="00A84A20">
        <w:rPr>
          <w:bCs/>
          <w:iCs/>
          <w:sz w:val="24"/>
          <w:szCs w:val="24"/>
        </w:rPr>
        <w:t>79</w:t>
      </w:r>
      <w:r>
        <w:rPr>
          <w:bCs/>
          <w:iCs/>
          <w:sz w:val="24"/>
          <w:szCs w:val="24"/>
        </w:rPr>
        <w:t xml:space="preserve"> (hereafter Piliavsky, ‘The Moghia Menace’)</w:t>
      </w:r>
      <w:r w:rsidRPr="00A84A20">
        <w:rPr>
          <w:bCs/>
          <w:iCs/>
          <w:sz w:val="24"/>
          <w:szCs w:val="24"/>
        </w:rPr>
        <w:t>;</w:t>
      </w:r>
      <w:r w:rsidRPr="00A84A20">
        <w:rPr>
          <w:color w:val="000000" w:themeColor="text1"/>
          <w:sz w:val="24"/>
          <w:szCs w:val="24"/>
        </w:rPr>
        <w:t xml:space="preserve"> </w:t>
      </w:r>
      <w:r w:rsidRPr="00A84A20">
        <w:rPr>
          <w:sz w:val="24"/>
          <w:szCs w:val="24"/>
        </w:rPr>
        <w:t xml:space="preserve">Partha Pratim </w:t>
      </w:r>
      <w:bookmarkStart w:id="30" w:name="_Hlk40379202"/>
      <w:r w:rsidRPr="00A84A20">
        <w:rPr>
          <w:sz w:val="24"/>
          <w:szCs w:val="24"/>
        </w:rPr>
        <w:t xml:space="preserve">Shil, </w:t>
      </w:r>
      <w:r>
        <w:rPr>
          <w:sz w:val="24"/>
          <w:szCs w:val="24"/>
        </w:rPr>
        <w:t>‘</w:t>
      </w:r>
      <w:r w:rsidRPr="00A84A20">
        <w:rPr>
          <w:sz w:val="24"/>
          <w:szCs w:val="24"/>
        </w:rPr>
        <w:t>Police Labour and State</w:t>
      </w:r>
      <w:r>
        <w:rPr>
          <w:sz w:val="24"/>
          <w:szCs w:val="24"/>
        </w:rPr>
        <w:t>-</w:t>
      </w:r>
      <w:r w:rsidRPr="00A84A20">
        <w:rPr>
          <w:sz w:val="24"/>
          <w:szCs w:val="24"/>
        </w:rPr>
        <w:t>Formation in Bengal, c. 1860</w:t>
      </w:r>
      <w:r>
        <w:rPr>
          <w:sz w:val="24"/>
          <w:szCs w:val="24"/>
        </w:rPr>
        <w:t>-</w:t>
      </w:r>
      <w:r w:rsidRPr="00A84A20">
        <w:rPr>
          <w:sz w:val="24"/>
          <w:szCs w:val="24"/>
        </w:rPr>
        <w:t>c.1950</w:t>
      </w:r>
      <w:r>
        <w:rPr>
          <w:sz w:val="24"/>
          <w:szCs w:val="24"/>
        </w:rPr>
        <w:t xml:space="preserve">’ (PhD. Diss., </w:t>
      </w:r>
      <w:r w:rsidRPr="00A84A20">
        <w:rPr>
          <w:sz w:val="24"/>
          <w:szCs w:val="24"/>
        </w:rPr>
        <w:t>University of Cambridge 2016</w:t>
      </w:r>
      <w:r>
        <w:rPr>
          <w:sz w:val="24"/>
          <w:szCs w:val="24"/>
        </w:rPr>
        <w:t>);</w:t>
      </w:r>
      <w:r w:rsidRPr="00A84A20">
        <w:rPr>
          <w:sz w:val="24"/>
          <w:szCs w:val="24"/>
        </w:rPr>
        <w:t xml:space="preserve"> and Partha Pratim Shil, </w:t>
      </w:r>
      <w:r>
        <w:rPr>
          <w:sz w:val="24"/>
          <w:szCs w:val="24"/>
        </w:rPr>
        <w:t>‘</w:t>
      </w:r>
      <w:r w:rsidRPr="00A84A20">
        <w:rPr>
          <w:sz w:val="24"/>
          <w:szCs w:val="24"/>
        </w:rPr>
        <w:t xml:space="preserve">The </w:t>
      </w:r>
      <w:r>
        <w:rPr>
          <w:sz w:val="24"/>
          <w:szCs w:val="24"/>
        </w:rPr>
        <w:t>“</w:t>
      </w:r>
      <w:r w:rsidRPr="00A84A20">
        <w:rPr>
          <w:sz w:val="24"/>
          <w:szCs w:val="24"/>
        </w:rPr>
        <w:t>Threatened</w:t>
      </w:r>
      <w:r>
        <w:rPr>
          <w:sz w:val="24"/>
          <w:szCs w:val="24"/>
        </w:rPr>
        <w:t>”</w:t>
      </w:r>
      <w:r w:rsidRPr="00A84A20">
        <w:rPr>
          <w:sz w:val="24"/>
          <w:szCs w:val="24"/>
        </w:rPr>
        <w:t xml:space="preserve"> </w:t>
      </w:r>
      <w:bookmarkEnd w:id="30"/>
      <w:r w:rsidRPr="00A84A20">
        <w:rPr>
          <w:sz w:val="24"/>
          <w:szCs w:val="24"/>
        </w:rPr>
        <w:t>Constabulary Strikes of Early Twentieth</w:t>
      </w:r>
      <w:r>
        <w:rPr>
          <w:sz w:val="24"/>
          <w:szCs w:val="24"/>
        </w:rPr>
        <w:t>-</w:t>
      </w:r>
      <w:r w:rsidRPr="00A84A20">
        <w:rPr>
          <w:sz w:val="24"/>
          <w:szCs w:val="24"/>
        </w:rPr>
        <w:t>Century Bengal</w:t>
      </w:r>
      <w:r>
        <w:rPr>
          <w:sz w:val="24"/>
          <w:szCs w:val="24"/>
        </w:rPr>
        <w:t>’</w:t>
      </w:r>
      <w:r w:rsidRPr="00A84A20">
        <w:rPr>
          <w:sz w:val="24"/>
          <w:szCs w:val="24"/>
        </w:rPr>
        <w:t xml:space="preserve">, </w:t>
      </w:r>
      <w:r w:rsidRPr="00A84A20">
        <w:rPr>
          <w:i/>
          <w:iCs/>
          <w:sz w:val="24"/>
          <w:szCs w:val="24"/>
        </w:rPr>
        <w:t>South Asian Studies</w:t>
      </w:r>
      <w:r w:rsidRPr="00A84A20">
        <w:rPr>
          <w:sz w:val="24"/>
          <w:szCs w:val="24"/>
        </w:rPr>
        <w:t xml:space="preserve"> 33</w:t>
      </w:r>
      <w:r>
        <w:rPr>
          <w:sz w:val="24"/>
          <w:szCs w:val="24"/>
        </w:rPr>
        <w:t>/</w:t>
      </w:r>
      <w:r w:rsidRPr="00A84A20">
        <w:rPr>
          <w:sz w:val="24"/>
          <w:szCs w:val="24"/>
        </w:rPr>
        <w:t>2 (2017)</w:t>
      </w:r>
      <w:r>
        <w:rPr>
          <w:sz w:val="24"/>
          <w:szCs w:val="24"/>
        </w:rPr>
        <w:t>,</w:t>
      </w:r>
      <w:r w:rsidRPr="00A84A20">
        <w:rPr>
          <w:sz w:val="24"/>
          <w:szCs w:val="24"/>
        </w:rPr>
        <w:t xml:space="preserve"> 165</w:t>
      </w:r>
      <w:r>
        <w:rPr>
          <w:sz w:val="24"/>
          <w:szCs w:val="24"/>
        </w:rPr>
        <w:t>-</w:t>
      </w:r>
      <w:r w:rsidRPr="00A84A20">
        <w:rPr>
          <w:sz w:val="24"/>
          <w:szCs w:val="24"/>
        </w:rPr>
        <w:t>79.</w:t>
      </w:r>
    </w:p>
  </w:footnote>
  <w:footnote w:id="157">
    <w:p w14:paraId="7A7F7E54" w14:textId="77777777" w:rsidR="00997966" w:rsidRPr="00A84A20" w:rsidRDefault="00997966" w:rsidP="00997966">
      <w:pPr>
        <w:pStyle w:val="FootnoteText"/>
        <w:spacing w:line="480" w:lineRule="auto"/>
        <w:rPr>
          <w:sz w:val="24"/>
          <w:szCs w:val="24"/>
          <w:shd w:val="clear" w:color="auto" w:fill="FFFFFF"/>
        </w:rPr>
      </w:pPr>
      <w:r w:rsidRPr="00A84A20">
        <w:rPr>
          <w:rStyle w:val="FootnoteReference"/>
          <w:sz w:val="24"/>
          <w:szCs w:val="24"/>
        </w:rPr>
        <w:footnoteRef/>
      </w:r>
      <w:r w:rsidRPr="00A84A20">
        <w:rPr>
          <w:sz w:val="24"/>
          <w:szCs w:val="24"/>
          <w:shd w:val="clear" w:color="auto" w:fill="FFFFFF"/>
        </w:rPr>
        <w:t xml:space="preserve"> Kumar and Verma, </w:t>
      </w:r>
      <w:r>
        <w:rPr>
          <w:sz w:val="24"/>
          <w:szCs w:val="24"/>
          <w:shd w:val="clear" w:color="auto" w:fill="FFFFFF"/>
        </w:rPr>
        <w:t>‘</w:t>
      </w:r>
      <w:r w:rsidRPr="00A84A20">
        <w:rPr>
          <w:sz w:val="24"/>
          <w:szCs w:val="24"/>
          <w:shd w:val="clear" w:color="auto" w:fill="FFFFFF"/>
        </w:rPr>
        <w:t>Hegemony, Discipline and Control</w:t>
      </w:r>
      <w:r>
        <w:rPr>
          <w:sz w:val="24"/>
          <w:szCs w:val="24"/>
          <w:shd w:val="clear" w:color="auto" w:fill="FFFFFF"/>
        </w:rPr>
        <w:t>’ (n 143)</w:t>
      </w:r>
      <w:r w:rsidRPr="00A84A20">
        <w:rPr>
          <w:sz w:val="24"/>
          <w:szCs w:val="24"/>
          <w:shd w:val="clear" w:color="auto" w:fill="FFFFFF"/>
        </w:rPr>
        <w:t xml:space="preserve"> 65. For the ways in which policing groups were co</w:t>
      </w:r>
      <w:r>
        <w:rPr>
          <w:sz w:val="24"/>
          <w:szCs w:val="24"/>
          <w:shd w:val="clear" w:color="auto" w:fill="FFFFFF"/>
        </w:rPr>
        <w:t>-</w:t>
      </w:r>
      <w:r w:rsidRPr="00A84A20">
        <w:rPr>
          <w:sz w:val="24"/>
          <w:szCs w:val="24"/>
          <w:shd w:val="clear" w:color="auto" w:fill="FFFFFF"/>
        </w:rPr>
        <w:t xml:space="preserve">opted into serving the colonial regime see Finkle, </w:t>
      </w:r>
      <w:r>
        <w:rPr>
          <w:sz w:val="24"/>
          <w:szCs w:val="24"/>
          <w:shd w:val="clear" w:color="auto" w:fill="FFFFFF"/>
        </w:rPr>
        <w:t>‘</w:t>
      </w:r>
      <w:r w:rsidRPr="00A84A20">
        <w:rPr>
          <w:sz w:val="24"/>
          <w:szCs w:val="24"/>
          <w:shd w:val="clear" w:color="auto" w:fill="FFFFFF"/>
        </w:rPr>
        <w:t>State, Power</w:t>
      </w:r>
      <w:r>
        <w:rPr>
          <w:sz w:val="24"/>
          <w:szCs w:val="24"/>
          <w:shd w:val="clear" w:color="auto" w:fill="FFFFFF"/>
        </w:rPr>
        <w:t xml:space="preserve"> and Police’ (n 143)</w:t>
      </w:r>
      <w:r w:rsidRPr="00A84A20">
        <w:rPr>
          <w:sz w:val="24"/>
          <w:szCs w:val="24"/>
          <w:shd w:val="clear" w:color="auto" w:fill="FFFFFF"/>
        </w:rPr>
        <w:t xml:space="preserve">. </w:t>
      </w:r>
      <w:r w:rsidRPr="00A84A20">
        <w:rPr>
          <w:sz w:val="24"/>
          <w:szCs w:val="24"/>
        </w:rPr>
        <w:t xml:space="preserve">For analyses of how individuals become violence workers and the effects that it has on them see, for example, Christopher </w:t>
      </w:r>
      <w:bookmarkStart w:id="31" w:name="_Hlk514184588"/>
      <w:r w:rsidRPr="00A84A20">
        <w:rPr>
          <w:sz w:val="24"/>
          <w:szCs w:val="24"/>
        </w:rPr>
        <w:t xml:space="preserve">Browning, </w:t>
      </w:r>
      <w:r w:rsidRPr="00A84A20">
        <w:rPr>
          <w:i/>
          <w:sz w:val="24"/>
          <w:szCs w:val="24"/>
        </w:rPr>
        <w:t xml:space="preserve">Ordinary Men: Reserve Police Battalion 101 and the Final Solution in Poland </w:t>
      </w:r>
      <w:r w:rsidRPr="00A84A20">
        <w:rPr>
          <w:sz w:val="24"/>
          <w:szCs w:val="24"/>
        </w:rPr>
        <w:t>(New York: Harper Collins 1992)</w:t>
      </w:r>
      <w:bookmarkEnd w:id="31"/>
      <w:r w:rsidRPr="00A84A20">
        <w:rPr>
          <w:sz w:val="24"/>
          <w:szCs w:val="24"/>
        </w:rPr>
        <w:t xml:space="preserve">; Daniel </w:t>
      </w:r>
      <w:bookmarkStart w:id="32" w:name="_Hlk514184615"/>
      <w:r w:rsidRPr="00A84A20">
        <w:rPr>
          <w:sz w:val="24"/>
          <w:szCs w:val="24"/>
        </w:rPr>
        <w:t xml:space="preserve">Goldhagen, </w:t>
      </w:r>
      <w:r w:rsidRPr="00A84A20">
        <w:rPr>
          <w:i/>
          <w:sz w:val="24"/>
          <w:szCs w:val="24"/>
        </w:rPr>
        <w:t xml:space="preserve">Hitler’s Willing Executioners: Ordinary Germans and the Holocaust </w:t>
      </w:r>
      <w:r w:rsidRPr="00A84A20">
        <w:rPr>
          <w:sz w:val="24"/>
          <w:szCs w:val="24"/>
        </w:rPr>
        <w:t>(New York: Alfred A. Knopf 1996)</w:t>
      </w:r>
      <w:bookmarkEnd w:id="32"/>
      <w:r w:rsidRPr="00A84A20">
        <w:rPr>
          <w:sz w:val="24"/>
          <w:szCs w:val="24"/>
        </w:rPr>
        <w:t>; and Huggins, Haritos</w:t>
      </w:r>
      <w:r>
        <w:rPr>
          <w:sz w:val="24"/>
          <w:szCs w:val="24"/>
        </w:rPr>
        <w:t>-</w:t>
      </w:r>
      <w:r w:rsidRPr="00A84A20">
        <w:rPr>
          <w:sz w:val="24"/>
          <w:szCs w:val="24"/>
        </w:rPr>
        <w:t xml:space="preserve">Fatouros and Zambardo, </w:t>
      </w:r>
      <w:r w:rsidRPr="00A84A20">
        <w:rPr>
          <w:i/>
          <w:sz w:val="24"/>
          <w:szCs w:val="24"/>
        </w:rPr>
        <w:t>Violence Workers</w:t>
      </w:r>
      <w:r>
        <w:rPr>
          <w:i/>
          <w:sz w:val="24"/>
          <w:szCs w:val="24"/>
        </w:rPr>
        <w:t xml:space="preserve"> </w:t>
      </w:r>
      <w:r>
        <w:rPr>
          <w:iCs/>
          <w:sz w:val="24"/>
          <w:szCs w:val="24"/>
        </w:rPr>
        <w:t>(n 54)</w:t>
      </w:r>
      <w:r w:rsidRPr="00A84A20">
        <w:rPr>
          <w:i/>
          <w:sz w:val="24"/>
          <w:szCs w:val="24"/>
        </w:rPr>
        <w:t>.</w:t>
      </w:r>
    </w:p>
  </w:footnote>
  <w:footnote w:id="158">
    <w:p w14:paraId="081E49D7" w14:textId="77777777" w:rsidR="00997966" w:rsidRPr="00912B72" w:rsidRDefault="00997966" w:rsidP="00997966">
      <w:pPr>
        <w:pStyle w:val="FootnoteText"/>
        <w:spacing w:line="480" w:lineRule="auto"/>
        <w:contextualSpacing/>
        <w:rPr>
          <w:bCs/>
          <w:sz w:val="24"/>
          <w:szCs w:val="24"/>
        </w:rPr>
      </w:pPr>
      <w:r w:rsidRPr="00A84A20">
        <w:rPr>
          <w:rStyle w:val="FootnoteReference"/>
          <w:sz w:val="24"/>
          <w:szCs w:val="24"/>
        </w:rPr>
        <w:footnoteRef/>
      </w:r>
      <w:r w:rsidRPr="00A84A20">
        <w:rPr>
          <w:sz w:val="24"/>
          <w:szCs w:val="24"/>
        </w:rPr>
        <w:t xml:space="preserve"> Jauregui, </w:t>
      </w:r>
      <w:r w:rsidRPr="00A84A20">
        <w:rPr>
          <w:i/>
          <w:iCs/>
          <w:sz w:val="24"/>
          <w:szCs w:val="24"/>
        </w:rPr>
        <w:t>Provisional Authority</w:t>
      </w:r>
      <w:r>
        <w:rPr>
          <w:sz w:val="24"/>
          <w:szCs w:val="24"/>
        </w:rPr>
        <w:t xml:space="preserve"> (n 151)</w:t>
      </w:r>
      <w:r w:rsidRPr="00A84A20">
        <w:rPr>
          <w:i/>
          <w:iCs/>
          <w:sz w:val="24"/>
          <w:szCs w:val="24"/>
        </w:rPr>
        <w:t xml:space="preserve"> </w:t>
      </w:r>
      <w:r w:rsidRPr="00A84A20">
        <w:rPr>
          <w:sz w:val="24"/>
          <w:szCs w:val="24"/>
        </w:rPr>
        <w:t xml:space="preserve">12. Martin Thomas, however, makes the compelling argument that there is a direct link between </w:t>
      </w:r>
      <w:r>
        <w:rPr>
          <w:sz w:val="24"/>
          <w:szCs w:val="24"/>
        </w:rPr>
        <w:t xml:space="preserve">the </w:t>
      </w:r>
      <w:r w:rsidRPr="00A84A20">
        <w:rPr>
          <w:sz w:val="24"/>
          <w:szCs w:val="24"/>
        </w:rPr>
        <w:t>nature and scale of police oppression and the economic structures of colonies</w:t>
      </w:r>
      <w:r>
        <w:rPr>
          <w:sz w:val="24"/>
          <w:szCs w:val="24"/>
        </w:rPr>
        <w:t xml:space="preserve">. </w:t>
      </w:r>
      <w:r w:rsidRPr="00A84A20">
        <w:rPr>
          <w:sz w:val="24"/>
          <w:szCs w:val="24"/>
        </w:rPr>
        <w:t xml:space="preserve">Thomas, </w:t>
      </w:r>
      <w:r w:rsidRPr="00A84A20">
        <w:rPr>
          <w:i/>
          <w:iCs/>
          <w:sz w:val="24"/>
          <w:szCs w:val="24"/>
        </w:rPr>
        <w:t>Violence and Colonial Order</w:t>
      </w:r>
      <w:r>
        <w:rPr>
          <w:i/>
          <w:iCs/>
          <w:sz w:val="24"/>
          <w:szCs w:val="24"/>
        </w:rPr>
        <w:t xml:space="preserve"> </w:t>
      </w:r>
      <w:r>
        <w:rPr>
          <w:sz w:val="24"/>
          <w:szCs w:val="24"/>
        </w:rPr>
        <w:t>(n 95)</w:t>
      </w:r>
      <w:r w:rsidRPr="00A84A20">
        <w:rPr>
          <w:i/>
          <w:iCs/>
          <w:sz w:val="24"/>
          <w:szCs w:val="24"/>
        </w:rPr>
        <w:t xml:space="preserve"> </w:t>
      </w:r>
      <w:r w:rsidRPr="00A84A20">
        <w:rPr>
          <w:sz w:val="24"/>
          <w:szCs w:val="24"/>
        </w:rPr>
        <w:t>2</w:t>
      </w:r>
      <w:r>
        <w:rPr>
          <w:sz w:val="24"/>
          <w:szCs w:val="24"/>
        </w:rPr>
        <w:t>-</w:t>
      </w:r>
      <w:r w:rsidRPr="00A84A20">
        <w:rPr>
          <w:sz w:val="24"/>
          <w:szCs w:val="24"/>
        </w:rPr>
        <w:t xml:space="preserve">5. For work on </w:t>
      </w:r>
      <w:r>
        <w:rPr>
          <w:sz w:val="24"/>
          <w:szCs w:val="24"/>
        </w:rPr>
        <w:t xml:space="preserve">discipline, </w:t>
      </w:r>
      <w:r w:rsidRPr="00A84A20">
        <w:rPr>
          <w:sz w:val="24"/>
          <w:szCs w:val="24"/>
        </w:rPr>
        <w:t>governmentality, policing</w:t>
      </w:r>
      <w:r>
        <w:rPr>
          <w:sz w:val="24"/>
          <w:szCs w:val="24"/>
        </w:rPr>
        <w:t>,</w:t>
      </w:r>
      <w:r w:rsidRPr="00A84A20">
        <w:rPr>
          <w:sz w:val="24"/>
          <w:szCs w:val="24"/>
        </w:rPr>
        <w:t xml:space="preserve"> and coercion see </w:t>
      </w:r>
      <w:r w:rsidRPr="00A84A20">
        <w:rPr>
          <w:sz w:val="24"/>
          <w:szCs w:val="24"/>
          <w:shd w:val="clear" w:color="auto" w:fill="FFFFFF"/>
        </w:rPr>
        <w:t xml:space="preserve">Jean Comaroff and John L. Comaroff, </w:t>
      </w:r>
      <w:r>
        <w:rPr>
          <w:sz w:val="24"/>
          <w:szCs w:val="24"/>
          <w:shd w:val="clear" w:color="auto" w:fill="FFFFFF"/>
        </w:rPr>
        <w:t>‘</w:t>
      </w:r>
      <w:r w:rsidRPr="00A84A20">
        <w:rPr>
          <w:sz w:val="24"/>
          <w:szCs w:val="24"/>
          <w:shd w:val="clear" w:color="auto" w:fill="FFFFFF"/>
        </w:rPr>
        <w:t>Criminal Obsessions, after Foucault: Postcoloniality, Policing, and the Metaphysics of Disorder</w:t>
      </w:r>
      <w:r>
        <w:rPr>
          <w:sz w:val="24"/>
          <w:szCs w:val="24"/>
          <w:shd w:val="clear" w:color="auto" w:fill="FFFFFF"/>
        </w:rPr>
        <w:t>’</w:t>
      </w:r>
      <w:r w:rsidRPr="00A84A20">
        <w:rPr>
          <w:sz w:val="24"/>
          <w:szCs w:val="24"/>
          <w:shd w:val="clear" w:color="auto" w:fill="FFFFFF"/>
        </w:rPr>
        <w:t xml:space="preserve">, in Jean and John L. Comaroff, </w:t>
      </w:r>
      <w:r w:rsidRPr="00A84A20">
        <w:rPr>
          <w:i/>
          <w:iCs/>
          <w:sz w:val="24"/>
          <w:szCs w:val="24"/>
          <w:shd w:val="clear" w:color="auto" w:fill="FFFFFF"/>
        </w:rPr>
        <w:t xml:space="preserve">Law and Disorder in the Postcolony </w:t>
      </w:r>
      <w:r w:rsidRPr="00A84A20">
        <w:rPr>
          <w:sz w:val="24"/>
          <w:szCs w:val="24"/>
          <w:shd w:val="clear" w:color="auto" w:fill="FFFFFF"/>
        </w:rPr>
        <w:t>(Chicago: University of Chicago Press</w:t>
      </w:r>
      <w:r>
        <w:rPr>
          <w:sz w:val="24"/>
          <w:szCs w:val="24"/>
          <w:shd w:val="clear" w:color="auto" w:fill="FFFFFF"/>
        </w:rPr>
        <w:t xml:space="preserve"> </w:t>
      </w:r>
      <w:r w:rsidRPr="00A84A20">
        <w:rPr>
          <w:sz w:val="24"/>
          <w:szCs w:val="24"/>
          <w:shd w:val="clear" w:color="auto" w:fill="FFFFFF"/>
        </w:rPr>
        <w:t>2008), 273</w:t>
      </w:r>
      <w:r>
        <w:rPr>
          <w:sz w:val="24"/>
          <w:szCs w:val="24"/>
          <w:shd w:val="clear" w:color="auto" w:fill="FFFFFF"/>
        </w:rPr>
        <w:t>-</w:t>
      </w:r>
      <w:r w:rsidRPr="00A84A20">
        <w:rPr>
          <w:sz w:val="24"/>
          <w:szCs w:val="24"/>
          <w:shd w:val="clear" w:color="auto" w:fill="FFFFFF"/>
        </w:rPr>
        <w:t>98</w:t>
      </w:r>
      <w:r>
        <w:rPr>
          <w:sz w:val="24"/>
          <w:szCs w:val="24"/>
          <w:shd w:val="clear" w:color="auto" w:fill="FFFFFF"/>
        </w:rPr>
        <w:t xml:space="preserve"> (hereafter Comaroff and Comaroff, ‘Criminal Obsessions)</w:t>
      </w:r>
      <w:r w:rsidRPr="00A84A20">
        <w:rPr>
          <w:sz w:val="24"/>
          <w:szCs w:val="24"/>
        </w:rPr>
        <w:t xml:space="preserve">; and Fassin, </w:t>
      </w:r>
      <w:r>
        <w:rPr>
          <w:sz w:val="24"/>
          <w:szCs w:val="24"/>
        </w:rPr>
        <w:t>‘</w:t>
      </w:r>
      <w:r w:rsidRPr="00A84A20">
        <w:rPr>
          <w:sz w:val="24"/>
          <w:szCs w:val="24"/>
        </w:rPr>
        <w:t>Petty States of Exception</w:t>
      </w:r>
      <w:r>
        <w:rPr>
          <w:sz w:val="24"/>
          <w:szCs w:val="24"/>
        </w:rPr>
        <w:t>’ (n 61)</w:t>
      </w:r>
      <w:r w:rsidRPr="00A84A20">
        <w:rPr>
          <w:sz w:val="24"/>
          <w:szCs w:val="24"/>
        </w:rPr>
        <w:t>. For scholarship on sovereignty, policing</w:t>
      </w:r>
      <w:r>
        <w:rPr>
          <w:sz w:val="24"/>
          <w:szCs w:val="24"/>
        </w:rPr>
        <w:t>,</w:t>
      </w:r>
      <w:r w:rsidRPr="00A84A20">
        <w:rPr>
          <w:sz w:val="24"/>
          <w:szCs w:val="24"/>
        </w:rPr>
        <w:t xml:space="preserve"> and coercion see </w:t>
      </w:r>
      <w:r w:rsidRPr="00A84A20">
        <w:rPr>
          <w:bCs/>
          <w:sz w:val="24"/>
          <w:szCs w:val="24"/>
        </w:rPr>
        <w:t xml:space="preserve">Veena Das and Deborah Poole, </w:t>
      </w:r>
      <w:r>
        <w:rPr>
          <w:bCs/>
          <w:sz w:val="24"/>
          <w:szCs w:val="24"/>
        </w:rPr>
        <w:t>‘</w:t>
      </w:r>
      <w:r w:rsidRPr="00A84A20">
        <w:rPr>
          <w:bCs/>
          <w:sz w:val="24"/>
          <w:szCs w:val="24"/>
        </w:rPr>
        <w:t>State and its Margins: Comparative Ethnographies</w:t>
      </w:r>
      <w:r>
        <w:rPr>
          <w:bCs/>
          <w:sz w:val="24"/>
          <w:szCs w:val="24"/>
        </w:rPr>
        <w:t>’,</w:t>
      </w:r>
      <w:r w:rsidRPr="00A84A20">
        <w:rPr>
          <w:bCs/>
          <w:sz w:val="24"/>
          <w:szCs w:val="24"/>
        </w:rPr>
        <w:t xml:space="preserve"> in Veena Das and Deborah Poole, </w:t>
      </w:r>
      <w:r w:rsidRPr="00A84A20">
        <w:rPr>
          <w:bCs/>
          <w:i/>
          <w:sz w:val="24"/>
          <w:szCs w:val="24"/>
        </w:rPr>
        <w:t>Anthropology in the Margins of the State</w:t>
      </w:r>
      <w:r w:rsidRPr="00A84A20">
        <w:rPr>
          <w:bCs/>
          <w:sz w:val="24"/>
          <w:szCs w:val="24"/>
        </w:rPr>
        <w:t xml:space="preserve"> (Santa Fe: School of American Research Press; Oxford: James Currey 2004), 3</w:t>
      </w:r>
      <w:r>
        <w:rPr>
          <w:bCs/>
          <w:sz w:val="24"/>
          <w:szCs w:val="24"/>
        </w:rPr>
        <w:t>-</w:t>
      </w:r>
      <w:r w:rsidRPr="00A84A20">
        <w:rPr>
          <w:bCs/>
          <w:sz w:val="24"/>
          <w:szCs w:val="24"/>
        </w:rPr>
        <w:t>33</w:t>
      </w:r>
      <w:r>
        <w:rPr>
          <w:bCs/>
          <w:sz w:val="24"/>
          <w:szCs w:val="24"/>
        </w:rPr>
        <w:t xml:space="preserve"> (hereafter Das and Poole, ‘State and its Margins’)</w:t>
      </w:r>
      <w:r w:rsidRPr="00A84A20">
        <w:rPr>
          <w:bCs/>
          <w:sz w:val="24"/>
          <w:szCs w:val="24"/>
        </w:rPr>
        <w:t xml:space="preserve">; Thomas Blom Hansen and Finn Stepputat (eds), </w:t>
      </w:r>
      <w:r w:rsidRPr="00A84A20">
        <w:rPr>
          <w:bCs/>
          <w:i/>
          <w:sz w:val="24"/>
          <w:szCs w:val="24"/>
        </w:rPr>
        <w:t>Sovereign Bodies: Citizens, Migrants, and States in the Postcolonial World</w:t>
      </w:r>
      <w:r w:rsidRPr="00A84A20">
        <w:rPr>
          <w:b/>
          <w:sz w:val="24"/>
          <w:szCs w:val="24"/>
        </w:rPr>
        <w:t xml:space="preserve"> </w:t>
      </w:r>
      <w:r w:rsidRPr="00A84A20">
        <w:rPr>
          <w:sz w:val="24"/>
          <w:szCs w:val="24"/>
        </w:rPr>
        <w:t>(Princeton and Oxford: Princeton University Press 2005)</w:t>
      </w:r>
      <w:r>
        <w:rPr>
          <w:sz w:val="24"/>
          <w:szCs w:val="24"/>
        </w:rPr>
        <w:t xml:space="preserve">; </w:t>
      </w:r>
      <w:r w:rsidRPr="00A84A20">
        <w:rPr>
          <w:sz w:val="24"/>
          <w:szCs w:val="24"/>
        </w:rPr>
        <w:t xml:space="preserve">and </w:t>
      </w:r>
      <w:r w:rsidRPr="00A84A20">
        <w:rPr>
          <w:bCs/>
          <w:sz w:val="24"/>
          <w:szCs w:val="24"/>
        </w:rPr>
        <w:t>Thomas Blom Hansen and Finn Stepputat</w:t>
      </w:r>
      <w:r>
        <w:rPr>
          <w:bCs/>
          <w:sz w:val="24"/>
          <w:szCs w:val="24"/>
        </w:rPr>
        <w:t xml:space="preserve">, </w:t>
      </w:r>
      <w:r>
        <w:rPr>
          <w:sz w:val="24"/>
          <w:szCs w:val="24"/>
        </w:rPr>
        <w:t>‘</w:t>
      </w:r>
      <w:r w:rsidRPr="00A84A20">
        <w:rPr>
          <w:sz w:val="24"/>
          <w:szCs w:val="24"/>
        </w:rPr>
        <w:t>Sovereignty Revisited</w:t>
      </w:r>
      <w:r>
        <w:rPr>
          <w:sz w:val="24"/>
          <w:szCs w:val="24"/>
        </w:rPr>
        <w:t>’</w:t>
      </w:r>
      <w:r w:rsidRPr="00A84A20">
        <w:rPr>
          <w:sz w:val="24"/>
          <w:szCs w:val="24"/>
        </w:rPr>
        <w:t xml:space="preserve">, </w:t>
      </w:r>
      <w:r w:rsidRPr="00A84A20">
        <w:rPr>
          <w:i/>
          <w:iCs/>
          <w:sz w:val="24"/>
          <w:szCs w:val="24"/>
        </w:rPr>
        <w:t>Annual Review of Anthropology</w:t>
      </w:r>
      <w:r w:rsidRPr="00A84A20">
        <w:rPr>
          <w:sz w:val="24"/>
          <w:szCs w:val="24"/>
        </w:rPr>
        <w:t xml:space="preserve"> 35 (2006)</w:t>
      </w:r>
      <w:r>
        <w:rPr>
          <w:sz w:val="24"/>
          <w:szCs w:val="24"/>
        </w:rPr>
        <w:t>,</w:t>
      </w:r>
      <w:r w:rsidRPr="00A84A20">
        <w:rPr>
          <w:sz w:val="24"/>
          <w:szCs w:val="24"/>
        </w:rPr>
        <w:t xml:space="preserve"> 295</w:t>
      </w:r>
      <w:r>
        <w:rPr>
          <w:sz w:val="24"/>
          <w:szCs w:val="24"/>
        </w:rPr>
        <w:t>-</w:t>
      </w:r>
      <w:r w:rsidRPr="00A84A20">
        <w:rPr>
          <w:sz w:val="24"/>
          <w:szCs w:val="24"/>
        </w:rPr>
        <w:t>315. For an argument that examines the interrelationships between policing, governmentality</w:t>
      </w:r>
      <w:r>
        <w:rPr>
          <w:sz w:val="24"/>
          <w:szCs w:val="24"/>
        </w:rPr>
        <w:t>,</w:t>
      </w:r>
      <w:r w:rsidRPr="00A84A20">
        <w:rPr>
          <w:sz w:val="24"/>
          <w:szCs w:val="24"/>
        </w:rPr>
        <w:t xml:space="preserve"> and sovereignty see also </w:t>
      </w:r>
      <w:r w:rsidRPr="00A84A20">
        <w:rPr>
          <w:sz w:val="24"/>
          <w:szCs w:val="24"/>
          <w:shd w:val="clear" w:color="auto" w:fill="FFFFFF"/>
        </w:rPr>
        <w:t xml:space="preserve">Marianna Valverde, </w:t>
      </w:r>
      <w:r>
        <w:rPr>
          <w:sz w:val="24"/>
          <w:szCs w:val="24"/>
        </w:rPr>
        <w:t>‘</w:t>
      </w:r>
      <w:r w:rsidRPr="00A84A20">
        <w:rPr>
          <w:sz w:val="24"/>
          <w:szCs w:val="24"/>
        </w:rPr>
        <w:t>Police, Sovereignty, and Law: Foucaultian Reflections</w:t>
      </w:r>
      <w:r>
        <w:rPr>
          <w:sz w:val="24"/>
          <w:szCs w:val="24"/>
        </w:rPr>
        <w:t>’</w:t>
      </w:r>
      <w:r w:rsidRPr="00A84A20">
        <w:rPr>
          <w:sz w:val="24"/>
          <w:szCs w:val="24"/>
        </w:rPr>
        <w:t xml:space="preserve">, in </w:t>
      </w:r>
      <w:r w:rsidRPr="004A48AA">
        <w:rPr>
          <w:sz w:val="24"/>
          <w:szCs w:val="24"/>
        </w:rPr>
        <w:t xml:space="preserve">Markus D. Dubber and Mariana Valverde (eds), </w:t>
      </w:r>
      <w:r w:rsidRPr="004A48AA">
        <w:rPr>
          <w:i/>
          <w:iCs/>
          <w:sz w:val="24"/>
          <w:szCs w:val="24"/>
        </w:rPr>
        <w:t>Police and the Liberal State</w:t>
      </w:r>
      <w:r w:rsidRPr="004A48AA">
        <w:rPr>
          <w:sz w:val="24"/>
          <w:szCs w:val="24"/>
        </w:rPr>
        <w:t xml:space="preserve"> (Stanford, CA: Stanford University Press 2008</w:t>
      </w:r>
      <w:r>
        <w:rPr>
          <w:sz w:val="24"/>
          <w:szCs w:val="24"/>
        </w:rPr>
        <w:t>)</w:t>
      </w:r>
      <w:r w:rsidRPr="004A48AA">
        <w:rPr>
          <w:sz w:val="24"/>
          <w:szCs w:val="24"/>
        </w:rPr>
        <w:t>,</w:t>
      </w:r>
      <w:r>
        <w:rPr>
          <w:sz w:val="24"/>
          <w:szCs w:val="24"/>
        </w:rPr>
        <w:t xml:space="preserve"> </w:t>
      </w:r>
      <w:r w:rsidRPr="004A48AA">
        <w:rPr>
          <w:sz w:val="24"/>
          <w:szCs w:val="24"/>
        </w:rPr>
        <w:t>15</w:t>
      </w:r>
      <w:r>
        <w:rPr>
          <w:sz w:val="24"/>
          <w:szCs w:val="24"/>
        </w:rPr>
        <w:t>-</w:t>
      </w:r>
      <w:r w:rsidRPr="004A48AA">
        <w:rPr>
          <w:sz w:val="24"/>
          <w:szCs w:val="24"/>
        </w:rPr>
        <w:t xml:space="preserve">32. </w:t>
      </w:r>
    </w:p>
  </w:footnote>
  <w:footnote w:id="159">
    <w:p w14:paraId="0D03712F" w14:textId="77777777" w:rsidR="00997966" w:rsidRPr="00E92383" w:rsidRDefault="00997966" w:rsidP="00997966">
      <w:pPr>
        <w:pStyle w:val="FootnoteText"/>
        <w:spacing w:line="480" w:lineRule="auto"/>
        <w:contextualSpacing/>
        <w:rPr>
          <w:color w:val="000000"/>
          <w:sz w:val="24"/>
          <w:szCs w:val="24"/>
          <w:shd w:val="clear" w:color="auto" w:fill="FFFFFF"/>
        </w:rPr>
      </w:pPr>
      <w:r w:rsidRPr="00A84A20">
        <w:rPr>
          <w:rStyle w:val="FootnoteReference"/>
          <w:sz w:val="24"/>
          <w:szCs w:val="24"/>
        </w:rPr>
        <w:footnoteRef/>
      </w:r>
      <w:r w:rsidRPr="00A84A20">
        <w:rPr>
          <w:sz w:val="24"/>
          <w:szCs w:val="24"/>
        </w:rPr>
        <w:t xml:space="preserve"> </w:t>
      </w:r>
      <w:r>
        <w:rPr>
          <w:sz w:val="24"/>
          <w:szCs w:val="24"/>
        </w:rPr>
        <w:t xml:space="preserve">Jonathan Saha, </w:t>
      </w:r>
      <w:r w:rsidRPr="00506C28">
        <w:rPr>
          <w:i/>
          <w:iCs/>
          <w:sz w:val="24"/>
          <w:szCs w:val="24"/>
        </w:rPr>
        <w:t xml:space="preserve">Law, </w:t>
      </w:r>
      <w:proofErr w:type="gramStart"/>
      <w:r w:rsidRPr="00506C28">
        <w:rPr>
          <w:i/>
          <w:iCs/>
          <w:sz w:val="24"/>
          <w:szCs w:val="24"/>
        </w:rPr>
        <w:t>Disorder</w:t>
      </w:r>
      <w:proofErr w:type="gramEnd"/>
      <w:r w:rsidRPr="00506C28">
        <w:rPr>
          <w:i/>
          <w:iCs/>
          <w:sz w:val="24"/>
          <w:szCs w:val="24"/>
        </w:rPr>
        <w:t xml:space="preserve"> and the Colonial State: Corruption in Burma c. 1900 </w:t>
      </w:r>
      <w:r w:rsidRPr="00506C28">
        <w:rPr>
          <w:sz w:val="24"/>
          <w:szCs w:val="24"/>
        </w:rPr>
        <w:t>(Basingstoke: Palgrave Macmillan 2013)</w:t>
      </w:r>
      <w:r>
        <w:rPr>
          <w:sz w:val="24"/>
          <w:szCs w:val="24"/>
        </w:rPr>
        <w:t xml:space="preserve">, </w:t>
      </w:r>
      <w:r w:rsidRPr="00A84A20">
        <w:rPr>
          <w:sz w:val="24"/>
          <w:szCs w:val="24"/>
        </w:rPr>
        <w:t>53</w:t>
      </w:r>
      <w:r>
        <w:rPr>
          <w:sz w:val="24"/>
          <w:szCs w:val="24"/>
        </w:rPr>
        <w:t xml:space="preserve"> (hereafter Saha, </w:t>
      </w:r>
      <w:r>
        <w:rPr>
          <w:i/>
          <w:iCs/>
          <w:sz w:val="24"/>
          <w:szCs w:val="24"/>
        </w:rPr>
        <w:t>Law, Disorder and the Colonial State</w:t>
      </w:r>
      <w:r>
        <w:rPr>
          <w:sz w:val="24"/>
          <w:szCs w:val="24"/>
        </w:rPr>
        <w:t>)</w:t>
      </w:r>
      <w:r w:rsidRPr="00A84A20">
        <w:rPr>
          <w:sz w:val="24"/>
          <w:szCs w:val="24"/>
        </w:rPr>
        <w:t xml:space="preserve">. See also Kumar, </w:t>
      </w:r>
      <w:r>
        <w:rPr>
          <w:sz w:val="24"/>
          <w:szCs w:val="24"/>
        </w:rPr>
        <w:t>‘</w:t>
      </w:r>
      <w:r w:rsidRPr="00A84A20">
        <w:rPr>
          <w:sz w:val="24"/>
          <w:szCs w:val="24"/>
        </w:rPr>
        <w:t>Seeing Like a Policeman</w:t>
      </w:r>
      <w:r>
        <w:rPr>
          <w:sz w:val="24"/>
          <w:szCs w:val="24"/>
        </w:rPr>
        <w:t>’ (n 95)</w:t>
      </w:r>
      <w:r w:rsidRPr="00A84A20">
        <w:rPr>
          <w:sz w:val="24"/>
          <w:szCs w:val="24"/>
        </w:rPr>
        <w:t>. According to Clea Finkle, in her superb dissertation on policing and state power in colonial north India, the Indian police began to assume a disciplinary function from 1830 (in part a</w:t>
      </w:r>
      <w:r>
        <w:rPr>
          <w:sz w:val="24"/>
          <w:szCs w:val="24"/>
        </w:rPr>
        <w:t>s a</w:t>
      </w:r>
      <w:r w:rsidRPr="00A84A20">
        <w:rPr>
          <w:sz w:val="24"/>
          <w:szCs w:val="24"/>
        </w:rPr>
        <w:t xml:space="preserve"> result of the transformation of the East India Company’s charter from a trading concern to a solely administrative one, </w:t>
      </w:r>
      <w:r>
        <w:rPr>
          <w:sz w:val="24"/>
          <w:szCs w:val="24"/>
        </w:rPr>
        <w:t>and in part</w:t>
      </w:r>
      <w:r w:rsidRPr="00A84A20">
        <w:rPr>
          <w:sz w:val="24"/>
          <w:szCs w:val="24"/>
        </w:rPr>
        <w:t xml:space="preserve"> the </w:t>
      </w:r>
      <w:r>
        <w:rPr>
          <w:sz w:val="24"/>
          <w:szCs w:val="24"/>
        </w:rPr>
        <w:t>‘</w:t>
      </w:r>
      <w:r w:rsidRPr="00A84A20">
        <w:rPr>
          <w:sz w:val="24"/>
          <w:szCs w:val="24"/>
        </w:rPr>
        <w:t>improving</w:t>
      </w:r>
      <w:r>
        <w:rPr>
          <w:sz w:val="24"/>
          <w:szCs w:val="24"/>
        </w:rPr>
        <w:t>’</w:t>
      </w:r>
      <w:r w:rsidRPr="00A84A20">
        <w:rPr>
          <w:sz w:val="24"/>
          <w:szCs w:val="24"/>
        </w:rPr>
        <w:t xml:space="preserve"> drive of the Utilitarian and Evangelical movements)</w:t>
      </w:r>
      <w:r>
        <w:rPr>
          <w:sz w:val="24"/>
          <w:szCs w:val="24"/>
        </w:rPr>
        <w:t>, as</w:t>
      </w:r>
      <w:r w:rsidRPr="00A84A20">
        <w:rPr>
          <w:sz w:val="24"/>
          <w:szCs w:val="24"/>
        </w:rPr>
        <w:t xml:space="preserve"> </w:t>
      </w:r>
      <w:r>
        <w:rPr>
          <w:sz w:val="24"/>
          <w:szCs w:val="24"/>
        </w:rPr>
        <w:t xml:space="preserve">is </w:t>
      </w:r>
      <w:r w:rsidRPr="00A84A20">
        <w:rPr>
          <w:sz w:val="24"/>
          <w:szCs w:val="24"/>
        </w:rPr>
        <w:t xml:space="preserve">apparent in the changing nature of police reports. </w:t>
      </w:r>
      <w:r>
        <w:rPr>
          <w:sz w:val="24"/>
          <w:szCs w:val="24"/>
        </w:rPr>
        <w:t>Although</w:t>
      </w:r>
      <w:r w:rsidRPr="00A84A20">
        <w:rPr>
          <w:sz w:val="24"/>
          <w:szCs w:val="24"/>
        </w:rPr>
        <w:t xml:space="preserve"> these had previously contained obligatory descriptions of major crimes and tables on convictions and punishments they began </w:t>
      </w:r>
      <w:r>
        <w:rPr>
          <w:sz w:val="24"/>
          <w:szCs w:val="24"/>
        </w:rPr>
        <w:t>‘</w:t>
      </w:r>
      <w:r w:rsidRPr="00A84A20">
        <w:rPr>
          <w:sz w:val="24"/>
          <w:szCs w:val="24"/>
        </w:rPr>
        <w:t xml:space="preserve">to encompass a much greater sweep of </w:t>
      </w:r>
      <w:r>
        <w:rPr>
          <w:sz w:val="24"/>
          <w:szCs w:val="24"/>
        </w:rPr>
        <w:t>“</w:t>
      </w:r>
      <w:r w:rsidRPr="00A84A20">
        <w:rPr>
          <w:sz w:val="24"/>
          <w:szCs w:val="24"/>
        </w:rPr>
        <w:t>the social</w:t>
      </w:r>
      <w:r>
        <w:rPr>
          <w:sz w:val="24"/>
          <w:szCs w:val="24"/>
        </w:rPr>
        <w:t>”</w:t>
      </w:r>
      <w:r w:rsidRPr="00A84A20">
        <w:rPr>
          <w:sz w:val="24"/>
          <w:szCs w:val="24"/>
        </w:rPr>
        <w:t xml:space="preserve"> and a greater interest in rendering its everyday practices into the language of law and order</w:t>
      </w:r>
      <w:r>
        <w:rPr>
          <w:sz w:val="24"/>
          <w:szCs w:val="24"/>
        </w:rPr>
        <w:t>’</w:t>
      </w:r>
      <w:r w:rsidRPr="00A84A20">
        <w:rPr>
          <w:sz w:val="24"/>
          <w:szCs w:val="24"/>
        </w:rPr>
        <w:t xml:space="preserve">. Finkle, </w:t>
      </w:r>
      <w:r>
        <w:rPr>
          <w:sz w:val="24"/>
          <w:szCs w:val="24"/>
        </w:rPr>
        <w:t>‘</w:t>
      </w:r>
      <w:r w:rsidRPr="00A84A20">
        <w:rPr>
          <w:sz w:val="24"/>
          <w:szCs w:val="24"/>
        </w:rPr>
        <w:t>State, Power</w:t>
      </w:r>
      <w:r>
        <w:rPr>
          <w:sz w:val="24"/>
          <w:szCs w:val="24"/>
        </w:rPr>
        <w:t xml:space="preserve"> and Police’ (n 143) </w:t>
      </w:r>
      <w:r w:rsidRPr="00A84A20">
        <w:rPr>
          <w:sz w:val="24"/>
          <w:szCs w:val="24"/>
        </w:rPr>
        <w:t xml:space="preserve">79. See also </w:t>
      </w:r>
      <w:r>
        <w:rPr>
          <w:sz w:val="24"/>
          <w:szCs w:val="24"/>
        </w:rPr>
        <w:t xml:space="preserve">Eric </w:t>
      </w:r>
      <w:r w:rsidRPr="00A84A20">
        <w:rPr>
          <w:sz w:val="24"/>
          <w:szCs w:val="24"/>
        </w:rPr>
        <w:t xml:space="preserve">Stokes, </w:t>
      </w:r>
      <w:r>
        <w:rPr>
          <w:i/>
          <w:iCs/>
          <w:sz w:val="24"/>
          <w:szCs w:val="24"/>
        </w:rPr>
        <w:t>The E</w:t>
      </w:r>
      <w:r w:rsidRPr="00A84A20">
        <w:rPr>
          <w:i/>
          <w:iCs/>
          <w:sz w:val="24"/>
          <w:szCs w:val="24"/>
        </w:rPr>
        <w:t xml:space="preserve">nglish Utilitarians and India </w:t>
      </w:r>
      <w:r w:rsidRPr="00A84A20">
        <w:rPr>
          <w:sz w:val="24"/>
          <w:szCs w:val="24"/>
        </w:rPr>
        <w:t>(New York: Oxford University Press 1959).</w:t>
      </w:r>
    </w:p>
  </w:footnote>
  <w:footnote w:id="160">
    <w:p w14:paraId="5819D4C4"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David M. Anderson and David Killingray, </w:t>
      </w:r>
      <w:r>
        <w:rPr>
          <w:sz w:val="24"/>
          <w:szCs w:val="24"/>
        </w:rPr>
        <w:t>‘</w:t>
      </w:r>
      <w:r w:rsidRPr="00A84A20">
        <w:rPr>
          <w:sz w:val="24"/>
          <w:szCs w:val="24"/>
        </w:rPr>
        <w:t>Consent, Coercion and Colonial Control: Policing the Empire, 1830</w:t>
      </w:r>
      <w:r>
        <w:rPr>
          <w:sz w:val="24"/>
          <w:szCs w:val="24"/>
        </w:rPr>
        <w:t>-</w:t>
      </w:r>
      <w:r w:rsidRPr="00A84A20">
        <w:rPr>
          <w:sz w:val="24"/>
          <w:szCs w:val="24"/>
        </w:rPr>
        <w:t>1940</w:t>
      </w:r>
      <w:r>
        <w:rPr>
          <w:sz w:val="24"/>
          <w:szCs w:val="24"/>
        </w:rPr>
        <w:t>’</w:t>
      </w:r>
      <w:r w:rsidRPr="00A84A20">
        <w:rPr>
          <w:sz w:val="24"/>
          <w:szCs w:val="24"/>
        </w:rPr>
        <w:t xml:space="preserve">, in Anderson and Killingray, </w:t>
      </w:r>
      <w:r w:rsidRPr="00A84A20">
        <w:rPr>
          <w:i/>
          <w:iCs/>
          <w:sz w:val="24"/>
          <w:szCs w:val="24"/>
        </w:rPr>
        <w:t>Policing the Empire</w:t>
      </w:r>
      <w:r>
        <w:rPr>
          <w:i/>
          <w:iCs/>
          <w:sz w:val="24"/>
          <w:szCs w:val="24"/>
        </w:rPr>
        <w:t xml:space="preserve"> </w:t>
      </w:r>
      <w:r>
        <w:rPr>
          <w:sz w:val="24"/>
          <w:szCs w:val="24"/>
        </w:rPr>
        <w:t>(n 140)</w:t>
      </w:r>
      <w:r w:rsidRPr="00A84A20">
        <w:rPr>
          <w:sz w:val="24"/>
          <w:szCs w:val="24"/>
        </w:rPr>
        <w:t xml:space="preserve"> 4. See also Clive Emsley, </w:t>
      </w:r>
      <w:r>
        <w:rPr>
          <w:sz w:val="24"/>
          <w:szCs w:val="24"/>
        </w:rPr>
        <w:t>‘</w:t>
      </w:r>
      <w:r w:rsidRPr="00A84A20">
        <w:rPr>
          <w:sz w:val="24"/>
          <w:szCs w:val="24"/>
        </w:rPr>
        <w:t>Policing the Empire/Policing the Metropole: Some Thoughts on Models and Types</w:t>
      </w:r>
      <w:r>
        <w:rPr>
          <w:sz w:val="24"/>
          <w:szCs w:val="24"/>
        </w:rPr>
        <w:t>’</w:t>
      </w:r>
      <w:r w:rsidRPr="00A84A20">
        <w:rPr>
          <w:sz w:val="24"/>
          <w:szCs w:val="24"/>
        </w:rPr>
        <w:t xml:space="preserve">, </w:t>
      </w:r>
      <w:r w:rsidRPr="00A84A20">
        <w:rPr>
          <w:i/>
          <w:iCs/>
          <w:sz w:val="24"/>
          <w:szCs w:val="24"/>
        </w:rPr>
        <w:t xml:space="preserve">Crime, History &amp; Societies </w:t>
      </w:r>
      <w:r w:rsidRPr="00A84A20">
        <w:rPr>
          <w:sz w:val="24"/>
          <w:szCs w:val="24"/>
        </w:rPr>
        <w:t>18</w:t>
      </w:r>
      <w:r>
        <w:rPr>
          <w:sz w:val="24"/>
          <w:szCs w:val="24"/>
        </w:rPr>
        <w:t>/</w:t>
      </w:r>
      <w:r w:rsidRPr="00A84A20">
        <w:rPr>
          <w:sz w:val="24"/>
          <w:szCs w:val="24"/>
        </w:rPr>
        <w:t>2 (2014)</w:t>
      </w:r>
      <w:r>
        <w:rPr>
          <w:sz w:val="24"/>
          <w:szCs w:val="24"/>
        </w:rPr>
        <w:t>,</w:t>
      </w:r>
      <w:r w:rsidRPr="00A84A20">
        <w:rPr>
          <w:sz w:val="24"/>
          <w:szCs w:val="24"/>
        </w:rPr>
        <w:t xml:space="preserve"> 5</w:t>
      </w:r>
      <w:r>
        <w:rPr>
          <w:sz w:val="24"/>
          <w:szCs w:val="24"/>
        </w:rPr>
        <w:t>-</w:t>
      </w:r>
      <w:r w:rsidRPr="00A84A20">
        <w:rPr>
          <w:sz w:val="24"/>
          <w:szCs w:val="24"/>
        </w:rPr>
        <w:t xml:space="preserve">25. </w:t>
      </w:r>
    </w:p>
  </w:footnote>
  <w:footnote w:id="161">
    <w:p w14:paraId="720441FC"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Dhillon, </w:t>
      </w:r>
      <w:r w:rsidRPr="00A84A20">
        <w:rPr>
          <w:i/>
          <w:iCs/>
          <w:sz w:val="24"/>
          <w:szCs w:val="24"/>
        </w:rPr>
        <w:t>Defenders</w:t>
      </w:r>
      <w:r>
        <w:rPr>
          <w:i/>
          <w:iCs/>
          <w:sz w:val="24"/>
          <w:szCs w:val="24"/>
        </w:rPr>
        <w:t xml:space="preserve"> of the Establishment </w:t>
      </w:r>
      <w:r>
        <w:rPr>
          <w:sz w:val="24"/>
          <w:szCs w:val="24"/>
        </w:rPr>
        <w:t>(n 55)</w:t>
      </w:r>
      <w:r w:rsidRPr="00A84A20">
        <w:rPr>
          <w:i/>
          <w:iCs/>
          <w:sz w:val="24"/>
          <w:szCs w:val="24"/>
        </w:rPr>
        <w:t xml:space="preserve"> </w:t>
      </w:r>
      <w:r w:rsidRPr="00A84A20">
        <w:rPr>
          <w:sz w:val="24"/>
          <w:szCs w:val="24"/>
        </w:rPr>
        <w:t xml:space="preserve">18; and Baxi, </w:t>
      </w:r>
      <w:r w:rsidRPr="00A84A20">
        <w:rPr>
          <w:i/>
          <w:iCs/>
          <w:sz w:val="24"/>
          <w:szCs w:val="24"/>
        </w:rPr>
        <w:t>The Crisis</w:t>
      </w:r>
      <w:r>
        <w:rPr>
          <w:i/>
          <w:iCs/>
          <w:sz w:val="24"/>
          <w:szCs w:val="24"/>
        </w:rPr>
        <w:t xml:space="preserve"> </w:t>
      </w:r>
      <w:r>
        <w:rPr>
          <w:sz w:val="24"/>
          <w:szCs w:val="24"/>
        </w:rPr>
        <w:t>(n 61)</w:t>
      </w:r>
      <w:r w:rsidRPr="00A84A20">
        <w:rPr>
          <w:i/>
          <w:iCs/>
          <w:sz w:val="24"/>
          <w:szCs w:val="24"/>
        </w:rPr>
        <w:t xml:space="preserve"> </w:t>
      </w:r>
      <w:r w:rsidRPr="00A84A20">
        <w:rPr>
          <w:sz w:val="24"/>
          <w:szCs w:val="24"/>
        </w:rPr>
        <w:t>106. The extent to which the Indian police was militari</w:t>
      </w:r>
      <w:r>
        <w:rPr>
          <w:sz w:val="24"/>
          <w:szCs w:val="24"/>
        </w:rPr>
        <w:t>z</w:t>
      </w:r>
      <w:r w:rsidRPr="00A84A20">
        <w:rPr>
          <w:sz w:val="24"/>
          <w:szCs w:val="24"/>
        </w:rPr>
        <w:t>ed varied from province to province</w:t>
      </w:r>
      <w:bookmarkStart w:id="33" w:name="_Hlk17222693"/>
      <w:r>
        <w:rPr>
          <w:sz w:val="24"/>
          <w:szCs w:val="24"/>
        </w:rPr>
        <w:t xml:space="preserve">, although its militarization </w:t>
      </w:r>
      <w:r w:rsidRPr="00A84A20">
        <w:rPr>
          <w:sz w:val="24"/>
          <w:szCs w:val="24"/>
        </w:rPr>
        <w:t xml:space="preserve">was nowhere more apparent than </w:t>
      </w:r>
      <w:r>
        <w:rPr>
          <w:sz w:val="24"/>
          <w:szCs w:val="24"/>
        </w:rPr>
        <w:t>on</w:t>
      </w:r>
      <w:r w:rsidRPr="00A84A20">
        <w:rPr>
          <w:sz w:val="24"/>
          <w:szCs w:val="24"/>
        </w:rPr>
        <w:t xml:space="preserve"> India’s frontiers. </w:t>
      </w:r>
      <w:r>
        <w:rPr>
          <w:sz w:val="24"/>
          <w:szCs w:val="24"/>
        </w:rPr>
        <w:t>S</w:t>
      </w:r>
      <w:r w:rsidRPr="00A84A20">
        <w:rPr>
          <w:sz w:val="24"/>
          <w:szCs w:val="24"/>
        </w:rPr>
        <w:t>uch a model of policing</w:t>
      </w:r>
      <w:r>
        <w:rPr>
          <w:sz w:val="24"/>
          <w:szCs w:val="24"/>
        </w:rPr>
        <w:t>, a</w:t>
      </w:r>
      <w:r w:rsidRPr="00A84A20">
        <w:rPr>
          <w:sz w:val="24"/>
          <w:szCs w:val="24"/>
        </w:rPr>
        <w:t>s Upendra Baxi argues, is an impersonal and alienating one, in which stress is laid on obedience, procedure, the stifling of innovation</w:t>
      </w:r>
      <w:r>
        <w:rPr>
          <w:sz w:val="24"/>
          <w:szCs w:val="24"/>
        </w:rPr>
        <w:t>,</w:t>
      </w:r>
      <w:r w:rsidRPr="00A84A20">
        <w:rPr>
          <w:sz w:val="24"/>
          <w:szCs w:val="24"/>
        </w:rPr>
        <w:t xml:space="preserve"> and disregard for the interests of the public. Baxi, </w:t>
      </w:r>
      <w:r w:rsidRPr="00A84A20">
        <w:rPr>
          <w:i/>
          <w:iCs/>
          <w:sz w:val="24"/>
          <w:szCs w:val="24"/>
        </w:rPr>
        <w:t xml:space="preserve">The Crisis </w:t>
      </w:r>
      <w:r>
        <w:rPr>
          <w:sz w:val="24"/>
          <w:szCs w:val="24"/>
        </w:rPr>
        <w:t xml:space="preserve">(n 61) </w:t>
      </w:r>
      <w:r w:rsidRPr="00A84A20">
        <w:rPr>
          <w:sz w:val="24"/>
          <w:szCs w:val="24"/>
        </w:rPr>
        <w:t>107</w:t>
      </w:r>
      <w:r>
        <w:rPr>
          <w:sz w:val="24"/>
          <w:szCs w:val="24"/>
        </w:rPr>
        <w:t>-</w:t>
      </w:r>
      <w:r w:rsidRPr="00A84A20">
        <w:rPr>
          <w:sz w:val="24"/>
          <w:szCs w:val="24"/>
        </w:rPr>
        <w:t>8.</w:t>
      </w:r>
      <w:bookmarkEnd w:id="33"/>
      <w:r w:rsidRPr="00A84A20">
        <w:rPr>
          <w:sz w:val="24"/>
          <w:szCs w:val="24"/>
        </w:rPr>
        <w:t xml:space="preserve"> See also Rajnarayan Chandarvarkar, </w:t>
      </w:r>
      <w:r>
        <w:rPr>
          <w:sz w:val="24"/>
          <w:szCs w:val="24"/>
        </w:rPr>
        <w:t>‘</w:t>
      </w:r>
      <w:r w:rsidRPr="00A84A20">
        <w:rPr>
          <w:sz w:val="24"/>
          <w:szCs w:val="24"/>
        </w:rPr>
        <w:t>Customs of Governance: Colonialism and Democracy in Twentieth Century India</w:t>
      </w:r>
      <w:r>
        <w:rPr>
          <w:sz w:val="24"/>
          <w:szCs w:val="24"/>
        </w:rPr>
        <w:t>’</w:t>
      </w:r>
      <w:r w:rsidRPr="00A84A20">
        <w:rPr>
          <w:sz w:val="24"/>
          <w:szCs w:val="24"/>
        </w:rPr>
        <w:t>,</w:t>
      </w:r>
      <w:r w:rsidRPr="00A84A20">
        <w:rPr>
          <w:b/>
          <w:bCs/>
          <w:sz w:val="24"/>
          <w:szCs w:val="24"/>
        </w:rPr>
        <w:t xml:space="preserve"> </w:t>
      </w:r>
      <w:r w:rsidRPr="00A84A20">
        <w:rPr>
          <w:i/>
          <w:iCs/>
          <w:sz w:val="24"/>
          <w:szCs w:val="24"/>
        </w:rPr>
        <w:t>Modern Asian Studies</w:t>
      </w:r>
      <w:r w:rsidRPr="00A84A20">
        <w:rPr>
          <w:sz w:val="24"/>
          <w:szCs w:val="24"/>
        </w:rPr>
        <w:t xml:space="preserve"> 41</w:t>
      </w:r>
      <w:r>
        <w:rPr>
          <w:sz w:val="24"/>
          <w:szCs w:val="24"/>
        </w:rPr>
        <w:t>/</w:t>
      </w:r>
      <w:r w:rsidRPr="00A84A20">
        <w:rPr>
          <w:sz w:val="24"/>
          <w:szCs w:val="24"/>
        </w:rPr>
        <w:t>3 (2007), 450</w:t>
      </w:r>
      <w:r>
        <w:rPr>
          <w:sz w:val="24"/>
          <w:szCs w:val="24"/>
        </w:rPr>
        <w:t xml:space="preserve"> (hereafter Chandarvarkar, ‘Customs of Governance’)</w:t>
      </w:r>
      <w:r w:rsidRPr="00A84A20">
        <w:rPr>
          <w:sz w:val="24"/>
          <w:szCs w:val="24"/>
        </w:rPr>
        <w:t xml:space="preserve">; Kolsky, </w:t>
      </w:r>
      <w:r>
        <w:rPr>
          <w:sz w:val="24"/>
          <w:szCs w:val="24"/>
        </w:rPr>
        <w:t>‘</w:t>
      </w:r>
      <w:r w:rsidRPr="00A84A20">
        <w:rPr>
          <w:sz w:val="24"/>
          <w:szCs w:val="24"/>
        </w:rPr>
        <w:t>The Colonial Rule of Law</w:t>
      </w:r>
      <w:r>
        <w:rPr>
          <w:sz w:val="24"/>
          <w:szCs w:val="24"/>
        </w:rPr>
        <w:t>’ (n 62)</w:t>
      </w:r>
      <w:r w:rsidRPr="00A84A20">
        <w:rPr>
          <w:sz w:val="24"/>
          <w:szCs w:val="24"/>
        </w:rPr>
        <w:t xml:space="preserve">; </w:t>
      </w:r>
      <w:bookmarkStart w:id="34" w:name="_Hlk40881937"/>
      <w:r w:rsidRPr="00A84A20">
        <w:rPr>
          <w:sz w:val="24"/>
          <w:szCs w:val="24"/>
        </w:rPr>
        <w:t xml:space="preserve">Condos, </w:t>
      </w:r>
      <w:r>
        <w:rPr>
          <w:sz w:val="24"/>
          <w:szCs w:val="24"/>
        </w:rPr>
        <w:t>‘</w:t>
      </w:r>
      <w:r w:rsidRPr="00A84A20">
        <w:rPr>
          <w:sz w:val="24"/>
          <w:szCs w:val="24"/>
        </w:rPr>
        <w:t>License to Kill</w:t>
      </w:r>
      <w:bookmarkEnd w:id="34"/>
      <w:r>
        <w:rPr>
          <w:sz w:val="24"/>
          <w:szCs w:val="24"/>
        </w:rPr>
        <w:t>’ (n 94)</w:t>
      </w:r>
      <w:r w:rsidRPr="00A84A20">
        <w:rPr>
          <w:sz w:val="24"/>
          <w:szCs w:val="24"/>
        </w:rPr>
        <w:t xml:space="preserve">; and Dilip K. Das and Arvind Verma, </w:t>
      </w:r>
      <w:r>
        <w:rPr>
          <w:sz w:val="24"/>
          <w:szCs w:val="24"/>
        </w:rPr>
        <w:t>‘</w:t>
      </w:r>
      <w:r w:rsidRPr="00A84A20">
        <w:rPr>
          <w:sz w:val="24"/>
          <w:szCs w:val="24"/>
        </w:rPr>
        <w:t>The Armed Police in the British Colonial Tradition</w:t>
      </w:r>
      <w:r>
        <w:rPr>
          <w:sz w:val="24"/>
          <w:szCs w:val="24"/>
        </w:rPr>
        <w:t>—</w:t>
      </w:r>
      <w:r w:rsidRPr="00A84A20">
        <w:rPr>
          <w:sz w:val="24"/>
          <w:szCs w:val="24"/>
        </w:rPr>
        <w:t>The Indian Perspective</w:t>
      </w:r>
      <w:r>
        <w:rPr>
          <w:sz w:val="24"/>
          <w:szCs w:val="24"/>
        </w:rPr>
        <w:t>’</w:t>
      </w:r>
      <w:r w:rsidRPr="00A84A20">
        <w:rPr>
          <w:sz w:val="24"/>
          <w:szCs w:val="24"/>
        </w:rPr>
        <w:t xml:space="preserve">, </w:t>
      </w:r>
      <w:r w:rsidRPr="00A84A20">
        <w:rPr>
          <w:i/>
          <w:iCs/>
          <w:sz w:val="24"/>
          <w:szCs w:val="24"/>
        </w:rPr>
        <w:t>Policing: An International Journal of Police Strategies &amp; Management</w:t>
      </w:r>
      <w:r w:rsidRPr="00A84A20">
        <w:rPr>
          <w:sz w:val="24"/>
          <w:szCs w:val="24"/>
        </w:rPr>
        <w:t xml:space="preserve"> 21</w:t>
      </w:r>
      <w:r>
        <w:rPr>
          <w:sz w:val="24"/>
          <w:szCs w:val="24"/>
        </w:rPr>
        <w:t>/</w:t>
      </w:r>
      <w:r w:rsidRPr="00A84A20">
        <w:rPr>
          <w:sz w:val="24"/>
          <w:szCs w:val="24"/>
        </w:rPr>
        <w:t>2 (1998)</w:t>
      </w:r>
      <w:r>
        <w:rPr>
          <w:sz w:val="24"/>
          <w:szCs w:val="24"/>
        </w:rPr>
        <w:t>,</w:t>
      </w:r>
      <w:r w:rsidRPr="00A84A20">
        <w:rPr>
          <w:sz w:val="24"/>
          <w:szCs w:val="24"/>
        </w:rPr>
        <w:t xml:space="preserve"> 354</w:t>
      </w:r>
      <w:r>
        <w:rPr>
          <w:sz w:val="24"/>
          <w:szCs w:val="24"/>
        </w:rPr>
        <w:t>-</w:t>
      </w:r>
      <w:r w:rsidRPr="00A84A20">
        <w:rPr>
          <w:sz w:val="24"/>
          <w:szCs w:val="24"/>
        </w:rPr>
        <w:t>67.</w:t>
      </w:r>
    </w:p>
  </w:footnote>
  <w:footnote w:id="162">
    <w:p w14:paraId="28645822"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Michel Foucault, </w:t>
      </w:r>
      <w:r w:rsidRPr="00A84A20">
        <w:rPr>
          <w:i/>
          <w:iCs/>
          <w:sz w:val="24"/>
          <w:szCs w:val="24"/>
        </w:rPr>
        <w:t>Discipline and Punish: The Birth of the Prison</w:t>
      </w:r>
      <w:r w:rsidRPr="00A84A20">
        <w:rPr>
          <w:sz w:val="24"/>
          <w:szCs w:val="24"/>
        </w:rPr>
        <w:t xml:space="preserve"> (</w:t>
      </w:r>
      <w:r w:rsidRPr="00052FD8">
        <w:rPr>
          <w:sz w:val="24"/>
          <w:szCs w:val="24"/>
        </w:rPr>
        <w:t>Alan Sheridan</w:t>
      </w:r>
      <w:r>
        <w:rPr>
          <w:sz w:val="24"/>
          <w:szCs w:val="24"/>
        </w:rPr>
        <w:t xml:space="preserve"> tr, </w:t>
      </w:r>
      <w:r w:rsidRPr="00A84A20">
        <w:rPr>
          <w:sz w:val="24"/>
          <w:szCs w:val="24"/>
        </w:rPr>
        <w:t>London: Penguin 1977). Colonial states, like all states, were dependent on surveillance and discipline</w:t>
      </w:r>
      <w:r>
        <w:rPr>
          <w:sz w:val="24"/>
          <w:szCs w:val="24"/>
        </w:rPr>
        <w:t xml:space="preserve"> in addition to violence and coercion</w:t>
      </w:r>
      <w:r w:rsidRPr="00A84A20">
        <w:rPr>
          <w:sz w:val="24"/>
          <w:szCs w:val="24"/>
        </w:rPr>
        <w:t xml:space="preserve">; what differentiates the former from the latter is the predominance of violence </w:t>
      </w:r>
      <w:r>
        <w:rPr>
          <w:sz w:val="24"/>
          <w:szCs w:val="24"/>
        </w:rPr>
        <w:t xml:space="preserve">and coercion </w:t>
      </w:r>
      <w:r w:rsidRPr="00A84A20">
        <w:rPr>
          <w:sz w:val="24"/>
          <w:szCs w:val="24"/>
        </w:rPr>
        <w:t xml:space="preserve">over surveillance and discipline. John Comaroff, </w:t>
      </w:r>
      <w:r>
        <w:rPr>
          <w:sz w:val="24"/>
          <w:szCs w:val="24"/>
        </w:rPr>
        <w:t>‘</w:t>
      </w:r>
      <w:r w:rsidRPr="00A84A20">
        <w:rPr>
          <w:rStyle w:val="article-title"/>
          <w:sz w:val="24"/>
          <w:szCs w:val="24"/>
          <w:bdr w:val="none" w:sz="0" w:space="0" w:color="auto" w:frame="1"/>
          <w:shd w:val="clear" w:color="auto" w:fill="FFFFFF"/>
        </w:rPr>
        <w:t>Governmentality, Materiality, Legality</w:t>
      </w:r>
      <w:r>
        <w:rPr>
          <w:sz w:val="24"/>
          <w:szCs w:val="24"/>
          <w:shd w:val="clear" w:color="auto" w:fill="FFFFFF"/>
        </w:rPr>
        <w:t>’</w:t>
      </w:r>
      <w:r w:rsidRPr="00A84A20">
        <w:rPr>
          <w:sz w:val="24"/>
          <w:szCs w:val="24"/>
          <w:shd w:val="clear" w:color="auto" w:fill="FFFFFF"/>
        </w:rPr>
        <w:t>,</w:t>
      </w:r>
      <w:r w:rsidRPr="00A84A20">
        <w:rPr>
          <w:b/>
          <w:bCs/>
          <w:sz w:val="24"/>
          <w:szCs w:val="24"/>
          <w:shd w:val="clear" w:color="auto" w:fill="FFFFFF"/>
        </w:rPr>
        <w:t xml:space="preserve"> </w:t>
      </w:r>
      <w:r w:rsidRPr="00A84A20">
        <w:rPr>
          <w:sz w:val="24"/>
          <w:szCs w:val="24"/>
          <w:shd w:val="clear" w:color="auto" w:fill="FFFFFF"/>
        </w:rPr>
        <w:t>in Jan</w:t>
      </w:r>
      <w:r>
        <w:rPr>
          <w:sz w:val="24"/>
          <w:szCs w:val="24"/>
          <w:shd w:val="clear" w:color="auto" w:fill="FFFFFF"/>
        </w:rPr>
        <w:t>-</w:t>
      </w:r>
      <w:r w:rsidRPr="00A84A20">
        <w:rPr>
          <w:sz w:val="24"/>
          <w:szCs w:val="24"/>
          <w:shd w:val="clear" w:color="auto" w:fill="FFFFFF"/>
        </w:rPr>
        <w:t>Georg Deutsch, Peter Probst</w:t>
      </w:r>
      <w:r>
        <w:rPr>
          <w:sz w:val="24"/>
          <w:szCs w:val="24"/>
          <w:shd w:val="clear" w:color="auto" w:fill="FFFFFF"/>
        </w:rPr>
        <w:t>,</w:t>
      </w:r>
      <w:r w:rsidRPr="00A84A20">
        <w:rPr>
          <w:sz w:val="24"/>
          <w:szCs w:val="24"/>
          <w:shd w:val="clear" w:color="auto" w:fill="FFFFFF"/>
        </w:rPr>
        <w:t xml:space="preserve"> and Heike Schmidt</w:t>
      </w:r>
      <w:r>
        <w:rPr>
          <w:sz w:val="24"/>
          <w:szCs w:val="24"/>
          <w:shd w:val="clear" w:color="auto" w:fill="FFFFFF"/>
        </w:rPr>
        <w:t xml:space="preserve"> (eds), </w:t>
      </w:r>
      <w:r w:rsidRPr="00A84A20">
        <w:rPr>
          <w:i/>
          <w:iCs/>
          <w:sz w:val="24"/>
          <w:szCs w:val="24"/>
          <w:shd w:val="clear" w:color="auto" w:fill="FFFFFF"/>
        </w:rPr>
        <w:t>African Modernities: Entangled Meanings in Current Debate</w:t>
      </w:r>
      <w:r w:rsidRPr="00A84A20">
        <w:rPr>
          <w:sz w:val="24"/>
          <w:szCs w:val="24"/>
          <w:shd w:val="clear" w:color="auto" w:fill="FFFFFF"/>
        </w:rPr>
        <w:t xml:space="preserve"> (Oxford: James Currey 2002), 123</w:t>
      </w:r>
      <w:r>
        <w:rPr>
          <w:sz w:val="24"/>
          <w:szCs w:val="24"/>
          <w:shd w:val="clear" w:color="auto" w:fill="FFFFFF"/>
        </w:rPr>
        <w:t xml:space="preserve"> (hereafter Comaroff, ‘Governmentality, Materiality, Legality’)</w:t>
      </w:r>
      <w:r w:rsidRPr="00A84A20">
        <w:rPr>
          <w:sz w:val="24"/>
          <w:szCs w:val="24"/>
          <w:shd w:val="clear" w:color="auto" w:fill="FFFFFF"/>
        </w:rPr>
        <w:t>.</w:t>
      </w:r>
    </w:p>
  </w:footnote>
  <w:footnote w:id="163">
    <w:p w14:paraId="2C95E64C"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Comaroff and Comaroff</w:t>
      </w:r>
      <w:r w:rsidRPr="00A84A20">
        <w:rPr>
          <w:sz w:val="24"/>
          <w:szCs w:val="24"/>
          <w:shd w:val="clear" w:color="auto" w:fill="FFFFFF"/>
        </w:rPr>
        <w:t xml:space="preserve">, </w:t>
      </w:r>
      <w:r>
        <w:rPr>
          <w:sz w:val="24"/>
          <w:szCs w:val="24"/>
          <w:shd w:val="clear" w:color="auto" w:fill="FFFFFF"/>
        </w:rPr>
        <w:t>‘</w:t>
      </w:r>
      <w:r w:rsidRPr="00A84A20">
        <w:rPr>
          <w:sz w:val="24"/>
          <w:szCs w:val="24"/>
          <w:shd w:val="clear" w:color="auto" w:fill="FFFFFF"/>
        </w:rPr>
        <w:t>Criminal Obsessions</w:t>
      </w:r>
      <w:r>
        <w:rPr>
          <w:sz w:val="24"/>
          <w:szCs w:val="24"/>
          <w:shd w:val="clear" w:color="auto" w:fill="FFFFFF"/>
        </w:rPr>
        <w:t>’ (n 157)</w:t>
      </w:r>
      <w:r w:rsidRPr="00A84A20">
        <w:rPr>
          <w:sz w:val="24"/>
          <w:szCs w:val="24"/>
          <w:shd w:val="clear" w:color="auto" w:fill="FFFFFF"/>
        </w:rPr>
        <w:t xml:space="preserve"> 280.</w:t>
      </w:r>
    </w:p>
  </w:footnote>
  <w:footnote w:id="164">
    <w:p w14:paraId="0DB0B233"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Philip Abrams, </w:t>
      </w:r>
      <w:r>
        <w:rPr>
          <w:sz w:val="24"/>
          <w:szCs w:val="24"/>
        </w:rPr>
        <w:t>‘</w:t>
      </w:r>
      <w:r w:rsidRPr="00A84A20">
        <w:rPr>
          <w:sz w:val="24"/>
          <w:szCs w:val="24"/>
        </w:rPr>
        <w:t>Notes on the Difficulty of Studying the State</w:t>
      </w:r>
      <w:r>
        <w:rPr>
          <w:sz w:val="24"/>
          <w:szCs w:val="24"/>
        </w:rPr>
        <w:t>’</w:t>
      </w:r>
      <w:r w:rsidRPr="00A84A20">
        <w:rPr>
          <w:sz w:val="24"/>
          <w:szCs w:val="24"/>
        </w:rPr>
        <w:t xml:space="preserve">, </w:t>
      </w:r>
      <w:r w:rsidRPr="00A84A20">
        <w:rPr>
          <w:i/>
          <w:iCs/>
          <w:sz w:val="24"/>
          <w:szCs w:val="24"/>
        </w:rPr>
        <w:t>Journal of Historical Sociology</w:t>
      </w:r>
      <w:r w:rsidRPr="00A84A20">
        <w:rPr>
          <w:sz w:val="24"/>
          <w:szCs w:val="24"/>
        </w:rPr>
        <w:t xml:space="preserve"> 1</w:t>
      </w:r>
      <w:r>
        <w:rPr>
          <w:sz w:val="24"/>
          <w:szCs w:val="24"/>
        </w:rPr>
        <w:t>/</w:t>
      </w:r>
      <w:r w:rsidRPr="00A84A20">
        <w:rPr>
          <w:sz w:val="24"/>
          <w:szCs w:val="24"/>
        </w:rPr>
        <w:t>1 (1988)</w:t>
      </w:r>
      <w:r>
        <w:rPr>
          <w:sz w:val="24"/>
          <w:szCs w:val="24"/>
        </w:rPr>
        <w:t xml:space="preserve">, </w:t>
      </w:r>
      <w:r w:rsidRPr="00A84A20">
        <w:rPr>
          <w:sz w:val="24"/>
          <w:szCs w:val="24"/>
        </w:rPr>
        <w:t>58</w:t>
      </w:r>
      <w:r>
        <w:rPr>
          <w:sz w:val="24"/>
          <w:szCs w:val="24"/>
        </w:rPr>
        <w:t>-</w:t>
      </w:r>
      <w:r w:rsidRPr="00A84A20">
        <w:rPr>
          <w:sz w:val="24"/>
          <w:szCs w:val="24"/>
        </w:rPr>
        <w:t>89.</w:t>
      </w:r>
    </w:p>
  </w:footnote>
  <w:footnote w:id="165">
    <w:p w14:paraId="4EB11808" w14:textId="77777777" w:rsidR="00997966" w:rsidRPr="00A84A20" w:rsidRDefault="00997966" w:rsidP="00997966">
      <w:pPr>
        <w:pStyle w:val="FootnoteText"/>
        <w:spacing w:line="480" w:lineRule="auto"/>
        <w:rPr>
          <w:bCs/>
          <w:sz w:val="24"/>
          <w:szCs w:val="24"/>
        </w:rPr>
      </w:pPr>
      <w:r w:rsidRPr="00A84A20">
        <w:rPr>
          <w:rStyle w:val="FootnoteReference"/>
          <w:sz w:val="24"/>
          <w:szCs w:val="24"/>
        </w:rPr>
        <w:footnoteRef/>
      </w:r>
      <w:r w:rsidRPr="00A84A20">
        <w:rPr>
          <w:sz w:val="24"/>
          <w:szCs w:val="24"/>
        </w:rPr>
        <w:t xml:space="preserve"> Timothy Michell, </w:t>
      </w:r>
      <w:r>
        <w:rPr>
          <w:sz w:val="24"/>
          <w:szCs w:val="24"/>
        </w:rPr>
        <w:t>‘</w:t>
      </w:r>
      <w:r w:rsidRPr="00A84A20">
        <w:rPr>
          <w:sz w:val="24"/>
          <w:szCs w:val="24"/>
        </w:rPr>
        <w:t>The Limits of the State: Beyond Statist Approaches and Their Critics</w:t>
      </w:r>
      <w:r>
        <w:rPr>
          <w:sz w:val="24"/>
          <w:szCs w:val="24"/>
        </w:rPr>
        <w:t>’</w:t>
      </w:r>
      <w:r w:rsidRPr="00A84A20">
        <w:rPr>
          <w:sz w:val="24"/>
          <w:szCs w:val="24"/>
        </w:rPr>
        <w:t xml:space="preserve">, </w:t>
      </w:r>
      <w:r w:rsidRPr="00A84A20">
        <w:rPr>
          <w:i/>
          <w:iCs/>
          <w:sz w:val="24"/>
          <w:szCs w:val="24"/>
        </w:rPr>
        <w:t>American Political Science Review</w:t>
      </w:r>
      <w:r w:rsidRPr="00A84A20">
        <w:rPr>
          <w:sz w:val="24"/>
          <w:szCs w:val="24"/>
        </w:rPr>
        <w:t xml:space="preserve"> 85</w:t>
      </w:r>
      <w:r>
        <w:rPr>
          <w:sz w:val="24"/>
          <w:szCs w:val="24"/>
        </w:rPr>
        <w:t>/</w:t>
      </w:r>
      <w:r w:rsidRPr="00A84A20">
        <w:rPr>
          <w:sz w:val="24"/>
          <w:szCs w:val="24"/>
        </w:rPr>
        <w:t>1 (1991)</w:t>
      </w:r>
      <w:r>
        <w:rPr>
          <w:sz w:val="24"/>
          <w:szCs w:val="24"/>
        </w:rPr>
        <w:t>,</w:t>
      </w:r>
      <w:r w:rsidRPr="00A84A20">
        <w:rPr>
          <w:sz w:val="24"/>
          <w:szCs w:val="24"/>
        </w:rPr>
        <w:t xml:space="preserve"> 77</w:t>
      </w:r>
      <w:r>
        <w:rPr>
          <w:sz w:val="24"/>
          <w:szCs w:val="24"/>
        </w:rPr>
        <w:t>-</w:t>
      </w:r>
      <w:r w:rsidRPr="00A84A20">
        <w:rPr>
          <w:sz w:val="24"/>
          <w:szCs w:val="24"/>
        </w:rPr>
        <w:t>96</w:t>
      </w:r>
      <w:r>
        <w:rPr>
          <w:sz w:val="24"/>
          <w:szCs w:val="24"/>
        </w:rPr>
        <w:t>; and Timothy Mitchell,</w:t>
      </w:r>
      <w:r w:rsidRPr="00A84A20">
        <w:rPr>
          <w:sz w:val="24"/>
          <w:szCs w:val="24"/>
        </w:rPr>
        <w:t xml:space="preserve"> </w:t>
      </w:r>
      <w:r>
        <w:rPr>
          <w:sz w:val="24"/>
          <w:szCs w:val="24"/>
        </w:rPr>
        <w:t>‘</w:t>
      </w:r>
      <w:r w:rsidRPr="00A84A20">
        <w:rPr>
          <w:sz w:val="24"/>
          <w:szCs w:val="24"/>
        </w:rPr>
        <w:t>Society, Economy, and the State Effect</w:t>
      </w:r>
      <w:r>
        <w:rPr>
          <w:sz w:val="24"/>
          <w:szCs w:val="24"/>
        </w:rPr>
        <w:t>’</w:t>
      </w:r>
      <w:r w:rsidRPr="00A84A20">
        <w:rPr>
          <w:sz w:val="24"/>
          <w:szCs w:val="24"/>
        </w:rPr>
        <w:t xml:space="preserve">, in Aradhana Sharma and Akhil Gupta, </w:t>
      </w:r>
      <w:r w:rsidRPr="00A84A20">
        <w:rPr>
          <w:i/>
          <w:iCs/>
          <w:sz w:val="24"/>
          <w:szCs w:val="24"/>
        </w:rPr>
        <w:t>Anthropology of the State: A Reader</w:t>
      </w:r>
      <w:r w:rsidRPr="00A84A20">
        <w:rPr>
          <w:sz w:val="24"/>
          <w:szCs w:val="24"/>
        </w:rPr>
        <w:t xml:space="preserve"> (Oxford: Blackwell 2006), 169</w:t>
      </w:r>
      <w:r>
        <w:rPr>
          <w:sz w:val="24"/>
          <w:szCs w:val="24"/>
        </w:rPr>
        <w:t>-</w:t>
      </w:r>
      <w:r w:rsidRPr="00A84A20">
        <w:rPr>
          <w:sz w:val="24"/>
          <w:szCs w:val="24"/>
        </w:rPr>
        <w:t>86. For Foucault</w:t>
      </w:r>
      <w:r>
        <w:rPr>
          <w:sz w:val="24"/>
          <w:szCs w:val="24"/>
        </w:rPr>
        <w:t>,</w:t>
      </w:r>
      <w:r w:rsidRPr="00A84A20">
        <w:rPr>
          <w:sz w:val="24"/>
          <w:szCs w:val="24"/>
        </w:rPr>
        <w:t xml:space="preserve"> the state was </w:t>
      </w:r>
      <w:r>
        <w:rPr>
          <w:sz w:val="24"/>
          <w:szCs w:val="24"/>
        </w:rPr>
        <w:t>‘</w:t>
      </w:r>
      <w:r w:rsidRPr="00A84A20">
        <w:rPr>
          <w:sz w:val="24"/>
          <w:szCs w:val="24"/>
        </w:rPr>
        <w:t>maybe . . . only a composite reality and a mythicized abstraction whose importance is much less than we think</w:t>
      </w:r>
      <w:r>
        <w:rPr>
          <w:sz w:val="24"/>
          <w:szCs w:val="24"/>
        </w:rPr>
        <w:t>’</w:t>
      </w:r>
      <w:r w:rsidRPr="00A84A20">
        <w:rPr>
          <w:sz w:val="24"/>
          <w:szCs w:val="24"/>
        </w:rPr>
        <w:t xml:space="preserve">. Michel Foucault, </w:t>
      </w:r>
      <w:r w:rsidRPr="00A84A20">
        <w:rPr>
          <w:bCs/>
          <w:i/>
          <w:sz w:val="24"/>
          <w:szCs w:val="24"/>
        </w:rPr>
        <w:t>Security, Territory, Population: Lectures at the College de France 1977</w:t>
      </w:r>
      <w:r>
        <w:rPr>
          <w:bCs/>
          <w:i/>
          <w:sz w:val="24"/>
          <w:szCs w:val="24"/>
        </w:rPr>
        <w:t>-</w:t>
      </w:r>
      <w:r w:rsidRPr="00A84A20">
        <w:rPr>
          <w:bCs/>
          <w:i/>
          <w:sz w:val="24"/>
          <w:szCs w:val="24"/>
        </w:rPr>
        <w:t>78</w:t>
      </w:r>
      <w:r w:rsidRPr="00A84A20">
        <w:rPr>
          <w:bCs/>
          <w:sz w:val="24"/>
          <w:szCs w:val="24"/>
        </w:rPr>
        <w:t>, Michel Snellart</w:t>
      </w:r>
      <w:r>
        <w:rPr>
          <w:bCs/>
          <w:sz w:val="24"/>
          <w:szCs w:val="24"/>
        </w:rPr>
        <w:t xml:space="preserve"> (ed.) (</w:t>
      </w:r>
      <w:r w:rsidRPr="00A84A20">
        <w:rPr>
          <w:bCs/>
          <w:sz w:val="24"/>
          <w:szCs w:val="24"/>
        </w:rPr>
        <w:t xml:space="preserve">Graham Burchell </w:t>
      </w:r>
      <w:r>
        <w:rPr>
          <w:bCs/>
          <w:sz w:val="24"/>
          <w:szCs w:val="24"/>
        </w:rPr>
        <w:t xml:space="preserve">tr, </w:t>
      </w:r>
      <w:r w:rsidRPr="00A84A20">
        <w:rPr>
          <w:bCs/>
          <w:sz w:val="24"/>
          <w:szCs w:val="24"/>
        </w:rPr>
        <w:t>New York: Palgrave Macmillan, 2007), 109.</w:t>
      </w:r>
    </w:p>
  </w:footnote>
  <w:footnote w:id="166">
    <w:p w14:paraId="7AF3CC03" w14:textId="77777777" w:rsidR="00997966" w:rsidRPr="00A84A20" w:rsidRDefault="00997966" w:rsidP="00997966">
      <w:pPr>
        <w:pStyle w:val="FootnoteText"/>
        <w:spacing w:line="480" w:lineRule="auto"/>
        <w:rPr>
          <w:sz w:val="24"/>
          <w:szCs w:val="24"/>
          <w:shd w:val="clear" w:color="auto" w:fill="FFFFFF"/>
        </w:rPr>
      </w:pPr>
      <w:r w:rsidRPr="00A84A20">
        <w:rPr>
          <w:rStyle w:val="FootnoteReference"/>
          <w:sz w:val="24"/>
          <w:szCs w:val="24"/>
        </w:rPr>
        <w:footnoteRef/>
      </w:r>
      <w:r w:rsidRPr="00A84A20">
        <w:rPr>
          <w:sz w:val="24"/>
          <w:szCs w:val="24"/>
        </w:rPr>
        <w:t xml:space="preserve"> Comaroff, </w:t>
      </w:r>
      <w:r>
        <w:rPr>
          <w:rStyle w:val="given-names"/>
          <w:b/>
          <w:bCs/>
          <w:sz w:val="24"/>
          <w:szCs w:val="24"/>
          <w:bdr w:val="none" w:sz="0" w:space="0" w:color="auto" w:frame="1"/>
          <w:shd w:val="clear" w:color="auto" w:fill="FFFFFF"/>
        </w:rPr>
        <w:t>‘</w:t>
      </w:r>
      <w:r w:rsidRPr="00A84A20">
        <w:rPr>
          <w:rStyle w:val="article-title"/>
          <w:sz w:val="24"/>
          <w:szCs w:val="24"/>
          <w:bdr w:val="none" w:sz="0" w:space="0" w:color="auto" w:frame="1"/>
          <w:shd w:val="clear" w:color="auto" w:fill="FFFFFF"/>
        </w:rPr>
        <w:t>Governmentality, Materiality, Legality</w:t>
      </w:r>
      <w:r>
        <w:rPr>
          <w:sz w:val="24"/>
          <w:szCs w:val="24"/>
          <w:shd w:val="clear" w:color="auto" w:fill="FFFFFF"/>
        </w:rPr>
        <w:t>’ (n 161)</w:t>
      </w:r>
      <w:r w:rsidRPr="00A84A20">
        <w:rPr>
          <w:sz w:val="24"/>
          <w:szCs w:val="24"/>
          <w:shd w:val="clear" w:color="auto" w:fill="FFFFFF"/>
        </w:rPr>
        <w:t xml:space="preserve"> 121. Akhil Gupta goes so far as to suggest that any attempt to understand the state will inevitably produce </w:t>
      </w:r>
      <w:r>
        <w:rPr>
          <w:sz w:val="24"/>
          <w:szCs w:val="24"/>
          <w:shd w:val="clear" w:color="auto" w:fill="FFFFFF"/>
        </w:rPr>
        <w:t>‘</w:t>
      </w:r>
      <w:r w:rsidRPr="00A84A20">
        <w:rPr>
          <w:sz w:val="24"/>
          <w:szCs w:val="24"/>
          <w:shd w:val="clear" w:color="auto" w:fill="FFFFFF"/>
        </w:rPr>
        <w:t>misrecognition</w:t>
      </w:r>
      <w:r>
        <w:rPr>
          <w:sz w:val="24"/>
          <w:szCs w:val="24"/>
          <w:shd w:val="clear" w:color="auto" w:fill="FFFFFF"/>
        </w:rPr>
        <w:t>’</w:t>
      </w:r>
      <w:r w:rsidRPr="00A84A20">
        <w:rPr>
          <w:sz w:val="24"/>
          <w:szCs w:val="24"/>
          <w:shd w:val="clear" w:color="auto" w:fill="FFFFFF"/>
        </w:rPr>
        <w:t>, since observing the state through a particular bureaucracy, level</w:t>
      </w:r>
      <w:r>
        <w:rPr>
          <w:sz w:val="24"/>
          <w:szCs w:val="24"/>
          <w:shd w:val="clear" w:color="auto" w:fill="FFFFFF"/>
        </w:rPr>
        <w:t>,</w:t>
      </w:r>
      <w:r w:rsidRPr="00A84A20">
        <w:rPr>
          <w:sz w:val="24"/>
          <w:szCs w:val="24"/>
          <w:shd w:val="clear" w:color="auto" w:fill="FFFFFF"/>
        </w:rPr>
        <w:t xml:space="preserve"> or region produces only a partial understanding of it. Gupta, </w:t>
      </w:r>
      <w:r w:rsidRPr="00A84A20">
        <w:rPr>
          <w:i/>
          <w:iCs/>
          <w:sz w:val="24"/>
          <w:szCs w:val="24"/>
          <w:lang w:eastAsia="en-GB"/>
        </w:rPr>
        <w:t>Red Tape</w:t>
      </w:r>
      <w:r>
        <w:rPr>
          <w:sz w:val="24"/>
          <w:szCs w:val="24"/>
          <w:lang w:eastAsia="en-GB"/>
        </w:rPr>
        <w:t xml:space="preserve"> </w:t>
      </w:r>
      <w:r>
        <w:rPr>
          <w:sz w:val="24"/>
          <w:szCs w:val="24"/>
        </w:rPr>
        <w:t>(n 119)</w:t>
      </w:r>
      <w:r w:rsidRPr="00A84A20">
        <w:rPr>
          <w:sz w:val="24"/>
          <w:szCs w:val="24"/>
          <w:lang w:eastAsia="en-GB"/>
        </w:rPr>
        <w:t xml:space="preserve"> 53.</w:t>
      </w:r>
    </w:p>
  </w:footnote>
  <w:footnote w:id="167">
    <w:p w14:paraId="75E67883"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In the Indian case the scholarship that examines the state in such terms focuses primarily on the post</w:t>
      </w:r>
      <w:r>
        <w:rPr>
          <w:sz w:val="24"/>
          <w:szCs w:val="24"/>
        </w:rPr>
        <w:t>-</w:t>
      </w:r>
      <w:r w:rsidRPr="00A84A20">
        <w:rPr>
          <w:sz w:val="24"/>
          <w:szCs w:val="24"/>
        </w:rPr>
        <w:t>colonial era. See</w:t>
      </w:r>
      <w:r>
        <w:rPr>
          <w:sz w:val="24"/>
          <w:szCs w:val="24"/>
        </w:rPr>
        <w:t>, for example,</w:t>
      </w:r>
      <w:r w:rsidRPr="00A84A20">
        <w:rPr>
          <w:sz w:val="24"/>
          <w:szCs w:val="24"/>
        </w:rPr>
        <w:t xml:space="preserve"> Akhil Gupta, </w:t>
      </w:r>
      <w:r>
        <w:rPr>
          <w:sz w:val="24"/>
          <w:szCs w:val="24"/>
        </w:rPr>
        <w:t>‘</w:t>
      </w:r>
      <w:r w:rsidRPr="00A84A20">
        <w:rPr>
          <w:sz w:val="24"/>
          <w:szCs w:val="24"/>
        </w:rPr>
        <w:t>Blurred Boundaries: The Discourse of Corruption, the Culture of Politics and the Imagined State</w:t>
      </w:r>
      <w:r>
        <w:rPr>
          <w:sz w:val="24"/>
          <w:szCs w:val="24"/>
        </w:rPr>
        <w:t>’</w:t>
      </w:r>
      <w:r w:rsidRPr="00A84A20">
        <w:rPr>
          <w:sz w:val="24"/>
          <w:szCs w:val="24"/>
        </w:rPr>
        <w:t xml:space="preserve">, </w:t>
      </w:r>
      <w:r w:rsidRPr="00A84A20">
        <w:rPr>
          <w:i/>
          <w:iCs/>
          <w:sz w:val="24"/>
          <w:szCs w:val="24"/>
        </w:rPr>
        <w:t>American Ethnologist</w:t>
      </w:r>
      <w:r>
        <w:rPr>
          <w:sz w:val="24"/>
          <w:szCs w:val="24"/>
        </w:rPr>
        <w:t xml:space="preserve"> </w:t>
      </w:r>
      <w:r w:rsidRPr="00A84A20">
        <w:rPr>
          <w:sz w:val="24"/>
          <w:szCs w:val="24"/>
        </w:rPr>
        <w:t>22</w:t>
      </w:r>
      <w:r>
        <w:rPr>
          <w:sz w:val="24"/>
          <w:szCs w:val="24"/>
        </w:rPr>
        <w:t>/</w:t>
      </w:r>
      <w:r w:rsidRPr="00A84A20">
        <w:rPr>
          <w:sz w:val="24"/>
          <w:szCs w:val="24"/>
        </w:rPr>
        <w:t>2, (1995)</w:t>
      </w:r>
      <w:r>
        <w:rPr>
          <w:sz w:val="24"/>
          <w:szCs w:val="24"/>
        </w:rPr>
        <w:t>,</w:t>
      </w:r>
      <w:r w:rsidRPr="00A84A20">
        <w:rPr>
          <w:sz w:val="24"/>
          <w:szCs w:val="24"/>
        </w:rPr>
        <w:t xml:space="preserve"> 375</w:t>
      </w:r>
      <w:r>
        <w:rPr>
          <w:sz w:val="24"/>
          <w:szCs w:val="24"/>
        </w:rPr>
        <w:t>-</w:t>
      </w:r>
      <w:r w:rsidRPr="00A84A20">
        <w:rPr>
          <w:sz w:val="24"/>
          <w:szCs w:val="24"/>
        </w:rPr>
        <w:t>402</w:t>
      </w:r>
      <w:r>
        <w:rPr>
          <w:sz w:val="24"/>
          <w:szCs w:val="24"/>
        </w:rPr>
        <w:t xml:space="preserve"> (hereafter Gupta, ‘Blurred Boundaries’)</w:t>
      </w:r>
      <w:r w:rsidRPr="00A84A20">
        <w:rPr>
          <w:sz w:val="24"/>
          <w:szCs w:val="24"/>
        </w:rPr>
        <w:t xml:space="preserve">; C. J. Fuller and Véronique Bénéï (eds) </w:t>
      </w:r>
      <w:r w:rsidRPr="00A84A20">
        <w:rPr>
          <w:i/>
          <w:iCs/>
          <w:sz w:val="24"/>
          <w:szCs w:val="24"/>
        </w:rPr>
        <w:t>The Everyday State and Society in Modern India</w:t>
      </w:r>
      <w:r w:rsidRPr="00A84A20">
        <w:rPr>
          <w:sz w:val="24"/>
          <w:szCs w:val="24"/>
        </w:rPr>
        <w:t xml:space="preserve"> (London: Hurst 2001); T</w:t>
      </w:r>
      <w:r>
        <w:rPr>
          <w:sz w:val="24"/>
          <w:szCs w:val="24"/>
        </w:rPr>
        <w:t>homas</w:t>
      </w:r>
      <w:r w:rsidRPr="00A84A20">
        <w:rPr>
          <w:sz w:val="24"/>
          <w:szCs w:val="24"/>
        </w:rPr>
        <w:t xml:space="preserve"> B</w:t>
      </w:r>
      <w:r>
        <w:rPr>
          <w:sz w:val="24"/>
          <w:szCs w:val="24"/>
        </w:rPr>
        <w:t>lum</w:t>
      </w:r>
      <w:r w:rsidRPr="00A84A20">
        <w:rPr>
          <w:sz w:val="24"/>
          <w:szCs w:val="24"/>
        </w:rPr>
        <w:t xml:space="preserve"> Hansen and F</w:t>
      </w:r>
      <w:r>
        <w:rPr>
          <w:sz w:val="24"/>
          <w:szCs w:val="24"/>
        </w:rPr>
        <w:t>inn</w:t>
      </w:r>
      <w:r w:rsidRPr="00A84A20">
        <w:rPr>
          <w:sz w:val="24"/>
          <w:szCs w:val="24"/>
        </w:rPr>
        <w:t xml:space="preserve"> Stepputat (eds), </w:t>
      </w:r>
      <w:r w:rsidRPr="00A84A20">
        <w:rPr>
          <w:i/>
          <w:iCs/>
          <w:sz w:val="24"/>
          <w:szCs w:val="24"/>
        </w:rPr>
        <w:t>States of Imagination: Ethnographic Explorations of the Postcolonial State</w:t>
      </w:r>
      <w:r w:rsidRPr="00A84A20">
        <w:rPr>
          <w:sz w:val="24"/>
          <w:szCs w:val="24"/>
        </w:rPr>
        <w:t xml:space="preserve"> (Durham, NC: Duke University Press 2001); Stuart Corbridge,</w:t>
      </w:r>
      <w:r>
        <w:rPr>
          <w:sz w:val="24"/>
          <w:szCs w:val="24"/>
        </w:rPr>
        <w:t xml:space="preserve"> </w:t>
      </w:r>
      <w:r>
        <w:rPr>
          <w:rStyle w:val="personname"/>
          <w:color w:val="000000"/>
          <w:sz w:val="24"/>
          <w:szCs w:val="24"/>
          <w:shd w:val="clear" w:color="auto" w:fill="FFFFFF"/>
        </w:rPr>
        <w:t xml:space="preserve">Glyn </w:t>
      </w:r>
      <w:r w:rsidRPr="00A372C2">
        <w:rPr>
          <w:rStyle w:val="personname"/>
          <w:color w:val="000000"/>
          <w:sz w:val="24"/>
          <w:szCs w:val="24"/>
          <w:shd w:val="clear" w:color="auto" w:fill="FFFFFF"/>
        </w:rPr>
        <w:t xml:space="preserve">Williams, </w:t>
      </w:r>
      <w:r>
        <w:rPr>
          <w:rStyle w:val="personname"/>
          <w:color w:val="000000"/>
          <w:sz w:val="24"/>
          <w:szCs w:val="24"/>
          <w:shd w:val="clear" w:color="auto" w:fill="FFFFFF"/>
        </w:rPr>
        <w:t>Manoj Kumar</w:t>
      </w:r>
      <w:r w:rsidRPr="00A372C2">
        <w:rPr>
          <w:color w:val="000000"/>
          <w:sz w:val="24"/>
          <w:szCs w:val="24"/>
          <w:shd w:val="clear" w:color="auto" w:fill="FFFFFF"/>
        </w:rPr>
        <w:t> </w:t>
      </w:r>
      <w:r w:rsidRPr="00A372C2">
        <w:rPr>
          <w:rStyle w:val="personname"/>
          <w:color w:val="000000"/>
          <w:sz w:val="24"/>
          <w:szCs w:val="24"/>
          <w:shd w:val="clear" w:color="auto" w:fill="FFFFFF"/>
        </w:rPr>
        <w:t xml:space="preserve">Srivastava, </w:t>
      </w:r>
      <w:r w:rsidRPr="00A372C2">
        <w:rPr>
          <w:color w:val="000000"/>
          <w:sz w:val="24"/>
          <w:szCs w:val="24"/>
          <w:shd w:val="clear" w:color="auto" w:fill="FFFFFF"/>
        </w:rPr>
        <w:t>and </w:t>
      </w:r>
      <w:r w:rsidRPr="00A372C2">
        <w:rPr>
          <w:rStyle w:val="personname"/>
          <w:color w:val="000000"/>
          <w:sz w:val="24"/>
          <w:szCs w:val="24"/>
          <w:shd w:val="clear" w:color="auto" w:fill="FFFFFF"/>
        </w:rPr>
        <w:t>René</w:t>
      </w:r>
      <w:r w:rsidRPr="00A372C2">
        <w:rPr>
          <w:color w:val="000000"/>
          <w:sz w:val="24"/>
          <w:szCs w:val="24"/>
          <w:shd w:val="clear" w:color="auto" w:fill="FFFFFF"/>
        </w:rPr>
        <w:t> </w:t>
      </w:r>
      <w:r w:rsidRPr="00A372C2">
        <w:rPr>
          <w:rStyle w:val="personname"/>
          <w:color w:val="000000"/>
          <w:sz w:val="24"/>
          <w:szCs w:val="24"/>
          <w:shd w:val="clear" w:color="auto" w:fill="FFFFFF"/>
        </w:rPr>
        <w:t>Véron</w:t>
      </w:r>
      <w:r>
        <w:rPr>
          <w:rStyle w:val="personname"/>
          <w:color w:val="000000"/>
          <w:sz w:val="24"/>
          <w:szCs w:val="24"/>
          <w:shd w:val="clear" w:color="auto" w:fill="FFFFFF"/>
        </w:rPr>
        <w:t xml:space="preserve"> </w:t>
      </w:r>
      <w:r w:rsidRPr="00A372C2">
        <w:rPr>
          <w:sz w:val="24"/>
          <w:szCs w:val="24"/>
        </w:rPr>
        <w:t xml:space="preserve">(eds), </w:t>
      </w:r>
      <w:r w:rsidRPr="00A372C2">
        <w:rPr>
          <w:i/>
          <w:iCs/>
          <w:sz w:val="24"/>
          <w:szCs w:val="24"/>
        </w:rPr>
        <w:t>Seeing the State: Governance</w:t>
      </w:r>
      <w:r w:rsidRPr="00A84A20">
        <w:rPr>
          <w:i/>
          <w:iCs/>
          <w:sz w:val="24"/>
          <w:szCs w:val="24"/>
        </w:rPr>
        <w:t xml:space="preserve"> and Governmentality in India</w:t>
      </w:r>
      <w:r w:rsidRPr="00A84A20">
        <w:rPr>
          <w:sz w:val="24"/>
          <w:szCs w:val="24"/>
        </w:rPr>
        <w:t xml:space="preserve"> (Cambridge: Cambridge University Press 2005); L</w:t>
      </w:r>
      <w:r>
        <w:rPr>
          <w:sz w:val="24"/>
          <w:szCs w:val="24"/>
        </w:rPr>
        <w:t>loyd</w:t>
      </w:r>
      <w:r w:rsidRPr="00A84A20">
        <w:rPr>
          <w:sz w:val="24"/>
          <w:szCs w:val="24"/>
        </w:rPr>
        <w:t>. I. Rudolph and J</w:t>
      </w:r>
      <w:r>
        <w:rPr>
          <w:sz w:val="24"/>
          <w:szCs w:val="24"/>
        </w:rPr>
        <w:t>ohn Kurt</w:t>
      </w:r>
      <w:r w:rsidRPr="00A84A20">
        <w:rPr>
          <w:sz w:val="24"/>
          <w:szCs w:val="24"/>
        </w:rPr>
        <w:t xml:space="preserve"> Jacobsen (eds), </w:t>
      </w:r>
      <w:r w:rsidRPr="00A84A20">
        <w:rPr>
          <w:i/>
          <w:iCs/>
          <w:sz w:val="24"/>
          <w:szCs w:val="24"/>
        </w:rPr>
        <w:t>Experiencing the State</w:t>
      </w:r>
      <w:r w:rsidRPr="00A84A20">
        <w:rPr>
          <w:sz w:val="24"/>
          <w:szCs w:val="24"/>
        </w:rPr>
        <w:t xml:space="preserve"> (Delhi: Oxford University Press 2006); and Taylor </w:t>
      </w:r>
      <w:r>
        <w:rPr>
          <w:sz w:val="24"/>
          <w:szCs w:val="24"/>
        </w:rPr>
        <w:t xml:space="preserve">C. </w:t>
      </w:r>
      <w:r w:rsidRPr="00A84A20">
        <w:rPr>
          <w:sz w:val="24"/>
          <w:szCs w:val="24"/>
        </w:rPr>
        <w:t xml:space="preserve">Sherman, William Gould, and Sarah Ansari (eds), </w:t>
      </w:r>
      <w:r>
        <w:rPr>
          <w:sz w:val="24"/>
          <w:szCs w:val="24"/>
        </w:rPr>
        <w:t>‘</w:t>
      </w:r>
      <w:r w:rsidRPr="00A84A20">
        <w:rPr>
          <w:sz w:val="24"/>
          <w:szCs w:val="24"/>
        </w:rPr>
        <w:t>Special Issue: Society and the Everyday State in India and Pakistan</w:t>
      </w:r>
      <w:r>
        <w:rPr>
          <w:sz w:val="24"/>
          <w:szCs w:val="24"/>
        </w:rPr>
        <w:t>’</w:t>
      </w:r>
      <w:r w:rsidRPr="00A84A20">
        <w:rPr>
          <w:sz w:val="24"/>
          <w:szCs w:val="24"/>
        </w:rPr>
        <w:t xml:space="preserve">, </w:t>
      </w:r>
      <w:r w:rsidRPr="00A84A20">
        <w:rPr>
          <w:i/>
          <w:iCs/>
          <w:sz w:val="24"/>
          <w:szCs w:val="24"/>
        </w:rPr>
        <w:t>Modern Asian Studies</w:t>
      </w:r>
      <w:r w:rsidRPr="00A84A20">
        <w:rPr>
          <w:sz w:val="24"/>
          <w:szCs w:val="24"/>
        </w:rPr>
        <w:t xml:space="preserve"> 45</w:t>
      </w:r>
      <w:r>
        <w:rPr>
          <w:sz w:val="24"/>
          <w:szCs w:val="24"/>
        </w:rPr>
        <w:t>/</w:t>
      </w:r>
      <w:r w:rsidRPr="00A84A20">
        <w:rPr>
          <w:sz w:val="24"/>
          <w:szCs w:val="24"/>
        </w:rPr>
        <w:t>1 (2011</w:t>
      </w:r>
      <w:r>
        <w:rPr>
          <w:sz w:val="24"/>
          <w:szCs w:val="24"/>
        </w:rPr>
        <w:t>)</w:t>
      </w:r>
      <w:r w:rsidRPr="00A84A20">
        <w:rPr>
          <w:sz w:val="24"/>
          <w:szCs w:val="24"/>
        </w:rPr>
        <w:t>.</w:t>
      </w:r>
      <w:r>
        <w:rPr>
          <w:sz w:val="24"/>
          <w:szCs w:val="24"/>
        </w:rPr>
        <w:t xml:space="preserve"> </w:t>
      </w:r>
      <w:r w:rsidRPr="00A84A20">
        <w:rPr>
          <w:sz w:val="24"/>
          <w:szCs w:val="24"/>
        </w:rPr>
        <w:t xml:space="preserve">On the </w:t>
      </w:r>
      <w:r>
        <w:rPr>
          <w:sz w:val="24"/>
          <w:szCs w:val="24"/>
        </w:rPr>
        <w:t>‘</w:t>
      </w:r>
      <w:r w:rsidRPr="00A84A20">
        <w:rPr>
          <w:sz w:val="24"/>
          <w:szCs w:val="24"/>
        </w:rPr>
        <w:t>fuzzy</w:t>
      </w:r>
      <w:r>
        <w:rPr>
          <w:sz w:val="24"/>
          <w:szCs w:val="24"/>
        </w:rPr>
        <w:t>’</w:t>
      </w:r>
      <w:r w:rsidRPr="00A84A20">
        <w:rPr>
          <w:sz w:val="24"/>
          <w:szCs w:val="24"/>
        </w:rPr>
        <w:t xml:space="preserve"> state see Gould, </w:t>
      </w:r>
      <w:r>
        <w:rPr>
          <w:sz w:val="24"/>
          <w:szCs w:val="24"/>
        </w:rPr>
        <w:t>‘</w:t>
      </w:r>
      <w:r w:rsidRPr="00A84A20">
        <w:rPr>
          <w:sz w:val="24"/>
          <w:szCs w:val="24"/>
        </w:rPr>
        <w:t>The Dual State</w:t>
      </w:r>
      <w:r>
        <w:rPr>
          <w:sz w:val="24"/>
          <w:szCs w:val="24"/>
        </w:rPr>
        <w:t xml:space="preserve">’ (n 155) </w:t>
      </w:r>
      <w:r w:rsidRPr="00A84A20">
        <w:rPr>
          <w:sz w:val="24"/>
          <w:szCs w:val="24"/>
        </w:rPr>
        <w:t>14.</w:t>
      </w:r>
    </w:p>
  </w:footnote>
  <w:footnote w:id="168">
    <w:p w14:paraId="25AA294F"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Saha, </w:t>
      </w:r>
      <w:r w:rsidRPr="00A84A20">
        <w:rPr>
          <w:i/>
          <w:iCs/>
          <w:sz w:val="24"/>
          <w:szCs w:val="24"/>
        </w:rPr>
        <w:t xml:space="preserve">Law, </w:t>
      </w:r>
      <w:proofErr w:type="gramStart"/>
      <w:r w:rsidRPr="00A84A20">
        <w:rPr>
          <w:i/>
          <w:iCs/>
          <w:sz w:val="24"/>
          <w:szCs w:val="24"/>
        </w:rPr>
        <w:t>Disorder</w:t>
      </w:r>
      <w:proofErr w:type="gramEnd"/>
      <w:r w:rsidRPr="00A84A20">
        <w:rPr>
          <w:i/>
          <w:iCs/>
          <w:sz w:val="24"/>
          <w:szCs w:val="24"/>
        </w:rPr>
        <w:t xml:space="preserve"> and the Colonial State</w:t>
      </w:r>
      <w:r>
        <w:rPr>
          <w:sz w:val="24"/>
          <w:szCs w:val="24"/>
        </w:rPr>
        <w:t xml:space="preserve"> (n 158)</w:t>
      </w:r>
      <w:r w:rsidRPr="00A84A20">
        <w:rPr>
          <w:sz w:val="24"/>
          <w:szCs w:val="24"/>
        </w:rPr>
        <w:t xml:space="preserve"> 7. The scholarship on the colonial administrative service, for example, concentrates almost entirely on its higher echelons. See </w:t>
      </w:r>
    </w:p>
    <w:p w14:paraId="0BFF8EF3" w14:textId="77777777" w:rsidR="00997966" w:rsidRPr="009E0F14" w:rsidRDefault="00997966" w:rsidP="00997966">
      <w:pPr>
        <w:pStyle w:val="FootnoteText"/>
        <w:spacing w:line="480" w:lineRule="auto"/>
        <w:contextualSpacing/>
        <w:rPr>
          <w:color w:val="000000"/>
          <w:sz w:val="24"/>
          <w:szCs w:val="24"/>
          <w:shd w:val="clear" w:color="auto" w:fill="FFFFFF"/>
        </w:rPr>
      </w:pPr>
      <w:r w:rsidRPr="00A84A20">
        <w:rPr>
          <w:iCs/>
          <w:sz w:val="24"/>
          <w:szCs w:val="24"/>
        </w:rPr>
        <w:t xml:space="preserve">B. B. Misra, </w:t>
      </w:r>
      <w:r w:rsidRPr="00A84A20">
        <w:rPr>
          <w:i/>
          <w:sz w:val="24"/>
          <w:szCs w:val="24"/>
        </w:rPr>
        <w:t>The Bureaucracy in India: An Historical Analysis of Development up to 1947</w:t>
      </w:r>
      <w:r w:rsidRPr="00A84A20">
        <w:rPr>
          <w:sz w:val="24"/>
          <w:szCs w:val="24"/>
        </w:rPr>
        <w:t xml:space="preserve"> (Delhi: O</w:t>
      </w:r>
      <w:r>
        <w:rPr>
          <w:sz w:val="24"/>
          <w:szCs w:val="24"/>
        </w:rPr>
        <w:t xml:space="preserve">xford </w:t>
      </w:r>
      <w:r w:rsidRPr="00A84A20">
        <w:rPr>
          <w:sz w:val="24"/>
          <w:szCs w:val="24"/>
        </w:rPr>
        <w:t>U</w:t>
      </w:r>
      <w:r>
        <w:rPr>
          <w:sz w:val="24"/>
          <w:szCs w:val="24"/>
        </w:rPr>
        <w:t xml:space="preserve">niversity </w:t>
      </w:r>
      <w:r w:rsidRPr="00A84A20">
        <w:rPr>
          <w:sz w:val="24"/>
          <w:szCs w:val="24"/>
        </w:rPr>
        <w:t>P</w:t>
      </w:r>
      <w:r>
        <w:rPr>
          <w:sz w:val="24"/>
          <w:szCs w:val="24"/>
        </w:rPr>
        <w:t>ress</w:t>
      </w:r>
      <w:r w:rsidRPr="00A84A20">
        <w:rPr>
          <w:sz w:val="24"/>
          <w:szCs w:val="24"/>
        </w:rPr>
        <w:t xml:space="preserve"> 1977); Clive Dewey, </w:t>
      </w:r>
      <w:r w:rsidRPr="00A84A20">
        <w:rPr>
          <w:i/>
          <w:iCs/>
          <w:sz w:val="24"/>
          <w:szCs w:val="24"/>
        </w:rPr>
        <w:t>Anglo</w:t>
      </w:r>
      <w:r>
        <w:rPr>
          <w:i/>
          <w:iCs/>
          <w:sz w:val="24"/>
          <w:szCs w:val="24"/>
        </w:rPr>
        <w:t>-</w:t>
      </w:r>
      <w:r w:rsidRPr="00A84A20">
        <w:rPr>
          <w:i/>
          <w:iCs/>
          <w:sz w:val="24"/>
          <w:szCs w:val="24"/>
        </w:rPr>
        <w:t>Indian Attitudes: The Mind of the Indian Civil Service</w:t>
      </w:r>
      <w:r w:rsidRPr="00A84A20">
        <w:rPr>
          <w:sz w:val="24"/>
          <w:szCs w:val="24"/>
        </w:rPr>
        <w:t xml:space="preserve"> (London: Bloomsbury 1993); and </w:t>
      </w:r>
      <w:r w:rsidRPr="00A84A20">
        <w:rPr>
          <w:iCs/>
          <w:sz w:val="24"/>
          <w:szCs w:val="24"/>
        </w:rPr>
        <w:t xml:space="preserve">David C. Potter, </w:t>
      </w:r>
      <w:r w:rsidRPr="00A84A20">
        <w:rPr>
          <w:i/>
          <w:sz w:val="24"/>
          <w:szCs w:val="24"/>
        </w:rPr>
        <w:t>India’s Political Administrators: From ICS to IAS</w:t>
      </w:r>
      <w:r w:rsidRPr="00A84A20">
        <w:rPr>
          <w:sz w:val="24"/>
          <w:szCs w:val="24"/>
        </w:rPr>
        <w:t xml:space="preserve"> (Delhi: Oxford University Pres</w:t>
      </w:r>
      <w:r>
        <w:rPr>
          <w:sz w:val="24"/>
          <w:szCs w:val="24"/>
        </w:rPr>
        <w:t>s</w:t>
      </w:r>
      <w:r w:rsidRPr="00A84A20">
        <w:rPr>
          <w:sz w:val="24"/>
          <w:szCs w:val="24"/>
        </w:rPr>
        <w:t xml:space="preserve"> 1996). For scholarship that does examine the role of Indian subordinates in the construction of the colonial state see Robert Eric Frykenberg, </w:t>
      </w:r>
      <w:r w:rsidRPr="00A84A20">
        <w:rPr>
          <w:i/>
          <w:iCs/>
          <w:sz w:val="24"/>
          <w:szCs w:val="24"/>
        </w:rPr>
        <w:t>Guntur District, 1788</w:t>
      </w:r>
      <w:r>
        <w:rPr>
          <w:i/>
          <w:iCs/>
          <w:sz w:val="24"/>
          <w:szCs w:val="24"/>
        </w:rPr>
        <w:t>-</w:t>
      </w:r>
      <w:r w:rsidRPr="00A84A20">
        <w:rPr>
          <w:i/>
          <w:iCs/>
          <w:sz w:val="24"/>
          <w:szCs w:val="24"/>
        </w:rPr>
        <w:t>1848: A History of Local Inﬂuence and Central Authority in South India</w:t>
      </w:r>
      <w:r w:rsidRPr="00A84A20">
        <w:rPr>
          <w:sz w:val="24"/>
          <w:szCs w:val="24"/>
        </w:rPr>
        <w:t xml:space="preserve"> (New York: Oxford University Press 1965); David Arnold, </w:t>
      </w:r>
      <w:r>
        <w:rPr>
          <w:sz w:val="24"/>
          <w:szCs w:val="24"/>
        </w:rPr>
        <w:t>‘</w:t>
      </w:r>
      <w:r w:rsidRPr="00A84A20">
        <w:rPr>
          <w:sz w:val="24"/>
          <w:szCs w:val="24"/>
        </w:rPr>
        <w:t>Bureaucratic Recruitment and Subordination in Colonial India: The Madras Constabulary, 1859</w:t>
      </w:r>
      <w:r>
        <w:rPr>
          <w:sz w:val="24"/>
          <w:szCs w:val="24"/>
        </w:rPr>
        <w:t>-</w:t>
      </w:r>
      <w:r w:rsidRPr="00A84A20">
        <w:rPr>
          <w:sz w:val="24"/>
          <w:szCs w:val="24"/>
        </w:rPr>
        <w:t>1947</w:t>
      </w:r>
      <w:r>
        <w:rPr>
          <w:sz w:val="24"/>
          <w:szCs w:val="24"/>
        </w:rPr>
        <w:t>’</w:t>
      </w:r>
      <w:r w:rsidRPr="00A84A20">
        <w:rPr>
          <w:sz w:val="24"/>
          <w:szCs w:val="24"/>
        </w:rPr>
        <w:t xml:space="preserve">, in Ranajit Guha (ed.), </w:t>
      </w:r>
      <w:r w:rsidRPr="00A84A20">
        <w:rPr>
          <w:i/>
          <w:iCs/>
          <w:sz w:val="24"/>
          <w:szCs w:val="24"/>
        </w:rPr>
        <w:t>Subaltern Studies IV: Writings on South Asian History and Society</w:t>
      </w:r>
      <w:r w:rsidRPr="00A84A20">
        <w:rPr>
          <w:sz w:val="24"/>
          <w:szCs w:val="24"/>
        </w:rPr>
        <w:t xml:space="preserve"> (Delhi: Oxford University Press 1985), 1</w:t>
      </w:r>
      <w:r>
        <w:rPr>
          <w:sz w:val="24"/>
          <w:szCs w:val="24"/>
        </w:rPr>
        <w:t>-</w:t>
      </w:r>
      <w:r w:rsidRPr="00A84A20">
        <w:rPr>
          <w:sz w:val="24"/>
          <w:szCs w:val="24"/>
        </w:rPr>
        <w:t>53</w:t>
      </w:r>
      <w:r>
        <w:rPr>
          <w:sz w:val="24"/>
          <w:szCs w:val="24"/>
        </w:rPr>
        <w:t xml:space="preserve"> (hereafter Arnold, ‘Bureaucratic Recruitment’)</w:t>
      </w:r>
      <w:r w:rsidRPr="00A84A20">
        <w:rPr>
          <w:sz w:val="24"/>
          <w:szCs w:val="24"/>
        </w:rPr>
        <w:t xml:space="preserve">; Finkle, </w:t>
      </w:r>
      <w:r>
        <w:rPr>
          <w:sz w:val="24"/>
          <w:szCs w:val="24"/>
        </w:rPr>
        <w:t>‘</w:t>
      </w:r>
      <w:r w:rsidRPr="00A84A20">
        <w:rPr>
          <w:sz w:val="24"/>
          <w:szCs w:val="24"/>
        </w:rPr>
        <w:t>State, Power</w:t>
      </w:r>
      <w:r>
        <w:rPr>
          <w:sz w:val="24"/>
          <w:szCs w:val="24"/>
        </w:rPr>
        <w:t xml:space="preserve"> and Police’ (n 143)</w:t>
      </w:r>
      <w:r w:rsidRPr="00A84A20">
        <w:rPr>
          <w:sz w:val="24"/>
          <w:szCs w:val="24"/>
        </w:rPr>
        <w:t xml:space="preserve">; Chandavarkar, </w:t>
      </w:r>
      <w:r w:rsidRPr="00A84A20">
        <w:rPr>
          <w:i/>
          <w:iCs/>
          <w:sz w:val="24"/>
          <w:szCs w:val="24"/>
        </w:rPr>
        <w:t>Imperial Power</w:t>
      </w:r>
      <w:r>
        <w:rPr>
          <w:i/>
          <w:iCs/>
          <w:sz w:val="24"/>
          <w:szCs w:val="24"/>
        </w:rPr>
        <w:t xml:space="preserve"> </w:t>
      </w:r>
      <w:r>
        <w:rPr>
          <w:sz w:val="24"/>
          <w:szCs w:val="24"/>
        </w:rPr>
        <w:t>(n 147)</w:t>
      </w:r>
      <w:r w:rsidRPr="00A84A20">
        <w:rPr>
          <w:sz w:val="24"/>
          <w:szCs w:val="24"/>
        </w:rPr>
        <w:t xml:space="preserve">; Gould, </w:t>
      </w:r>
      <w:r>
        <w:rPr>
          <w:sz w:val="24"/>
          <w:szCs w:val="24"/>
        </w:rPr>
        <w:t>‘</w:t>
      </w:r>
      <w:r w:rsidRPr="00A84A20">
        <w:rPr>
          <w:sz w:val="24"/>
          <w:szCs w:val="24"/>
        </w:rPr>
        <w:t>The Dual State</w:t>
      </w:r>
      <w:r>
        <w:rPr>
          <w:sz w:val="24"/>
          <w:szCs w:val="24"/>
        </w:rPr>
        <w:t>’</w:t>
      </w:r>
      <w:r w:rsidRPr="00A84A20">
        <w:rPr>
          <w:sz w:val="24"/>
          <w:szCs w:val="24"/>
        </w:rPr>
        <w:t xml:space="preserve"> </w:t>
      </w:r>
      <w:r>
        <w:rPr>
          <w:sz w:val="24"/>
          <w:szCs w:val="24"/>
        </w:rPr>
        <w:t xml:space="preserve">(n 155); William Gould, </w:t>
      </w:r>
      <w:r w:rsidRPr="00A84A20">
        <w:rPr>
          <w:sz w:val="24"/>
          <w:szCs w:val="24"/>
        </w:rPr>
        <w:t xml:space="preserve"> </w:t>
      </w:r>
      <w:r w:rsidRPr="00A84A20">
        <w:rPr>
          <w:i/>
          <w:sz w:val="24"/>
          <w:szCs w:val="24"/>
        </w:rPr>
        <w:t>Bureaucracy, Community and Influence in India: Society and the State,1930s</w:t>
      </w:r>
      <w:r>
        <w:rPr>
          <w:i/>
          <w:sz w:val="24"/>
          <w:szCs w:val="24"/>
        </w:rPr>
        <w:t>-</w:t>
      </w:r>
      <w:r w:rsidRPr="00A84A20">
        <w:rPr>
          <w:i/>
          <w:sz w:val="24"/>
          <w:szCs w:val="24"/>
        </w:rPr>
        <w:t>1960s</w:t>
      </w:r>
      <w:r w:rsidRPr="00A84A20">
        <w:rPr>
          <w:sz w:val="24"/>
          <w:szCs w:val="24"/>
        </w:rPr>
        <w:t xml:space="preserve"> (Abingdon, Oxon:  Routledge 2011); </w:t>
      </w:r>
      <w:r>
        <w:rPr>
          <w:sz w:val="24"/>
          <w:szCs w:val="24"/>
        </w:rPr>
        <w:t xml:space="preserve">Bhavani Raman, </w:t>
      </w:r>
      <w:r>
        <w:rPr>
          <w:i/>
          <w:iCs/>
          <w:sz w:val="24"/>
          <w:szCs w:val="24"/>
        </w:rPr>
        <w:t xml:space="preserve">Document Raj: Writing and Scribes in Early Colonial South India </w:t>
      </w:r>
      <w:r>
        <w:rPr>
          <w:sz w:val="24"/>
          <w:szCs w:val="24"/>
        </w:rPr>
        <w:t xml:space="preserve">(Chicago: University of Chicago Press, 2012); </w:t>
      </w:r>
      <w:r w:rsidRPr="00A84A20">
        <w:rPr>
          <w:sz w:val="24"/>
          <w:szCs w:val="24"/>
        </w:rPr>
        <w:t xml:space="preserve">and </w:t>
      </w:r>
      <w:r>
        <w:rPr>
          <w:sz w:val="24"/>
          <w:szCs w:val="24"/>
        </w:rPr>
        <w:t xml:space="preserve">Jonathan Saha, </w:t>
      </w:r>
      <w:r w:rsidRPr="00506C28">
        <w:rPr>
          <w:sz w:val="24"/>
          <w:szCs w:val="24"/>
          <w:shd w:val="clear" w:color="auto" w:fill="FFFFFF"/>
        </w:rPr>
        <w:t xml:space="preserve">‘A Mockery of Justice? Colonial Law, the Everyday State, and Village Politics </w:t>
      </w:r>
      <w:r w:rsidRPr="00506C28">
        <w:rPr>
          <w:color w:val="000000"/>
          <w:sz w:val="24"/>
          <w:szCs w:val="24"/>
          <w:shd w:val="clear" w:color="auto" w:fill="FFFFFF"/>
        </w:rPr>
        <w:t>in the Burma Delta, c. 1890</w:t>
      </w:r>
      <w:r>
        <w:rPr>
          <w:color w:val="000000"/>
          <w:sz w:val="24"/>
          <w:szCs w:val="24"/>
          <w:shd w:val="clear" w:color="auto" w:fill="FFFFFF"/>
        </w:rPr>
        <w:t>-</w:t>
      </w:r>
      <w:r w:rsidRPr="00506C28">
        <w:rPr>
          <w:color w:val="000000"/>
          <w:sz w:val="24"/>
          <w:szCs w:val="24"/>
          <w:shd w:val="clear" w:color="auto" w:fill="FFFFFF"/>
        </w:rPr>
        <w:t>1910’,</w:t>
      </w:r>
      <w:r w:rsidRPr="00506C28">
        <w:rPr>
          <w:b/>
          <w:bCs/>
          <w:color w:val="000000"/>
          <w:sz w:val="24"/>
          <w:szCs w:val="24"/>
          <w:shd w:val="clear" w:color="auto" w:fill="FFFFFF"/>
        </w:rPr>
        <w:t xml:space="preserve"> </w:t>
      </w:r>
      <w:r w:rsidRPr="00506C28">
        <w:rPr>
          <w:i/>
          <w:color w:val="000000"/>
          <w:sz w:val="24"/>
          <w:szCs w:val="24"/>
          <w:shd w:val="clear" w:color="auto" w:fill="FFFFFF"/>
        </w:rPr>
        <w:t>Past and Present</w:t>
      </w:r>
      <w:r w:rsidRPr="00506C28">
        <w:rPr>
          <w:color w:val="000000"/>
          <w:sz w:val="24"/>
          <w:szCs w:val="24"/>
          <w:shd w:val="clear" w:color="auto" w:fill="FFFFFF"/>
        </w:rPr>
        <w:t xml:space="preserve"> 217</w:t>
      </w:r>
      <w:r>
        <w:rPr>
          <w:color w:val="000000"/>
          <w:sz w:val="24"/>
          <w:szCs w:val="24"/>
          <w:shd w:val="clear" w:color="auto" w:fill="FFFFFF"/>
        </w:rPr>
        <w:t>/</w:t>
      </w:r>
      <w:r w:rsidRPr="00506C28">
        <w:rPr>
          <w:color w:val="000000"/>
          <w:sz w:val="24"/>
          <w:szCs w:val="24"/>
          <w:shd w:val="clear" w:color="auto" w:fill="FFFFFF"/>
        </w:rPr>
        <w:t>1 (2012),187</w:t>
      </w:r>
      <w:r>
        <w:rPr>
          <w:color w:val="000000"/>
          <w:sz w:val="24"/>
          <w:szCs w:val="24"/>
          <w:shd w:val="clear" w:color="auto" w:fill="FFFFFF"/>
        </w:rPr>
        <w:t>-</w:t>
      </w:r>
      <w:r w:rsidRPr="00506C28">
        <w:rPr>
          <w:color w:val="000000"/>
          <w:sz w:val="24"/>
          <w:szCs w:val="24"/>
          <w:shd w:val="clear" w:color="auto" w:fill="FFFFFF"/>
        </w:rPr>
        <w:t>212</w:t>
      </w:r>
      <w:r>
        <w:rPr>
          <w:color w:val="000000"/>
          <w:sz w:val="24"/>
          <w:szCs w:val="24"/>
          <w:shd w:val="clear" w:color="auto" w:fill="FFFFFF"/>
        </w:rPr>
        <w:t>.</w:t>
      </w:r>
    </w:p>
  </w:footnote>
  <w:footnote w:id="169">
    <w:p w14:paraId="661BAC2F"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w:t>
      </w:r>
      <w:r w:rsidRPr="00A84A20">
        <w:rPr>
          <w:bCs/>
          <w:sz w:val="24"/>
          <w:szCs w:val="24"/>
        </w:rPr>
        <w:t xml:space="preserve">Ranajit Guha, </w:t>
      </w:r>
      <w:r w:rsidRPr="00A84A20">
        <w:rPr>
          <w:bCs/>
          <w:i/>
          <w:iCs/>
          <w:sz w:val="24"/>
          <w:szCs w:val="24"/>
        </w:rPr>
        <w:t>Dominance without Hegemony: History and Power in Colonial India</w:t>
      </w:r>
      <w:r w:rsidRPr="00A84A20">
        <w:rPr>
          <w:bCs/>
          <w:sz w:val="24"/>
          <w:szCs w:val="24"/>
        </w:rPr>
        <w:t xml:space="preserve"> (Cambridge, Mass.:  Harvard University Press, 1997), 65</w:t>
      </w:r>
      <w:r>
        <w:rPr>
          <w:bCs/>
          <w:sz w:val="24"/>
          <w:szCs w:val="24"/>
        </w:rPr>
        <w:t xml:space="preserve"> (hereafter Guha, </w:t>
      </w:r>
      <w:r>
        <w:rPr>
          <w:bCs/>
          <w:i/>
          <w:iCs/>
          <w:sz w:val="24"/>
          <w:szCs w:val="24"/>
        </w:rPr>
        <w:t>Dominance without Hegemony</w:t>
      </w:r>
      <w:r>
        <w:rPr>
          <w:bCs/>
          <w:sz w:val="24"/>
          <w:szCs w:val="24"/>
        </w:rPr>
        <w:t>)</w:t>
      </w:r>
      <w:r w:rsidRPr="00A84A20">
        <w:rPr>
          <w:bCs/>
          <w:sz w:val="24"/>
          <w:szCs w:val="24"/>
        </w:rPr>
        <w:t>.</w:t>
      </w:r>
    </w:p>
  </w:footnote>
  <w:footnote w:id="170">
    <w:p w14:paraId="4EA971D9"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Indian police sub</w:t>
      </w:r>
      <w:r>
        <w:rPr>
          <w:sz w:val="24"/>
          <w:szCs w:val="24"/>
        </w:rPr>
        <w:t>-</w:t>
      </w:r>
      <w:r w:rsidRPr="00A84A20">
        <w:rPr>
          <w:sz w:val="24"/>
          <w:szCs w:val="24"/>
        </w:rPr>
        <w:t xml:space="preserve">inspector, quoted in Jauregui, </w:t>
      </w:r>
      <w:r w:rsidRPr="00A84A20">
        <w:rPr>
          <w:i/>
          <w:iCs/>
          <w:sz w:val="24"/>
          <w:szCs w:val="24"/>
        </w:rPr>
        <w:t>Provisional Authority</w:t>
      </w:r>
      <w:r>
        <w:rPr>
          <w:i/>
          <w:iCs/>
          <w:sz w:val="24"/>
          <w:szCs w:val="24"/>
        </w:rPr>
        <w:t xml:space="preserve"> </w:t>
      </w:r>
      <w:r>
        <w:rPr>
          <w:sz w:val="24"/>
          <w:szCs w:val="24"/>
        </w:rPr>
        <w:t xml:space="preserve">(n 151) </w:t>
      </w:r>
      <w:r w:rsidRPr="00A84A20">
        <w:rPr>
          <w:sz w:val="24"/>
          <w:szCs w:val="24"/>
        </w:rPr>
        <w:t xml:space="preserve">22. See also Veena Das and Deborah Poole, </w:t>
      </w:r>
      <w:r>
        <w:rPr>
          <w:sz w:val="24"/>
          <w:szCs w:val="24"/>
        </w:rPr>
        <w:t>‘</w:t>
      </w:r>
      <w:r w:rsidRPr="00A84A20">
        <w:rPr>
          <w:sz w:val="24"/>
          <w:szCs w:val="24"/>
        </w:rPr>
        <w:t>State and its Margins</w:t>
      </w:r>
      <w:r>
        <w:rPr>
          <w:sz w:val="24"/>
          <w:szCs w:val="24"/>
        </w:rPr>
        <w:t>’ (n 157)</w:t>
      </w:r>
      <w:r w:rsidRPr="00A84A20">
        <w:rPr>
          <w:sz w:val="24"/>
          <w:szCs w:val="24"/>
        </w:rPr>
        <w:t xml:space="preserve"> 13</w:t>
      </w:r>
      <w:r>
        <w:rPr>
          <w:sz w:val="24"/>
          <w:szCs w:val="24"/>
        </w:rPr>
        <w:t>-</w:t>
      </w:r>
      <w:r w:rsidRPr="00A84A20">
        <w:rPr>
          <w:sz w:val="24"/>
          <w:szCs w:val="24"/>
        </w:rPr>
        <w:t xml:space="preserve">14; and Beatrice Jauregui, </w:t>
      </w:r>
      <w:r>
        <w:rPr>
          <w:sz w:val="24"/>
          <w:szCs w:val="24"/>
        </w:rPr>
        <w:t>‘</w:t>
      </w:r>
      <w:r w:rsidRPr="00A84A20">
        <w:rPr>
          <w:sz w:val="24"/>
          <w:szCs w:val="24"/>
        </w:rPr>
        <w:t>Civilised Coercion, Militarised Law and Order: Security in Colonial South Asia and the Blue in Green Global Order</w:t>
      </w:r>
      <w:r>
        <w:rPr>
          <w:sz w:val="24"/>
          <w:szCs w:val="24"/>
        </w:rPr>
        <w:t>’</w:t>
      </w:r>
      <w:r w:rsidRPr="00A84A20">
        <w:rPr>
          <w:sz w:val="24"/>
          <w:szCs w:val="24"/>
        </w:rPr>
        <w:t>, in Marleen Easton, Monica den Boer, Jelle Janssens, Rene Moelker</w:t>
      </w:r>
      <w:r>
        <w:rPr>
          <w:sz w:val="24"/>
          <w:szCs w:val="24"/>
        </w:rPr>
        <w:t>,</w:t>
      </w:r>
      <w:r w:rsidRPr="00A84A20">
        <w:rPr>
          <w:sz w:val="24"/>
          <w:szCs w:val="24"/>
        </w:rPr>
        <w:t xml:space="preserve"> and Tom Vanderbeken (eds), </w:t>
      </w:r>
      <w:r w:rsidRPr="00A84A20">
        <w:rPr>
          <w:i/>
          <w:iCs/>
          <w:sz w:val="24"/>
          <w:szCs w:val="24"/>
        </w:rPr>
        <w:t>Blurring Military and Police Roles</w:t>
      </w:r>
      <w:r w:rsidRPr="00A84A20">
        <w:rPr>
          <w:sz w:val="24"/>
          <w:szCs w:val="24"/>
        </w:rPr>
        <w:t xml:space="preserve"> (The Hague: Eleven International Publishing 2010), 377</w:t>
      </w:r>
      <w:r>
        <w:rPr>
          <w:sz w:val="24"/>
          <w:szCs w:val="24"/>
        </w:rPr>
        <w:t>-</w:t>
      </w:r>
      <w:r w:rsidRPr="00A84A20">
        <w:rPr>
          <w:sz w:val="24"/>
          <w:szCs w:val="24"/>
        </w:rPr>
        <w:t>78</w:t>
      </w:r>
      <w:r>
        <w:rPr>
          <w:sz w:val="24"/>
          <w:szCs w:val="24"/>
        </w:rPr>
        <w:t xml:space="preserve"> (hereafter Jauregui, ‘Civilised Coercion’)</w:t>
      </w:r>
      <w:r w:rsidRPr="00A84A20">
        <w:rPr>
          <w:sz w:val="24"/>
          <w:szCs w:val="24"/>
        </w:rPr>
        <w:t xml:space="preserve">. Akhil Gupta suggests that the everyday practices of state officials may </w:t>
      </w:r>
      <w:proofErr w:type="gramStart"/>
      <w:r w:rsidRPr="00A84A20">
        <w:rPr>
          <w:sz w:val="24"/>
          <w:szCs w:val="24"/>
        </w:rPr>
        <w:t xml:space="preserve">actually </w:t>
      </w:r>
      <w:r>
        <w:rPr>
          <w:sz w:val="24"/>
          <w:szCs w:val="24"/>
        </w:rPr>
        <w:t>aid</w:t>
      </w:r>
      <w:proofErr w:type="gramEnd"/>
      <w:r>
        <w:rPr>
          <w:sz w:val="24"/>
          <w:szCs w:val="24"/>
        </w:rPr>
        <w:t xml:space="preserve"> in constructing</w:t>
      </w:r>
      <w:r w:rsidRPr="00A84A20">
        <w:rPr>
          <w:sz w:val="24"/>
          <w:szCs w:val="24"/>
        </w:rPr>
        <w:t xml:space="preserve"> such a boundary. That the Indian police were enmeshed in local politics was so widely known that it was taken into account in their recruitment</w:t>
      </w:r>
      <w:r>
        <w:rPr>
          <w:sz w:val="24"/>
          <w:szCs w:val="24"/>
        </w:rPr>
        <w:t>—</w:t>
      </w:r>
      <w:r w:rsidRPr="00A84A20">
        <w:rPr>
          <w:sz w:val="24"/>
          <w:szCs w:val="24"/>
        </w:rPr>
        <w:t xml:space="preserve">primarily, in light of the way in which the colonial regime viewed Indian identity in communitarian terms, through privileging particular religious and caste groups. Gupta, </w:t>
      </w:r>
      <w:r w:rsidRPr="00A84A20">
        <w:rPr>
          <w:i/>
          <w:iCs/>
          <w:sz w:val="24"/>
          <w:szCs w:val="24"/>
        </w:rPr>
        <w:t>Red Tape</w:t>
      </w:r>
      <w:r>
        <w:rPr>
          <w:i/>
          <w:iCs/>
          <w:sz w:val="24"/>
          <w:szCs w:val="24"/>
        </w:rPr>
        <w:t xml:space="preserve"> </w:t>
      </w:r>
      <w:r>
        <w:rPr>
          <w:sz w:val="24"/>
          <w:szCs w:val="24"/>
        </w:rPr>
        <w:t>(n 119)</w:t>
      </w:r>
      <w:r w:rsidRPr="00A84A20">
        <w:rPr>
          <w:i/>
          <w:iCs/>
          <w:sz w:val="24"/>
          <w:szCs w:val="24"/>
        </w:rPr>
        <w:t xml:space="preserve"> </w:t>
      </w:r>
      <w:r w:rsidRPr="00A84A20">
        <w:rPr>
          <w:sz w:val="24"/>
          <w:szCs w:val="24"/>
        </w:rPr>
        <w:t xml:space="preserve">55; </w:t>
      </w:r>
      <w:r>
        <w:rPr>
          <w:sz w:val="24"/>
          <w:szCs w:val="24"/>
        </w:rPr>
        <w:t xml:space="preserve">and </w:t>
      </w:r>
      <w:r w:rsidRPr="00A84A20">
        <w:rPr>
          <w:sz w:val="24"/>
          <w:szCs w:val="24"/>
        </w:rPr>
        <w:t xml:space="preserve">Gould, </w:t>
      </w:r>
      <w:r>
        <w:rPr>
          <w:sz w:val="24"/>
          <w:szCs w:val="24"/>
        </w:rPr>
        <w:t>‘</w:t>
      </w:r>
      <w:r w:rsidRPr="00A84A20">
        <w:rPr>
          <w:sz w:val="24"/>
          <w:szCs w:val="24"/>
        </w:rPr>
        <w:t>The Dual State</w:t>
      </w:r>
      <w:r>
        <w:rPr>
          <w:sz w:val="24"/>
          <w:szCs w:val="24"/>
        </w:rPr>
        <w:t>’ (n 155)</w:t>
      </w:r>
      <w:r w:rsidRPr="00A84A20">
        <w:rPr>
          <w:sz w:val="24"/>
          <w:szCs w:val="24"/>
        </w:rPr>
        <w:t xml:space="preserve"> 17, 21</w:t>
      </w:r>
      <w:r>
        <w:rPr>
          <w:sz w:val="24"/>
          <w:szCs w:val="24"/>
        </w:rPr>
        <w:t>-</w:t>
      </w:r>
      <w:r w:rsidRPr="00A84A20">
        <w:rPr>
          <w:sz w:val="24"/>
          <w:szCs w:val="24"/>
        </w:rPr>
        <w:t>29.</w:t>
      </w:r>
    </w:p>
  </w:footnote>
  <w:footnote w:id="171">
    <w:p w14:paraId="55816573"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Chandavarkar, </w:t>
      </w:r>
      <w:r w:rsidRPr="00A84A20">
        <w:rPr>
          <w:i/>
          <w:iCs/>
          <w:sz w:val="24"/>
          <w:szCs w:val="24"/>
        </w:rPr>
        <w:t>Imperial Power</w:t>
      </w:r>
      <w:r>
        <w:rPr>
          <w:sz w:val="24"/>
          <w:szCs w:val="24"/>
        </w:rPr>
        <w:t xml:space="preserve"> (n 147)</w:t>
      </w:r>
      <w:r w:rsidRPr="00A84A20">
        <w:rPr>
          <w:sz w:val="24"/>
          <w:szCs w:val="24"/>
        </w:rPr>
        <w:t xml:space="preserve"> 81</w:t>
      </w:r>
      <w:r>
        <w:rPr>
          <w:sz w:val="24"/>
          <w:szCs w:val="24"/>
        </w:rPr>
        <w:t>; and Chandavarkar,</w:t>
      </w:r>
      <w:r w:rsidRPr="00A84A20">
        <w:rPr>
          <w:sz w:val="24"/>
          <w:szCs w:val="24"/>
        </w:rPr>
        <w:t xml:space="preserve"> </w:t>
      </w:r>
      <w:r>
        <w:rPr>
          <w:sz w:val="24"/>
          <w:szCs w:val="24"/>
        </w:rPr>
        <w:t>‘</w:t>
      </w:r>
      <w:r w:rsidRPr="00A84A20">
        <w:rPr>
          <w:sz w:val="24"/>
          <w:szCs w:val="24"/>
        </w:rPr>
        <w:t>Customs of Governance</w:t>
      </w:r>
      <w:r>
        <w:rPr>
          <w:sz w:val="24"/>
          <w:szCs w:val="24"/>
        </w:rPr>
        <w:t>’ (n 160)</w:t>
      </w:r>
      <w:r w:rsidRPr="00A84A20">
        <w:rPr>
          <w:sz w:val="24"/>
          <w:szCs w:val="24"/>
        </w:rPr>
        <w:t xml:space="preserve"> 451</w:t>
      </w:r>
      <w:r>
        <w:rPr>
          <w:sz w:val="24"/>
          <w:szCs w:val="24"/>
        </w:rPr>
        <w:t>-</w:t>
      </w:r>
      <w:r w:rsidRPr="00A84A20">
        <w:rPr>
          <w:sz w:val="24"/>
          <w:szCs w:val="24"/>
        </w:rPr>
        <w:t>53.</w:t>
      </w:r>
      <w:r>
        <w:rPr>
          <w:sz w:val="24"/>
          <w:szCs w:val="24"/>
        </w:rPr>
        <w:t xml:space="preserve"> </w:t>
      </w:r>
    </w:p>
  </w:footnote>
  <w:footnote w:id="172">
    <w:p w14:paraId="601DE1E3"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Lata Singh, </w:t>
      </w:r>
      <w:r>
        <w:rPr>
          <w:sz w:val="24"/>
          <w:szCs w:val="24"/>
        </w:rPr>
        <w:t>‘</w:t>
      </w:r>
      <w:r w:rsidRPr="00A84A20">
        <w:rPr>
          <w:sz w:val="24"/>
          <w:szCs w:val="24"/>
        </w:rPr>
        <w:t>Locating the Bihar Constabulary</w:t>
      </w:r>
      <w:r>
        <w:rPr>
          <w:sz w:val="24"/>
          <w:szCs w:val="24"/>
        </w:rPr>
        <w:t>’ (n 155)</w:t>
      </w:r>
      <w:r w:rsidRPr="00A84A20">
        <w:rPr>
          <w:sz w:val="24"/>
          <w:szCs w:val="24"/>
        </w:rPr>
        <w:t xml:space="preserve"> 62. See also Finkle, </w:t>
      </w:r>
      <w:r>
        <w:rPr>
          <w:sz w:val="24"/>
          <w:szCs w:val="24"/>
        </w:rPr>
        <w:t>‘</w:t>
      </w:r>
      <w:r w:rsidRPr="00A84A20">
        <w:rPr>
          <w:sz w:val="24"/>
          <w:szCs w:val="24"/>
        </w:rPr>
        <w:t>State, Power</w:t>
      </w:r>
      <w:r>
        <w:rPr>
          <w:sz w:val="24"/>
          <w:szCs w:val="24"/>
        </w:rPr>
        <w:t xml:space="preserve"> and Police’ (n 143) </w:t>
      </w:r>
      <w:r w:rsidRPr="00A84A20">
        <w:rPr>
          <w:sz w:val="24"/>
          <w:szCs w:val="24"/>
        </w:rPr>
        <w:t>288. For scholarship that suggests that the police were essentially co</w:t>
      </w:r>
      <w:r>
        <w:rPr>
          <w:sz w:val="24"/>
          <w:szCs w:val="24"/>
        </w:rPr>
        <w:t>-</w:t>
      </w:r>
      <w:r w:rsidRPr="00A84A20">
        <w:rPr>
          <w:sz w:val="24"/>
          <w:szCs w:val="24"/>
        </w:rPr>
        <w:t xml:space="preserve">opted by the colonial state see David Arnold, </w:t>
      </w:r>
      <w:r>
        <w:rPr>
          <w:bCs/>
          <w:sz w:val="24"/>
          <w:szCs w:val="24"/>
        </w:rPr>
        <w:t>‘</w:t>
      </w:r>
      <w:r w:rsidRPr="00A84A20">
        <w:rPr>
          <w:bCs/>
          <w:sz w:val="24"/>
          <w:szCs w:val="24"/>
        </w:rPr>
        <w:t>The Police and Colonial Control in South India</w:t>
      </w:r>
      <w:r>
        <w:rPr>
          <w:bCs/>
          <w:sz w:val="24"/>
          <w:szCs w:val="24"/>
        </w:rPr>
        <w:t>’</w:t>
      </w:r>
      <w:r w:rsidRPr="00A84A20">
        <w:rPr>
          <w:bCs/>
          <w:sz w:val="24"/>
          <w:szCs w:val="24"/>
        </w:rPr>
        <w:t>,</w:t>
      </w:r>
      <w:r w:rsidRPr="00A84A20">
        <w:rPr>
          <w:b/>
          <w:sz w:val="24"/>
          <w:szCs w:val="24"/>
        </w:rPr>
        <w:t xml:space="preserve"> </w:t>
      </w:r>
      <w:r w:rsidRPr="00A84A20">
        <w:rPr>
          <w:i/>
          <w:sz w:val="24"/>
          <w:szCs w:val="24"/>
        </w:rPr>
        <w:t>Social Scientist</w:t>
      </w:r>
      <w:r w:rsidRPr="00A84A20">
        <w:rPr>
          <w:sz w:val="24"/>
          <w:szCs w:val="24"/>
        </w:rPr>
        <w:t xml:space="preserve"> 4</w:t>
      </w:r>
      <w:r>
        <w:rPr>
          <w:sz w:val="24"/>
          <w:szCs w:val="24"/>
        </w:rPr>
        <w:t>/</w:t>
      </w:r>
      <w:r w:rsidRPr="00A84A20">
        <w:rPr>
          <w:sz w:val="24"/>
          <w:szCs w:val="24"/>
        </w:rPr>
        <w:t>12 (1976), 3</w:t>
      </w:r>
      <w:r>
        <w:rPr>
          <w:sz w:val="24"/>
          <w:szCs w:val="24"/>
        </w:rPr>
        <w:t>-</w:t>
      </w:r>
      <w:r w:rsidRPr="00A84A20">
        <w:rPr>
          <w:sz w:val="24"/>
          <w:szCs w:val="24"/>
        </w:rPr>
        <w:t>16</w:t>
      </w:r>
      <w:r>
        <w:rPr>
          <w:sz w:val="24"/>
          <w:szCs w:val="24"/>
        </w:rPr>
        <w:t>; Arnold, ‘Bureaucratic Recruitment’ (n 167)</w:t>
      </w:r>
      <w:r w:rsidRPr="00A84A20">
        <w:rPr>
          <w:sz w:val="24"/>
          <w:szCs w:val="24"/>
        </w:rPr>
        <w:t>; Ranajit Guha</w:t>
      </w:r>
      <w:r>
        <w:rPr>
          <w:sz w:val="24"/>
          <w:szCs w:val="24"/>
        </w:rPr>
        <w:t>,</w:t>
      </w:r>
      <w:r w:rsidRPr="00A84A20">
        <w:rPr>
          <w:sz w:val="24"/>
          <w:szCs w:val="24"/>
        </w:rPr>
        <w:t xml:space="preserve"> </w:t>
      </w:r>
      <w:r>
        <w:rPr>
          <w:sz w:val="24"/>
          <w:szCs w:val="24"/>
        </w:rPr>
        <w:t>‘</w:t>
      </w:r>
      <w:r w:rsidRPr="00A84A20">
        <w:rPr>
          <w:sz w:val="24"/>
          <w:szCs w:val="24"/>
        </w:rPr>
        <w:t>On Some Aspects of the Historiography of Colonial India</w:t>
      </w:r>
      <w:r>
        <w:rPr>
          <w:sz w:val="24"/>
          <w:szCs w:val="24"/>
        </w:rPr>
        <w:t>’</w:t>
      </w:r>
      <w:r w:rsidRPr="00A84A20">
        <w:rPr>
          <w:sz w:val="24"/>
          <w:szCs w:val="24"/>
        </w:rPr>
        <w:t xml:space="preserve">, in Ranajit Guha and Gayatri Chakravorty Spivak (eds), </w:t>
      </w:r>
      <w:r w:rsidRPr="00A84A20">
        <w:rPr>
          <w:i/>
          <w:iCs/>
          <w:sz w:val="24"/>
          <w:szCs w:val="24"/>
        </w:rPr>
        <w:t>Selected Subaltern Studies</w:t>
      </w:r>
      <w:r w:rsidRPr="00A84A20">
        <w:rPr>
          <w:sz w:val="24"/>
          <w:szCs w:val="24"/>
        </w:rPr>
        <w:t xml:space="preserve"> (New York: Oxford University Press 1988), 35</w:t>
      </w:r>
      <w:r>
        <w:rPr>
          <w:sz w:val="24"/>
          <w:szCs w:val="24"/>
        </w:rPr>
        <w:t>-</w:t>
      </w:r>
      <w:r w:rsidRPr="00A84A20">
        <w:rPr>
          <w:sz w:val="24"/>
          <w:szCs w:val="24"/>
        </w:rPr>
        <w:t xml:space="preserve">44; and Shahid Amin, </w:t>
      </w:r>
      <w:r w:rsidRPr="00A84A20">
        <w:rPr>
          <w:i/>
          <w:iCs/>
          <w:sz w:val="24"/>
          <w:szCs w:val="24"/>
        </w:rPr>
        <w:t>Event, Metaphor, Memory: Chauri Chaura 1922</w:t>
      </w:r>
      <w:r>
        <w:rPr>
          <w:i/>
          <w:iCs/>
          <w:sz w:val="24"/>
          <w:szCs w:val="24"/>
        </w:rPr>
        <w:t>-</w:t>
      </w:r>
      <w:r w:rsidRPr="00A84A20">
        <w:rPr>
          <w:i/>
          <w:iCs/>
          <w:sz w:val="24"/>
          <w:szCs w:val="24"/>
        </w:rPr>
        <w:t>1992</w:t>
      </w:r>
      <w:r w:rsidRPr="00A84A20">
        <w:rPr>
          <w:sz w:val="24"/>
          <w:szCs w:val="24"/>
        </w:rPr>
        <w:t xml:space="preserve"> (Delhi: Oxford University Press 1995</w:t>
      </w:r>
      <w:r>
        <w:rPr>
          <w:sz w:val="24"/>
          <w:szCs w:val="24"/>
        </w:rPr>
        <w:t>)</w:t>
      </w:r>
      <w:r w:rsidRPr="00A84A20">
        <w:rPr>
          <w:sz w:val="24"/>
          <w:szCs w:val="24"/>
        </w:rPr>
        <w:t>.</w:t>
      </w:r>
    </w:p>
  </w:footnote>
  <w:footnote w:id="173">
    <w:p w14:paraId="756FBDFE" w14:textId="77777777" w:rsidR="00997966" w:rsidRPr="008B49C2" w:rsidRDefault="00997966" w:rsidP="00997966">
      <w:pPr>
        <w:pStyle w:val="FootnoteText"/>
        <w:spacing w:line="480" w:lineRule="auto"/>
        <w:contextualSpacing/>
        <w:rPr>
          <w:i/>
          <w:iCs/>
          <w:sz w:val="24"/>
          <w:szCs w:val="24"/>
        </w:rPr>
      </w:pPr>
      <w:r w:rsidRPr="00A84A20">
        <w:rPr>
          <w:rStyle w:val="FootnoteReference"/>
          <w:sz w:val="24"/>
          <w:szCs w:val="24"/>
        </w:rPr>
        <w:footnoteRef/>
      </w:r>
      <w:r w:rsidRPr="00A84A20">
        <w:rPr>
          <w:sz w:val="24"/>
          <w:szCs w:val="24"/>
        </w:rPr>
        <w:t xml:space="preserve"> Arnold, </w:t>
      </w:r>
      <w:r w:rsidRPr="00A84A20">
        <w:rPr>
          <w:i/>
          <w:iCs/>
          <w:sz w:val="24"/>
          <w:szCs w:val="24"/>
        </w:rPr>
        <w:t xml:space="preserve">Police Power </w:t>
      </w:r>
      <w:r>
        <w:rPr>
          <w:sz w:val="24"/>
          <w:szCs w:val="24"/>
        </w:rPr>
        <w:t>(n 140)</w:t>
      </w:r>
      <w:r w:rsidRPr="00A84A20">
        <w:rPr>
          <w:i/>
          <w:iCs/>
          <w:sz w:val="24"/>
          <w:szCs w:val="24"/>
        </w:rPr>
        <w:t xml:space="preserve"> </w:t>
      </w:r>
      <w:r w:rsidRPr="00A84A20">
        <w:rPr>
          <w:sz w:val="24"/>
          <w:szCs w:val="24"/>
        </w:rPr>
        <w:t xml:space="preserve">63; Finkle, </w:t>
      </w:r>
      <w:r>
        <w:rPr>
          <w:sz w:val="24"/>
          <w:szCs w:val="24"/>
        </w:rPr>
        <w:t>‘</w:t>
      </w:r>
      <w:r w:rsidRPr="00A84A20">
        <w:rPr>
          <w:sz w:val="24"/>
          <w:szCs w:val="24"/>
        </w:rPr>
        <w:t>State, Power</w:t>
      </w:r>
      <w:r>
        <w:rPr>
          <w:sz w:val="24"/>
          <w:szCs w:val="24"/>
        </w:rPr>
        <w:t xml:space="preserve"> and Police’ (n 143) </w:t>
      </w:r>
      <w:r w:rsidRPr="00A84A20">
        <w:rPr>
          <w:sz w:val="24"/>
          <w:szCs w:val="24"/>
        </w:rPr>
        <w:t xml:space="preserve">258, 281; Bhangya Bhukya, </w:t>
      </w:r>
      <w:r>
        <w:rPr>
          <w:sz w:val="24"/>
          <w:szCs w:val="24"/>
        </w:rPr>
        <w:t>‘”</w:t>
      </w:r>
      <w:r w:rsidRPr="00A84A20">
        <w:rPr>
          <w:sz w:val="24"/>
          <w:szCs w:val="24"/>
        </w:rPr>
        <w:t>Delinquent subjects</w:t>
      </w:r>
      <w:r>
        <w:rPr>
          <w:sz w:val="24"/>
          <w:szCs w:val="24"/>
        </w:rPr>
        <w:t>”</w:t>
      </w:r>
      <w:r w:rsidRPr="00A84A20">
        <w:rPr>
          <w:sz w:val="24"/>
          <w:szCs w:val="24"/>
        </w:rPr>
        <w:t>: Dacoity and the Creation of a Surveillance Society in Hyderabad State</w:t>
      </w:r>
      <w:r>
        <w:rPr>
          <w:sz w:val="24"/>
          <w:szCs w:val="24"/>
        </w:rPr>
        <w:t>’</w:t>
      </w:r>
      <w:r w:rsidRPr="00A84A20">
        <w:rPr>
          <w:sz w:val="24"/>
          <w:szCs w:val="24"/>
        </w:rPr>
        <w:t xml:space="preserve">, </w:t>
      </w:r>
      <w:r w:rsidRPr="00A84A20">
        <w:rPr>
          <w:i/>
          <w:iCs/>
          <w:sz w:val="24"/>
          <w:szCs w:val="24"/>
        </w:rPr>
        <w:t>The Indian Economic and Social History Review</w:t>
      </w:r>
      <w:r w:rsidRPr="00A84A20">
        <w:rPr>
          <w:sz w:val="24"/>
          <w:szCs w:val="24"/>
        </w:rPr>
        <w:t xml:space="preserve"> 44</w:t>
      </w:r>
      <w:r>
        <w:rPr>
          <w:sz w:val="24"/>
          <w:szCs w:val="24"/>
        </w:rPr>
        <w:t>/</w:t>
      </w:r>
      <w:r w:rsidRPr="00A84A20">
        <w:rPr>
          <w:sz w:val="24"/>
          <w:szCs w:val="24"/>
        </w:rPr>
        <w:t xml:space="preserve">2 (2007), 192; Piliavsky, </w:t>
      </w:r>
      <w:r>
        <w:rPr>
          <w:sz w:val="24"/>
          <w:szCs w:val="24"/>
        </w:rPr>
        <w:t>‘</w:t>
      </w:r>
      <w:r w:rsidRPr="00A84A20">
        <w:rPr>
          <w:sz w:val="24"/>
          <w:szCs w:val="24"/>
        </w:rPr>
        <w:t>The Moghia Menace</w:t>
      </w:r>
      <w:r>
        <w:rPr>
          <w:sz w:val="24"/>
          <w:szCs w:val="24"/>
        </w:rPr>
        <w:t>’ (n 155)</w:t>
      </w:r>
      <w:r w:rsidRPr="00A84A20">
        <w:rPr>
          <w:sz w:val="24"/>
          <w:szCs w:val="24"/>
        </w:rPr>
        <w:t xml:space="preserve">; and David Arnold, </w:t>
      </w:r>
      <w:r>
        <w:rPr>
          <w:sz w:val="24"/>
          <w:szCs w:val="24"/>
        </w:rPr>
        <w:t>‘</w:t>
      </w:r>
      <w:r w:rsidRPr="00A84A20">
        <w:rPr>
          <w:sz w:val="24"/>
          <w:szCs w:val="24"/>
        </w:rPr>
        <w:t>The Poison Panics of British India</w:t>
      </w:r>
      <w:r>
        <w:rPr>
          <w:sz w:val="24"/>
          <w:szCs w:val="24"/>
        </w:rPr>
        <w:t>’</w:t>
      </w:r>
      <w:r w:rsidRPr="00A84A20">
        <w:rPr>
          <w:sz w:val="24"/>
          <w:szCs w:val="24"/>
        </w:rPr>
        <w:t>,</w:t>
      </w:r>
      <w:r w:rsidRPr="00A84A20">
        <w:rPr>
          <w:b/>
          <w:bCs/>
          <w:sz w:val="24"/>
          <w:szCs w:val="24"/>
        </w:rPr>
        <w:t xml:space="preserve"> </w:t>
      </w:r>
      <w:r w:rsidRPr="00A84A20">
        <w:rPr>
          <w:sz w:val="24"/>
          <w:szCs w:val="24"/>
        </w:rPr>
        <w:t xml:space="preserve">in </w:t>
      </w:r>
      <w:r w:rsidRPr="00404C2C">
        <w:rPr>
          <w:sz w:val="24"/>
          <w:szCs w:val="24"/>
        </w:rPr>
        <w:t>H. Fischer</w:t>
      </w:r>
      <w:r>
        <w:rPr>
          <w:sz w:val="24"/>
          <w:szCs w:val="24"/>
        </w:rPr>
        <w:t>-</w:t>
      </w:r>
      <w:r w:rsidRPr="00404C2C">
        <w:rPr>
          <w:sz w:val="24"/>
          <w:szCs w:val="24"/>
        </w:rPr>
        <w:t xml:space="preserve">Tiné (ed.), </w:t>
      </w:r>
      <w:r w:rsidRPr="00404C2C">
        <w:rPr>
          <w:i/>
          <w:iCs/>
          <w:sz w:val="24"/>
          <w:szCs w:val="24"/>
        </w:rPr>
        <w:t>Anxieties, Fear and Panic in Colonial Settings: Empires on the Verge of a Nervous Breakdown</w:t>
      </w:r>
      <w:r w:rsidRPr="00404C2C">
        <w:rPr>
          <w:sz w:val="24"/>
          <w:szCs w:val="24"/>
        </w:rPr>
        <w:t xml:space="preserve"> (Basingstoke: Palgrave 2017), </w:t>
      </w:r>
      <w:r w:rsidRPr="00A84A20">
        <w:rPr>
          <w:sz w:val="24"/>
          <w:szCs w:val="24"/>
        </w:rPr>
        <w:t>64</w:t>
      </w:r>
      <w:r>
        <w:rPr>
          <w:sz w:val="24"/>
          <w:szCs w:val="24"/>
        </w:rPr>
        <w:t>-</w:t>
      </w:r>
      <w:r w:rsidRPr="00A84A20">
        <w:rPr>
          <w:sz w:val="24"/>
          <w:szCs w:val="24"/>
        </w:rPr>
        <w:t>5.</w:t>
      </w:r>
    </w:p>
  </w:footnote>
  <w:footnote w:id="174">
    <w:p w14:paraId="5AD8B521"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Arnold, </w:t>
      </w:r>
      <w:r w:rsidRPr="00A84A20">
        <w:rPr>
          <w:i/>
          <w:iCs/>
          <w:sz w:val="24"/>
          <w:szCs w:val="24"/>
        </w:rPr>
        <w:t xml:space="preserve">Police Power </w:t>
      </w:r>
      <w:r>
        <w:rPr>
          <w:sz w:val="24"/>
          <w:szCs w:val="24"/>
        </w:rPr>
        <w:t>(n 140)</w:t>
      </w:r>
      <w:r w:rsidRPr="00A84A20">
        <w:rPr>
          <w:i/>
          <w:iCs/>
          <w:sz w:val="24"/>
          <w:szCs w:val="24"/>
        </w:rPr>
        <w:t xml:space="preserve"> </w:t>
      </w:r>
      <w:r w:rsidRPr="00A84A20">
        <w:rPr>
          <w:sz w:val="24"/>
          <w:szCs w:val="24"/>
        </w:rPr>
        <w:t>163</w:t>
      </w:r>
      <w:r>
        <w:rPr>
          <w:sz w:val="24"/>
          <w:szCs w:val="24"/>
        </w:rPr>
        <w:t>-</w:t>
      </w:r>
      <w:r w:rsidRPr="00A84A20">
        <w:rPr>
          <w:sz w:val="24"/>
          <w:szCs w:val="24"/>
        </w:rPr>
        <w:t xml:space="preserve">165; and Kumar, </w:t>
      </w:r>
      <w:r>
        <w:rPr>
          <w:sz w:val="24"/>
          <w:szCs w:val="24"/>
        </w:rPr>
        <w:t>‘</w:t>
      </w:r>
      <w:r w:rsidRPr="00A84A20">
        <w:rPr>
          <w:sz w:val="24"/>
          <w:szCs w:val="24"/>
        </w:rPr>
        <w:t>Policing Everyday Life</w:t>
      </w:r>
      <w:r>
        <w:rPr>
          <w:sz w:val="24"/>
          <w:szCs w:val="24"/>
        </w:rPr>
        <w:t>’ (n 147)</w:t>
      </w:r>
      <w:r w:rsidRPr="00A84A20">
        <w:rPr>
          <w:sz w:val="24"/>
          <w:szCs w:val="24"/>
        </w:rPr>
        <w:t xml:space="preserve"> 368.</w:t>
      </w:r>
    </w:p>
  </w:footnote>
  <w:footnote w:id="175">
    <w:p w14:paraId="46A99691"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Go</w:t>
      </w:r>
      <w:r>
        <w:rPr>
          <w:sz w:val="24"/>
          <w:szCs w:val="24"/>
        </w:rPr>
        <w:t>o</w:t>
      </w:r>
      <w:r w:rsidRPr="00A84A20">
        <w:rPr>
          <w:sz w:val="24"/>
          <w:szCs w:val="24"/>
        </w:rPr>
        <w:t xml:space="preserve">ptu, </w:t>
      </w:r>
      <w:r w:rsidRPr="00A84A20">
        <w:rPr>
          <w:i/>
          <w:iCs/>
          <w:sz w:val="24"/>
          <w:szCs w:val="24"/>
        </w:rPr>
        <w:t>The Politics of the Urban Poor</w:t>
      </w:r>
      <w:r>
        <w:rPr>
          <w:i/>
          <w:iCs/>
          <w:sz w:val="24"/>
          <w:szCs w:val="24"/>
        </w:rPr>
        <w:t xml:space="preserve"> </w:t>
      </w:r>
      <w:r>
        <w:rPr>
          <w:sz w:val="24"/>
          <w:szCs w:val="24"/>
        </w:rPr>
        <w:t>(n 147)</w:t>
      </w:r>
      <w:r w:rsidRPr="00A84A20">
        <w:rPr>
          <w:i/>
          <w:iCs/>
          <w:sz w:val="24"/>
          <w:szCs w:val="24"/>
        </w:rPr>
        <w:t xml:space="preserve"> </w:t>
      </w:r>
      <w:r w:rsidRPr="00A84A20">
        <w:rPr>
          <w:sz w:val="24"/>
          <w:szCs w:val="24"/>
        </w:rPr>
        <w:t xml:space="preserve">134. See also Saha, </w:t>
      </w:r>
      <w:r w:rsidRPr="00A84A20">
        <w:rPr>
          <w:i/>
          <w:iCs/>
          <w:sz w:val="24"/>
          <w:szCs w:val="24"/>
        </w:rPr>
        <w:t xml:space="preserve">Law, </w:t>
      </w:r>
      <w:proofErr w:type="gramStart"/>
      <w:r w:rsidRPr="00A84A20">
        <w:rPr>
          <w:i/>
          <w:iCs/>
          <w:sz w:val="24"/>
          <w:szCs w:val="24"/>
        </w:rPr>
        <w:t>Disorder</w:t>
      </w:r>
      <w:proofErr w:type="gramEnd"/>
      <w:r w:rsidRPr="00A84A20">
        <w:rPr>
          <w:i/>
          <w:iCs/>
          <w:sz w:val="24"/>
          <w:szCs w:val="24"/>
        </w:rPr>
        <w:t xml:space="preserve"> and the Colonial State</w:t>
      </w:r>
      <w:r>
        <w:rPr>
          <w:i/>
          <w:iCs/>
          <w:sz w:val="24"/>
          <w:szCs w:val="24"/>
        </w:rPr>
        <w:t xml:space="preserve"> </w:t>
      </w:r>
      <w:r>
        <w:rPr>
          <w:sz w:val="24"/>
          <w:szCs w:val="24"/>
        </w:rPr>
        <w:t>(n 158)</w:t>
      </w:r>
      <w:r w:rsidRPr="00A84A20">
        <w:rPr>
          <w:i/>
          <w:iCs/>
          <w:sz w:val="24"/>
          <w:szCs w:val="24"/>
        </w:rPr>
        <w:t xml:space="preserve"> </w:t>
      </w:r>
      <w:r w:rsidRPr="00E92383">
        <w:rPr>
          <w:sz w:val="24"/>
          <w:szCs w:val="24"/>
        </w:rPr>
        <w:t>5,</w:t>
      </w:r>
      <w:r w:rsidRPr="00A84A20">
        <w:rPr>
          <w:i/>
          <w:iCs/>
          <w:sz w:val="24"/>
          <w:szCs w:val="24"/>
        </w:rPr>
        <w:t xml:space="preserve"> </w:t>
      </w:r>
      <w:r w:rsidRPr="00A84A20">
        <w:rPr>
          <w:sz w:val="24"/>
          <w:szCs w:val="24"/>
        </w:rPr>
        <w:t>9</w:t>
      </w:r>
      <w:r>
        <w:rPr>
          <w:sz w:val="24"/>
          <w:szCs w:val="24"/>
        </w:rPr>
        <w:t>-</w:t>
      </w:r>
      <w:r w:rsidRPr="00A84A20">
        <w:rPr>
          <w:sz w:val="24"/>
          <w:szCs w:val="24"/>
        </w:rPr>
        <w:t>10; and Bailkin, ‘The Boot and the Spleen</w:t>
      </w:r>
      <w:r>
        <w:rPr>
          <w:sz w:val="24"/>
          <w:szCs w:val="24"/>
        </w:rPr>
        <w:t>’ (n 98)</w:t>
      </w:r>
      <w:r w:rsidRPr="00A84A20">
        <w:rPr>
          <w:sz w:val="24"/>
          <w:szCs w:val="24"/>
        </w:rPr>
        <w:t xml:space="preserve">. It was the fragmentary nature of the colonial state that made such free reign possible, since the fact that state institutions can act independently makes it possible for states to acquire legitimacy for particular aspects of their governance (such as, for example, maintaining </w:t>
      </w:r>
      <w:r>
        <w:rPr>
          <w:sz w:val="24"/>
          <w:szCs w:val="24"/>
        </w:rPr>
        <w:t>‘</w:t>
      </w:r>
      <w:r w:rsidRPr="00A84A20">
        <w:rPr>
          <w:sz w:val="24"/>
          <w:szCs w:val="24"/>
        </w:rPr>
        <w:t>law and order</w:t>
      </w:r>
      <w:r>
        <w:rPr>
          <w:sz w:val="24"/>
          <w:szCs w:val="24"/>
        </w:rPr>
        <w:t>’</w:t>
      </w:r>
      <w:r w:rsidRPr="00A84A20">
        <w:rPr>
          <w:sz w:val="24"/>
          <w:szCs w:val="24"/>
        </w:rPr>
        <w:t xml:space="preserve">) </w:t>
      </w:r>
      <w:r w:rsidRPr="00A84A20">
        <w:rPr>
          <w:i/>
          <w:iCs/>
          <w:sz w:val="24"/>
          <w:szCs w:val="24"/>
        </w:rPr>
        <w:t>despite</w:t>
      </w:r>
      <w:r w:rsidRPr="00A84A20">
        <w:rPr>
          <w:sz w:val="24"/>
          <w:szCs w:val="24"/>
        </w:rPr>
        <w:t xml:space="preserve"> police violence. See Gupta, </w:t>
      </w:r>
      <w:r w:rsidRPr="00A84A20">
        <w:rPr>
          <w:i/>
          <w:iCs/>
          <w:sz w:val="24"/>
          <w:szCs w:val="24"/>
        </w:rPr>
        <w:t>Red Tape</w:t>
      </w:r>
      <w:r>
        <w:rPr>
          <w:i/>
          <w:iCs/>
          <w:sz w:val="24"/>
          <w:szCs w:val="24"/>
        </w:rPr>
        <w:t xml:space="preserve"> </w:t>
      </w:r>
      <w:r>
        <w:rPr>
          <w:sz w:val="24"/>
          <w:szCs w:val="24"/>
        </w:rPr>
        <w:t>(n 119)</w:t>
      </w:r>
      <w:r w:rsidRPr="00A84A20">
        <w:rPr>
          <w:i/>
          <w:iCs/>
          <w:sz w:val="24"/>
          <w:szCs w:val="24"/>
        </w:rPr>
        <w:t xml:space="preserve">; </w:t>
      </w:r>
      <w:r w:rsidRPr="00A84A20">
        <w:rPr>
          <w:sz w:val="24"/>
          <w:szCs w:val="24"/>
        </w:rPr>
        <w:t xml:space="preserve">and Khanikar, </w:t>
      </w:r>
      <w:r w:rsidRPr="00A84A20">
        <w:rPr>
          <w:i/>
          <w:iCs/>
          <w:sz w:val="24"/>
          <w:szCs w:val="24"/>
        </w:rPr>
        <w:t xml:space="preserve">State, Violence </w:t>
      </w:r>
      <w:r>
        <w:rPr>
          <w:sz w:val="24"/>
          <w:szCs w:val="24"/>
        </w:rPr>
        <w:t xml:space="preserve">(n 59) </w:t>
      </w:r>
      <w:r w:rsidRPr="00A84A20">
        <w:rPr>
          <w:sz w:val="24"/>
          <w:szCs w:val="24"/>
        </w:rPr>
        <w:t>126.</w:t>
      </w:r>
    </w:p>
  </w:footnote>
  <w:footnote w:id="176">
    <w:p w14:paraId="730221DF"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Saha, </w:t>
      </w:r>
      <w:r w:rsidRPr="00A84A20">
        <w:rPr>
          <w:i/>
          <w:iCs/>
          <w:sz w:val="24"/>
          <w:szCs w:val="24"/>
        </w:rPr>
        <w:t>Law, Disorder and the Colonial State</w:t>
      </w:r>
      <w:r>
        <w:rPr>
          <w:sz w:val="24"/>
          <w:szCs w:val="24"/>
        </w:rPr>
        <w:t xml:space="preserve"> (n 158)</w:t>
      </w:r>
      <w:r w:rsidRPr="00A84A20">
        <w:rPr>
          <w:sz w:val="24"/>
          <w:szCs w:val="24"/>
        </w:rPr>
        <w:t xml:space="preserve"> 72; and Julia Eckert, </w:t>
      </w:r>
      <w:r>
        <w:rPr>
          <w:sz w:val="24"/>
          <w:szCs w:val="24"/>
        </w:rPr>
        <w:t>‘</w:t>
      </w:r>
      <w:r w:rsidRPr="00A84A20">
        <w:rPr>
          <w:sz w:val="24"/>
          <w:szCs w:val="24"/>
        </w:rPr>
        <w:t xml:space="preserve">The </w:t>
      </w:r>
      <w:r w:rsidRPr="00A84A20">
        <w:rPr>
          <w:i/>
          <w:iCs/>
          <w:sz w:val="24"/>
          <w:szCs w:val="24"/>
        </w:rPr>
        <w:t>Trimurti</w:t>
      </w:r>
      <w:r w:rsidRPr="00A84A20">
        <w:rPr>
          <w:sz w:val="24"/>
          <w:szCs w:val="24"/>
        </w:rPr>
        <w:t xml:space="preserve"> of the State: State Violence and the Promises of Order and Destruction</w:t>
      </w:r>
      <w:r>
        <w:rPr>
          <w:sz w:val="24"/>
          <w:szCs w:val="24"/>
        </w:rPr>
        <w:t>’</w:t>
      </w:r>
      <w:r w:rsidRPr="00A84A20">
        <w:rPr>
          <w:sz w:val="24"/>
          <w:szCs w:val="24"/>
        </w:rPr>
        <w:t xml:space="preserve">, </w:t>
      </w:r>
      <w:r w:rsidRPr="00A84A20">
        <w:rPr>
          <w:i/>
          <w:iCs/>
          <w:sz w:val="24"/>
          <w:szCs w:val="24"/>
        </w:rPr>
        <w:t>Working Paper No. 80</w:t>
      </w:r>
      <w:r w:rsidRPr="00A84A20">
        <w:rPr>
          <w:sz w:val="24"/>
          <w:szCs w:val="24"/>
        </w:rPr>
        <w:t xml:space="preserve">, Max Planck Institute for Social Anthropology Working Papers, Max Planck Institute for Social Anthropology, 2005, 16. The fragmentary nature of the state, as Eckerts notes, ensures that the state </w:t>
      </w:r>
      <w:r>
        <w:rPr>
          <w:sz w:val="24"/>
          <w:szCs w:val="24"/>
        </w:rPr>
        <w:t>‘</w:t>
      </w:r>
      <w:r w:rsidRPr="00A84A20">
        <w:rPr>
          <w:sz w:val="24"/>
          <w:szCs w:val="24"/>
        </w:rPr>
        <w:t>speaks in many voices</w:t>
      </w:r>
      <w:r>
        <w:rPr>
          <w:sz w:val="24"/>
          <w:szCs w:val="24"/>
        </w:rPr>
        <w:t>’</w:t>
      </w:r>
      <w:r w:rsidRPr="00A84A20">
        <w:rPr>
          <w:sz w:val="24"/>
          <w:szCs w:val="24"/>
        </w:rPr>
        <w:t xml:space="preserve"> in regard to violence (ibid).</w:t>
      </w:r>
    </w:p>
  </w:footnote>
  <w:footnote w:id="177">
    <w:p w14:paraId="33DA691D"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Comaroff, </w:t>
      </w:r>
      <w:r>
        <w:rPr>
          <w:sz w:val="24"/>
          <w:szCs w:val="24"/>
        </w:rPr>
        <w:t>‘</w:t>
      </w:r>
      <w:r w:rsidRPr="00A84A20">
        <w:rPr>
          <w:sz w:val="24"/>
          <w:szCs w:val="24"/>
        </w:rPr>
        <w:t>Governmentality, Materiality, Legality</w:t>
      </w:r>
      <w:r>
        <w:rPr>
          <w:sz w:val="24"/>
          <w:szCs w:val="24"/>
        </w:rPr>
        <w:t>’ (n 161)</w:t>
      </w:r>
      <w:r w:rsidRPr="00A84A20">
        <w:rPr>
          <w:sz w:val="24"/>
          <w:szCs w:val="24"/>
        </w:rPr>
        <w:t xml:space="preserve"> 121;</w:t>
      </w:r>
      <w:r>
        <w:rPr>
          <w:sz w:val="24"/>
          <w:szCs w:val="24"/>
        </w:rPr>
        <w:t xml:space="preserve"> and</w:t>
      </w:r>
      <w:r w:rsidRPr="00A84A20">
        <w:rPr>
          <w:sz w:val="24"/>
          <w:szCs w:val="24"/>
        </w:rPr>
        <w:t xml:space="preserve"> Saha, </w:t>
      </w:r>
      <w:r w:rsidRPr="00A84A20">
        <w:rPr>
          <w:i/>
          <w:iCs/>
          <w:sz w:val="24"/>
          <w:szCs w:val="24"/>
        </w:rPr>
        <w:t xml:space="preserve">Law, </w:t>
      </w:r>
      <w:proofErr w:type="gramStart"/>
      <w:r w:rsidRPr="00A84A20">
        <w:rPr>
          <w:i/>
          <w:iCs/>
          <w:sz w:val="24"/>
          <w:szCs w:val="24"/>
        </w:rPr>
        <w:t>Disorder</w:t>
      </w:r>
      <w:proofErr w:type="gramEnd"/>
      <w:r w:rsidRPr="00A84A20">
        <w:rPr>
          <w:i/>
          <w:iCs/>
          <w:sz w:val="24"/>
          <w:szCs w:val="24"/>
        </w:rPr>
        <w:t xml:space="preserve"> and the Colonial State</w:t>
      </w:r>
      <w:r>
        <w:rPr>
          <w:i/>
          <w:iCs/>
          <w:sz w:val="24"/>
          <w:szCs w:val="24"/>
        </w:rPr>
        <w:t xml:space="preserve"> </w:t>
      </w:r>
      <w:r>
        <w:rPr>
          <w:sz w:val="24"/>
          <w:szCs w:val="24"/>
        </w:rPr>
        <w:t>(n 158)</w:t>
      </w:r>
      <w:r w:rsidRPr="00A84A20">
        <w:rPr>
          <w:i/>
          <w:iCs/>
          <w:sz w:val="24"/>
          <w:szCs w:val="24"/>
        </w:rPr>
        <w:t xml:space="preserve"> </w:t>
      </w:r>
      <w:r w:rsidRPr="00A84A20">
        <w:rPr>
          <w:sz w:val="24"/>
          <w:szCs w:val="24"/>
        </w:rPr>
        <w:t>66.</w:t>
      </w:r>
    </w:p>
  </w:footnote>
  <w:footnote w:id="178">
    <w:p w14:paraId="5CFF562D" w14:textId="77777777" w:rsidR="00997966" w:rsidRPr="00A84A20" w:rsidRDefault="00997966" w:rsidP="00997966">
      <w:pPr>
        <w:pStyle w:val="Heading1"/>
        <w:spacing w:before="0" w:line="480" w:lineRule="auto"/>
        <w:textAlignment w:val="baseline"/>
        <w:rPr>
          <w:rFonts w:ascii="Times New Roman" w:hAnsi="Times New Roman" w:cs="Times New Roman"/>
          <w:b w:val="0"/>
          <w:bCs w:val="0"/>
          <w:color w:val="auto"/>
          <w:sz w:val="24"/>
          <w:szCs w:val="24"/>
        </w:rPr>
      </w:pPr>
      <w:r w:rsidRPr="00A84A20">
        <w:rPr>
          <w:rStyle w:val="FootnoteReference"/>
          <w:rFonts w:ascii="Times New Roman" w:hAnsi="Times New Roman" w:cs="Times New Roman"/>
          <w:b w:val="0"/>
          <w:bCs w:val="0"/>
          <w:color w:val="auto"/>
          <w:sz w:val="24"/>
          <w:szCs w:val="24"/>
        </w:rPr>
        <w:footnoteRef/>
      </w:r>
      <w:r w:rsidRPr="00A84A20">
        <w:rPr>
          <w:rFonts w:ascii="Times New Roman" w:hAnsi="Times New Roman" w:cs="Times New Roman"/>
          <w:b w:val="0"/>
          <w:bCs w:val="0"/>
          <w:color w:val="auto"/>
          <w:sz w:val="24"/>
          <w:szCs w:val="24"/>
        </w:rPr>
        <w:t xml:space="preserve"> Douglas Peers, </w:t>
      </w:r>
      <w:r>
        <w:rPr>
          <w:rFonts w:ascii="Times New Roman" w:hAnsi="Times New Roman" w:cs="Times New Roman"/>
          <w:b w:val="0"/>
          <w:bCs w:val="0"/>
          <w:color w:val="auto"/>
          <w:sz w:val="24"/>
          <w:szCs w:val="24"/>
        </w:rPr>
        <w:t>‘</w:t>
      </w:r>
      <w:r w:rsidRPr="00A84A20">
        <w:rPr>
          <w:rFonts w:ascii="Times New Roman" w:hAnsi="Times New Roman" w:cs="Times New Roman"/>
          <w:b w:val="0"/>
          <w:bCs w:val="0"/>
          <w:color w:val="auto"/>
          <w:sz w:val="24"/>
          <w:szCs w:val="24"/>
        </w:rPr>
        <w:t>State, Power, and Colonialism</w:t>
      </w:r>
      <w:r>
        <w:rPr>
          <w:rFonts w:ascii="Times New Roman" w:hAnsi="Times New Roman" w:cs="Times New Roman"/>
          <w:b w:val="0"/>
          <w:bCs w:val="0"/>
          <w:color w:val="auto"/>
          <w:sz w:val="24"/>
          <w:szCs w:val="24"/>
        </w:rPr>
        <w:t>’</w:t>
      </w:r>
      <w:r w:rsidRPr="00A84A20">
        <w:rPr>
          <w:rFonts w:ascii="Times New Roman" w:hAnsi="Times New Roman" w:cs="Times New Roman"/>
          <w:b w:val="0"/>
          <w:bCs w:val="0"/>
          <w:color w:val="auto"/>
          <w:sz w:val="24"/>
          <w:szCs w:val="24"/>
        </w:rPr>
        <w:t xml:space="preserve">, in Douglas M. Peers and Nandini Gooptu (eds.), </w:t>
      </w:r>
      <w:r w:rsidRPr="00A84A20">
        <w:rPr>
          <w:rFonts w:ascii="Times New Roman" w:hAnsi="Times New Roman" w:cs="Times New Roman"/>
          <w:b w:val="0"/>
          <w:bCs w:val="0"/>
          <w:i/>
          <w:iCs/>
          <w:color w:val="auto"/>
          <w:sz w:val="24"/>
          <w:szCs w:val="24"/>
        </w:rPr>
        <w:t>India and</w:t>
      </w:r>
      <w:r w:rsidRPr="00A84A20">
        <w:rPr>
          <w:rFonts w:ascii="Times New Roman" w:hAnsi="Times New Roman" w:cs="Times New Roman"/>
          <w:i/>
          <w:iCs/>
          <w:color w:val="auto"/>
          <w:sz w:val="24"/>
          <w:szCs w:val="24"/>
        </w:rPr>
        <w:t xml:space="preserve"> </w:t>
      </w:r>
      <w:r w:rsidRPr="00A84A20">
        <w:rPr>
          <w:rFonts w:ascii="Times New Roman" w:hAnsi="Times New Roman" w:cs="Times New Roman"/>
          <w:b w:val="0"/>
          <w:bCs w:val="0"/>
          <w:i/>
          <w:iCs/>
          <w:color w:val="auto"/>
          <w:sz w:val="24"/>
          <w:szCs w:val="24"/>
        </w:rPr>
        <w:t xml:space="preserve">the British Empire </w:t>
      </w:r>
      <w:r w:rsidRPr="00A84A20">
        <w:rPr>
          <w:rFonts w:ascii="Times New Roman" w:hAnsi="Times New Roman" w:cs="Times New Roman"/>
          <w:b w:val="0"/>
          <w:bCs w:val="0"/>
          <w:color w:val="auto"/>
          <w:sz w:val="24"/>
          <w:szCs w:val="24"/>
        </w:rPr>
        <w:t>(Oxford: Oxford University Press 2012), 30</w:t>
      </w:r>
      <w:r>
        <w:rPr>
          <w:rFonts w:ascii="Times New Roman" w:hAnsi="Times New Roman" w:cs="Times New Roman"/>
          <w:b w:val="0"/>
          <w:bCs w:val="0"/>
          <w:color w:val="auto"/>
          <w:sz w:val="24"/>
          <w:szCs w:val="24"/>
        </w:rPr>
        <w:t xml:space="preserve"> (hereafter Peers, ‘State, Power, and Colonialism’)</w:t>
      </w:r>
      <w:r w:rsidRPr="00A84A20">
        <w:rPr>
          <w:rFonts w:ascii="Times New Roman" w:hAnsi="Times New Roman" w:cs="Times New Roman"/>
          <w:b w:val="0"/>
          <w:bCs w:val="0"/>
          <w:color w:val="auto"/>
          <w:sz w:val="24"/>
          <w:szCs w:val="24"/>
        </w:rPr>
        <w:t xml:space="preserve">; and James Lees, </w:t>
      </w:r>
      <w:r>
        <w:rPr>
          <w:rFonts w:ascii="Times New Roman" w:hAnsi="Times New Roman" w:cs="Times New Roman"/>
          <w:b w:val="0"/>
          <w:bCs w:val="0"/>
          <w:color w:val="auto"/>
          <w:sz w:val="24"/>
          <w:szCs w:val="24"/>
        </w:rPr>
        <w:t>‘</w:t>
      </w:r>
      <w:r w:rsidRPr="00A84A20">
        <w:rPr>
          <w:rFonts w:ascii="Times New Roman" w:hAnsi="Times New Roman" w:cs="Times New Roman"/>
          <w:b w:val="0"/>
          <w:bCs w:val="0"/>
          <w:color w:val="auto"/>
          <w:sz w:val="24"/>
          <w:szCs w:val="24"/>
        </w:rPr>
        <w:t xml:space="preserve">A </w:t>
      </w:r>
      <w:r>
        <w:rPr>
          <w:rFonts w:ascii="Times New Roman" w:hAnsi="Times New Roman" w:cs="Times New Roman"/>
          <w:b w:val="0"/>
          <w:bCs w:val="0"/>
          <w:color w:val="auto"/>
          <w:sz w:val="24"/>
          <w:szCs w:val="24"/>
        </w:rPr>
        <w:t>“</w:t>
      </w:r>
      <w:r w:rsidRPr="00A84A20">
        <w:rPr>
          <w:rFonts w:ascii="Times New Roman" w:hAnsi="Times New Roman" w:cs="Times New Roman"/>
          <w:b w:val="0"/>
          <w:bCs w:val="0"/>
          <w:color w:val="auto"/>
          <w:sz w:val="24"/>
          <w:szCs w:val="24"/>
        </w:rPr>
        <w:t>Tranquil Spectator</w:t>
      </w:r>
      <w:r>
        <w:rPr>
          <w:rFonts w:ascii="Times New Roman" w:hAnsi="Times New Roman" w:cs="Times New Roman"/>
          <w:b w:val="0"/>
          <w:bCs w:val="0"/>
          <w:color w:val="auto"/>
          <w:sz w:val="24"/>
          <w:szCs w:val="24"/>
        </w:rPr>
        <w:t>”</w:t>
      </w:r>
      <w:r w:rsidRPr="00A84A20">
        <w:rPr>
          <w:rFonts w:ascii="Times New Roman" w:hAnsi="Times New Roman" w:cs="Times New Roman"/>
          <w:b w:val="0"/>
          <w:bCs w:val="0"/>
          <w:color w:val="auto"/>
          <w:sz w:val="24"/>
          <w:szCs w:val="24"/>
        </w:rPr>
        <w:t>: The District Official and the Practice of Local Government in Late Eighteenth</w:t>
      </w:r>
      <w:r>
        <w:rPr>
          <w:rFonts w:ascii="Times New Roman" w:hAnsi="Times New Roman" w:cs="Times New Roman"/>
          <w:b w:val="0"/>
          <w:bCs w:val="0"/>
          <w:color w:val="auto"/>
          <w:sz w:val="24"/>
          <w:szCs w:val="24"/>
        </w:rPr>
        <w:t>-</w:t>
      </w:r>
      <w:r w:rsidRPr="00A84A20">
        <w:rPr>
          <w:rFonts w:ascii="Times New Roman" w:hAnsi="Times New Roman" w:cs="Times New Roman"/>
          <w:b w:val="0"/>
          <w:bCs w:val="0"/>
          <w:color w:val="auto"/>
          <w:sz w:val="24"/>
          <w:szCs w:val="24"/>
        </w:rPr>
        <w:t>Century Bengal</w:t>
      </w:r>
      <w:r>
        <w:rPr>
          <w:rFonts w:ascii="Times New Roman" w:hAnsi="Times New Roman" w:cs="Times New Roman"/>
          <w:b w:val="0"/>
          <w:bCs w:val="0"/>
          <w:color w:val="auto"/>
          <w:sz w:val="24"/>
          <w:szCs w:val="24"/>
        </w:rPr>
        <w:t>’</w:t>
      </w:r>
      <w:r w:rsidRPr="00A84A20">
        <w:rPr>
          <w:rFonts w:ascii="Times New Roman" w:hAnsi="Times New Roman" w:cs="Times New Roman"/>
          <w:b w:val="0"/>
          <w:bCs w:val="0"/>
          <w:color w:val="auto"/>
          <w:sz w:val="24"/>
          <w:szCs w:val="24"/>
        </w:rPr>
        <w:t xml:space="preserve">, </w:t>
      </w:r>
      <w:r w:rsidRPr="00A84A20">
        <w:rPr>
          <w:rFonts w:ascii="Times New Roman" w:hAnsi="Times New Roman" w:cs="Times New Roman"/>
          <w:b w:val="0"/>
          <w:bCs w:val="0"/>
          <w:i/>
          <w:iCs/>
          <w:color w:val="auto"/>
          <w:sz w:val="24"/>
          <w:szCs w:val="24"/>
        </w:rPr>
        <w:t>The Journal of Imperial and Commonwealth History</w:t>
      </w:r>
      <w:r w:rsidRPr="00A84A20">
        <w:rPr>
          <w:rFonts w:ascii="Times New Roman" w:hAnsi="Times New Roman" w:cs="Times New Roman"/>
          <w:b w:val="0"/>
          <w:bCs w:val="0"/>
          <w:color w:val="auto"/>
          <w:sz w:val="24"/>
          <w:szCs w:val="24"/>
        </w:rPr>
        <w:t xml:space="preserve"> 38</w:t>
      </w:r>
      <w:r>
        <w:rPr>
          <w:rFonts w:ascii="Times New Roman" w:hAnsi="Times New Roman" w:cs="Times New Roman"/>
          <w:b w:val="0"/>
          <w:bCs w:val="0"/>
          <w:color w:val="auto"/>
          <w:sz w:val="24"/>
          <w:szCs w:val="24"/>
        </w:rPr>
        <w:t>/</w:t>
      </w:r>
      <w:r w:rsidRPr="00A84A20">
        <w:rPr>
          <w:rFonts w:ascii="Times New Roman" w:hAnsi="Times New Roman" w:cs="Times New Roman"/>
          <w:b w:val="0"/>
          <w:bCs w:val="0"/>
          <w:color w:val="auto"/>
          <w:sz w:val="24"/>
          <w:szCs w:val="24"/>
        </w:rPr>
        <w:t xml:space="preserve">1 (2010), 1. See also David E. Omissi, </w:t>
      </w:r>
      <w:r w:rsidRPr="00A84A20">
        <w:rPr>
          <w:rFonts w:ascii="Times New Roman" w:hAnsi="Times New Roman" w:cs="Times New Roman"/>
          <w:b w:val="0"/>
          <w:bCs w:val="0"/>
          <w:i/>
          <w:iCs/>
          <w:color w:val="auto"/>
          <w:sz w:val="24"/>
          <w:szCs w:val="24"/>
        </w:rPr>
        <w:t>The Sepoy and the Raj: The Indian Army, 1860</w:t>
      </w:r>
      <w:r>
        <w:rPr>
          <w:rFonts w:ascii="Times New Roman" w:hAnsi="Times New Roman" w:cs="Times New Roman"/>
          <w:b w:val="0"/>
          <w:bCs w:val="0"/>
          <w:i/>
          <w:iCs/>
          <w:color w:val="auto"/>
          <w:sz w:val="24"/>
          <w:szCs w:val="24"/>
        </w:rPr>
        <w:t>-</w:t>
      </w:r>
      <w:r w:rsidRPr="00A84A20">
        <w:rPr>
          <w:rFonts w:ascii="Times New Roman" w:hAnsi="Times New Roman" w:cs="Times New Roman"/>
          <w:b w:val="0"/>
          <w:bCs w:val="0"/>
          <w:i/>
          <w:iCs/>
          <w:color w:val="auto"/>
          <w:sz w:val="24"/>
          <w:szCs w:val="24"/>
        </w:rPr>
        <w:t xml:space="preserve">1940 </w:t>
      </w:r>
      <w:r w:rsidRPr="00A84A20">
        <w:rPr>
          <w:rFonts w:ascii="Times New Roman" w:hAnsi="Times New Roman" w:cs="Times New Roman"/>
          <w:b w:val="0"/>
          <w:bCs w:val="0"/>
          <w:color w:val="auto"/>
          <w:sz w:val="24"/>
          <w:szCs w:val="24"/>
        </w:rPr>
        <w:t xml:space="preserve">(London: Palgrave Macmillan 1994); Douglas Peers, </w:t>
      </w:r>
      <w:r w:rsidRPr="00A84A20">
        <w:rPr>
          <w:rFonts w:ascii="Times New Roman" w:hAnsi="Times New Roman" w:cs="Times New Roman"/>
          <w:b w:val="0"/>
          <w:bCs w:val="0"/>
          <w:i/>
          <w:iCs/>
          <w:color w:val="auto"/>
          <w:sz w:val="24"/>
          <w:szCs w:val="24"/>
        </w:rPr>
        <w:t>Between Mars and Mammon: Colonial Armies and the Garrison State in Nineteenth</w:t>
      </w:r>
      <w:r>
        <w:rPr>
          <w:rFonts w:ascii="Times New Roman" w:hAnsi="Times New Roman" w:cs="Times New Roman"/>
          <w:b w:val="0"/>
          <w:bCs w:val="0"/>
          <w:i/>
          <w:iCs/>
          <w:color w:val="auto"/>
          <w:sz w:val="24"/>
          <w:szCs w:val="24"/>
        </w:rPr>
        <w:t>-</w:t>
      </w:r>
      <w:r w:rsidRPr="00A84A20">
        <w:rPr>
          <w:rFonts w:ascii="Times New Roman" w:hAnsi="Times New Roman" w:cs="Times New Roman"/>
          <w:b w:val="0"/>
          <w:bCs w:val="0"/>
          <w:i/>
          <w:iCs/>
          <w:color w:val="auto"/>
          <w:sz w:val="24"/>
          <w:szCs w:val="24"/>
        </w:rPr>
        <w:t xml:space="preserve">Century India </w:t>
      </w:r>
      <w:r w:rsidRPr="00A84A20">
        <w:rPr>
          <w:rFonts w:ascii="Times New Roman" w:hAnsi="Times New Roman" w:cs="Times New Roman"/>
          <w:b w:val="0"/>
          <w:bCs w:val="0"/>
          <w:color w:val="auto"/>
          <w:sz w:val="24"/>
          <w:szCs w:val="24"/>
        </w:rPr>
        <w:t xml:space="preserve">(London: I. B. Taurus 1995); Seema Alavi, </w:t>
      </w:r>
      <w:r w:rsidRPr="00A84A20">
        <w:rPr>
          <w:rFonts w:ascii="Times New Roman" w:hAnsi="Times New Roman" w:cs="Times New Roman"/>
          <w:b w:val="0"/>
          <w:bCs w:val="0"/>
          <w:i/>
          <w:color w:val="auto"/>
          <w:sz w:val="24"/>
          <w:szCs w:val="24"/>
        </w:rPr>
        <w:t>The Sepoys and the Company: Tradition and Transition in Northern India 1770</w:t>
      </w:r>
      <w:r>
        <w:rPr>
          <w:rFonts w:ascii="Times New Roman" w:hAnsi="Times New Roman" w:cs="Times New Roman"/>
          <w:b w:val="0"/>
          <w:bCs w:val="0"/>
          <w:i/>
          <w:color w:val="auto"/>
          <w:sz w:val="24"/>
          <w:szCs w:val="24"/>
        </w:rPr>
        <w:t>-</w:t>
      </w:r>
      <w:r w:rsidRPr="00A84A20">
        <w:rPr>
          <w:rFonts w:ascii="Times New Roman" w:hAnsi="Times New Roman" w:cs="Times New Roman"/>
          <w:b w:val="0"/>
          <w:bCs w:val="0"/>
          <w:i/>
          <w:color w:val="auto"/>
          <w:sz w:val="24"/>
          <w:szCs w:val="24"/>
        </w:rPr>
        <w:t>1830</w:t>
      </w:r>
      <w:r w:rsidRPr="00A84A20">
        <w:rPr>
          <w:rFonts w:ascii="Times New Roman" w:hAnsi="Times New Roman" w:cs="Times New Roman"/>
          <w:b w:val="0"/>
          <w:bCs w:val="0"/>
          <w:color w:val="auto"/>
          <w:sz w:val="24"/>
          <w:szCs w:val="24"/>
        </w:rPr>
        <w:t xml:space="preserve"> (Delhi: O</w:t>
      </w:r>
      <w:r>
        <w:rPr>
          <w:rFonts w:ascii="Times New Roman" w:hAnsi="Times New Roman" w:cs="Times New Roman"/>
          <w:b w:val="0"/>
          <w:bCs w:val="0"/>
          <w:color w:val="auto"/>
          <w:sz w:val="24"/>
          <w:szCs w:val="24"/>
        </w:rPr>
        <w:t xml:space="preserve">xford University Press </w:t>
      </w:r>
      <w:r w:rsidRPr="00A84A20">
        <w:rPr>
          <w:rFonts w:ascii="Times New Roman" w:hAnsi="Times New Roman" w:cs="Times New Roman"/>
          <w:b w:val="0"/>
          <w:bCs w:val="0"/>
          <w:color w:val="auto"/>
          <w:sz w:val="24"/>
          <w:szCs w:val="24"/>
        </w:rPr>
        <w:t xml:space="preserve">1998); Kaushik Roy, </w:t>
      </w:r>
      <w:r w:rsidRPr="00A84A20">
        <w:rPr>
          <w:rFonts w:ascii="Times New Roman" w:hAnsi="Times New Roman" w:cs="Times New Roman"/>
          <w:b w:val="0"/>
          <w:bCs w:val="0"/>
          <w:i/>
          <w:iCs/>
          <w:color w:val="auto"/>
          <w:sz w:val="24"/>
          <w:szCs w:val="24"/>
        </w:rPr>
        <w:t xml:space="preserve"> The Army in British India: From Colonial Warfare to Total War, 1857</w:t>
      </w:r>
      <w:r>
        <w:rPr>
          <w:rFonts w:ascii="Times New Roman" w:hAnsi="Times New Roman" w:cs="Times New Roman"/>
          <w:b w:val="0"/>
          <w:bCs w:val="0"/>
          <w:i/>
          <w:iCs/>
          <w:color w:val="auto"/>
          <w:sz w:val="24"/>
          <w:szCs w:val="24"/>
        </w:rPr>
        <w:t>-</w:t>
      </w:r>
      <w:r w:rsidRPr="00A84A20">
        <w:rPr>
          <w:rFonts w:ascii="Times New Roman" w:hAnsi="Times New Roman" w:cs="Times New Roman"/>
          <w:b w:val="0"/>
          <w:bCs w:val="0"/>
          <w:i/>
          <w:iCs/>
          <w:color w:val="auto"/>
          <w:sz w:val="24"/>
          <w:szCs w:val="24"/>
        </w:rPr>
        <w:t xml:space="preserve">1947 </w:t>
      </w:r>
      <w:r w:rsidRPr="00A84A20">
        <w:rPr>
          <w:rFonts w:ascii="Times New Roman" w:hAnsi="Times New Roman" w:cs="Times New Roman"/>
          <w:b w:val="0"/>
          <w:bCs w:val="0"/>
          <w:color w:val="auto"/>
          <w:sz w:val="24"/>
          <w:szCs w:val="24"/>
        </w:rPr>
        <w:t xml:space="preserve">(London: Bloomsbury 2012); </w:t>
      </w:r>
      <w:bookmarkStart w:id="36" w:name="_Hlk37861907"/>
      <w:r w:rsidRPr="00A84A20">
        <w:rPr>
          <w:rFonts w:ascii="Times New Roman" w:hAnsi="Times New Roman" w:cs="Times New Roman"/>
          <w:b w:val="0"/>
          <w:bCs w:val="0"/>
          <w:color w:val="auto"/>
          <w:sz w:val="24"/>
          <w:szCs w:val="24"/>
        </w:rPr>
        <w:t xml:space="preserve">James Hevia, </w:t>
      </w:r>
      <w:r w:rsidRPr="00A84A20">
        <w:rPr>
          <w:rFonts w:ascii="Times New Roman" w:hAnsi="Times New Roman" w:cs="Times New Roman"/>
          <w:b w:val="0"/>
          <w:bCs w:val="0"/>
          <w:i/>
          <w:color w:val="auto"/>
          <w:sz w:val="24"/>
          <w:szCs w:val="24"/>
        </w:rPr>
        <w:t>The Imperial Security State: British Colonial Knowledge and Empire</w:t>
      </w:r>
      <w:r>
        <w:rPr>
          <w:rFonts w:ascii="Times New Roman" w:hAnsi="Times New Roman" w:cs="Times New Roman"/>
          <w:b w:val="0"/>
          <w:bCs w:val="0"/>
          <w:i/>
          <w:color w:val="auto"/>
          <w:sz w:val="24"/>
          <w:szCs w:val="24"/>
        </w:rPr>
        <w:t>-</w:t>
      </w:r>
      <w:r w:rsidRPr="00A84A20">
        <w:rPr>
          <w:rFonts w:ascii="Times New Roman" w:hAnsi="Times New Roman" w:cs="Times New Roman"/>
          <w:b w:val="0"/>
          <w:bCs w:val="0"/>
          <w:i/>
          <w:color w:val="auto"/>
          <w:sz w:val="24"/>
          <w:szCs w:val="24"/>
        </w:rPr>
        <w:t>Building in Asia</w:t>
      </w:r>
      <w:r w:rsidRPr="00A84A20">
        <w:rPr>
          <w:rFonts w:ascii="Times New Roman" w:hAnsi="Times New Roman" w:cs="Times New Roman"/>
          <w:b w:val="0"/>
          <w:bCs w:val="0"/>
          <w:color w:val="auto"/>
          <w:sz w:val="24"/>
          <w:szCs w:val="24"/>
        </w:rPr>
        <w:t xml:space="preserve"> (Cambridge: Cambridge University Press, 2012)</w:t>
      </w:r>
      <w:bookmarkEnd w:id="36"/>
      <w:r>
        <w:rPr>
          <w:rFonts w:ascii="Times New Roman" w:hAnsi="Times New Roman" w:cs="Times New Roman"/>
          <w:b w:val="0"/>
          <w:bCs w:val="0"/>
          <w:color w:val="auto"/>
          <w:sz w:val="24"/>
          <w:szCs w:val="24"/>
        </w:rPr>
        <w:t>;</w:t>
      </w:r>
      <w:r w:rsidRPr="00A84A20">
        <w:rPr>
          <w:rFonts w:ascii="Times New Roman" w:hAnsi="Times New Roman" w:cs="Times New Roman"/>
          <w:b w:val="0"/>
          <w:bCs w:val="0"/>
          <w:color w:val="auto"/>
          <w:sz w:val="24"/>
          <w:szCs w:val="24"/>
        </w:rPr>
        <w:t xml:space="preserve"> and Condos, </w:t>
      </w:r>
      <w:r w:rsidRPr="00A84A20">
        <w:rPr>
          <w:rFonts w:ascii="Times New Roman" w:hAnsi="Times New Roman" w:cs="Times New Roman"/>
          <w:b w:val="0"/>
          <w:bCs w:val="0"/>
          <w:i/>
          <w:iCs/>
          <w:color w:val="auto"/>
          <w:sz w:val="24"/>
          <w:szCs w:val="24"/>
        </w:rPr>
        <w:t>The Insecurity State</w:t>
      </w:r>
      <w:r>
        <w:rPr>
          <w:rFonts w:ascii="Times New Roman" w:hAnsi="Times New Roman" w:cs="Times New Roman"/>
          <w:b w:val="0"/>
          <w:bCs w:val="0"/>
          <w:i/>
          <w:iCs/>
          <w:color w:val="auto"/>
          <w:sz w:val="24"/>
          <w:szCs w:val="24"/>
        </w:rPr>
        <w:t xml:space="preserve"> </w:t>
      </w:r>
      <w:r>
        <w:rPr>
          <w:rFonts w:ascii="Times New Roman" w:hAnsi="Times New Roman" w:cs="Times New Roman"/>
          <w:b w:val="0"/>
          <w:bCs w:val="0"/>
          <w:color w:val="auto"/>
          <w:sz w:val="24"/>
          <w:szCs w:val="24"/>
        </w:rPr>
        <w:t>(n 38)</w:t>
      </w:r>
      <w:r w:rsidRPr="00A84A20">
        <w:rPr>
          <w:rFonts w:ascii="Times New Roman" w:hAnsi="Times New Roman" w:cs="Times New Roman"/>
          <w:b w:val="0"/>
          <w:bCs w:val="0"/>
          <w:i/>
          <w:iCs/>
          <w:color w:val="auto"/>
          <w:sz w:val="24"/>
          <w:szCs w:val="24"/>
        </w:rPr>
        <w:t xml:space="preserve"> </w:t>
      </w:r>
      <w:r w:rsidRPr="00A84A20">
        <w:rPr>
          <w:rFonts w:ascii="Times New Roman" w:hAnsi="Times New Roman" w:cs="Times New Roman"/>
          <w:b w:val="0"/>
          <w:bCs w:val="0"/>
          <w:color w:val="auto"/>
          <w:sz w:val="24"/>
          <w:szCs w:val="24"/>
        </w:rPr>
        <w:t>40</w:t>
      </w:r>
      <w:r>
        <w:rPr>
          <w:rFonts w:ascii="Times New Roman" w:hAnsi="Times New Roman" w:cs="Times New Roman"/>
          <w:b w:val="0"/>
          <w:bCs w:val="0"/>
          <w:color w:val="auto"/>
          <w:sz w:val="24"/>
          <w:szCs w:val="24"/>
        </w:rPr>
        <w:t>-</w:t>
      </w:r>
      <w:r w:rsidRPr="00A84A20">
        <w:rPr>
          <w:rFonts w:ascii="Times New Roman" w:hAnsi="Times New Roman" w:cs="Times New Roman"/>
          <w:b w:val="0"/>
          <w:bCs w:val="0"/>
          <w:color w:val="auto"/>
          <w:sz w:val="24"/>
          <w:szCs w:val="24"/>
        </w:rPr>
        <w:t>55.</w:t>
      </w:r>
    </w:p>
  </w:footnote>
  <w:footnote w:id="179">
    <w:p w14:paraId="4A99D19E"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w:t>
      </w:r>
      <w:r w:rsidRPr="00A84A20">
        <w:rPr>
          <w:bCs/>
          <w:sz w:val="24"/>
          <w:szCs w:val="24"/>
        </w:rPr>
        <w:t xml:space="preserve">Guha, </w:t>
      </w:r>
      <w:r w:rsidRPr="00A84A20">
        <w:rPr>
          <w:bCs/>
          <w:i/>
          <w:iCs/>
          <w:sz w:val="24"/>
          <w:szCs w:val="24"/>
        </w:rPr>
        <w:t>Dominance without Hegemony</w:t>
      </w:r>
      <w:r>
        <w:rPr>
          <w:bCs/>
          <w:i/>
          <w:iCs/>
          <w:sz w:val="24"/>
          <w:szCs w:val="24"/>
        </w:rPr>
        <w:t xml:space="preserve"> </w:t>
      </w:r>
      <w:r>
        <w:rPr>
          <w:bCs/>
          <w:sz w:val="24"/>
          <w:szCs w:val="24"/>
        </w:rPr>
        <w:t>(n 168)</w:t>
      </w:r>
      <w:r w:rsidRPr="00A84A20">
        <w:rPr>
          <w:bCs/>
          <w:sz w:val="24"/>
          <w:szCs w:val="24"/>
        </w:rPr>
        <w:t xml:space="preserve">; and </w:t>
      </w:r>
      <w:r w:rsidRPr="00A84A20">
        <w:rPr>
          <w:sz w:val="24"/>
          <w:szCs w:val="24"/>
        </w:rPr>
        <w:t xml:space="preserve">Peers, </w:t>
      </w:r>
      <w:r>
        <w:rPr>
          <w:sz w:val="24"/>
          <w:szCs w:val="24"/>
        </w:rPr>
        <w:t>‘</w:t>
      </w:r>
      <w:r w:rsidRPr="00A84A20">
        <w:rPr>
          <w:sz w:val="24"/>
          <w:szCs w:val="24"/>
        </w:rPr>
        <w:t>State, Power, and Colonialism</w:t>
      </w:r>
      <w:r>
        <w:rPr>
          <w:sz w:val="24"/>
          <w:szCs w:val="24"/>
        </w:rPr>
        <w:t>’ (n 177)</w:t>
      </w:r>
      <w:r w:rsidRPr="00A84A20">
        <w:rPr>
          <w:sz w:val="24"/>
          <w:szCs w:val="24"/>
        </w:rPr>
        <w:t xml:space="preserve"> 41. On the conception of the </w:t>
      </w:r>
      <w:r>
        <w:rPr>
          <w:sz w:val="24"/>
          <w:szCs w:val="24"/>
        </w:rPr>
        <w:t>‘</w:t>
      </w:r>
      <w:r w:rsidRPr="00A84A20">
        <w:rPr>
          <w:sz w:val="24"/>
          <w:szCs w:val="24"/>
        </w:rPr>
        <w:t>limited Raj</w:t>
      </w:r>
      <w:r>
        <w:rPr>
          <w:sz w:val="24"/>
          <w:szCs w:val="24"/>
        </w:rPr>
        <w:t>’</w:t>
      </w:r>
      <w:r w:rsidRPr="00A84A20">
        <w:rPr>
          <w:sz w:val="24"/>
          <w:szCs w:val="24"/>
        </w:rPr>
        <w:t xml:space="preserve"> see Anand Yang, </w:t>
      </w:r>
      <w:r w:rsidRPr="00A84A20">
        <w:rPr>
          <w:i/>
          <w:iCs/>
          <w:sz w:val="24"/>
          <w:szCs w:val="24"/>
        </w:rPr>
        <w:t>The Limited Raj: Agrarian Relations in Colonial India, Saran District, 1793</w:t>
      </w:r>
      <w:r>
        <w:rPr>
          <w:i/>
          <w:iCs/>
          <w:sz w:val="24"/>
          <w:szCs w:val="24"/>
        </w:rPr>
        <w:t>-</w:t>
      </w:r>
      <w:r w:rsidRPr="00A84A20">
        <w:rPr>
          <w:i/>
          <w:iCs/>
          <w:sz w:val="24"/>
          <w:szCs w:val="24"/>
        </w:rPr>
        <w:t xml:space="preserve">1920 </w:t>
      </w:r>
      <w:r w:rsidRPr="00A84A20">
        <w:rPr>
          <w:sz w:val="24"/>
          <w:szCs w:val="24"/>
        </w:rPr>
        <w:t>(Delhi: Oxford University Press 1989).</w:t>
      </w:r>
    </w:p>
  </w:footnote>
  <w:footnote w:id="180">
    <w:p w14:paraId="0A0B6900"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See Kim Wager, </w:t>
      </w:r>
      <w:r>
        <w:rPr>
          <w:sz w:val="24"/>
          <w:szCs w:val="24"/>
        </w:rPr>
        <w:t>‘</w:t>
      </w:r>
      <w:r w:rsidRPr="00A84A20">
        <w:rPr>
          <w:sz w:val="24"/>
          <w:szCs w:val="24"/>
        </w:rPr>
        <w:t xml:space="preserve">Treading Upon Fires: the </w:t>
      </w:r>
      <w:r>
        <w:rPr>
          <w:sz w:val="24"/>
          <w:szCs w:val="24"/>
        </w:rPr>
        <w:t>“</w:t>
      </w:r>
      <w:r w:rsidRPr="00A84A20">
        <w:rPr>
          <w:sz w:val="24"/>
          <w:szCs w:val="24"/>
        </w:rPr>
        <w:t>Mutiny</w:t>
      </w:r>
      <w:r>
        <w:rPr>
          <w:sz w:val="24"/>
          <w:szCs w:val="24"/>
        </w:rPr>
        <w:t>”-</w:t>
      </w:r>
      <w:r w:rsidRPr="00A84A20">
        <w:rPr>
          <w:sz w:val="24"/>
          <w:szCs w:val="24"/>
        </w:rPr>
        <w:t>motif and Colonial Anxieties in British India</w:t>
      </w:r>
      <w:r>
        <w:rPr>
          <w:sz w:val="24"/>
          <w:szCs w:val="24"/>
        </w:rPr>
        <w:t>’</w:t>
      </w:r>
      <w:r w:rsidRPr="00A84A20">
        <w:rPr>
          <w:sz w:val="24"/>
          <w:szCs w:val="24"/>
        </w:rPr>
        <w:t xml:space="preserve">, </w:t>
      </w:r>
      <w:r w:rsidRPr="00A84A20">
        <w:rPr>
          <w:i/>
          <w:iCs/>
          <w:sz w:val="24"/>
          <w:szCs w:val="24"/>
        </w:rPr>
        <w:t>Past &amp; Present</w:t>
      </w:r>
      <w:r w:rsidRPr="00A84A20">
        <w:rPr>
          <w:sz w:val="24"/>
          <w:szCs w:val="24"/>
        </w:rPr>
        <w:t xml:space="preserve"> 218</w:t>
      </w:r>
      <w:r>
        <w:rPr>
          <w:sz w:val="24"/>
          <w:szCs w:val="24"/>
        </w:rPr>
        <w:t>/</w:t>
      </w:r>
      <w:r w:rsidRPr="00A84A20">
        <w:rPr>
          <w:sz w:val="24"/>
          <w:szCs w:val="24"/>
        </w:rPr>
        <w:t>1 (2013)</w:t>
      </w:r>
      <w:r>
        <w:rPr>
          <w:sz w:val="24"/>
          <w:szCs w:val="24"/>
        </w:rPr>
        <w:t>,</w:t>
      </w:r>
      <w:r w:rsidRPr="00A84A20">
        <w:rPr>
          <w:sz w:val="24"/>
          <w:szCs w:val="24"/>
        </w:rPr>
        <w:t xml:space="preserve"> 159</w:t>
      </w:r>
      <w:r>
        <w:rPr>
          <w:sz w:val="24"/>
          <w:szCs w:val="24"/>
        </w:rPr>
        <w:t>-</w:t>
      </w:r>
      <w:r w:rsidRPr="00A84A20">
        <w:rPr>
          <w:sz w:val="24"/>
          <w:szCs w:val="24"/>
        </w:rPr>
        <w:t>97</w:t>
      </w:r>
      <w:r>
        <w:rPr>
          <w:sz w:val="24"/>
          <w:szCs w:val="24"/>
        </w:rPr>
        <w:t>; Wagner,</w:t>
      </w:r>
      <w:r w:rsidRPr="00A84A20">
        <w:rPr>
          <w:sz w:val="24"/>
          <w:szCs w:val="24"/>
        </w:rPr>
        <w:t xml:space="preserve"> </w:t>
      </w:r>
      <w:r>
        <w:rPr>
          <w:sz w:val="24"/>
          <w:szCs w:val="24"/>
        </w:rPr>
        <w:t>‘”</w:t>
      </w:r>
      <w:r w:rsidRPr="00A84A20">
        <w:rPr>
          <w:sz w:val="24"/>
          <w:szCs w:val="24"/>
        </w:rPr>
        <w:t>Calculated to strike terror</w:t>
      </w:r>
      <w:r>
        <w:rPr>
          <w:sz w:val="24"/>
          <w:szCs w:val="24"/>
        </w:rPr>
        <w:t>”’ (n 48); Wagner,</w:t>
      </w:r>
      <w:r w:rsidRPr="00A84A20">
        <w:rPr>
          <w:sz w:val="24"/>
          <w:szCs w:val="24"/>
        </w:rPr>
        <w:t xml:space="preserve"> </w:t>
      </w:r>
      <w:r w:rsidRPr="00A84A20">
        <w:rPr>
          <w:i/>
          <w:iCs/>
          <w:sz w:val="24"/>
          <w:szCs w:val="24"/>
        </w:rPr>
        <w:t>Amritsar 1919</w:t>
      </w:r>
      <w:r>
        <w:rPr>
          <w:i/>
          <w:iCs/>
          <w:sz w:val="24"/>
          <w:szCs w:val="24"/>
        </w:rPr>
        <w:t xml:space="preserve"> </w:t>
      </w:r>
      <w:r>
        <w:rPr>
          <w:sz w:val="24"/>
          <w:szCs w:val="24"/>
        </w:rPr>
        <w:t>(n 76)</w:t>
      </w:r>
      <w:r w:rsidRPr="00A84A20">
        <w:rPr>
          <w:sz w:val="24"/>
          <w:szCs w:val="24"/>
        </w:rPr>
        <w:t xml:space="preserve">; and Condos, </w:t>
      </w:r>
      <w:r w:rsidRPr="00A84A20">
        <w:rPr>
          <w:i/>
          <w:iCs/>
          <w:sz w:val="24"/>
          <w:szCs w:val="24"/>
        </w:rPr>
        <w:t>The Insecurity State</w:t>
      </w:r>
      <w:r>
        <w:rPr>
          <w:i/>
          <w:iCs/>
          <w:sz w:val="24"/>
          <w:szCs w:val="24"/>
        </w:rPr>
        <w:t xml:space="preserve"> </w:t>
      </w:r>
      <w:r>
        <w:rPr>
          <w:sz w:val="24"/>
          <w:szCs w:val="24"/>
        </w:rPr>
        <w:t>(n 38)</w:t>
      </w:r>
      <w:r w:rsidRPr="00A84A20">
        <w:rPr>
          <w:i/>
          <w:iCs/>
          <w:sz w:val="24"/>
          <w:szCs w:val="24"/>
        </w:rPr>
        <w:t>.</w:t>
      </w:r>
    </w:p>
  </w:footnote>
  <w:footnote w:id="181">
    <w:p w14:paraId="72C7ED3A" w14:textId="77777777" w:rsidR="00997966" w:rsidRPr="00A84A20" w:rsidRDefault="00997966" w:rsidP="00997966">
      <w:pPr>
        <w:pStyle w:val="FootnoteText"/>
        <w:spacing w:line="480" w:lineRule="auto"/>
        <w:rPr>
          <w:b/>
          <w:bCs/>
          <w:sz w:val="24"/>
          <w:szCs w:val="24"/>
        </w:rPr>
      </w:pPr>
      <w:r w:rsidRPr="00A84A20">
        <w:rPr>
          <w:rStyle w:val="FootnoteReference"/>
          <w:sz w:val="24"/>
          <w:szCs w:val="24"/>
        </w:rPr>
        <w:footnoteRef/>
      </w:r>
      <w:r w:rsidRPr="00A84A20">
        <w:rPr>
          <w:sz w:val="24"/>
          <w:szCs w:val="24"/>
        </w:rPr>
        <w:t xml:space="preserve"> Kumar, </w:t>
      </w:r>
      <w:r>
        <w:rPr>
          <w:sz w:val="24"/>
          <w:szCs w:val="24"/>
        </w:rPr>
        <w:t>‘</w:t>
      </w:r>
      <w:r w:rsidRPr="00A84A20">
        <w:rPr>
          <w:sz w:val="24"/>
          <w:szCs w:val="24"/>
        </w:rPr>
        <w:t>Police Matters</w:t>
      </w:r>
      <w:r>
        <w:rPr>
          <w:sz w:val="24"/>
          <w:szCs w:val="24"/>
        </w:rPr>
        <w:t>’ (n 61)</w:t>
      </w:r>
      <w:r w:rsidRPr="00A84A20">
        <w:rPr>
          <w:sz w:val="24"/>
          <w:szCs w:val="24"/>
        </w:rPr>
        <w:t xml:space="preserve"> 2; and Silvestri, </w:t>
      </w:r>
      <w:proofErr w:type="gramStart"/>
      <w:r>
        <w:rPr>
          <w:sz w:val="24"/>
          <w:szCs w:val="24"/>
        </w:rPr>
        <w:t>‘”</w:t>
      </w:r>
      <w:r w:rsidRPr="00A84A20">
        <w:rPr>
          <w:sz w:val="24"/>
          <w:szCs w:val="24"/>
        </w:rPr>
        <w:t>The</w:t>
      </w:r>
      <w:proofErr w:type="gramEnd"/>
      <w:r w:rsidRPr="00A84A20">
        <w:rPr>
          <w:sz w:val="24"/>
          <w:szCs w:val="24"/>
        </w:rPr>
        <w:t xml:space="preserve"> Dirty Work of Empire</w:t>
      </w:r>
      <w:r>
        <w:rPr>
          <w:sz w:val="24"/>
          <w:szCs w:val="24"/>
        </w:rPr>
        <w:t>”’ (n 143)</w:t>
      </w:r>
      <w:r w:rsidRPr="00A84A20">
        <w:rPr>
          <w:sz w:val="24"/>
          <w:szCs w:val="24"/>
        </w:rPr>
        <w:t xml:space="preserve"> 3. Indian policemen</w:t>
      </w:r>
      <w:r>
        <w:rPr>
          <w:sz w:val="24"/>
          <w:szCs w:val="24"/>
        </w:rPr>
        <w:t>—</w:t>
      </w:r>
      <w:r w:rsidRPr="00A84A20">
        <w:rPr>
          <w:sz w:val="24"/>
          <w:szCs w:val="24"/>
        </w:rPr>
        <w:t xml:space="preserve">particularly Sikhs, who were regarded by the British as a </w:t>
      </w:r>
      <w:r>
        <w:rPr>
          <w:sz w:val="24"/>
          <w:szCs w:val="24"/>
        </w:rPr>
        <w:t>‘</w:t>
      </w:r>
      <w:r w:rsidRPr="00A84A20">
        <w:rPr>
          <w:sz w:val="24"/>
          <w:szCs w:val="24"/>
        </w:rPr>
        <w:t>marital race</w:t>
      </w:r>
      <w:r>
        <w:rPr>
          <w:sz w:val="24"/>
          <w:szCs w:val="24"/>
        </w:rPr>
        <w:t>’—</w:t>
      </w:r>
      <w:r w:rsidRPr="00A84A20">
        <w:rPr>
          <w:sz w:val="24"/>
          <w:szCs w:val="24"/>
        </w:rPr>
        <w:t>played such a vital role as emissar</w:t>
      </w:r>
      <w:r>
        <w:rPr>
          <w:sz w:val="24"/>
          <w:szCs w:val="24"/>
        </w:rPr>
        <w:t>ies</w:t>
      </w:r>
      <w:r w:rsidRPr="00A84A20">
        <w:rPr>
          <w:sz w:val="24"/>
          <w:szCs w:val="24"/>
        </w:rPr>
        <w:t xml:space="preserve"> of law that they were recruited to develop other British colonial police forces. </w:t>
      </w:r>
      <w:r>
        <w:rPr>
          <w:sz w:val="24"/>
          <w:szCs w:val="24"/>
        </w:rPr>
        <w:t xml:space="preserve">See </w:t>
      </w:r>
      <w:r w:rsidRPr="00A84A20">
        <w:rPr>
          <w:sz w:val="24"/>
          <w:szCs w:val="24"/>
        </w:rPr>
        <w:t xml:space="preserve">Thomas Metcalf, </w:t>
      </w:r>
      <w:r w:rsidRPr="00A84A20">
        <w:rPr>
          <w:i/>
          <w:iCs/>
          <w:sz w:val="24"/>
          <w:szCs w:val="24"/>
        </w:rPr>
        <w:t>Imperial Connections: India in the Indian Ocean Arena, 1860</w:t>
      </w:r>
      <w:r>
        <w:rPr>
          <w:i/>
          <w:iCs/>
          <w:sz w:val="24"/>
          <w:szCs w:val="24"/>
        </w:rPr>
        <w:t>-</w:t>
      </w:r>
      <w:r w:rsidRPr="00A84A20">
        <w:rPr>
          <w:i/>
          <w:iCs/>
          <w:sz w:val="24"/>
          <w:szCs w:val="24"/>
        </w:rPr>
        <w:t xml:space="preserve">1920 </w:t>
      </w:r>
      <w:r w:rsidRPr="00A84A20">
        <w:rPr>
          <w:sz w:val="24"/>
          <w:szCs w:val="24"/>
        </w:rPr>
        <w:t xml:space="preserve">(Berkeley, Los Angeles and London: University of California Press 2007), Ch. 4; and Gajendra Singh, </w:t>
      </w:r>
      <w:r>
        <w:rPr>
          <w:sz w:val="24"/>
          <w:szCs w:val="24"/>
        </w:rPr>
        <w:t>‘</w:t>
      </w:r>
      <w:r w:rsidRPr="00A84A20">
        <w:rPr>
          <w:sz w:val="24"/>
          <w:szCs w:val="24"/>
        </w:rPr>
        <w:t>India and the Great War: Colonial Fantasies, Anxieties and Discontent</w:t>
      </w:r>
      <w:r>
        <w:rPr>
          <w:sz w:val="24"/>
          <w:szCs w:val="24"/>
        </w:rPr>
        <w:t>’</w:t>
      </w:r>
      <w:r w:rsidRPr="00A84A20">
        <w:rPr>
          <w:sz w:val="24"/>
          <w:szCs w:val="24"/>
        </w:rPr>
        <w:t xml:space="preserve">, </w:t>
      </w:r>
      <w:r w:rsidRPr="00A84A20">
        <w:rPr>
          <w:i/>
          <w:iCs/>
          <w:sz w:val="24"/>
          <w:szCs w:val="24"/>
        </w:rPr>
        <w:t>Studies in Ethnicity and Nationalism</w:t>
      </w:r>
      <w:r w:rsidRPr="00A84A20">
        <w:rPr>
          <w:sz w:val="24"/>
          <w:szCs w:val="24"/>
        </w:rPr>
        <w:t xml:space="preserve"> 14</w:t>
      </w:r>
      <w:r>
        <w:rPr>
          <w:sz w:val="24"/>
          <w:szCs w:val="24"/>
        </w:rPr>
        <w:t>/</w:t>
      </w:r>
      <w:r w:rsidRPr="00A84A20">
        <w:rPr>
          <w:sz w:val="24"/>
          <w:szCs w:val="24"/>
        </w:rPr>
        <w:t>2 (2014), 347.</w:t>
      </w:r>
    </w:p>
  </w:footnote>
  <w:footnote w:id="182">
    <w:p w14:paraId="7AE4CE2A"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Nasser Hussain, </w:t>
      </w:r>
      <w:r>
        <w:rPr>
          <w:sz w:val="24"/>
          <w:szCs w:val="24"/>
        </w:rPr>
        <w:t>‘</w:t>
      </w:r>
      <w:r w:rsidRPr="00A84A20">
        <w:rPr>
          <w:sz w:val="24"/>
          <w:szCs w:val="24"/>
        </w:rPr>
        <w:t>Towards a Jurisprudence of Emergency: Colonialism and the Rule of Law</w:t>
      </w:r>
      <w:r>
        <w:rPr>
          <w:sz w:val="24"/>
          <w:szCs w:val="24"/>
        </w:rPr>
        <w:t>’</w:t>
      </w:r>
      <w:r w:rsidRPr="00A84A20">
        <w:rPr>
          <w:sz w:val="24"/>
          <w:szCs w:val="24"/>
        </w:rPr>
        <w:t xml:space="preserve">, </w:t>
      </w:r>
      <w:r w:rsidRPr="00A84A20">
        <w:rPr>
          <w:i/>
          <w:iCs/>
          <w:sz w:val="24"/>
          <w:szCs w:val="24"/>
        </w:rPr>
        <w:t>Law and Critique</w:t>
      </w:r>
      <w:r w:rsidRPr="00A84A20">
        <w:rPr>
          <w:sz w:val="24"/>
          <w:szCs w:val="24"/>
        </w:rPr>
        <w:t xml:space="preserve"> 10 (1999), 97</w:t>
      </w:r>
      <w:r>
        <w:rPr>
          <w:sz w:val="24"/>
          <w:szCs w:val="24"/>
        </w:rPr>
        <w:t xml:space="preserve"> (hereafter Hussain, ‘Towards a Jurisprudence of Emergency’)</w:t>
      </w:r>
      <w:r w:rsidRPr="00A84A20">
        <w:rPr>
          <w:sz w:val="24"/>
          <w:szCs w:val="24"/>
        </w:rPr>
        <w:t xml:space="preserve">; and Hussain, </w:t>
      </w:r>
      <w:r w:rsidRPr="00A84A20">
        <w:rPr>
          <w:i/>
          <w:iCs/>
          <w:sz w:val="24"/>
          <w:szCs w:val="24"/>
        </w:rPr>
        <w:t>The Jurisprudence of Emergency</w:t>
      </w:r>
      <w:r>
        <w:rPr>
          <w:i/>
          <w:iCs/>
          <w:sz w:val="24"/>
          <w:szCs w:val="24"/>
        </w:rPr>
        <w:t xml:space="preserve"> </w:t>
      </w:r>
      <w:r>
        <w:rPr>
          <w:sz w:val="24"/>
          <w:szCs w:val="24"/>
        </w:rPr>
        <w:t>(n 58)</w:t>
      </w:r>
      <w:r w:rsidRPr="00A84A20">
        <w:rPr>
          <w:i/>
          <w:iCs/>
          <w:sz w:val="24"/>
          <w:szCs w:val="24"/>
        </w:rPr>
        <w:t xml:space="preserve"> </w:t>
      </w:r>
      <w:r w:rsidRPr="00A84A20">
        <w:rPr>
          <w:sz w:val="24"/>
          <w:szCs w:val="24"/>
        </w:rPr>
        <w:t xml:space="preserve">3. See also Jörg Fisch, </w:t>
      </w:r>
      <w:r>
        <w:rPr>
          <w:sz w:val="24"/>
          <w:szCs w:val="24"/>
        </w:rPr>
        <w:t>‘</w:t>
      </w:r>
      <w:r w:rsidRPr="00A84A20">
        <w:rPr>
          <w:sz w:val="24"/>
          <w:szCs w:val="24"/>
        </w:rPr>
        <w:t>The Role of International Law in the Territorial Expansion of Europe, 16</w:t>
      </w:r>
      <w:r w:rsidRPr="00782E61">
        <w:rPr>
          <w:sz w:val="24"/>
          <w:szCs w:val="24"/>
          <w:vertAlign w:val="superscript"/>
        </w:rPr>
        <w:t>th</w:t>
      </w:r>
      <w:r>
        <w:rPr>
          <w:sz w:val="24"/>
          <w:szCs w:val="24"/>
        </w:rPr>
        <w:t>-</w:t>
      </w:r>
      <w:r w:rsidRPr="00A84A20">
        <w:rPr>
          <w:sz w:val="24"/>
          <w:szCs w:val="24"/>
        </w:rPr>
        <w:t>20th Centuries</w:t>
      </w:r>
      <w:r>
        <w:rPr>
          <w:sz w:val="24"/>
          <w:szCs w:val="24"/>
        </w:rPr>
        <w:t>’</w:t>
      </w:r>
      <w:r w:rsidRPr="00A84A20">
        <w:rPr>
          <w:sz w:val="24"/>
          <w:szCs w:val="24"/>
        </w:rPr>
        <w:t xml:space="preserve">, </w:t>
      </w:r>
      <w:r w:rsidRPr="00A84A20">
        <w:rPr>
          <w:i/>
          <w:iCs/>
          <w:sz w:val="24"/>
          <w:szCs w:val="24"/>
        </w:rPr>
        <w:t>International Center for Comparative Law and Politics Review</w:t>
      </w:r>
      <w:r w:rsidRPr="00A84A20">
        <w:rPr>
          <w:sz w:val="24"/>
          <w:szCs w:val="24"/>
        </w:rPr>
        <w:t xml:space="preserve"> 3</w:t>
      </w:r>
      <w:r>
        <w:rPr>
          <w:sz w:val="24"/>
          <w:szCs w:val="24"/>
        </w:rPr>
        <w:t>/</w:t>
      </w:r>
      <w:r w:rsidRPr="00A84A20">
        <w:rPr>
          <w:sz w:val="24"/>
          <w:szCs w:val="24"/>
        </w:rPr>
        <w:t>1</w:t>
      </w:r>
      <w:r>
        <w:rPr>
          <w:sz w:val="24"/>
          <w:szCs w:val="24"/>
        </w:rPr>
        <w:t xml:space="preserve"> </w:t>
      </w:r>
      <w:r w:rsidRPr="00A84A20">
        <w:rPr>
          <w:sz w:val="24"/>
          <w:szCs w:val="24"/>
        </w:rPr>
        <w:t>(2000)</w:t>
      </w:r>
      <w:r>
        <w:rPr>
          <w:sz w:val="24"/>
          <w:szCs w:val="24"/>
        </w:rPr>
        <w:t>,</w:t>
      </w:r>
      <w:r w:rsidRPr="00A84A20">
        <w:rPr>
          <w:sz w:val="24"/>
          <w:szCs w:val="24"/>
        </w:rPr>
        <w:t xml:space="preserve"> 4</w:t>
      </w:r>
      <w:r>
        <w:rPr>
          <w:sz w:val="24"/>
          <w:szCs w:val="24"/>
        </w:rPr>
        <w:t>-</w:t>
      </w:r>
      <w:r w:rsidRPr="00A84A20">
        <w:rPr>
          <w:sz w:val="24"/>
          <w:szCs w:val="24"/>
        </w:rPr>
        <w:t xml:space="preserve">13. The phrase </w:t>
      </w:r>
      <w:r>
        <w:rPr>
          <w:sz w:val="24"/>
          <w:szCs w:val="24"/>
        </w:rPr>
        <w:t>‘</w:t>
      </w:r>
      <w:r w:rsidRPr="00A84A20">
        <w:rPr>
          <w:sz w:val="24"/>
          <w:szCs w:val="24"/>
        </w:rPr>
        <w:t>rule of law</w:t>
      </w:r>
      <w:r>
        <w:rPr>
          <w:sz w:val="24"/>
          <w:szCs w:val="24"/>
        </w:rPr>
        <w:t>’</w:t>
      </w:r>
      <w:r w:rsidRPr="00A84A20">
        <w:rPr>
          <w:sz w:val="24"/>
          <w:szCs w:val="24"/>
        </w:rPr>
        <w:t xml:space="preserve">, Hussain notes, is </w:t>
      </w:r>
      <w:r>
        <w:rPr>
          <w:sz w:val="24"/>
          <w:szCs w:val="24"/>
        </w:rPr>
        <w:t>‘</w:t>
      </w:r>
      <w:r w:rsidRPr="00A84A20">
        <w:rPr>
          <w:sz w:val="24"/>
          <w:szCs w:val="24"/>
        </w:rPr>
        <w:t>notoriously difficult to pin down</w:t>
      </w:r>
      <w:r>
        <w:rPr>
          <w:sz w:val="24"/>
          <w:szCs w:val="24"/>
        </w:rPr>
        <w:t>’</w:t>
      </w:r>
      <w:r w:rsidRPr="00A84A20">
        <w:rPr>
          <w:sz w:val="24"/>
          <w:szCs w:val="24"/>
        </w:rPr>
        <w:t xml:space="preserve">, since in addition to referring to government by fixed rules that apply to all it also </w:t>
      </w:r>
      <w:r>
        <w:rPr>
          <w:sz w:val="24"/>
          <w:szCs w:val="24"/>
        </w:rPr>
        <w:t>signifies</w:t>
      </w:r>
      <w:r w:rsidRPr="00A84A20">
        <w:rPr>
          <w:sz w:val="24"/>
          <w:szCs w:val="24"/>
        </w:rPr>
        <w:t xml:space="preserve"> ideals of justice and human dignity and </w:t>
      </w:r>
      <w:r>
        <w:rPr>
          <w:sz w:val="24"/>
          <w:szCs w:val="24"/>
        </w:rPr>
        <w:t>‘</w:t>
      </w:r>
      <w:r w:rsidRPr="00A84A20">
        <w:rPr>
          <w:sz w:val="24"/>
          <w:szCs w:val="24"/>
        </w:rPr>
        <w:t>the victory of reason over will, the universal over the contingent and idea over matter</w:t>
      </w:r>
      <w:r>
        <w:rPr>
          <w:sz w:val="24"/>
          <w:szCs w:val="24"/>
        </w:rPr>
        <w:t>’</w:t>
      </w:r>
      <w:r w:rsidRPr="00A84A20">
        <w:rPr>
          <w:sz w:val="24"/>
          <w:szCs w:val="24"/>
        </w:rPr>
        <w:t xml:space="preserve">. Hussain, </w:t>
      </w:r>
      <w:r>
        <w:rPr>
          <w:sz w:val="24"/>
          <w:szCs w:val="24"/>
        </w:rPr>
        <w:t>‘</w:t>
      </w:r>
      <w:r w:rsidRPr="00A84A20">
        <w:rPr>
          <w:sz w:val="24"/>
          <w:szCs w:val="24"/>
        </w:rPr>
        <w:t>Towards a Jurisprudence of Emergency</w:t>
      </w:r>
      <w:r>
        <w:rPr>
          <w:sz w:val="24"/>
          <w:szCs w:val="24"/>
        </w:rPr>
        <w:t>’,</w:t>
      </w:r>
      <w:r w:rsidRPr="00A84A20">
        <w:rPr>
          <w:sz w:val="24"/>
          <w:szCs w:val="24"/>
        </w:rPr>
        <w:t xml:space="preserve"> 96</w:t>
      </w:r>
      <w:r>
        <w:rPr>
          <w:sz w:val="24"/>
          <w:szCs w:val="24"/>
        </w:rPr>
        <w:t>-</w:t>
      </w:r>
      <w:r w:rsidRPr="00A84A20">
        <w:rPr>
          <w:sz w:val="24"/>
          <w:szCs w:val="24"/>
        </w:rPr>
        <w:t xml:space="preserve">97. See also Sandra </w:t>
      </w:r>
      <w:bookmarkStart w:id="37" w:name="_Hlk40948128"/>
      <w:r w:rsidRPr="00A84A20">
        <w:rPr>
          <w:sz w:val="24"/>
          <w:szCs w:val="24"/>
        </w:rPr>
        <w:t xml:space="preserve">den Otter, </w:t>
      </w:r>
      <w:r>
        <w:rPr>
          <w:sz w:val="24"/>
          <w:szCs w:val="24"/>
        </w:rPr>
        <w:t>‘</w:t>
      </w:r>
      <w:r w:rsidRPr="00A84A20">
        <w:rPr>
          <w:sz w:val="24"/>
          <w:szCs w:val="24"/>
        </w:rPr>
        <w:t xml:space="preserve">Law, Authority, </w:t>
      </w:r>
      <w:bookmarkEnd w:id="37"/>
      <w:r w:rsidRPr="00A84A20">
        <w:rPr>
          <w:sz w:val="24"/>
          <w:szCs w:val="24"/>
        </w:rPr>
        <w:t>and Colonial Rule</w:t>
      </w:r>
      <w:r>
        <w:rPr>
          <w:sz w:val="24"/>
          <w:szCs w:val="24"/>
        </w:rPr>
        <w:t>’</w:t>
      </w:r>
      <w:r w:rsidRPr="00A84A20">
        <w:rPr>
          <w:sz w:val="24"/>
          <w:szCs w:val="24"/>
        </w:rPr>
        <w:t xml:space="preserve">, </w:t>
      </w:r>
      <w:r>
        <w:rPr>
          <w:sz w:val="24"/>
          <w:szCs w:val="24"/>
        </w:rPr>
        <w:t xml:space="preserve">in </w:t>
      </w:r>
      <w:r w:rsidRPr="00414575">
        <w:rPr>
          <w:sz w:val="24"/>
          <w:szCs w:val="24"/>
        </w:rPr>
        <w:t>D</w:t>
      </w:r>
      <w:r>
        <w:rPr>
          <w:sz w:val="24"/>
          <w:szCs w:val="24"/>
        </w:rPr>
        <w:t>ouglas M.</w:t>
      </w:r>
      <w:r w:rsidRPr="00414575">
        <w:rPr>
          <w:sz w:val="24"/>
          <w:szCs w:val="24"/>
        </w:rPr>
        <w:t xml:space="preserve"> Peers and N</w:t>
      </w:r>
      <w:r>
        <w:rPr>
          <w:sz w:val="24"/>
          <w:szCs w:val="24"/>
        </w:rPr>
        <w:t>andini</w:t>
      </w:r>
      <w:r w:rsidRPr="00414575">
        <w:rPr>
          <w:sz w:val="24"/>
          <w:szCs w:val="24"/>
        </w:rPr>
        <w:t xml:space="preserve"> Gooptu</w:t>
      </w:r>
      <w:r>
        <w:rPr>
          <w:sz w:val="24"/>
          <w:szCs w:val="24"/>
        </w:rPr>
        <w:t xml:space="preserve"> (eds)</w:t>
      </w:r>
      <w:r w:rsidRPr="00414575">
        <w:rPr>
          <w:sz w:val="24"/>
          <w:szCs w:val="24"/>
        </w:rPr>
        <w:t xml:space="preserve">, </w:t>
      </w:r>
      <w:r w:rsidRPr="00414575">
        <w:rPr>
          <w:i/>
          <w:iCs/>
          <w:sz w:val="24"/>
          <w:szCs w:val="24"/>
        </w:rPr>
        <w:t>India and the British Empire</w:t>
      </w:r>
      <w:r w:rsidRPr="00414575">
        <w:rPr>
          <w:sz w:val="24"/>
          <w:szCs w:val="24"/>
        </w:rPr>
        <w:t xml:space="preserve"> (Oxford: Oxford University Press 2012), 168</w:t>
      </w:r>
      <w:r>
        <w:rPr>
          <w:sz w:val="24"/>
          <w:szCs w:val="24"/>
        </w:rPr>
        <w:t>-</w:t>
      </w:r>
      <w:r w:rsidRPr="00414575">
        <w:rPr>
          <w:sz w:val="24"/>
          <w:szCs w:val="24"/>
        </w:rPr>
        <w:t>90</w:t>
      </w:r>
      <w:r w:rsidRPr="00A84A20">
        <w:rPr>
          <w:sz w:val="24"/>
          <w:szCs w:val="24"/>
        </w:rPr>
        <w:t>.</w:t>
      </w:r>
    </w:p>
  </w:footnote>
  <w:footnote w:id="183">
    <w:p w14:paraId="36C62A74"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Comaroff, </w:t>
      </w:r>
      <w:r>
        <w:rPr>
          <w:rStyle w:val="given-names"/>
          <w:sz w:val="24"/>
          <w:szCs w:val="24"/>
          <w:bdr w:val="none" w:sz="0" w:space="0" w:color="auto" w:frame="1"/>
          <w:shd w:val="clear" w:color="auto" w:fill="FFFFFF"/>
        </w:rPr>
        <w:t>‘</w:t>
      </w:r>
      <w:r w:rsidRPr="00A84A20">
        <w:rPr>
          <w:rStyle w:val="article-title"/>
          <w:sz w:val="24"/>
          <w:szCs w:val="24"/>
          <w:bdr w:val="none" w:sz="0" w:space="0" w:color="auto" w:frame="1"/>
          <w:shd w:val="clear" w:color="auto" w:fill="FFFFFF"/>
        </w:rPr>
        <w:t>Governmentality, Materiality, Legality</w:t>
      </w:r>
      <w:r>
        <w:rPr>
          <w:sz w:val="24"/>
          <w:szCs w:val="24"/>
          <w:shd w:val="clear" w:color="auto" w:fill="FFFFFF"/>
        </w:rPr>
        <w:t>’ (n 161)</w:t>
      </w:r>
      <w:r w:rsidRPr="00A84A20">
        <w:rPr>
          <w:sz w:val="24"/>
          <w:szCs w:val="24"/>
          <w:shd w:val="clear" w:color="auto" w:fill="FFFFFF"/>
        </w:rPr>
        <w:t xml:space="preserve"> 127.</w:t>
      </w:r>
    </w:p>
  </w:footnote>
  <w:footnote w:id="184">
    <w:p w14:paraId="6B576E18"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Kumar, </w:t>
      </w:r>
      <w:r>
        <w:rPr>
          <w:sz w:val="24"/>
          <w:szCs w:val="24"/>
        </w:rPr>
        <w:t>‘</w:t>
      </w:r>
      <w:r w:rsidRPr="00A84A20">
        <w:rPr>
          <w:sz w:val="24"/>
          <w:szCs w:val="24"/>
        </w:rPr>
        <w:t>Police Matters</w:t>
      </w:r>
      <w:r>
        <w:rPr>
          <w:sz w:val="24"/>
          <w:szCs w:val="24"/>
        </w:rPr>
        <w:t xml:space="preserve">’ (n 61) </w:t>
      </w:r>
      <w:r w:rsidRPr="00A84A20">
        <w:rPr>
          <w:sz w:val="24"/>
          <w:szCs w:val="24"/>
        </w:rPr>
        <w:t>2.  The plurality of law in colonial India made such coherence impossible</w:t>
      </w:r>
      <w:r>
        <w:rPr>
          <w:sz w:val="24"/>
          <w:szCs w:val="24"/>
        </w:rPr>
        <w:t xml:space="preserve">, both </w:t>
      </w:r>
      <w:r w:rsidRPr="00A84A20">
        <w:rPr>
          <w:sz w:val="24"/>
          <w:szCs w:val="24"/>
        </w:rPr>
        <w:t>in terms of its admixture of alien and indigenous law</w:t>
      </w:r>
      <w:r>
        <w:rPr>
          <w:sz w:val="24"/>
          <w:szCs w:val="24"/>
        </w:rPr>
        <w:t xml:space="preserve"> and</w:t>
      </w:r>
      <w:r w:rsidRPr="00A84A20">
        <w:rPr>
          <w:sz w:val="24"/>
          <w:szCs w:val="24"/>
        </w:rPr>
        <w:t xml:space="preserve"> the legal diversity </w:t>
      </w:r>
      <w:r w:rsidRPr="00A84A20">
        <w:rPr>
          <w:i/>
          <w:iCs/>
          <w:sz w:val="24"/>
          <w:szCs w:val="24"/>
        </w:rPr>
        <w:t>within</w:t>
      </w:r>
      <w:r w:rsidRPr="00A84A20">
        <w:rPr>
          <w:sz w:val="24"/>
          <w:szCs w:val="24"/>
        </w:rPr>
        <w:t xml:space="preserve"> British colonial law (across time a</w:t>
      </w:r>
      <w:r>
        <w:rPr>
          <w:sz w:val="24"/>
          <w:szCs w:val="24"/>
        </w:rPr>
        <w:t>s well as</w:t>
      </w:r>
      <w:r w:rsidRPr="00A84A20">
        <w:rPr>
          <w:sz w:val="24"/>
          <w:szCs w:val="24"/>
        </w:rPr>
        <w:t xml:space="preserve"> space, such as in the differences between what were known as </w:t>
      </w:r>
      <w:r>
        <w:rPr>
          <w:sz w:val="24"/>
          <w:szCs w:val="24"/>
        </w:rPr>
        <w:t>‘</w:t>
      </w:r>
      <w:r w:rsidRPr="00A84A20">
        <w:rPr>
          <w:sz w:val="24"/>
          <w:szCs w:val="24"/>
        </w:rPr>
        <w:t>regulation</w:t>
      </w:r>
      <w:r>
        <w:rPr>
          <w:sz w:val="24"/>
          <w:szCs w:val="24"/>
        </w:rPr>
        <w:t>’</w:t>
      </w:r>
      <w:r w:rsidRPr="00A84A20">
        <w:rPr>
          <w:sz w:val="24"/>
          <w:szCs w:val="24"/>
        </w:rPr>
        <w:t xml:space="preserve"> versus </w:t>
      </w:r>
      <w:r>
        <w:rPr>
          <w:sz w:val="24"/>
          <w:szCs w:val="24"/>
        </w:rPr>
        <w:t>‘</w:t>
      </w:r>
      <w:r w:rsidRPr="00A84A20">
        <w:rPr>
          <w:sz w:val="24"/>
          <w:szCs w:val="24"/>
        </w:rPr>
        <w:t>non</w:t>
      </w:r>
      <w:r>
        <w:rPr>
          <w:sz w:val="24"/>
          <w:szCs w:val="24"/>
        </w:rPr>
        <w:t>-</w:t>
      </w:r>
      <w:r w:rsidRPr="00A84A20">
        <w:rPr>
          <w:sz w:val="24"/>
          <w:szCs w:val="24"/>
        </w:rPr>
        <w:t>regulation</w:t>
      </w:r>
      <w:r>
        <w:rPr>
          <w:sz w:val="24"/>
          <w:szCs w:val="24"/>
        </w:rPr>
        <w:t>’</w:t>
      </w:r>
      <w:r w:rsidRPr="00A84A20">
        <w:rPr>
          <w:sz w:val="24"/>
          <w:szCs w:val="24"/>
        </w:rPr>
        <w:t xml:space="preserve"> provinces) in regard to legislation as well as practice. See, for example, Benton, </w:t>
      </w:r>
      <w:r w:rsidRPr="00A84A20">
        <w:rPr>
          <w:i/>
          <w:iCs/>
          <w:sz w:val="24"/>
          <w:szCs w:val="24"/>
        </w:rPr>
        <w:t>A Search for Sovereignty</w:t>
      </w:r>
      <w:r>
        <w:rPr>
          <w:sz w:val="24"/>
          <w:szCs w:val="24"/>
        </w:rPr>
        <w:t xml:space="preserve"> (n 58)</w:t>
      </w:r>
      <w:r w:rsidRPr="00A84A20">
        <w:rPr>
          <w:sz w:val="24"/>
          <w:szCs w:val="24"/>
        </w:rPr>
        <w:t xml:space="preserve"> 239</w:t>
      </w:r>
      <w:r>
        <w:rPr>
          <w:sz w:val="24"/>
          <w:szCs w:val="24"/>
        </w:rPr>
        <w:t>-</w:t>
      </w:r>
      <w:r w:rsidRPr="00A84A20">
        <w:rPr>
          <w:sz w:val="24"/>
          <w:szCs w:val="24"/>
        </w:rPr>
        <w:t>65.</w:t>
      </w:r>
    </w:p>
  </w:footnote>
  <w:footnote w:id="185">
    <w:p w14:paraId="14277347" w14:textId="77777777" w:rsidR="00997966" w:rsidRPr="00A84A20" w:rsidRDefault="00997966" w:rsidP="00997966">
      <w:pPr>
        <w:pStyle w:val="FootnoteText"/>
        <w:spacing w:line="480" w:lineRule="auto"/>
        <w:rPr>
          <w:bCs/>
          <w:sz w:val="24"/>
          <w:szCs w:val="24"/>
        </w:rPr>
      </w:pPr>
      <w:r w:rsidRPr="00A84A20">
        <w:rPr>
          <w:rStyle w:val="FootnoteReference"/>
          <w:sz w:val="24"/>
          <w:szCs w:val="24"/>
        </w:rPr>
        <w:footnoteRef/>
      </w:r>
      <w:r w:rsidRPr="00A84A20">
        <w:rPr>
          <w:sz w:val="24"/>
          <w:szCs w:val="24"/>
        </w:rPr>
        <w:t xml:space="preserve"> Saha, </w:t>
      </w:r>
      <w:r>
        <w:rPr>
          <w:sz w:val="24"/>
          <w:szCs w:val="24"/>
        </w:rPr>
        <w:t>‘</w:t>
      </w:r>
      <w:r w:rsidRPr="00A84A20">
        <w:rPr>
          <w:sz w:val="24"/>
          <w:szCs w:val="24"/>
        </w:rPr>
        <w:t>A Mockery of Justice</w:t>
      </w:r>
      <w:r>
        <w:rPr>
          <w:sz w:val="24"/>
          <w:szCs w:val="24"/>
        </w:rPr>
        <w:t>’</w:t>
      </w:r>
      <w:r w:rsidRPr="00A84A20">
        <w:rPr>
          <w:sz w:val="24"/>
          <w:szCs w:val="24"/>
        </w:rPr>
        <w:t xml:space="preserve">, 190; see also Comaroff, </w:t>
      </w:r>
      <w:r>
        <w:rPr>
          <w:bCs/>
          <w:sz w:val="24"/>
          <w:szCs w:val="24"/>
        </w:rPr>
        <w:t>‘</w:t>
      </w:r>
      <w:r w:rsidRPr="00A84A20">
        <w:rPr>
          <w:bCs/>
          <w:sz w:val="24"/>
          <w:szCs w:val="24"/>
        </w:rPr>
        <w:t>Colonialism, Culture and Law</w:t>
      </w:r>
      <w:r>
        <w:rPr>
          <w:bCs/>
          <w:sz w:val="24"/>
          <w:szCs w:val="24"/>
        </w:rPr>
        <w:t>’ (n 62)</w:t>
      </w:r>
      <w:r w:rsidRPr="00A84A20">
        <w:rPr>
          <w:bCs/>
          <w:sz w:val="24"/>
          <w:szCs w:val="24"/>
        </w:rPr>
        <w:t xml:space="preserve">. </w:t>
      </w:r>
      <w:r w:rsidRPr="00A84A20">
        <w:rPr>
          <w:sz w:val="24"/>
          <w:szCs w:val="24"/>
        </w:rPr>
        <w:t>For scholarship on colonial India that does examine practices of law</w:t>
      </w:r>
      <w:r>
        <w:rPr>
          <w:sz w:val="24"/>
          <w:szCs w:val="24"/>
        </w:rPr>
        <w:t xml:space="preserve"> see</w:t>
      </w:r>
      <w:r w:rsidRPr="00A84A20">
        <w:rPr>
          <w:sz w:val="24"/>
          <w:szCs w:val="24"/>
        </w:rPr>
        <w:t xml:space="preserve">, for example, Radhika Singha, </w:t>
      </w:r>
      <w:r w:rsidRPr="00A84A20">
        <w:rPr>
          <w:bCs/>
          <w:i/>
          <w:sz w:val="24"/>
          <w:szCs w:val="24"/>
        </w:rPr>
        <w:t>A Despotism of Law: Crime and Justice in Early Colonial India</w:t>
      </w:r>
      <w:r w:rsidRPr="00A84A20">
        <w:rPr>
          <w:bCs/>
          <w:sz w:val="24"/>
          <w:szCs w:val="24"/>
        </w:rPr>
        <w:t xml:space="preserve"> (New Delhi: Oxford University Press 1998); </w:t>
      </w:r>
      <w:r w:rsidRPr="00A84A20">
        <w:rPr>
          <w:sz w:val="24"/>
          <w:szCs w:val="24"/>
        </w:rPr>
        <w:t xml:space="preserve">Indrani Chatterjee, </w:t>
      </w:r>
      <w:r w:rsidRPr="00A84A20">
        <w:rPr>
          <w:i/>
          <w:iCs/>
          <w:sz w:val="24"/>
          <w:szCs w:val="24"/>
        </w:rPr>
        <w:t>Gender, Slavery and Law in Colonial India</w:t>
      </w:r>
      <w:r w:rsidRPr="00A84A20">
        <w:rPr>
          <w:sz w:val="24"/>
          <w:szCs w:val="24"/>
        </w:rPr>
        <w:t xml:space="preserve"> (New Delhi: Oxford: Oxford University Press 1999); </w:t>
      </w:r>
      <w:r w:rsidRPr="00A84A20">
        <w:rPr>
          <w:bCs/>
          <w:sz w:val="24"/>
          <w:szCs w:val="24"/>
        </w:rPr>
        <w:t xml:space="preserve">Mahua Sarkar, </w:t>
      </w:r>
      <w:r w:rsidRPr="00A84A20">
        <w:rPr>
          <w:bCs/>
          <w:i/>
          <w:sz w:val="24"/>
          <w:szCs w:val="24"/>
        </w:rPr>
        <w:t>Justice in a Gothic Edifice: The Calcutta High Court and Colonial Rule in Bengal</w:t>
      </w:r>
      <w:r w:rsidRPr="00A84A20">
        <w:rPr>
          <w:bCs/>
          <w:sz w:val="24"/>
          <w:szCs w:val="24"/>
        </w:rPr>
        <w:t xml:space="preserve"> (Calcutta: Firma KLM Private Ltd 1997)</w:t>
      </w:r>
      <w:r w:rsidRPr="00A84A20">
        <w:rPr>
          <w:sz w:val="24"/>
          <w:szCs w:val="24"/>
        </w:rPr>
        <w:t xml:space="preserve">; Kolsky, </w:t>
      </w:r>
      <w:r w:rsidRPr="00A84A20">
        <w:rPr>
          <w:i/>
          <w:iCs/>
          <w:sz w:val="24"/>
          <w:szCs w:val="24"/>
        </w:rPr>
        <w:t>Colonial Justice</w:t>
      </w:r>
      <w:r>
        <w:rPr>
          <w:i/>
          <w:iCs/>
          <w:sz w:val="24"/>
          <w:szCs w:val="24"/>
        </w:rPr>
        <w:t xml:space="preserve"> </w:t>
      </w:r>
      <w:r>
        <w:rPr>
          <w:sz w:val="24"/>
          <w:szCs w:val="24"/>
        </w:rPr>
        <w:t>(n 75)</w:t>
      </w:r>
      <w:r w:rsidRPr="00A84A20">
        <w:rPr>
          <w:i/>
          <w:iCs/>
          <w:sz w:val="24"/>
          <w:szCs w:val="24"/>
        </w:rPr>
        <w:t xml:space="preserve">; </w:t>
      </w:r>
      <w:r w:rsidRPr="00A84A20">
        <w:rPr>
          <w:sz w:val="24"/>
          <w:szCs w:val="24"/>
        </w:rPr>
        <w:t xml:space="preserve">Mitra Sharafi, </w:t>
      </w:r>
      <w:r w:rsidRPr="00A84A20">
        <w:rPr>
          <w:i/>
          <w:iCs/>
          <w:sz w:val="24"/>
          <w:szCs w:val="24"/>
        </w:rPr>
        <w:t xml:space="preserve">Law and Identity in Colonial South Asia </w:t>
      </w:r>
      <w:r w:rsidRPr="00A84A20">
        <w:rPr>
          <w:sz w:val="24"/>
          <w:szCs w:val="24"/>
        </w:rPr>
        <w:t xml:space="preserve">(New York: Cambridge University Press 2014); Rachel Lara Sturman, </w:t>
      </w:r>
      <w:r w:rsidRPr="00A84A20">
        <w:rPr>
          <w:i/>
          <w:iCs/>
          <w:sz w:val="24"/>
          <w:szCs w:val="24"/>
        </w:rPr>
        <w:t>The Government of Social Life in Colonial India: Liberalism, Religious Law, and Women's Rights</w:t>
      </w:r>
      <w:r w:rsidRPr="00A84A20">
        <w:rPr>
          <w:sz w:val="24"/>
          <w:szCs w:val="24"/>
        </w:rPr>
        <w:t xml:space="preserve"> (New York: Cambridge University Press 2012); and Saha, </w:t>
      </w:r>
      <w:r w:rsidRPr="00A84A20">
        <w:rPr>
          <w:i/>
          <w:iCs/>
          <w:sz w:val="24"/>
          <w:szCs w:val="24"/>
        </w:rPr>
        <w:t>Law, Disorder and the Colonial State</w:t>
      </w:r>
      <w:r>
        <w:rPr>
          <w:i/>
          <w:iCs/>
          <w:sz w:val="24"/>
          <w:szCs w:val="24"/>
        </w:rPr>
        <w:t xml:space="preserve"> </w:t>
      </w:r>
      <w:r>
        <w:rPr>
          <w:sz w:val="24"/>
          <w:szCs w:val="24"/>
        </w:rPr>
        <w:t>(n 158)</w:t>
      </w:r>
      <w:r w:rsidRPr="00A84A20">
        <w:rPr>
          <w:i/>
          <w:iCs/>
          <w:sz w:val="24"/>
          <w:szCs w:val="24"/>
        </w:rPr>
        <w:t>.</w:t>
      </w:r>
    </w:p>
  </w:footnote>
  <w:footnote w:id="186">
    <w:p w14:paraId="487E1547" w14:textId="77777777" w:rsidR="00997966" w:rsidRPr="00BD1238"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It is for this reason, as Taylor Sherman </w:t>
      </w:r>
      <w:r>
        <w:rPr>
          <w:sz w:val="24"/>
          <w:szCs w:val="24"/>
        </w:rPr>
        <w:t>contend</w:t>
      </w:r>
      <w:r w:rsidRPr="00A84A20">
        <w:rPr>
          <w:sz w:val="24"/>
          <w:szCs w:val="24"/>
        </w:rPr>
        <w:t xml:space="preserve">s, that defining colonial violence against a purportedly just </w:t>
      </w:r>
      <w:r>
        <w:rPr>
          <w:sz w:val="24"/>
          <w:szCs w:val="24"/>
        </w:rPr>
        <w:t>‘</w:t>
      </w:r>
      <w:r w:rsidRPr="00A84A20">
        <w:rPr>
          <w:sz w:val="24"/>
          <w:szCs w:val="24"/>
        </w:rPr>
        <w:t>rule of law</w:t>
      </w:r>
      <w:r>
        <w:rPr>
          <w:sz w:val="24"/>
          <w:szCs w:val="24"/>
        </w:rPr>
        <w:t>’</w:t>
      </w:r>
      <w:r w:rsidRPr="00A84A20">
        <w:rPr>
          <w:sz w:val="24"/>
          <w:szCs w:val="24"/>
        </w:rPr>
        <w:t xml:space="preserve"> is problematic. Sherman, </w:t>
      </w:r>
      <w:r w:rsidRPr="00A84A20">
        <w:rPr>
          <w:i/>
          <w:iCs/>
          <w:sz w:val="24"/>
          <w:szCs w:val="24"/>
        </w:rPr>
        <w:t xml:space="preserve">State Violence </w:t>
      </w:r>
      <w:r>
        <w:rPr>
          <w:sz w:val="24"/>
          <w:szCs w:val="24"/>
        </w:rPr>
        <w:t>(n 88)</w:t>
      </w:r>
      <w:r w:rsidRPr="00A84A20">
        <w:rPr>
          <w:sz w:val="24"/>
          <w:szCs w:val="24"/>
        </w:rPr>
        <w:t xml:space="preserve"> 174. </w:t>
      </w:r>
      <w:r w:rsidRPr="00A84A20">
        <w:rPr>
          <w:color w:val="000000"/>
          <w:sz w:val="24"/>
          <w:szCs w:val="24"/>
        </w:rPr>
        <w:t>See also Austin Sarat and Thomas R. Kearns,</w:t>
      </w:r>
      <w:r>
        <w:rPr>
          <w:sz w:val="24"/>
          <w:szCs w:val="24"/>
        </w:rPr>
        <w:t xml:space="preserve"> ‘</w:t>
      </w:r>
      <w:r w:rsidRPr="00A84A20">
        <w:rPr>
          <w:sz w:val="24"/>
          <w:szCs w:val="24"/>
        </w:rPr>
        <w:t>A Journey Through Forgetting: Towards a Jurisprudence of Violence</w:t>
      </w:r>
      <w:r>
        <w:rPr>
          <w:sz w:val="24"/>
          <w:szCs w:val="24"/>
        </w:rPr>
        <w:t>’</w:t>
      </w:r>
      <w:r w:rsidRPr="00A84A20">
        <w:rPr>
          <w:sz w:val="24"/>
          <w:szCs w:val="24"/>
        </w:rPr>
        <w:t xml:space="preserve">, in Austin Sarat and Thomas R. Kearns (eds), </w:t>
      </w:r>
      <w:r w:rsidRPr="00A84A20">
        <w:rPr>
          <w:i/>
          <w:iCs/>
          <w:sz w:val="24"/>
          <w:szCs w:val="24"/>
        </w:rPr>
        <w:t xml:space="preserve">The Fate of Law </w:t>
      </w:r>
      <w:r w:rsidRPr="00A84A20">
        <w:rPr>
          <w:sz w:val="24"/>
          <w:szCs w:val="24"/>
        </w:rPr>
        <w:t>(Ann Arbor: University of Michigan Press 1991)</w:t>
      </w:r>
      <w:r>
        <w:rPr>
          <w:sz w:val="24"/>
          <w:szCs w:val="24"/>
        </w:rPr>
        <w:t>; Austin Sarat and Thomas R. Kearns (eds),</w:t>
      </w:r>
      <w:r w:rsidRPr="00A84A20">
        <w:rPr>
          <w:color w:val="000000"/>
          <w:sz w:val="24"/>
          <w:szCs w:val="24"/>
        </w:rPr>
        <w:t xml:space="preserve"> </w:t>
      </w:r>
      <w:r w:rsidRPr="00A84A20">
        <w:rPr>
          <w:i/>
          <w:iCs/>
          <w:color w:val="000000"/>
          <w:sz w:val="24"/>
          <w:szCs w:val="24"/>
        </w:rPr>
        <w:t xml:space="preserve">Law’s Violence </w:t>
      </w:r>
      <w:r w:rsidRPr="00A84A20">
        <w:rPr>
          <w:color w:val="000000"/>
          <w:sz w:val="24"/>
          <w:szCs w:val="24"/>
        </w:rPr>
        <w:t>(Ann Arbor: University of Michigan Press 1992)</w:t>
      </w:r>
      <w:r>
        <w:rPr>
          <w:color w:val="000000"/>
          <w:sz w:val="24"/>
          <w:szCs w:val="24"/>
        </w:rPr>
        <w:t xml:space="preserve">; </w:t>
      </w:r>
      <w:r w:rsidRPr="00A84A20">
        <w:rPr>
          <w:sz w:val="24"/>
          <w:szCs w:val="24"/>
        </w:rPr>
        <w:t xml:space="preserve">Austin </w:t>
      </w:r>
      <w:bookmarkStart w:id="38" w:name="_Hlk38392131"/>
      <w:r w:rsidRPr="00A84A20">
        <w:rPr>
          <w:sz w:val="24"/>
          <w:szCs w:val="24"/>
        </w:rPr>
        <w:t xml:space="preserve">Sarat, </w:t>
      </w:r>
      <w:r>
        <w:rPr>
          <w:sz w:val="24"/>
          <w:szCs w:val="24"/>
        </w:rPr>
        <w:t>‘</w:t>
      </w:r>
      <w:r w:rsidRPr="00A84A20">
        <w:rPr>
          <w:sz w:val="24"/>
          <w:szCs w:val="24"/>
        </w:rPr>
        <w:t>Situating Law</w:t>
      </w:r>
      <w:bookmarkEnd w:id="38"/>
      <w:r w:rsidRPr="00A84A20">
        <w:rPr>
          <w:sz w:val="24"/>
          <w:szCs w:val="24"/>
        </w:rPr>
        <w:t xml:space="preserve"> Between the Realities of Violence and the Claims of Justice</w:t>
      </w:r>
      <w:r>
        <w:rPr>
          <w:sz w:val="24"/>
          <w:szCs w:val="24"/>
        </w:rPr>
        <w:t>’</w:t>
      </w:r>
      <w:r w:rsidRPr="00A84A20">
        <w:rPr>
          <w:sz w:val="24"/>
          <w:szCs w:val="24"/>
        </w:rPr>
        <w:t xml:space="preserve">, in </w:t>
      </w:r>
      <w:r w:rsidRPr="00591C5C">
        <w:rPr>
          <w:sz w:val="24"/>
          <w:szCs w:val="24"/>
        </w:rPr>
        <w:t xml:space="preserve">Austin Sarat (ed.), </w:t>
      </w:r>
      <w:r w:rsidRPr="00591C5C">
        <w:rPr>
          <w:i/>
          <w:iCs/>
          <w:sz w:val="24"/>
          <w:szCs w:val="24"/>
        </w:rPr>
        <w:t xml:space="preserve">Law, Violence, and the Possibility of Justice </w:t>
      </w:r>
      <w:r w:rsidRPr="00591C5C">
        <w:rPr>
          <w:sz w:val="24"/>
          <w:szCs w:val="24"/>
        </w:rPr>
        <w:t>(Princeton and Oxford: Princeton University Press 2001), 3</w:t>
      </w:r>
      <w:r>
        <w:rPr>
          <w:sz w:val="24"/>
          <w:szCs w:val="24"/>
        </w:rPr>
        <w:t>-</w:t>
      </w:r>
      <w:r w:rsidRPr="00591C5C">
        <w:rPr>
          <w:sz w:val="24"/>
          <w:szCs w:val="24"/>
        </w:rPr>
        <w:t>16</w:t>
      </w:r>
      <w:r>
        <w:rPr>
          <w:sz w:val="24"/>
          <w:szCs w:val="24"/>
        </w:rPr>
        <w:t xml:space="preserve"> (hereafter Sarat, ‘Situating Law’)</w:t>
      </w:r>
      <w:r w:rsidRPr="00A84A20">
        <w:rPr>
          <w:sz w:val="24"/>
          <w:szCs w:val="24"/>
        </w:rPr>
        <w:t xml:space="preserve">; </w:t>
      </w:r>
      <w:r w:rsidRPr="00A84A20">
        <w:rPr>
          <w:color w:val="000000"/>
          <w:sz w:val="24"/>
          <w:szCs w:val="24"/>
        </w:rPr>
        <w:t xml:space="preserve">Austin Sarat (ed.), </w:t>
      </w:r>
      <w:r w:rsidRPr="00A84A20">
        <w:rPr>
          <w:i/>
          <w:iCs/>
          <w:color w:val="000000"/>
          <w:sz w:val="24"/>
          <w:szCs w:val="24"/>
        </w:rPr>
        <w:t xml:space="preserve">Pain, Death, and the Law </w:t>
      </w:r>
      <w:r w:rsidRPr="00A84A20">
        <w:rPr>
          <w:color w:val="000000"/>
          <w:sz w:val="24"/>
          <w:szCs w:val="24"/>
        </w:rPr>
        <w:t xml:space="preserve">(Ann Arbor: University of Michigan Press 2001); and Benjamin, </w:t>
      </w:r>
      <w:r>
        <w:rPr>
          <w:sz w:val="24"/>
          <w:szCs w:val="24"/>
        </w:rPr>
        <w:t>‘</w:t>
      </w:r>
      <w:r w:rsidRPr="00A84A20">
        <w:rPr>
          <w:sz w:val="24"/>
          <w:szCs w:val="24"/>
        </w:rPr>
        <w:t>Critique of Violence</w:t>
      </w:r>
      <w:r>
        <w:rPr>
          <w:sz w:val="24"/>
          <w:szCs w:val="24"/>
        </w:rPr>
        <w:t>’ (n 53)</w:t>
      </w:r>
      <w:r w:rsidRPr="00A84A20">
        <w:rPr>
          <w:color w:val="000000"/>
          <w:sz w:val="24"/>
          <w:szCs w:val="24"/>
        </w:rPr>
        <w:t>.</w:t>
      </w:r>
    </w:p>
  </w:footnote>
  <w:footnote w:id="187">
    <w:p w14:paraId="28031E42"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Sarat, </w:t>
      </w:r>
      <w:r>
        <w:rPr>
          <w:sz w:val="24"/>
          <w:szCs w:val="24"/>
        </w:rPr>
        <w:t>‘</w:t>
      </w:r>
      <w:r w:rsidRPr="00A84A20">
        <w:rPr>
          <w:sz w:val="24"/>
          <w:szCs w:val="24"/>
        </w:rPr>
        <w:t>Situating Law</w:t>
      </w:r>
      <w:r>
        <w:rPr>
          <w:sz w:val="24"/>
          <w:szCs w:val="24"/>
        </w:rPr>
        <w:t>’ (n 187)</w:t>
      </w:r>
      <w:r w:rsidRPr="00A84A20">
        <w:rPr>
          <w:sz w:val="24"/>
          <w:szCs w:val="24"/>
        </w:rPr>
        <w:t xml:space="preserve"> 3.</w:t>
      </w:r>
    </w:p>
  </w:footnote>
  <w:footnote w:id="188">
    <w:p w14:paraId="1AAC9F2C"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Curry, </w:t>
      </w:r>
      <w:r w:rsidRPr="00A84A20">
        <w:rPr>
          <w:i/>
          <w:iCs/>
          <w:sz w:val="24"/>
          <w:szCs w:val="24"/>
        </w:rPr>
        <w:t>The Indian Police</w:t>
      </w:r>
      <w:r>
        <w:rPr>
          <w:sz w:val="24"/>
          <w:szCs w:val="24"/>
        </w:rPr>
        <w:t xml:space="preserve"> (n 141) </w:t>
      </w:r>
      <w:r w:rsidRPr="00A84A20">
        <w:rPr>
          <w:sz w:val="24"/>
          <w:szCs w:val="24"/>
        </w:rPr>
        <w:t xml:space="preserve">9. See also Ranabir Samaddar, </w:t>
      </w:r>
      <w:r>
        <w:rPr>
          <w:sz w:val="24"/>
          <w:szCs w:val="24"/>
        </w:rPr>
        <w:t>‘</w:t>
      </w:r>
      <w:r w:rsidRPr="00A84A20">
        <w:rPr>
          <w:sz w:val="24"/>
          <w:szCs w:val="24"/>
        </w:rPr>
        <w:t>Law and Terror in the Age of Colonial Constitution Making</w:t>
      </w:r>
      <w:r>
        <w:rPr>
          <w:sz w:val="24"/>
          <w:szCs w:val="24"/>
        </w:rPr>
        <w:t>’</w:t>
      </w:r>
      <w:r w:rsidRPr="00A84A20">
        <w:rPr>
          <w:sz w:val="24"/>
          <w:szCs w:val="24"/>
        </w:rPr>
        <w:t xml:space="preserve">, </w:t>
      </w:r>
      <w:r w:rsidRPr="00A84A20">
        <w:rPr>
          <w:i/>
          <w:iCs/>
          <w:sz w:val="24"/>
          <w:szCs w:val="24"/>
        </w:rPr>
        <w:t>Diogenes</w:t>
      </w:r>
      <w:r w:rsidRPr="00A84A20">
        <w:rPr>
          <w:sz w:val="24"/>
          <w:szCs w:val="24"/>
        </w:rPr>
        <w:t xml:space="preserve"> 212 (2006), 52</w:t>
      </w:r>
      <w:r>
        <w:rPr>
          <w:sz w:val="24"/>
          <w:szCs w:val="24"/>
        </w:rPr>
        <w:t>;</w:t>
      </w:r>
      <w:r w:rsidRPr="00A84A20">
        <w:rPr>
          <w:sz w:val="24"/>
          <w:szCs w:val="24"/>
        </w:rPr>
        <w:t xml:space="preserve"> and Michael Taussig, </w:t>
      </w:r>
      <w:r>
        <w:rPr>
          <w:sz w:val="24"/>
          <w:szCs w:val="24"/>
        </w:rPr>
        <w:t>‘</w:t>
      </w:r>
      <w:r w:rsidRPr="00A84A20">
        <w:rPr>
          <w:sz w:val="24"/>
          <w:szCs w:val="24"/>
        </w:rPr>
        <w:t>The Injustice of Policing: Prehistory and Rectitude</w:t>
      </w:r>
      <w:r>
        <w:rPr>
          <w:sz w:val="24"/>
          <w:szCs w:val="24"/>
        </w:rPr>
        <w:t>’</w:t>
      </w:r>
      <w:r w:rsidRPr="00A84A20">
        <w:rPr>
          <w:sz w:val="24"/>
          <w:szCs w:val="24"/>
        </w:rPr>
        <w:t>, in Austin Sarat and Thomas Kearns (eds</w:t>
      </w:r>
      <w:r>
        <w:rPr>
          <w:sz w:val="24"/>
          <w:szCs w:val="24"/>
        </w:rPr>
        <w:t>),</w:t>
      </w:r>
      <w:r w:rsidRPr="00A84A20">
        <w:rPr>
          <w:sz w:val="24"/>
          <w:szCs w:val="24"/>
        </w:rPr>
        <w:t xml:space="preserve"> </w:t>
      </w:r>
      <w:r w:rsidRPr="00A84A20">
        <w:rPr>
          <w:i/>
          <w:iCs/>
          <w:sz w:val="24"/>
          <w:szCs w:val="24"/>
        </w:rPr>
        <w:t>Justice and Injustice in Law and legal Theory</w:t>
      </w:r>
      <w:r w:rsidRPr="00A84A20">
        <w:rPr>
          <w:sz w:val="24"/>
          <w:szCs w:val="24"/>
        </w:rPr>
        <w:t xml:space="preserve"> (Ann Arbor: the University of Michigan Press, 1996), 24</w:t>
      </w:r>
      <w:r>
        <w:rPr>
          <w:sz w:val="24"/>
          <w:szCs w:val="24"/>
        </w:rPr>
        <w:t xml:space="preserve"> (hereafter Taussig, ‘The Injustice of Policing’)</w:t>
      </w:r>
      <w:r w:rsidRPr="00A84A20">
        <w:rPr>
          <w:sz w:val="24"/>
          <w:szCs w:val="24"/>
        </w:rPr>
        <w:t>.</w:t>
      </w:r>
    </w:p>
  </w:footnote>
  <w:footnote w:id="189">
    <w:p w14:paraId="6B63229D"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As Michael Taussig </w:t>
      </w:r>
      <w:r>
        <w:rPr>
          <w:sz w:val="24"/>
          <w:szCs w:val="24"/>
        </w:rPr>
        <w:t>suggests</w:t>
      </w:r>
      <w:r w:rsidRPr="00A84A20">
        <w:rPr>
          <w:sz w:val="24"/>
          <w:szCs w:val="24"/>
        </w:rPr>
        <w:t>, theatrical performance</w:t>
      </w:r>
      <w:r>
        <w:rPr>
          <w:sz w:val="24"/>
          <w:szCs w:val="24"/>
        </w:rPr>
        <w:t xml:space="preserve">, </w:t>
      </w:r>
      <w:r w:rsidRPr="00A84A20">
        <w:rPr>
          <w:sz w:val="24"/>
          <w:szCs w:val="24"/>
        </w:rPr>
        <w:t xml:space="preserve">in which the courtroom </w:t>
      </w:r>
      <w:r>
        <w:rPr>
          <w:sz w:val="24"/>
          <w:szCs w:val="24"/>
        </w:rPr>
        <w:t>functions</w:t>
      </w:r>
      <w:r w:rsidRPr="00A84A20">
        <w:rPr>
          <w:sz w:val="24"/>
          <w:szCs w:val="24"/>
        </w:rPr>
        <w:t xml:space="preserve"> as the play within the play</w:t>
      </w:r>
      <w:r>
        <w:rPr>
          <w:sz w:val="24"/>
          <w:szCs w:val="24"/>
        </w:rPr>
        <w:t>,</w:t>
      </w:r>
      <w:r w:rsidRPr="00A84A20">
        <w:rPr>
          <w:sz w:val="24"/>
          <w:szCs w:val="24"/>
        </w:rPr>
        <w:t xml:space="preserve"> </w:t>
      </w:r>
      <w:r>
        <w:rPr>
          <w:sz w:val="24"/>
          <w:szCs w:val="24"/>
        </w:rPr>
        <w:t>‘</w:t>
      </w:r>
      <w:r w:rsidRPr="00A84A20">
        <w:rPr>
          <w:sz w:val="24"/>
          <w:szCs w:val="24"/>
        </w:rPr>
        <w:t>sets the stage for the recurring drama of force and fraud at the heart of the system of justice</w:t>
      </w:r>
      <w:r>
        <w:rPr>
          <w:sz w:val="24"/>
          <w:szCs w:val="24"/>
        </w:rPr>
        <w:t>’</w:t>
      </w:r>
      <w:r w:rsidRPr="00A84A20">
        <w:rPr>
          <w:sz w:val="24"/>
          <w:szCs w:val="24"/>
        </w:rPr>
        <w:t xml:space="preserve">. Taussig, </w:t>
      </w:r>
      <w:r>
        <w:rPr>
          <w:sz w:val="24"/>
          <w:szCs w:val="24"/>
        </w:rPr>
        <w:t>‘</w:t>
      </w:r>
      <w:r w:rsidRPr="00A84A20">
        <w:rPr>
          <w:sz w:val="24"/>
          <w:szCs w:val="24"/>
        </w:rPr>
        <w:t>The Injustice of Policing</w:t>
      </w:r>
      <w:r>
        <w:rPr>
          <w:sz w:val="24"/>
          <w:szCs w:val="24"/>
        </w:rPr>
        <w:t>’ (n 187)</w:t>
      </w:r>
      <w:r w:rsidRPr="00A84A20">
        <w:rPr>
          <w:sz w:val="24"/>
          <w:szCs w:val="24"/>
        </w:rPr>
        <w:t xml:space="preserve"> 24.</w:t>
      </w:r>
    </w:p>
  </w:footnote>
  <w:footnote w:id="190">
    <w:p w14:paraId="5533D3C0" w14:textId="77777777" w:rsidR="00997966" w:rsidRPr="00A84A20" w:rsidRDefault="00997966" w:rsidP="00997966">
      <w:pPr>
        <w:pStyle w:val="FootnoteText"/>
        <w:spacing w:line="480" w:lineRule="auto"/>
        <w:rPr>
          <w:color w:val="000000"/>
          <w:sz w:val="24"/>
          <w:szCs w:val="24"/>
          <w:shd w:val="clear" w:color="auto" w:fill="FFFFFF"/>
        </w:rPr>
      </w:pPr>
      <w:r w:rsidRPr="00A84A20">
        <w:rPr>
          <w:rStyle w:val="FootnoteReference"/>
          <w:sz w:val="24"/>
          <w:szCs w:val="24"/>
        </w:rPr>
        <w:footnoteRef/>
      </w:r>
      <w:r w:rsidRPr="00A84A20">
        <w:rPr>
          <w:sz w:val="24"/>
          <w:szCs w:val="24"/>
        </w:rPr>
        <w:t xml:space="preserve"> </w:t>
      </w:r>
      <w:r w:rsidRPr="00A84A20">
        <w:rPr>
          <w:color w:val="000000"/>
          <w:sz w:val="24"/>
          <w:szCs w:val="24"/>
          <w:shd w:val="clear" w:color="auto" w:fill="FFFFFF"/>
        </w:rPr>
        <w:t xml:space="preserve">Robert Carstairs, </w:t>
      </w:r>
      <w:r w:rsidRPr="00A84A20">
        <w:rPr>
          <w:i/>
          <w:iCs/>
          <w:color w:val="000000"/>
          <w:sz w:val="24"/>
          <w:szCs w:val="24"/>
          <w:shd w:val="clear" w:color="auto" w:fill="FFFFFF"/>
        </w:rPr>
        <w:t xml:space="preserve">The Little World of an Indian District Officer </w:t>
      </w:r>
      <w:r w:rsidRPr="00A84A20">
        <w:rPr>
          <w:color w:val="000000"/>
          <w:sz w:val="24"/>
          <w:szCs w:val="24"/>
          <w:shd w:val="clear" w:color="auto" w:fill="FFFFFF"/>
        </w:rPr>
        <w:t xml:space="preserve">(London: Macmillan and Co., 1912), 27. </w:t>
      </w:r>
    </w:p>
  </w:footnote>
  <w:footnote w:id="191">
    <w:p w14:paraId="404F4A30"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The British, Rande Kostal </w:t>
      </w:r>
      <w:r>
        <w:rPr>
          <w:sz w:val="24"/>
          <w:szCs w:val="24"/>
        </w:rPr>
        <w:t>puts it</w:t>
      </w:r>
      <w:r w:rsidRPr="00A84A20">
        <w:rPr>
          <w:sz w:val="24"/>
          <w:szCs w:val="24"/>
        </w:rPr>
        <w:t xml:space="preserve">, had </w:t>
      </w:r>
      <w:r>
        <w:rPr>
          <w:sz w:val="24"/>
          <w:szCs w:val="24"/>
        </w:rPr>
        <w:t>‘</w:t>
      </w:r>
      <w:r w:rsidRPr="00A84A20">
        <w:rPr>
          <w:sz w:val="24"/>
          <w:szCs w:val="24"/>
        </w:rPr>
        <w:t xml:space="preserve">a deeply ingrained deference to the </w:t>
      </w:r>
      <w:r w:rsidRPr="00A84A20">
        <w:rPr>
          <w:i/>
          <w:iCs/>
          <w:sz w:val="24"/>
          <w:szCs w:val="24"/>
        </w:rPr>
        <w:t>forms</w:t>
      </w:r>
      <w:r w:rsidRPr="00A84A20">
        <w:rPr>
          <w:sz w:val="24"/>
          <w:szCs w:val="24"/>
        </w:rPr>
        <w:t xml:space="preserve"> of law</w:t>
      </w:r>
      <w:r>
        <w:rPr>
          <w:sz w:val="24"/>
          <w:szCs w:val="24"/>
        </w:rPr>
        <w:t>’</w:t>
      </w:r>
      <w:r w:rsidRPr="00A84A20">
        <w:rPr>
          <w:sz w:val="24"/>
          <w:szCs w:val="24"/>
        </w:rPr>
        <w:t xml:space="preserve"> (emphasis added). Kostal, </w:t>
      </w:r>
      <w:r w:rsidRPr="00A84A20">
        <w:rPr>
          <w:i/>
          <w:iCs/>
          <w:sz w:val="24"/>
          <w:szCs w:val="24"/>
        </w:rPr>
        <w:t>A Jurisprudence of Power</w:t>
      </w:r>
      <w:r>
        <w:rPr>
          <w:i/>
          <w:iCs/>
          <w:sz w:val="24"/>
          <w:szCs w:val="24"/>
        </w:rPr>
        <w:t xml:space="preserve"> </w:t>
      </w:r>
      <w:r>
        <w:rPr>
          <w:sz w:val="24"/>
          <w:szCs w:val="24"/>
        </w:rPr>
        <w:t>(n 94)</w:t>
      </w:r>
      <w:r w:rsidRPr="00A84A20">
        <w:rPr>
          <w:i/>
          <w:iCs/>
          <w:sz w:val="24"/>
          <w:szCs w:val="24"/>
        </w:rPr>
        <w:t xml:space="preserve"> </w:t>
      </w:r>
      <w:r w:rsidRPr="00A84A20">
        <w:rPr>
          <w:sz w:val="24"/>
          <w:szCs w:val="24"/>
        </w:rPr>
        <w:t>7.</w:t>
      </w:r>
    </w:p>
  </w:footnote>
  <w:footnote w:id="192">
    <w:p w14:paraId="3CDDDA52" w14:textId="77777777" w:rsidR="00997966" w:rsidRPr="00A84A20" w:rsidRDefault="00997966" w:rsidP="00997966">
      <w:pPr>
        <w:pStyle w:val="FootnoteText"/>
        <w:spacing w:line="480" w:lineRule="auto"/>
        <w:rPr>
          <w:i/>
          <w:iCs/>
          <w:sz w:val="24"/>
          <w:szCs w:val="24"/>
        </w:rPr>
      </w:pPr>
      <w:r w:rsidRPr="00A84A20">
        <w:rPr>
          <w:rStyle w:val="FootnoteReference"/>
          <w:sz w:val="24"/>
          <w:szCs w:val="24"/>
        </w:rPr>
        <w:footnoteRef/>
      </w:r>
      <w:r w:rsidRPr="00A84A20">
        <w:rPr>
          <w:sz w:val="24"/>
          <w:szCs w:val="24"/>
        </w:rPr>
        <w:t xml:space="preserve"> Benton, </w:t>
      </w:r>
      <w:r w:rsidRPr="00A84A20">
        <w:rPr>
          <w:i/>
          <w:iCs/>
          <w:sz w:val="24"/>
          <w:szCs w:val="24"/>
        </w:rPr>
        <w:t>A Search for Sovereignty</w:t>
      </w:r>
      <w:r>
        <w:rPr>
          <w:i/>
          <w:iCs/>
          <w:sz w:val="24"/>
          <w:szCs w:val="24"/>
        </w:rPr>
        <w:t xml:space="preserve"> </w:t>
      </w:r>
      <w:r>
        <w:rPr>
          <w:sz w:val="24"/>
          <w:szCs w:val="24"/>
        </w:rPr>
        <w:t xml:space="preserve">(n 58) </w:t>
      </w:r>
      <w:r w:rsidRPr="00A84A20">
        <w:rPr>
          <w:sz w:val="24"/>
          <w:szCs w:val="24"/>
        </w:rPr>
        <w:t>238.</w:t>
      </w:r>
    </w:p>
  </w:footnote>
  <w:footnote w:id="193">
    <w:p w14:paraId="260D4F30"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Guha, </w:t>
      </w:r>
      <w:r w:rsidRPr="00A84A20">
        <w:rPr>
          <w:i/>
          <w:iCs/>
          <w:sz w:val="24"/>
          <w:szCs w:val="24"/>
        </w:rPr>
        <w:t>Dominance Without Hegemony</w:t>
      </w:r>
      <w:r>
        <w:rPr>
          <w:sz w:val="24"/>
          <w:szCs w:val="24"/>
        </w:rPr>
        <w:t xml:space="preserve"> (n 168)</w:t>
      </w:r>
      <w:r w:rsidRPr="00A84A20">
        <w:rPr>
          <w:sz w:val="24"/>
          <w:szCs w:val="24"/>
        </w:rPr>
        <w:t xml:space="preserve"> 67.</w:t>
      </w:r>
    </w:p>
  </w:footnote>
  <w:footnote w:id="194">
    <w:p w14:paraId="67A39E48"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William </w:t>
      </w:r>
      <w:bookmarkStart w:id="39" w:name="_Hlk38633963"/>
      <w:r w:rsidRPr="00A84A20">
        <w:rPr>
          <w:sz w:val="24"/>
          <w:szCs w:val="24"/>
        </w:rPr>
        <w:t xml:space="preserve">Rasch, </w:t>
      </w:r>
      <w:r>
        <w:rPr>
          <w:sz w:val="24"/>
          <w:szCs w:val="24"/>
        </w:rPr>
        <w:t>‘</w:t>
      </w:r>
      <w:r w:rsidRPr="00A84A20">
        <w:rPr>
          <w:sz w:val="24"/>
          <w:szCs w:val="24"/>
        </w:rPr>
        <w:t xml:space="preserve">From Sovereign Ban </w:t>
      </w:r>
      <w:bookmarkEnd w:id="39"/>
      <w:r w:rsidRPr="00A84A20">
        <w:rPr>
          <w:sz w:val="24"/>
          <w:szCs w:val="24"/>
        </w:rPr>
        <w:t>to Banning Sovereignty</w:t>
      </w:r>
      <w:r>
        <w:rPr>
          <w:sz w:val="24"/>
          <w:szCs w:val="24"/>
        </w:rPr>
        <w:t>’</w:t>
      </w:r>
      <w:r w:rsidRPr="00A84A20">
        <w:rPr>
          <w:sz w:val="24"/>
          <w:szCs w:val="24"/>
        </w:rPr>
        <w:t xml:space="preserve">, in Matthew Calarco and Steven DeCaroli (eds), </w:t>
      </w:r>
      <w:r w:rsidRPr="00A84A20">
        <w:rPr>
          <w:i/>
          <w:iCs/>
          <w:sz w:val="24"/>
          <w:szCs w:val="24"/>
        </w:rPr>
        <w:t xml:space="preserve">Giorgio Agamben: Sovereignty and Life </w:t>
      </w:r>
      <w:r w:rsidRPr="00A84A20">
        <w:rPr>
          <w:sz w:val="24"/>
          <w:szCs w:val="24"/>
        </w:rPr>
        <w:t xml:space="preserve">(Stanford: Stanford University Press 2007), 95. </w:t>
      </w:r>
    </w:p>
  </w:footnote>
  <w:footnote w:id="195">
    <w:p w14:paraId="0AFC12B1"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Condos, </w:t>
      </w:r>
      <w:r>
        <w:rPr>
          <w:sz w:val="24"/>
          <w:szCs w:val="24"/>
        </w:rPr>
        <w:t>‘</w:t>
      </w:r>
      <w:r w:rsidRPr="00A84A20">
        <w:rPr>
          <w:sz w:val="24"/>
          <w:szCs w:val="24"/>
        </w:rPr>
        <w:t>License to Kill</w:t>
      </w:r>
      <w:r>
        <w:rPr>
          <w:sz w:val="24"/>
          <w:szCs w:val="24"/>
        </w:rPr>
        <w:t>’ (n 94)</w:t>
      </w:r>
      <w:r w:rsidRPr="00A84A20">
        <w:rPr>
          <w:sz w:val="24"/>
          <w:szCs w:val="24"/>
        </w:rPr>
        <w:t xml:space="preserve"> 514.</w:t>
      </w:r>
    </w:p>
  </w:footnote>
  <w:footnote w:id="196">
    <w:p w14:paraId="0365BE50"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Hussain, </w:t>
      </w:r>
      <w:r>
        <w:rPr>
          <w:sz w:val="24"/>
          <w:szCs w:val="24"/>
        </w:rPr>
        <w:t>‘Towards a</w:t>
      </w:r>
      <w:r w:rsidRPr="00A84A20">
        <w:rPr>
          <w:sz w:val="24"/>
          <w:szCs w:val="24"/>
        </w:rPr>
        <w:t xml:space="preserve"> Jurisprudence of Emergency</w:t>
      </w:r>
      <w:r>
        <w:rPr>
          <w:sz w:val="24"/>
          <w:szCs w:val="24"/>
        </w:rPr>
        <w:t xml:space="preserve">’ (n 181) </w:t>
      </w:r>
      <w:r w:rsidRPr="00A84A20">
        <w:rPr>
          <w:sz w:val="24"/>
          <w:szCs w:val="24"/>
        </w:rPr>
        <w:t xml:space="preserve">101; and Benton, </w:t>
      </w:r>
      <w:r w:rsidRPr="00A84A20">
        <w:rPr>
          <w:i/>
          <w:iCs/>
          <w:sz w:val="24"/>
          <w:szCs w:val="24"/>
        </w:rPr>
        <w:t>A Search for Sovereignty</w:t>
      </w:r>
      <w:r>
        <w:rPr>
          <w:i/>
          <w:iCs/>
          <w:sz w:val="24"/>
          <w:szCs w:val="24"/>
        </w:rPr>
        <w:t xml:space="preserve"> </w:t>
      </w:r>
      <w:r>
        <w:rPr>
          <w:sz w:val="24"/>
          <w:szCs w:val="24"/>
        </w:rPr>
        <w:t xml:space="preserve">(n 58) </w:t>
      </w:r>
      <w:r w:rsidRPr="00A84A20">
        <w:rPr>
          <w:sz w:val="24"/>
          <w:szCs w:val="24"/>
        </w:rPr>
        <w:t>262.</w:t>
      </w:r>
    </w:p>
  </w:footnote>
  <w:footnote w:id="197">
    <w:p w14:paraId="7142A467"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Benton, </w:t>
      </w:r>
      <w:r w:rsidRPr="00A84A20">
        <w:rPr>
          <w:i/>
          <w:iCs/>
          <w:sz w:val="24"/>
          <w:szCs w:val="24"/>
        </w:rPr>
        <w:t>A Search for Sovereignty</w:t>
      </w:r>
      <w:r>
        <w:rPr>
          <w:sz w:val="24"/>
          <w:szCs w:val="24"/>
        </w:rPr>
        <w:t xml:space="preserve"> (n 58) </w:t>
      </w:r>
      <w:r w:rsidRPr="00A84A20">
        <w:rPr>
          <w:sz w:val="24"/>
          <w:szCs w:val="24"/>
        </w:rPr>
        <w:t xml:space="preserve">241. For Nasser Hussain what made colonial sovereignties unique was that emergency played such a crucial role in their constitution. Hussain, </w:t>
      </w:r>
      <w:r w:rsidRPr="00A84A20">
        <w:rPr>
          <w:i/>
          <w:iCs/>
          <w:sz w:val="24"/>
          <w:szCs w:val="24"/>
        </w:rPr>
        <w:t>The Jurisprudence of Emergency</w:t>
      </w:r>
      <w:r>
        <w:rPr>
          <w:i/>
          <w:iCs/>
          <w:sz w:val="24"/>
          <w:szCs w:val="24"/>
        </w:rPr>
        <w:t xml:space="preserve"> </w:t>
      </w:r>
      <w:r>
        <w:rPr>
          <w:sz w:val="24"/>
          <w:szCs w:val="24"/>
        </w:rPr>
        <w:t>(n 58)</w:t>
      </w:r>
      <w:r w:rsidRPr="00A84A20">
        <w:rPr>
          <w:sz w:val="24"/>
          <w:szCs w:val="24"/>
        </w:rPr>
        <w:t>.</w:t>
      </w:r>
    </w:p>
  </w:footnote>
  <w:footnote w:id="198">
    <w:p w14:paraId="24A9FD1A"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Santana Khanikar charts a similar process for post</w:t>
      </w:r>
      <w:r>
        <w:rPr>
          <w:sz w:val="24"/>
          <w:szCs w:val="24"/>
        </w:rPr>
        <w:t>-</w:t>
      </w:r>
      <w:r w:rsidRPr="00A84A20">
        <w:rPr>
          <w:sz w:val="24"/>
          <w:szCs w:val="24"/>
        </w:rPr>
        <w:t>colonial India</w:t>
      </w:r>
      <w:r>
        <w:rPr>
          <w:sz w:val="24"/>
          <w:szCs w:val="24"/>
        </w:rPr>
        <w:t>,</w:t>
      </w:r>
      <w:r w:rsidRPr="00A84A20">
        <w:rPr>
          <w:sz w:val="24"/>
          <w:szCs w:val="24"/>
        </w:rPr>
        <w:t xml:space="preserve"> one in which </w:t>
      </w:r>
      <w:r>
        <w:rPr>
          <w:sz w:val="24"/>
          <w:szCs w:val="24"/>
        </w:rPr>
        <w:t>‘</w:t>
      </w:r>
      <w:r w:rsidRPr="00A84A20">
        <w:rPr>
          <w:sz w:val="24"/>
          <w:szCs w:val="24"/>
        </w:rPr>
        <w:t>extraordinarity</w:t>
      </w:r>
      <w:r>
        <w:rPr>
          <w:sz w:val="24"/>
          <w:szCs w:val="24"/>
        </w:rPr>
        <w:t>’</w:t>
      </w:r>
      <w:r w:rsidRPr="00A84A20">
        <w:rPr>
          <w:sz w:val="24"/>
          <w:szCs w:val="24"/>
        </w:rPr>
        <w:t xml:space="preserve"> thus becomes </w:t>
      </w:r>
      <w:r>
        <w:rPr>
          <w:sz w:val="24"/>
          <w:szCs w:val="24"/>
        </w:rPr>
        <w:t>‘</w:t>
      </w:r>
      <w:r w:rsidRPr="00A84A20">
        <w:rPr>
          <w:sz w:val="24"/>
          <w:szCs w:val="24"/>
        </w:rPr>
        <w:t>a routine practiced in an institutionalized fashion and perceived as part of the practice of policing</w:t>
      </w:r>
      <w:r>
        <w:rPr>
          <w:sz w:val="24"/>
          <w:szCs w:val="24"/>
        </w:rPr>
        <w:t>’</w:t>
      </w:r>
      <w:r w:rsidRPr="00A84A20">
        <w:rPr>
          <w:sz w:val="24"/>
          <w:szCs w:val="24"/>
        </w:rPr>
        <w:t xml:space="preserve">. Khanikar, </w:t>
      </w:r>
      <w:r w:rsidRPr="00A84A20">
        <w:rPr>
          <w:i/>
          <w:iCs/>
          <w:sz w:val="24"/>
          <w:szCs w:val="24"/>
        </w:rPr>
        <w:t>State</w:t>
      </w:r>
      <w:r>
        <w:rPr>
          <w:i/>
          <w:iCs/>
          <w:sz w:val="24"/>
          <w:szCs w:val="24"/>
        </w:rPr>
        <w:t>,</w:t>
      </w:r>
      <w:r w:rsidRPr="00A84A20">
        <w:rPr>
          <w:i/>
          <w:iCs/>
          <w:sz w:val="24"/>
          <w:szCs w:val="24"/>
        </w:rPr>
        <w:t xml:space="preserve"> Violence </w:t>
      </w:r>
      <w:r>
        <w:rPr>
          <w:sz w:val="24"/>
          <w:szCs w:val="24"/>
        </w:rPr>
        <w:t>(n 59)</w:t>
      </w:r>
      <w:r w:rsidRPr="00A84A20">
        <w:rPr>
          <w:i/>
          <w:iCs/>
          <w:sz w:val="24"/>
          <w:szCs w:val="24"/>
        </w:rPr>
        <w:t xml:space="preserve"> </w:t>
      </w:r>
      <w:r w:rsidRPr="00A84A20">
        <w:rPr>
          <w:sz w:val="24"/>
          <w:szCs w:val="24"/>
        </w:rPr>
        <w:t xml:space="preserve">73. </w:t>
      </w:r>
    </w:p>
  </w:footnote>
  <w:footnote w:id="199">
    <w:p w14:paraId="285FA7B0"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Reynolds, </w:t>
      </w:r>
      <w:r w:rsidRPr="00A84A20">
        <w:rPr>
          <w:i/>
          <w:iCs/>
          <w:sz w:val="24"/>
          <w:szCs w:val="24"/>
        </w:rPr>
        <w:t>Empire, Emergency</w:t>
      </w:r>
      <w:r>
        <w:rPr>
          <w:i/>
          <w:iCs/>
          <w:sz w:val="24"/>
          <w:szCs w:val="24"/>
        </w:rPr>
        <w:t xml:space="preserve"> </w:t>
      </w:r>
      <w:r>
        <w:rPr>
          <w:sz w:val="24"/>
          <w:szCs w:val="24"/>
        </w:rPr>
        <w:t>(n 15)</w:t>
      </w:r>
      <w:r w:rsidRPr="00A84A20">
        <w:rPr>
          <w:sz w:val="24"/>
          <w:szCs w:val="24"/>
        </w:rPr>
        <w:t xml:space="preserve"> 70.</w:t>
      </w:r>
    </w:p>
  </w:footnote>
  <w:footnote w:id="200">
    <w:p w14:paraId="78B0CB39" w14:textId="77777777" w:rsidR="00997966" w:rsidRPr="00B06799" w:rsidRDefault="00997966" w:rsidP="00997966">
      <w:pPr>
        <w:pStyle w:val="FootnoteText"/>
        <w:spacing w:line="480" w:lineRule="auto"/>
        <w:contextualSpacing/>
        <w:rPr>
          <w:i/>
          <w:iCs/>
          <w:sz w:val="24"/>
          <w:szCs w:val="24"/>
        </w:rPr>
      </w:pPr>
      <w:r w:rsidRPr="00A84A20">
        <w:rPr>
          <w:rStyle w:val="FootnoteReference"/>
          <w:sz w:val="24"/>
          <w:szCs w:val="24"/>
        </w:rPr>
        <w:footnoteRef/>
      </w:r>
      <w:r w:rsidRPr="00A84A20">
        <w:rPr>
          <w:sz w:val="24"/>
          <w:szCs w:val="24"/>
        </w:rPr>
        <w:t xml:space="preserve"> </w:t>
      </w:r>
      <w:bookmarkStart w:id="40" w:name="_Hlk38536557"/>
      <w:r w:rsidRPr="00A84A20">
        <w:rPr>
          <w:sz w:val="24"/>
          <w:szCs w:val="24"/>
        </w:rPr>
        <w:t xml:space="preserve">For the role of the police in constructing the </w:t>
      </w:r>
      <w:r>
        <w:rPr>
          <w:sz w:val="24"/>
          <w:szCs w:val="24"/>
        </w:rPr>
        <w:t>‘</w:t>
      </w:r>
      <w:r w:rsidRPr="00A84A20">
        <w:rPr>
          <w:sz w:val="24"/>
          <w:szCs w:val="24"/>
        </w:rPr>
        <w:t>ethos</w:t>
      </w:r>
      <w:r>
        <w:rPr>
          <w:sz w:val="24"/>
          <w:szCs w:val="24"/>
        </w:rPr>
        <w:t>’</w:t>
      </w:r>
      <w:r w:rsidRPr="00A84A20">
        <w:rPr>
          <w:sz w:val="24"/>
          <w:szCs w:val="24"/>
        </w:rPr>
        <w:t xml:space="preserve"> of sovereignty see William E. </w:t>
      </w:r>
      <w:bookmarkStart w:id="41" w:name="_Hlk38536665"/>
      <w:r w:rsidRPr="00A84A20">
        <w:rPr>
          <w:sz w:val="24"/>
          <w:szCs w:val="24"/>
        </w:rPr>
        <w:t xml:space="preserve">Connolly, </w:t>
      </w:r>
      <w:r>
        <w:rPr>
          <w:sz w:val="24"/>
          <w:szCs w:val="24"/>
        </w:rPr>
        <w:t>‘</w:t>
      </w:r>
      <w:r w:rsidRPr="00A84A20">
        <w:rPr>
          <w:sz w:val="24"/>
          <w:szCs w:val="24"/>
        </w:rPr>
        <w:t>The Complexities of Sovereignty</w:t>
      </w:r>
      <w:r>
        <w:rPr>
          <w:sz w:val="24"/>
          <w:szCs w:val="24"/>
        </w:rPr>
        <w:t>’</w:t>
      </w:r>
      <w:bookmarkEnd w:id="41"/>
      <w:r w:rsidRPr="00A84A20">
        <w:rPr>
          <w:sz w:val="24"/>
          <w:szCs w:val="24"/>
        </w:rPr>
        <w:t xml:space="preserve">, in </w:t>
      </w:r>
      <w:r w:rsidRPr="009E15C7">
        <w:rPr>
          <w:sz w:val="24"/>
          <w:szCs w:val="24"/>
        </w:rPr>
        <w:t>M</w:t>
      </w:r>
      <w:r>
        <w:rPr>
          <w:sz w:val="24"/>
          <w:szCs w:val="24"/>
        </w:rPr>
        <w:t>atthew</w:t>
      </w:r>
      <w:r w:rsidRPr="009E15C7">
        <w:rPr>
          <w:sz w:val="24"/>
          <w:szCs w:val="24"/>
        </w:rPr>
        <w:t xml:space="preserve"> Calarco and S</w:t>
      </w:r>
      <w:r>
        <w:rPr>
          <w:sz w:val="24"/>
          <w:szCs w:val="24"/>
        </w:rPr>
        <w:t>tephen</w:t>
      </w:r>
      <w:r w:rsidRPr="009E15C7">
        <w:rPr>
          <w:sz w:val="24"/>
          <w:szCs w:val="24"/>
        </w:rPr>
        <w:t xml:space="preserve"> DeCaroli, </w:t>
      </w:r>
      <w:r w:rsidRPr="009E15C7">
        <w:rPr>
          <w:i/>
          <w:iCs/>
          <w:sz w:val="24"/>
          <w:szCs w:val="24"/>
        </w:rPr>
        <w:t xml:space="preserve">Giorgio Agamben: Sovereignty and Life </w:t>
      </w:r>
      <w:r w:rsidRPr="009E15C7">
        <w:rPr>
          <w:sz w:val="24"/>
          <w:szCs w:val="24"/>
        </w:rPr>
        <w:t>(Stanford: Stanford University Press 2007)</w:t>
      </w:r>
      <w:r w:rsidRPr="00A84A20">
        <w:rPr>
          <w:sz w:val="24"/>
          <w:szCs w:val="24"/>
        </w:rPr>
        <w:t xml:space="preserve">, </w:t>
      </w:r>
      <w:bookmarkEnd w:id="40"/>
      <w:r w:rsidRPr="00A84A20">
        <w:rPr>
          <w:sz w:val="24"/>
          <w:szCs w:val="24"/>
        </w:rPr>
        <w:t>33.</w:t>
      </w:r>
    </w:p>
  </w:footnote>
  <w:footnote w:id="201">
    <w:p w14:paraId="31714411" w14:textId="77777777" w:rsidR="00997966" w:rsidRPr="00A84A20" w:rsidRDefault="00997966" w:rsidP="00997966">
      <w:pPr>
        <w:pStyle w:val="FootnoteText"/>
        <w:spacing w:line="480" w:lineRule="auto"/>
        <w:rPr>
          <w:color w:val="222222"/>
          <w:sz w:val="24"/>
          <w:szCs w:val="24"/>
          <w:lang w:eastAsia="en-GB"/>
        </w:rPr>
      </w:pPr>
      <w:r w:rsidRPr="00A84A20">
        <w:rPr>
          <w:rStyle w:val="FootnoteReference"/>
          <w:sz w:val="24"/>
          <w:szCs w:val="24"/>
        </w:rPr>
        <w:footnoteRef/>
      </w:r>
      <w:r w:rsidRPr="00A84A20">
        <w:rPr>
          <w:sz w:val="24"/>
          <w:szCs w:val="24"/>
        </w:rPr>
        <w:t xml:space="preserve"> Evans, </w:t>
      </w:r>
      <w:r>
        <w:rPr>
          <w:sz w:val="24"/>
          <w:szCs w:val="24"/>
        </w:rPr>
        <w:t>‘</w:t>
      </w:r>
      <w:r w:rsidRPr="00A84A20">
        <w:rPr>
          <w:color w:val="222222"/>
          <w:sz w:val="24"/>
          <w:szCs w:val="24"/>
          <w:lang w:eastAsia="en-GB"/>
        </w:rPr>
        <w:t>Where Lawlessness is Law</w:t>
      </w:r>
      <w:r>
        <w:rPr>
          <w:color w:val="222222"/>
          <w:sz w:val="24"/>
          <w:szCs w:val="24"/>
          <w:lang w:eastAsia="en-GB"/>
        </w:rPr>
        <w:t>’ (n 92)</w:t>
      </w:r>
      <w:r w:rsidRPr="00A84A20">
        <w:rPr>
          <w:color w:val="222222"/>
          <w:sz w:val="24"/>
          <w:szCs w:val="24"/>
          <w:lang w:eastAsia="en-GB"/>
        </w:rPr>
        <w:t xml:space="preserve"> 10</w:t>
      </w:r>
      <w:r>
        <w:rPr>
          <w:color w:val="222222"/>
          <w:sz w:val="24"/>
          <w:szCs w:val="24"/>
          <w:lang w:eastAsia="en-GB"/>
        </w:rPr>
        <w:t>-</w:t>
      </w:r>
      <w:r w:rsidRPr="00A84A20">
        <w:rPr>
          <w:color w:val="222222"/>
          <w:sz w:val="24"/>
          <w:szCs w:val="24"/>
          <w:lang w:eastAsia="en-GB"/>
        </w:rPr>
        <w:t>11.</w:t>
      </w:r>
      <w:r w:rsidRPr="00A84A20">
        <w:rPr>
          <w:b/>
          <w:bCs/>
          <w:color w:val="222222"/>
          <w:sz w:val="24"/>
          <w:szCs w:val="24"/>
          <w:lang w:eastAsia="en-GB"/>
        </w:rPr>
        <w:t xml:space="preserve"> </w:t>
      </w:r>
      <w:r w:rsidRPr="00A84A20">
        <w:rPr>
          <w:color w:val="222222"/>
          <w:sz w:val="24"/>
          <w:szCs w:val="24"/>
          <w:lang w:eastAsia="en-GB"/>
        </w:rPr>
        <w:t xml:space="preserve">See also Robert A. Wiliams, Jr., </w:t>
      </w:r>
      <w:r w:rsidRPr="00A84A20">
        <w:rPr>
          <w:rFonts w:eastAsia="Times New Roman"/>
          <w:i/>
          <w:iCs/>
          <w:color w:val="000000"/>
          <w:sz w:val="24"/>
          <w:szCs w:val="24"/>
          <w:lang w:eastAsia="en-GB"/>
        </w:rPr>
        <w:t>The American Indian in Western Legal Thought: The Discourses of Conquest</w:t>
      </w:r>
      <w:r w:rsidRPr="00A84A20">
        <w:rPr>
          <w:rFonts w:eastAsia="Times New Roman"/>
          <w:color w:val="000000"/>
          <w:sz w:val="24"/>
          <w:szCs w:val="24"/>
          <w:lang w:eastAsia="en-GB"/>
        </w:rPr>
        <w:t xml:space="preserve"> (New York: Oxford University Press, 1990); Peter Fitzpatrick, </w:t>
      </w:r>
      <w:r w:rsidRPr="00A84A20">
        <w:rPr>
          <w:rFonts w:eastAsia="Times New Roman"/>
          <w:i/>
          <w:iCs/>
          <w:color w:val="000000"/>
          <w:sz w:val="24"/>
          <w:szCs w:val="24"/>
          <w:lang w:eastAsia="en-GB"/>
        </w:rPr>
        <w:t>Modernism and the Grounds of Law</w:t>
      </w:r>
      <w:r w:rsidRPr="00A84A20">
        <w:rPr>
          <w:rFonts w:eastAsia="Times New Roman"/>
          <w:color w:val="000000"/>
          <w:sz w:val="24"/>
          <w:szCs w:val="24"/>
          <w:lang w:eastAsia="en-GB"/>
        </w:rPr>
        <w:t xml:space="preserve"> (New York: Cambridge University Press 2001); Sudipta Sen, </w:t>
      </w:r>
      <w:r w:rsidRPr="00A84A20">
        <w:rPr>
          <w:rFonts w:eastAsia="Times New Roman"/>
          <w:i/>
          <w:iCs/>
          <w:color w:val="000000"/>
          <w:sz w:val="24"/>
          <w:szCs w:val="24"/>
          <w:lang w:eastAsia="en-GB"/>
        </w:rPr>
        <w:t xml:space="preserve">Distant Sovereignty: National Imperialism and the Origins of British India </w:t>
      </w:r>
      <w:r w:rsidRPr="00A84A20">
        <w:rPr>
          <w:rFonts w:eastAsia="Times New Roman"/>
          <w:color w:val="000000"/>
          <w:sz w:val="24"/>
          <w:szCs w:val="24"/>
          <w:lang w:eastAsia="en-GB"/>
        </w:rPr>
        <w:t xml:space="preserve">(New York: Routledge 2002); and Anthony Anghie, </w:t>
      </w:r>
      <w:r w:rsidRPr="00A84A20">
        <w:rPr>
          <w:rFonts w:eastAsia="Times New Roman"/>
          <w:i/>
          <w:iCs/>
          <w:color w:val="000000"/>
          <w:sz w:val="24"/>
          <w:szCs w:val="24"/>
          <w:lang w:eastAsia="en-GB"/>
        </w:rPr>
        <w:t>Imperialism, Sovereignty and the Making of International Law</w:t>
      </w:r>
      <w:r w:rsidRPr="00A84A20">
        <w:rPr>
          <w:rFonts w:eastAsia="Times New Roman"/>
          <w:color w:val="000000"/>
          <w:sz w:val="24"/>
          <w:szCs w:val="24"/>
          <w:lang w:eastAsia="en-GB"/>
        </w:rPr>
        <w:t xml:space="preserve"> (Cambridge: Cambridge University Press 2005)</w:t>
      </w:r>
      <w:r>
        <w:rPr>
          <w:rFonts w:eastAsia="Times New Roman"/>
          <w:color w:val="000000"/>
          <w:sz w:val="24"/>
          <w:szCs w:val="24"/>
          <w:lang w:eastAsia="en-GB"/>
        </w:rPr>
        <w:t xml:space="preserve"> (hereafter Anghie, </w:t>
      </w:r>
      <w:r>
        <w:rPr>
          <w:rFonts w:eastAsia="Times New Roman"/>
          <w:i/>
          <w:iCs/>
          <w:color w:val="000000"/>
          <w:sz w:val="24"/>
          <w:szCs w:val="24"/>
          <w:lang w:eastAsia="en-GB"/>
        </w:rPr>
        <w:t>Imperialism, Sovereignty</w:t>
      </w:r>
      <w:r>
        <w:rPr>
          <w:rFonts w:eastAsia="Times New Roman"/>
          <w:color w:val="000000"/>
          <w:sz w:val="24"/>
          <w:szCs w:val="24"/>
          <w:lang w:eastAsia="en-GB"/>
        </w:rPr>
        <w:t>)</w:t>
      </w:r>
      <w:r w:rsidRPr="00A84A20">
        <w:rPr>
          <w:rFonts w:eastAsia="Times New Roman"/>
          <w:color w:val="000000"/>
          <w:sz w:val="24"/>
          <w:szCs w:val="24"/>
          <w:lang w:eastAsia="en-GB"/>
        </w:rPr>
        <w:t>.</w:t>
      </w:r>
    </w:p>
  </w:footnote>
  <w:footnote w:id="202">
    <w:p w14:paraId="614D0B7A"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Such a positivist analysis, according to which the duties and rights of international law were regarded as discrete historical products rather than as inherent in the human condition, had superseded notions of natural law by the early nineteenth century. David Strang, </w:t>
      </w:r>
      <w:r>
        <w:rPr>
          <w:sz w:val="24"/>
          <w:szCs w:val="24"/>
        </w:rPr>
        <w:t>‘</w:t>
      </w:r>
      <w:r w:rsidRPr="00A84A20">
        <w:rPr>
          <w:sz w:val="24"/>
          <w:szCs w:val="24"/>
        </w:rPr>
        <w:t>Contested Sovereignty: The Social Construction of Colonial Imperialism</w:t>
      </w:r>
      <w:r>
        <w:rPr>
          <w:sz w:val="24"/>
          <w:szCs w:val="24"/>
        </w:rPr>
        <w:t>’</w:t>
      </w:r>
      <w:r w:rsidRPr="00A84A20">
        <w:rPr>
          <w:sz w:val="24"/>
          <w:szCs w:val="24"/>
        </w:rPr>
        <w:t xml:space="preserve">, in Thomas J. Biersteker and Cynthia Weber (eds.), </w:t>
      </w:r>
      <w:r w:rsidRPr="00A84A20">
        <w:rPr>
          <w:i/>
          <w:iCs/>
          <w:sz w:val="24"/>
          <w:szCs w:val="24"/>
        </w:rPr>
        <w:t xml:space="preserve">State Sovereignty as Social Construct </w:t>
      </w:r>
      <w:r w:rsidRPr="00A84A20">
        <w:rPr>
          <w:sz w:val="24"/>
          <w:szCs w:val="24"/>
        </w:rPr>
        <w:t>(Cambridge: Cambridge 1996), 33.</w:t>
      </w:r>
    </w:p>
  </w:footnote>
  <w:footnote w:id="203">
    <w:p w14:paraId="63BE3636"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The British claimed such a monopoly in the case of India even though the limitations of colonial power meant that sovereignty was inevitably layered. Benton, </w:t>
      </w:r>
      <w:r w:rsidRPr="00A84A20">
        <w:rPr>
          <w:i/>
          <w:iCs/>
          <w:sz w:val="24"/>
          <w:szCs w:val="24"/>
        </w:rPr>
        <w:t>A Search for Sovereignty</w:t>
      </w:r>
      <w:r>
        <w:rPr>
          <w:sz w:val="24"/>
          <w:szCs w:val="24"/>
        </w:rPr>
        <w:t xml:space="preserve"> (n 58)</w:t>
      </w:r>
      <w:r w:rsidRPr="00A84A20">
        <w:rPr>
          <w:sz w:val="24"/>
          <w:szCs w:val="24"/>
        </w:rPr>
        <w:t xml:space="preserve"> 31; and Radhika Singha, </w:t>
      </w:r>
      <w:r>
        <w:rPr>
          <w:sz w:val="24"/>
          <w:szCs w:val="24"/>
        </w:rPr>
        <w:t>‘</w:t>
      </w:r>
      <w:r w:rsidRPr="00A84A20">
        <w:rPr>
          <w:sz w:val="24"/>
          <w:szCs w:val="24"/>
        </w:rPr>
        <w:t xml:space="preserve">The Privilege of Taking Life: Some </w:t>
      </w:r>
      <w:r>
        <w:rPr>
          <w:sz w:val="24"/>
          <w:szCs w:val="24"/>
        </w:rPr>
        <w:t>“</w:t>
      </w:r>
      <w:r w:rsidRPr="00A84A20">
        <w:rPr>
          <w:sz w:val="24"/>
          <w:szCs w:val="24"/>
        </w:rPr>
        <w:t>Anomalies</w:t>
      </w:r>
      <w:r>
        <w:rPr>
          <w:sz w:val="24"/>
          <w:szCs w:val="24"/>
        </w:rPr>
        <w:t>”</w:t>
      </w:r>
      <w:r w:rsidRPr="00A84A20">
        <w:rPr>
          <w:sz w:val="24"/>
          <w:szCs w:val="24"/>
        </w:rPr>
        <w:t xml:space="preserve"> in the Law of Homicide in the Bengal Presidency</w:t>
      </w:r>
      <w:r>
        <w:rPr>
          <w:sz w:val="24"/>
          <w:szCs w:val="24"/>
        </w:rPr>
        <w:t>’</w:t>
      </w:r>
      <w:r w:rsidRPr="00A84A20">
        <w:rPr>
          <w:sz w:val="24"/>
          <w:szCs w:val="24"/>
        </w:rPr>
        <w:t xml:space="preserve">, </w:t>
      </w:r>
      <w:r w:rsidRPr="00A84A20">
        <w:rPr>
          <w:i/>
          <w:iCs/>
          <w:sz w:val="24"/>
          <w:szCs w:val="24"/>
        </w:rPr>
        <w:t>The Indian Economic and Social History Review</w:t>
      </w:r>
      <w:r w:rsidRPr="00A84A20">
        <w:rPr>
          <w:sz w:val="24"/>
          <w:szCs w:val="24"/>
        </w:rPr>
        <w:t xml:space="preserve"> 30</w:t>
      </w:r>
      <w:r>
        <w:rPr>
          <w:sz w:val="24"/>
          <w:szCs w:val="24"/>
        </w:rPr>
        <w:t>/</w:t>
      </w:r>
      <w:r w:rsidRPr="00A84A20">
        <w:rPr>
          <w:sz w:val="24"/>
          <w:szCs w:val="24"/>
        </w:rPr>
        <w:t>2 (1993), 181</w:t>
      </w:r>
      <w:r>
        <w:rPr>
          <w:sz w:val="24"/>
          <w:szCs w:val="24"/>
        </w:rPr>
        <w:t>-</w:t>
      </w:r>
      <w:r w:rsidRPr="00A84A20">
        <w:rPr>
          <w:sz w:val="24"/>
          <w:szCs w:val="24"/>
        </w:rPr>
        <w:t>82.</w:t>
      </w:r>
    </w:p>
  </w:footnote>
  <w:footnote w:id="204">
    <w:p w14:paraId="1332AF3B"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Evans, </w:t>
      </w:r>
      <w:r>
        <w:rPr>
          <w:sz w:val="24"/>
          <w:szCs w:val="24"/>
        </w:rPr>
        <w:t>‘</w:t>
      </w:r>
      <w:r w:rsidRPr="00A84A20">
        <w:rPr>
          <w:color w:val="222222"/>
          <w:sz w:val="24"/>
          <w:szCs w:val="24"/>
          <w:lang w:eastAsia="en-GB"/>
        </w:rPr>
        <w:t>Where Lawlessness is Law</w:t>
      </w:r>
      <w:r>
        <w:rPr>
          <w:color w:val="222222"/>
          <w:sz w:val="24"/>
          <w:szCs w:val="24"/>
          <w:lang w:eastAsia="en-GB"/>
        </w:rPr>
        <w:t>’</w:t>
      </w:r>
      <w:r>
        <w:rPr>
          <w:sz w:val="24"/>
          <w:szCs w:val="24"/>
        </w:rPr>
        <w:t xml:space="preserve"> (n 92)</w:t>
      </w:r>
      <w:r w:rsidRPr="00A84A20">
        <w:rPr>
          <w:sz w:val="24"/>
          <w:szCs w:val="24"/>
        </w:rPr>
        <w:t xml:space="preserve"> 5. As Anthony Anghie argues, </w:t>
      </w:r>
      <w:r>
        <w:rPr>
          <w:sz w:val="24"/>
          <w:szCs w:val="24"/>
        </w:rPr>
        <w:t>‘</w:t>
      </w:r>
      <w:r w:rsidRPr="00A84A20">
        <w:rPr>
          <w:sz w:val="24"/>
          <w:szCs w:val="24"/>
        </w:rPr>
        <w:t>The ambivalent status of the non</w:t>
      </w:r>
      <w:r>
        <w:rPr>
          <w:sz w:val="24"/>
          <w:szCs w:val="24"/>
        </w:rPr>
        <w:t>-</w:t>
      </w:r>
      <w:r w:rsidRPr="00A84A20">
        <w:rPr>
          <w:sz w:val="24"/>
          <w:szCs w:val="24"/>
        </w:rPr>
        <w:t>European entity, outside the scope of law and yet within it, lacking international capacity and yet necessarily possessing it . . . was never satisfactorily denied or resolved</w:t>
      </w:r>
      <w:r>
        <w:rPr>
          <w:sz w:val="24"/>
          <w:szCs w:val="24"/>
        </w:rPr>
        <w:t>’</w:t>
      </w:r>
      <w:r w:rsidRPr="00A84A20">
        <w:rPr>
          <w:sz w:val="24"/>
          <w:szCs w:val="24"/>
        </w:rPr>
        <w:t xml:space="preserve">. Anghie, </w:t>
      </w:r>
      <w:r w:rsidRPr="00A84A20">
        <w:rPr>
          <w:i/>
          <w:iCs/>
          <w:sz w:val="24"/>
          <w:szCs w:val="24"/>
        </w:rPr>
        <w:t>Imperialism, Sovereignty</w:t>
      </w:r>
      <w:r>
        <w:rPr>
          <w:i/>
          <w:iCs/>
          <w:sz w:val="24"/>
          <w:szCs w:val="24"/>
        </w:rPr>
        <w:t xml:space="preserve"> </w:t>
      </w:r>
      <w:r>
        <w:rPr>
          <w:sz w:val="24"/>
          <w:szCs w:val="24"/>
        </w:rPr>
        <w:t>(n 200)</w:t>
      </w:r>
      <w:r w:rsidRPr="00A84A20">
        <w:rPr>
          <w:i/>
          <w:iCs/>
          <w:sz w:val="24"/>
          <w:szCs w:val="24"/>
        </w:rPr>
        <w:t xml:space="preserve"> </w:t>
      </w:r>
      <w:r w:rsidRPr="00A84A20">
        <w:rPr>
          <w:sz w:val="24"/>
          <w:szCs w:val="24"/>
        </w:rPr>
        <w:t>81.</w:t>
      </w:r>
    </w:p>
  </w:footnote>
  <w:footnote w:id="205">
    <w:p w14:paraId="1A791658"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Paul D. Halliday, </w:t>
      </w:r>
      <w:r w:rsidRPr="00A84A20">
        <w:rPr>
          <w:i/>
          <w:iCs/>
          <w:sz w:val="24"/>
          <w:szCs w:val="24"/>
        </w:rPr>
        <w:t>Habeas Corpus: From England to Empire</w:t>
      </w:r>
      <w:r w:rsidRPr="00A84A20">
        <w:rPr>
          <w:sz w:val="24"/>
          <w:szCs w:val="24"/>
        </w:rPr>
        <w:t xml:space="preserve"> (Harvard: The Belknap Press of Harvard University Press 2010), 281, 287</w:t>
      </w:r>
      <w:r>
        <w:rPr>
          <w:sz w:val="24"/>
          <w:szCs w:val="24"/>
        </w:rPr>
        <w:t>-</w:t>
      </w:r>
      <w:r w:rsidRPr="00A84A20">
        <w:rPr>
          <w:sz w:val="24"/>
          <w:szCs w:val="24"/>
        </w:rPr>
        <w:t>93</w:t>
      </w:r>
      <w:r>
        <w:rPr>
          <w:sz w:val="24"/>
          <w:szCs w:val="24"/>
        </w:rPr>
        <w:t xml:space="preserve"> (hereafter Halliday, </w:t>
      </w:r>
      <w:r>
        <w:rPr>
          <w:i/>
          <w:iCs/>
          <w:sz w:val="24"/>
          <w:szCs w:val="24"/>
        </w:rPr>
        <w:t>Habeas Corpus</w:t>
      </w:r>
      <w:r>
        <w:rPr>
          <w:sz w:val="24"/>
          <w:szCs w:val="24"/>
        </w:rPr>
        <w:t>)</w:t>
      </w:r>
      <w:r w:rsidRPr="00A84A20">
        <w:rPr>
          <w:sz w:val="24"/>
          <w:szCs w:val="24"/>
        </w:rPr>
        <w:t xml:space="preserve">; and Raman, </w:t>
      </w:r>
      <w:r>
        <w:rPr>
          <w:sz w:val="24"/>
          <w:szCs w:val="24"/>
        </w:rPr>
        <w:t>‘</w:t>
      </w:r>
      <w:r w:rsidRPr="00A84A20">
        <w:rPr>
          <w:sz w:val="24"/>
          <w:szCs w:val="24"/>
        </w:rPr>
        <w:t>Law in Times</w:t>
      </w:r>
      <w:r>
        <w:rPr>
          <w:sz w:val="24"/>
          <w:szCs w:val="24"/>
        </w:rPr>
        <w:t xml:space="preserve">’ (n 58) </w:t>
      </w:r>
      <w:r w:rsidRPr="00A84A20">
        <w:rPr>
          <w:sz w:val="24"/>
          <w:szCs w:val="24"/>
        </w:rPr>
        <w:t xml:space="preserve">124. </w:t>
      </w:r>
    </w:p>
  </w:footnote>
  <w:footnote w:id="206">
    <w:p w14:paraId="325AF261"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Law cannot, in other words, be suspended through law. To take the example of habeas corpus, it is never </w:t>
      </w:r>
      <w:r>
        <w:rPr>
          <w:sz w:val="24"/>
          <w:szCs w:val="24"/>
        </w:rPr>
        <w:t xml:space="preserve">actually </w:t>
      </w:r>
      <w:r w:rsidRPr="00A84A20">
        <w:rPr>
          <w:sz w:val="24"/>
          <w:szCs w:val="24"/>
        </w:rPr>
        <w:t>suspended; the law’s powers to detain subjects are, instead, increased. Nor are there any externalities to the rule of law since such a rule implies the movement of law into all spaces of sovereignty in light of the ways of which law is included through its exclusion</w:t>
      </w:r>
      <w:r>
        <w:rPr>
          <w:sz w:val="24"/>
          <w:szCs w:val="24"/>
        </w:rPr>
        <w:t>—</w:t>
      </w:r>
      <w:r w:rsidRPr="00A84A20">
        <w:rPr>
          <w:sz w:val="24"/>
          <w:szCs w:val="24"/>
        </w:rPr>
        <w:t xml:space="preserve">creating, to borrow from Law member to the </w:t>
      </w:r>
      <w:r>
        <w:rPr>
          <w:sz w:val="24"/>
          <w:szCs w:val="24"/>
        </w:rPr>
        <w:t>G</w:t>
      </w:r>
      <w:r w:rsidRPr="00A84A20">
        <w:rPr>
          <w:sz w:val="24"/>
          <w:szCs w:val="24"/>
        </w:rPr>
        <w:t xml:space="preserve">overnment of India, James Fitzjames Stephen, </w:t>
      </w:r>
      <w:r>
        <w:rPr>
          <w:sz w:val="24"/>
          <w:szCs w:val="24"/>
        </w:rPr>
        <w:t>‘”</w:t>
      </w:r>
      <w:r w:rsidRPr="00A84A20">
        <w:rPr>
          <w:sz w:val="24"/>
          <w:szCs w:val="24"/>
        </w:rPr>
        <w:t>dead</w:t>
      </w:r>
      <w:r>
        <w:rPr>
          <w:sz w:val="24"/>
          <w:szCs w:val="24"/>
        </w:rPr>
        <w:t>-</w:t>
      </w:r>
      <w:r w:rsidRPr="00A84A20">
        <w:rPr>
          <w:sz w:val="24"/>
          <w:szCs w:val="24"/>
        </w:rPr>
        <w:t>alive</w:t>
      </w:r>
      <w:r>
        <w:rPr>
          <w:sz w:val="24"/>
          <w:szCs w:val="24"/>
        </w:rPr>
        <w:t>”’</w:t>
      </w:r>
      <w:r w:rsidRPr="00A84A20">
        <w:rPr>
          <w:sz w:val="24"/>
          <w:szCs w:val="24"/>
        </w:rPr>
        <w:t xml:space="preserve"> law. In the case of the emergency, Nasser Hussain, drawing from Jacques Derrida, suggests that its relationship the rule of law is one of supplementarity, since </w:t>
      </w:r>
      <w:r>
        <w:rPr>
          <w:sz w:val="24"/>
          <w:szCs w:val="24"/>
        </w:rPr>
        <w:t>‘</w:t>
      </w:r>
      <w:r w:rsidRPr="00A84A20">
        <w:rPr>
          <w:sz w:val="24"/>
          <w:szCs w:val="24"/>
        </w:rPr>
        <w:t>the supplement adds to the original in a mode that is both agonistic and formative</w:t>
      </w:r>
      <w:r>
        <w:rPr>
          <w:sz w:val="24"/>
          <w:szCs w:val="24"/>
        </w:rPr>
        <w:t>-</w:t>
      </w:r>
      <w:r w:rsidRPr="00A84A20">
        <w:rPr>
          <w:sz w:val="24"/>
          <w:szCs w:val="24"/>
        </w:rPr>
        <w:t>a necessary addition which threatens to re</w:t>
      </w:r>
      <w:r>
        <w:rPr>
          <w:sz w:val="24"/>
          <w:szCs w:val="24"/>
        </w:rPr>
        <w:t>-</w:t>
      </w:r>
      <w:r w:rsidRPr="00A84A20">
        <w:rPr>
          <w:sz w:val="24"/>
          <w:szCs w:val="24"/>
        </w:rPr>
        <w:t>place the original</w:t>
      </w:r>
      <w:r>
        <w:rPr>
          <w:sz w:val="24"/>
          <w:szCs w:val="24"/>
        </w:rPr>
        <w:t>’</w:t>
      </w:r>
      <w:r w:rsidRPr="00A84A20">
        <w:rPr>
          <w:sz w:val="24"/>
          <w:szCs w:val="24"/>
        </w:rPr>
        <w:t xml:space="preserve">. Halliday, </w:t>
      </w:r>
      <w:r w:rsidRPr="00A84A20">
        <w:rPr>
          <w:i/>
          <w:iCs/>
          <w:sz w:val="24"/>
          <w:szCs w:val="24"/>
        </w:rPr>
        <w:t>Habeas Corpus</w:t>
      </w:r>
      <w:r>
        <w:rPr>
          <w:i/>
          <w:iCs/>
          <w:sz w:val="24"/>
          <w:szCs w:val="24"/>
        </w:rPr>
        <w:t xml:space="preserve"> </w:t>
      </w:r>
      <w:r>
        <w:rPr>
          <w:sz w:val="24"/>
          <w:szCs w:val="24"/>
        </w:rPr>
        <w:t>(n 204)</w:t>
      </w:r>
      <w:r w:rsidRPr="00A84A20">
        <w:rPr>
          <w:i/>
          <w:iCs/>
          <w:sz w:val="24"/>
          <w:szCs w:val="24"/>
        </w:rPr>
        <w:t xml:space="preserve"> </w:t>
      </w:r>
      <w:r w:rsidRPr="00A84A20">
        <w:rPr>
          <w:sz w:val="24"/>
          <w:szCs w:val="24"/>
        </w:rPr>
        <w:t>248</w:t>
      </w:r>
      <w:r>
        <w:rPr>
          <w:sz w:val="24"/>
          <w:szCs w:val="24"/>
        </w:rPr>
        <w:t>-</w:t>
      </w:r>
      <w:r w:rsidRPr="00A84A20">
        <w:rPr>
          <w:sz w:val="24"/>
          <w:szCs w:val="24"/>
        </w:rPr>
        <w:t>49</w:t>
      </w:r>
      <w:r w:rsidRPr="00A84A20">
        <w:rPr>
          <w:i/>
          <w:iCs/>
          <w:sz w:val="24"/>
          <w:szCs w:val="24"/>
        </w:rPr>
        <w:t xml:space="preserve">; </w:t>
      </w:r>
      <w:r w:rsidRPr="00A84A20">
        <w:rPr>
          <w:sz w:val="24"/>
          <w:szCs w:val="24"/>
        </w:rPr>
        <w:t>Proceedings of the Legislative Council, 27 March 187</w:t>
      </w:r>
      <w:r>
        <w:rPr>
          <w:sz w:val="24"/>
          <w:szCs w:val="24"/>
        </w:rPr>
        <w:t>,</w:t>
      </w:r>
      <w:r w:rsidRPr="00A84A20">
        <w:rPr>
          <w:sz w:val="24"/>
          <w:szCs w:val="24"/>
        </w:rPr>
        <w:t xml:space="preserve"> Fitzjames Stephen on the Indian Evidence Bill, V/9/12, BL, cited in Sandra den Otter, </w:t>
      </w:r>
      <w:r>
        <w:rPr>
          <w:sz w:val="24"/>
          <w:szCs w:val="24"/>
        </w:rPr>
        <w:t>‘”</w:t>
      </w:r>
      <w:r w:rsidRPr="00A84A20">
        <w:rPr>
          <w:sz w:val="24"/>
          <w:szCs w:val="24"/>
        </w:rPr>
        <w:t>A Legislating Empire</w:t>
      </w:r>
      <w:r>
        <w:rPr>
          <w:sz w:val="24"/>
          <w:szCs w:val="24"/>
        </w:rPr>
        <w:t>”</w:t>
      </w:r>
      <w:r w:rsidRPr="00A84A20">
        <w:rPr>
          <w:sz w:val="24"/>
          <w:szCs w:val="24"/>
        </w:rPr>
        <w:t>: Victorian Political Theorists, Codes of Law, and Empire</w:t>
      </w:r>
      <w:r>
        <w:rPr>
          <w:sz w:val="24"/>
          <w:szCs w:val="24"/>
        </w:rPr>
        <w:t>’</w:t>
      </w:r>
      <w:r w:rsidRPr="00A84A20">
        <w:rPr>
          <w:sz w:val="24"/>
          <w:szCs w:val="24"/>
        </w:rPr>
        <w:t xml:space="preserve">, in Duncan Bell (ed.), </w:t>
      </w:r>
      <w:r w:rsidRPr="00A84A20">
        <w:rPr>
          <w:i/>
          <w:iCs/>
          <w:sz w:val="24"/>
          <w:szCs w:val="24"/>
        </w:rPr>
        <w:t xml:space="preserve">Victorian Visions of Global Empire </w:t>
      </w:r>
      <w:r w:rsidRPr="00A84A20">
        <w:rPr>
          <w:sz w:val="24"/>
          <w:szCs w:val="24"/>
        </w:rPr>
        <w:t xml:space="preserve">(Cambridge: Cambridge University Press 2007), 92; and Hussain, </w:t>
      </w:r>
      <w:r w:rsidRPr="00A84A20">
        <w:rPr>
          <w:i/>
          <w:iCs/>
          <w:sz w:val="24"/>
          <w:szCs w:val="24"/>
        </w:rPr>
        <w:t>The Jurisprudence of Emergency</w:t>
      </w:r>
      <w:r>
        <w:rPr>
          <w:i/>
          <w:iCs/>
          <w:sz w:val="24"/>
          <w:szCs w:val="24"/>
        </w:rPr>
        <w:t xml:space="preserve"> </w:t>
      </w:r>
      <w:r>
        <w:rPr>
          <w:sz w:val="24"/>
          <w:szCs w:val="24"/>
        </w:rPr>
        <w:t>(n 58)</w:t>
      </w:r>
      <w:r w:rsidRPr="00A84A20">
        <w:rPr>
          <w:i/>
          <w:iCs/>
          <w:sz w:val="24"/>
          <w:szCs w:val="24"/>
        </w:rPr>
        <w:t xml:space="preserve">, </w:t>
      </w:r>
      <w:r w:rsidRPr="00A84A20">
        <w:rPr>
          <w:sz w:val="24"/>
          <w:szCs w:val="24"/>
        </w:rPr>
        <w:t>99</w:t>
      </w:r>
      <w:r>
        <w:rPr>
          <w:sz w:val="24"/>
          <w:szCs w:val="24"/>
        </w:rPr>
        <w:t>. S</w:t>
      </w:r>
      <w:r w:rsidRPr="00A84A20">
        <w:rPr>
          <w:sz w:val="24"/>
          <w:szCs w:val="24"/>
        </w:rPr>
        <w:t xml:space="preserve">ee also Jacques Derrida, </w:t>
      </w:r>
      <w:r w:rsidRPr="00A84A20">
        <w:rPr>
          <w:i/>
          <w:iCs/>
          <w:sz w:val="24"/>
          <w:szCs w:val="24"/>
        </w:rPr>
        <w:t>Of Grammatology</w:t>
      </w:r>
      <w:r w:rsidRPr="00A84A20">
        <w:rPr>
          <w:sz w:val="24"/>
          <w:szCs w:val="24"/>
        </w:rPr>
        <w:t xml:space="preserve"> (Baltimore: Johns Hopkins University Press 1976), 144</w:t>
      </w:r>
      <w:r>
        <w:rPr>
          <w:sz w:val="24"/>
          <w:szCs w:val="24"/>
        </w:rPr>
        <w:t>-</w:t>
      </w:r>
      <w:r w:rsidRPr="00A84A20">
        <w:rPr>
          <w:sz w:val="24"/>
          <w:szCs w:val="24"/>
        </w:rPr>
        <w:t xml:space="preserve">45; Agamben, </w:t>
      </w:r>
      <w:r w:rsidRPr="00A84A20">
        <w:rPr>
          <w:i/>
          <w:sz w:val="24"/>
          <w:szCs w:val="24"/>
        </w:rPr>
        <w:t>Homo Sacer</w:t>
      </w:r>
      <w:r>
        <w:rPr>
          <w:i/>
          <w:sz w:val="24"/>
          <w:szCs w:val="24"/>
        </w:rPr>
        <w:t xml:space="preserve"> </w:t>
      </w:r>
      <w:r>
        <w:rPr>
          <w:iCs/>
          <w:sz w:val="24"/>
          <w:szCs w:val="24"/>
        </w:rPr>
        <w:t>(n 4)</w:t>
      </w:r>
      <w:r w:rsidRPr="00A84A20">
        <w:rPr>
          <w:sz w:val="24"/>
          <w:szCs w:val="24"/>
        </w:rPr>
        <w:t xml:space="preserve"> 18; and</w:t>
      </w:r>
      <w:bookmarkStart w:id="42" w:name="_Hlk34075812"/>
      <w:r w:rsidRPr="00A84A20">
        <w:rPr>
          <w:sz w:val="24"/>
          <w:szCs w:val="24"/>
        </w:rPr>
        <w:t xml:space="preserve"> </w:t>
      </w:r>
      <w:bookmarkStart w:id="43" w:name="_Hlk40870743"/>
      <w:r w:rsidRPr="00A84A20">
        <w:rPr>
          <w:sz w:val="24"/>
          <w:szCs w:val="24"/>
        </w:rPr>
        <w:t xml:space="preserve">Raman, </w:t>
      </w:r>
      <w:r>
        <w:rPr>
          <w:sz w:val="24"/>
          <w:szCs w:val="24"/>
        </w:rPr>
        <w:t>‘</w:t>
      </w:r>
      <w:r w:rsidRPr="00A84A20">
        <w:rPr>
          <w:sz w:val="24"/>
          <w:szCs w:val="24"/>
        </w:rPr>
        <w:t>Law in Times</w:t>
      </w:r>
      <w:bookmarkEnd w:id="42"/>
      <w:bookmarkEnd w:id="43"/>
      <w:r>
        <w:rPr>
          <w:sz w:val="24"/>
          <w:szCs w:val="24"/>
        </w:rPr>
        <w:t>’ (n 58)</w:t>
      </w:r>
      <w:r w:rsidRPr="00A84A20">
        <w:rPr>
          <w:sz w:val="24"/>
          <w:szCs w:val="24"/>
        </w:rPr>
        <w:t>.</w:t>
      </w:r>
    </w:p>
  </w:footnote>
  <w:footnote w:id="207">
    <w:p w14:paraId="661146DB"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Evans, </w:t>
      </w:r>
      <w:r>
        <w:rPr>
          <w:sz w:val="24"/>
          <w:szCs w:val="24"/>
        </w:rPr>
        <w:t>‘</w:t>
      </w:r>
      <w:r w:rsidRPr="00A84A20">
        <w:rPr>
          <w:color w:val="222222"/>
          <w:sz w:val="24"/>
          <w:szCs w:val="24"/>
          <w:lang w:eastAsia="en-GB"/>
        </w:rPr>
        <w:t>Where Lawlessness is Law</w:t>
      </w:r>
      <w:r>
        <w:rPr>
          <w:sz w:val="24"/>
          <w:szCs w:val="24"/>
        </w:rPr>
        <w:t xml:space="preserve"> (n 92)</w:t>
      </w:r>
      <w:r w:rsidRPr="00A84A20">
        <w:rPr>
          <w:sz w:val="24"/>
          <w:szCs w:val="24"/>
        </w:rPr>
        <w:t xml:space="preserve"> 5, 21; and Benton, </w:t>
      </w:r>
      <w:r w:rsidRPr="00A84A20">
        <w:rPr>
          <w:i/>
          <w:iCs/>
          <w:sz w:val="24"/>
          <w:szCs w:val="24"/>
        </w:rPr>
        <w:t>A Search for Sovereignty</w:t>
      </w:r>
      <w:r>
        <w:rPr>
          <w:sz w:val="24"/>
          <w:szCs w:val="24"/>
        </w:rPr>
        <w:t xml:space="preserve"> (n 58)</w:t>
      </w:r>
      <w:r w:rsidRPr="00A84A20">
        <w:rPr>
          <w:sz w:val="24"/>
          <w:szCs w:val="24"/>
        </w:rPr>
        <w:t xml:space="preserve"> 290. For scholarship on the role of martial law in the maintenance of empire see Hussain, </w:t>
      </w:r>
      <w:r w:rsidRPr="00A84A20">
        <w:rPr>
          <w:i/>
          <w:iCs/>
          <w:sz w:val="24"/>
          <w:szCs w:val="24"/>
        </w:rPr>
        <w:t>A Jurisprudence of Emergency</w:t>
      </w:r>
      <w:r w:rsidRPr="00A84A20">
        <w:rPr>
          <w:sz w:val="24"/>
          <w:szCs w:val="24"/>
        </w:rPr>
        <w:t xml:space="preserve">, Ch. 4; Kostal, </w:t>
      </w:r>
      <w:r w:rsidRPr="00A84A20">
        <w:rPr>
          <w:i/>
          <w:iCs/>
          <w:sz w:val="24"/>
          <w:szCs w:val="24"/>
        </w:rPr>
        <w:t>A Jurisprudence of Power</w:t>
      </w:r>
      <w:r>
        <w:rPr>
          <w:i/>
          <w:iCs/>
          <w:sz w:val="24"/>
          <w:szCs w:val="24"/>
        </w:rPr>
        <w:t xml:space="preserve"> </w:t>
      </w:r>
      <w:r>
        <w:rPr>
          <w:sz w:val="24"/>
          <w:szCs w:val="24"/>
        </w:rPr>
        <w:t>(n 94)</w:t>
      </w:r>
      <w:r w:rsidRPr="00A84A20">
        <w:rPr>
          <w:sz w:val="24"/>
          <w:szCs w:val="24"/>
        </w:rPr>
        <w:t xml:space="preserve">; </w:t>
      </w:r>
      <w:r w:rsidRPr="00A84A20">
        <w:rPr>
          <w:spacing w:val="2"/>
          <w:sz w:val="24"/>
          <w:szCs w:val="24"/>
        </w:rPr>
        <w:t xml:space="preserve">David Dyzenhaus, </w:t>
      </w:r>
      <w:r>
        <w:rPr>
          <w:spacing w:val="2"/>
          <w:sz w:val="24"/>
          <w:szCs w:val="24"/>
        </w:rPr>
        <w:t>‘</w:t>
      </w:r>
      <w:r w:rsidRPr="00A84A20">
        <w:rPr>
          <w:spacing w:val="2"/>
          <w:sz w:val="24"/>
          <w:szCs w:val="24"/>
        </w:rPr>
        <w:t>The Puzzle of Martial Law</w:t>
      </w:r>
      <w:r>
        <w:rPr>
          <w:spacing w:val="2"/>
          <w:sz w:val="24"/>
          <w:szCs w:val="24"/>
        </w:rPr>
        <w:t>’</w:t>
      </w:r>
      <w:r w:rsidRPr="00A84A20">
        <w:rPr>
          <w:spacing w:val="2"/>
          <w:sz w:val="24"/>
          <w:szCs w:val="24"/>
        </w:rPr>
        <w:t>, </w:t>
      </w:r>
      <w:r w:rsidRPr="00A84A20">
        <w:rPr>
          <w:rStyle w:val="Emphasis"/>
          <w:spacing w:val="2"/>
          <w:sz w:val="24"/>
          <w:szCs w:val="24"/>
        </w:rPr>
        <w:t>University of Toronto Law Journal</w:t>
      </w:r>
      <w:r>
        <w:rPr>
          <w:spacing w:val="2"/>
          <w:sz w:val="24"/>
          <w:szCs w:val="24"/>
        </w:rPr>
        <w:t xml:space="preserve"> </w:t>
      </w:r>
      <w:r w:rsidRPr="00A84A20">
        <w:rPr>
          <w:spacing w:val="2"/>
          <w:sz w:val="24"/>
          <w:szCs w:val="24"/>
        </w:rPr>
        <w:t>59</w:t>
      </w:r>
      <w:r>
        <w:rPr>
          <w:spacing w:val="2"/>
          <w:sz w:val="24"/>
          <w:szCs w:val="24"/>
        </w:rPr>
        <w:t>/</w:t>
      </w:r>
      <w:r w:rsidRPr="00A84A20">
        <w:rPr>
          <w:spacing w:val="2"/>
          <w:sz w:val="24"/>
          <w:szCs w:val="24"/>
        </w:rPr>
        <w:t>1 (2009)</w:t>
      </w:r>
      <w:r>
        <w:rPr>
          <w:spacing w:val="2"/>
          <w:sz w:val="24"/>
          <w:szCs w:val="24"/>
        </w:rPr>
        <w:t>,</w:t>
      </w:r>
      <w:r w:rsidRPr="00A84A20">
        <w:rPr>
          <w:spacing w:val="2"/>
          <w:sz w:val="24"/>
          <w:szCs w:val="24"/>
        </w:rPr>
        <w:t xml:space="preserve"> 1</w:t>
      </w:r>
      <w:r>
        <w:rPr>
          <w:spacing w:val="2"/>
          <w:sz w:val="24"/>
          <w:szCs w:val="24"/>
        </w:rPr>
        <w:t>-</w:t>
      </w:r>
      <w:r w:rsidRPr="00A84A20">
        <w:rPr>
          <w:spacing w:val="2"/>
          <w:sz w:val="24"/>
          <w:szCs w:val="24"/>
        </w:rPr>
        <w:t xml:space="preserve">64; and </w:t>
      </w:r>
      <w:bookmarkStart w:id="44" w:name="_Hlk40949150"/>
      <w:bookmarkStart w:id="45" w:name="_Hlk35602385"/>
      <w:r w:rsidRPr="00A84A20">
        <w:rPr>
          <w:sz w:val="24"/>
          <w:szCs w:val="24"/>
        </w:rPr>
        <w:t xml:space="preserve">Ryan, </w:t>
      </w:r>
      <w:r>
        <w:rPr>
          <w:sz w:val="24"/>
          <w:szCs w:val="24"/>
        </w:rPr>
        <w:t>‘</w:t>
      </w:r>
      <w:r w:rsidRPr="00A84A20">
        <w:rPr>
          <w:sz w:val="24"/>
          <w:szCs w:val="24"/>
        </w:rPr>
        <w:t>Martial Law</w:t>
      </w:r>
      <w:bookmarkEnd w:id="44"/>
      <w:r w:rsidRPr="00A84A20">
        <w:rPr>
          <w:sz w:val="24"/>
          <w:szCs w:val="24"/>
        </w:rPr>
        <w:t xml:space="preserve"> in the British Empire</w:t>
      </w:r>
      <w:r>
        <w:rPr>
          <w:sz w:val="24"/>
          <w:szCs w:val="24"/>
        </w:rPr>
        <w:t>’</w:t>
      </w:r>
      <w:bookmarkEnd w:id="45"/>
      <w:r>
        <w:rPr>
          <w:sz w:val="24"/>
          <w:szCs w:val="24"/>
        </w:rPr>
        <w:t xml:space="preserve"> (n 94)</w:t>
      </w:r>
      <w:r w:rsidRPr="00A84A20">
        <w:rPr>
          <w:sz w:val="24"/>
          <w:szCs w:val="24"/>
        </w:rPr>
        <w:t xml:space="preserve">. The frequent resort to martial law and emergency legislation reveals, as John Reynolds </w:t>
      </w:r>
      <w:r>
        <w:rPr>
          <w:sz w:val="24"/>
          <w:szCs w:val="24"/>
        </w:rPr>
        <w:t>argues</w:t>
      </w:r>
      <w:r w:rsidRPr="00A84A20">
        <w:rPr>
          <w:sz w:val="24"/>
          <w:szCs w:val="24"/>
        </w:rPr>
        <w:t xml:space="preserve">, that the British empire was </w:t>
      </w:r>
      <w:r>
        <w:rPr>
          <w:sz w:val="24"/>
          <w:szCs w:val="24"/>
        </w:rPr>
        <w:t>‘</w:t>
      </w:r>
      <w:r w:rsidRPr="00A84A20">
        <w:rPr>
          <w:sz w:val="24"/>
          <w:szCs w:val="24"/>
        </w:rPr>
        <w:t>the site of the most established, sophisticated and pervasive system of emergency rule and legislation</w:t>
      </w:r>
      <w:r>
        <w:rPr>
          <w:sz w:val="24"/>
          <w:szCs w:val="24"/>
        </w:rPr>
        <w:t>’</w:t>
      </w:r>
      <w:r w:rsidRPr="00A84A20">
        <w:rPr>
          <w:sz w:val="24"/>
          <w:szCs w:val="24"/>
        </w:rPr>
        <w:t xml:space="preserve">. Reynolds, </w:t>
      </w:r>
      <w:r w:rsidRPr="00A84A20">
        <w:rPr>
          <w:i/>
          <w:iCs/>
          <w:sz w:val="24"/>
          <w:szCs w:val="24"/>
        </w:rPr>
        <w:t>Empire, Emergency</w:t>
      </w:r>
      <w:r>
        <w:rPr>
          <w:i/>
          <w:iCs/>
          <w:sz w:val="24"/>
          <w:szCs w:val="24"/>
        </w:rPr>
        <w:t xml:space="preserve"> </w:t>
      </w:r>
      <w:r>
        <w:rPr>
          <w:sz w:val="24"/>
          <w:szCs w:val="24"/>
        </w:rPr>
        <w:t>(n 15)</w:t>
      </w:r>
      <w:r w:rsidRPr="00A84A20">
        <w:rPr>
          <w:i/>
          <w:iCs/>
          <w:sz w:val="24"/>
          <w:szCs w:val="24"/>
        </w:rPr>
        <w:t xml:space="preserve"> </w:t>
      </w:r>
      <w:r w:rsidRPr="00A84A20">
        <w:rPr>
          <w:sz w:val="24"/>
          <w:szCs w:val="24"/>
        </w:rPr>
        <w:t>69.</w:t>
      </w:r>
    </w:p>
  </w:footnote>
  <w:footnote w:id="208">
    <w:p w14:paraId="3FD834AC"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Michelle Farrell, </w:t>
      </w:r>
      <w:r w:rsidRPr="00A84A20">
        <w:rPr>
          <w:i/>
          <w:iCs/>
          <w:sz w:val="24"/>
          <w:szCs w:val="24"/>
        </w:rPr>
        <w:t xml:space="preserve">The Prohibition of Torture in Exceptional Circumstances </w:t>
      </w:r>
      <w:r w:rsidRPr="00A84A20">
        <w:rPr>
          <w:sz w:val="24"/>
          <w:szCs w:val="24"/>
        </w:rPr>
        <w:t>(Cambridge: Cambridge University Press 2013), 199</w:t>
      </w:r>
      <w:r>
        <w:rPr>
          <w:sz w:val="24"/>
          <w:szCs w:val="24"/>
        </w:rPr>
        <w:t xml:space="preserve"> (hereafter Farrell, </w:t>
      </w:r>
      <w:r>
        <w:rPr>
          <w:i/>
          <w:iCs/>
          <w:sz w:val="24"/>
          <w:szCs w:val="24"/>
        </w:rPr>
        <w:t>The Prohibition of Torture</w:t>
      </w:r>
      <w:r>
        <w:rPr>
          <w:sz w:val="24"/>
          <w:szCs w:val="24"/>
        </w:rPr>
        <w:t>)</w:t>
      </w:r>
      <w:r w:rsidRPr="00A84A20">
        <w:rPr>
          <w:sz w:val="24"/>
          <w:szCs w:val="24"/>
        </w:rPr>
        <w:t>.</w:t>
      </w:r>
    </w:p>
  </w:footnote>
  <w:footnote w:id="209">
    <w:p w14:paraId="646980A6"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Although colonial India was clearly not a democratic state torture in colonial India was perpetrated on behalf of one.</w:t>
      </w:r>
    </w:p>
  </w:footnote>
  <w:footnote w:id="210">
    <w:p w14:paraId="3E795C29"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Rejali, </w:t>
      </w:r>
      <w:r w:rsidRPr="00A84A20">
        <w:rPr>
          <w:i/>
          <w:iCs/>
          <w:sz w:val="24"/>
          <w:szCs w:val="24"/>
        </w:rPr>
        <w:t>Torture and Democracy</w:t>
      </w:r>
      <w:r>
        <w:rPr>
          <w:sz w:val="24"/>
          <w:szCs w:val="24"/>
        </w:rPr>
        <w:t xml:space="preserve"> (n 36) </w:t>
      </w:r>
      <w:r w:rsidRPr="00A84A20">
        <w:rPr>
          <w:sz w:val="24"/>
          <w:szCs w:val="24"/>
        </w:rPr>
        <w:t>49.</w:t>
      </w:r>
    </w:p>
  </w:footnote>
  <w:footnote w:id="211">
    <w:p w14:paraId="50D17466"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Ibid, 46.</w:t>
      </w:r>
    </w:p>
  </w:footnote>
  <w:footnote w:id="212">
    <w:p w14:paraId="0E6B4F4A"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Ibid, 54. See also </w:t>
      </w:r>
      <w:bookmarkStart w:id="46" w:name="_Hlk16692610"/>
      <w:r w:rsidRPr="00A84A20">
        <w:rPr>
          <w:bCs/>
          <w:sz w:val="24"/>
          <w:szCs w:val="24"/>
        </w:rPr>
        <w:t xml:space="preserve">Thomas and Leo, </w:t>
      </w:r>
      <w:r w:rsidRPr="00A84A20">
        <w:rPr>
          <w:bCs/>
          <w:i/>
          <w:sz w:val="24"/>
          <w:szCs w:val="24"/>
        </w:rPr>
        <w:t>Confessions of Guilt</w:t>
      </w:r>
      <w:bookmarkEnd w:id="46"/>
      <w:r>
        <w:rPr>
          <w:bCs/>
          <w:i/>
          <w:sz w:val="24"/>
          <w:szCs w:val="24"/>
        </w:rPr>
        <w:t xml:space="preserve"> </w:t>
      </w:r>
      <w:r>
        <w:rPr>
          <w:bCs/>
          <w:iCs/>
          <w:sz w:val="24"/>
          <w:szCs w:val="24"/>
        </w:rPr>
        <w:t>(n 51)</w:t>
      </w:r>
      <w:r w:rsidRPr="00A84A20">
        <w:rPr>
          <w:bCs/>
          <w:i/>
          <w:sz w:val="24"/>
          <w:szCs w:val="24"/>
        </w:rPr>
        <w:t>.</w:t>
      </w:r>
      <w:r w:rsidRPr="00A84A20">
        <w:rPr>
          <w:sz w:val="24"/>
          <w:szCs w:val="24"/>
        </w:rPr>
        <w:t xml:space="preserve"> Torture was legally part of the judicial process during England’s early encounter with India (as well as illegally, </w:t>
      </w:r>
      <w:r>
        <w:rPr>
          <w:sz w:val="24"/>
          <w:szCs w:val="24"/>
        </w:rPr>
        <w:t>as a means of extorting</w:t>
      </w:r>
      <w:r w:rsidRPr="00A84A20">
        <w:rPr>
          <w:sz w:val="24"/>
          <w:szCs w:val="24"/>
        </w:rPr>
        <w:t xml:space="preserve"> confessions), though this was no longer the case during the period of British rule. </w:t>
      </w:r>
      <w:r w:rsidRPr="00A84A20">
        <w:rPr>
          <w:bCs/>
          <w:sz w:val="24"/>
          <w:szCs w:val="24"/>
        </w:rPr>
        <w:t xml:space="preserve">Edmond J. Smith, </w:t>
      </w:r>
      <w:r>
        <w:rPr>
          <w:bCs/>
          <w:sz w:val="24"/>
          <w:szCs w:val="24"/>
        </w:rPr>
        <w:t>‘</w:t>
      </w:r>
      <w:r w:rsidRPr="00A84A20">
        <w:rPr>
          <w:bCs/>
          <w:sz w:val="24"/>
          <w:szCs w:val="24"/>
        </w:rPr>
        <w:t>Reporting and Interpreting Legal Violence in Asia: The East India Company’s Printed Accounts of Torture, 1603</w:t>
      </w:r>
      <w:r>
        <w:rPr>
          <w:bCs/>
          <w:sz w:val="24"/>
          <w:szCs w:val="24"/>
        </w:rPr>
        <w:t>-</w:t>
      </w:r>
      <w:r w:rsidRPr="00A84A20">
        <w:rPr>
          <w:bCs/>
          <w:sz w:val="24"/>
          <w:szCs w:val="24"/>
        </w:rPr>
        <w:t>24</w:t>
      </w:r>
      <w:r>
        <w:rPr>
          <w:bCs/>
          <w:sz w:val="24"/>
          <w:szCs w:val="24"/>
        </w:rPr>
        <w:t>’</w:t>
      </w:r>
      <w:r w:rsidRPr="00A84A20">
        <w:rPr>
          <w:bCs/>
          <w:sz w:val="24"/>
          <w:szCs w:val="24"/>
        </w:rPr>
        <w:t xml:space="preserve">, </w:t>
      </w:r>
      <w:r w:rsidRPr="00A84A20">
        <w:rPr>
          <w:bCs/>
          <w:i/>
          <w:sz w:val="24"/>
          <w:szCs w:val="24"/>
        </w:rPr>
        <w:t>The Journal of Imperial and Commonwealth History</w:t>
      </w:r>
      <w:r w:rsidRPr="00A84A20">
        <w:rPr>
          <w:bCs/>
          <w:sz w:val="24"/>
          <w:szCs w:val="24"/>
        </w:rPr>
        <w:t xml:space="preserve"> 46</w:t>
      </w:r>
      <w:r>
        <w:rPr>
          <w:bCs/>
          <w:sz w:val="24"/>
          <w:szCs w:val="24"/>
        </w:rPr>
        <w:t>/</w:t>
      </w:r>
      <w:r w:rsidRPr="00A84A20">
        <w:rPr>
          <w:bCs/>
          <w:sz w:val="24"/>
          <w:szCs w:val="24"/>
        </w:rPr>
        <w:t>4 (2018)</w:t>
      </w:r>
      <w:r>
        <w:rPr>
          <w:bCs/>
          <w:sz w:val="24"/>
          <w:szCs w:val="24"/>
        </w:rPr>
        <w:t>,</w:t>
      </w:r>
      <w:r w:rsidRPr="00A84A20">
        <w:rPr>
          <w:bCs/>
          <w:sz w:val="24"/>
          <w:szCs w:val="24"/>
        </w:rPr>
        <w:t xml:space="preserve"> 605, 612</w:t>
      </w:r>
      <w:r>
        <w:rPr>
          <w:bCs/>
          <w:sz w:val="24"/>
          <w:szCs w:val="24"/>
        </w:rPr>
        <w:t>-</w:t>
      </w:r>
      <w:r w:rsidRPr="00A84A20">
        <w:rPr>
          <w:bCs/>
          <w:sz w:val="24"/>
          <w:szCs w:val="24"/>
        </w:rPr>
        <w:t>13.</w:t>
      </w:r>
    </w:p>
  </w:footnote>
  <w:footnote w:id="213">
    <w:p w14:paraId="45CD8261" w14:textId="77777777" w:rsidR="00997966" w:rsidRPr="00A84A20" w:rsidRDefault="00997966" w:rsidP="00997966">
      <w:pPr>
        <w:pStyle w:val="FootnoteText"/>
        <w:spacing w:line="480" w:lineRule="auto"/>
        <w:rPr>
          <w:color w:val="000000"/>
          <w:sz w:val="24"/>
          <w:szCs w:val="24"/>
          <w:shd w:val="clear" w:color="auto" w:fill="FFFFFF"/>
        </w:rPr>
      </w:pPr>
      <w:r w:rsidRPr="00A84A20">
        <w:rPr>
          <w:rStyle w:val="FootnoteReference"/>
          <w:sz w:val="24"/>
          <w:szCs w:val="24"/>
        </w:rPr>
        <w:footnoteRef/>
      </w:r>
      <w:r w:rsidRPr="00A84A20">
        <w:rPr>
          <w:sz w:val="24"/>
          <w:szCs w:val="24"/>
        </w:rPr>
        <w:t xml:space="preserve"> </w:t>
      </w:r>
      <w:r>
        <w:rPr>
          <w:color w:val="000000"/>
          <w:sz w:val="24"/>
          <w:szCs w:val="24"/>
          <w:shd w:val="clear" w:color="auto" w:fill="FFFFFF"/>
        </w:rPr>
        <w:t>‘</w:t>
      </w:r>
      <w:r w:rsidRPr="00A84A20">
        <w:rPr>
          <w:color w:val="000000"/>
          <w:sz w:val="24"/>
          <w:szCs w:val="24"/>
          <w:shd w:val="clear" w:color="auto" w:fill="FFFFFF"/>
        </w:rPr>
        <w:t>Of Torture</w:t>
      </w:r>
      <w:r>
        <w:rPr>
          <w:color w:val="000000"/>
          <w:sz w:val="24"/>
          <w:szCs w:val="24"/>
          <w:shd w:val="clear" w:color="auto" w:fill="FFFFFF"/>
        </w:rPr>
        <w:t>’</w:t>
      </w:r>
      <w:r w:rsidRPr="00A84A20">
        <w:rPr>
          <w:color w:val="000000"/>
          <w:sz w:val="24"/>
          <w:szCs w:val="24"/>
          <w:shd w:val="clear" w:color="auto" w:fill="FFFFFF"/>
        </w:rPr>
        <w:t xml:space="preserve">, Bentham Papers, Box 46/63–7, University College London Library, cited in Jeremy Davies, </w:t>
      </w:r>
      <w:r>
        <w:rPr>
          <w:color w:val="000000"/>
          <w:sz w:val="24"/>
          <w:szCs w:val="24"/>
          <w:shd w:val="clear" w:color="auto" w:fill="FFFFFF"/>
        </w:rPr>
        <w:t>‘</w:t>
      </w:r>
      <w:r w:rsidRPr="00A84A20">
        <w:rPr>
          <w:color w:val="000000"/>
          <w:sz w:val="24"/>
          <w:szCs w:val="24"/>
          <w:shd w:val="clear" w:color="auto" w:fill="FFFFFF"/>
        </w:rPr>
        <w:t>The Fire</w:t>
      </w:r>
      <w:r>
        <w:rPr>
          <w:color w:val="000000"/>
          <w:sz w:val="24"/>
          <w:szCs w:val="24"/>
          <w:shd w:val="clear" w:color="auto" w:fill="FFFFFF"/>
        </w:rPr>
        <w:t>-</w:t>
      </w:r>
      <w:r w:rsidRPr="00A84A20">
        <w:rPr>
          <w:color w:val="000000"/>
          <w:sz w:val="24"/>
          <w:szCs w:val="24"/>
          <w:shd w:val="clear" w:color="auto" w:fill="FFFFFF"/>
        </w:rPr>
        <w:t>Raisers: Bentham and Torture</w:t>
      </w:r>
      <w:r>
        <w:rPr>
          <w:color w:val="000000"/>
          <w:sz w:val="24"/>
          <w:szCs w:val="24"/>
          <w:shd w:val="clear" w:color="auto" w:fill="FFFFFF"/>
        </w:rPr>
        <w:t>’</w:t>
      </w:r>
      <w:r w:rsidRPr="00A84A20">
        <w:rPr>
          <w:color w:val="000000"/>
          <w:sz w:val="24"/>
          <w:szCs w:val="24"/>
          <w:shd w:val="clear" w:color="auto" w:fill="FFFFFF"/>
        </w:rPr>
        <w:t xml:space="preserve">, </w:t>
      </w:r>
      <w:r w:rsidRPr="00A84A20">
        <w:rPr>
          <w:i/>
          <w:iCs/>
          <w:color w:val="000000"/>
          <w:sz w:val="24"/>
          <w:szCs w:val="24"/>
          <w:shd w:val="clear" w:color="auto" w:fill="FFFFFF"/>
        </w:rPr>
        <w:t>19: Interdisciplinary Studies in the Long Nineteenth Century</w:t>
      </w:r>
      <w:r w:rsidRPr="00A84A20">
        <w:rPr>
          <w:color w:val="000000"/>
          <w:sz w:val="24"/>
          <w:szCs w:val="24"/>
          <w:shd w:val="clear" w:color="auto" w:fill="FFFFFF"/>
        </w:rPr>
        <w:t>, 15 (2012), 5</w:t>
      </w:r>
      <w:r>
        <w:rPr>
          <w:color w:val="000000"/>
          <w:sz w:val="24"/>
          <w:szCs w:val="24"/>
          <w:shd w:val="clear" w:color="auto" w:fill="FFFFFF"/>
        </w:rPr>
        <w:t>-</w:t>
      </w:r>
      <w:r w:rsidRPr="00A84A20">
        <w:rPr>
          <w:color w:val="000000"/>
          <w:sz w:val="24"/>
          <w:szCs w:val="24"/>
          <w:shd w:val="clear" w:color="auto" w:fill="FFFFFF"/>
        </w:rPr>
        <w:t>6</w:t>
      </w:r>
      <w:r>
        <w:rPr>
          <w:color w:val="000000"/>
          <w:sz w:val="24"/>
          <w:szCs w:val="24"/>
          <w:shd w:val="clear" w:color="auto" w:fill="FFFFFF"/>
        </w:rPr>
        <w:t xml:space="preserve"> [DOI: </w:t>
      </w:r>
      <w:hyperlink r:id="rId45" w:history="1">
        <w:r>
          <w:rPr>
            <w:rStyle w:val="Hyperlink"/>
            <w:color w:val="2199E8"/>
            <w:sz w:val="22"/>
            <w:szCs w:val="22"/>
            <w:shd w:val="clear" w:color="auto" w:fill="FEFEFE"/>
          </w:rPr>
          <w:t>https://doi.org/10.16995/ntn.643</w:t>
        </w:r>
      </w:hyperlink>
      <w:r>
        <w:rPr>
          <w:color w:val="000000"/>
          <w:sz w:val="24"/>
          <w:szCs w:val="24"/>
          <w:shd w:val="clear" w:color="auto" w:fill="FFFFFF"/>
        </w:rPr>
        <w:t>] (hereafter Davis, ‘The Fire-Raisers’)</w:t>
      </w:r>
      <w:r w:rsidRPr="00A84A20">
        <w:rPr>
          <w:color w:val="000000"/>
          <w:sz w:val="24"/>
          <w:szCs w:val="24"/>
          <w:shd w:val="clear" w:color="auto" w:fill="FFFFFF"/>
        </w:rPr>
        <w:t xml:space="preserve">; see also William Twining, </w:t>
      </w:r>
      <w:r>
        <w:rPr>
          <w:color w:val="000000"/>
          <w:sz w:val="24"/>
          <w:szCs w:val="24"/>
          <w:shd w:val="clear" w:color="auto" w:fill="FFFFFF"/>
        </w:rPr>
        <w:t>‘</w:t>
      </w:r>
      <w:r w:rsidRPr="00A84A20">
        <w:rPr>
          <w:color w:val="000000"/>
          <w:sz w:val="24"/>
          <w:szCs w:val="24"/>
          <w:shd w:val="clear" w:color="auto" w:fill="FFFFFF"/>
        </w:rPr>
        <w:t>Bentham on Torture</w:t>
      </w:r>
      <w:r>
        <w:rPr>
          <w:color w:val="000000"/>
          <w:sz w:val="24"/>
          <w:szCs w:val="24"/>
          <w:shd w:val="clear" w:color="auto" w:fill="FFFFFF"/>
        </w:rPr>
        <w:t>’</w:t>
      </w:r>
      <w:r w:rsidRPr="00A84A20">
        <w:rPr>
          <w:color w:val="000000"/>
          <w:sz w:val="24"/>
          <w:szCs w:val="24"/>
          <w:shd w:val="clear" w:color="auto" w:fill="FFFFFF"/>
        </w:rPr>
        <w:t xml:space="preserve">, </w:t>
      </w:r>
      <w:r w:rsidRPr="00A84A20">
        <w:rPr>
          <w:i/>
          <w:iCs/>
          <w:sz w:val="24"/>
          <w:szCs w:val="24"/>
          <w:shd w:val="clear" w:color="auto" w:fill="FFFFFF"/>
        </w:rPr>
        <w:t xml:space="preserve">Northern Ireland Legal Quarterly </w:t>
      </w:r>
      <w:r w:rsidRPr="00A84A20">
        <w:rPr>
          <w:sz w:val="24"/>
          <w:szCs w:val="24"/>
          <w:shd w:val="clear" w:color="auto" w:fill="FFFFFF"/>
        </w:rPr>
        <w:t>24</w:t>
      </w:r>
      <w:r>
        <w:rPr>
          <w:sz w:val="24"/>
          <w:szCs w:val="24"/>
          <w:shd w:val="clear" w:color="auto" w:fill="FFFFFF"/>
        </w:rPr>
        <w:t>/</w:t>
      </w:r>
      <w:r w:rsidRPr="00A84A20">
        <w:rPr>
          <w:sz w:val="24"/>
          <w:szCs w:val="24"/>
          <w:shd w:val="clear" w:color="auto" w:fill="FFFFFF"/>
        </w:rPr>
        <w:t xml:space="preserve"> 3 (1973)</w:t>
      </w:r>
      <w:r>
        <w:rPr>
          <w:sz w:val="24"/>
          <w:szCs w:val="24"/>
          <w:shd w:val="clear" w:color="auto" w:fill="FFFFFF"/>
        </w:rPr>
        <w:t>,</w:t>
      </w:r>
      <w:r w:rsidRPr="00A84A20">
        <w:rPr>
          <w:sz w:val="24"/>
          <w:szCs w:val="24"/>
          <w:shd w:val="clear" w:color="auto" w:fill="FFFFFF"/>
        </w:rPr>
        <w:t xml:space="preserve"> 305</w:t>
      </w:r>
      <w:r>
        <w:rPr>
          <w:sz w:val="24"/>
          <w:szCs w:val="24"/>
          <w:shd w:val="clear" w:color="auto" w:fill="FFFFFF"/>
        </w:rPr>
        <w:t>-</w:t>
      </w:r>
      <w:r w:rsidRPr="00A84A20">
        <w:rPr>
          <w:sz w:val="24"/>
          <w:szCs w:val="24"/>
          <w:shd w:val="clear" w:color="auto" w:fill="FFFFFF"/>
        </w:rPr>
        <w:t>57</w:t>
      </w:r>
      <w:r w:rsidRPr="00A84A20">
        <w:rPr>
          <w:color w:val="000000"/>
          <w:sz w:val="24"/>
          <w:szCs w:val="24"/>
          <w:shd w:val="clear" w:color="auto" w:fill="FFFFFF"/>
        </w:rPr>
        <w:t>. This is not to say that torture in colonial India could not take other forms, such as mental suffering, nor that it did not have long</w:t>
      </w:r>
      <w:r>
        <w:rPr>
          <w:color w:val="000000"/>
          <w:sz w:val="24"/>
          <w:szCs w:val="24"/>
          <w:shd w:val="clear" w:color="auto" w:fill="FFFFFF"/>
        </w:rPr>
        <w:t>-</w:t>
      </w:r>
      <w:r w:rsidRPr="00A84A20">
        <w:rPr>
          <w:color w:val="000000"/>
          <w:sz w:val="24"/>
          <w:szCs w:val="24"/>
          <w:shd w:val="clear" w:color="auto" w:fill="FFFFFF"/>
        </w:rPr>
        <w:t>term psychological, cultural, social, and inter</w:t>
      </w:r>
      <w:r>
        <w:rPr>
          <w:color w:val="000000"/>
          <w:sz w:val="24"/>
          <w:szCs w:val="24"/>
          <w:shd w:val="clear" w:color="auto" w:fill="FFFFFF"/>
        </w:rPr>
        <w:t>-</w:t>
      </w:r>
      <w:r w:rsidRPr="00A84A20">
        <w:rPr>
          <w:color w:val="000000"/>
          <w:sz w:val="24"/>
          <w:szCs w:val="24"/>
          <w:shd w:val="clear" w:color="auto" w:fill="FFFFFF"/>
        </w:rPr>
        <w:t>generational effects. Bentham’s understanding is, however, largely the way in which torture was understood in colonial India</w:t>
      </w:r>
      <w:r w:rsidRPr="00A84A20">
        <w:rPr>
          <w:i/>
          <w:iCs/>
          <w:color w:val="000000"/>
          <w:sz w:val="24"/>
          <w:szCs w:val="24"/>
          <w:shd w:val="clear" w:color="auto" w:fill="FFFFFF"/>
        </w:rPr>
        <w:t xml:space="preserve">. </w:t>
      </w:r>
    </w:p>
  </w:footnote>
  <w:footnote w:id="214">
    <w:p w14:paraId="780F9B6D"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Davies, </w:t>
      </w:r>
      <w:r>
        <w:rPr>
          <w:sz w:val="24"/>
          <w:szCs w:val="24"/>
        </w:rPr>
        <w:t>‘</w:t>
      </w:r>
      <w:r w:rsidRPr="00A84A20">
        <w:rPr>
          <w:sz w:val="24"/>
          <w:szCs w:val="24"/>
        </w:rPr>
        <w:t>The Fire</w:t>
      </w:r>
      <w:r>
        <w:rPr>
          <w:sz w:val="24"/>
          <w:szCs w:val="24"/>
        </w:rPr>
        <w:t>-</w:t>
      </w:r>
      <w:r w:rsidRPr="00A84A20">
        <w:rPr>
          <w:sz w:val="24"/>
          <w:szCs w:val="24"/>
        </w:rPr>
        <w:t>Raisers</w:t>
      </w:r>
      <w:r>
        <w:rPr>
          <w:sz w:val="24"/>
          <w:szCs w:val="24"/>
        </w:rPr>
        <w:t>’ (n 212)</w:t>
      </w:r>
      <w:r w:rsidRPr="00A84A20">
        <w:rPr>
          <w:sz w:val="24"/>
          <w:szCs w:val="24"/>
        </w:rPr>
        <w:t xml:space="preserve"> 5, 20. Bentham’s understanding of torture can only be deduced from fragmentary texts, written between 1780 and 1804, in his voluminous archive of aborted projects of legal criticism. These have, however, been</w:t>
      </w:r>
      <w:r w:rsidRPr="00A84A20">
        <w:rPr>
          <w:sz w:val="24"/>
          <w:szCs w:val="24"/>
          <w:shd w:val="clear" w:color="auto" w:fill="FFFFFF"/>
        </w:rPr>
        <w:t xml:space="preserve"> subject to considerable recent debate on the ethical use of torture</w:t>
      </w:r>
      <w:r w:rsidRPr="00A84A20">
        <w:rPr>
          <w:sz w:val="24"/>
          <w:szCs w:val="24"/>
        </w:rPr>
        <w:t xml:space="preserve">. </w:t>
      </w:r>
      <w:bookmarkStart w:id="47" w:name="_Hlk36035315"/>
      <w:r w:rsidRPr="00A84A20">
        <w:rPr>
          <w:color w:val="000000"/>
          <w:sz w:val="24"/>
          <w:szCs w:val="24"/>
          <w:shd w:val="clear" w:color="auto" w:fill="FFFFFF"/>
        </w:rPr>
        <w:t xml:space="preserve">Davies, </w:t>
      </w:r>
      <w:r>
        <w:rPr>
          <w:color w:val="000000"/>
          <w:sz w:val="24"/>
          <w:szCs w:val="24"/>
          <w:shd w:val="clear" w:color="auto" w:fill="FFFFFF"/>
        </w:rPr>
        <w:t>‘</w:t>
      </w:r>
      <w:r w:rsidRPr="00A84A20">
        <w:rPr>
          <w:color w:val="000000"/>
          <w:sz w:val="24"/>
          <w:szCs w:val="24"/>
          <w:shd w:val="clear" w:color="auto" w:fill="FFFFFF"/>
        </w:rPr>
        <w:t>The Fire</w:t>
      </w:r>
      <w:r>
        <w:rPr>
          <w:color w:val="000000"/>
          <w:sz w:val="24"/>
          <w:szCs w:val="24"/>
          <w:shd w:val="clear" w:color="auto" w:fill="FFFFFF"/>
        </w:rPr>
        <w:t>-</w:t>
      </w:r>
      <w:r w:rsidRPr="00A84A20">
        <w:rPr>
          <w:color w:val="000000"/>
          <w:sz w:val="24"/>
          <w:szCs w:val="24"/>
          <w:shd w:val="clear" w:color="auto" w:fill="FFFFFF"/>
        </w:rPr>
        <w:t>Raisers</w:t>
      </w:r>
      <w:r>
        <w:rPr>
          <w:color w:val="000000"/>
          <w:sz w:val="24"/>
          <w:szCs w:val="24"/>
          <w:shd w:val="clear" w:color="auto" w:fill="FFFFFF"/>
        </w:rPr>
        <w:t xml:space="preserve">’ (n 212) </w:t>
      </w:r>
      <w:r w:rsidRPr="00A84A20">
        <w:rPr>
          <w:color w:val="000000"/>
          <w:sz w:val="24"/>
          <w:szCs w:val="24"/>
          <w:shd w:val="clear" w:color="auto" w:fill="FFFFFF"/>
        </w:rPr>
        <w:t>1</w:t>
      </w:r>
      <w:r>
        <w:rPr>
          <w:color w:val="000000"/>
          <w:sz w:val="24"/>
          <w:szCs w:val="24"/>
          <w:shd w:val="clear" w:color="auto" w:fill="FFFFFF"/>
        </w:rPr>
        <w:t>-</w:t>
      </w:r>
      <w:r w:rsidRPr="00A84A20">
        <w:rPr>
          <w:color w:val="000000"/>
          <w:sz w:val="24"/>
          <w:szCs w:val="24"/>
          <w:shd w:val="clear" w:color="auto" w:fill="FFFFFF"/>
        </w:rPr>
        <w:t>2</w:t>
      </w:r>
      <w:bookmarkEnd w:id="47"/>
      <w:r w:rsidRPr="00A84A20">
        <w:rPr>
          <w:sz w:val="24"/>
          <w:szCs w:val="24"/>
        </w:rPr>
        <w:t xml:space="preserve">; see also </w:t>
      </w:r>
      <w:r w:rsidRPr="00A84A20">
        <w:rPr>
          <w:color w:val="000000"/>
          <w:sz w:val="24"/>
          <w:szCs w:val="24"/>
          <w:shd w:val="clear" w:color="auto" w:fill="FFFFFF"/>
        </w:rPr>
        <w:t xml:space="preserve">Alan M. Dershowitz, </w:t>
      </w:r>
      <w:r w:rsidRPr="00A84A20">
        <w:rPr>
          <w:i/>
          <w:iCs/>
          <w:color w:val="000000"/>
          <w:sz w:val="24"/>
          <w:szCs w:val="24"/>
          <w:shd w:val="clear" w:color="auto" w:fill="FFFFFF"/>
        </w:rPr>
        <w:t>Why Terrorism Works: Understanding the Threat, Responding to the Challenge</w:t>
      </w:r>
      <w:r w:rsidRPr="00A84A20">
        <w:rPr>
          <w:color w:val="000000"/>
          <w:sz w:val="24"/>
          <w:szCs w:val="24"/>
          <w:shd w:val="clear" w:color="auto" w:fill="FFFFFF"/>
        </w:rPr>
        <w:t xml:space="preserve"> (New Haven: Yale University Press, 2002), 131</w:t>
      </w:r>
      <w:r>
        <w:rPr>
          <w:color w:val="000000"/>
          <w:sz w:val="24"/>
          <w:szCs w:val="24"/>
          <w:shd w:val="clear" w:color="auto" w:fill="FFFFFF"/>
        </w:rPr>
        <w:t>-</w:t>
      </w:r>
      <w:r w:rsidRPr="00A84A20">
        <w:rPr>
          <w:color w:val="000000"/>
          <w:sz w:val="24"/>
          <w:szCs w:val="24"/>
          <w:shd w:val="clear" w:color="auto" w:fill="FFFFFF"/>
        </w:rPr>
        <w:t>63.</w:t>
      </w:r>
    </w:p>
  </w:footnote>
  <w:footnote w:id="215">
    <w:p w14:paraId="09CA9CC9"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Farrell, </w:t>
      </w:r>
      <w:r w:rsidRPr="00A84A20">
        <w:rPr>
          <w:i/>
          <w:iCs/>
          <w:sz w:val="24"/>
          <w:szCs w:val="24"/>
        </w:rPr>
        <w:t>The Prohibition of Torture</w:t>
      </w:r>
      <w:r>
        <w:rPr>
          <w:sz w:val="24"/>
          <w:szCs w:val="24"/>
        </w:rPr>
        <w:t xml:space="preserve"> (n 207) </w:t>
      </w:r>
      <w:r w:rsidRPr="00A84A20">
        <w:rPr>
          <w:sz w:val="24"/>
          <w:szCs w:val="24"/>
        </w:rPr>
        <w:t>173.</w:t>
      </w:r>
    </w:p>
  </w:footnote>
  <w:footnote w:id="216">
    <w:p w14:paraId="3CED8BFC"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According to Upendra Baxi torture is institutionali</w:t>
      </w:r>
      <w:r>
        <w:rPr>
          <w:sz w:val="24"/>
          <w:szCs w:val="24"/>
        </w:rPr>
        <w:t>z</w:t>
      </w:r>
      <w:r w:rsidRPr="00A84A20">
        <w:rPr>
          <w:sz w:val="24"/>
          <w:szCs w:val="24"/>
        </w:rPr>
        <w:t xml:space="preserve">ed when: </w:t>
      </w:r>
      <w:r>
        <w:rPr>
          <w:sz w:val="24"/>
          <w:szCs w:val="24"/>
        </w:rPr>
        <w:t>‘</w:t>
      </w:r>
      <w:r w:rsidRPr="00A84A20">
        <w:rPr>
          <w:bCs/>
          <w:sz w:val="24"/>
          <w:szCs w:val="24"/>
        </w:rPr>
        <w:t xml:space="preserve">(i) </w:t>
      </w:r>
      <w:r w:rsidRPr="00A84A20">
        <w:rPr>
          <w:bCs/>
          <w:i/>
          <w:iCs/>
          <w:sz w:val="24"/>
          <w:szCs w:val="24"/>
        </w:rPr>
        <w:t>judicious</w:t>
      </w:r>
      <w:r w:rsidRPr="00A84A20">
        <w:rPr>
          <w:sz w:val="24"/>
          <w:szCs w:val="24"/>
        </w:rPr>
        <w:t xml:space="preserve"> </w:t>
      </w:r>
      <w:r w:rsidRPr="00A84A20">
        <w:rPr>
          <w:bCs/>
          <w:sz w:val="24"/>
          <w:szCs w:val="24"/>
        </w:rPr>
        <w:t xml:space="preserve">use of custodial torture is seen both as necessary and </w:t>
      </w:r>
      <w:r w:rsidRPr="00A84A20">
        <w:rPr>
          <w:bCs/>
          <w:i/>
          <w:iCs/>
          <w:sz w:val="24"/>
          <w:szCs w:val="24"/>
        </w:rPr>
        <w:t>justified</w:t>
      </w:r>
      <w:r w:rsidRPr="00A84A20">
        <w:rPr>
          <w:bCs/>
          <w:sz w:val="24"/>
          <w:szCs w:val="24"/>
        </w:rPr>
        <w:t xml:space="preserve"> for the performance of role</w:t>
      </w:r>
      <w:r>
        <w:rPr>
          <w:bCs/>
          <w:sz w:val="24"/>
          <w:szCs w:val="24"/>
        </w:rPr>
        <w:t>-</w:t>
      </w:r>
      <w:r w:rsidRPr="00A84A20">
        <w:rPr>
          <w:bCs/>
          <w:sz w:val="24"/>
          <w:szCs w:val="24"/>
        </w:rPr>
        <w:t>obligations; (ii) there is discretion to use torture, which is fairly widespread (and not hierarchically concentrated), and determination are consciously made, within the organization, in the exercise and review of this discretion; and (iii) consequentially, the organization as a whole supports these recourses to torture in a variety of ways, even by providing functional and moral justifications, often publicly</w:t>
      </w:r>
      <w:r>
        <w:rPr>
          <w:bCs/>
          <w:sz w:val="24"/>
          <w:szCs w:val="24"/>
        </w:rPr>
        <w:t>’</w:t>
      </w:r>
      <w:r w:rsidRPr="00A84A20">
        <w:rPr>
          <w:bCs/>
          <w:sz w:val="24"/>
          <w:szCs w:val="24"/>
        </w:rPr>
        <w:t xml:space="preserve">. </w:t>
      </w:r>
      <w:r>
        <w:rPr>
          <w:bCs/>
          <w:sz w:val="24"/>
          <w:szCs w:val="24"/>
        </w:rPr>
        <w:t xml:space="preserve">Baxi, </w:t>
      </w:r>
      <w:r w:rsidRPr="00A84A20">
        <w:rPr>
          <w:bCs/>
          <w:i/>
          <w:iCs/>
          <w:sz w:val="24"/>
          <w:szCs w:val="24"/>
        </w:rPr>
        <w:t xml:space="preserve">The Crisis </w:t>
      </w:r>
      <w:r>
        <w:rPr>
          <w:bCs/>
          <w:sz w:val="24"/>
          <w:szCs w:val="24"/>
        </w:rPr>
        <w:t xml:space="preserve">(n 61) </w:t>
      </w:r>
      <w:r w:rsidRPr="00A84A20">
        <w:rPr>
          <w:bCs/>
          <w:sz w:val="24"/>
          <w:szCs w:val="24"/>
        </w:rPr>
        <w:t xml:space="preserve">123. See also Wahl, </w:t>
      </w:r>
      <w:r w:rsidRPr="00A84A20">
        <w:rPr>
          <w:bCs/>
          <w:i/>
          <w:iCs/>
          <w:sz w:val="24"/>
          <w:szCs w:val="24"/>
        </w:rPr>
        <w:t>Just Violence</w:t>
      </w:r>
      <w:r>
        <w:rPr>
          <w:bCs/>
          <w:i/>
          <w:iCs/>
          <w:sz w:val="24"/>
          <w:szCs w:val="24"/>
        </w:rPr>
        <w:t xml:space="preserve"> </w:t>
      </w:r>
      <w:r>
        <w:rPr>
          <w:bCs/>
          <w:sz w:val="24"/>
          <w:szCs w:val="24"/>
        </w:rPr>
        <w:t>(n 51)</w:t>
      </w:r>
      <w:r w:rsidRPr="00A84A20">
        <w:rPr>
          <w:bCs/>
          <w:i/>
          <w:iCs/>
          <w:sz w:val="24"/>
          <w:szCs w:val="24"/>
        </w:rPr>
        <w:t xml:space="preserve">. </w:t>
      </w:r>
    </w:p>
  </w:footnote>
  <w:footnote w:id="217">
    <w:p w14:paraId="00200889"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Agamben, </w:t>
      </w:r>
      <w:r w:rsidRPr="00A84A20">
        <w:rPr>
          <w:i/>
          <w:iCs/>
          <w:sz w:val="24"/>
          <w:szCs w:val="24"/>
        </w:rPr>
        <w:t>Homo Sacer</w:t>
      </w:r>
      <w:r>
        <w:rPr>
          <w:i/>
          <w:iCs/>
          <w:sz w:val="24"/>
          <w:szCs w:val="24"/>
        </w:rPr>
        <w:t xml:space="preserve"> </w:t>
      </w:r>
      <w:r>
        <w:rPr>
          <w:sz w:val="24"/>
          <w:szCs w:val="24"/>
        </w:rPr>
        <w:t>(n 4)</w:t>
      </w:r>
      <w:r w:rsidRPr="00A84A20">
        <w:rPr>
          <w:i/>
          <w:iCs/>
          <w:sz w:val="24"/>
          <w:szCs w:val="24"/>
        </w:rPr>
        <w:t xml:space="preserve"> </w:t>
      </w:r>
      <w:r w:rsidRPr="00A84A20">
        <w:rPr>
          <w:sz w:val="24"/>
          <w:szCs w:val="24"/>
        </w:rPr>
        <w:t xml:space="preserve">21. I have referred to </w:t>
      </w:r>
      <w:r w:rsidRPr="00A84A20">
        <w:rPr>
          <w:i/>
          <w:iCs/>
          <w:sz w:val="24"/>
          <w:szCs w:val="24"/>
        </w:rPr>
        <w:t>homo sacer</w:t>
      </w:r>
      <w:r w:rsidRPr="00A84A20">
        <w:rPr>
          <w:sz w:val="24"/>
          <w:szCs w:val="24"/>
        </w:rPr>
        <w:t xml:space="preserve"> as a form of bare life since rather than being synonymous with bare life </w:t>
      </w:r>
      <w:r w:rsidRPr="00A84A20">
        <w:rPr>
          <w:i/>
          <w:iCs/>
          <w:sz w:val="24"/>
          <w:szCs w:val="24"/>
        </w:rPr>
        <w:t xml:space="preserve">homo sacer </w:t>
      </w:r>
      <w:r w:rsidRPr="00A84A20">
        <w:rPr>
          <w:sz w:val="24"/>
          <w:szCs w:val="24"/>
        </w:rPr>
        <w:t xml:space="preserve">is bare life that is included within the political order. </w:t>
      </w:r>
      <w:r w:rsidRPr="00A84A20">
        <w:rPr>
          <w:sz w:val="24"/>
          <w:szCs w:val="24"/>
          <w:shd w:val="clear" w:color="auto" w:fill="FFFFFF"/>
        </w:rPr>
        <w:t xml:space="preserve">John Reynolds suggests that </w:t>
      </w:r>
      <w:r>
        <w:rPr>
          <w:sz w:val="24"/>
          <w:szCs w:val="24"/>
          <w:shd w:val="clear" w:color="auto" w:fill="FFFFFF"/>
        </w:rPr>
        <w:t>‘</w:t>
      </w:r>
      <w:r w:rsidRPr="00A84A20">
        <w:rPr>
          <w:sz w:val="24"/>
          <w:szCs w:val="24"/>
          <w:shd w:val="clear" w:color="auto" w:fill="FFFFFF"/>
        </w:rPr>
        <w:t>repressive inclusion</w:t>
      </w:r>
      <w:r>
        <w:rPr>
          <w:sz w:val="24"/>
          <w:szCs w:val="24"/>
          <w:shd w:val="clear" w:color="auto" w:fill="FFFFFF"/>
        </w:rPr>
        <w:t>’</w:t>
      </w:r>
      <w:r w:rsidRPr="00A84A20">
        <w:rPr>
          <w:sz w:val="24"/>
          <w:szCs w:val="24"/>
          <w:shd w:val="clear" w:color="auto" w:fill="FFFFFF"/>
        </w:rPr>
        <w:t xml:space="preserve"> is a more useful term to encapsulate the experiences of those who are both outside and inside the juridical order in light of the ways in which </w:t>
      </w:r>
      <w:r>
        <w:rPr>
          <w:sz w:val="24"/>
          <w:szCs w:val="24"/>
          <w:shd w:val="clear" w:color="auto" w:fill="FFFFFF"/>
        </w:rPr>
        <w:t>‘</w:t>
      </w:r>
      <w:r w:rsidRPr="00A84A20">
        <w:rPr>
          <w:sz w:val="24"/>
          <w:szCs w:val="24"/>
        </w:rPr>
        <w:t>[i]ntermittent crises and moments of exception are bridged and transcended by mundane everyday legal techniques of control and oppression</w:t>
      </w:r>
      <w:r>
        <w:rPr>
          <w:sz w:val="24"/>
          <w:szCs w:val="24"/>
        </w:rPr>
        <w:t>’</w:t>
      </w:r>
      <w:r w:rsidRPr="00A84A20">
        <w:rPr>
          <w:sz w:val="24"/>
          <w:szCs w:val="24"/>
        </w:rPr>
        <w:t xml:space="preserve">. I have sought to encapsulate these various forms of exception, however, through the concept of a regime of exception. Steven DeCaroli, </w:t>
      </w:r>
      <w:r>
        <w:rPr>
          <w:sz w:val="24"/>
          <w:szCs w:val="24"/>
        </w:rPr>
        <w:t>‘</w:t>
      </w:r>
      <w:r w:rsidRPr="00A84A20">
        <w:rPr>
          <w:sz w:val="24"/>
          <w:szCs w:val="24"/>
        </w:rPr>
        <w:t>Boundary Stones: Giorgio Agamben and the Field of Sovereignty</w:t>
      </w:r>
      <w:r>
        <w:rPr>
          <w:sz w:val="24"/>
          <w:szCs w:val="24"/>
        </w:rPr>
        <w:t>’</w:t>
      </w:r>
      <w:r w:rsidRPr="00A84A20">
        <w:rPr>
          <w:sz w:val="24"/>
          <w:szCs w:val="24"/>
        </w:rPr>
        <w:t>, in</w:t>
      </w:r>
      <w:bookmarkStart w:id="48" w:name="_Hlk48468400"/>
      <w:r>
        <w:rPr>
          <w:sz w:val="24"/>
          <w:szCs w:val="24"/>
        </w:rPr>
        <w:t xml:space="preserve"> </w:t>
      </w:r>
      <w:r w:rsidRPr="00606CFB">
        <w:rPr>
          <w:sz w:val="24"/>
          <w:szCs w:val="24"/>
        </w:rPr>
        <w:t xml:space="preserve">Matthew Calarco and Steven DeCaroli (eds), </w:t>
      </w:r>
      <w:r w:rsidRPr="00606CFB">
        <w:rPr>
          <w:i/>
          <w:iCs/>
          <w:sz w:val="24"/>
          <w:szCs w:val="24"/>
        </w:rPr>
        <w:t xml:space="preserve">Giorgio Agamben: Sovereignty and Life </w:t>
      </w:r>
      <w:r w:rsidRPr="00606CFB">
        <w:rPr>
          <w:sz w:val="24"/>
          <w:szCs w:val="24"/>
        </w:rPr>
        <w:t>(Stanford: Stanford University Press 2007),</w:t>
      </w:r>
      <w:bookmarkEnd w:id="48"/>
      <w:r>
        <w:rPr>
          <w:sz w:val="24"/>
          <w:szCs w:val="24"/>
        </w:rPr>
        <w:t xml:space="preserve"> </w:t>
      </w:r>
      <w:r w:rsidRPr="00606CFB">
        <w:rPr>
          <w:sz w:val="24"/>
          <w:szCs w:val="24"/>
        </w:rPr>
        <w:t>52</w:t>
      </w:r>
      <w:r w:rsidRPr="00A84A20">
        <w:rPr>
          <w:sz w:val="24"/>
          <w:szCs w:val="24"/>
        </w:rPr>
        <w:t xml:space="preserve">; and Reynolds, </w:t>
      </w:r>
      <w:r w:rsidRPr="00A84A20">
        <w:rPr>
          <w:i/>
          <w:iCs/>
          <w:sz w:val="24"/>
          <w:szCs w:val="24"/>
        </w:rPr>
        <w:t>Empire</w:t>
      </w:r>
      <w:r>
        <w:rPr>
          <w:i/>
          <w:iCs/>
          <w:sz w:val="24"/>
          <w:szCs w:val="24"/>
        </w:rPr>
        <w:t xml:space="preserve">, Emergency </w:t>
      </w:r>
      <w:r>
        <w:rPr>
          <w:sz w:val="24"/>
          <w:szCs w:val="24"/>
        </w:rPr>
        <w:t>(n 15)</w:t>
      </w:r>
      <w:r w:rsidRPr="00A84A20">
        <w:rPr>
          <w:i/>
          <w:iCs/>
          <w:sz w:val="24"/>
          <w:szCs w:val="24"/>
        </w:rPr>
        <w:t xml:space="preserve"> </w:t>
      </w:r>
      <w:r w:rsidRPr="00A84A20">
        <w:rPr>
          <w:sz w:val="24"/>
          <w:szCs w:val="24"/>
        </w:rPr>
        <w:t>211.</w:t>
      </w:r>
    </w:p>
  </w:footnote>
  <w:footnote w:id="218">
    <w:p w14:paraId="67F415E8" w14:textId="77777777" w:rsidR="00997966" w:rsidRPr="00F35742"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Wahl, </w:t>
      </w:r>
      <w:r w:rsidRPr="00A84A20">
        <w:rPr>
          <w:i/>
          <w:iCs/>
          <w:sz w:val="24"/>
          <w:szCs w:val="24"/>
        </w:rPr>
        <w:t>Just Violence</w:t>
      </w:r>
      <w:r>
        <w:rPr>
          <w:i/>
          <w:iCs/>
          <w:sz w:val="24"/>
          <w:szCs w:val="24"/>
        </w:rPr>
        <w:t xml:space="preserve"> </w:t>
      </w:r>
      <w:r>
        <w:rPr>
          <w:sz w:val="24"/>
          <w:szCs w:val="24"/>
        </w:rPr>
        <w:t>(n 51)</w:t>
      </w:r>
      <w:r w:rsidRPr="00A84A20">
        <w:rPr>
          <w:i/>
          <w:iCs/>
          <w:sz w:val="24"/>
          <w:szCs w:val="24"/>
        </w:rPr>
        <w:t xml:space="preserve"> </w:t>
      </w:r>
      <w:r w:rsidRPr="00A84A20">
        <w:rPr>
          <w:sz w:val="24"/>
          <w:szCs w:val="24"/>
        </w:rPr>
        <w:t xml:space="preserve">56; and </w:t>
      </w:r>
      <w:r w:rsidRPr="00A84A20">
        <w:rPr>
          <w:sz w:val="24"/>
          <w:szCs w:val="24"/>
          <w:shd w:val="clear" w:color="auto" w:fill="FFFFFF"/>
        </w:rPr>
        <w:t>Grace Pelly, Jai Singh, Independent People’s Tribunal on Torture, Extra</w:t>
      </w:r>
      <w:r>
        <w:rPr>
          <w:sz w:val="24"/>
          <w:szCs w:val="24"/>
          <w:shd w:val="clear" w:color="auto" w:fill="FFFFFF"/>
        </w:rPr>
        <w:t>-</w:t>
      </w:r>
      <w:r w:rsidRPr="00A84A20">
        <w:rPr>
          <w:sz w:val="24"/>
          <w:szCs w:val="24"/>
          <w:shd w:val="clear" w:color="auto" w:fill="FFFFFF"/>
        </w:rPr>
        <w:t xml:space="preserve">Judicial Killings and Forced Disappearances, and Human Rights Law Network, </w:t>
      </w:r>
      <w:r w:rsidRPr="00A84A20">
        <w:rPr>
          <w:i/>
          <w:iCs/>
          <w:sz w:val="24"/>
          <w:szCs w:val="24"/>
          <w:shd w:val="clear" w:color="auto" w:fill="FFFFFF"/>
        </w:rPr>
        <w:t>State Terrorism: Torture, Extra</w:t>
      </w:r>
      <w:r>
        <w:rPr>
          <w:i/>
          <w:iCs/>
          <w:sz w:val="24"/>
          <w:szCs w:val="24"/>
          <w:shd w:val="clear" w:color="auto" w:fill="FFFFFF"/>
        </w:rPr>
        <w:t>-</w:t>
      </w:r>
      <w:r w:rsidRPr="00A84A20">
        <w:rPr>
          <w:i/>
          <w:iCs/>
          <w:color w:val="000000"/>
          <w:sz w:val="24"/>
          <w:szCs w:val="24"/>
          <w:shd w:val="clear" w:color="auto" w:fill="FFFFFF"/>
        </w:rPr>
        <w:t>Judicial Killings and Forced Disappearances in India: Report of the Independent People’s Tribunal 9</w:t>
      </w:r>
      <w:r>
        <w:rPr>
          <w:i/>
          <w:iCs/>
          <w:color w:val="000000"/>
          <w:sz w:val="24"/>
          <w:szCs w:val="24"/>
          <w:shd w:val="clear" w:color="auto" w:fill="FFFFFF"/>
        </w:rPr>
        <w:t>-</w:t>
      </w:r>
      <w:r w:rsidRPr="00A84A20">
        <w:rPr>
          <w:i/>
          <w:iCs/>
          <w:color w:val="000000"/>
          <w:sz w:val="24"/>
          <w:szCs w:val="24"/>
          <w:shd w:val="clear" w:color="auto" w:fill="FFFFFF"/>
        </w:rPr>
        <w:t xml:space="preserve">10 February 2008 </w:t>
      </w:r>
      <w:r w:rsidRPr="00A84A20">
        <w:rPr>
          <w:color w:val="000000"/>
          <w:sz w:val="24"/>
          <w:szCs w:val="24"/>
          <w:shd w:val="clear" w:color="auto" w:fill="FFFFFF"/>
        </w:rPr>
        <w:t>(New De</w:t>
      </w:r>
      <w:r>
        <w:rPr>
          <w:color w:val="000000"/>
          <w:sz w:val="24"/>
          <w:szCs w:val="24"/>
          <w:shd w:val="clear" w:color="auto" w:fill="FFFFFF"/>
        </w:rPr>
        <w:t>l</w:t>
      </w:r>
      <w:r w:rsidRPr="00A84A20">
        <w:rPr>
          <w:color w:val="000000"/>
          <w:sz w:val="24"/>
          <w:szCs w:val="24"/>
          <w:shd w:val="clear" w:color="auto" w:fill="FFFFFF"/>
        </w:rPr>
        <w:t>hi: Human Rights Law Network 2009), 100</w:t>
      </w:r>
      <w:r>
        <w:rPr>
          <w:color w:val="000000"/>
          <w:sz w:val="24"/>
          <w:szCs w:val="24"/>
          <w:shd w:val="clear" w:color="auto" w:fill="FFFFFF"/>
        </w:rPr>
        <w:t xml:space="preserve"> (hereafter Pelly, </w:t>
      </w:r>
      <w:r>
        <w:rPr>
          <w:i/>
          <w:iCs/>
          <w:color w:val="000000"/>
          <w:sz w:val="24"/>
          <w:szCs w:val="24"/>
          <w:shd w:val="clear" w:color="auto" w:fill="FFFFFF"/>
        </w:rPr>
        <w:t>State Terrorism</w:t>
      </w:r>
      <w:r>
        <w:rPr>
          <w:color w:val="000000"/>
          <w:sz w:val="24"/>
          <w:szCs w:val="24"/>
          <w:shd w:val="clear" w:color="auto" w:fill="FFFFFF"/>
        </w:rPr>
        <w:t>)</w:t>
      </w:r>
      <w:r w:rsidRPr="00A84A20">
        <w:rPr>
          <w:sz w:val="24"/>
          <w:szCs w:val="24"/>
        </w:rPr>
        <w:t xml:space="preserve">. See also </w:t>
      </w:r>
      <w:bookmarkStart w:id="49" w:name="_Hlk23965234"/>
      <w:r w:rsidRPr="00A84A20">
        <w:rPr>
          <w:sz w:val="24"/>
          <w:szCs w:val="24"/>
        </w:rPr>
        <w:t xml:space="preserve">Balagopal, </w:t>
      </w:r>
      <w:r>
        <w:rPr>
          <w:sz w:val="24"/>
          <w:szCs w:val="24"/>
        </w:rPr>
        <w:t>‘</w:t>
      </w:r>
      <w:r w:rsidRPr="00A84A20">
        <w:rPr>
          <w:sz w:val="24"/>
          <w:szCs w:val="24"/>
        </w:rPr>
        <w:t>Deaths in Police Custody</w:t>
      </w:r>
      <w:r>
        <w:rPr>
          <w:sz w:val="24"/>
          <w:szCs w:val="24"/>
        </w:rPr>
        <w:t>’ (n 154)</w:t>
      </w:r>
      <w:r w:rsidRPr="00A84A20">
        <w:rPr>
          <w:sz w:val="24"/>
          <w:szCs w:val="24"/>
        </w:rPr>
        <w:t xml:space="preserve"> 2028</w:t>
      </w:r>
      <w:r>
        <w:rPr>
          <w:sz w:val="24"/>
          <w:szCs w:val="24"/>
        </w:rPr>
        <w:t>-</w:t>
      </w:r>
      <w:r w:rsidRPr="00A84A20">
        <w:rPr>
          <w:sz w:val="24"/>
          <w:szCs w:val="24"/>
        </w:rPr>
        <w:t>29</w:t>
      </w:r>
      <w:bookmarkEnd w:id="49"/>
      <w:r w:rsidRPr="00A84A20">
        <w:rPr>
          <w:sz w:val="24"/>
          <w:szCs w:val="24"/>
        </w:rPr>
        <w:t xml:space="preserve">; and Nitya Ramakrishnan, </w:t>
      </w:r>
      <w:r w:rsidRPr="00A84A20">
        <w:rPr>
          <w:i/>
          <w:iCs/>
          <w:sz w:val="24"/>
          <w:szCs w:val="24"/>
        </w:rPr>
        <w:t>In Custody: Law, Impunity and Prisoner Abuse in South Asia</w:t>
      </w:r>
      <w:r w:rsidRPr="00A84A20">
        <w:rPr>
          <w:sz w:val="24"/>
          <w:szCs w:val="24"/>
        </w:rPr>
        <w:t xml:space="preserve"> (New Delhi: Sage 2013). </w:t>
      </w:r>
      <w:r w:rsidRPr="00A84A20">
        <w:rPr>
          <w:sz w:val="24"/>
          <w:szCs w:val="24"/>
          <w:shd w:val="clear" w:color="auto" w:fill="FFFFFF"/>
        </w:rPr>
        <w:t>Their reduction to bare life is clear for torture victims; as one victim informed the Independent People’s Tribunal on Torture, Extra</w:t>
      </w:r>
      <w:r>
        <w:rPr>
          <w:sz w:val="24"/>
          <w:szCs w:val="24"/>
          <w:shd w:val="clear" w:color="auto" w:fill="FFFFFF"/>
        </w:rPr>
        <w:t>-</w:t>
      </w:r>
      <w:r w:rsidRPr="00A84A20">
        <w:rPr>
          <w:sz w:val="24"/>
          <w:szCs w:val="24"/>
          <w:shd w:val="clear" w:color="auto" w:fill="FFFFFF"/>
        </w:rPr>
        <w:t xml:space="preserve">Judicial Killings and Forced Disappearances, her torturers </w:t>
      </w:r>
      <w:r>
        <w:rPr>
          <w:sz w:val="24"/>
          <w:szCs w:val="24"/>
          <w:shd w:val="clear" w:color="auto" w:fill="FFFFFF"/>
        </w:rPr>
        <w:t>‘”</w:t>
      </w:r>
      <w:r w:rsidRPr="00A84A20">
        <w:rPr>
          <w:sz w:val="24"/>
          <w:szCs w:val="24"/>
          <w:shd w:val="clear" w:color="auto" w:fill="FFFFFF"/>
        </w:rPr>
        <w:t>did not really care</w:t>
      </w:r>
      <w:r>
        <w:rPr>
          <w:sz w:val="24"/>
          <w:szCs w:val="24"/>
          <w:shd w:val="clear" w:color="auto" w:fill="FFFFFF"/>
        </w:rPr>
        <w:t>”’</w:t>
      </w:r>
      <w:r w:rsidRPr="00A84A20">
        <w:rPr>
          <w:sz w:val="24"/>
          <w:szCs w:val="24"/>
          <w:shd w:val="clear" w:color="auto" w:fill="FFFFFF"/>
        </w:rPr>
        <w:t xml:space="preserve"> for </w:t>
      </w:r>
      <w:r>
        <w:rPr>
          <w:sz w:val="24"/>
          <w:szCs w:val="24"/>
          <w:shd w:val="clear" w:color="auto" w:fill="FFFFFF"/>
        </w:rPr>
        <w:t>her life,</w:t>
      </w:r>
      <w:r w:rsidRPr="00A84A20">
        <w:rPr>
          <w:sz w:val="24"/>
          <w:szCs w:val="24"/>
          <w:shd w:val="clear" w:color="auto" w:fill="FFFFFF"/>
        </w:rPr>
        <w:t xml:space="preserve"> since in their understanding she was already dead, and torture was merely a means to dispose of her body.</w:t>
      </w:r>
      <w:r>
        <w:rPr>
          <w:sz w:val="24"/>
          <w:szCs w:val="24"/>
          <w:shd w:val="clear" w:color="auto" w:fill="FFFFFF"/>
        </w:rPr>
        <w:t xml:space="preserve"> Pelly, </w:t>
      </w:r>
      <w:r>
        <w:rPr>
          <w:i/>
          <w:iCs/>
          <w:sz w:val="24"/>
          <w:szCs w:val="24"/>
          <w:shd w:val="clear" w:color="auto" w:fill="FFFFFF"/>
        </w:rPr>
        <w:t>State Terrorism</w:t>
      </w:r>
      <w:r>
        <w:rPr>
          <w:sz w:val="24"/>
          <w:szCs w:val="24"/>
          <w:shd w:val="clear" w:color="auto" w:fill="FFFFFF"/>
        </w:rPr>
        <w:t xml:space="preserve"> (n 217)</w:t>
      </w:r>
      <w:r>
        <w:rPr>
          <w:i/>
          <w:iCs/>
          <w:sz w:val="24"/>
          <w:szCs w:val="24"/>
          <w:shd w:val="clear" w:color="auto" w:fill="FFFFFF"/>
        </w:rPr>
        <w:t xml:space="preserve"> </w:t>
      </w:r>
      <w:r>
        <w:rPr>
          <w:sz w:val="24"/>
          <w:szCs w:val="24"/>
          <w:shd w:val="clear" w:color="auto" w:fill="FFFFFF"/>
        </w:rPr>
        <w:t>75.</w:t>
      </w:r>
    </w:p>
  </w:footnote>
  <w:footnote w:id="219">
    <w:p w14:paraId="19F95095" w14:textId="77777777" w:rsidR="00997966" w:rsidRPr="00A84A20" w:rsidRDefault="00997966" w:rsidP="00997966">
      <w:pPr>
        <w:pStyle w:val="FootnoteText"/>
        <w:spacing w:line="480" w:lineRule="auto"/>
        <w:rPr>
          <w:color w:val="000000"/>
          <w:sz w:val="24"/>
          <w:szCs w:val="24"/>
        </w:rPr>
      </w:pPr>
      <w:r w:rsidRPr="00A84A20">
        <w:rPr>
          <w:rStyle w:val="FootnoteReference"/>
          <w:sz w:val="24"/>
          <w:szCs w:val="24"/>
        </w:rPr>
        <w:footnoteRef/>
      </w:r>
      <w:r w:rsidRPr="00A84A20">
        <w:rPr>
          <w:sz w:val="24"/>
          <w:szCs w:val="24"/>
        </w:rPr>
        <w:t xml:space="preserve"> Indian police officer, personal interview, cited in Wahl, </w:t>
      </w:r>
      <w:r w:rsidRPr="00A84A20">
        <w:rPr>
          <w:i/>
          <w:iCs/>
          <w:sz w:val="24"/>
          <w:szCs w:val="24"/>
        </w:rPr>
        <w:t>Just Violence</w:t>
      </w:r>
      <w:r>
        <w:rPr>
          <w:i/>
          <w:iCs/>
          <w:sz w:val="24"/>
          <w:szCs w:val="24"/>
        </w:rPr>
        <w:t xml:space="preserve"> </w:t>
      </w:r>
      <w:r>
        <w:rPr>
          <w:sz w:val="24"/>
          <w:szCs w:val="24"/>
        </w:rPr>
        <w:t>(n 51)</w:t>
      </w:r>
      <w:r w:rsidRPr="00A84A20">
        <w:rPr>
          <w:i/>
          <w:iCs/>
          <w:sz w:val="24"/>
          <w:szCs w:val="24"/>
        </w:rPr>
        <w:t xml:space="preserve"> </w:t>
      </w:r>
      <w:r w:rsidRPr="00A84A20">
        <w:rPr>
          <w:sz w:val="24"/>
          <w:szCs w:val="24"/>
        </w:rPr>
        <w:t xml:space="preserve">59. See also Heath, </w:t>
      </w:r>
      <w:r>
        <w:rPr>
          <w:sz w:val="24"/>
          <w:szCs w:val="24"/>
        </w:rPr>
        <w:t>‘</w:t>
      </w:r>
      <w:r w:rsidRPr="00A84A20">
        <w:rPr>
          <w:sz w:val="24"/>
          <w:szCs w:val="24"/>
        </w:rPr>
        <w:t>Torture, the State and Sexual Violence</w:t>
      </w:r>
      <w:r>
        <w:rPr>
          <w:sz w:val="24"/>
          <w:szCs w:val="24"/>
        </w:rPr>
        <w:t>’ (n 99)</w:t>
      </w:r>
      <w:r w:rsidRPr="00A84A20">
        <w:rPr>
          <w:sz w:val="24"/>
          <w:szCs w:val="24"/>
        </w:rPr>
        <w:t xml:space="preserve">. On the nature of caste as a system of graded inequalities see B. R. Ambedkar, </w:t>
      </w:r>
      <w:r>
        <w:rPr>
          <w:sz w:val="24"/>
          <w:szCs w:val="24"/>
        </w:rPr>
        <w:t>‘</w:t>
      </w:r>
      <w:r w:rsidRPr="00A84A20">
        <w:rPr>
          <w:color w:val="000000"/>
          <w:sz w:val="24"/>
          <w:szCs w:val="24"/>
        </w:rPr>
        <w:t>Castes in India: Their Mechanism, Genesis and Development</w:t>
      </w:r>
      <w:r>
        <w:rPr>
          <w:color w:val="000000"/>
          <w:sz w:val="24"/>
          <w:szCs w:val="24"/>
        </w:rPr>
        <w:t>’</w:t>
      </w:r>
      <w:r w:rsidRPr="00A84A20">
        <w:rPr>
          <w:color w:val="000000"/>
          <w:sz w:val="24"/>
          <w:szCs w:val="24"/>
        </w:rPr>
        <w:t xml:space="preserve">, in Frances W. Pritchett (ed.), </w:t>
      </w:r>
      <w:r w:rsidRPr="00A84A20">
        <w:rPr>
          <w:i/>
          <w:iCs/>
          <w:color w:val="000000"/>
          <w:sz w:val="24"/>
          <w:szCs w:val="24"/>
        </w:rPr>
        <w:t xml:space="preserve">Dr. Babasaheb Ambedkar: Writings and Speeches, </w:t>
      </w:r>
      <w:r w:rsidRPr="00A84A20">
        <w:rPr>
          <w:color w:val="000000"/>
          <w:sz w:val="24"/>
          <w:szCs w:val="24"/>
        </w:rPr>
        <w:t>Vol. 1 (Bombay: Education Department, Government of Maharashtra, 1979), 3</w:t>
      </w:r>
      <w:r>
        <w:rPr>
          <w:color w:val="000000"/>
          <w:sz w:val="24"/>
          <w:szCs w:val="24"/>
        </w:rPr>
        <w:t>-</w:t>
      </w:r>
      <w:r w:rsidRPr="00A84A20">
        <w:rPr>
          <w:color w:val="000000"/>
          <w:sz w:val="24"/>
          <w:szCs w:val="24"/>
        </w:rPr>
        <w:t>22.</w:t>
      </w:r>
    </w:p>
  </w:footnote>
  <w:footnote w:id="220">
    <w:p w14:paraId="0C952A31"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Farrell, </w:t>
      </w:r>
      <w:r w:rsidRPr="00A84A20">
        <w:rPr>
          <w:i/>
          <w:iCs/>
          <w:sz w:val="24"/>
          <w:szCs w:val="24"/>
        </w:rPr>
        <w:t>The Prohibition of Torture</w:t>
      </w:r>
      <w:r>
        <w:rPr>
          <w:sz w:val="24"/>
          <w:szCs w:val="24"/>
        </w:rPr>
        <w:t xml:space="preserve"> (n 207)</w:t>
      </w:r>
      <w:r w:rsidRPr="00A84A20">
        <w:rPr>
          <w:sz w:val="24"/>
          <w:szCs w:val="24"/>
        </w:rPr>
        <w:t xml:space="preserve"> 246; Jauregui, </w:t>
      </w:r>
      <w:r w:rsidRPr="00A84A20">
        <w:rPr>
          <w:i/>
          <w:iCs/>
          <w:sz w:val="24"/>
          <w:szCs w:val="24"/>
        </w:rPr>
        <w:t>Provisional Authority</w:t>
      </w:r>
      <w:r>
        <w:rPr>
          <w:i/>
          <w:iCs/>
          <w:sz w:val="24"/>
          <w:szCs w:val="24"/>
        </w:rPr>
        <w:t xml:space="preserve"> </w:t>
      </w:r>
      <w:r>
        <w:rPr>
          <w:sz w:val="24"/>
          <w:szCs w:val="24"/>
        </w:rPr>
        <w:t>(n 151)</w:t>
      </w:r>
      <w:r>
        <w:rPr>
          <w:i/>
          <w:iCs/>
          <w:sz w:val="24"/>
          <w:szCs w:val="24"/>
        </w:rPr>
        <w:t xml:space="preserve"> </w:t>
      </w:r>
      <w:r w:rsidRPr="00A84A20">
        <w:rPr>
          <w:sz w:val="24"/>
          <w:szCs w:val="24"/>
        </w:rPr>
        <w:t>104</w:t>
      </w:r>
      <w:r>
        <w:rPr>
          <w:sz w:val="24"/>
          <w:szCs w:val="24"/>
        </w:rPr>
        <w:t>; and Jauregui,</w:t>
      </w:r>
      <w:r w:rsidRPr="00A84A20">
        <w:rPr>
          <w:sz w:val="24"/>
          <w:szCs w:val="24"/>
        </w:rPr>
        <w:t xml:space="preserve"> </w:t>
      </w:r>
      <w:r>
        <w:rPr>
          <w:sz w:val="24"/>
          <w:szCs w:val="24"/>
          <w:shd w:val="clear" w:color="auto" w:fill="FFFFFF"/>
        </w:rPr>
        <w:t>‘</w:t>
      </w:r>
      <w:r w:rsidRPr="00A84A20">
        <w:rPr>
          <w:sz w:val="24"/>
          <w:szCs w:val="24"/>
          <w:shd w:val="clear" w:color="auto" w:fill="FFFFFF"/>
        </w:rPr>
        <w:t>Civilised Coercion</w:t>
      </w:r>
      <w:r>
        <w:rPr>
          <w:sz w:val="24"/>
          <w:szCs w:val="24"/>
          <w:shd w:val="clear" w:color="auto" w:fill="FFFFFF"/>
        </w:rPr>
        <w:t>’</w:t>
      </w:r>
      <w:r>
        <w:rPr>
          <w:sz w:val="24"/>
          <w:szCs w:val="24"/>
        </w:rPr>
        <w:t xml:space="preserve"> (n 169)</w:t>
      </w:r>
      <w:r w:rsidRPr="00A84A20">
        <w:rPr>
          <w:sz w:val="24"/>
          <w:szCs w:val="24"/>
        </w:rPr>
        <w:t xml:space="preserve"> 374. For the challenges such affective engagement with perpetrators of violence poses see also Beatrice </w:t>
      </w:r>
      <w:bookmarkStart w:id="50" w:name="_Hlk36809388"/>
      <w:r w:rsidRPr="00A84A20">
        <w:rPr>
          <w:sz w:val="24"/>
          <w:szCs w:val="24"/>
        </w:rPr>
        <w:t xml:space="preserve">Jauregui, </w:t>
      </w:r>
      <w:r>
        <w:rPr>
          <w:sz w:val="24"/>
          <w:szCs w:val="24"/>
        </w:rPr>
        <w:t>‘</w:t>
      </w:r>
      <w:r w:rsidRPr="00A84A20">
        <w:rPr>
          <w:sz w:val="24"/>
          <w:szCs w:val="24"/>
        </w:rPr>
        <w:t>Intimacy: Personal Policing</w:t>
      </w:r>
      <w:bookmarkEnd w:id="50"/>
      <w:r w:rsidRPr="00A84A20">
        <w:rPr>
          <w:sz w:val="24"/>
          <w:szCs w:val="24"/>
        </w:rPr>
        <w:t>, Ethnographic Kinship and Critical Empathy in Northern India</w:t>
      </w:r>
      <w:r>
        <w:rPr>
          <w:sz w:val="24"/>
          <w:szCs w:val="24"/>
        </w:rPr>
        <w:t>’</w:t>
      </w:r>
      <w:r w:rsidRPr="00A84A20">
        <w:rPr>
          <w:sz w:val="24"/>
          <w:szCs w:val="24"/>
        </w:rPr>
        <w:t xml:space="preserve">, in Didier Fassin (ed.), </w:t>
      </w:r>
      <w:r w:rsidRPr="00A84A20">
        <w:rPr>
          <w:i/>
          <w:iCs/>
          <w:sz w:val="24"/>
          <w:szCs w:val="24"/>
        </w:rPr>
        <w:t>Writing the Worlds of Policing:</w:t>
      </w:r>
      <w:r>
        <w:rPr>
          <w:i/>
          <w:iCs/>
          <w:sz w:val="24"/>
          <w:szCs w:val="24"/>
        </w:rPr>
        <w:t xml:space="preserve"> </w:t>
      </w:r>
      <w:r w:rsidRPr="00A84A20">
        <w:rPr>
          <w:i/>
          <w:iCs/>
          <w:sz w:val="24"/>
          <w:szCs w:val="24"/>
        </w:rPr>
        <w:t>The Difference Ethnography Makes</w:t>
      </w:r>
      <w:r w:rsidRPr="00A84A20">
        <w:rPr>
          <w:sz w:val="24"/>
          <w:szCs w:val="24"/>
        </w:rPr>
        <w:t xml:space="preserve"> (Chicago: University of Chicago Press, 2018), 62</w:t>
      </w:r>
      <w:r>
        <w:rPr>
          <w:sz w:val="24"/>
          <w:szCs w:val="24"/>
        </w:rPr>
        <w:t>-</w:t>
      </w:r>
      <w:r w:rsidRPr="00A84A20">
        <w:rPr>
          <w:sz w:val="24"/>
          <w:szCs w:val="24"/>
        </w:rPr>
        <w:t>91.</w:t>
      </w:r>
    </w:p>
  </w:footnote>
  <w:footnote w:id="221">
    <w:p w14:paraId="518046E8" w14:textId="77777777" w:rsidR="00997966" w:rsidRPr="00A84A20" w:rsidRDefault="00997966" w:rsidP="00997966">
      <w:pPr>
        <w:spacing w:line="480" w:lineRule="auto"/>
      </w:pPr>
      <w:r w:rsidRPr="00A84A20">
        <w:rPr>
          <w:rStyle w:val="FootnoteReference"/>
        </w:rPr>
        <w:footnoteRef/>
      </w:r>
      <w:r w:rsidRPr="00A84A20">
        <w:t xml:space="preserve"> Miyan Mithu Khan, </w:t>
      </w:r>
      <w:r w:rsidRPr="00A84A20">
        <w:rPr>
          <w:i/>
          <w:iCs/>
        </w:rPr>
        <w:t xml:space="preserve">Confessions of a Constable </w:t>
      </w:r>
      <w:r w:rsidRPr="00A84A20">
        <w:t>(Benares: E. J. Lazarus and Co., Medical Hall Press 1875)</w:t>
      </w:r>
      <w:r w:rsidRPr="00A84A20">
        <w:rPr>
          <w:i/>
          <w:iCs/>
        </w:rPr>
        <w:t xml:space="preserve">, </w:t>
      </w:r>
      <w:r w:rsidRPr="00A84A20">
        <w:t xml:space="preserve">132; and Peter Robb, </w:t>
      </w:r>
      <w:r>
        <w:t>‘</w:t>
      </w:r>
      <w:r w:rsidRPr="00A84A20">
        <w:t>The Ordering of Rural India</w:t>
      </w:r>
      <w:r>
        <w:t xml:space="preserve">’ (n 143) </w:t>
      </w:r>
      <w:r w:rsidRPr="00A84A20">
        <w:t>128.</w:t>
      </w:r>
      <w:r>
        <w:t xml:space="preserve"> </w:t>
      </w:r>
      <w:r w:rsidRPr="00A84A20">
        <w:t>According to Beatrice Jauregui the police rank</w:t>
      </w:r>
      <w:r>
        <w:t>-</w:t>
      </w:r>
      <w:r w:rsidRPr="00A84A20">
        <w:t>and file in post</w:t>
      </w:r>
      <w:r>
        <w:t>-</w:t>
      </w:r>
      <w:r w:rsidRPr="00A84A20">
        <w:t xml:space="preserve">colonial India are not </w:t>
      </w:r>
      <w:r w:rsidRPr="00A84A20">
        <w:rPr>
          <w:i/>
          <w:iCs/>
        </w:rPr>
        <w:t xml:space="preserve">homo sacer </w:t>
      </w:r>
      <w:r w:rsidRPr="00A84A20">
        <w:t xml:space="preserve">since they are paid professionals and are </w:t>
      </w:r>
      <w:r w:rsidRPr="00A84A20">
        <w:rPr>
          <w:shd w:val="clear" w:color="auto" w:fill="FFFFFF"/>
        </w:rPr>
        <w:t>not generally consigned to physical death</w:t>
      </w:r>
      <w:r w:rsidRPr="00A84A20">
        <w:t xml:space="preserve">; for her the fact that 30,000 of them have died in the line of duty since 1961 demonstrates that they are, instead, simply expendable. A poem from the </w:t>
      </w:r>
      <w:r w:rsidRPr="00A84A20">
        <w:rPr>
          <w:i/>
          <w:iCs/>
        </w:rPr>
        <w:t>Calcutta Police Journal</w:t>
      </w:r>
      <w:r w:rsidRPr="00A84A20">
        <w:t>, published in 1939, captures the sense of expendability felt by the police themselves:</w:t>
      </w:r>
    </w:p>
    <w:p w14:paraId="412D1975" w14:textId="77777777" w:rsidR="00997966" w:rsidRPr="00A84A20" w:rsidRDefault="00997966" w:rsidP="00997966">
      <w:pPr>
        <w:spacing w:line="480" w:lineRule="auto"/>
        <w:ind w:left="2160"/>
        <w:contextualSpacing/>
      </w:pPr>
      <w:r w:rsidRPr="00A84A20">
        <w:t xml:space="preserve">And </w:t>
      </w:r>
      <w:proofErr w:type="gramStart"/>
      <w:r w:rsidRPr="00A84A20">
        <w:t>don't</w:t>
      </w:r>
      <w:proofErr w:type="gramEnd"/>
      <w:r w:rsidRPr="00A84A20">
        <w:t xml:space="preserve"> worry for the Policeman </w:t>
      </w:r>
    </w:p>
    <w:p w14:paraId="7A367BE9" w14:textId="77777777" w:rsidR="00997966" w:rsidRPr="00A84A20" w:rsidRDefault="00997966" w:rsidP="00997966">
      <w:pPr>
        <w:spacing w:line="480" w:lineRule="auto"/>
        <w:ind w:left="2160"/>
        <w:contextualSpacing/>
      </w:pPr>
      <w:r w:rsidRPr="00A84A20">
        <w:t xml:space="preserve">Let him go to the Devil </w:t>
      </w:r>
    </w:p>
    <w:p w14:paraId="173C94C1" w14:textId="77777777" w:rsidR="00997966" w:rsidRPr="00A84A20" w:rsidRDefault="00997966" w:rsidP="00997966">
      <w:pPr>
        <w:spacing w:line="480" w:lineRule="auto"/>
        <w:ind w:left="2160"/>
        <w:contextualSpacing/>
      </w:pPr>
      <w:r w:rsidRPr="00A84A20">
        <w:t xml:space="preserve">If he dies— </w:t>
      </w:r>
    </w:p>
    <w:p w14:paraId="0A237460" w14:textId="77777777" w:rsidR="00997966" w:rsidRPr="00A84A20" w:rsidRDefault="00997966" w:rsidP="00997966">
      <w:pPr>
        <w:spacing w:line="480" w:lineRule="auto"/>
        <w:ind w:left="2160"/>
        <w:contextualSpacing/>
      </w:pPr>
      <w:r w:rsidRPr="00A84A20">
        <w:t xml:space="preserve">Well, let him die, </w:t>
      </w:r>
      <w:proofErr w:type="gramStart"/>
      <w:r w:rsidRPr="00A84A20">
        <w:t>It</w:t>
      </w:r>
      <w:proofErr w:type="gramEnd"/>
      <w:r w:rsidRPr="00A84A20">
        <w:t xml:space="preserve"> is his duty to get murdered </w:t>
      </w:r>
    </w:p>
    <w:p w14:paraId="0D344C90" w14:textId="77777777" w:rsidR="00997966" w:rsidRPr="00A84A20" w:rsidRDefault="00997966" w:rsidP="00997966">
      <w:pPr>
        <w:spacing w:line="480" w:lineRule="auto"/>
        <w:ind w:left="2160"/>
        <w:contextualSpacing/>
      </w:pPr>
      <w:r w:rsidRPr="00A84A20">
        <w:t>Sometimes [277] . . .</w:t>
      </w:r>
    </w:p>
    <w:p w14:paraId="2A69E0F1" w14:textId="77777777" w:rsidR="00997966" w:rsidRPr="00A84A20" w:rsidRDefault="00997966" w:rsidP="00997966">
      <w:pPr>
        <w:spacing w:line="480" w:lineRule="auto"/>
        <w:ind w:left="1440" w:firstLine="720"/>
        <w:contextualSpacing/>
      </w:pPr>
      <w:r w:rsidRPr="00A84A20">
        <w:t>A feared, detestable, lonely figure</w:t>
      </w:r>
    </w:p>
    <w:p w14:paraId="3AE752F8" w14:textId="77777777" w:rsidR="00997966" w:rsidRPr="00A84A20" w:rsidRDefault="00997966" w:rsidP="00997966">
      <w:pPr>
        <w:spacing w:line="480" w:lineRule="auto"/>
        <w:ind w:left="2160"/>
        <w:contextualSpacing/>
      </w:pPr>
      <w:r w:rsidRPr="00A84A20">
        <w:t>In the crowd.</w:t>
      </w:r>
    </w:p>
    <w:p w14:paraId="5766D0A1" w14:textId="77777777" w:rsidR="00997966" w:rsidRPr="00A84A20" w:rsidRDefault="00997966" w:rsidP="00997966">
      <w:pPr>
        <w:pStyle w:val="FootnoteText"/>
        <w:spacing w:line="480" w:lineRule="auto"/>
        <w:rPr>
          <w:sz w:val="24"/>
          <w:szCs w:val="24"/>
        </w:rPr>
      </w:pPr>
      <w:r w:rsidRPr="00A84A20">
        <w:rPr>
          <w:sz w:val="24"/>
          <w:szCs w:val="24"/>
        </w:rPr>
        <w:t xml:space="preserve">But the fact that the police themselves, as Rachel Wahl puts it, </w:t>
      </w:r>
      <w:r>
        <w:rPr>
          <w:sz w:val="24"/>
          <w:szCs w:val="24"/>
        </w:rPr>
        <w:t>‘</w:t>
      </w:r>
      <w:r w:rsidRPr="00A84A20">
        <w:rPr>
          <w:sz w:val="24"/>
          <w:szCs w:val="24"/>
        </w:rPr>
        <w:t xml:space="preserve">feel excluded from the category of </w:t>
      </w:r>
      <w:r>
        <w:rPr>
          <w:sz w:val="24"/>
          <w:szCs w:val="24"/>
        </w:rPr>
        <w:t>“</w:t>
      </w:r>
      <w:r w:rsidRPr="00A84A20">
        <w:rPr>
          <w:sz w:val="24"/>
          <w:szCs w:val="24"/>
        </w:rPr>
        <w:t>humans</w:t>
      </w:r>
      <w:r>
        <w:rPr>
          <w:sz w:val="24"/>
          <w:szCs w:val="24"/>
        </w:rPr>
        <w:t>”</w:t>
      </w:r>
      <w:r w:rsidRPr="00A84A20">
        <w:rPr>
          <w:sz w:val="24"/>
          <w:szCs w:val="24"/>
        </w:rPr>
        <w:t xml:space="preserve"> . . .</w:t>
      </w:r>
      <w:r>
        <w:rPr>
          <w:sz w:val="24"/>
          <w:szCs w:val="24"/>
        </w:rPr>
        <w:t>’</w:t>
      </w:r>
      <w:r w:rsidRPr="00A84A20">
        <w:rPr>
          <w:sz w:val="24"/>
          <w:szCs w:val="24"/>
        </w:rPr>
        <w:t xml:space="preserve"> suggests that such expendability, in both the colonial era and the present, can cross over into </w:t>
      </w:r>
      <w:r w:rsidRPr="00A84A20">
        <w:rPr>
          <w:i/>
          <w:iCs/>
          <w:sz w:val="24"/>
          <w:szCs w:val="24"/>
        </w:rPr>
        <w:t>homo saceri</w:t>
      </w:r>
      <w:r>
        <w:rPr>
          <w:i/>
          <w:iCs/>
          <w:sz w:val="24"/>
          <w:szCs w:val="24"/>
        </w:rPr>
        <w:t>z</w:t>
      </w:r>
      <w:r w:rsidRPr="00A84A20">
        <w:rPr>
          <w:i/>
          <w:iCs/>
          <w:sz w:val="24"/>
          <w:szCs w:val="24"/>
        </w:rPr>
        <w:t>ation</w:t>
      </w:r>
      <w:r w:rsidRPr="00A84A20">
        <w:rPr>
          <w:sz w:val="24"/>
          <w:szCs w:val="24"/>
        </w:rPr>
        <w:t xml:space="preserve">. Jauregui, </w:t>
      </w:r>
      <w:r w:rsidRPr="00A84A20">
        <w:rPr>
          <w:i/>
          <w:iCs/>
          <w:sz w:val="24"/>
          <w:szCs w:val="24"/>
        </w:rPr>
        <w:t>Provisional Authority</w:t>
      </w:r>
      <w:r>
        <w:rPr>
          <w:sz w:val="24"/>
          <w:szCs w:val="24"/>
        </w:rPr>
        <w:t xml:space="preserve"> (n 151)</w:t>
      </w:r>
      <w:r w:rsidRPr="00A84A20">
        <w:rPr>
          <w:sz w:val="24"/>
          <w:szCs w:val="24"/>
        </w:rPr>
        <w:t xml:space="preserve"> 104</w:t>
      </w:r>
      <w:r>
        <w:rPr>
          <w:sz w:val="24"/>
          <w:szCs w:val="24"/>
        </w:rPr>
        <w:t>-</w:t>
      </w:r>
      <w:r w:rsidRPr="00A84A20">
        <w:rPr>
          <w:sz w:val="24"/>
          <w:szCs w:val="24"/>
        </w:rPr>
        <w:t xml:space="preserve">5, 88; Ashu Chatterjee, </w:t>
      </w:r>
      <w:r>
        <w:rPr>
          <w:sz w:val="24"/>
          <w:szCs w:val="24"/>
        </w:rPr>
        <w:t>‘</w:t>
      </w:r>
      <w:r w:rsidRPr="00A84A20">
        <w:rPr>
          <w:sz w:val="24"/>
          <w:szCs w:val="24"/>
        </w:rPr>
        <w:t>The Policeman</w:t>
      </w:r>
      <w:r>
        <w:rPr>
          <w:sz w:val="24"/>
          <w:szCs w:val="24"/>
        </w:rPr>
        <w:t>’</w:t>
      </w:r>
      <w:r w:rsidRPr="00A84A20">
        <w:rPr>
          <w:sz w:val="24"/>
          <w:szCs w:val="24"/>
        </w:rPr>
        <w:t xml:space="preserve">, </w:t>
      </w:r>
      <w:r w:rsidRPr="00A84A20">
        <w:rPr>
          <w:i/>
          <w:iCs/>
          <w:sz w:val="24"/>
          <w:szCs w:val="24"/>
        </w:rPr>
        <w:t xml:space="preserve">Calcutta Police Journal </w:t>
      </w:r>
      <w:r w:rsidRPr="00A84A20">
        <w:rPr>
          <w:sz w:val="24"/>
          <w:szCs w:val="24"/>
        </w:rPr>
        <w:t>1 (1939), 5</w:t>
      </w:r>
      <w:r>
        <w:rPr>
          <w:sz w:val="24"/>
          <w:szCs w:val="24"/>
        </w:rPr>
        <w:t>-</w:t>
      </w:r>
      <w:r w:rsidRPr="00A84A20">
        <w:rPr>
          <w:sz w:val="24"/>
          <w:szCs w:val="24"/>
        </w:rPr>
        <w:t xml:space="preserve">9, cited in Silvestri, </w:t>
      </w:r>
      <w:r>
        <w:rPr>
          <w:sz w:val="24"/>
          <w:szCs w:val="24"/>
        </w:rPr>
        <w:t>‘”</w:t>
      </w:r>
      <w:r w:rsidRPr="00A84A20">
        <w:rPr>
          <w:sz w:val="24"/>
          <w:szCs w:val="24"/>
        </w:rPr>
        <w:t>The Dirty Work of Empire</w:t>
      </w:r>
      <w:r>
        <w:rPr>
          <w:sz w:val="24"/>
          <w:szCs w:val="24"/>
        </w:rPr>
        <w:t>”’ (n 143)</w:t>
      </w:r>
      <w:r w:rsidRPr="00A84A20">
        <w:rPr>
          <w:sz w:val="24"/>
          <w:szCs w:val="24"/>
        </w:rPr>
        <w:t xml:space="preserve"> 277</w:t>
      </w:r>
      <w:r>
        <w:rPr>
          <w:sz w:val="24"/>
          <w:szCs w:val="24"/>
        </w:rPr>
        <w:t>-</w:t>
      </w:r>
      <w:r w:rsidRPr="00A84A20">
        <w:rPr>
          <w:sz w:val="24"/>
          <w:szCs w:val="24"/>
        </w:rPr>
        <w:t xml:space="preserve">78; and Wahl, </w:t>
      </w:r>
      <w:r w:rsidRPr="00A84A20">
        <w:rPr>
          <w:i/>
          <w:iCs/>
          <w:sz w:val="24"/>
          <w:szCs w:val="24"/>
        </w:rPr>
        <w:t>Just Violence</w:t>
      </w:r>
      <w:r>
        <w:rPr>
          <w:sz w:val="24"/>
          <w:szCs w:val="24"/>
        </w:rPr>
        <w:t xml:space="preserve"> (n 51)</w:t>
      </w:r>
      <w:r w:rsidRPr="00A84A20">
        <w:rPr>
          <w:sz w:val="24"/>
          <w:szCs w:val="24"/>
        </w:rPr>
        <w:t xml:space="preserve"> 171. See also Baxi, </w:t>
      </w:r>
      <w:r w:rsidRPr="00A84A20">
        <w:rPr>
          <w:i/>
          <w:iCs/>
          <w:sz w:val="24"/>
          <w:szCs w:val="24"/>
        </w:rPr>
        <w:t>The Crisis</w:t>
      </w:r>
      <w:r>
        <w:rPr>
          <w:i/>
          <w:iCs/>
          <w:sz w:val="24"/>
          <w:szCs w:val="24"/>
        </w:rPr>
        <w:t xml:space="preserve"> </w:t>
      </w:r>
      <w:r>
        <w:rPr>
          <w:sz w:val="24"/>
          <w:szCs w:val="24"/>
        </w:rPr>
        <w:t>(n 61)</w:t>
      </w:r>
      <w:r w:rsidRPr="00A84A20">
        <w:rPr>
          <w:i/>
          <w:iCs/>
          <w:sz w:val="24"/>
          <w:szCs w:val="24"/>
        </w:rPr>
        <w:t xml:space="preserve"> </w:t>
      </w:r>
      <w:r w:rsidRPr="00A84A20">
        <w:rPr>
          <w:sz w:val="24"/>
          <w:szCs w:val="24"/>
        </w:rPr>
        <w:t>86</w:t>
      </w:r>
      <w:r>
        <w:rPr>
          <w:sz w:val="24"/>
          <w:szCs w:val="24"/>
        </w:rPr>
        <w:t>-</w:t>
      </w:r>
      <w:r w:rsidRPr="00A84A20">
        <w:rPr>
          <w:sz w:val="24"/>
          <w:szCs w:val="24"/>
        </w:rPr>
        <w:t>92.</w:t>
      </w:r>
    </w:p>
  </w:footnote>
  <w:footnote w:id="222">
    <w:p w14:paraId="1E5E96D8"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Baxi, </w:t>
      </w:r>
      <w:r w:rsidRPr="00A84A20">
        <w:rPr>
          <w:i/>
          <w:iCs/>
          <w:sz w:val="24"/>
          <w:szCs w:val="24"/>
        </w:rPr>
        <w:t xml:space="preserve">The Crisis </w:t>
      </w:r>
      <w:r>
        <w:rPr>
          <w:sz w:val="24"/>
          <w:szCs w:val="24"/>
        </w:rPr>
        <w:t xml:space="preserve">(n 61) </w:t>
      </w:r>
      <w:r w:rsidRPr="00A84A20">
        <w:rPr>
          <w:sz w:val="24"/>
          <w:szCs w:val="24"/>
        </w:rPr>
        <w:t>99</w:t>
      </w:r>
      <w:r>
        <w:rPr>
          <w:sz w:val="24"/>
          <w:szCs w:val="24"/>
        </w:rPr>
        <w:t>-</w:t>
      </w:r>
      <w:r w:rsidRPr="00A84A20">
        <w:rPr>
          <w:sz w:val="24"/>
          <w:szCs w:val="24"/>
        </w:rPr>
        <w:t xml:space="preserve">102; Robb, </w:t>
      </w:r>
      <w:r>
        <w:rPr>
          <w:sz w:val="24"/>
          <w:szCs w:val="24"/>
        </w:rPr>
        <w:t>‘</w:t>
      </w:r>
      <w:r w:rsidRPr="00A84A20">
        <w:rPr>
          <w:sz w:val="24"/>
          <w:szCs w:val="24"/>
        </w:rPr>
        <w:t>The Ordering of Rural India</w:t>
      </w:r>
      <w:r>
        <w:rPr>
          <w:sz w:val="24"/>
          <w:szCs w:val="24"/>
        </w:rPr>
        <w:t>’ (n 143)</w:t>
      </w:r>
      <w:r w:rsidRPr="00A84A20">
        <w:rPr>
          <w:sz w:val="24"/>
          <w:szCs w:val="24"/>
        </w:rPr>
        <w:t xml:space="preserve"> 134; and Saha, </w:t>
      </w:r>
      <w:r w:rsidRPr="00A84A20">
        <w:rPr>
          <w:i/>
          <w:iCs/>
          <w:sz w:val="24"/>
          <w:szCs w:val="24"/>
        </w:rPr>
        <w:t xml:space="preserve">Law, </w:t>
      </w:r>
      <w:proofErr w:type="gramStart"/>
      <w:r w:rsidRPr="00A84A20">
        <w:rPr>
          <w:i/>
          <w:iCs/>
          <w:sz w:val="24"/>
          <w:szCs w:val="24"/>
        </w:rPr>
        <w:t>Disorder</w:t>
      </w:r>
      <w:proofErr w:type="gramEnd"/>
      <w:r w:rsidRPr="00A84A20">
        <w:rPr>
          <w:i/>
          <w:iCs/>
          <w:sz w:val="24"/>
          <w:szCs w:val="24"/>
        </w:rPr>
        <w:t xml:space="preserve"> and the Colonial State</w:t>
      </w:r>
      <w:r>
        <w:rPr>
          <w:i/>
          <w:iCs/>
          <w:sz w:val="24"/>
          <w:szCs w:val="24"/>
        </w:rPr>
        <w:t xml:space="preserve"> </w:t>
      </w:r>
      <w:r>
        <w:rPr>
          <w:sz w:val="24"/>
          <w:szCs w:val="24"/>
        </w:rPr>
        <w:t>(n 158)</w:t>
      </w:r>
      <w:r w:rsidRPr="00A84A20">
        <w:rPr>
          <w:i/>
          <w:iCs/>
          <w:sz w:val="24"/>
          <w:szCs w:val="24"/>
        </w:rPr>
        <w:t xml:space="preserve"> </w:t>
      </w:r>
      <w:r w:rsidRPr="00A84A20">
        <w:rPr>
          <w:sz w:val="24"/>
          <w:szCs w:val="24"/>
        </w:rPr>
        <w:t>9</w:t>
      </w:r>
      <w:r>
        <w:rPr>
          <w:sz w:val="24"/>
          <w:szCs w:val="24"/>
        </w:rPr>
        <w:t>-</w:t>
      </w:r>
      <w:r w:rsidRPr="00A84A20">
        <w:rPr>
          <w:sz w:val="24"/>
          <w:szCs w:val="24"/>
        </w:rPr>
        <w:t>10, 18</w:t>
      </w:r>
      <w:r>
        <w:rPr>
          <w:sz w:val="24"/>
          <w:szCs w:val="24"/>
        </w:rPr>
        <w:t>-</w:t>
      </w:r>
      <w:r w:rsidRPr="00A84A20">
        <w:rPr>
          <w:sz w:val="24"/>
          <w:szCs w:val="24"/>
        </w:rPr>
        <w:t xml:space="preserve">19. See also Akhil Gupta, </w:t>
      </w:r>
      <w:r>
        <w:rPr>
          <w:sz w:val="24"/>
          <w:szCs w:val="24"/>
        </w:rPr>
        <w:t>‘</w:t>
      </w:r>
      <w:r w:rsidRPr="00A84A20">
        <w:rPr>
          <w:sz w:val="24"/>
          <w:szCs w:val="24"/>
        </w:rPr>
        <w:t>Blurred Boundaries</w:t>
      </w:r>
      <w:r>
        <w:rPr>
          <w:sz w:val="24"/>
          <w:szCs w:val="24"/>
        </w:rPr>
        <w:t>’ (n 166)</w:t>
      </w:r>
      <w:r w:rsidRPr="00A84A20">
        <w:rPr>
          <w:sz w:val="24"/>
          <w:szCs w:val="24"/>
        </w:rPr>
        <w:t xml:space="preserve">; and Ranajit Guha, </w:t>
      </w:r>
      <w:r>
        <w:rPr>
          <w:color w:val="000000"/>
          <w:sz w:val="24"/>
          <w:szCs w:val="24"/>
          <w:shd w:val="clear" w:color="auto" w:fill="FFFFFF"/>
        </w:rPr>
        <w:t>‘</w:t>
      </w:r>
      <w:r w:rsidRPr="00A84A20">
        <w:rPr>
          <w:color w:val="000000"/>
          <w:sz w:val="24"/>
          <w:szCs w:val="24"/>
          <w:shd w:val="clear" w:color="auto" w:fill="FFFFFF"/>
        </w:rPr>
        <w:t>Two Campaigns</w:t>
      </w:r>
      <w:r>
        <w:rPr>
          <w:color w:val="000000"/>
          <w:sz w:val="24"/>
          <w:szCs w:val="24"/>
          <w:shd w:val="clear" w:color="auto" w:fill="FFFFFF"/>
        </w:rPr>
        <w:t>’</w:t>
      </w:r>
      <w:r w:rsidRPr="00A84A20">
        <w:rPr>
          <w:color w:val="000000"/>
          <w:sz w:val="24"/>
          <w:szCs w:val="24"/>
          <w:shd w:val="clear" w:color="auto" w:fill="FFFFFF"/>
        </w:rPr>
        <w:t>,</w:t>
      </w:r>
      <w:r w:rsidRPr="00A84A20">
        <w:rPr>
          <w:b/>
          <w:bCs/>
          <w:color w:val="000000"/>
          <w:sz w:val="24"/>
          <w:szCs w:val="24"/>
          <w:shd w:val="clear" w:color="auto" w:fill="FFFFFF"/>
        </w:rPr>
        <w:t xml:space="preserve"> </w:t>
      </w:r>
      <w:r w:rsidRPr="00A84A20">
        <w:rPr>
          <w:color w:val="000000"/>
          <w:sz w:val="24"/>
          <w:szCs w:val="24"/>
          <w:shd w:val="clear" w:color="auto" w:fill="FFFFFF"/>
        </w:rPr>
        <w:t xml:space="preserve">in </w:t>
      </w:r>
      <w:r w:rsidRPr="00A84A20">
        <w:rPr>
          <w:i/>
          <w:iCs/>
          <w:color w:val="000000"/>
          <w:sz w:val="24"/>
          <w:szCs w:val="24"/>
          <w:shd w:val="clear" w:color="auto" w:fill="FFFFFF"/>
        </w:rPr>
        <w:t>The Small Voice of History: Collected Essays</w:t>
      </w:r>
      <w:r w:rsidRPr="00A84A20">
        <w:rPr>
          <w:color w:val="000000"/>
          <w:sz w:val="24"/>
          <w:szCs w:val="24"/>
          <w:shd w:val="clear" w:color="auto" w:fill="FFFFFF"/>
        </w:rPr>
        <w:t xml:space="preserve"> (Delhi: Permanent Black 2002), 612</w:t>
      </w:r>
      <w:r>
        <w:rPr>
          <w:color w:val="000000"/>
          <w:sz w:val="24"/>
          <w:szCs w:val="24"/>
          <w:shd w:val="clear" w:color="auto" w:fill="FFFFFF"/>
        </w:rPr>
        <w:t>-</w:t>
      </w:r>
      <w:r w:rsidRPr="00A84A20">
        <w:rPr>
          <w:color w:val="000000"/>
          <w:sz w:val="24"/>
          <w:szCs w:val="24"/>
          <w:shd w:val="clear" w:color="auto" w:fill="FFFFFF"/>
        </w:rPr>
        <w:t xml:space="preserve">28. </w:t>
      </w:r>
      <w:r w:rsidRPr="00A84A20">
        <w:rPr>
          <w:sz w:val="24"/>
          <w:szCs w:val="24"/>
        </w:rPr>
        <w:t>In contrast to torture, however, corruption</w:t>
      </w:r>
      <w:r>
        <w:rPr>
          <w:sz w:val="24"/>
          <w:szCs w:val="24"/>
        </w:rPr>
        <w:t>, like colonial constructions of criminality,</w:t>
      </w:r>
      <w:r w:rsidRPr="00A84A20">
        <w:rPr>
          <w:sz w:val="24"/>
          <w:szCs w:val="24"/>
        </w:rPr>
        <w:t xml:space="preserve"> was a discursive product of colonial </w:t>
      </w:r>
      <w:r>
        <w:rPr>
          <w:sz w:val="24"/>
          <w:szCs w:val="24"/>
        </w:rPr>
        <w:t>rule. As in the case of torture it was, however,</w:t>
      </w:r>
      <w:r w:rsidRPr="00A84A20">
        <w:rPr>
          <w:sz w:val="24"/>
          <w:szCs w:val="24"/>
        </w:rPr>
        <w:t xml:space="preserve"> used to discipline Indians, particularly subordinate officials</w:t>
      </w:r>
      <w:r>
        <w:t>—</w:t>
      </w:r>
      <w:r w:rsidRPr="00A84A20">
        <w:rPr>
          <w:sz w:val="24"/>
          <w:szCs w:val="24"/>
        </w:rPr>
        <w:t xml:space="preserve">albeit not too harshly, considering the positive effect it had in tying both subordinate officials and indigenous elites to colonial rule. </w:t>
      </w:r>
      <w:r>
        <w:rPr>
          <w:sz w:val="24"/>
          <w:szCs w:val="24"/>
        </w:rPr>
        <w:t xml:space="preserve">In regard </w:t>
      </w:r>
      <w:r w:rsidRPr="00A84A20">
        <w:rPr>
          <w:sz w:val="24"/>
          <w:szCs w:val="24"/>
        </w:rPr>
        <w:t>to policing</w:t>
      </w:r>
      <w:r>
        <w:rPr>
          <w:sz w:val="24"/>
          <w:szCs w:val="24"/>
        </w:rPr>
        <w:t xml:space="preserve"> and corruption Michael Taussig avers</w:t>
      </w:r>
      <w:r w:rsidRPr="00A84A20">
        <w:rPr>
          <w:sz w:val="24"/>
          <w:szCs w:val="24"/>
        </w:rPr>
        <w:t xml:space="preserve"> </w:t>
      </w:r>
      <w:r>
        <w:rPr>
          <w:sz w:val="24"/>
          <w:szCs w:val="24"/>
        </w:rPr>
        <w:t xml:space="preserve">that </w:t>
      </w:r>
      <w:r w:rsidRPr="00A84A20">
        <w:rPr>
          <w:sz w:val="24"/>
          <w:szCs w:val="24"/>
        </w:rPr>
        <w:t xml:space="preserve">there is no such thing as policing </w:t>
      </w:r>
      <w:r>
        <w:rPr>
          <w:sz w:val="24"/>
          <w:szCs w:val="24"/>
        </w:rPr>
        <w:t>‘</w:t>
      </w:r>
      <w:r w:rsidRPr="00A84A20">
        <w:rPr>
          <w:sz w:val="24"/>
          <w:szCs w:val="24"/>
        </w:rPr>
        <w:t>before</w:t>
      </w:r>
      <w:r>
        <w:rPr>
          <w:sz w:val="24"/>
          <w:szCs w:val="24"/>
        </w:rPr>
        <w:t>’</w:t>
      </w:r>
      <w:r w:rsidRPr="00A84A20">
        <w:rPr>
          <w:sz w:val="24"/>
          <w:szCs w:val="24"/>
        </w:rPr>
        <w:t xml:space="preserve"> or </w:t>
      </w:r>
      <w:r>
        <w:rPr>
          <w:sz w:val="24"/>
          <w:szCs w:val="24"/>
        </w:rPr>
        <w:t>‘</w:t>
      </w:r>
      <w:r w:rsidRPr="00A84A20">
        <w:rPr>
          <w:sz w:val="24"/>
          <w:szCs w:val="24"/>
        </w:rPr>
        <w:t>outside</w:t>
      </w:r>
      <w:r>
        <w:rPr>
          <w:sz w:val="24"/>
          <w:szCs w:val="24"/>
        </w:rPr>
        <w:t>’</w:t>
      </w:r>
      <w:r w:rsidRPr="00A84A20">
        <w:rPr>
          <w:sz w:val="24"/>
          <w:szCs w:val="24"/>
        </w:rPr>
        <w:t xml:space="preserve"> of corruption, since </w:t>
      </w:r>
      <w:r>
        <w:rPr>
          <w:sz w:val="24"/>
          <w:szCs w:val="24"/>
        </w:rPr>
        <w:t>‘</w:t>
      </w:r>
      <w:r w:rsidRPr="00A84A20">
        <w:rPr>
          <w:sz w:val="24"/>
          <w:szCs w:val="24"/>
        </w:rPr>
        <w:t xml:space="preserve">corruption . . . sets the decisive parameters such that policing </w:t>
      </w:r>
      <w:r w:rsidRPr="00A84A20">
        <w:rPr>
          <w:i/>
          <w:iCs/>
          <w:sz w:val="24"/>
          <w:szCs w:val="24"/>
        </w:rPr>
        <w:t>is</w:t>
      </w:r>
      <w:r w:rsidRPr="00A84A20">
        <w:rPr>
          <w:sz w:val="24"/>
          <w:szCs w:val="24"/>
        </w:rPr>
        <w:t xml:space="preserve"> a form of corruption</w:t>
      </w:r>
      <w:r>
        <w:rPr>
          <w:sz w:val="24"/>
          <w:szCs w:val="24"/>
        </w:rPr>
        <w:t>’</w:t>
      </w:r>
      <w:r w:rsidRPr="00A84A20">
        <w:rPr>
          <w:sz w:val="24"/>
          <w:szCs w:val="24"/>
        </w:rPr>
        <w:t xml:space="preserve"> (emphasis in original</w:t>
      </w:r>
      <w:r>
        <w:rPr>
          <w:sz w:val="24"/>
          <w:szCs w:val="24"/>
        </w:rPr>
        <w:t>)</w:t>
      </w:r>
      <w:r w:rsidRPr="00A84A20">
        <w:rPr>
          <w:sz w:val="24"/>
          <w:szCs w:val="24"/>
        </w:rPr>
        <w:t xml:space="preserve">. Robb, </w:t>
      </w:r>
      <w:r>
        <w:rPr>
          <w:sz w:val="24"/>
          <w:szCs w:val="24"/>
        </w:rPr>
        <w:t>‘</w:t>
      </w:r>
      <w:r w:rsidRPr="00A84A20">
        <w:rPr>
          <w:sz w:val="24"/>
          <w:szCs w:val="24"/>
        </w:rPr>
        <w:t>The Ordering of Rural India</w:t>
      </w:r>
      <w:r>
        <w:rPr>
          <w:sz w:val="24"/>
          <w:szCs w:val="24"/>
        </w:rPr>
        <w:t xml:space="preserve">’ (n 143) </w:t>
      </w:r>
      <w:r w:rsidRPr="00A84A20">
        <w:rPr>
          <w:sz w:val="24"/>
          <w:szCs w:val="24"/>
        </w:rPr>
        <w:t xml:space="preserve">134; and Taussig, </w:t>
      </w:r>
      <w:r>
        <w:rPr>
          <w:sz w:val="24"/>
          <w:szCs w:val="24"/>
        </w:rPr>
        <w:t>‘</w:t>
      </w:r>
      <w:r w:rsidRPr="00A84A20">
        <w:rPr>
          <w:sz w:val="24"/>
          <w:szCs w:val="24"/>
        </w:rPr>
        <w:t>The Injustice of Policing</w:t>
      </w:r>
      <w:r>
        <w:rPr>
          <w:sz w:val="24"/>
          <w:szCs w:val="24"/>
        </w:rPr>
        <w:t xml:space="preserve">’ (n 187) </w:t>
      </w:r>
      <w:r w:rsidRPr="00A84A20">
        <w:rPr>
          <w:sz w:val="24"/>
          <w:szCs w:val="24"/>
        </w:rPr>
        <w:t xml:space="preserve">20; see also Gupta, </w:t>
      </w:r>
      <w:r>
        <w:rPr>
          <w:sz w:val="24"/>
          <w:szCs w:val="24"/>
        </w:rPr>
        <w:t>‘</w:t>
      </w:r>
      <w:r w:rsidRPr="00A84A20">
        <w:rPr>
          <w:sz w:val="24"/>
          <w:szCs w:val="24"/>
        </w:rPr>
        <w:t>Blurred Boundaries</w:t>
      </w:r>
      <w:r>
        <w:rPr>
          <w:sz w:val="24"/>
          <w:szCs w:val="24"/>
        </w:rPr>
        <w:t>’ (n 166)</w:t>
      </w:r>
      <w:r w:rsidRPr="00A84A20">
        <w:rPr>
          <w:sz w:val="24"/>
          <w:szCs w:val="24"/>
        </w:rPr>
        <w:t xml:space="preserve">; and </w:t>
      </w:r>
      <w:r>
        <w:rPr>
          <w:sz w:val="24"/>
          <w:szCs w:val="24"/>
        </w:rPr>
        <w:t xml:space="preserve">Gupta, </w:t>
      </w:r>
      <w:r w:rsidRPr="00A84A20">
        <w:rPr>
          <w:i/>
          <w:iCs/>
          <w:sz w:val="24"/>
          <w:szCs w:val="24"/>
        </w:rPr>
        <w:t>Red Tape</w:t>
      </w:r>
      <w:r>
        <w:rPr>
          <w:i/>
          <w:iCs/>
          <w:sz w:val="24"/>
          <w:szCs w:val="24"/>
        </w:rPr>
        <w:t xml:space="preserve"> </w:t>
      </w:r>
      <w:r>
        <w:rPr>
          <w:sz w:val="24"/>
          <w:szCs w:val="24"/>
        </w:rPr>
        <w:t>(n 119)</w:t>
      </w:r>
      <w:r w:rsidRPr="00A84A20">
        <w:rPr>
          <w:i/>
          <w:iCs/>
          <w:sz w:val="24"/>
          <w:szCs w:val="24"/>
        </w:rPr>
        <w:t xml:space="preserve"> </w:t>
      </w:r>
      <w:r w:rsidRPr="00A84A20">
        <w:rPr>
          <w:sz w:val="24"/>
          <w:szCs w:val="24"/>
        </w:rPr>
        <w:t>76</w:t>
      </w:r>
      <w:r>
        <w:rPr>
          <w:sz w:val="24"/>
          <w:szCs w:val="24"/>
        </w:rPr>
        <w:t>-</w:t>
      </w:r>
      <w:r w:rsidRPr="00A84A20">
        <w:rPr>
          <w:sz w:val="24"/>
          <w:szCs w:val="24"/>
        </w:rPr>
        <w:t>138.</w:t>
      </w:r>
    </w:p>
  </w:footnote>
  <w:footnote w:id="223">
    <w:p w14:paraId="2DCD9497"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Chakrabarti, </w:t>
      </w:r>
      <w:r>
        <w:rPr>
          <w:sz w:val="24"/>
          <w:szCs w:val="24"/>
        </w:rPr>
        <w:t>‘</w:t>
      </w:r>
      <w:r w:rsidRPr="00A84A20">
        <w:rPr>
          <w:sz w:val="24"/>
          <w:szCs w:val="24"/>
        </w:rPr>
        <w:t>Pax Britannica</w:t>
      </w:r>
      <w:r>
        <w:rPr>
          <w:sz w:val="24"/>
          <w:szCs w:val="24"/>
        </w:rPr>
        <w:t xml:space="preserve">’ (n 143) </w:t>
      </w:r>
      <w:r w:rsidRPr="00A84A20">
        <w:rPr>
          <w:sz w:val="24"/>
          <w:szCs w:val="24"/>
        </w:rPr>
        <w:t xml:space="preserve">78; Finkle, </w:t>
      </w:r>
      <w:r>
        <w:rPr>
          <w:sz w:val="24"/>
          <w:szCs w:val="24"/>
        </w:rPr>
        <w:t>‘State, Power and Police’</w:t>
      </w:r>
      <w:r>
        <w:rPr>
          <w:i/>
          <w:iCs/>
          <w:sz w:val="24"/>
          <w:szCs w:val="24"/>
        </w:rPr>
        <w:t xml:space="preserve"> </w:t>
      </w:r>
      <w:r>
        <w:rPr>
          <w:sz w:val="24"/>
          <w:szCs w:val="24"/>
        </w:rPr>
        <w:t xml:space="preserve">(n 143) </w:t>
      </w:r>
      <w:r w:rsidRPr="00A84A20">
        <w:rPr>
          <w:sz w:val="24"/>
          <w:szCs w:val="24"/>
        </w:rPr>
        <w:t>58, 188</w:t>
      </w:r>
      <w:r>
        <w:rPr>
          <w:sz w:val="24"/>
          <w:szCs w:val="24"/>
        </w:rPr>
        <w:t>-</w:t>
      </w:r>
      <w:r w:rsidRPr="00A84A20">
        <w:rPr>
          <w:sz w:val="24"/>
          <w:szCs w:val="24"/>
        </w:rPr>
        <w:t xml:space="preserve">194; and Silvestri, </w:t>
      </w:r>
      <w:proofErr w:type="gramStart"/>
      <w:r>
        <w:rPr>
          <w:sz w:val="24"/>
          <w:szCs w:val="24"/>
        </w:rPr>
        <w:t>‘”</w:t>
      </w:r>
      <w:r w:rsidRPr="00A84A20">
        <w:rPr>
          <w:sz w:val="24"/>
          <w:szCs w:val="24"/>
        </w:rPr>
        <w:t>The</w:t>
      </w:r>
      <w:proofErr w:type="gramEnd"/>
      <w:r w:rsidRPr="00A84A20">
        <w:rPr>
          <w:sz w:val="24"/>
          <w:szCs w:val="24"/>
        </w:rPr>
        <w:t xml:space="preserve"> Dirty Work</w:t>
      </w:r>
      <w:r>
        <w:rPr>
          <w:sz w:val="24"/>
          <w:szCs w:val="24"/>
        </w:rPr>
        <w:t xml:space="preserve"> of Empire”’ (n</w:t>
      </w:r>
      <w:r w:rsidRPr="00A84A20">
        <w:rPr>
          <w:sz w:val="24"/>
          <w:szCs w:val="24"/>
        </w:rPr>
        <w:t xml:space="preserve"> </w:t>
      </w:r>
      <w:r>
        <w:rPr>
          <w:sz w:val="24"/>
          <w:szCs w:val="24"/>
        </w:rPr>
        <w:t xml:space="preserve">143) </w:t>
      </w:r>
      <w:r w:rsidRPr="00A84A20">
        <w:rPr>
          <w:sz w:val="24"/>
          <w:szCs w:val="24"/>
        </w:rPr>
        <w:t xml:space="preserve">70. </w:t>
      </w:r>
    </w:p>
  </w:footnote>
  <w:footnote w:id="224">
    <w:p w14:paraId="42CA4091"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The expectation that the police </w:t>
      </w:r>
      <w:r>
        <w:rPr>
          <w:sz w:val="24"/>
          <w:szCs w:val="24"/>
        </w:rPr>
        <w:t>‘”</w:t>
      </w:r>
      <w:r w:rsidRPr="00A84A20">
        <w:rPr>
          <w:sz w:val="24"/>
          <w:szCs w:val="24"/>
        </w:rPr>
        <w:t>should mix as much as possible with people of the locality, get on intimate and friendly terms with them and try to induce them to talk</w:t>
      </w:r>
      <w:r>
        <w:rPr>
          <w:sz w:val="24"/>
          <w:szCs w:val="24"/>
        </w:rPr>
        <w:t>”’</w:t>
      </w:r>
      <w:r w:rsidRPr="00A84A20">
        <w:rPr>
          <w:sz w:val="24"/>
          <w:szCs w:val="24"/>
        </w:rPr>
        <w:t xml:space="preserve"> was clearly enshrined in police training manuals. W. Swain, </w:t>
      </w:r>
      <w:r w:rsidRPr="00A84A20">
        <w:rPr>
          <w:i/>
          <w:iCs/>
          <w:sz w:val="24"/>
          <w:szCs w:val="24"/>
        </w:rPr>
        <w:t>Manual for the Instruction of Constables in their Duties</w:t>
      </w:r>
      <w:r w:rsidRPr="00A84A20">
        <w:rPr>
          <w:sz w:val="24"/>
          <w:szCs w:val="24"/>
        </w:rPr>
        <w:t xml:space="preserve"> (Calcutta 1903), cited in Silvestri, </w:t>
      </w:r>
      <w:proofErr w:type="gramStart"/>
      <w:r>
        <w:rPr>
          <w:sz w:val="24"/>
          <w:szCs w:val="24"/>
        </w:rPr>
        <w:t>‘”</w:t>
      </w:r>
      <w:r w:rsidRPr="00A84A20">
        <w:rPr>
          <w:sz w:val="24"/>
          <w:szCs w:val="24"/>
        </w:rPr>
        <w:t>The</w:t>
      </w:r>
      <w:proofErr w:type="gramEnd"/>
      <w:r w:rsidRPr="00A84A20">
        <w:rPr>
          <w:sz w:val="24"/>
          <w:szCs w:val="24"/>
        </w:rPr>
        <w:t xml:space="preserve"> Dirty Work of Empire</w:t>
      </w:r>
      <w:r>
        <w:rPr>
          <w:sz w:val="24"/>
          <w:szCs w:val="24"/>
        </w:rPr>
        <w:t>”’ (n 143)</w:t>
      </w:r>
      <w:r w:rsidRPr="00A84A20">
        <w:rPr>
          <w:sz w:val="24"/>
          <w:szCs w:val="24"/>
        </w:rPr>
        <w:t xml:space="preserve"> 70.</w:t>
      </w:r>
    </w:p>
  </w:footnote>
  <w:footnote w:id="225">
    <w:p w14:paraId="641BE11A"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Finkle</w:t>
      </w:r>
      <w:r>
        <w:rPr>
          <w:sz w:val="24"/>
          <w:szCs w:val="24"/>
        </w:rPr>
        <w:t xml:space="preserve">, ‘State, Power and Police’ (n 143) </w:t>
      </w:r>
      <w:r w:rsidRPr="00A84A20">
        <w:rPr>
          <w:sz w:val="24"/>
          <w:szCs w:val="24"/>
        </w:rPr>
        <w:t>6</w:t>
      </w:r>
      <w:r>
        <w:rPr>
          <w:sz w:val="24"/>
          <w:szCs w:val="24"/>
        </w:rPr>
        <w:t>-</w:t>
      </w:r>
      <w:r w:rsidRPr="00A84A20">
        <w:rPr>
          <w:sz w:val="24"/>
          <w:szCs w:val="24"/>
        </w:rPr>
        <w:t xml:space="preserve">15, 48; Kumar and Verma, </w:t>
      </w:r>
      <w:r>
        <w:rPr>
          <w:sz w:val="24"/>
          <w:szCs w:val="24"/>
        </w:rPr>
        <w:t>‘</w:t>
      </w:r>
      <w:r w:rsidRPr="00A84A20">
        <w:rPr>
          <w:sz w:val="24"/>
          <w:szCs w:val="24"/>
        </w:rPr>
        <w:t>Hegemony, Discipline and Control</w:t>
      </w:r>
      <w:r>
        <w:rPr>
          <w:sz w:val="24"/>
          <w:szCs w:val="24"/>
        </w:rPr>
        <w:t xml:space="preserve">’ (n 143) </w:t>
      </w:r>
      <w:r w:rsidRPr="00A84A20">
        <w:rPr>
          <w:sz w:val="24"/>
          <w:szCs w:val="24"/>
        </w:rPr>
        <w:t xml:space="preserve">65; </w:t>
      </w:r>
      <w:r w:rsidRPr="00A84A20">
        <w:rPr>
          <w:bCs/>
          <w:sz w:val="24"/>
          <w:szCs w:val="24"/>
        </w:rPr>
        <w:t xml:space="preserve">Piliavsky, </w:t>
      </w:r>
      <w:r>
        <w:rPr>
          <w:bCs/>
          <w:sz w:val="24"/>
          <w:szCs w:val="24"/>
        </w:rPr>
        <w:t>‘</w:t>
      </w:r>
      <w:r w:rsidRPr="00A84A20">
        <w:rPr>
          <w:bCs/>
          <w:sz w:val="24"/>
          <w:szCs w:val="24"/>
        </w:rPr>
        <w:t>The Moghia Menace</w:t>
      </w:r>
      <w:r>
        <w:rPr>
          <w:bCs/>
          <w:sz w:val="24"/>
          <w:szCs w:val="24"/>
        </w:rPr>
        <w:t>’ (n 155)</w:t>
      </w:r>
      <w:r w:rsidRPr="00A84A20">
        <w:rPr>
          <w:bCs/>
          <w:sz w:val="24"/>
          <w:szCs w:val="24"/>
        </w:rPr>
        <w:t>; and Jauregui</w:t>
      </w:r>
      <w:r w:rsidRPr="00A84A20">
        <w:rPr>
          <w:sz w:val="24"/>
          <w:szCs w:val="24"/>
        </w:rPr>
        <w:t xml:space="preserve">, </w:t>
      </w:r>
      <w:r w:rsidRPr="00A84A20">
        <w:rPr>
          <w:i/>
          <w:iCs/>
          <w:sz w:val="24"/>
          <w:szCs w:val="24"/>
        </w:rPr>
        <w:t>Provisional Authority</w:t>
      </w:r>
      <w:r>
        <w:rPr>
          <w:i/>
          <w:iCs/>
          <w:sz w:val="24"/>
          <w:szCs w:val="24"/>
        </w:rPr>
        <w:t xml:space="preserve"> </w:t>
      </w:r>
      <w:r>
        <w:rPr>
          <w:sz w:val="24"/>
          <w:szCs w:val="24"/>
        </w:rPr>
        <w:t>(n 151)</w:t>
      </w:r>
      <w:r w:rsidRPr="00A84A20">
        <w:rPr>
          <w:i/>
          <w:iCs/>
          <w:sz w:val="24"/>
          <w:szCs w:val="24"/>
        </w:rPr>
        <w:t xml:space="preserve"> </w:t>
      </w:r>
      <w:r w:rsidRPr="00A84A20">
        <w:rPr>
          <w:sz w:val="24"/>
          <w:szCs w:val="24"/>
        </w:rPr>
        <w:t>147</w:t>
      </w:r>
      <w:r>
        <w:rPr>
          <w:sz w:val="24"/>
          <w:szCs w:val="24"/>
        </w:rPr>
        <w:t>-</w:t>
      </w:r>
      <w:r w:rsidRPr="00A84A20">
        <w:rPr>
          <w:sz w:val="24"/>
          <w:szCs w:val="24"/>
        </w:rPr>
        <w:t xml:space="preserve">48. Akhil Gupta’s observation that </w:t>
      </w:r>
      <w:r>
        <w:rPr>
          <w:sz w:val="24"/>
          <w:szCs w:val="24"/>
        </w:rPr>
        <w:t>‘</w:t>
      </w:r>
      <w:r w:rsidRPr="00A84A20">
        <w:rPr>
          <w:sz w:val="24"/>
          <w:szCs w:val="24"/>
        </w:rPr>
        <w:t>[s]tructural violence against the poor . . . is constitutive of the state</w:t>
      </w:r>
      <w:r>
        <w:rPr>
          <w:sz w:val="24"/>
          <w:szCs w:val="24"/>
        </w:rPr>
        <w:t>’</w:t>
      </w:r>
      <w:r w:rsidRPr="00A84A20">
        <w:rPr>
          <w:sz w:val="24"/>
          <w:szCs w:val="24"/>
        </w:rPr>
        <w:t xml:space="preserve"> is thus as apt regarding the colonial state as </w:t>
      </w:r>
      <w:r>
        <w:rPr>
          <w:sz w:val="24"/>
          <w:szCs w:val="24"/>
        </w:rPr>
        <w:t>it is of</w:t>
      </w:r>
      <w:r w:rsidRPr="00A84A20">
        <w:rPr>
          <w:sz w:val="24"/>
          <w:szCs w:val="24"/>
        </w:rPr>
        <w:t xml:space="preserve"> its post</w:t>
      </w:r>
      <w:r>
        <w:rPr>
          <w:sz w:val="24"/>
          <w:szCs w:val="24"/>
        </w:rPr>
        <w:t>-</w:t>
      </w:r>
      <w:r w:rsidRPr="00A84A20">
        <w:rPr>
          <w:sz w:val="24"/>
          <w:szCs w:val="24"/>
        </w:rPr>
        <w:t xml:space="preserve">colonial successor. Gupta, </w:t>
      </w:r>
      <w:r w:rsidRPr="00A84A20">
        <w:rPr>
          <w:i/>
          <w:iCs/>
          <w:sz w:val="24"/>
          <w:szCs w:val="24"/>
        </w:rPr>
        <w:t>Red Tape</w:t>
      </w:r>
      <w:r>
        <w:rPr>
          <w:i/>
          <w:iCs/>
          <w:sz w:val="24"/>
          <w:szCs w:val="24"/>
        </w:rPr>
        <w:t xml:space="preserve"> </w:t>
      </w:r>
      <w:r>
        <w:rPr>
          <w:sz w:val="24"/>
          <w:szCs w:val="24"/>
        </w:rPr>
        <w:t>(n 119)</w:t>
      </w:r>
      <w:r w:rsidRPr="00A84A20">
        <w:rPr>
          <w:i/>
          <w:iCs/>
          <w:sz w:val="24"/>
          <w:szCs w:val="24"/>
        </w:rPr>
        <w:t xml:space="preserve"> </w:t>
      </w:r>
      <w:r w:rsidRPr="00A84A20">
        <w:rPr>
          <w:sz w:val="24"/>
          <w:szCs w:val="24"/>
        </w:rPr>
        <w:t>72.</w:t>
      </w:r>
    </w:p>
  </w:footnote>
  <w:footnote w:id="226">
    <w:p w14:paraId="1C9787E7"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Clea Finkle suggests that it was only </w:t>
      </w:r>
      <w:r w:rsidRPr="00A84A20">
        <w:rPr>
          <w:i/>
          <w:iCs/>
          <w:sz w:val="24"/>
          <w:szCs w:val="24"/>
        </w:rPr>
        <w:t>through</w:t>
      </w:r>
      <w:r w:rsidRPr="00A84A20">
        <w:rPr>
          <w:sz w:val="24"/>
          <w:szCs w:val="24"/>
        </w:rPr>
        <w:t xml:space="preserve"> their criminality that members of the subordinate police in colonial India could achieve a subject position. Finkle,</w:t>
      </w:r>
      <w:r>
        <w:rPr>
          <w:sz w:val="24"/>
          <w:szCs w:val="24"/>
        </w:rPr>
        <w:t xml:space="preserve"> ‘State, Power and Police’ (n 143)</w:t>
      </w:r>
      <w:r w:rsidRPr="00A84A20">
        <w:rPr>
          <w:sz w:val="24"/>
          <w:szCs w:val="24"/>
        </w:rPr>
        <w:t xml:space="preserve"> f. 63, 146.</w:t>
      </w:r>
    </w:p>
  </w:footnote>
  <w:footnote w:id="227">
    <w:p w14:paraId="7C455A24"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w:t>
      </w:r>
      <w:r w:rsidRPr="00935451">
        <w:rPr>
          <w:sz w:val="24"/>
          <w:szCs w:val="24"/>
        </w:rPr>
        <w:t>Although torture is an open secret in imperial and colonial contexts it erupts into public discourse only when it becomes a scandalous spectacle</w:t>
      </w:r>
      <w:r>
        <w:rPr>
          <w:sz w:val="24"/>
          <w:szCs w:val="24"/>
        </w:rPr>
        <w:t xml:space="preserve">. </w:t>
      </w:r>
      <w:r w:rsidRPr="00A84A20">
        <w:rPr>
          <w:sz w:val="24"/>
          <w:szCs w:val="24"/>
        </w:rPr>
        <w:t xml:space="preserve">In his study of flogging scandals in colonial Nigeria Steven Pierce </w:t>
      </w:r>
      <w:r>
        <w:rPr>
          <w:sz w:val="24"/>
          <w:szCs w:val="24"/>
        </w:rPr>
        <w:t>suggest</w:t>
      </w:r>
      <w:r w:rsidRPr="00A84A20">
        <w:rPr>
          <w:sz w:val="24"/>
          <w:szCs w:val="24"/>
        </w:rPr>
        <w:t>s that even in cases in which such a punishment was legal and carried out with careful attention to approved procedure it appeared, as a form of spectacle, to be both cruel and demeaning</w:t>
      </w:r>
      <w:r>
        <w:rPr>
          <w:sz w:val="24"/>
          <w:szCs w:val="24"/>
        </w:rPr>
        <w:t>; t</w:t>
      </w:r>
      <w:r w:rsidRPr="00A84A20">
        <w:rPr>
          <w:sz w:val="24"/>
          <w:szCs w:val="24"/>
        </w:rPr>
        <w:t xml:space="preserve">he British repugnancy towards flogging thus stemmed, according to Pierce, not from the flogging itself but the pathos induced by the spectacle of its application. </w:t>
      </w:r>
      <w:bookmarkStart w:id="51" w:name="_Hlk514183151"/>
      <w:r w:rsidRPr="00A84A20">
        <w:rPr>
          <w:sz w:val="24"/>
          <w:szCs w:val="24"/>
        </w:rPr>
        <w:t xml:space="preserve">Pierce, </w:t>
      </w:r>
      <w:r>
        <w:rPr>
          <w:sz w:val="24"/>
          <w:szCs w:val="24"/>
        </w:rPr>
        <w:t>‘</w:t>
      </w:r>
      <w:r w:rsidRPr="00A84A20">
        <w:rPr>
          <w:sz w:val="24"/>
          <w:szCs w:val="24"/>
        </w:rPr>
        <w:t>Punishment and the Political Body</w:t>
      </w:r>
      <w:bookmarkEnd w:id="51"/>
      <w:r>
        <w:rPr>
          <w:sz w:val="24"/>
          <w:szCs w:val="24"/>
        </w:rPr>
        <w:t>’ (n 101)</w:t>
      </w:r>
      <w:r w:rsidRPr="00A84A20">
        <w:rPr>
          <w:sz w:val="24"/>
          <w:szCs w:val="24"/>
        </w:rPr>
        <w:t xml:space="preserve"> </w:t>
      </w:r>
      <w:r w:rsidRPr="00A84A20">
        <w:rPr>
          <w:color w:val="000000"/>
          <w:sz w:val="24"/>
          <w:szCs w:val="24"/>
        </w:rPr>
        <w:t>209.</w:t>
      </w:r>
    </w:p>
  </w:footnote>
  <w:footnote w:id="228">
    <w:p w14:paraId="0BA0243F"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Dirks, </w:t>
      </w:r>
      <w:r w:rsidRPr="00A84A20">
        <w:rPr>
          <w:i/>
          <w:sz w:val="24"/>
          <w:szCs w:val="24"/>
        </w:rPr>
        <w:t>The Scandal of Empire</w:t>
      </w:r>
      <w:r>
        <w:rPr>
          <w:i/>
          <w:sz w:val="24"/>
          <w:szCs w:val="24"/>
        </w:rPr>
        <w:t xml:space="preserve"> </w:t>
      </w:r>
      <w:r>
        <w:rPr>
          <w:iCs/>
          <w:sz w:val="24"/>
          <w:szCs w:val="24"/>
        </w:rPr>
        <w:t>(n 104)</w:t>
      </w:r>
      <w:r w:rsidRPr="00A84A20">
        <w:rPr>
          <w:i/>
          <w:sz w:val="24"/>
          <w:szCs w:val="24"/>
        </w:rPr>
        <w:t xml:space="preserve"> </w:t>
      </w:r>
      <w:r w:rsidRPr="00A84A20">
        <w:rPr>
          <w:sz w:val="24"/>
          <w:szCs w:val="24"/>
        </w:rPr>
        <w:t>35.</w:t>
      </w:r>
    </w:p>
  </w:footnote>
  <w:footnote w:id="229">
    <w:p w14:paraId="199B4075" w14:textId="77777777" w:rsidR="00997966" w:rsidRPr="00894443" w:rsidRDefault="00997966" w:rsidP="00997966">
      <w:pPr>
        <w:pStyle w:val="FootnoteText"/>
        <w:spacing w:line="480" w:lineRule="auto"/>
        <w:contextualSpacing/>
        <w:rPr>
          <w:i/>
          <w:iCs/>
          <w:sz w:val="24"/>
          <w:szCs w:val="24"/>
        </w:rPr>
      </w:pPr>
      <w:r w:rsidRPr="00A84A20">
        <w:rPr>
          <w:rStyle w:val="FootnoteReference"/>
          <w:sz w:val="24"/>
          <w:szCs w:val="24"/>
        </w:rPr>
        <w:footnoteRef/>
      </w:r>
      <w:r w:rsidRPr="00A84A20">
        <w:rPr>
          <w:sz w:val="24"/>
          <w:szCs w:val="24"/>
        </w:rPr>
        <w:t xml:space="preserve"> Dirks, </w:t>
      </w:r>
      <w:bookmarkStart w:id="52" w:name="_Hlk42171010"/>
      <w:r w:rsidRPr="00894443">
        <w:rPr>
          <w:bCs/>
          <w:i/>
          <w:sz w:val="24"/>
          <w:szCs w:val="24"/>
        </w:rPr>
        <w:t>The Scandal of Empire</w:t>
      </w:r>
      <w:bookmarkEnd w:id="52"/>
      <w:r>
        <w:rPr>
          <w:sz w:val="24"/>
          <w:szCs w:val="24"/>
        </w:rPr>
        <w:t xml:space="preserve"> (n 104) </w:t>
      </w:r>
      <w:r w:rsidRPr="00A84A20">
        <w:rPr>
          <w:sz w:val="24"/>
          <w:szCs w:val="24"/>
        </w:rPr>
        <w:t>30.</w:t>
      </w:r>
    </w:p>
  </w:footnote>
  <w:footnote w:id="230">
    <w:p w14:paraId="74048B7D"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w:t>
      </w:r>
      <w:bookmarkStart w:id="53" w:name="_Hlk514183075"/>
      <w:r w:rsidRPr="00A84A20">
        <w:rPr>
          <w:sz w:val="24"/>
          <w:szCs w:val="24"/>
        </w:rPr>
        <w:t xml:space="preserve">Epstein, </w:t>
      </w:r>
      <w:r>
        <w:rPr>
          <w:sz w:val="24"/>
          <w:szCs w:val="24"/>
        </w:rPr>
        <w:t>‘</w:t>
      </w:r>
      <w:r w:rsidRPr="00A84A20">
        <w:rPr>
          <w:sz w:val="24"/>
          <w:szCs w:val="24"/>
        </w:rPr>
        <w:t>Politics of Colonial Sensation</w:t>
      </w:r>
      <w:r>
        <w:rPr>
          <w:sz w:val="24"/>
          <w:szCs w:val="24"/>
        </w:rPr>
        <w:t>’</w:t>
      </w:r>
      <w:bookmarkEnd w:id="53"/>
      <w:r>
        <w:rPr>
          <w:sz w:val="24"/>
          <w:szCs w:val="24"/>
        </w:rPr>
        <w:t xml:space="preserve"> (n 104) </w:t>
      </w:r>
      <w:r w:rsidRPr="00A84A20">
        <w:rPr>
          <w:sz w:val="24"/>
          <w:szCs w:val="24"/>
        </w:rPr>
        <w:t xml:space="preserve">739; and Dirks, </w:t>
      </w:r>
      <w:r w:rsidRPr="00A84A20">
        <w:rPr>
          <w:i/>
          <w:sz w:val="24"/>
          <w:szCs w:val="24"/>
        </w:rPr>
        <w:t>The Scandal of Empire</w:t>
      </w:r>
      <w:r>
        <w:rPr>
          <w:sz w:val="24"/>
          <w:szCs w:val="24"/>
        </w:rPr>
        <w:t xml:space="preserve"> (n 104) </w:t>
      </w:r>
      <w:r w:rsidRPr="00A84A20">
        <w:rPr>
          <w:sz w:val="24"/>
          <w:szCs w:val="24"/>
        </w:rPr>
        <w:t xml:space="preserve">xii.  Scandals also </w:t>
      </w:r>
      <w:r w:rsidRPr="00A84A20">
        <w:rPr>
          <w:color w:val="000000"/>
          <w:sz w:val="24"/>
          <w:szCs w:val="24"/>
        </w:rPr>
        <w:t>serve to affirm the coloni</w:t>
      </w:r>
      <w:r>
        <w:rPr>
          <w:color w:val="000000"/>
          <w:sz w:val="24"/>
          <w:szCs w:val="24"/>
        </w:rPr>
        <w:t>z</w:t>
      </w:r>
      <w:r w:rsidRPr="00A84A20">
        <w:rPr>
          <w:color w:val="000000"/>
          <w:sz w:val="24"/>
          <w:szCs w:val="24"/>
        </w:rPr>
        <w:t>ers’ view of the coloni</w:t>
      </w:r>
      <w:r>
        <w:rPr>
          <w:color w:val="000000"/>
          <w:sz w:val="24"/>
          <w:szCs w:val="24"/>
        </w:rPr>
        <w:t>z</w:t>
      </w:r>
      <w:r w:rsidRPr="00A84A20">
        <w:rPr>
          <w:color w:val="000000"/>
          <w:sz w:val="24"/>
          <w:szCs w:val="24"/>
        </w:rPr>
        <w:t>ed.</w:t>
      </w:r>
    </w:p>
  </w:footnote>
  <w:footnote w:id="231">
    <w:p w14:paraId="6D682315" w14:textId="77777777" w:rsidR="00997966" w:rsidRPr="00807B01" w:rsidRDefault="00997966" w:rsidP="00997966">
      <w:pPr>
        <w:pStyle w:val="FootnoteText"/>
        <w:spacing w:line="480" w:lineRule="auto"/>
        <w:contextualSpacing/>
        <w:rPr>
          <w:i/>
          <w:iCs/>
          <w:sz w:val="24"/>
          <w:szCs w:val="24"/>
        </w:rPr>
      </w:pPr>
      <w:r w:rsidRPr="00A84A20">
        <w:rPr>
          <w:rStyle w:val="FootnoteReference"/>
          <w:sz w:val="24"/>
          <w:szCs w:val="24"/>
        </w:rPr>
        <w:footnoteRef/>
      </w:r>
      <w:r w:rsidRPr="00A84A20">
        <w:rPr>
          <w:sz w:val="24"/>
          <w:szCs w:val="24"/>
        </w:rPr>
        <w:t xml:space="preserve"> Marita </w:t>
      </w:r>
      <w:bookmarkStart w:id="54" w:name="_Hlk514160120"/>
      <w:r w:rsidRPr="00A84A20">
        <w:rPr>
          <w:sz w:val="24"/>
          <w:szCs w:val="24"/>
        </w:rPr>
        <w:t xml:space="preserve">Sturken, </w:t>
      </w:r>
      <w:r>
        <w:rPr>
          <w:sz w:val="24"/>
          <w:szCs w:val="24"/>
        </w:rPr>
        <w:t>‘</w:t>
      </w:r>
      <w:r w:rsidRPr="00A84A20">
        <w:rPr>
          <w:sz w:val="24"/>
          <w:szCs w:val="24"/>
        </w:rPr>
        <w:t>Comfort, Irony, and Trivialization: The Mediation of Torture</w:t>
      </w:r>
      <w:r>
        <w:rPr>
          <w:sz w:val="24"/>
          <w:szCs w:val="24"/>
        </w:rPr>
        <w:t>’</w:t>
      </w:r>
      <w:r w:rsidRPr="00A84A20">
        <w:rPr>
          <w:sz w:val="24"/>
          <w:szCs w:val="24"/>
        </w:rPr>
        <w:t xml:space="preserve">, </w:t>
      </w:r>
      <w:r w:rsidRPr="00A84A20">
        <w:rPr>
          <w:i/>
          <w:sz w:val="24"/>
          <w:szCs w:val="24"/>
        </w:rPr>
        <w:t>International Journal of Cultural Studies</w:t>
      </w:r>
      <w:r w:rsidRPr="00A84A20">
        <w:rPr>
          <w:sz w:val="24"/>
          <w:szCs w:val="24"/>
        </w:rPr>
        <w:t xml:space="preserve"> 14</w:t>
      </w:r>
      <w:r>
        <w:rPr>
          <w:sz w:val="24"/>
          <w:szCs w:val="24"/>
        </w:rPr>
        <w:t>/</w:t>
      </w:r>
      <w:r w:rsidRPr="00A84A20">
        <w:rPr>
          <w:sz w:val="24"/>
          <w:szCs w:val="24"/>
        </w:rPr>
        <w:t xml:space="preserve">4 (2011), </w:t>
      </w:r>
      <w:bookmarkEnd w:id="54"/>
      <w:r w:rsidRPr="00A84A20">
        <w:rPr>
          <w:sz w:val="24"/>
          <w:szCs w:val="24"/>
        </w:rPr>
        <w:t xml:space="preserve">426; </w:t>
      </w:r>
      <w:bookmarkStart w:id="55" w:name="_Hlk41044314"/>
      <w:r w:rsidRPr="00A84A20">
        <w:rPr>
          <w:sz w:val="24"/>
          <w:szCs w:val="24"/>
        </w:rPr>
        <w:t xml:space="preserve">Taussig, </w:t>
      </w:r>
      <w:r>
        <w:rPr>
          <w:sz w:val="24"/>
          <w:szCs w:val="24"/>
        </w:rPr>
        <w:t>‘</w:t>
      </w:r>
      <w:r w:rsidRPr="00A84A20">
        <w:rPr>
          <w:sz w:val="24"/>
          <w:szCs w:val="24"/>
        </w:rPr>
        <w:t>Terror as Usual</w:t>
      </w:r>
      <w:bookmarkEnd w:id="55"/>
      <w:r>
        <w:rPr>
          <w:sz w:val="24"/>
          <w:szCs w:val="24"/>
        </w:rPr>
        <w:t>’ (n 121)</w:t>
      </w:r>
      <w:r w:rsidRPr="00A84A20">
        <w:rPr>
          <w:sz w:val="24"/>
          <w:szCs w:val="24"/>
        </w:rPr>
        <w:t xml:space="preserve"> 269; and Chakrabarti, </w:t>
      </w:r>
      <w:r>
        <w:rPr>
          <w:sz w:val="24"/>
          <w:szCs w:val="24"/>
        </w:rPr>
        <w:t>‘</w:t>
      </w:r>
      <w:r w:rsidRPr="00A84A20">
        <w:rPr>
          <w:sz w:val="24"/>
          <w:szCs w:val="24"/>
        </w:rPr>
        <w:t>Pax Britannica</w:t>
      </w:r>
      <w:r>
        <w:rPr>
          <w:sz w:val="24"/>
          <w:szCs w:val="24"/>
        </w:rPr>
        <w:t>’ (n 143)</w:t>
      </w:r>
      <w:r w:rsidRPr="00A84A20">
        <w:rPr>
          <w:sz w:val="24"/>
          <w:szCs w:val="24"/>
        </w:rPr>
        <w:t xml:space="preserve"> 78. On the effects of living with terror see Linda </w:t>
      </w:r>
      <w:bookmarkStart w:id="56" w:name="_Hlk41044273"/>
      <w:r w:rsidRPr="00A84A20">
        <w:rPr>
          <w:sz w:val="24"/>
          <w:szCs w:val="24"/>
        </w:rPr>
        <w:t xml:space="preserve">Green, </w:t>
      </w:r>
      <w:r>
        <w:rPr>
          <w:sz w:val="24"/>
          <w:szCs w:val="24"/>
        </w:rPr>
        <w:t>‘</w:t>
      </w:r>
      <w:r w:rsidRPr="00A84A20">
        <w:rPr>
          <w:sz w:val="24"/>
          <w:szCs w:val="24"/>
        </w:rPr>
        <w:t>Living in a State of Fear</w:t>
      </w:r>
      <w:r>
        <w:rPr>
          <w:sz w:val="24"/>
          <w:szCs w:val="24"/>
        </w:rPr>
        <w:t>’</w:t>
      </w:r>
      <w:r w:rsidRPr="00A84A20">
        <w:rPr>
          <w:sz w:val="24"/>
          <w:szCs w:val="24"/>
        </w:rPr>
        <w:t xml:space="preserve">, </w:t>
      </w:r>
      <w:bookmarkEnd w:id="56"/>
      <w:r w:rsidRPr="00A84A20">
        <w:rPr>
          <w:sz w:val="24"/>
          <w:szCs w:val="24"/>
        </w:rPr>
        <w:t xml:space="preserve">in </w:t>
      </w:r>
      <w:r>
        <w:rPr>
          <w:sz w:val="24"/>
          <w:szCs w:val="24"/>
        </w:rPr>
        <w:t xml:space="preserve">Nancy </w:t>
      </w:r>
      <w:r w:rsidRPr="00A84A20">
        <w:rPr>
          <w:sz w:val="24"/>
          <w:szCs w:val="24"/>
        </w:rPr>
        <w:t>Scheper</w:t>
      </w:r>
      <w:r>
        <w:rPr>
          <w:sz w:val="24"/>
          <w:szCs w:val="24"/>
        </w:rPr>
        <w:t>-</w:t>
      </w:r>
      <w:r w:rsidRPr="00A84A20">
        <w:rPr>
          <w:sz w:val="24"/>
          <w:szCs w:val="24"/>
        </w:rPr>
        <w:t xml:space="preserve">Hughes and </w:t>
      </w:r>
      <w:r>
        <w:rPr>
          <w:sz w:val="24"/>
          <w:szCs w:val="24"/>
        </w:rPr>
        <w:t xml:space="preserve">Philippe </w:t>
      </w:r>
      <w:r w:rsidRPr="00A84A20">
        <w:rPr>
          <w:sz w:val="24"/>
          <w:szCs w:val="24"/>
        </w:rPr>
        <w:t>Bourgois</w:t>
      </w:r>
      <w:r>
        <w:rPr>
          <w:sz w:val="24"/>
          <w:szCs w:val="24"/>
        </w:rPr>
        <w:t xml:space="preserve"> (eds), </w:t>
      </w:r>
      <w:r w:rsidRPr="00AC7BE7">
        <w:rPr>
          <w:i/>
          <w:iCs/>
          <w:sz w:val="24"/>
          <w:szCs w:val="24"/>
        </w:rPr>
        <w:t xml:space="preserve">Violence in War and Peace: An Anthology </w:t>
      </w:r>
      <w:r w:rsidRPr="00AC7BE7">
        <w:rPr>
          <w:sz w:val="24"/>
          <w:szCs w:val="24"/>
        </w:rPr>
        <w:t xml:space="preserve">(Malden, MA: Blackwell, 2006), </w:t>
      </w:r>
      <w:r w:rsidRPr="00A84A20">
        <w:rPr>
          <w:sz w:val="24"/>
          <w:szCs w:val="24"/>
        </w:rPr>
        <w:t>186</w:t>
      </w:r>
      <w:r>
        <w:rPr>
          <w:sz w:val="24"/>
          <w:szCs w:val="24"/>
        </w:rPr>
        <w:t>-</w:t>
      </w:r>
      <w:r w:rsidRPr="00A84A20">
        <w:rPr>
          <w:sz w:val="24"/>
          <w:szCs w:val="24"/>
        </w:rPr>
        <w:t>95.</w:t>
      </w:r>
    </w:p>
  </w:footnote>
  <w:footnote w:id="232">
    <w:p w14:paraId="4F16D364"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Letter, Sir John Craddock to Lord Liverpool, 1812, cited in Price, </w:t>
      </w:r>
      <w:r>
        <w:rPr>
          <w:sz w:val="24"/>
          <w:szCs w:val="24"/>
        </w:rPr>
        <w:t>‘</w:t>
      </w:r>
      <w:r w:rsidRPr="00A84A20">
        <w:rPr>
          <w:sz w:val="24"/>
          <w:szCs w:val="24"/>
        </w:rPr>
        <w:t>The Psychology of Colonial Violence</w:t>
      </w:r>
      <w:r>
        <w:rPr>
          <w:sz w:val="24"/>
          <w:szCs w:val="24"/>
        </w:rPr>
        <w:t xml:space="preserve">’ (n 105) </w:t>
      </w:r>
      <w:r w:rsidRPr="00A84A20">
        <w:rPr>
          <w:sz w:val="24"/>
          <w:szCs w:val="24"/>
        </w:rPr>
        <w:t xml:space="preserve">37. See also Ben Maclennan, </w:t>
      </w:r>
      <w:r w:rsidRPr="00A84A20">
        <w:rPr>
          <w:i/>
          <w:iCs/>
          <w:sz w:val="24"/>
          <w:szCs w:val="24"/>
        </w:rPr>
        <w:t>A Proper Degree of Terror: John Graham and the Cape’s Eastern Frontier</w:t>
      </w:r>
      <w:r w:rsidRPr="00A84A20">
        <w:rPr>
          <w:sz w:val="24"/>
          <w:szCs w:val="24"/>
        </w:rPr>
        <w:t xml:space="preserve"> (Johannesburg: Ravan Press 1986).</w:t>
      </w:r>
    </w:p>
  </w:footnote>
  <w:footnote w:id="233">
    <w:p w14:paraId="39B8796C" w14:textId="77777777" w:rsidR="00997966" w:rsidRPr="00A84A20" w:rsidRDefault="00997966" w:rsidP="00997966">
      <w:pPr>
        <w:pStyle w:val="FootnoteText"/>
        <w:spacing w:line="480" w:lineRule="auto"/>
        <w:contextualSpacing/>
        <w:rPr>
          <w:sz w:val="24"/>
          <w:szCs w:val="24"/>
        </w:rPr>
      </w:pPr>
      <w:r w:rsidRPr="00A84A20">
        <w:rPr>
          <w:rStyle w:val="FootnoteReference"/>
          <w:sz w:val="24"/>
          <w:szCs w:val="24"/>
        </w:rPr>
        <w:footnoteRef/>
      </w:r>
      <w:r w:rsidRPr="00A84A20">
        <w:rPr>
          <w:sz w:val="24"/>
          <w:szCs w:val="24"/>
        </w:rPr>
        <w:t xml:space="preserve"> Ervin Straub, </w:t>
      </w:r>
      <w:r>
        <w:rPr>
          <w:sz w:val="24"/>
          <w:szCs w:val="24"/>
        </w:rPr>
        <w:t>‘</w:t>
      </w:r>
      <w:r w:rsidRPr="00A84A20">
        <w:rPr>
          <w:sz w:val="24"/>
          <w:szCs w:val="24"/>
        </w:rPr>
        <w:t>The Psychology and Culture of Torture and Torturers</w:t>
      </w:r>
      <w:r>
        <w:rPr>
          <w:sz w:val="24"/>
          <w:szCs w:val="24"/>
        </w:rPr>
        <w:t>’</w:t>
      </w:r>
      <w:r w:rsidRPr="00A84A20">
        <w:rPr>
          <w:sz w:val="24"/>
          <w:szCs w:val="24"/>
        </w:rPr>
        <w:t xml:space="preserve">, </w:t>
      </w:r>
      <w:r>
        <w:rPr>
          <w:sz w:val="24"/>
          <w:szCs w:val="24"/>
        </w:rPr>
        <w:t xml:space="preserve">in Peter Suedfeld (ed.), </w:t>
      </w:r>
      <w:r w:rsidRPr="00A84A20">
        <w:rPr>
          <w:i/>
          <w:sz w:val="24"/>
          <w:szCs w:val="24"/>
        </w:rPr>
        <w:t>Psychology and Torture</w:t>
      </w:r>
      <w:r w:rsidRPr="00A84A20">
        <w:rPr>
          <w:sz w:val="24"/>
          <w:szCs w:val="24"/>
        </w:rPr>
        <w:t xml:space="preserve"> (New York: Hemisphere Publishing Co., 1990), 49</w:t>
      </w:r>
      <w:r>
        <w:rPr>
          <w:sz w:val="24"/>
          <w:szCs w:val="24"/>
        </w:rPr>
        <w:t>-</w:t>
      </w:r>
      <w:r w:rsidRPr="00A84A20">
        <w:rPr>
          <w:sz w:val="24"/>
          <w:szCs w:val="24"/>
        </w:rPr>
        <w:t>76.</w:t>
      </w:r>
    </w:p>
  </w:footnote>
  <w:footnote w:id="234">
    <w:p w14:paraId="7516F2C2"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w:t>
      </w:r>
      <w:bookmarkStart w:id="57" w:name="_Hlk16162388"/>
      <w:r w:rsidRPr="00A84A20">
        <w:rPr>
          <w:sz w:val="24"/>
          <w:szCs w:val="24"/>
        </w:rPr>
        <w:t xml:space="preserve">Ethan Kleinberg, Joan Wallach Scott and Gary Wilder, </w:t>
      </w:r>
      <w:r>
        <w:rPr>
          <w:sz w:val="24"/>
          <w:szCs w:val="24"/>
        </w:rPr>
        <w:t>‘</w:t>
      </w:r>
      <w:r w:rsidRPr="00A84A20">
        <w:rPr>
          <w:sz w:val="24"/>
          <w:szCs w:val="24"/>
        </w:rPr>
        <w:t>Theses on Theory and History</w:t>
      </w:r>
      <w:r>
        <w:rPr>
          <w:sz w:val="24"/>
          <w:szCs w:val="24"/>
        </w:rPr>
        <w:t>’ (</w:t>
      </w:r>
      <w:r w:rsidRPr="00A84A20">
        <w:rPr>
          <w:sz w:val="24"/>
          <w:szCs w:val="24"/>
        </w:rPr>
        <w:t>Wild On Collective, May 2018</w:t>
      </w:r>
      <w:r>
        <w:rPr>
          <w:sz w:val="24"/>
          <w:szCs w:val="24"/>
        </w:rPr>
        <w:t>)</w:t>
      </w:r>
      <w:r w:rsidRPr="00A84A20">
        <w:rPr>
          <w:sz w:val="24"/>
          <w:szCs w:val="24"/>
        </w:rPr>
        <w:t xml:space="preserve"> </w:t>
      </w:r>
      <w:r>
        <w:rPr>
          <w:sz w:val="24"/>
          <w:szCs w:val="24"/>
        </w:rPr>
        <w:t>&lt;</w:t>
      </w:r>
      <w:hyperlink r:id="rId46" w:history="1">
        <w:r w:rsidRPr="00740A5C">
          <w:rPr>
            <w:rStyle w:val="Hyperlink"/>
            <w:sz w:val="24"/>
            <w:szCs w:val="24"/>
          </w:rPr>
          <w:t>https://theoryrevolt.com/</w:t>
        </w:r>
      </w:hyperlink>
      <w:r>
        <w:rPr>
          <w:sz w:val="24"/>
          <w:szCs w:val="24"/>
        </w:rPr>
        <w:t xml:space="preserve">&gt; </w:t>
      </w:r>
      <w:r w:rsidRPr="00A84A20">
        <w:rPr>
          <w:sz w:val="24"/>
          <w:szCs w:val="24"/>
        </w:rPr>
        <w:t xml:space="preserve">accessed </w:t>
      </w:r>
      <w:r>
        <w:rPr>
          <w:sz w:val="24"/>
          <w:szCs w:val="24"/>
        </w:rPr>
        <w:t xml:space="preserve">8 </w:t>
      </w:r>
      <w:r w:rsidRPr="00A84A20">
        <w:rPr>
          <w:sz w:val="24"/>
          <w:szCs w:val="24"/>
        </w:rPr>
        <w:t>August 2019</w:t>
      </w:r>
      <w:bookmarkEnd w:id="57"/>
      <w:r w:rsidRPr="00A84A20">
        <w:rPr>
          <w:sz w:val="24"/>
          <w:szCs w:val="24"/>
        </w:rPr>
        <w:t>. I thank Jonathan Saha for this reference.</w:t>
      </w:r>
    </w:p>
  </w:footnote>
  <w:footnote w:id="235">
    <w:p w14:paraId="0C6BE41B" w14:textId="77777777" w:rsidR="00997966" w:rsidRPr="00A84A20" w:rsidRDefault="00997966" w:rsidP="00997966">
      <w:pPr>
        <w:pStyle w:val="FootnoteText"/>
        <w:spacing w:line="480" w:lineRule="auto"/>
        <w:rPr>
          <w:sz w:val="24"/>
          <w:szCs w:val="24"/>
        </w:rPr>
      </w:pPr>
      <w:r w:rsidRPr="00A84A20">
        <w:rPr>
          <w:rStyle w:val="FootnoteReference"/>
          <w:sz w:val="24"/>
          <w:szCs w:val="24"/>
        </w:rPr>
        <w:footnoteRef/>
      </w:r>
      <w:r w:rsidRPr="00A84A20">
        <w:rPr>
          <w:sz w:val="24"/>
          <w:szCs w:val="24"/>
        </w:rPr>
        <w:t xml:space="preserve"> Ibid.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17DF6"/>
    <w:multiLevelType w:val="hybridMultilevel"/>
    <w:tmpl w:val="4E765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737C3"/>
    <w:multiLevelType w:val="multilevel"/>
    <w:tmpl w:val="C2C4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860947"/>
    <w:multiLevelType w:val="hybridMultilevel"/>
    <w:tmpl w:val="44DC066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747714B"/>
    <w:multiLevelType w:val="hybridMultilevel"/>
    <w:tmpl w:val="2A986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CF35A3"/>
    <w:multiLevelType w:val="hybridMultilevel"/>
    <w:tmpl w:val="B826F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453789"/>
    <w:multiLevelType w:val="hybridMultilevel"/>
    <w:tmpl w:val="839EA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F47432"/>
    <w:multiLevelType w:val="hybridMultilevel"/>
    <w:tmpl w:val="E6D87BC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83029D"/>
    <w:multiLevelType w:val="hybridMultilevel"/>
    <w:tmpl w:val="F35A89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28F3EB2"/>
    <w:multiLevelType w:val="hybridMultilevel"/>
    <w:tmpl w:val="0CE86F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52771"/>
    <w:multiLevelType w:val="hybridMultilevel"/>
    <w:tmpl w:val="2DEC1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E86821"/>
    <w:multiLevelType w:val="hybridMultilevel"/>
    <w:tmpl w:val="EEEEB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F249E"/>
    <w:multiLevelType w:val="hybridMultilevel"/>
    <w:tmpl w:val="15BAD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960AA6"/>
    <w:multiLevelType w:val="hybridMultilevel"/>
    <w:tmpl w:val="79B6A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D366DA"/>
    <w:multiLevelType w:val="hybridMultilevel"/>
    <w:tmpl w:val="08865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1C3495"/>
    <w:multiLevelType w:val="hybridMultilevel"/>
    <w:tmpl w:val="D5941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3E0F5C"/>
    <w:multiLevelType w:val="hybridMultilevel"/>
    <w:tmpl w:val="C5665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554AC8"/>
    <w:multiLevelType w:val="hybridMultilevel"/>
    <w:tmpl w:val="2A601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8A239C"/>
    <w:multiLevelType w:val="hybridMultilevel"/>
    <w:tmpl w:val="7ACA3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FF6CAE"/>
    <w:multiLevelType w:val="multilevel"/>
    <w:tmpl w:val="3B3E4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670E92"/>
    <w:multiLevelType w:val="hybridMultilevel"/>
    <w:tmpl w:val="9F563A50"/>
    <w:lvl w:ilvl="0" w:tplc="C44AE46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34134E3"/>
    <w:multiLevelType w:val="hybridMultilevel"/>
    <w:tmpl w:val="07FA6B72"/>
    <w:lvl w:ilvl="0" w:tplc="AF168274">
      <w:start w:val="28"/>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93223B4"/>
    <w:multiLevelType w:val="hybridMultilevel"/>
    <w:tmpl w:val="F6D01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817AA8"/>
    <w:multiLevelType w:val="hybridMultilevel"/>
    <w:tmpl w:val="906E7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5B681B"/>
    <w:multiLevelType w:val="hybridMultilevel"/>
    <w:tmpl w:val="36D036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D17964"/>
    <w:multiLevelType w:val="hybridMultilevel"/>
    <w:tmpl w:val="9F10C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B00190"/>
    <w:multiLevelType w:val="multilevel"/>
    <w:tmpl w:val="4222A6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2243E40"/>
    <w:multiLevelType w:val="multilevel"/>
    <w:tmpl w:val="3B3E4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123FD2"/>
    <w:multiLevelType w:val="multilevel"/>
    <w:tmpl w:val="3B3E4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B855A5"/>
    <w:multiLevelType w:val="hybridMultilevel"/>
    <w:tmpl w:val="A1164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745C5B"/>
    <w:multiLevelType w:val="hybridMultilevel"/>
    <w:tmpl w:val="7520B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lvlOverride w:ilvl="0">
      <w:startOverride w:val="135"/>
    </w:lvlOverride>
  </w:num>
  <w:num w:numId="2">
    <w:abstractNumId w:val="26"/>
  </w:num>
  <w:num w:numId="3">
    <w:abstractNumId w:val="27"/>
    <w:lvlOverride w:ilvl="0">
      <w:startOverride w:val="155"/>
    </w:lvlOverride>
  </w:num>
  <w:num w:numId="4">
    <w:abstractNumId w:val="27"/>
    <w:lvlOverride w:ilvl="0">
      <w:startOverride w:val="156"/>
    </w:lvlOverride>
  </w:num>
  <w:num w:numId="5">
    <w:abstractNumId w:val="3"/>
  </w:num>
  <w:num w:numId="6">
    <w:abstractNumId w:val="22"/>
  </w:num>
  <w:num w:numId="7">
    <w:abstractNumId w:val="14"/>
  </w:num>
  <w:num w:numId="8">
    <w:abstractNumId w:val="15"/>
  </w:num>
  <w:num w:numId="9">
    <w:abstractNumId w:val="16"/>
  </w:num>
  <w:num w:numId="10">
    <w:abstractNumId w:val="7"/>
  </w:num>
  <w:num w:numId="11">
    <w:abstractNumId w:val="24"/>
  </w:num>
  <w:num w:numId="12">
    <w:abstractNumId w:val="5"/>
  </w:num>
  <w:num w:numId="13">
    <w:abstractNumId w:val="4"/>
  </w:num>
  <w:num w:numId="14">
    <w:abstractNumId w:val="11"/>
  </w:num>
  <w:num w:numId="15">
    <w:abstractNumId w:val="12"/>
  </w:num>
  <w:num w:numId="16">
    <w:abstractNumId w:val="13"/>
  </w:num>
  <w:num w:numId="17">
    <w:abstractNumId w:val="28"/>
  </w:num>
  <w:num w:numId="18">
    <w:abstractNumId w:val="10"/>
  </w:num>
  <w:num w:numId="19">
    <w:abstractNumId w:val="0"/>
  </w:num>
  <w:num w:numId="20">
    <w:abstractNumId w:val="21"/>
  </w:num>
  <w:num w:numId="21">
    <w:abstractNumId w:val="8"/>
  </w:num>
  <w:num w:numId="22">
    <w:abstractNumId w:val="23"/>
  </w:num>
  <w:num w:numId="23">
    <w:abstractNumId w:val="2"/>
  </w:num>
  <w:num w:numId="24">
    <w:abstractNumId w:val="29"/>
  </w:num>
  <w:num w:numId="25">
    <w:abstractNumId w:val="17"/>
  </w:num>
  <w:num w:numId="26">
    <w:abstractNumId w:val="9"/>
  </w:num>
  <w:num w:numId="27">
    <w:abstractNumId w:val="25"/>
  </w:num>
  <w:num w:numId="28">
    <w:abstractNumId w:val="20"/>
  </w:num>
  <w:num w:numId="29">
    <w:abstractNumId w:val="19"/>
  </w:num>
  <w:num w:numId="30">
    <w:abstractNumId w:val="6"/>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966"/>
    <w:rsid w:val="005A65B8"/>
    <w:rsid w:val="006437F1"/>
    <w:rsid w:val="00997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0BEBB"/>
  <w15:chartTrackingRefBased/>
  <w15:docId w15:val="{A9538A51-B7DE-43BA-9AC9-EFBC67CAA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966"/>
    <w:rPr>
      <w:rFonts w:ascii="Times New Roman" w:hAnsi="Times New Roman" w:cs="Times New Roman"/>
      <w:sz w:val="24"/>
      <w:szCs w:val="24"/>
    </w:rPr>
  </w:style>
  <w:style w:type="paragraph" w:styleId="Heading1">
    <w:name w:val="heading 1"/>
    <w:basedOn w:val="Normal"/>
    <w:next w:val="Normal"/>
    <w:link w:val="Heading1Char"/>
    <w:uiPriority w:val="9"/>
    <w:qFormat/>
    <w:rsid w:val="0099796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997966"/>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link w:val="Heading3Char"/>
    <w:uiPriority w:val="9"/>
    <w:qFormat/>
    <w:rsid w:val="00997966"/>
    <w:pPr>
      <w:spacing w:before="100" w:beforeAutospacing="1" w:after="100" w:afterAutospacing="1" w:line="240" w:lineRule="auto"/>
      <w:outlineLvl w:val="2"/>
    </w:pPr>
    <w:rPr>
      <w:rFonts w:eastAsia="Times New Roman"/>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966"/>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997966"/>
    <w:rPr>
      <w:rFonts w:asciiTheme="majorHAnsi" w:eastAsiaTheme="majorEastAsia" w:hAnsiTheme="majorHAnsi" w:cstheme="majorBidi"/>
      <w:b/>
      <w:color w:val="2F5496" w:themeColor="accent1" w:themeShade="BF"/>
      <w:sz w:val="26"/>
      <w:szCs w:val="26"/>
    </w:rPr>
  </w:style>
  <w:style w:type="character" w:customStyle="1" w:styleId="Heading3Char">
    <w:name w:val="Heading 3 Char"/>
    <w:basedOn w:val="DefaultParagraphFont"/>
    <w:link w:val="Heading3"/>
    <w:uiPriority w:val="9"/>
    <w:rsid w:val="00997966"/>
    <w:rPr>
      <w:rFonts w:ascii="Times New Roman" w:eastAsia="Times New Roman" w:hAnsi="Times New Roman" w:cs="Times New Roman"/>
      <w:bCs/>
      <w:sz w:val="27"/>
      <w:szCs w:val="27"/>
      <w:lang w:eastAsia="en-GB"/>
    </w:rPr>
  </w:style>
  <w:style w:type="paragraph" w:styleId="FootnoteText">
    <w:name w:val="footnote text"/>
    <w:basedOn w:val="Normal"/>
    <w:link w:val="FootnoteTextChar"/>
    <w:uiPriority w:val="99"/>
    <w:unhideWhenUsed/>
    <w:rsid w:val="00997966"/>
    <w:pPr>
      <w:spacing w:after="0" w:line="240" w:lineRule="auto"/>
    </w:pPr>
    <w:rPr>
      <w:sz w:val="20"/>
      <w:szCs w:val="20"/>
    </w:rPr>
  </w:style>
  <w:style w:type="character" w:customStyle="1" w:styleId="FootnoteTextChar">
    <w:name w:val="Footnote Text Char"/>
    <w:basedOn w:val="DefaultParagraphFont"/>
    <w:link w:val="FootnoteText"/>
    <w:uiPriority w:val="99"/>
    <w:rsid w:val="00997966"/>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997966"/>
    <w:rPr>
      <w:vertAlign w:val="superscript"/>
    </w:rPr>
  </w:style>
  <w:style w:type="paragraph" w:styleId="Header">
    <w:name w:val="header"/>
    <w:basedOn w:val="Normal"/>
    <w:link w:val="HeaderChar"/>
    <w:unhideWhenUsed/>
    <w:rsid w:val="00997966"/>
    <w:pPr>
      <w:tabs>
        <w:tab w:val="center" w:pos="4513"/>
        <w:tab w:val="right" w:pos="9026"/>
      </w:tabs>
      <w:spacing w:after="0" w:line="240" w:lineRule="auto"/>
    </w:pPr>
  </w:style>
  <w:style w:type="character" w:customStyle="1" w:styleId="HeaderChar">
    <w:name w:val="Header Char"/>
    <w:basedOn w:val="DefaultParagraphFont"/>
    <w:link w:val="Header"/>
    <w:rsid w:val="00997966"/>
    <w:rPr>
      <w:rFonts w:ascii="Times New Roman" w:hAnsi="Times New Roman" w:cs="Times New Roman"/>
      <w:sz w:val="24"/>
      <w:szCs w:val="24"/>
    </w:rPr>
  </w:style>
  <w:style w:type="paragraph" w:styleId="Footer">
    <w:name w:val="footer"/>
    <w:basedOn w:val="Normal"/>
    <w:link w:val="FooterChar"/>
    <w:uiPriority w:val="99"/>
    <w:unhideWhenUsed/>
    <w:qFormat/>
    <w:rsid w:val="00997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966"/>
    <w:rPr>
      <w:rFonts w:ascii="Times New Roman" w:hAnsi="Times New Roman" w:cs="Times New Roman"/>
      <w:sz w:val="24"/>
      <w:szCs w:val="24"/>
    </w:rPr>
  </w:style>
  <w:style w:type="paragraph" w:styleId="ListParagraph">
    <w:name w:val="List Paragraph"/>
    <w:basedOn w:val="Normal"/>
    <w:uiPriority w:val="34"/>
    <w:qFormat/>
    <w:rsid w:val="00997966"/>
    <w:pPr>
      <w:spacing w:after="200" w:line="276" w:lineRule="auto"/>
      <w:ind w:left="720"/>
      <w:contextualSpacing/>
    </w:pPr>
  </w:style>
  <w:style w:type="paragraph" w:styleId="EndnoteText">
    <w:name w:val="endnote text"/>
    <w:basedOn w:val="Normal"/>
    <w:link w:val="EndnoteTextChar"/>
    <w:uiPriority w:val="99"/>
    <w:unhideWhenUsed/>
    <w:rsid w:val="00997966"/>
    <w:pPr>
      <w:spacing w:after="0" w:line="240" w:lineRule="auto"/>
    </w:pPr>
    <w:rPr>
      <w:sz w:val="20"/>
      <w:szCs w:val="20"/>
    </w:rPr>
  </w:style>
  <w:style w:type="character" w:customStyle="1" w:styleId="EndnoteTextChar">
    <w:name w:val="Endnote Text Char"/>
    <w:basedOn w:val="DefaultParagraphFont"/>
    <w:link w:val="EndnoteText"/>
    <w:uiPriority w:val="99"/>
    <w:rsid w:val="00997966"/>
    <w:rPr>
      <w:rFonts w:ascii="Times New Roman" w:hAnsi="Times New Roman" w:cs="Times New Roman"/>
      <w:sz w:val="20"/>
      <w:szCs w:val="20"/>
    </w:rPr>
  </w:style>
  <w:style w:type="character" w:styleId="EndnoteReference">
    <w:name w:val="endnote reference"/>
    <w:basedOn w:val="DefaultParagraphFont"/>
    <w:uiPriority w:val="99"/>
    <w:unhideWhenUsed/>
    <w:rsid w:val="00997966"/>
    <w:rPr>
      <w:vertAlign w:val="superscript"/>
    </w:rPr>
  </w:style>
  <w:style w:type="character" w:customStyle="1" w:styleId="apple-converted-space">
    <w:name w:val="apple-converted-space"/>
    <w:basedOn w:val="DefaultParagraphFont"/>
    <w:rsid w:val="00997966"/>
  </w:style>
  <w:style w:type="character" w:styleId="Hyperlink">
    <w:name w:val="Hyperlink"/>
    <w:basedOn w:val="DefaultParagraphFont"/>
    <w:uiPriority w:val="99"/>
    <w:unhideWhenUsed/>
    <w:rsid w:val="00997966"/>
    <w:rPr>
      <w:color w:val="0563C1" w:themeColor="hyperlink"/>
      <w:u w:val="single"/>
    </w:rPr>
  </w:style>
  <w:style w:type="character" w:customStyle="1" w:styleId="hit">
    <w:name w:val="hit"/>
    <w:basedOn w:val="DefaultParagraphFont"/>
    <w:rsid w:val="00997966"/>
  </w:style>
  <w:style w:type="paragraph" w:styleId="NormalWeb">
    <w:name w:val="Normal (Web)"/>
    <w:basedOn w:val="Normal"/>
    <w:uiPriority w:val="99"/>
    <w:unhideWhenUsed/>
    <w:rsid w:val="00997966"/>
    <w:pPr>
      <w:spacing w:before="100" w:beforeAutospacing="1" w:after="100" w:afterAutospacing="1" w:line="240" w:lineRule="auto"/>
    </w:pPr>
    <w:rPr>
      <w:rFonts w:eastAsia="Times New Roman"/>
      <w:lang w:eastAsia="en-GB"/>
    </w:rPr>
  </w:style>
  <w:style w:type="paragraph" w:customStyle="1" w:styleId="loose">
    <w:name w:val="loose"/>
    <w:basedOn w:val="Normal"/>
    <w:rsid w:val="00997966"/>
    <w:pPr>
      <w:spacing w:before="100" w:beforeAutospacing="1" w:after="100" w:afterAutospacing="1" w:line="240" w:lineRule="auto"/>
    </w:pPr>
    <w:rPr>
      <w:rFonts w:eastAsia="Times New Roman"/>
      <w:lang w:eastAsia="en-GB"/>
    </w:rPr>
  </w:style>
  <w:style w:type="character" w:customStyle="1" w:styleId="tightinline">
    <w:name w:val="tightinline"/>
    <w:basedOn w:val="DefaultParagraphFont"/>
    <w:rsid w:val="00997966"/>
  </w:style>
  <w:style w:type="paragraph" w:customStyle="1" w:styleId="hs-text-container">
    <w:name w:val="hs-text-container"/>
    <w:basedOn w:val="Normal"/>
    <w:rsid w:val="00997966"/>
    <w:pPr>
      <w:spacing w:before="100" w:beforeAutospacing="1" w:after="100" w:afterAutospacing="1" w:line="240" w:lineRule="auto"/>
    </w:pPr>
    <w:rPr>
      <w:rFonts w:eastAsia="Times New Roman"/>
      <w:lang w:eastAsia="en-GB"/>
    </w:rPr>
  </w:style>
  <w:style w:type="character" w:styleId="CommentReference">
    <w:name w:val="annotation reference"/>
    <w:basedOn w:val="DefaultParagraphFont"/>
    <w:uiPriority w:val="99"/>
    <w:semiHidden/>
    <w:unhideWhenUsed/>
    <w:rsid w:val="00997966"/>
    <w:rPr>
      <w:sz w:val="16"/>
      <w:szCs w:val="16"/>
    </w:rPr>
  </w:style>
  <w:style w:type="paragraph" w:styleId="CommentText">
    <w:name w:val="annotation text"/>
    <w:basedOn w:val="Normal"/>
    <w:link w:val="CommentTextChar"/>
    <w:uiPriority w:val="99"/>
    <w:semiHidden/>
    <w:unhideWhenUsed/>
    <w:rsid w:val="00997966"/>
    <w:pPr>
      <w:spacing w:line="240" w:lineRule="auto"/>
    </w:pPr>
    <w:rPr>
      <w:sz w:val="20"/>
      <w:szCs w:val="20"/>
    </w:rPr>
  </w:style>
  <w:style w:type="character" w:customStyle="1" w:styleId="CommentTextChar">
    <w:name w:val="Comment Text Char"/>
    <w:basedOn w:val="DefaultParagraphFont"/>
    <w:link w:val="CommentText"/>
    <w:uiPriority w:val="99"/>
    <w:semiHidden/>
    <w:rsid w:val="0099796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7966"/>
    <w:rPr>
      <w:b/>
      <w:bCs/>
    </w:rPr>
  </w:style>
  <w:style w:type="character" w:customStyle="1" w:styleId="CommentSubjectChar">
    <w:name w:val="Comment Subject Char"/>
    <w:basedOn w:val="CommentTextChar"/>
    <w:link w:val="CommentSubject"/>
    <w:uiPriority w:val="99"/>
    <w:semiHidden/>
    <w:rsid w:val="0099796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997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966"/>
    <w:rPr>
      <w:rFonts w:ascii="Segoe UI" w:hAnsi="Segoe UI" w:cs="Segoe UI"/>
      <w:sz w:val="18"/>
      <w:szCs w:val="18"/>
    </w:rPr>
  </w:style>
  <w:style w:type="character" w:styleId="Emphasis">
    <w:name w:val="Emphasis"/>
    <w:uiPriority w:val="20"/>
    <w:qFormat/>
    <w:rsid w:val="00997966"/>
    <w:rPr>
      <w:i/>
      <w:iCs/>
    </w:rPr>
  </w:style>
  <w:style w:type="character" w:customStyle="1" w:styleId="reference-text">
    <w:name w:val="reference-text"/>
    <w:rsid w:val="00997966"/>
  </w:style>
  <w:style w:type="character" w:styleId="Strong">
    <w:name w:val="Strong"/>
    <w:basedOn w:val="DefaultParagraphFont"/>
    <w:uiPriority w:val="22"/>
    <w:qFormat/>
    <w:rsid w:val="00997966"/>
    <w:rPr>
      <w:b/>
      <w:bCs/>
    </w:rPr>
  </w:style>
  <w:style w:type="character" w:customStyle="1" w:styleId="collation">
    <w:name w:val="collation"/>
    <w:basedOn w:val="DefaultParagraphFont"/>
    <w:rsid w:val="00997966"/>
  </w:style>
  <w:style w:type="character" w:styleId="FollowedHyperlink">
    <w:name w:val="FollowedHyperlink"/>
    <w:basedOn w:val="DefaultParagraphFont"/>
    <w:uiPriority w:val="99"/>
    <w:semiHidden/>
    <w:unhideWhenUsed/>
    <w:rsid w:val="00997966"/>
    <w:rPr>
      <w:color w:val="954F72" w:themeColor="followedHyperlink"/>
      <w:u w:val="single"/>
    </w:rPr>
  </w:style>
  <w:style w:type="character" w:customStyle="1" w:styleId="a">
    <w:name w:val="a"/>
    <w:basedOn w:val="DefaultParagraphFont"/>
    <w:rsid w:val="00997966"/>
  </w:style>
  <w:style w:type="character" w:customStyle="1" w:styleId="l8">
    <w:name w:val="l8"/>
    <w:basedOn w:val="DefaultParagraphFont"/>
    <w:rsid w:val="00997966"/>
  </w:style>
  <w:style w:type="character" w:customStyle="1" w:styleId="smallcaps">
    <w:name w:val="smallcaps"/>
    <w:basedOn w:val="DefaultParagraphFont"/>
    <w:rsid w:val="00997966"/>
  </w:style>
  <w:style w:type="character" w:customStyle="1" w:styleId="reference-accessdate">
    <w:name w:val="reference-accessdate"/>
    <w:basedOn w:val="DefaultParagraphFont"/>
    <w:rsid w:val="00997966"/>
  </w:style>
  <w:style w:type="character" w:customStyle="1" w:styleId="nowrap">
    <w:name w:val="nowrap"/>
    <w:basedOn w:val="DefaultParagraphFont"/>
    <w:rsid w:val="00997966"/>
  </w:style>
  <w:style w:type="character" w:styleId="HTMLCite">
    <w:name w:val="HTML Cite"/>
    <w:basedOn w:val="DefaultParagraphFont"/>
    <w:uiPriority w:val="99"/>
    <w:semiHidden/>
    <w:unhideWhenUsed/>
    <w:rsid w:val="00997966"/>
    <w:rPr>
      <w:i/>
      <w:iCs/>
    </w:rPr>
  </w:style>
  <w:style w:type="character" w:customStyle="1" w:styleId="Mention1">
    <w:name w:val="Mention1"/>
    <w:basedOn w:val="DefaultParagraphFont"/>
    <w:uiPriority w:val="99"/>
    <w:semiHidden/>
    <w:unhideWhenUsed/>
    <w:rsid w:val="00997966"/>
    <w:rPr>
      <w:color w:val="2B579A"/>
      <w:shd w:val="clear" w:color="auto" w:fill="E6E6E6"/>
    </w:rPr>
  </w:style>
  <w:style w:type="character" w:customStyle="1" w:styleId="UnresolvedMention1">
    <w:name w:val="Unresolved Mention1"/>
    <w:basedOn w:val="DefaultParagraphFont"/>
    <w:uiPriority w:val="99"/>
    <w:semiHidden/>
    <w:unhideWhenUsed/>
    <w:rsid w:val="00997966"/>
    <w:rPr>
      <w:color w:val="808080"/>
      <w:shd w:val="clear" w:color="auto" w:fill="E6E6E6"/>
    </w:rPr>
  </w:style>
  <w:style w:type="character" w:customStyle="1" w:styleId="personname">
    <w:name w:val="person_name"/>
    <w:basedOn w:val="DefaultParagraphFont"/>
    <w:rsid w:val="00997966"/>
  </w:style>
  <w:style w:type="character" w:customStyle="1" w:styleId="journaltitle">
    <w:name w:val="journaltitle"/>
    <w:basedOn w:val="DefaultParagraphFont"/>
    <w:rsid w:val="00997966"/>
  </w:style>
  <w:style w:type="table" w:styleId="TableGrid">
    <w:name w:val="Table Grid"/>
    <w:basedOn w:val="TableNormal"/>
    <w:uiPriority w:val="39"/>
    <w:rsid w:val="0099796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nd-i">
    <w:name w:val="rend-i"/>
    <w:basedOn w:val="DefaultParagraphFont"/>
    <w:rsid w:val="00997966"/>
  </w:style>
  <w:style w:type="character" w:customStyle="1" w:styleId="cit-auth">
    <w:name w:val="cit-auth"/>
    <w:basedOn w:val="DefaultParagraphFont"/>
    <w:rsid w:val="00997966"/>
  </w:style>
  <w:style w:type="character" w:customStyle="1" w:styleId="italic">
    <w:name w:val="italic"/>
    <w:rsid w:val="00997966"/>
  </w:style>
  <w:style w:type="paragraph" w:customStyle="1" w:styleId="Default">
    <w:name w:val="Default"/>
    <w:rsid w:val="009979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me">
    <w:name w:val="name"/>
    <w:basedOn w:val="DefaultParagraphFont"/>
    <w:rsid w:val="00997966"/>
  </w:style>
  <w:style w:type="character" w:customStyle="1" w:styleId="surname">
    <w:name w:val="surname"/>
    <w:basedOn w:val="DefaultParagraphFont"/>
    <w:rsid w:val="00997966"/>
  </w:style>
  <w:style w:type="character" w:customStyle="1" w:styleId="given-names">
    <w:name w:val="given-names"/>
    <w:basedOn w:val="DefaultParagraphFont"/>
    <w:rsid w:val="00997966"/>
  </w:style>
  <w:style w:type="character" w:customStyle="1" w:styleId="year">
    <w:name w:val="year"/>
    <w:basedOn w:val="DefaultParagraphFont"/>
    <w:rsid w:val="00997966"/>
  </w:style>
  <w:style w:type="character" w:customStyle="1" w:styleId="source">
    <w:name w:val="source"/>
    <w:basedOn w:val="DefaultParagraphFont"/>
    <w:rsid w:val="00997966"/>
  </w:style>
  <w:style w:type="character" w:customStyle="1" w:styleId="publisher-loc">
    <w:name w:val="publisher-loc"/>
    <w:basedOn w:val="DefaultParagraphFont"/>
    <w:rsid w:val="00997966"/>
  </w:style>
  <w:style w:type="character" w:customStyle="1" w:styleId="publisher-name">
    <w:name w:val="publisher-name"/>
    <w:basedOn w:val="DefaultParagraphFont"/>
    <w:rsid w:val="00997966"/>
  </w:style>
  <w:style w:type="character" w:customStyle="1" w:styleId="exldetailsdisplayval">
    <w:name w:val="exldetailsdisplayval"/>
    <w:basedOn w:val="DefaultParagraphFont"/>
    <w:rsid w:val="00997966"/>
  </w:style>
  <w:style w:type="paragraph" w:customStyle="1" w:styleId="first-para">
    <w:name w:val="first-para"/>
    <w:basedOn w:val="Normal"/>
    <w:rsid w:val="00997966"/>
    <w:pPr>
      <w:spacing w:before="100" w:beforeAutospacing="1" w:after="100" w:afterAutospacing="1" w:line="240" w:lineRule="auto"/>
    </w:pPr>
    <w:rPr>
      <w:rFonts w:eastAsia="Times New Roman"/>
      <w:lang w:eastAsia="en-GB"/>
    </w:rPr>
  </w:style>
  <w:style w:type="character" w:customStyle="1" w:styleId="member">
    <w:name w:val="member"/>
    <w:rsid w:val="00997966"/>
  </w:style>
  <w:style w:type="paragraph" w:customStyle="1" w:styleId="story-bodyintroduction">
    <w:name w:val="story-body__introduction"/>
    <w:basedOn w:val="Normal"/>
    <w:rsid w:val="00997966"/>
    <w:pPr>
      <w:spacing w:before="100" w:beforeAutospacing="1" w:after="100" w:afterAutospacing="1" w:line="240" w:lineRule="auto"/>
    </w:pPr>
    <w:rPr>
      <w:rFonts w:eastAsia="Times New Roman"/>
      <w:lang w:eastAsia="en-GB"/>
    </w:rPr>
  </w:style>
  <w:style w:type="character" w:styleId="UnresolvedMention">
    <w:name w:val="Unresolved Mention"/>
    <w:basedOn w:val="DefaultParagraphFont"/>
    <w:uiPriority w:val="99"/>
    <w:semiHidden/>
    <w:unhideWhenUsed/>
    <w:rsid w:val="00997966"/>
    <w:rPr>
      <w:color w:val="605E5C"/>
      <w:shd w:val="clear" w:color="auto" w:fill="E1DFDD"/>
    </w:rPr>
  </w:style>
  <w:style w:type="paragraph" w:customStyle="1" w:styleId="body-paragraph">
    <w:name w:val="body-paragraph"/>
    <w:basedOn w:val="Normal"/>
    <w:rsid w:val="00997966"/>
    <w:pPr>
      <w:spacing w:before="100" w:beforeAutospacing="1" w:after="100" w:afterAutospacing="1" w:line="240" w:lineRule="auto"/>
    </w:pPr>
    <w:rPr>
      <w:rFonts w:eastAsia="Times New Roman"/>
      <w:lang w:eastAsia="en-GB"/>
    </w:rPr>
  </w:style>
  <w:style w:type="character" w:customStyle="1" w:styleId="small-caps">
    <w:name w:val="small-caps"/>
    <w:basedOn w:val="DefaultParagraphFont"/>
    <w:rsid w:val="00997966"/>
  </w:style>
  <w:style w:type="paragraph" w:styleId="Title">
    <w:name w:val="Title"/>
    <w:basedOn w:val="Normal"/>
    <w:next w:val="Normal"/>
    <w:link w:val="TitleChar"/>
    <w:uiPriority w:val="10"/>
    <w:qFormat/>
    <w:rsid w:val="00997966"/>
    <w:pPr>
      <w:spacing w:after="0" w:line="240" w:lineRule="auto"/>
      <w:ind w:left="144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7966"/>
    <w:rPr>
      <w:rFonts w:asciiTheme="majorHAnsi" w:eastAsiaTheme="majorEastAsia" w:hAnsiTheme="majorHAnsi" w:cstheme="majorBidi"/>
      <w:spacing w:val="-10"/>
      <w:kern w:val="28"/>
      <w:sz w:val="56"/>
      <w:szCs w:val="56"/>
    </w:rPr>
  </w:style>
  <w:style w:type="character" w:customStyle="1" w:styleId="titre-revue">
    <w:name w:val="titre-revue"/>
    <w:basedOn w:val="DefaultParagraphFont"/>
    <w:rsid w:val="00997966"/>
  </w:style>
  <w:style w:type="character" w:customStyle="1" w:styleId="a-size-extra-large">
    <w:name w:val="a-size-extra-large"/>
    <w:basedOn w:val="DefaultParagraphFont"/>
    <w:rsid w:val="00997966"/>
  </w:style>
  <w:style w:type="character" w:customStyle="1" w:styleId="article-title">
    <w:name w:val="article-title"/>
    <w:basedOn w:val="DefaultParagraphFont"/>
    <w:rsid w:val="00997966"/>
  </w:style>
  <w:style w:type="character" w:customStyle="1" w:styleId="num">
    <w:name w:val="num"/>
    <w:basedOn w:val="DefaultParagraphFont"/>
    <w:rsid w:val="00997966"/>
  </w:style>
  <w:style w:type="character" w:customStyle="1" w:styleId="mixed-citation">
    <w:name w:val="mixed-citation"/>
    <w:basedOn w:val="DefaultParagraphFont"/>
    <w:rsid w:val="00997966"/>
  </w:style>
  <w:style w:type="character" w:customStyle="1" w:styleId="fpage">
    <w:name w:val="fpage"/>
    <w:basedOn w:val="DefaultParagraphFont"/>
    <w:rsid w:val="00997966"/>
  </w:style>
  <w:style w:type="character" w:customStyle="1" w:styleId="volume">
    <w:name w:val="volume"/>
    <w:basedOn w:val="DefaultParagraphFont"/>
    <w:rsid w:val="00997966"/>
  </w:style>
  <w:style w:type="character" w:customStyle="1" w:styleId="issue">
    <w:name w:val="issue"/>
    <w:basedOn w:val="DefaultParagraphFont"/>
    <w:rsid w:val="00997966"/>
  </w:style>
  <w:style w:type="paragraph" w:customStyle="1" w:styleId="paragraph">
    <w:name w:val="paragraph"/>
    <w:basedOn w:val="Normal"/>
    <w:rsid w:val="00997966"/>
    <w:pPr>
      <w:spacing w:before="100" w:beforeAutospacing="1" w:after="100" w:afterAutospacing="1" w:line="240" w:lineRule="auto"/>
    </w:pPr>
    <w:rPr>
      <w:rFonts w:eastAsia="Times New Roman"/>
      <w:lang w:eastAsia="en-GB"/>
    </w:rPr>
  </w:style>
  <w:style w:type="character" w:customStyle="1" w:styleId="bibitemspan">
    <w:name w:val="bibitemspan"/>
    <w:basedOn w:val="DefaultParagraphFont"/>
    <w:rsid w:val="00997966"/>
  </w:style>
  <w:style w:type="character" w:customStyle="1" w:styleId="muitypography-root-125">
    <w:name w:val="muitypography-root-125"/>
    <w:basedOn w:val="DefaultParagraphFont"/>
    <w:rsid w:val="00997966"/>
  </w:style>
  <w:style w:type="character" w:customStyle="1" w:styleId="doilabel">
    <w:name w:val="doi__label"/>
    <w:basedOn w:val="DefaultParagraphFont"/>
    <w:rsid w:val="00997966"/>
  </w:style>
  <w:style w:type="character" w:customStyle="1" w:styleId="eop">
    <w:name w:val="eop"/>
    <w:basedOn w:val="DefaultParagraphFont"/>
    <w:rsid w:val="00997966"/>
  </w:style>
  <w:style w:type="character" w:customStyle="1" w:styleId="metalabel">
    <w:name w:val="metalabel"/>
    <w:basedOn w:val="DefaultParagraphFont"/>
    <w:rsid w:val="00997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theguardian.com/world/2013/jun/05/kenyan-mau-mau-payout-uk-regret-abuse" TargetMode="External"/><Relationship Id="rId13" Type="http://schemas.openxmlformats.org/officeDocument/2006/relationships/hyperlink" Target="https://www.theguardian.com/world/2018/jan/12/cypriot-veterans-win-right-to-claim-damages-over-uk-torture-claims" TargetMode="External"/><Relationship Id="rId18" Type="http://schemas.openxmlformats.org/officeDocument/2006/relationships/hyperlink" Target="https://www.theguardian.com/world/2019/oct/02/britain-expresses-regret-over-maori-killings-after-captain-cooks-arrival-in-new-zealand" TargetMode="External"/><Relationship Id="rId26" Type="http://schemas.openxmlformats.org/officeDocument/2006/relationships/hyperlink" Target="https://www.theguardian.com/uk-news/2019/nov/05/mi5-policy-gives-agents-legal-immunity-to-commit-serious-crimes" TargetMode="External"/><Relationship Id="rId39" Type="http://schemas.openxmlformats.org/officeDocument/2006/relationships/hyperlink" Target="http://www.borderlands.net.au/vol5no1_2006/banerjee_live.htm" TargetMode="External"/><Relationship Id="rId3" Type="http://schemas.openxmlformats.org/officeDocument/2006/relationships/hyperlink" Target="https://www.leighday.co.uk/International/Historic-claims" TargetMode="External"/><Relationship Id="rId21" Type="http://schemas.openxmlformats.org/officeDocument/2006/relationships/hyperlink" Target="https://www.opendemocracy.net/en/article_2149jsp/" TargetMode="External"/><Relationship Id="rId34" Type="http://schemas.openxmlformats.org/officeDocument/2006/relationships/hyperlink" Target="https://yougov.co.uk/topics/arts/survey-results/daily/2019/11/27/72aa7/2" TargetMode="External"/><Relationship Id="rId42" Type="http://schemas.openxmlformats.org/officeDocument/2006/relationships/hyperlink" Target="http://www.bbk.ac.uk/history/our-research/birkbeckpainproject/Pain%20and%20its%20Meanings%20v3.pdf" TargetMode="External"/><Relationship Id="rId7" Type="http://schemas.openxmlformats.org/officeDocument/2006/relationships/hyperlink" Target="https://www.theguardian.com/politics/2012/apr/18/colonial-papers-fco-transparency-myth" TargetMode="External"/><Relationship Id="rId12" Type="http://schemas.openxmlformats.org/officeDocument/2006/relationships/hyperlink" Target="https://www.theguardian.com/law/2016/may/22/mau-mau-kenya-compensation-lawsuit-high-court" TargetMode="External"/><Relationship Id="rId17" Type="http://schemas.openxmlformats.org/officeDocument/2006/relationships/hyperlink" Target="https://www.theguardian.com/world/2019/apr/14/calls-for-apology-100-years-after-amritsar-massacre" TargetMode="External"/><Relationship Id="rId25" Type="http://schemas.openxmlformats.org/officeDocument/2006/relationships/hyperlink" Target="https://redress.org/wp-content/uploads/2019/05/UK-Implementation-of-UNCAT_REDRESS_March2019_Web.pdf" TargetMode="External"/><Relationship Id="rId33" Type="http://schemas.openxmlformats.org/officeDocument/2006/relationships/hyperlink" Target="https://yougov.co.uk/topics/politics/articles-reports/2014/07/26/britain-proud-its-empire" TargetMode="External"/><Relationship Id="rId38" Type="http://schemas.openxmlformats.org/officeDocument/2006/relationships/hyperlink" Target="https://www.chronicle.com/article/A-Historians-Day-in-Court/236656" TargetMode="External"/><Relationship Id="rId46" Type="http://schemas.openxmlformats.org/officeDocument/2006/relationships/hyperlink" Target="https://theoryrevolt.com/" TargetMode="External"/><Relationship Id="rId2" Type="http://schemas.openxmlformats.org/officeDocument/2006/relationships/hyperlink" Target="https://www.echr.coe.int/Documents/Guide_Art_15_ENG.pdf" TargetMode="External"/><Relationship Id="rId16" Type="http://schemas.openxmlformats.org/officeDocument/2006/relationships/hyperlink" Target="https://www.theguardian.com/world/2014/feb/24/uk-resists-reparation-slavery" TargetMode="External"/><Relationship Id="rId20" Type="http://schemas.openxmlformats.org/officeDocument/2006/relationships/hyperlink" Target="http://www.lacan.com/zizektorture.htm" TargetMode="External"/><Relationship Id="rId29" Type="http://schemas.openxmlformats.org/officeDocument/2006/relationships/hyperlink" Target="https://www.theguardian.com/law/2019/may/20/rewritten-mod-guidance-could-leave-door-open-for-torture" TargetMode="External"/><Relationship Id="rId41" Type="http://schemas.openxmlformats.org/officeDocument/2006/relationships/hyperlink" Target="https://doi.org/10.1353/cch.2016.0013" TargetMode="External"/><Relationship Id="rId1" Type="http://schemas.openxmlformats.org/officeDocument/2006/relationships/hyperlink" Target="https://www.bailii.org/uk/cases/UKHL/2005/71.html" TargetMode="External"/><Relationship Id="rId6" Type="http://schemas.openxmlformats.org/officeDocument/2006/relationships/hyperlink" Target="https://justice.org.uk/torture-uk-law/" TargetMode="External"/><Relationship Id="rId11" Type="http://schemas.openxmlformats.org/officeDocument/2006/relationships/hyperlink" Target="https://www.theguardian.com/commentisfree/2013/may/05/kenyan-mau-mau-cover-up-mistreatment" TargetMode="External"/><Relationship Id="rId24" Type="http://schemas.openxmlformats.org/officeDocument/2006/relationships/hyperlink" Target="https://www.theguardian.com/law/2017/dec/04/icc-to-continue-investigation-into-claims-of-war-crimes-by-british-troops" TargetMode="External"/><Relationship Id="rId32" Type="http://schemas.openxmlformats.org/officeDocument/2006/relationships/hyperlink" Target="https://yougov.co.uk/topics/international/articles-reports/2020/03/11/how-unique-are-british-attitudes-empire" TargetMode="External"/><Relationship Id="rId37" Type="http://schemas.openxmlformats.org/officeDocument/2006/relationships/hyperlink" Target="https://doi.org/10.3917.hp.011.0012" TargetMode="External"/><Relationship Id="rId40" Type="http://schemas.openxmlformats.org/officeDocument/2006/relationships/hyperlink" Target="https://doi.org/10.1353/cch.2004.0003" TargetMode="External"/><Relationship Id="rId45" Type="http://schemas.openxmlformats.org/officeDocument/2006/relationships/hyperlink" Target="https://doi.org/10.16995/ntn.643" TargetMode="External"/><Relationship Id="rId5" Type="http://schemas.openxmlformats.org/officeDocument/2006/relationships/hyperlink" Target="https://www.independent.co.uk/news/world/africa/59-years-late-but-mau-mau-accept-an&#8212;almost-apology-8648742.html" TargetMode="External"/><Relationship Id="rId15" Type="http://schemas.openxmlformats.org/officeDocument/2006/relationships/hyperlink" Target="https://www.nytimes.com/2017/08/15/us/politics/trump-press-conference-charlottesville.html" TargetMode="External"/><Relationship Id="rId23" Type="http://schemas.openxmlformats.org/officeDocument/2006/relationships/hyperlink" Target="https://www.theguardian.com/news/2018/jun/07/british-troops-war-crimes-iraq-historic-allegations-team" TargetMode="External"/><Relationship Id="rId28" Type="http://schemas.openxmlformats.org/officeDocument/2006/relationships/hyperlink" Target="https://www.theguardian.com/uk-news/2018/jun/28/uk-role-torture-kidnap-terror-suspects-after-911-revealed" TargetMode="External"/><Relationship Id="rId36" Type="http://schemas.openxmlformats.org/officeDocument/2006/relationships/hyperlink" Target="https://theconversation.com/british-empire-is-still-being-whitewashed-by-the-school-curriculum-historian-on-why-this-must-change-105250" TargetMode="External"/><Relationship Id="rId10" Type="http://schemas.openxmlformats.org/officeDocument/2006/relationships/hyperlink" Target="https://www.theguardian.com/commentisfree/2011/apr/08/torture-killing-kenya-britain-mau-mau" TargetMode="External"/><Relationship Id="rId19" Type="http://schemas.openxmlformats.org/officeDocument/2006/relationships/hyperlink" Target="https://www.theguardian.com/world/2013/jun/06/uk-compensate-kenya-mau-mau-torture" TargetMode="External"/><Relationship Id="rId31" Type="http://schemas.openxmlformats.org/officeDocument/2006/relationships/hyperlink" Target="http://www.borderlands.net.au/vol6no3_2007/chowdhury_once.htm" TargetMode="External"/><Relationship Id="rId44" Type="http://schemas.openxmlformats.org/officeDocument/2006/relationships/hyperlink" Target="https://doi.org/10.1111/hic3.12595" TargetMode="External"/><Relationship Id="rId4" Type="http://schemas.openxmlformats.org/officeDocument/2006/relationships/hyperlink" Target="https://www.theguardian.com/world/2013/jun/05/kenyan-mau-mau-payout-uk-regret-abuse" TargetMode="External"/><Relationship Id="rId9" Type="http://schemas.openxmlformats.org/officeDocument/2006/relationships/hyperlink" Target="https://www.theguardian.com/uk/2012/apr/18/britain-destroyed-records-colonial-crimes" TargetMode="External"/><Relationship Id="rId14" Type="http://schemas.openxmlformats.org/officeDocument/2006/relationships/hyperlink" Target="https://www.theguardian.com/world/2019/jan/23/britain-to-pay-group-of-greek-cypriots-1m-after-claims-of-human-rights-abuse" TargetMode="External"/><Relationship Id="rId22" Type="http://schemas.openxmlformats.org/officeDocument/2006/relationships/hyperlink" Target="https://www.intelligence.senate.gov/sites/default/files/publications/CRPT-113srpt288.pdf" TargetMode="External"/><Relationship Id="rId27" Type="http://schemas.openxmlformats.org/officeDocument/2006/relationships/hyperlink" Target="https://justice.org.uk/wp-content/uploads/2017/01/Belhaj-Supreme-Court-press-release-2017-01-17.pdf" TargetMode="External"/><Relationship Id="rId30" Type="http://schemas.openxmlformats.org/officeDocument/2006/relationships/hyperlink" Target="https://www.bbc.co.uk/news/world-europe-20302280" TargetMode="External"/><Relationship Id="rId35" Type="http://schemas.openxmlformats.org/officeDocument/2006/relationships/hyperlink" Target="https://theconversation.com/school-curriculum-continues-to-whitewash-britains-imperial-past-53577" TargetMode="External"/><Relationship Id="rId43" Type="http://schemas.openxmlformats.org/officeDocument/2006/relationships/hyperlink" Target="https://doi.org/10.4000/chs.5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101</Pages>
  <Words>10167</Words>
  <Characters>57955</Characters>
  <Application>Microsoft Office Word</Application>
  <DocSecurity>0</DocSecurity>
  <Lines>482</Lines>
  <Paragraphs>135</Paragraphs>
  <ScaleCrop>false</ScaleCrop>
  <Company/>
  <LinksUpToDate>false</LinksUpToDate>
  <CharactersWithSpaces>67987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Deana</dc:creator>
  <cp:keywords/>
  <dc:description/>
  <cp:lastModifiedBy>Heath, Deana</cp:lastModifiedBy>
  <cp:revision>2</cp:revision>
  <dcterms:created xsi:type="dcterms:W3CDTF">2020-10-21T10:04:00Z</dcterms:created>
  <dcterms:modified xsi:type="dcterms:W3CDTF">2020-10-21T10:10:00Z</dcterms:modified>
</cp:coreProperties>
</file>