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84ED0" w14:textId="4735DF71" w:rsidR="00604E39" w:rsidRPr="00D41FC5" w:rsidRDefault="00C833A6" w:rsidP="00C42076">
      <w:pPr>
        <w:pStyle w:val="IOPTitle"/>
        <w:spacing w:after="240"/>
      </w:pPr>
      <w:bookmarkStart w:id="0" w:name="_Hlk42449765"/>
      <w:bookmarkEnd w:id="0"/>
      <w:r w:rsidRPr="00D41FC5">
        <w:t>Modelling, Simulation, and Experimental Verification of a Pendulum-flywheel Vibrational Energy Harvester</w:t>
      </w:r>
    </w:p>
    <w:p w14:paraId="7B8C09CA" w14:textId="580D4D72" w:rsidR="00C833A6" w:rsidRPr="00D41FC5" w:rsidRDefault="00C833A6" w:rsidP="00C833A6">
      <w:pPr>
        <w:pStyle w:val="IOPAuthor"/>
        <w:rPr>
          <w:vertAlign w:val="superscript"/>
        </w:rPr>
      </w:pPr>
      <w:r w:rsidRPr="00D41FC5">
        <w:rPr>
          <w:rFonts w:hint="eastAsia"/>
          <w:lang w:eastAsia="zh-CN"/>
        </w:rPr>
        <w:t>Yifeng</w:t>
      </w:r>
      <w:r w:rsidR="00D43152" w:rsidRPr="00D41FC5">
        <w:t xml:space="preserve"> </w:t>
      </w:r>
      <w:r w:rsidRPr="00D41FC5">
        <w:rPr>
          <w:rFonts w:hint="eastAsia"/>
          <w:lang w:eastAsia="zh-CN"/>
        </w:rPr>
        <w:t>Wang</w:t>
      </w:r>
      <w:r w:rsidR="00D43152" w:rsidRPr="00D41FC5">
        <w:rPr>
          <w:vertAlign w:val="superscript"/>
        </w:rPr>
        <w:t>1</w:t>
      </w:r>
      <w:proofErr w:type="gramStart"/>
      <w:r w:rsidR="00C36410" w:rsidRPr="00D41FC5">
        <w:rPr>
          <w:vertAlign w:val="superscript"/>
        </w:rPr>
        <w:t>,2</w:t>
      </w:r>
      <w:proofErr w:type="gramEnd"/>
      <w:r w:rsidR="00D43152" w:rsidRPr="00D41FC5">
        <w:t xml:space="preserve">, </w:t>
      </w:r>
      <w:proofErr w:type="spellStart"/>
      <w:r w:rsidR="00EA3726" w:rsidRPr="00D41FC5">
        <w:rPr>
          <w:rFonts w:hint="eastAsia"/>
          <w:lang w:eastAsia="zh-CN"/>
        </w:rPr>
        <w:t>Mingyuan</w:t>
      </w:r>
      <w:proofErr w:type="spellEnd"/>
      <w:r w:rsidR="00EA3726" w:rsidRPr="00D41FC5">
        <w:t xml:space="preserve"> </w:t>
      </w:r>
      <w:r w:rsidR="00EA3726" w:rsidRPr="00D41FC5">
        <w:rPr>
          <w:rFonts w:hint="eastAsia"/>
          <w:lang w:eastAsia="zh-CN"/>
        </w:rPr>
        <w:t>Gao</w:t>
      </w:r>
      <w:r w:rsidR="00C36410" w:rsidRPr="00D41FC5">
        <w:rPr>
          <w:vertAlign w:val="superscript"/>
        </w:rPr>
        <w:t>3,4</w:t>
      </w:r>
      <w:r w:rsidR="00EA3726" w:rsidRPr="00D41FC5">
        <w:rPr>
          <w:rFonts w:hint="eastAsia"/>
          <w:lang w:eastAsia="zh-CN"/>
        </w:rPr>
        <w:t>,</w:t>
      </w:r>
      <w:r w:rsidR="00EA3726" w:rsidRPr="00D41FC5">
        <w:rPr>
          <w:lang w:eastAsia="zh-CN"/>
        </w:rPr>
        <w:t xml:space="preserve"> Huajiang Ouyang</w:t>
      </w:r>
      <w:r w:rsidR="00C36410" w:rsidRPr="00D41FC5">
        <w:rPr>
          <w:vertAlign w:val="superscript"/>
        </w:rPr>
        <w:t>5*</w:t>
      </w:r>
      <w:r w:rsidR="00EA3726" w:rsidRPr="00D41FC5">
        <w:rPr>
          <w:lang w:eastAsia="zh-CN"/>
        </w:rPr>
        <w:t xml:space="preserve">, </w:t>
      </w:r>
      <w:proofErr w:type="spellStart"/>
      <w:r w:rsidR="00EA3726" w:rsidRPr="00D41FC5">
        <w:rPr>
          <w:lang w:eastAsia="zh-CN"/>
        </w:rPr>
        <w:t>Shoutai</w:t>
      </w:r>
      <w:proofErr w:type="spellEnd"/>
      <w:r w:rsidR="00EA3726" w:rsidRPr="00D41FC5">
        <w:rPr>
          <w:lang w:eastAsia="zh-CN"/>
        </w:rPr>
        <w:t xml:space="preserve"> Li</w:t>
      </w:r>
      <w:r w:rsidR="00C36410" w:rsidRPr="00D41FC5">
        <w:rPr>
          <w:vertAlign w:val="superscript"/>
        </w:rPr>
        <w:t>3,4</w:t>
      </w:r>
      <w:r w:rsidR="00EA3726" w:rsidRPr="00D41FC5">
        <w:rPr>
          <w:lang w:eastAsia="zh-CN"/>
        </w:rPr>
        <w:t>, Qing He</w:t>
      </w:r>
      <w:r w:rsidR="00C36410" w:rsidRPr="00D41FC5">
        <w:rPr>
          <w:vertAlign w:val="superscript"/>
        </w:rPr>
        <w:t>1,2</w:t>
      </w:r>
      <w:r w:rsidR="00C36410" w:rsidRPr="00D41FC5">
        <w:rPr>
          <w:lang w:eastAsia="zh-CN"/>
        </w:rPr>
        <w:t xml:space="preserve"> and </w:t>
      </w:r>
      <w:r w:rsidR="00EA3726" w:rsidRPr="00D41FC5">
        <w:rPr>
          <w:lang w:eastAsia="zh-CN"/>
        </w:rPr>
        <w:t xml:space="preserve"> Ping Wang</w:t>
      </w:r>
      <w:r w:rsidR="00D43152" w:rsidRPr="00D41FC5">
        <w:rPr>
          <w:vertAlign w:val="superscript"/>
        </w:rPr>
        <w:t>1,2</w:t>
      </w:r>
      <w:r w:rsidR="00C36410" w:rsidRPr="00D41FC5">
        <w:rPr>
          <w:vertAlign w:val="superscript"/>
        </w:rPr>
        <w:t>,*</w:t>
      </w:r>
      <w:r w:rsidRPr="00D41FC5">
        <w:t xml:space="preserve"> </w:t>
      </w:r>
    </w:p>
    <w:p w14:paraId="58084ED2" w14:textId="71247472" w:rsidR="00D43152" w:rsidRPr="00D41FC5" w:rsidRDefault="00D43152" w:rsidP="00D43152">
      <w:pPr>
        <w:pStyle w:val="IOPAff"/>
      </w:pPr>
      <w:r w:rsidRPr="00D41FC5">
        <w:rPr>
          <w:vertAlign w:val="superscript"/>
        </w:rPr>
        <w:t xml:space="preserve">1 </w:t>
      </w:r>
      <w:r w:rsidR="00C36410" w:rsidRPr="00D41FC5">
        <w:rPr>
          <w:lang w:eastAsia="zh-CN"/>
        </w:rPr>
        <w:t xml:space="preserve">Key Laboratory of High-speed Railway Engineering (Southwest </w:t>
      </w:r>
      <w:proofErr w:type="spellStart"/>
      <w:r w:rsidR="00C36410" w:rsidRPr="00D41FC5">
        <w:rPr>
          <w:lang w:eastAsia="zh-CN"/>
        </w:rPr>
        <w:t>Jiaotong</w:t>
      </w:r>
      <w:proofErr w:type="spellEnd"/>
      <w:r w:rsidR="00C36410" w:rsidRPr="00D41FC5">
        <w:rPr>
          <w:lang w:eastAsia="zh-CN"/>
        </w:rPr>
        <w:t xml:space="preserve"> University), Ministry of Education, Chengdu 610031, China</w:t>
      </w:r>
    </w:p>
    <w:p w14:paraId="58084ED3" w14:textId="7A8CFABB" w:rsidR="00D43152" w:rsidRPr="00D41FC5" w:rsidRDefault="00D43152" w:rsidP="00D43152">
      <w:pPr>
        <w:pStyle w:val="IOPAff"/>
      </w:pPr>
      <w:proofErr w:type="gramStart"/>
      <w:r w:rsidRPr="00D41FC5">
        <w:rPr>
          <w:vertAlign w:val="superscript"/>
        </w:rPr>
        <w:t>2</w:t>
      </w:r>
      <w:proofErr w:type="gramEnd"/>
      <w:r w:rsidRPr="00D41FC5">
        <w:rPr>
          <w:vertAlign w:val="superscript"/>
        </w:rPr>
        <w:t xml:space="preserve"> </w:t>
      </w:r>
      <w:r w:rsidR="00C36410" w:rsidRPr="00D41FC5">
        <w:t xml:space="preserve">School of Civil Engineering, Southwest </w:t>
      </w:r>
      <w:proofErr w:type="spellStart"/>
      <w:r w:rsidR="00C36410" w:rsidRPr="00D41FC5">
        <w:t>Jiaotong</w:t>
      </w:r>
      <w:proofErr w:type="spellEnd"/>
      <w:r w:rsidR="00C36410" w:rsidRPr="00D41FC5">
        <w:t xml:space="preserve"> University, Chengdu 610031, China</w:t>
      </w:r>
    </w:p>
    <w:p w14:paraId="0268BB03" w14:textId="46AECAAC" w:rsidR="00C36410" w:rsidRPr="00D41FC5" w:rsidRDefault="00C36410" w:rsidP="00C36410">
      <w:pPr>
        <w:pStyle w:val="IOPAff"/>
      </w:pPr>
      <w:proofErr w:type="gramStart"/>
      <w:r w:rsidRPr="00D41FC5">
        <w:rPr>
          <w:vertAlign w:val="superscript"/>
        </w:rPr>
        <w:t>3</w:t>
      </w:r>
      <w:proofErr w:type="gramEnd"/>
      <w:r w:rsidRPr="00D41FC5">
        <w:rPr>
          <w:vertAlign w:val="superscript"/>
        </w:rPr>
        <w:t xml:space="preserve"> </w:t>
      </w:r>
      <w:r w:rsidRPr="00D41FC5">
        <w:rPr>
          <w:lang w:eastAsia="zh-CN"/>
        </w:rPr>
        <w:t>College of Engineering and Technology, Southwest University, Chongqing 400716, China</w:t>
      </w:r>
    </w:p>
    <w:p w14:paraId="06DB1079" w14:textId="433C2BF0" w:rsidR="00C36410" w:rsidRPr="00D41FC5" w:rsidRDefault="00C36410" w:rsidP="00C36410">
      <w:pPr>
        <w:pStyle w:val="IOPAff"/>
      </w:pPr>
      <w:proofErr w:type="gramStart"/>
      <w:r w:rsidRPr="00D41FC5">
        <w:rPr>
          <w:vertAlign w:val="superscript"/>
        </w:rPr>
        <w:t>4</w:t>
      </w:r>
      <w:proofErr w:type="gramEnd"/>
      <w:r w:rsidRPr="00D41FC5">
        <w:rPr>
          <w:vertAlign w:val="superscript"/>
        </w:rPr>
        <w:t xml:space="preserve"> </w:t>
      </w:r>
      <w:r w:rsidRPr="00D41FC5">
        <w:t>National &amp; Local Joint Engineering Laboratory of Intelligent Transmission and Control Technology, Chongqing 400716, China</w:t>
      </w:r>
    </w:p>
    <w:p w14:paraId="1ED183CE" w14:textId="3CD33BE9" w:rsidR="00C36410" w:rsidRPr="00D41FC5" w:rsidRDefault="00C36410" w:rsidP="00C36410">
      <w:pPr>
        <w:pStyle w:val="IOPAff"/>
      </w:pPr>
      <w:proofErr w:type="gramStart"/>
      <w:r w:rsidRPr="00D41FC5">
        <w:rPr>
          <w:vertAlign w:val="superscript"/>
        </w:rPr>
        <w:t>5</w:t>
      </w:r>
      <w:proofErr w:type="gramEnd"/>
      <w:r w:rsidRPr="00D41FC5">
        <w:rPr>
          <w:vertAlign w:val="superscript"/>
        </w:rPr>
        <w:t xml:space="preserve"> </w:t>
      </w:r>
      <w:r w:rsidRPr="00D41FC5">
        <w:t>School of Engineering, University of Liverpool, Liverpool L69 3GH, UK</w:t>
      </w:r>
    </w:p>
    <w:p w14:paraId="58084ED4" w14:textId="77777777" w:rsidR="00D74B07" w:rsidRPr="00D41FC5" w:rsidRDefault="00D74B07" w:rsidP="00D43152">
      <w:pPr>
        <w:pStyle w:val="IOPAff"/>
      </w:pPr>
    </w:p>
    <w:p w14:paraId="58084ED5" w14:textId="6FB87449" w:rsidR="00D43152" w:rsidRPr="00D41FC5" w:rsidRDefault="00C36410" w:rsidP="00D43152">
      <w:pPr>
        <w:pStyle w:val="IOPAff"/>
      </w:pPr>
      <w:r w:rsidRPr="00D41FC5">
        <w:t>*</w:t>
      </w:r>
      <w:r w:rsidR="00D74B07" w:rsidRPr="00D41FC5">
        <w:t xml:space="preserve">E-mail: </w:t>
      </w:r>
      <w:r w:rsidRPr="00D41FC5">
        <w:t>H.Ouyang@liverpool.ac.uk; wping@swjtu.edu.cn</w:t>
      </w:r>
    </w:p>
    <w:p w14:paraId="58084ED6" w14:textId="77777777" w:rsidR="00D43152" w:rsidRPr="00D41FC5" w:rsidRDefault="00D43152" w:rsidP="00D43152">
      <w:pPr>
        <w:pStyle w:val="IOPAff"/>
      </w:pPr>
    </w:p>
    <w:p w14:paraId="58084ED7" w14:textId="77777777" w:rsidR="00D74B07" w:rsidRPr="00D41FC5" w:rsidRDefault="00D74B07" w:rsidP="00D43152">
      <w:pPr>
        <w:pStyle w:val="IOPAff"/>
      </w:pPr>
      <w:r w:rsidRPr="00D41FC5">
        <w:t xml:space="preserve">Received </w:t>
      </w:r>
      <w:proofErr w:type="spellStart"/>
      <w:r w:rsidRPr="00D41FC5">
        <w:t>xxxxxx</w:t>
      </w:r>
      <w:proofErr w:type="spellEnd"/>
    </w:p>
    <w:p w14:paraId="58084ED8" w14:textId="77777777" w:rsidR="00D74B07" w:rsidRPr="00D41FC5" w:rsidRDefault="00D74B07" w:rsidP="00D43152">
      <w:pPr>
        <w:pStyle w:val="IOPAff"/>
      </w:pPr>
      <w:r w:rsidRPr="00D41FC5">
        <w:t xml:space="preserve">Accepted for publication </w:t>
      </w:r>
      <w:proofErr w:type="spellStart"/>
      <w:r w:rsidRPr="00D41FC5">
        <w:t>xxxxxx</w:t>
      </w:r>
      <w:proofErr w:type="spellEnd"/>
    </w:p>
    <w:p w14:paraId="58084ED9" w14:textId="77777777" w:rsidR="00D74B07" w:rsidRPr="00D41FC5" w:rsidRDefault="00D74B07" w:rsidP="00D43152">
      <w:pPr>
        <w:pStyle w:val="IOPAff"/>
      </w:pPr>
      <w:r w:rsidRPr="00D41FC5">
        <w:t xml:space="preserve">Published </w:t>
      </w:r>
      <w:proofErr w:type="spellStart"/>
      <w:r w:rsidRPr="00D41FC5">
        <w:t>xxxxxx</w:t>
      </w:r>
      <w:proofErr w:type="spellEnd"/>
    </w:p>
    <w:p w14:paraId="58084EDA" w14:textId="77777777" w:rsidR="00D74B07" w:rsidRPr="00D41FC5" w:rsidRDefault="00D74B07" w:rsidP="00D74B07">
      <w:pPr>
        <w:pStyle w:val="IOPH1"/>
      </w:pPr>
      <w:r w:rsidRPr="00D41FC5">
        <w:t>Abstract</w:t>
      </w:r>
    </w:p>
    <w:p w14:paraId="132168D9" w14:textId="3DED43E9" w:rsidR="005913DE" w:rsidRPr="00D41FC5" w:rsidRDefault="005913DE" w:rsidP="005913DE">
      <w:pPr>
        <w:pStyle w:val="IOPAbsText"/>
        <w:jc w:val="both"/>
      </w:pPr>
      <w:r w:rsidRPr="00D41FC5">
        <w:t xml:space="preserve">Vibration energy harvesting has been a popular topic in recent years. This technology is promising in developing self-powered sensor nodes for health condition monitoring of machines or structures, especially in remote areas. This study proposes a pendulum-flywheel vibration energy harvester based on the electromagnetic energy conversion mechanism. The harvester has two motion modes, namely the pendulum mode and eccentric flywheel mode, and can switch between the two modes automatically in response to external excitations.  </w:t>
      </w:r>
    </w:p>
    <w:p w14:paraId="03C0191D" w14:textId="77777777" w:rsidR="005913DE" w:rsidRPr="00D41FC5" w:rsidRDefault="005913DE" w:rsidP="005913DE">
      <w:pPr>
        <w:pStyle w:val="IOPAbsText"/>
        <w:jc w:val="both"/>
      </w:pPr>
      <w:r w:rsidRPr="00D41FC5">
        <w:t xml:space="preserve">We first establish a theoretical model and fabricate a prototype of the harvester for evaluating its performance. Then, experimental and theoretical methods </w:t>
      </w:r>
      <w:proofErr w:type="gramStart"/>
      <w:r w:rsidRPr="00D41FC5">
        <w:t>are employed</w:t>
      </w:r>
      <w:proofErr w:type="gramEnd"/>
      <w:r w:rsidRPr="00D41FC5">
        <w:t xml:space="preserve"> to estimate the parameters of the model, such as the dipole moment of magnets, the mechanical damping coefficients, and the optimal resistance of the external electrical load. The typical trajectories of different motion modes, the frequency response characteristics, and the influence factors on the basins of attraction of the harvester </w:t>
      </w:r>
      <w:proofErr w:type="gramStart"/>
      <w:r w:rsidRPr="00D41FC5">
        <w:t>are studied</w:t>
      </w:r>
      <w:proofErr w:type="gramEnd"/>
      <w:r w:rsidRPr="00D41FC5">
        <w:t xml:space="preserve"> with the theoretical model. It </w:t>
      </w:r>
      <w:proofErr w:type="gramStart"/>
      <w:r w:rsidRPr="00D41FC5">
        <w:t>is found</w:t>
      </w:r>
      <w:proofErr w:type="gramEnd"/>
      <w:r w:rsidRPr="00D41FC5">
        <w:t xml:space="preserve"> that the small magnet distance can broaden the frequency band and enlarge the amplitude of the dynamic responses of the system. This finding provides us with an approach to control the performance of harvester and enables it to have stronger adaptability to variant ambient vibration in nature. Finally, laboratory tests </w:t>
      </w:r>
      <w:proofErr w:type="gramStart"/>
      <w:r w:rsidRPr="00D41FC5">
        <w:t>are performed</w:t>
      </w:r>
      <w:proofErr w:type="gramEnd"/>
      <w:r w:rsidRPr="00D41FC5">
        <w:t xml:space="preserve"> to validate the theoretical model. The experimental data verified the assumption that the rotation speed of the pendulum and the induced electromotive voltage have a linear relationship. Experimental and numerical simulation results show that the errors between them in most cases are less than 10% when the excitation displacement is small and have a slight increase with the excitation displacement. In the experiments, this harvester achieves a maximum power of 16.3 </w:t>
      </w:r>
      <w:proofErr w:type="spellStart"/>
      <w:r w:rsidRPr="00D41FC5">
        <w:t>mW</w:t>
      </w:r>
      <w:proofErr w:type="spellEnd"/>
      <w:r w:rsidRPr="00D41FC5">
        <w:t xml:space="preserve">, exhibiting good performance in comparison </w:t>
      </w:r>
      <w:bookmarkStart w:id="1" w:name="_Hlk41925340"/>
      <w:r w:rsidRPr="00D41FC5">
        <w:t>with the-state-of-the-art pendulum-based harvesters</w:t>
      </w:r>
      <w:bookmarkEnd w:id="1"/>
      <w:r w:rsidRPr="00D41FC5">
        <w:t>.</w:t>
      </w:r>
    </w:p>
    <w:p w14:paraId="58084EDD" w14:textId="23AC981F" w:rsidR="005223F4" w:rsidRPr="00D41FC5" w:rsidRDefault="005223F4" w:rsidP="000E0F68">
      <w:pPr>
        <w:pStyle w:val="IOPKwd"/>
        <w:spacing w:before="120"/>
      </w:pPr>
      <w:r w:rsidRPr="00D41FC5">
        <w:t xml:space="preserve">Keywords: </w:t>
      </w:r>
      <w:r w:rsidR="00F53B00" w:rsidRPr="00D41FC5">
        <w:t>vibration energy harvesting, electromagnetic, pendulum, flywheel, nonlinear, two motion modes, broad frequency band</w:t>
      </w:r>
    </w:p>
    <w:p w14:paraId="6B146559" w14:textId="77777777" w:rsidR="004D2E4E" w:rsidRPr="00D41FC5" w:rsidRDefault="004D2E4E" w:rsidP="005223F4">
      <w:pPr>
        <w:pStyle w:val="IOPAbsText"/>
      </w:pPr>
    </w:p>
    <w:p w14:paraId="58084EDE" w14:textId="0DACBB93" w:rsidR="00C42076" w:rsidRPr="00D41FC5" w:rsidRDefault="00C42076" w:rsidP="005223F4">
      <w:pPr>
        <w:pStyle w:val="IOPAbsText"/>
        <w:sectPr w:rsidR="00C42076" w:rsidRPr="00D41FC5" w:rsidSect="003A5833">
          <w:pgSz w:w="11906" w:h="16838"/>
          <w:pgMar w:top="2098" w:right="907" w:bottom="1474" w:left="907" w:header="709" w:footer="709" w:gutter="0"/>
          <w:cols w:space="708"/>
          <w:docGrid w:linePitch="360"/>
        </w:sectPr>
      </w:pPr>
    </w:p>
    <w:p w14:paraId="58084EDF" w14:textId="77E31D7B" w:rsidR="00A40AFB" w:rsidRPr="00D41FC5" w:rsidRDefault="00A40AFB" w:rsidP="00A40AFB">
      <w:pPr>
        <w:pStyle w:val="IOPH1"/>
      </w:pPr>
      <w:r w:rsidRPr="00D41FC5">
        <w:lastRenderedPageBreak/>
        <w:t xml:space="preserve">1. </w:t>
      </w:r>
      <w:r w:rsidR="00C42076" w:rsidRPr="00D41FC5">
        <w:t>Introduction</w:t>
      </w:r>
    </w:p>
    <w:p w14:paraId="59FFEAF9" w14:textId="77777777" w:rsidR="00A6461A" w:rsidRPr="00D41FC5" w:rsidRDefault="00A6461A" w:rsidP="00A6461A">
      <w:pPr>
        <w:pStyle w:val="IOPText"/>
        <w:rPr>
          <w:rFonts w:cs="Times New Roman"/>
          <w:szCs w:val="21"/>
        </w:rPr>
      </w:pPr>
      <w:r w:rsidRPr="00D41FC5">
        <w:rPr>
          <w:rFonts w:cs="Times New Roman"/>
          <w:szCs w:val="21"/>
        </w:rPr>
        <w:t xml:space="preserve">The rapid development of communication and sensing technologies make low-power sensors and communication equipment possible </w:t>
      </w:r>
      <w:r w:rsidRPr="00D41FC5">
        <w:rPr>
          <w:rFonts w:cs="Times New Roman"/>
          <w:szCs w:val="21"/>
        </w:rPr>
        <w:fldChar w:fldCharType="begin"/>
      </w:r>
      <w:r w:rsidRPr="00D41FC5">
        <w:rPr>
          <w:rFonts w:cs="Times New Roman"/>
          <w:szCs w:val="21"/>
        </w:rPr>
        <w:instrText xml:space="preserve"> ADDIN ZOTERO_ITEM CSL_CITATION {"citationID":"ezSzDuvv","properties":{"formattedCitation":"[1]","plainCitation":"[1]","noteIndex":0},"citationItems":[{"id":240,"uris":["http://zotero.org/users/5619602/items/LVU9YDKY"],"uri":["http://zotero.org/users/5619602/items/LVU9YDKY"],"itemData":{"id":240,"type":"article-journal","container-title":"Applied energy","page":"600–614","title":"A piezoelectric spring pendulum oscillator used for multi-directional and ultra-low frequency vibration energy harvesting","volume":"231","author":[{"family":"Wu","given":"Yipeng"},{"family":"Qiu","given":"Jinhao"},{"family":"Zhou","given":"Shengpeng"},{"family":"Ji","given":"Hongli"},{"family":"Chen","given":"Yang"},{"family":"Li","given":"Sen"}],"issued":{"date-parts":[["2018"]]}}}],"schema":"https://github.com/citation-style-language/schema/raw/master/csl-citation.json"} </w:instrText>
      </w:r>
      <w:r w:rsidRPr="00D41FC5">
        <w:rPr>
          <w:rFonts w:cs="Times New Roman"/>
          <w:szCs w:val="21"/>
        </w:rPr>
        <w:fldChar w:fldCharType="separate"/>
      </w:r>
      <w:r w:rsidRPr="00D41FC5">
        <w:rPr>
          <w:rFonts w:cs="Times New Roman"/>
          <w:szCs w:val="21"/>
        </w:rPr>
        <w:t>[1]</w:t>
      </w:r>
      <w:r w:rsidRPr="00D41FC5">
        <w:rPr>
          <w:rFonts w:cs="Times New Roman"/>
          <w:szCs w:val="21"/>
        </w:rPr>
        <w:fldChar w:fldCharType="end"/>
      </w:r>
      <w:r w:rsidRPr="00D41FC5">
        <w:rPr>
          <w:rFonts w:cs="Times New Roman"/>
          <w:szCs w:val="21"/>
        </w:rPr>
        <w:t xml:space="preserve">. These low-power and high-efficiency devices enable us to set up self-powered autonomous systems, such as wireless sensor networks, using energy harvested from the ambient environment. Self-powered solutions are capable of overcoming the issues brought about by the limited service life of batteries and the vulnerability of electric cable networks, especially in remote areas </w:t>
      </w:r>
      <w:r w:rsidRPr="00D41FC5">
        <w:rPr>
          <w:rFonts w:cs="Times New Roman"/>
          <w:szCs w:val="21"/>
        </w:rPr>
        <w:fldChar w:fldCharType="begin"/>
      </w:r>
      <w:r w:rsidRPr="00D41FC5">
        <w:rPr>
          <w:rFonts w:cs="Times New Roman"/>
          <w:szCs w:val="21"/>
        </w:rPr>
        <w:instrText xml:space="preserve"> ADDIN ZOTERO_ITEM CSL_CITATION {"citationID":"a6zGCGXJ","properties":{"formattedCitation":"[2]","plainCitation":"[2]","noteIndex":0},"citationItems":[{"id":220,"uris":["http://zotero.org/users/5619602/items/L7TV5DV4"],"uri":["http://zotero.org/users/5619602/items/L7TV5DV4"],"itemData":{"id":220,"type":"chapter","abstract":"Recent developments in different areas have enabled the improvement and development of new energy harvesting technologies that could potentially be successfully employed for various railway applications. The state of development of energy harvesting solutions potentially suitable for integration in the railway environment to power trackside equipment has been reviewed and assessed. The general harvesting capacities and characteristics of potential energy harvesting technologies have been discussed, along with the general power usage requirements and characteristics of common types of trackside equipment. Conclusions have been drawn about the most suitable energy harvesting technologies, or combination of technologies to be incorporated into a combined energy harvesting and storage power supply for different trackside equipment.","container-title":"Sustainable Rail Transport","event-place":"Cham","ISBN":"978-3-030-19519-9","note":"DOI: 10.1007/978-3-030-19519-9_8","page":"229–255","publisher":"Springer International Publishing","publisher-place":"Cham","title":"Novel Energy Harvesting Solutions for Powering Trackside Electronic Equipment","URL":"https://doi.org/10.1007/978-3-030-19519-9_8","author":[{"family":"Ulianov","given":"Cristian"},{"family":"Hadaš","given":"Zdeněk"},{"family":"Hyde","given":"Paul"},{"family":"Smilek","given":"Jan"}],"editor":[{"family":"Marinov","given":"Marin"},{"family":"Piip","given":"Janene"}],"issued":{"date-parts":[["2020"]]}}}],"schema":"https://github.com/citation-style-language/schema/raw/master/csl-citation.json"} </w:instrText>
      </w:r>
      <w:r w:rsidRPr="00D41FC5">
        <w:rPr>
          <w:rFonts w:cs="Times New Roman"/>
          <w:szCs w:val="21"/>
        </w:rPr>
        <w:fldChar w:fldCharType="separate"/>
      </w:r>
      <w:r w:rsidRPr="00D41FC5">
        <w:rPr>
          <w:rFonts w:cs="Times New Roman"/>
          <w:szCs w:val="21"/>
        </w:rPr>
        <w:t>[2]</w:t>
      </w:r>
      <w:r w:rsidRPr="00D41FC5">
        <w:rPr>
          <w:rFonts w:cs="Times New Roman"/>
          <w:szCs w:val="21"/>
        </w:rPr>
        <w:fldChar w:fldCharType="end"/>
      </w:r>
      <w:r w:rsidRPr="00D41FC5">
        <w:rPr>
          <w:rFonts w:cs="Times New Roman"/>
          <w:szCs w:val="21"/>
        </w:rPr>
        <w:t xml:space="preserve">. Thus, </w:t>
      </w:r>
      <w:proofErr w:type="gramStart"/>
      <w:r w:rsidRPr="00D41FC5">
        <w:rPr>
          <w:rFonts w:cs="Times New Roman"/>
          <w:szCs w:val="21"/>
        </w:rPr>
        <w:t>energy harvesting</w:t>
      </w:r>
      <w:proofErr w:type="gramEnd"/>
      <w:r w:rsidRPr="00D41FC5">
        <w:rPr>
          <w:rFonts w:cs="Times New Roman"/>
          <w:szCs w:val="21"/>
        </w:rPr>
        <w:t xml:space="preserve"> technologies used for self-powered systems have been a popular topic recently. </w:t>
      </w:r>
    </w:p>
    <w:p w14:paraId="49E62D32" w14:textId="65968273" w:rsidR="00A6461A" w:rsidRPr="00D41FC5" w:rsidRDefault="00A6461A" w:rsidP="00A6461A">
      <w:pPr>
        <w:pStyle w:val="IOPText"/>
        <w:rPr>
          <w:rFonts w:cs="Times New Roman"/>
          <w:szCs w:val="21"/>
        </w:rPr>
      </w:pPr>
      <w:r w:rsidRPr="00D41FC5">
        <w:rPr>
          <w:rFonts w:cs="Times New Roman"/>
          <w:szCs w:val="21"/>
        </w:rPr>
        <w:t xml:space="preserve">Energy harvesting is a process of converting the local naturally available energies to electricity for local use </w:t>
      </w:r>
      <w:r w:rsidRPr="00D41FC5">
        <w:rPr>
          <w:rFonts w:cs="Times New Roman"/>
          <w:szCs w:val="21"/>
        </w:rPr>
        <w:fldChar w:fldCharType="begin"/>
      </w:r>
      <w:r w:rsidRPr="00D41FC5">
        <w:rPr>
          <w:rFonts w:cs="Times New Roman"/>
          <w:szCs w:val="21"/>
        </w:rPr>
        <w:instrText xml:space="preserve"> ADDIN ZOTERO_ITEM CSL_CITATION {"citationID":"rCcXDSXf","properties":{"formattedCitation":"[3]","plainCitation":"[3]","noteIndex":0},"citationItems":[{"id":222,"uris":["http://zotero.org/users/5619602/items/CXAUN3YY"],"uri":["http://zotero.org/users/5619602/items/CXAUN3YY"],"itemData":{"id":222,"type":"chapter","abstract":"Abstract:\nEnergy harvesting, the collection of small amounts of ambient energy to power wireless devices, is a very promising technology for applications where batteries are impractical, such as body sensor networks and inaccessible remote systems. The performance and potential of energy-harvesting devices depend strongly on the performance and specific properties of materials. In this chapter the important properties and potential of materials used in energy-harvesting devices are reviewed. An introduction to the concept of energy harvesting is given with a special discussion on motion energy-harvesting limits. The state of the art of materials for piezoelectric, electrostatic, thermoelectric and electromagnetic harvesting devices is discussed, with emphasis on desired material properties and corresponding available materials. In addition to the materials required in the energy transduction mechanism itself, the performance of mechanical oscillators at small scales is a critical factor in motion energy harvesting. For this reason, material requirements, performance and limitations for the implementation of low-frequency and broadband mechanical oscillators are reviewed in the final section of this chapter.","container-title":"Functional Materials for Sustainable Energy Applications","ISBN":"978-0-85709-059-1","note":"DOI: 10.1533/9780857096371.4.539","page":"541-572","publisher":"Woodhead Publishing","title":"Materials and techniques for energy harvesting","URL":"http://www.sciencedirect.com/science/article/pii/B9780857090591500178","author":[{"family":"Kiziroglou","given":"M.E."},{"family":"Yeatman","given":"E.M."}],"editor":[{"family":"Kilner","given":"John A."},{"family":"Skinner","given":"Stephen J."},{"family":"Irvine","given":"Stuart J.C."},{"family":"Edwards","given":"Peter P."}],"issued":{"date-parts":[["2012"]]}}}],"schema":"https://github.com/citation-style-language/schema/raw/master/csl-citation.json"} </w:instrText>
      </w:r>
      <w:r w:rsidRPr="00D41FC5">
        <w:rPr>
          <w:rFonts w:cs="Times New Roman"/>
          <w:szCs w:val="21"/>
        </w:rPr>
        <w:fldChar w:fldCharType="separate"/>
      </w:r>
      <w:r w:rsidRPr="00D41FC5">
        <w:rPr>
          <w:rFonts w:cs="Times New Roman"/>
          <w:szCs w:val="21"/>
        </w:rPr>
        <w:t>[3]</w:t>
      </w:r>
      <w:r w:rsidRPr="00D41FC5">
        <w:rPr>
          <w:rFonts w:cs="Times New Roman"/>
          <w:szCs w:val="21"/>
        </w:rPr>
        <w:fldChar w:fldCharType="end"/>
      </w:r>
      <w:r w:rsidRPr="00D41FC5">
        <w:rPr>
          <w:rFonts w:cs="Times New Roman"/>
          <w:szCs w:val="21"/>
        </w:rPr>
        <w:t xml:space="preserve">. Mechanical energy, thermal energy, light energy, and chemical energy can all be employed as sources for energy harvesting </w:t>
      </w:r>
      <w:r w:rsidRPr="00D41FC5">
        <w:rPr>
          <w:rFonts w:cs="Times New Roman"/>
          <w:szCs w:val="21"/>
        </w:rPr>
        <w:fldChar w:fldCharType="begin"/>
      </w:r>
      <w:r w:rsidRPr="00D41FC5">
        <w:rPr>
          <w:rFonts w:cs="Times New Roman"/>
          <w:szCs w:val="21"/>
        </w:rPr>
        <w:instrText xml:space="preserve"> ADDIN ZOTERO_ITEM CSL_CITATION {"citationID":"arEgQ84l","properties":{"formattedCitation":"[2]","plainCitation":"[2]","noteIndex":0},"citationItems":[{"id":220,"uris":["http://zotero.org/users/5619602/items/L7TV5DV4"],"uri":["http://zotero.org/users/5619602/items/L7TV5DV4"],"itemData":{"id":220,"type":"chapter","abstract":"Recent developments in different areas have enabled the improvement and development of new energy harvesting technologies that could potentially be successfully employed for various railway applications. The state of development of energy harvesting solutions potentially suitable for integration in the railway environment to power trackside equipment has been reviewed and assessed. The general harvesting capacities and characteristics of potential energy harvesting technologies have been discussed, along with the general power usage requirements and characteristics of common types of trackside equipment. Conclusions have been drawn about the most suitable energy harvesting technologies, or combination of technologies to be incorporated into a combined energy harvesting and storage power supply for different trackside equipment.","container-title":"Sustainable Rail Transport","event-place":"Cham","ISBN":"978-3-030-19519-9","note":"DOI: 10.1007/978-3-030-19519-9_8","page":"229–255","publisher":"Springer International Publishing","publisher-place":"Cham","title":"Novel Energy Harvesting Solutions for Powering Trackside Electronic Equipment","URL":"https://doi.org/10.1007/978-3-030-19519-9_8","author":[{"family":"Ulianov","given":"Cristian"},{"family":"Hadaš","given":"Zdeněk"},{"family":"Hyde","given":"Paul"},{"family":"Smilek","given":"Jan"}],"editor":[{"family":"Marinov","given":"Marin"},{"family":"Piip","given":"Janene"}],"issued":{"date-parts":[["2020"]]}}}],"schema":"https://github.com/citation-style-language/schema/raw/master/csl-citation.json"} </w:instrText>
      </w:r>
      <w:r w:rsidRPr="00D41FC5">
        <w:rPr>
          <w:rFonts w:cs="Times New Roman"/>
          <w:szCs w:val="21"/>
        </w:rPr>
        <w:fldChar w:fldCharType="separate"/>
      </w:r>
      <w:r w:rsidRPr="00D41FC5">
        <w:rPr>
          <w:rFonts w:cs="Times New Roman"/>
          <w:szCs w:val="21"/>
        </w:rPr>
        <w:t>[2]</w:t>
      </w:r>
      <w:r w:rsidRPr="00D41FC5">
        <w:rPr>
          <w:rFonts w:cs="Times New Roman"/>
          <w:szCs w:val="21"/>
        </w:rPr>
        <w:fldChar w:fldCharType="end"/>
      </w:r>
      <w:r w:rsidRPr="00D41FC5">
        <w:rPr>
          <w:rFonts w:cs="Times New Roman"/>
          <w:szCs w:val="21"/>
        </w:rPr>
        <w:t xml:space="preserve">. Mechanical vibration has gained more attention due to its abundance in nature </w:t>
      </w:r>
      <w:r w:rsidRPr="00D41FC5">
        <w:rPr>
          <w:rFonts w:cs="Times New Roman"/>
          <w:szCs w:val="21"/>
        </w:rPr>
        <w:fldChar w:fldCharType="begin"/>
      </w:r>
      <w:r w:rsidRPr="00D41FC5">
        <w:rPr>
          <w:rFonts w:cs="Times New Roman"/>
          <w:szCs w:val="21"/>
        </w:rPr>
        <w:instrText xml:space="preserve"> ADDIN ZOTERO_ITEM CSL_CITATION {"citationID":"mBzY5bJK","properties":{"formattedCitation":"[4]","plainCitation":"[4]","noteIndex":0},"citationItems":[{"id":203,"uris":["http://zotero.org/users/5619602/items/BYQDNA3T"],"uri":["http://zotero.org/users/5619602/items/BYQDNA3T"],"itemData":{"id":203,"type":"article-journal","container-title":"Smart Materials and Structures","issue":"9","page":"095042","title":"Broadband pendulum energy harvester","volume":"25","author":[{"family":"Liang","given":"Changwei"},{"family":"Wu","given":"You"},{"family":"Zuo","given":"Lei"}],"issued":{"date-parts":[["2016"]]}}}],"schema":"https://github.com/citation-style-language/schema/raw/master/csl-citation.json"} </w:instrText>
      </w:r>
      <w:r w:rsidRPr="00D41FC5">
        <w:rPr>
          <w:rFonts w:cs="Times New Roman"/>
          <w:szCs w:val="21"/>
        </w:rPr>
        <w:fldChar w:fldCharType="separate"/>
      </w:r>
      <w:r w:rsidRPr="00D41FC5">
        <w:rPr>
          <w:rFonts w:cs="Times New Roman"/>
          <w:szCs w:val="21"/>
        </w:rPr>
        <w:t>[4]</w:t>
      </w:r>
      <w:r w:rsidRPr="00D41FC5">
        <w:rPr>
          <w:rFonts w:cs="Times New Roman"/>
          <w:szCs w:val="21"/>
        </w:rPr>
        <w:fldChar w:fldCharType="end"/>
      </w:r>
      <w:r w:rsidRPr="00D41FC5">
        <w:rPr>
          <w:rFonts w:cs="Times New Roman"/>
          <w:szCs w:val="21"/>
        </w:rPr>
        <w:t xml:space="preserve">. Various transduction mechanisms for vibration-based energy harvester, such as piezoelectric </w:t>
      </w:r>
      <w:r w:rsidRPr="00D41FC5">
        <w:rPr>
          <w:rFonts w:cs="Times New Roman"/>
          <w:szCs w:val="21"/>
        </w:rPr>
        <w:fldChar w:fldCharType="begin"/>
      </w:r>
      <w:r w:rsidRPr="00D41FC5">
        <w:rPr>
          <w:rFonts w:cs="Times New Roman"/>
          <w:szCs w:val="21"/>
        </w:rPr>
        <w:instrText xml:space="preserve"> ADDIN ZOTERO_ITEM CSL_CITATION {"citationID":"uux6q81B","properties":{"formattedCitation":"[5\\uc0\\u8211{}9]","plainCitation":"[5–9]","noteIndex":0},"citationItems":[{"id":307,"uris":["http://zotero.org/users/5619602/items/TVNTW9ZM"],"uri":["http://zotero.org/users/5619602/items/TVNTW9ZM"],"itemData":{"id":307,"type":"article-journal","container-title":"Sensors","issue":"5","note":"publisher: Multidisciplinary Digital Publishing Institute","page":"1492","title":"A novel nonlinear piezoelectric energy harvesting system based on linear-element coupling: design, modeling and dynamic analysis","volume":"18","author":[{"family":"Zhou","given":"Shengxi"},{"family":"Yan","given":"Bo"},{"family":"Inman","given":"Daniel J"}],"issued":{"date-parts":[["2018"]]}},"label":"page"},{"id":308,"uris":["http://zotero.org/users/5619602/items/RR9T8IPW"],"uri":["http://zotero.org/users/5619602/items/RR9T8IPW"],"itemData":{"id":308,"type":"book","publisher":"John Wiley &amp; Sons","title":"Piezoelectric energy harvesting","author":[{"family":"Erturk","given":"Alper"},{"family":"Inman","given":"Daniel J"}],"issued":{"date-parts":[["2011"]]}},"label":"page"},{"id":231,"uris":["http://zotero.org/users/5619602/items/G8UATHDV"],"uri":["http://zotero.org/users/5619602/items/G8UATHDV"],"itemData":{"id":231,"type":"article-journal","container-title":"Applied Physics Letters","issue":"21","page":"213902","title":"Multi-directional energy harvesting by piezoelectric cantilever-pendulum with internal resonance","volume":"107","author":[{"family":"Xu","given":"J"},{"family":"Tang","given":"J"}],"issued":{"date-parts":[["2015"]]}},"label":"page"},{"id":255,"uris":["http://zotero.org/users/5619602/items/YSA56SGW"],"uri":["http://zotero.org/users/5619602/items/YSA56SGW"],"itemData":{"id":255,"type":"article-journal","abstract":"Harvesting electrical energy from various human motions using piezoelectric energy harvesters (PEH) is gaining research attention in recent years. The energy harvested could potentially power hand held electronic devices and medical devices without the need of external power source for recharging batteries. In this study, an attempt is made to improve the efficiency of PEH to harvest energy from human motions by adopting a double pendulum system coupled with magnetic force interactions. For the purpose of comparison, three configurations of PEH which includes the conventional PEH with cantilever beam (PEHCB), the PEH with single pendulum system (PEHSP) and the PEH with double pendulum system (PEHDP) are experimentally studied. Excitations by both mechanical shaker and major human body parts during walking and jogging motions are investigated. The performance of each configuration, in terms of voltage and power produced as well as the idle time between each cycle, are analysed, compared and discussed. ANSYS© software is used to analyse the proposed model and MATLAB© software is used to calculate the output power. The results demonstrate that, with the use of the proposed double pendulum system, multiple impacts in each motion cycle is generated, thus producing higher voltage and power as compared to the conventional PEHCB. The idle time between each motion cycle is also effectively reduced. The efficiency of the PEH is thus significantly increased.","container-title":"Energy Conversion and Management","DOI":"10.1016/j.enconman.2019.02.001","ISSN":"0196-8904","journalAbbreviation":"Energy Conversion and Management","page":"559-570","title":"Improving efficiency of piezoelectric based energy harvesting from human motions using double pendulum system","volume":"184","author":[{"family":"Izadgoshasb","given":"Iman"},{"family":"Lim","given":"Yee Yan"},{"family":"Tang","given":"Lihua"},{"family":"Padilla","given":"Ricardo Vasquez"},{"family":"Tang","given":"Zi Sheng"},{"family":"Sedighi","given":"Mohammadreza"}],"issued":{"date-parts":[["2019"]]}},"label":"page"},{"id":236,"uris":["http://zotero.org/users/5619602/items/9N5E68YZ"],"uri":["http://zotero.org/users/5619602/items/9N5E68YZ"],"itemData":{"id":236,"type":"article-journal","abstract":"In the present study, the possibility to extract more vibrational energy by utilizing a high number of magnets on the proof mass of a piezoelectric frequency up-converting energy harvester is investigated. Due to magnetic interaction, the beam is actuated whenever the proof mass passes over its tip. It is observed that several peaks occur in the voltage signal of PZT beam when the angular velocity of the proof mass increases linearly. It is shown that the peaks locations which found to be dependent on the natural frequency of the PZT beam as well as the number of rotating magnets can be estimated by a mathematical formulation. Considering the effects of magnetic interactions on the pendulum dynamics, the generated power of the harvester is obtained for harmonic excitations. Although the determination of exact optimum number of magnets that can lead to the best generated power in all excitation characteristics is impossible, it is found that by applying an appropriate number of rotating magnets (e.g. six, seven or eight magnets), the extracted power from high amplitude excitations can be enhanced. It is noteworthy that, at some particular cases, it is possible that the generated power be increased to even more than ten times. At the end, by conducting some experiments, the validity of the mathematical modeling as well as the applied numerical method is examined.","container-title":"Journal of Sound and Vibration","DOI":"10.1016/j.jsv.2016.01.052","ISSN":"0022-460X","journalAbbreviation":"Journal of Sound and Vibration","page":"280-305","title":"Electromechanical behavior of a pendulum-based piezoelectric frequency up-converting energy harvester","volume":"370","author":[{"family":"Ramezanpour","given":"Reza"},{"family":"Nahvi","given":"Hassan"},{"family":"Ziaei-Rad","given":"Saeed"}],"issued":{"date-parts":[["2016"]]}},"label":"page"}],"schema":"https://github.com/citation-style-language/schema/raw/master/csl-citation.json"} </w:instrText>
      </w:r>
      <w:r w:rsidRPr="00D41FC5">
        <w:rPr>
          <w:rFonts w:cs="Times New Roman"/>
          <w:szCs w:val="21"/>
        </w:rPr>
        <w:fldChar w:fldCharType="separate"/>
      </w:r>
      <w:r w:rsidRPr="00D41FC5">
        <w:rPr>
          <w:rFonts w:cs="Times New Roman"/>
          <w:szCs w:val="21"/>
        </w:rPr>
        <w:t>[5–9]</w:t>
      </w:r>
      <w:r w:rsidRPr="00D41FC5">
        <w:rPr>
          <w:rFonts w:cs="Times New Roman"/>
          <w:szCs w:val="21"/>
        </w:rPr>
        <w:fldChar w:fldCharType="end"/>
      </w:r>
      <w:r w:rsidRPr="00D41FC5">
        <w:rPr>
          <w:rFonts w:cs="Times New Roman"/>
          <w:szCs w:val="21"/>
        </w:rPr>
        <w:t xml:space="preserve">, electromagnetic </w:t>
      </w:r>
      <w:r w:rsidRPr="00D41FC5">
        <w:rPr>
          <w:rFonts w:cs="Times New Roman"/>
          <w:szCs w:val="21"/>
        </w:rPr>
        <w:fldChar w:fldCharType="begin"/>
      </w:r>
      <w:r w:rsidRPr="00D41FC5">
        <w:rPr>
          <w:rFonts w:cs="Times New Roman"/>
          <w:szCs w:val="21"/>
        </w:rPr>
        <w:instrText xml:space="preserve"> ADDIN ZOTERO_ITEM CSL_CITATION {"citationID":"kMw6PLop","properties":{"formattedCitation":"[10\\uc0\\u8211{}14]","plainCitation":"[10–14]","noteIndex":0},"citationItems":[{"id":234,"uris":["http://zotero.org/users/5619602/items/MQD6XWZH"],"uri":["http://zotero.org/users/5619602/items/MQD6XWZH"],"itemData":{"id":234,"type":"article-journal","abstract":"This article presents theoretical and experimental investigations of a vibration-based energy harvester which is suitable to extract energy from low-frequency, high-amplitude environments. The proposed device consists of a rotating proof mass and eight piezoelectric bimorph beams. A magnet, mounted on the rotating pendulum, actuates the tips of the piezoelectric beams due to magnetic interaction. The free oscillations of the piezoelectric beam generate energy each time the pendulum passes over the beams. Based on energy principles, the nonlinear ordinary differential equations governing the electromechanical behavior of the system are derived and solved numerically. Using the proposed model, the effects of angular velocity of the rotating mass on the generated voltage are investigated. It is shown that the harvester with a relatively high angular velocity generates more voltage than the one with a low angular velocity. The performance of the proposed device in the attractive and the repulsive cases is compared to each other and it is concluded that the generated voltage of the attractive case is more than that of the repulsive case. The overall generated power of the harvester under harmonic external excitations is investigated for various amplitudes and frequencies. Using theoretical model, it is shown that the proposed device can be used for harvesting the out-of-plane vibrational energy. A model of the system has been devised and tested. The obtained experimental results show good qualitative agreements with the theoretical ones.","container-title":"Journal of Intelligent Material Systems and Structures","DOI":"10.1177/1045389X15575088","ISSN":"1045-389X","issue":"5","journalAbbreviation":"Journal of Intelligent Material Systems and Structures","page":"642-665","title":"A vibration-based energy harvester suitable for low-frequency, high-amplitude environments: Theoretical and experimental investigations","volume":"27","author":[{"family":"Ramezanpour","given":"Reza"},{"family":"Nahvi","given":"Hassan"},{"family":"Ziaei-Rad","given":"Saeed"}],"issued":{"date-parts":[["2015"]]}},"label":"page"},{"id":242,"uris":["http://zotero.org/users/5619602/items/VA952U8C"],"uri":["http://zotero.org/users/5619602/items/VA952U8C"],"itemData":{"id":242,"type":"article-journal","container-title":"IEEE Transactions on Intelligent Transportation Systems","DOI":"10.1109/TITS.2016.2611647","ISSN":"1558-0016","issue":"6","page":"1596-1609","title":"Design and Verification of a Rail-Borne Energy Harvester for Powering Wireless Sensor Networks in the Railway Industry","volume":"18","author":[{"family":"Gao","given":"M."},{"family":"Wang","given":"P."},{"family":"Cao","given":"Y."},{"family":"Chen","given":"R."},{"family":"Cai","given":"D."}],"issued":{"date-parts":[["2017",6]]}},"label":"page"},{"id":245,"uris":["http://zotero.org/users/5619602/items/68VNQCEE"],"uri":["http://zotero.org/users/5619602/items/68VNQCEE"],"itemData":{"id":245,"type":"article-journal","container-title":"MATEC Web Conf.","DOI":"10.1051/matecconf/201821105008","title":"Analysis of pendulums coupled by torsional springs for energy harvesting","URL":"https://doi.org/10.1051/matecconf/201821105008","volume":"211","author":[{"family":"Malaji","given":"P V"},{"family":"Doddi","given":"Suresh"},{"family":"Friswell","given":"Michael I."},{"family":"Adhikari","given":"Sondipon"}],"issued":{"date-parts":[["2018"]]}},"label":"page"},{"id":247,"uris":["http://zotero.org/users/5619602/items/IAJBHHCD"],"uri":["http://zotero.org/users/5619602/items/IAJBHHCD"],"itemData":{"id":247,"type":"article-journal","abstract":"This article investigates an array of pendulums as a potential broadband energy harvester. Closed form expression of the total power is analytically obtained. Effect of parameters on the total power harvested and on frequency band of the harvested power is accessed numerically. Finally experiments are carried out for arrays with two to five pendulums, which strongly supports the numerical observations. Different configurations are studied; (a) pendulums in the array are independent of each other, (b) pendulums are coupled using springs in between. The effect of mechanical grounding, where in the extreme pendulums are connected to the support through a spring, is also investigated. Observations show that array of coupled pendulums with mechanical grounding increased the bandwidth of harvesting frequency. The bandwidth and the total power harvested saturates with the number of pendulums.","container-title":"Sensors and Actuators A: Physical","DOI":"10.1016/j.sna.2016.12.003","ISSN":"0924-4247","journalAbbreviation":"Sensors and Actuators A: Physical","page":"1-9","title":"Broadband energy harvesting with mechanically coupled harvesters","volume":"255","author":[{"family":"Malaji","given":"P.V."},{"family":"Ali","given":"Shaikh Faruque"}],"issued":{"date-parts":[["2017"]]}},"label":"page"},{"id":306,"uris":["http://zotero.org/users/5619602/items/5VGDI735"],"uri":["http://zotero.org/users/5619602/items/5VGDI735"],"itemData":{"id":306,"type":"article-journal","abstract":"Current trend in energy harvesting research is to increase the operating bandwidth of energy harvesters. Multiple harvesters, nonlinear harvesters and hybrid harvesters are suggested to address the issue. In this paper, a system consisting of two electromagnetic harvesters with magnetic and mechanical couplings subjected to harmonic support excitations is proposed. Two pendulums with close resonating frequencies are used to generate power over a broad range of frequencies. The pendulums behave nonlinearly under the influence of magnetic interaction. This nonlinear motion harvests power at broader bandwidth. A mathematical model of the proposed harvester is established. Experiments are performed to validate the theoretical results. It has been observed that the nonlinear responses due to both magnet and mechanical couplings improve individual harvester performance. This is advantageous over harvesters that have magnetically coupling only. Additionally, the dynamics of harvesting system is numerically studied where large amplitude chaotic motion, quasi-periodic oscillations and periodic motions are observed and reported.","container-title":"Mechanical Systems and Signal Processing","DOI":"10.1016/j.ymssp.2018.02.025","ISSN":"0888-3270","journalAbbreviation":"Mechanical Systems and Signal Processing","page":"304-316","title":"Analysis and experiment of magneto-mechanically coupled harvesters","volume":"108","author":[{"family":"Malaji","given":"P.V."},{"family":"Ali","given":"Shaikh Faruque"}],"issued":{"date-parts":[["2018"]]}},"label":"page"}],"schema":"https://github.com/citation-style-language/schema/raw/master/csl-citation.json"} </w:instrText>
      </w:r>
      <w:r w:rsidRPr="00D41FC5">
        <w:rPr>
          <w:rFonts w:cs="Times New Roman"/>
          <w:szCs w:val="21"/>
        </w:rPr>
        <w:fldChar w:fldCharType="separate"/>
      </w:r>
      <w:r w:rsidRPr="00D41FC5">
        <w:rPr>
          <w:rFonts w:cs="Times New Roman"/>
          <w:szCs w:val="21"/>
        </w:rPr>
        <w:t>[10–14]</w:t>
      </w:r>
      <w:r w:rsidRPr="00D41FC5">
        <w:rPr>
          <w:rFonts w:cs="Times New Roman"/>
          <w:szCs w:val="21"/>
        </w:rPr>
        <w:fldChar w:fldCharType="end"/>
      </w:r>
      <w:r w:rsidRPr="00D41FC5">
        <w:rPr>
          <w:rFonts w:cs="Times New Roman"/>
          <w:szCs w:val="21"/>
        </w:rPr>
        <w:t xml:space="preserve">, electrostatic </w:t>
      </w:r>
      <w:r w:rsidRPr="00D41FC5">
        <w:rPr>
          <w:rFonts w:cs="Times New Roman"/>
          <w:szCs w:val="21"/>
        </w:rPr>
        <w:fldChar w:fldCharType="begin"/>
      </w:r>
      <w:r w:rsidRPr="00D41FC5">
        <w:rPr>
          <w:rFonts w:cs="Times New Roman"/>
          <w:szCs w:val="21"/>
        </w:rPr>
        <w:instrText xml:space="preserve"> ADDIN ZOTERO_ITEM CSL_CITATION {"citationID":"sppLwokQ","properties":{"formattedCitation":"[15]","plainCitation":"[15]","noteIndex":0},"citationItems":[{"id":249,"uris":["http://zotero.org/users/5619602/items/JZM38TYK"],"uri":["http://zotero.org/users/5619602/items/JZM38TYK"],"itemData":{"id":249,"type":"paper-conference","container-title":"2019 IEEE Sensors Applications Symposium (SAS)","DOI":"10.1109/SAS.2019.8706127","event":"2019 IEEE Sensors Applications Symposium (SAS)","ISBN":"null","page":"1-6","title":"Array of Linear and Nonlinear Electrostatic Energy Harvesters for Broadband Energy Harvesting","author":[{"literal":"S. M. Tousif"},{"literal":"Z. Çelik-Butler"}],"issued":{"date-parts":[["2019",3,11]]}}}],"schema":"https://github.com/citation-style-language/schema/raw/master/csl-citation.json"} </w:instrText>
      </w:r>
      <w:r w:rsidRPr="00D41FC5">
        <w:rPr>
          <w:rFonts w:cs="Times New Roman"/>
          <w:szCs w:val="21"/>
        </w:rPr>
        <w:fldChar w:fldCharType="separate"/>
      </w:r>
      <w:r w:rsidRPr="00D41FC5">
        <w:rPr>
          <w:rFonts w:cs="Times New Roman"/>
          <w:szCs w:val="21"/>
        </w:rPr>
        <w:t>[15]</w:t>
      </w:r>
      <w:r w:rsidRPr="00D41FC5">
        <w:rPr>
          <w:rFonts w:cs="Times New Roman"/>
          <w:szCs w:val="21"/>
        </w:rPr>
        <w:fldChar w:fldCharType="end"/>
      </w:r>
      <w:r w:rsidRPr="00D41FC5">
        <w:rPr>
          <w:rFonts w:cs="Times New Roman"/>
          <w:szCs w:val="21"/>
        </w:rPr>
        <w:t xml:space="preserve">, and </w:t>
      </w:r>
      <w:proofErr w:type="spellStart"/>
      <w:r w:rsidRPr="00D41FC5">
        <w:rPr>
          <w:rFonts w:cs="Times New Roman"/>
          <w:szCs w:val="21"/>
        </w:rPr>
        <w:t>magnetostrictive</w:t>
      </w:r>
      <w:proofErr w:type="spellEnd"/>
      <w:r w:rsidRPr="00D41FC5">
        <w:rPr>
          <w:rFonts w:cs="Times New Roman"/>
          <w:szCs w:val="21"/>
        </w:rPr>
        <w:t xml:space="preserve"> </w:t>
      </w:r>
      <w:r w:rsidRPr="00D41FC5">
        <w:rPr>
          <w:rFonts w:cs="Times New Roman"/>
          <w:szCs w:val="21"/>
        </w:rPr>
        <w:fldChar w:fldCharType="begin"/>
      </w:r>
      <w:r w:rsidRPr="00D41FC5">
        <w:rPr>
          <w:rFonts w:cs="Times New Roman"/>
          <w:szCs w:val="21"/>
        </w:rPr>
        <w:instrText xml:space="preserve"> ADDIN ZOTERO_ITEM CSL_CITATION {"citationID":"61kTGvGx","properties":{"formattedCitation":"[16]","plainCitation":"[16]","noteIndex":0},"citationItems":[{"id":262,"uris":["http://zotero.org/users/5619602/items/W5N32Y4Q"],"uri":["http://zotero.org/users/5619602/items/W5N32Y4Q"],"itemData":{"id":262,"type":"paper-conference","DOI":"10.1117/12.779624","event":"Proc.SPIE","title":"Effect of bias conditions on the optimal energy harvesting using magnetostrictive materials","URL":"https://doi.org/10.1117/12.779624","volume":"6928","author":[{"literal":"Thiago Seuaciuc-Osório"},{"literal":"Mohammed F. Daqaq"}],"issued":{"date-parts":[["2008"]]}}}],"schema":"https://github.com/citation-style-language/schema/raw/master/csl-citation.json"} </w:instrText>
      </w:r>
      <w:r w:rsidRPr="00D41FC5">
        <w:rPr>
          <w:rFonts w:cs="Times New Roman"/>
          <w:szCs w:val="21"/>
        </w:rPr>
        <w:fldChar w:fldCharType="separate"/>
      </w:r>
      <w:r w:rsidRPr="00D41FC5">
        <w:rPr>
          <w:rFonts w:cs="Times New Roman"/>
          <w:szCs w:val="21"/>
        </w:rPr>
        <w:t>[16]</w:t>
      </w:r>
      <w:r w:rsidRPr="00D41FC5">
        <w:rPr>
          <w:rFonts w:cs="Times New Roman"/>
          <w:szCs w:val="21"/>
        </w:rPr>
        <w:fldChar w:fldCharType="end"/>
      </w:r>
      <w:r w:rsidRPr="00D41FC5">
        <w:rPr>
          <w:rFonts w:cs="Times New Roman"/>
          <w:szCs w:val="21"/>
        </w:rPr>
        <w:t xml:space="preserve">, triboelectric </w:t>
      </w:r>
      <w:r w:rsidRPr="00D41FC5">
        <w:rPr>
          <w:rFonts w:cs="Times New Roman"/>
          <w:szCs w:val="21"/>
        </w:rPr>
        <w:fldChar w:fldCharType="begin"/>
      </w:r>
      <w:r w:rsidRPr="00D41FC5">
        <w:rPr>
          <w:rFonts w:cs="Times New Roman"/>
          <w:szCs w:val="21"/>
        </w:rPr>
        <w:instrText xml:space="preserve"> ADDIN ZOTERO_ITEM CSL_CITATION {"citationID":"KPN8vpxt","properties":{"formattedCitation":"[17]","plainCitation":"[17]","noteIndex":0},"citationItems":[{"id":278,"uris":["http://zotero.org/users/5619602/items/32C48PF3"],"uri":["http://zotero.org/users/5619602/items/32C48PF3"],"itemData":{"id":278,"type":"article-journal","container-title":"Mechanical Systems and Signal Processing","note":"publisher: Elsevier","page":"509–531","title":"Triboelectric energy harvesting from the vibro-impact of three cantilevered beams","volume":"121","author":[{"family":"Fu","given":"Yiqiang"},{"family":"Ouyang","given":"Huajiang"},{"family":"Davis","given":"R Benjamin"}],"issued":{"date-parts":[["2019"]]}}}],"schema":"https://github.com/citation-style-language/schema/raw/master/csl-citation.json"} </w:instrText>
      </w:r>
      <w:r w:rsidRPr="00D41FC5">
        <w:rPr>
          <w:rFonts w:cs="Times New Roman"/>
          <w:szCs w:val="21"/>
        </w:rPr>
        <w:fldChar w:fldCharType="separate"/>
      </w:r>
      <w:r w:rsidRPr="00D41FC5">
        <w:rPr>
          <w:rFonts w:cs="Times New Roman"/>
          <w:szCs w:val="21"/>
        </w:rPr>
        <w:t>[17]</w:t>
      </w:r>
      <w:r w:rsidRPr="00D41FC5">
        <w:rPr>
          <w:rFonts w:cs="Times New Roman"/>
          <w:szCs w:val="21"/>
        </w:rPr>
        <w:fldChar w:fldCharType="end"/>
      </w:r>
      <w:r w:rsidRPr="00D41FC5">
        <w:rPr>
          <w:rFonts w:cs="Times New Roman"/>
          <w:szCs w:val="21"/>
        </w:rPr>
        <w:t xml:space="preserve"> have been reported. Piezoelectric </w:t>
      </w:r>
      <w:r w:rsidRPr="00D41FC5">
        <w:rPr>
          <w:rFonts w:cs="Times New Roman"/>
          <w:szCs w:val="21"/>
        </w:rPr>
        <w:fldChar w:fldCharType="begin"/>
      </w:r>
      <w:r w:rsidRPr="00D41FC5">
        <w:rPr>
          <w:rFonts w:cs="Times New Roman"/>
          <w:szCs w:val="21"/>
        </w:rPr>
        <w:instrText xml:space="preserve"> ADDIN ZOTERO_ITEM CSL_CITATION {"citationID":"d8IOHxT3","properties":{"formattedCitation":"[18\\uc0\\u8211{}20]","plainCitation":"[18–20]","noteIndex":0},"citationItems":[{"id":263,"uris":["http://zotero.org/users/5619602/items/DY3TXLHW"],"uri":["http://zotero.org/users/5619602/items/DY3TXLHW"],"itemData":{"id":263,"type":"article-journal","container-title":"Journal of Applied Physics","DOI":"10.1063/1.3457330","ISSN":"0021-8979","issue":"1","journalAbbreviation":"Journal of Applied Physics","note":"publisher: American Institute of Physics","page":"014901","title":"Sensor shape design for piezoelectric cantilever beams to harvest vibration energy","volume":"108","author":[{"family":"Friswell","given":"Michael I."},{"family":"Adhikari","given":"Sondipon"}],"issued":{"date-parts":[["2010"]]}},"label":"page"},{"id":265,"uris":["http://zotero.org/users/5619602/items/7NCYADEA"],"uri":["http://zotero.org/users/5619602/items/7NCYADEA"],"itemData":{"id":265,"type":"article-journal","abstract":"Introduction of stiffness nonlinearities to broaden the frequency bandwidth of vibratory energy harvesters has the adverse influence of complicating the response behavior of the harvester. As such, unlike linear energy harvesters, for which direct performance metrics can be easily developed, it is not always easy to develop metrics to assess the performance of nonlinear energy harvesters. One particular issue arises when the harvester operates in its chaotic regime resulting in an unpredictable response, under which the harvester’s performance is hard to assess. In this paper, we present a statistical technique to estimate the charging time of a battery being charged by a chaotic vibratory input. The proposed approach, which accounts for the presence of a rectifier circuit, a buck converter, and the dependence of the battery voltage on the state of charge, only requires the knowledge of the probability density function of the open-circuit voltage of the harvester. Using the proposed technique, it is also possible to obtain the optimal duty cycle of the buck converter. Results of the proposed methodology were compared to numerical data generated using MATLAB’s Simscape toolbox demonstrating excellent agreement. Not only does the proposed technique provide a valuable tool to assess performance of a chaotic energy harvester, but it can also be easily applied to other chaotic and random energy sources.","container-title":"Nonlinear Dynamics","DOI":"10.1007/s11071-019-05372-0","ISSN":"1573-269X","issue":"2","journalAbbreviation":"Nonlinear Dynamics","page":"1525-1537","title":"On the efficacy of charging a battery using a chaotic energy harvester","volume":"99","author":[{"family":"Daqaq","given":"Mohammed F."},{"family":"Crespo","given":"Rafael S."},{"family":"Ha","given":"Sohmyung"}],"issued":{"date-parts":[["2020"]]}},"label":"page"},{"id":266,"uris":["http://zotero.org/users/5619602/items/PARDBFB9"],"uri":["http://zotero.org/users/5619602/items/PARDBFB9"],"itemData":{"id":266,"type":"article-journal","abstract":"Harvesting energy from ambient mechanical vibrations by the piezoelectric effect has been proposed for powering microelectromechanical systems and replacing batteries that have a finite life span. A conventional piezoelectric energy harvester (PEH) is usually designed as a linear resonator, and suffers from a narrow operating bandwidth. To achieve broadband energy harvesting, in this paper we introduce a concept and describe the realization of a novel nonlinear PEH. The proposed PEH consists of a primary piezoelectric cantilever beam coupled to an auxiliary piezoelectric cantilever beam through two movable magnets. For predicting the nonlinear response from the proposed PEH, lumped parameter models are established for the two beams. Both simulation and experiment reveal that for the primary beam, the introduction of magnetic coupling can expand the operating bandwidth as well as improve the output voltage. For the auxiliary beam, the magnitude of the output voltage is slightly reduced, but additional output is observed at off-resonance frequencies. Therefore, broadband energy harvesting can be obtained from both the primary beam and the auxiliary beam.","container-title":"Chinese Physics B","DOI":"10.1088/1674-1056/23/8/084501","ISSN":"1674-1056","issue":"8","note":"publisher: IOP Publishing","page":"084501","title":"Broadband energy harvesting via magnetic coupling between two movable magnets","volume":"23","author":[{"family":"Fan","given":"Kang-Qi"},{"family":"Xu","given":"Chun-Hui"},{"family":"Wang","given":"Wei-Dong"},{"family":"Fang","given":"Yang"}],"issued":{"date-parts":[["2014"]]}},"label":"page"}],"schema":"https://github.com/citation-style-language/schema/raw/master/csl-citation.json"} </w:instrText>
      </w:r>
      <w:r w:rsidRPr="00D41FC5">
        <w:rPr>
          <w:rFonts w:cs="Times New Roman"/>
          <w:szCs w:val="21"/>
        </w:rPr>
        <w:fldChar w:fldCharType="separate"/>
      </w:r>
      <w:r w:rsidRPr="00D41FC5">
        <w:rPr>
          <w:rFonts w:cs="Times New Roman"/>
          <w:szCs w:val="21"/>
        </w:rPr>
        <w:t>[18–20]</w:t>
      </w:r>
      <w:r w:rsidRPr="00D41FC5">
        <w:rPr>
          <w:rFonts w:cs="Times New Roman"/>
          <w:szCs w:val="21"/>
        </w:rPr>
        <w:fldChar w:fldCharType="end"/>
      </w:r>
      <w:r w:rsidRPr="00D41FC5">
        <w:rPr>
          <w:rFonts w:cs="Times New Roman"/>
          <w:szCs w:val="21"/>
        </w:rPr>
        <w:t xml:space="preserve"> and electromagnetic </w:t>
      </w:r>
      <w:r w:rsidRPr="00D41FC5">
        <w:rPr>
          <w:rFonts w:cs="Times New Roman"/>
          <w:szCs w:val="21"/>
        </w:rPr>
        <w:fldChar w:fldCharType="begin"/>
      </w:r>
      <w:r w:rsidRPr="00D41FC5">
        <w:rPr>
          <w:rFonts w:cs="Times New Roman"/>
          <w:szCs w:val="21"/>
        </w:rPr>
        <w:instrText xml:space="preserve"> ADDIN ZOTERO_ITEM CSL_CITATION {"citationID":"YLwtRV3R","properties":{"formattedCitation":"[21\\uc0\\u8211{}24]","plainCitation":"[21–24]","noteIndex":0},"citationItems":[{"id":267,"uris":["http://zotero.org/users/5619602/items/LMYUWPJH"],"uri":["http://zotero.org/users/5619602/items/LMYUWPJH"],"itemData":{"id":267,"type":"article-journal","abstract":"Vibration energy harvesting is receiving a considerable amount of interest as a means for powering wireless sensor nodes. This paper presents a small (component volume 0.1 cm3, practical volume 0.15 cm3) electromagnetic generator utilizing discrete components and optimized for a low ambient vibration level based upon real application data. The generator uses four magnets arranged on an etched cantilever with a wound coil located within the moving magnetic field. Magnet size and coil properties were optimized, with the final device producing 46 µW in a resistive load of 4 kΩ from just 0.59 m s−2 acceleration levels at its resonant frequency of 52 Hz. A voltage of 428 mVrms was obtained from the generator with a 2300 turn coil which has proved sufficient for subsequent rectification and voltage step-up circuitry. The generator delivers 30% of the power supplied from the environment to useful electrical power in the load. This generator compares very favourably with other demonstrated examples in the literature, both in terms of normalized power density and efficiency.","container-title":"Journal of Micromechanics and Microengineering","DOI":"10.1088/0960-1317/17/7/007","ISSN":"0960-1317","issue":"7","note":"publisher: IOP Publishing","page":"1257-1265","title":"A micro electromagnetic generator for vibration energy harvesting","volume":"17","author":[{"family":"Beeby","given":"S P"},{"family":"Torah","given":"R N"},{"family":"Tudor","given":"M J"},{"family":"Glynne-Jones","given":"P"},{"family":"O'Donnell","given":"T"},{"family":"Saha","given":"C R"},{"family":"Roy","given":"S"}],"issued":{"date-parts":[["2007"]]}},"label":"page"},{"id":268,"uris":["http://zotero.org/users/5619602/items/LID47N6R"],"uri":["http://zotero.org/users/5619602/items/LID47N6R"],"itemData":{"id":268,"type":"article-journal","abstract":"Extracting energy from environmental airflows and converting it into usable electricity can be a potential approach to realize the self-powering operation of sensors by virtue of energy harvesting technology, which has received great interest in recent years. Yet the environmental adaptability and the level of output power are two of important aspects to restrict wide applications of energy harvesters and hence still required to be improved. For this purpose, a novel and efficient electromagnetic energy harvester for airflow power generation is designed, and a theoretical model is constructed and experimentally verified to characterize the design and output performance of the energy harvester. To this end, a bluff body with the cross-section of Y-shape subjected to airflows is considered. Then, the aeroelastic response of bluff body occurs and brings the coil to cut magnetic induction lines. The experimental results show that an average power of 2.5 mW is measured at wind speed of 4 m/s, which is dominant compared to existing aeroelastic energy harvesters. Furthermore, charging and discharging experiments demonstrate 30 s of airflow in wind tunnel under speed of 3.5 m/s can drive the sensor of 1.1 V working voltage to operate for about one minute. In addition, it is significant that the harvester’s environmental adaptability is revealed under condition of the air-conditioner vent. The present research offers a suggestive guidance on developing an efficient electromagnetic energy harvester for airflow power generation, at the same time it further promotes the realization of self-powering of structural health monitoring sensors applying in buildings and bridges.","container-title":"Applied Energy","DOI":"10.1016/j.apenergy.2019.113737","ISSN":"0306-2619","journalAbbreviation":"Applied Energy","page":"113737","title":"Theoretical modeling, wind tunnel measurements, and realistic environment testing of galloping-based electromagnetic energy harvesters","volume":"254","author":[{"family":"Zhang","given":"L.B."},{"family":"Dai","given":"H.L."},{"family":"Abdelkefi","given":"A."},{"family":"Lin","given":"S.X."},{"family":"Wang","given":"L."}],"issued":{"date-parts":[["2019"]]}},"label":"page"},{"id":257,"uris":["http://zotero.org/users/5619602/items/QXXJCEGU"],"uri":["http://zotero.org/users/5619602/items/QXXJCEGU"],"itemData":{"id":257,"type":"article-journal","container-title":"Journal of Vibration and Acoustics","issue":"1","note":"publisher: American Society of Mechanical Engineers Digital Collection","title":"Frequency tuning of a nonlinear electromagnetic energy harvester","volume":"136","author":[{"family":"Xie","given":"Longhan"},{"family":"Du","given":"Ruxu"}],"issued":{"date-parts":[["2014"]]}},"label":"page"},{"id":252,"uris":["http://zotero.org/users/5619602/items/LPJAXXNM"],"uri":["http://zotero.org/users/5619602/items/LPJAXXNM"],"itemData":{"id":252,"type":"article-journal","container-title":"The European Physical Journal Special Topics","issue":"14-15","note":"publisher: Springer","page":"2909–2918","title":"Energy harvesting in the nonlinear electromagnetic system","volume":"224","author":[{"family":"Kucab","given":"Krzysztof"},{"family":"Górski","given":"Grzegorz"},{"family":"Mizia","given":"J"}],"issued":{"date-parts":[["2015"]]}},"label":"page"}],"schema":"https://github.com/citation-style-language/schema/raw/master/csl-citation.json"} </w:instrText>
      </w:r>
      <w:r w:rsidRPr="00D41FC5">
        <w:rPr>
          <w:rFonts w:cs="Times New Roman"/>
          <w:szCs w:val="21"/>
        </w:rPr>
        <w:fldChar w:fldCharType="separate"/>
      </w:r>
      <w:r w:rsidRPr="00D41FC5">
        <w:rPr>
          <w:rFonts w:cs="Times New Roman"/>
          <w:szCs w:val="21"/>
        </w:rPr>
        <w:t>[21–24]</w:t>
      </w:r>
      <w:r w:rsidRPr="00D41FC5">
        <w:rPr>
          <w:rFonts w:cs="Times New Roman"/>
          <w:szCs w:val="21"/>
        </w:rPr>
        <w:fldChar w:fldCharType="end"/>
      </w:r>
      <w:r w:rsidRPr="00D41FC5">
        <w:rPr>
          <w:rFonts w:cs="Times New Roman"/>
          <w:szCs w:val="21"/>
        </w:rPr>
        <w:t xml:space="preserve"> mechanisms or the hybrid of both mechanisms </w:t>
      </w:r>
      <w:r w:rsidRPr="00D41FC5">
        <w:rPr>
          <w:rFonts w:cs="Times New Roman"/>
          <w:szCs w:val="21"/>
        </w:rPr>
        <w:fldChar w:fldCharType="begin"/>
      </w:r>
      <w:r w:rsidRPr="00D41FC5">
        <w:rPr>
          <w:rFonts w:cs="Times New Roman"/>
          <w:szCs w:val="21"/>
        </w:rPr>
        <w:instrText xml:space="preserve"> ADDIN ZOTERO_ITEM CSL_CITATION {"citationID":"22RWi52N","properties":{"formattedCitation":"[25\\uc0\\u8211{}27]","plainCitation":"[25–27]","noteIndex":0},"citationItems":[{"id":273,"uris":["http://zotero.org/users/5619602/items/V2SN96ES"],"uri":["http://zotero.org/users/5619602/items/V2SN96ES"],"itemData":{"id":273,"type":"article-journal","abstract":"Capturing mechanical energy from our living environment is an effective approach for implementing self-sustained electronics. One of the key challenges is how to generate more electricity from the low-frequency and multi-directional excitations. To address this interesting issue, this paper reports a hybrid energy harvester (HEH) that consists of a piezoelectric energy harvester (PEH) and an electromagnetic energy harvester (EMEH), which can scavenge energy from both low-frequency and bi-directional excitations. The PEH is composed of two piezoelectric cantilever beams, each of which can deliver a peak power of approximately 0.13 mW when excited directly by a harmonic vibration of 0.8 g. A spherical magnet is utilized to not only trigger the PEH to function, which endows the PEH with bi-directional energy-harvesting capability, but also induce the coil to generate electricity, achieving the integration of EMEH with PEH. When the magnet is subjected to a sinusoidal excitation of 1.24 g, each beam of the PEH generates a peak power of 0.058 mW at 7 Hz and the coil outputs a peak power of 2.94 mW at 7.2 Hz. The HEH exhibits a better charging performance than the PEH or EMEH for charging a capacitor, and the fabricated HEH prototype can light up tens of light-emitting diodes (LEDs) when excited by hand-shaking vibrations.","container-title":"Smart Materials and Structures","DOI":"10.1088/1361-665x/aaae92","ISSN":"0964-1726","issue":"8","note":"publisher: IOP Publishing","page":"085001","title":"Hybrid piezoelectric-electromagnetic energy harvester for scavenging energy from low-frequency excitations","volume":"27","author":[{"family":"Fan","given":"Kangqi"},{"family":"Tan","given":"Qinxue"},{"family":"Liu","given":"Haiyan"},{"family":"Zhu","given":"Yingmin"},{"family":"Wang","given":"Weidong"},{"family":"Zhang","given":"Daxing"}],"issued":{"date-parts":[["2018"]]}},"label":"page"},{"id":271,"uris":["http://zotero.org/users/5619602/items/S782FTMJ"],"uri":["http://zotero.org/users/5619602/items/S782FTMJ"],"itemData":{"id":271,"type":"article-journal","abstract":"The vortex-induced vibrations of a circular cylinder attached as a tip mass at the end of a cantilever beam are investigated for hybrid energy harvesting using two different transduction mechanisms, namely piezoelectric and electromagnetic. The high aeroelastic oscillations generated for a range of wind speeds are translated into electrical energy by both transducers. The aerodynamic force is modeled by a modified van der Pol wake oscillator model. The Euler–Lagrange principle and Galerkin procedure are utilized to develop a nonlinear distributed-parameter model to evaluate performance of the hybrid energy harvester. The effects of the external load resistances, placement and mass of the magnet on coupled damping, frequency, and performance of the hybrid energy harvester are deeply studied. It is shown that performance of the hybrid energy harvester is highly dependent on both the external load resistances. It is demonstrated that, in the synchronous region, placement of the magnet has a huge effect on tip displacement of the harvester, generated current in the electromagnetic circuit, and generated voltage in the piezoelectric circuit. On the contrary, mass of the magnet has a negligible effect on behavior of the considered hybrid system. A comparative study between the hybrid energy harvester with the classical piezoelectric and electromagnetic counterparts is also carried out. It is indicated that, by carefully choosing the external load resistances and harvesters’ properties, energy harvesting in a hybrid configuration is an effective replacement for two different classical harvesters working separately. It is concluded that hybrid energy harvesters come out to be an effective choice for powering multiple electronic devices.","container-title":"Nonlinear Dynamics","DOI":"10.1007/s11071-018-04757-x","ISSN":"1573-269X","issue":"4","journalAbbreviation":"Nonlinear Dynamics","page":"3309-3333","title":"Characteristics and comparative analysis of piezoelectric-electromagnetic energy harvesters from vortex-induced oscillations","volume":"95","author":[{"family":"Javed","given":"U."},{"family":"Abdelkefi","given":"A."}],"issued":{"date-parts":[["2019"]]}},"label":"page"},{"id":272,"uris":["http://zotero.org/users/5619602/items/W2GZWYPK"],"uri":["http://zotero.org/users/5619602/items/W2GZWYPK"],"itemData":{"id":272,"type":"article-journal","abstract":"A bi-directional hybrid energy harvester (HEH) is presented in this paper to scavenge energy from ultra-low frequency mechanical excitations. The proposed HEH consists of two piezoelectric cantilever beams, a suspended magnet, and a set of coil. Specifically, the two piezoelectric beams work as a conventional piezoelectric energy harvester (PEH), whereas the suspended magnet and the coil constitute an electromagnetic energy harvester (EMEH). The two energy-harvesting units (PEH and EMEH), which are sensitive to excitations coming from different directions, are coupled by the suspended magnet, through which the PEH and EMEH are coherently integrated. The suspended magnet not only induces the coil to generate electricity but also actuates the PEH to work, achieving the simultaneous energy extraction from one excitation through two conversion mechanisms. The dynamic model of the HEH is established. Theoretical simulations and experimental measurements under the sinusoidal excitation indicate that the nonlinear interaction between the PEH and EMEH actuates the two energy-harvesting units to oscillate either chaotically or periodically with large amplitudes, which can improve both the PEH and the EMEH power outputs at ultra-low frequencies, not only expanding the HEH working bandwidth but also making the HEH suitable for ultra-low frequency energy harvesting. Moreover, the hand-shaking test shows that the HEH has a better charging performance than an individual energy-harvesting unit for charging a capacitor. Under the hand-shaking induced excitation, the fabricated HEH prototype can also light up tens of light-emitting diodes (LEDs), demonstrating its potential application for powering some portable electronics.","container-title":"Applied Energy","DOI":"10.1016/j.apenergy.2018.02.086","ISSN":"0306-2619","journalAbbreviation":"Applied Energy","page":"8-20","title":"Scavenging energy from ultra-low frequency mechanical excitations through a bi-directional hybrid energy harvester","volume":"216","author":[{"family":"Fan","given":"Kangqi"},{"family":"Liu","given":"Shaohua"},{"family":"Liu","given":"Haiyan"},{"family":"Zhu","given":"Yingmin"},{"family":"Wang","given":"Weidong"},{"family":"Zhang","given":"Daxing"}],"issued":{"date-parts":[["2018"]]}},"label":"page"}],"schema":"https://github.com/citation-style-language/schema/raw/master/csl-citation.json"} </w:instrText>
      </w:r>
      <w:r w:rsidRPr="00D41FC5">
        <w:rPr>
          <w:rFonts w:cs="Times New Roman"/>
          <w:szCs w:val="21"/>
        </w:rPr>
        <w:fldChar w:fldCharType="separate"/>
      </w:r>
      <w:r w:rsidRPr="00D41FC5">
        <w:rPr>
          <w:rFonts w:cs="Times New Roman"/>
          <w:szCs w:val="21"/>
        </w:rPr>
        <w:t>[25–27]</w:t>
      </w:r>
      <w:r w:rsidRPr="00D41FC5">
        <w:rPr>
          <w:rFonts w:cs="Times New Roman"/>
          <w:szCs w:val="21"/>
        </w:rPr>
        <w:fldChar w:fldCharType="end"/>
      </w:r>
      <w:r w:rsidRPr="00D41FC5">
        <w:rPr>
          <w:rFonts w:cs="Times New Roman"/>
          <w:szCs w:val="21"/>
        </w:rPr>
        <w:t xml:space="preserve"> are the most commonly exploited in macro vibrational energy harvesters (VEHs). Electromagnetic VEHs scavenge vibrational energy via Faraday's law of induction, whereas energy generation by piezoelectric harvesters is proportional to the strain in piezoelectric materials. Piezoelectric harvesters are sensitive even at small vibrational amplitudes and tend to work well in the high-frequency range</w:t>
      </w:r>
      <w:r w:rsidR="00EF04EC" w:rsidRPr="00D41FC5">
        <w:rPr>
          <w:rFonts w:cs="Times New Roman"/>
          <w:szCs w:val="21"/>
        </w:rPr>
        <w:t xml:space="preserve"> </w:t>
      </w:r>
      <w:r w:rsidR="00EF04EC" w:rsidRPr="00D41FC5">
        <w:rPr>
          <w:rFonts w:cs="Times New Roman"/>
          <w:szCs w:val="21"/>
        </w:rPr>
        <w:fldChar w:fldCharType="begin"/>
      </w:r>
      <w:r w:rsidR="00EF04EC" w:rsidRPr="00D41FC5">
        <w:rPr>
          <w:rFonts w:cs="Times New Roman"/>
          <w:szCs w:val="21"/>
        </w:rPr>
        <w:instrText xml:space="preserve"> ADDIN ZOTERO_ITEM CSL_CITATION {"citationID":"GOK8JbfW","properties":{"formattedCitation":"[28]","plainCitation":"[28]","noteIndex":0},"citationItems":[{"id":241,"uris":["http://zotero.org/users/5619602/items/72PNMV2K"],"uri":["http://zotero.org/users/5619602/items/72PNMV2K"],"itemData":{"id":241,"type":"article-journal","abstract":"Railway freight wagons are unpowered railway vehicles that are used for the transportation of cargoes. However, standard freight wagons are not equipped with electrical conduits (i.e. no external power source) and therefore cannot power monitoring sensors, and those monitoring sensors (pressure sensors and accelerometers) are essential for ensuring driving safety (e.g. derailment monitoring, insufficient brake pressure, and hunting movements). This paper reviews the self-powered sensor nodes for use in rail transport and proposes a technical approach for harnessing vibration energy of freight wagons to power the monitoring sensors. A multi-body rigid-flexible coupled dynamic model of freight rail transport is established to simulate the vibration response (the vibration acceleration and displacement) of freight wagons (car bodies and bogies) and railway tracks (rails and sleepers). The validity of the calculation model is verified by field tests. A new compact electromagnetic vibration energy harvester with an inertial pendulum is developed. Under the inertial oscillations caused by the wheel-rail interaction, the output power is 263 mW. A DC-DC booster circuit with supercapacitors is developed to power the sensor nodes through the harvested vibration energy. The system operates at a startup voltage of 1 V with a conversion efficiency of 40–65%. The energy harvesting system can drive an integral commercial sensor unit (with a pressure sensor and a triaxial MEMS accelerometer) and act as a self-powered sensor node for use in the condition monitoring system of freight rail transport.","container-title":"Applied Energy","DOI":"https://doi.org/10.1016/j.apenergy.2019.113969","ISSN":"0306-2619","page":"113969","title":"Dynamic modeling and experimental investigation of self-powered sensor nodes for freight rail transport","volume":"257","author":[{"family":"Gao","given":"Mingyuan"},{"family":"Cong","given":"Jianli"},{"family":"Xiao","given":"Jieling"},{"family":"He","given":"Qing"},{"family":"Li","given":"Shoutai"},{"family":"Wang","given":"Yuan"},{"family":"Yao","given":"Ye"},{"family":"Chen","given":"Rong"},{"family":"Wang","given":"Ping"}],"issued":{"date-parts":[["2020"]]}}}],"schema":"https://github.com/citation-style-language/schema/raw/master/csl-citation.json"} </w:instrText>
      </w:r>
      <w:r w:rsidR="00EF04EC" w:rsidRPr="00D41FC5">
        <w:rPr>
          <w:rFonts w:cs="Times New Roman"/>
          <w:szCs w:val="21"/>
        </w:rPr>
        <w:fldChar w:fldCharType="separate"/>
      </w:r>
      <w:r w:rsidR="00EF04EC" w:rsidRPr="00D41FC5">
        <w:rPr>
          <w:rFonts w:cs="Times New Roman"/>
        </w:rPr>
        <w:t>[28]</w:t>
      </w:r>
      <w:r w:rsidR="00EF04EC" w:rsidRPr="00D41FC5">
        <w:rPr>
          <w:rFonts w:cs="Times New Roman"/>
          <w:szCs w:val="21"/>
        </w:rPr>
        <w:fldChar w:fldCharType="end"/>
      </w:r>
      <w:r w:rsidRPr="00D41FC5">
        <w:rPr>
          <w:rFonts w:cs="Times New Roman"/>
          <w:szCs w:val="21"/>
        </w:rPr>
        <w:t xml:space="preserve">. However, the internal resistance of piezoelectric materials limits the energy conversion efficiency of piezoelectric harvesters. </w:t>
      </w:r>
      <w:bookmarkStart w:id="2" w:name="_Hlk38140522"/>
      <w:r w:rsidRPr="00D41FC5">
        <w:rPr>
          <w:rFonts w:cs="Times New Roman"/>
          <w:szCs w:val="21"/>
        </w:rPr>
        <w:t xml:space="preserve">Compared with piezoelectric harvesters, electromagnetic ones are mainly employed in larger-scale applications and can output considerable energy in the low-frequency range </w:t>
      </w:r>
      <w:r w:rsidRPr="00D41FC5">
        <w:rPr>
          <w:rFonts w:cs="Times New Roman"/>
          <w:szCs w:val="21"/>
        </w:rPr>
        <w:fldChar w:fldCharType="begin"/>
      </w:r>
      <w:r w:rsidRPr="00D41FC5">
        <w:rPr>
          <w:rFonts w:cs="Times New Roman"/>
          <w:szCs w:val="21"/>
        </w:rPr>
        <w:instrText xml:space="preserve"> ADDIN ZOTERO_ITEM CSL_CITATION {"citationID":"WQsdXXgo","properties":{"formattedCitation":"[11]","plainCitation":"[11]","noteIndex":0},"citationItems":[{"id":242,"uris":["http://zotero.org/users/5619602/items/VA952U8C"],"uri":["http://zotero.org/users/5619602/items/VA952U8C"],"itemData":{"id":242,"type":"article-journal","container-title":"IEEE Transactions on Intelligent Transportation Systems","DOI":"10.1109/TITS.2016.2611647","ISSN":"1558-0016","issue":"6","page":"1596-1609","title":"Design and Verification of a Rail-Borne Energy Harvester for Powering Wireless Sensor Networks in the Railway Industry","volume":"18","author":[{"family":"Gao","given":"M."},{"family":"Wang","given":"P."},{"family":"Cao","given":"Y."},{"family":"Chen","given":"R."},{"family":"Cai","given":"D."}],"issued":{"date-parts":[["2017",6]]}}}],"schema":"https://github.com/citation-style-language/schema/raw/master/csl-citation.json"} </w:instrText>
      </w:r>
      <w:r w:rsidRPr="00D41FC5">
        <w:rPr>
          <w:rFonts w:cs="Times New Roman"/>
          <w:szCs w:val="21"/>
        </w:rPr>
        <w:fldChar w:fldCharType="separate"/>
      </w:r>
      <w:r w:rsidRPr="00D41FC5">
        <w:rPr>
          <w:rFonts w:cs="Times New Roman"/>
          <w:szCs w:val="21"/>
        </w:rPr>
        <w:t>[11]</w:t>
      </w:r>
      <w:r w:rsidRPr="00D41FC5">
        <w:rPr>
          <w:rFonts w:cs="Times New Roman"/>
          <w:szCs w:val="21"/>
        </w:rPr>
        <w:fldChar w:fldCharType="end"/>
      </w:r>
      <w:r w:rsidRPr="00D41FC5">
        <w:rPr>
          <w:rFonts w:cs="Times New Roman"/>
          <w:szCs w:val="21"/>
        </w:rPr>
        <w:t>.</w:t>
      </w:r>
      <w:bookmarkEnd w:id="2"/>
    </w:p>
    <w:p w14:paraId="1E60AFBB" w14:textId="2D3F931E" w:rsidR="00A6461A" w:rsidRPr="00D41FC5" w:rsidRDefault="00A6461A" w:rsidP="00A6461A">
      <w:pPr>
        <w:pStyle w:val="IOPText"/>
        <w:rPr>
          <w:rFonts w:cs="Times New Roman"/>
          <w:szCs w:val="21"/>
        </w:rPr>
      </w:pPr>
      <w:bookmarkStart w:id="3" w:name="_Hlk38142157"/>
      <w:r w:rsidRPr="00D41FC5">
        <w:rPr>
          <w:rFonts w:cs="Times New Roman"/>
          <w:szCs w:val="21"/>
        </w:rPr>
        <w:t>According to the frequency-response characteristics, known energy harvesters can be categorised into three groups: single frequency-based systems, multiple frequencies-based linear systems, and broadband-based nonlinear systems</w:t>
      </w:r>
      <w:bookmarkEnd w:id="3"/>
      <w:r w:rsidRPr="00D41FC5">
        <w:rPr>
          <w:rFonts w:cs="Times New Roman"/>
          <w:szCs w:val="21"/>
        </w:rPr>
        <w:t xml:space="preserve"> </w:t>
      </w:r>
      <w:r w:rsidRPr="00D41FC5">
        <w:rPr>
          <w:rFonts w:cs="Times New Roman"/>
          <w:szCs w:val="21"/>
        </w:rPr>
        <w:fldChar w:fldCharType="begin"/>
      </w:r>
      <w:r w:rsidR="00EF04EC" w:rsidRPr="00D41FC5">
        <w:rPr>
          <w:rFonts w:cs="Times New Roman"/>
          <w:szCs w:val="21"/>
        </w:rPr>
        <w:instrText xml:space="preserve"> ADDIN ZOTERO_ITEM CSL_CITATION {"citationID":"6ZK2V0lG","properties":{"formattedCitation":"[29]","plainCitation":"[29]","noteIndex":0},"citationItems":[{"id":250,"uris":["http://zotero.org/users/5619602/items/IKGJAX6G"],"uri":["http://zotero.org/users/5619602/items/IKGJAX6G"],"itemData":{"id":250,"type":"book","publisher":"Springer","title":"Energy harvesting and energy efficiency","author":[{"family":"Bizon","given":"Nicu"},{"family":"Tabatabaei","given":"N Mahdavi"},{"family":"Blaabjerg","given":"Frede"},{"family":"Kurt","given":"Erol"}],"issued":{"date-parts":[["2017"]]}}}],"schema":"https://github.com/citation-style-language/schema/raw/master/csl-citation.json"} </w:instrText>
      </w:r>
      <w:r w:rsidRPr="00D41FC5">
        <w:rPr>
          <w:rFonts w:cs="Times New Roman"/>
          <w:szCs w:val="21"/>
        </w:rPr>
        <w:fldChar w:fldCharType="separate"/>
      </w:r>
      <w:r w:rsidR="00EF04EC" w:rsidRPr="00D41FC5">
        <w:rPr>
          <w:rFonts w:cs="Times New Roman"/>
        </w:rPr>
        <w:t>[29]</w:t>
      </w:r>
      <w:r w:rsidRPr="00D41FC5">
        <w:rPr>
          <w:rFonts w:cs="Times New Roman"/>
          <w:szCs w:val="21"/>
        </w:rPr>
        <w:fldChar w:fldCharType="end"/>
      </w:r>
      <w:r w:rsidRPr="00D41FC5">
        <w:rPr>
          <w:rFonts w:cs="Times New Roman"/>
          <w:szCs w:val="21"/>
        </w:rPr>
        <w:t xml:space="preserve">. For linear systems, the output power reaches the maximum at resonance and reduces dramatically at other non-resonating frequencies </w:t>
      </w:r>
      <w:r w:rsidRPr="00D41FC5">
        <w:rPr>
          <w:rFonts w:cs="Times New Roman"/>
          <w:szCs w:val="21"/>
        </w:rPr>
        <w:fldChar w:fldCharType="begin"/>
      </w:r>
      <w:r w:rsidRPr="00D41FC5">
        <w:rPr>
          <w:rFonts w:cs="Times New Roman"/>
          <w:szCs w:val="21"/>
        </w:rPr>
        <w:instrText xml:space="preserve"> ADDIN ZOTERO_ITEM CSL_CITATION {"citationID":"LRzGwPjp","properties":{"formattedCitation":"[12]","plainCitation":"[12]","noteIndex":0},"citationItems":[{"id":245,"uris":["http://zotero.org/users/5619602/items/68VNQCEE"],"uri":["http://zotero.org/users/5619602/items/68VNQCEE"],"itemData":{"id":245,"type":"article-journal","container-title":"MATEC Web Conf.","DOI":"10.1051/matecconf/201821105008","title":"Analysis of pendulums coupled by torsional springs for energy harvesting","URL":"https://doi.org/10.1051/matecconf/201821105008","volume":"211","author":[{"family":"Malaji","given":"P V"},{"family":"Doddi","given":"Suresh"},{"family":"Friswell","given":"Michael I."},{"family":"Adhikari","given":"Sondipon"}],"issued":{"date-parts":[["2018"]]}}}],"schema":"https://github.com/citation-style-language/schema/raw/master/csl-citation.json"} </w:instrText>
      </w:r>
      <w:r w:rsidRPr="00D41FC5">
        <w:rPr>
          <w:rFonts w:cs="Times New Roman"/>
          <w:szCs w:val="21"/>
        </w:rPr>
        <w:fldChar w:fldCharType="separate"/>
      </w:r>
      <w:r w:rsidRPr="00D41FC5">
        <w:rPr>
          <w:rFonts w:cs="Times New Roman"/>
          <w:szCs w:val="21"/>
        </w:rPr>
        <w:t>[12]</w:t>
      </w:r>
      <w:r w:rsidRPr="00D41FC5">
        <w:rPr>
          <w:rFonts w:cs="Times New Roman"/>
          <w:szCs w:val="21"/>
        </w:rPr>
        <w:fldChar w:fldCharType="end"/>
      </w:r>
      <w:r w:rsidRPr="00D41FC5">
        <w:rPr>
          <w:rFonts w:cs="Times New Roman"/>
          <w:szCs w:val="21"/>
        </w:rPr>
        <w:t xml:space="preserve">. This limitation has led to the work of developing multiple frequencies-based and broadband-based energy harvesters. Multiple frequencies-based harvesters generally use a generator array, each of which has a different resonant frequency, to achieve widening bandwidth </w:t>
      </w:r>
      <w:r w:rsidRPr="00D41FC5">
        <w:rPr>
          <w:rFonts w:cs="Times New Roman"/>
          <w:szCs w:val="21"/>
        </w:rPr>
        <w:fldChar w:fldCharType="begin"/>
      </w:r>
      <w:r w:rsidR="00EF04EC" w:rsidRPr="00D41FC5">
        <w:rPr>
          <w:rFonts w:cs="Times New Roman"/>
          <w:szCs w:val="21"/>
        </w:rPr>
        <w:instrText xml:space="preserve"> ADDIN ZOTERO_ITEM CSL_CITATION {"citationID":"1szH7DVd","properties":{"formattedCitation":"[30]","plainCitation":"[30]","noteIndex":0},"citationItems":[{"id":274,"uris":["http://zotero.org/users/5619602/items/5XXSIDHM"],"uri":["http://zotero.org/users/5619602/items/5XXSIDHM"],"itemData":{"id":274,"type":"article-journal","container-title":"Measurement Science and Technology","issue":"2","note":"publisher: IOP Publishing","page":"022001","title":"Strategies for increasing the operating frequency range of vibration energy harvesters: a review","volume":"21","author":[{"family":"Zhu","given":"Dibin"},{"family":"Tudor","given":"Michael J"},{"family":"Beeby","given":"Stephen P"}],"issued":{"date-parts":[["2009"]]}}}],"schema":"https://github.com/citation-style-language/schema/raw/master/csl-citation.json"} </w:instrText>
      </w:r>
      <w:r w:rsidRPr="00D41FC5">
        <w:rPr>
          <w:rFonts w:cs="Times New Roman"/>
          <w:szCs w:val="21"/>
        </w:rPr>
        <w:fldChar w:fldCharType="separate"/>
      </w:r>
      <w:r w:rsidR="00EF04EC" w:rsidRPr="00D41FC5">
        <w:rPr>
          <w:rFonts w:cs="Times New Roman"/>
        </w:rPr>
        <w:t>[30]</w:t>
      </w:r>
      <w:r w:rsidRPr="00D41FC5">
        <w:rPr>
          <w:rFonts w:cs="Times New Roman"/>
          <w:szCs w:val="21"/>
        </w:rPr>
        <w:fldChar w:fldCharType="end"/>
      </w:r>
      <w:r w:rsidRPr="00D41FC5">
        <w:rPr>
          <w:rFonts w:cs="Times New Roman"/>
          <w:szCs w:val="21"/>
        </w:rPr>
        <w:t>. Such a design enables the harvesters to extract energy efficiently at multiple frequencies.</w:t>
      </w:r>
    </w:p>
    <w:p w14:paraId="7E42673B" w14:textId="643C5F8F" w:rsidR="00A6461A" w:rsidRPr="00D41FC5" w:rsidRDefault="00A6461A" w:rsidP="00A6461A">
      <w:pPr>
        <w:pStyle w:val="IOPText"/>
        <w:rPr>
          <w:rFonts w:cs="Times New Roman"/>
          <w:szCs w:val="21"/>
        </w:rPr>
      </w:pPr>
      <w:r w:rsidRPr="00D41FC5">
        <w:rPr>
          <w:rFonts w:cs="Times New Roman"/>
          <w:szCs w:val="21"/>
        </w:rPr>
        <w:t xml:space="preserve">Besides, introducing nonlinearity to harvester systems is a more efficient but sophisticated solution to harvest energy from a continuous frequency band </w:t>
      </w:r>
      <w:r w:rsidRPr="00D41FC5">
        <w:rPr>
          <w:rFonts w:cs="Times New Roman"/>
          <w:szCs w:val="21"/>
        </w:rPr>
        <w:fldChar w:fldCharType="begin"/>
      </w:r>
      <w:r w:rsidR="00EF04EC" w:rsidRPr="00D41FC5">
        <w:rPr>
          <w:rFonts w:cs="Times New Roman"/>
          <w:szCs w:val="21"/>
        </w:rPr>
        <w:instrText xml:space="preserve"> ADDIN ZOTERO_ITEM CSL_CITATION {"citationID":"hmKF8Bxi","properties":{"formattedCitation":"[31]","plainCitation":"[31]","noteIndex":0},"citationItems":[{"id":275,"uris":["http://zotero.org/users/5619602/items/QGQ7V88V"],"uri":["http://zotero.org/users/5619602/items/QGQ7V88V"],"itemData":{"id":275,"type":"article-journal","abstract":"The benefits of using a non-linear stiffness in an energy harvesting device comprising a mass–spring–damper system are investigated. Analysis based on the principle of conservation of energy reveals a fundamental limit of the effectiveness of any non-linear device over a tuned linear device for such an application. Two types of non-linear stiffness are considered. The first system has a non-linear bi-stable snap-through mechanism. This mechanism has the effect of steepening the displacement response of the mass as a function of time, resulting in a higher velocity for a given input excitation. Numerical results show that more power is harvested by the mechanism if the excitation frequency is much less than the natural frequency. The other non-linear system studied has a hardening spring, which has the effect of shifting the resonance frequency. Numerical and analytical studies show that the device with a hardening spring has a larger bandwidth over which the power can be harvested due to the shift in the resonance frequency.","container-title":"Nonlinear Dynamics","DOI":"10.1007/s11071-009-9561-5","ISSN":"1573-269X","issue":"4","journalAbbreviation":"Nonlinear Dynamics","page":"545-558","title":"Potential benefits of a non-linear stiffness in an energy harvesting device","volume":"59","author":[{"family":"Ramlan","given":"R."},{"family":"Brennan","given":"M. J."},{"family":"Mace","given":"B. R."},{"family":"Kovacic","given":"I."}],"issued":{"date-parts":[["2010"]]}}}],"schema":"https://github.com/citation-style-language/schema/raw/master/csl-citation.json"} </w:instrText>
      </w:r>
      <w:r w:rsidRPr="00D41FC5">
        <w:rPr>
          <w:rFonts w:cs="Times New Roman"/>
          <w:szCs w:val="21"/>
        </w:rPr>
        <w:fldChar w:fldCharType="separate"/>
      </w:r>
      <w:r w:rsidR="00EF04EC" w:rsidRPr="00D41FC5">
        <w:rPr>
          <w:rFonts w:cs="Times New Roman"/>
        </w:rPr>
        <w:t>[31]</w:t>
      </w:r>
      <w:r w:rsidRPr="00D41FC5">
        <w:rPr>
          <w:rFonts w:cs="Times New Roman"/>
          <w:szCs w:val="21"/>
        </w:rPr>
        <w:fldChar w:fldCharType="end"/>
      </w:r>
      <w:r w:rsidRPr="00D41FC5">
        <w:rPr>
          <w:rFonts w:cs="Times New Roman"/>
          <w:szCs w:val="21"/>
        </w:rPr>
        <w:t xml:space="preserve">. The energy potentials </w:t>
      </w:r>
      <w:r w:rsidRPr="00D41FC5">
        <w:rPr>
          <w:rFonts w:cs="Times New Roman"/>
          <w:szCs w:val="21"/>
        </w:rPr>
        <w:t xml:space="preserve">of nonlinear energy harvesters typically have multiple wells. When moving from one potential well to another, the system has large deformations or displacements and consequently harvesting more energy </w:t>
      </w:r>
      <w:r w:rsidRPr="00D41FC5">
        <w:rPr>
          <w:rFonts w:cs="Times New Roman"/>
          <w:szCs w:val="21"/>
        </w:rPr>
        <w:fldChar w:fldCharType="begin"/>
      </w:r>
      <w:r w:rsidR="00EF04EC" w:rsidRPr="00D41FC5">
        <w:rPr>
          <w:rFonts w:cs="Times New Roman"/>
          <w:szCs w:val="21"/>
        </w:rPr>
        <w:instrText xml:space="preserve"> ADDIN ZOTERO_ITEM CSL_CITATION {"citationID":"9cOPhndi","properties":{"formattedCitation":"[32]","plainCitation":"[32]","noteIndex":0},"citationItems":[{"id":244,"uris":["http://zotero.org/users/5619602/items/5N87VZVK"],"uri":["http://zotero.org/users/5619602/items/5N87VZVK"],"itemData":{"id":244,"type":"article-journal","container-title":"Mechanical Systems and Signal Processing","page":"49–64","title":"Energy harvesting from chaos in base excited double pendulum","volume":"124","author":[{"family":"Kumar","given":"Rahul"},{"family":"Gupta","given":"Sayan"},{"family":"Ali","given":"Shaikh Faruque"}],"issued":{"date-parts":[["2019"]]}}}],"schema":"https://github.com/citation-style-language/schema/raw/master/csl-citation.json"} </w:instrText>
      </w:r>
      <w:r w:rsidRPr="00D41FC5">
        <w:rPr>
          <w:rFonts w:cs="Times New Roman"/>
          <w:szCs w:val="21"/>
        </w:rPr>
        <w:fldChar w:fldCharType="separate"/>
      </w:r>
      <w:r w:rsidR="00EF04EC" w:rsidRPr="00D41FC5">
        <w:rPr>
          <w:rFonts w:cs="Times New Roman"/>
        </w:rPr>
        <w:t>[32]</w:t>
      </w:r>
      <w:r w:rsidRPr="00D41FC5">
        <w:rPr>
          <w:rFonts w:cs="Times New Roman"/>
          <w:szCs w:val="21"/>
        </w:rPr>
        <w:fldChar w:fldCharType="end"/>
      </w:r>
      <w:r w:rsidRPr="00D41FC5">
        <w:rPr>
          <w:rFonts w:cs="Times New Roman"/>
          <w:szCs w:val="21"/>
        </w:rPr>
        <w:t xml:space="preserve">. In practice, the nonlinear magnetic force or large deformation of structures is often used for providing nonlinearity to energy harvesting systems </w:t>
      </w:r>
      <w:r w:rsidRPr="00D41FC5">
        <w:rPr>
          <w:rFonts w:cs="Times New Roman"/>
          <w:szCs w:val="21"/>
        </w:rPr>
        <w:fldChar w:fldCharType="begin"/>
      </w:r>
      <w:r w:rsidR="00EF04EC" w:rsidRPr="00D41FC5">
        <w:rPr>
          <w:rFonts w:cs="Times New Roman"/>
          <w:szCs w:val="21"/>
        </w:rPr>
        <w:instrText xml:space="preserve"> ADDIN ZOTERO_ITEM CSL_CITATION {"citationID":"6uDknPIc","properties":{"unsorted":true,"formattedCitation":"[33,34]","plainCitation":"[33,34]","noteIndex":0},"citationItems":[{"id":277,"uris":["http://zotero.org/users/5619602/items/G2HUEU5A"],"uri":["http://zotero.org/users/5619602/items/G2HUEU5A"],"itemData":{"id":277,"type":"article-journal","container-title":"Proceedings of the Institution of Mechanical Engineers, Part L: Journal of Materials: Design and Applications","issue":"1-2","note":"publisher: SAGE Publications Sage UK: London, England","page":"89–99","title":"Design and experimental assessment of an electromagnetic energy harvester based on slotted disc springs","volume":"231","author":[{"family":"Castagnetti","given":"Davide"},{"family":"Dallari","given":"Federico"}],"issued":{"date-parts":[["2017"]]}},"label":"page"},{"id":270,"uris":["http://zotero.org/users/5619602/items/CPPLXCJF"],"uri":["http://zotero.org/users/5619602/items/CPPLXCJF"],"itemData":{"id":270,"type":"article-journal","abstract":"This paper presents a multi-physic modeling of an electromechanical energy scavenging device. A permanent magnet, connected to the inner liner of a tyre, is accelerated along a guide by the tyre deformation during car motion; by interacting with coils it generates a power which is conditioned by a proper electronic interfaced to an external load. The energy conversion process takes into account the simulation of different phenomena like: dynamic behavior of the seismic mass, electromagnetic coupling between moving mass and coils, transfer of the generated power to an external load by means of a nonlinear circuit interface. An integrated model of the cascaded energy steps is developed inside the Simulink environment. A good agreement is found in the comparison between theoretical model and experiments. The accurate modeling of the energy conversion device is a breakthrough in the modeling of these kinds of devices and allows to reach interesting power/volume ratios: small dimensions (about one cubic centimeter) and relatively high power output (more than one milliwatt).","container-title":"IEEE Transactions on Magnetics","DOI":"10.1109/TMAG.2010.2044156","ISSN":"1941-0069","issue":"8","journalAbbreviation":"IEEE Transactions on Magnetics","page":"2856-2859","title":"Dynamic Simulation of an Electromechanical Energy Scavenging Device","volume":"46","author":[{"literal":"E. Bonisoli"},{"literal":"A. Canova"},{"literal":"F. Freschi"},{"literal":"S. Moos"},{"literal":"M. Repetto"},{"literal":"S. Tornincasa"}],"issued":{"date-parts":[["2010",8]]}},"label":"page"}],"schema":"https://github.com/citation-style-language/schema/raw/master/csl-citation.json"} </w:instrText>
      </w:r>
      <w:r w:rsidRPr="00D41FC5">
        <w:rPr>
          <w:rFonts w:cs="Times New Roman"/>
          <w:szCs w:val="21"/>
        </w:rPr>
        <w:fldChar w:fldCharType="separate"/>
      </w:r>
      <w:r w:rsidR="00EF04EC" w:rsidRPr="00D41FC5">
        <w:rPr>
          <w:rFonts w:cs="Times New Roman"/>
        </w:rPr>
        <w:t>[33,34]</w:t>
      </w:r>
      <w:r w:rsidRPr="00D41FC5">
        <w:rPr>
          <w:rFonts w:cs="Times New Roman"/>
          <w:szCs w:val="21"/>
        </w:rPr>
        <w:fldChar w:fldCharType="end"/>
      </w:r>
      <w:r w:rsidRPr="00D41FC5">
        <w:rPr>
          <w:rFonts w:cs="Times New Roman"/>
          <w:szCs w:val="21"/>
        </w:rPr>
        <w:t xml:space="preserve">. This principle has been widely utilised in both electromagnetic and piezoelectric energy harvesters. For example, the authors have developed a multi-stable electromagnetic harvester using the nonlinear magnetic force for broadening the response-frequency band and increasing the output energy </w:t>
      </w:r>
      <w:r w:rsidRPr="00D41FC5">
        <w:rPr>
          <w:rFonts w:cs="Times New Roman"/>
          <w:szCs w:val="21"/>
        </w:rPr>
        <w:fldChar w:fldCharType="begin"/>
      </w:r>
      <w:r w:rsidRPr="00D41FC5">
        <w:rPr>
          <w:rFonts w:cs="Times New Roman"/>
          <w:szCs w:val="21"/>
        </w:rPr>
        <w:instrText xml:space="preserve"> ADDIN ZOTERO_ITEM CSL_CITATION {"citationID":"Xot44tbU","properties":{"formattedCitation":"[11]","plainCitation":"[11]","noteIndex":0},"citationItems":[{"id":242,"uris":["http://zotero.org/users/5619602/items/VA952U8C"],"uri":["http://zotero.org/users/5619602/items/VA952U8C"],"itemData":{"id":242,"type":"article-journal","container-title":"IEEE Transactions on Intelligent Transportation Systems","DOI":"10.1109/TITS.2016.2611647","ISSN":"1558-0016","issue":"6","page":"1596-1609","title":"Design and Verification of a Rail-Borne Energy Harvester for Powering Wireless Sensor Networks in the Railway Industry","volume":"18","author":[{"family":"Gao","given":"M."},{"family":"Wang","given":"P."},{"family":"Cao","given":"Y."},{"family":"Chen","given":"R."},{"family":"Cai","given":"D."}],"issued":{"date-parts":[["2017",6]]}}}],"schema":"https://github.com/citation-style-language/schema/raw/master/csl-citation.json"} </w:instrText>
      </w:r>
      <w:r w:rsidRPr="00D41FC5">
        <w:rPr>
          <w:rFonts w:cs="Times New Roman"/>
          <w:szCs w:val="21"/>
        </w:rPr>
        <w:fldChar w:fldCharType="separate"/>
      </w:r>
      <w:r w:rsidRPr="00D41FC5">
        <w:rPr>
          <w:rFonts w:cs="Times New Roman"/>
          <w:szCs w:val="21"/>
        </w:rPr>
        <w:t>[11]</w:t>
      </w:r>
      <w:r w:rsidRPr="00D41FC5">
        <w:rPr>
          <w:rFonts w:cs="Times New Roman"/>
          <w:szCs w:val="21"/>
        </w:rPr>
        <w:fldChar w:fldCharType="end"/>
      </w:r>
      <w:r w:rsidRPr="00D41FC5">
        <w:rPr>
          <w:rFonts w:cs="Times New Roman"/>
          <w:szCs w:val="21"/>
        </w:rPr>
        <w:t>.</w:t>
      </w:r>
    </w:p>
    <w:p w14:paraId="547F3B84" w14:textId="189E1E59" w:rsidR="00A6461A" w:rsidRPr="00D41FC5" w:rsidRDefault="00A6461A" w:rsidP="00A6461A">
      <w:pPr>
        <w:pStyle w:val="IOPText"/>
        <w:rPr>
          <w:rFonts w:cs="Times New Roman"/>
          <w:szCs w:val="21"/>
        </w:rPr>
      </w:pPr>
      <w:r w:rsidRPr="00D41FC5">
        <w:rPr>
          <w:rFonts w:cs="Times New Roman"/>
          <w:szCs w:val="21"/>
        </w:rPr>
        <w:t xml:space="preserve">Different harvesters have different structures, and each configuration has its advantages and suits specific conditions. Among all the structures exploited in designing VEHs, spring-mass like structure </w:t>
      </w:r>
      <w:r w:rsidRPr="00D41FC5">
        <w:rPr>
          <w:rFonts w:cs="Times New Roman"/>
          <w:szCs w:val="21"/>
        </w:rPr>
        <w:fldChar w:fldCharType="begin"/>
      </w:r>
      <w:r w:rsidR="00EF04EC" w:rsidRPr="00D41FC5">
        <w:rPr>
          <w:rFonts w:cs="Times New Roman"/>
          <w:szCs w:val="21"/>
        </w:rPr>
        <w:instrText xml:space="preserve"> ADDIN ZOTERO_ITEM CSL_CITATION {"citationID":"9NXFUD5K","properties":{"formattedCitation":"[35]","plainCitation":"[35]","noteIndex":0},"citationItems":[{"id":253,"uris":["http://zotero.org/users/5619602/items/767NC3FP"],"uri":["http://zotero.org/users/5619602/items/767NC3FP"],"itemData":{"id":253,"type":"article-journal","abstract":"The objective of this study is to present a multi-stable electromagnetic-induction energy harvesting (MEH) system by magnetic levitation oscillation. The MEH system has a non-linear restoring force and a multi-well restoring force potential, offering an improvement upon their linear counterparts by broadening its frequency response. This paper presents the mechanics of the electromagnetic-induction MEH system and describes the multi-stable mechanism by magnetic levitation oscillation. Experimental investigations reveal phenomena of dynamical bifurcation, escape from potential wells, high energy orbits, and chaotic oscillation. Two quad-stable and one tri-stable configurations are experimentally achieved and analyzed by means of phase portraits, Poincaré section, largest Lyapunov exponent, and bifurcation diagram. Algorithm of stroboscopic illustration of bifurcation diagram is elaborated. The results indicate that the electromagnetic-induction MEH system by magnetic levitation oscillation can be utilized to create a multi-well restoring force potential and increase the output current (i.e. electrical load capacity) of energy harvesters.","container-title":"Applied Energy","DOI":"10.1016/j.apenergy.2018.03.170","ISSN":"0306-2619","journalAbbreviation":"Applied Energy","page":"856-875","title":"Experimental investigation of non-linear multi-stable electromagnetic-induction energy harvesting mechanism by magnetic levitation oscillation","volume":"220","author":[{"family":"Gao","given":"Mingyuan"},{"family":"Wang","given":"Yuan"},{"family":"Wang","given":"Yifeng"},{"family":"Wang","given":"Ping"}],"issued":{"date-parts":[["2018"]]}}}],"schema":"https://github.com/citation-style-language/schema/raw/master/csl-citation.json"} </w:instrText>
      </w:r>
      <w:r w:rsidRPr="00D41FC5">
        <w:rPr>
          <w:rFonts w:cs="Times New Roman"/>
          <w:szCs w:val="21"/>
        </w:rPr>
        <w:fldChar w:fldCharType="separate"/>
      </w:r>
      <w:r w:rsidR="00EF04EC" w:rsidRPr="00D41FC5">
        <w:rPr>
          <w:rFonts w:cs="Times New Roman"/>
        </w:rPr>
        <w:t>[35]</w:t>
      </w:r>
      <w:r w:rsidRPr="00D41FC5">
        <w:rPr>
          <w:rFonts w:cs="Times New Roman"/>
          <w:szCs w:val="21"/>
        </w:rPr>
        <w:fldChar w:fldCharType="end"/>
      </w:r>
      <w:r w:rsidRPr="00D41FC5">
        <w:rPr>
          <w:rFonts w:cs="Times New Roman"/>
          <w:szCs w:val="21"/>
        </w:rPr>
        <w:t xml:space="preserve">, cantilever beam </w:t>
      </w:r>
      <w:r w:rsidRPr="00D41FC5">
        <w:rPr>
          <w:rFonts w:cs="Times New Roman"/>
          <w:szCs w:val="21"/>
        </w:rPr>
        <w:fldChar w:fldCharType="begin"/>
      </w:r>
      <w:r w:rsidRPr="00D41FC5">
        <w:rPr>
          <w:rFonts w:cs="Times New Roman"/>
          <w:szCs w:val="21"/>
        </w:rPr>
        <w:instrText xml:space="preserve"> ADDIN ZOTERO_ITEM CSL_CITATION {"citationID":"ABetHXvK","properties":{"formattedCitation":"[10]","plainCitation":"[10]","noteIndex":0},"citationItems":[{"id":234,"uris":["http://zotero.org/users/5619602/items/MQD6XWZH"],"uri":["http://zotero.org/users/5619602/items/MQD6XWZH"],"itemData":{"id":234,"type":"article-journal","abstract":"This article presents theoretical and experimental investigations of a vibration-based energy harvester which is suitable to extract energy from low-frequency, high-amplitude environments. The proposed device consists of a rotating proof mass and eight piezoelectric bimorph beams. A magnet, mounted on the rotating pendulum, actuates the tips of the piezoelectric beams due to magnetic interaction. The free oscillations of the piezoelectric beam generate energy each time the pendulum passes over the beams. Based on energy principles, the nonlinear ordinary differential equations governing the electromechanical behavior of the system are derived and solved numerically. Using the proposed model, the effects of angular velocity of the rotating mass on the generated voltage are investigated. It is shown that the harvester with a relatively high angular velocity generates more voltage than the one with a low angular velocity. The performance of the proposed device in the attractive and the repulsive cases is compared to each other and it is concluded that the generated voltage of the attractive case is more than that of the repulsive case. The overall generated power of the harvester under harmonic external excitations is investigated for various amplitudes and frequencies. Using theoretical model, it is shown that the proposed device can be used for harvesting the out-of-plane vibrational energy. A model of the system has been devised and tested. The obtained experimental results show good qualitative agreements with the theoretical ones.","container-title":"Journal of Intelligent Material Systems and Structures","DOI":"10.1177/1045389X15575088","ISSN":"1045-389X","issue":"5","journalAbbreviation":"Journal of Intelligent Material Systems and Structures","page":"642-665","title":"A vibration-based energy harvester suitable for low-frequency, high-amplitude environments: Theoretical and experimental investigations","volume":"27","author":[{"family":"Ramezanpour","given":"Reza"},{"family":"Nahvi","given":"Hassan"},{"family":"Ziaei-Rad","given":"Saeed"}],"issued":{"date-parts":[["2015"]]}}}],"schema":"https://github.com/citation-style-language/schema/raw/master/csl-citation.json"} </w:instrText>
      </w:r>
      <w:r w:rsidRPr="00D41FC5">
        <w:rPr>
          <w:rFonts w:cs="Times New Roman"/>
          <w:szCs w:val="21"/>
        </w:rPr>
        <w:fldChar w:fldCharType="separate"/>
      </w:r>
      <w:r w:rsidRPr="00D41FC5">
        <w:rPr>
          <w:rFonts w:cs="Times New Roman"/>
          <w:szCs w:val="21"/>
        </w:rPr>
        <w:t>[10]</w:t>
      </w:r>
      <w:r w:rsidRPr="00D41FC5">
        <w:rPr>
          <w:rFonts w:cs="Times New Roman"/>
          <w:szCs w:val="21"/>
        </w:rPr>
        <w:fldChar w:fldCharType="end"/>
      </w:r>
      <w:r w:rsidRPr="00D41FC5">
        <w:rPr>
          <w:rFonts w:cs="Times New Roman"/>
          <w:szCs w:val="21"/>
        </w:rPr>
        <w:t xml:space="preserve">, and pendulum </w:t>
      </w:r>
      <w:r w:rsidRPr="00D41FC5">
        <w:rPr>
          <w:rFonts w:cs="Times New Roman"/>
          <w:szCs w:val="21"/>
        </w:rPr>
        <w:fldChar w:fldCharType="begin"/>
      </w:r>
      <w:r w:rsidR="00EF04EC" w:rsidRPr="00D41FC5">
        <w:rPr>
          <w:rFonts w:cs="Times New Roman"/>
          <w:szCs w:val="21"/>
        </w:rPr>
        <w:instrText xml:space="preserve"> ADDIN ZOTERO_ITEM CSL_CITATION {"citationID":"MEeOoIOf","properties":{"formattedCitation":"[32]","plainCitation":"[32]","noteIndex":0},"citationItems":[{"id":244,"uris":["http://zotero.org/users/5619602/items/5N87VZVK"],"uri":["http://zotero.org/users/5619602/items/5N87VZVK"],"itemData":{"id":244,"type":"article-journal","container-title":"Mechanical Systems and Signal Processing","page":"49–64","title":"Energy harvesting from chaos in base excited double pendulum","volume":"124","author":[{"family":"Kumar","given":"Rahul"},{"family":"Gupta","given":"Sayan"},{"family":"Ali","given":"Shaikh Faruque"}],"issued":{"date-parts":[["2019"]]}}}],"schema":"https://github.com/citation-style-language/schema/raw/master/csl-citation.json"} </w:instrText>
      </w:r>
      <w:r w:rsidRPr="00D41FC5">
        <w:rPr>
          <w:rFonts w:cs="Times New Roman"/>
          <w:szCs w:val="21"/>
        </w:rPr>
        <w:fldChar w:fldCharType="separate"/>
      </w:r>
      <w:r w:rsidR="00EF04EC" w:rsidRPr="00D41FC5">
        <w:rPr>
          <w:rFonts w:cs="Times New Roman"/>
        </w:rPr>
        <w:t>[32]</w:t>
      </w:r>
      <w:r w:rsidRPr="00D41FC5">
        <w:rPr>
          <w:rFonts w:cs="Times New Roman"/>
          <w:szCs w:val="21"/>
        </w:rPr>
        <w:fldChar w:fldCharType="end"/>
      </w:r>
      <w:r w:rsidRPr="00D41FC5">
        <w:rPr>
          <w:rFonts w:cs="Times New Roman"/>
          <w:szCs w:val="21"/>
        </w:rPr>
        <w:t xml:space="preserve"> are very popular. For spring-mass systems, energy </w:t>
      </w:r>
      <w:proofErr w:type="gramStart"/>
      <w:r w:rsidRPr="00D41FC5">
        <w:rPr>
          <w:rFonts w:cs="Times New Roman"/>
          <w:szCs w:val="21"/>
        </w:rPr>
        <w:t>can be scavenged</w:t>
      </w:r>
      <w:proofErr w:type="gramEnd"/>
      <w:r w:rsidRPr="00D41FC5">
        <w:rPr>
          <w:rFonts w:cs="Times New Roman"/>
          <w:szCs w:val="21"/>
        </w:rPr>
        <w:t xml:space="preserve"> from the </w:t>
      </w:r>
      <w:bookmarkStart w:id="4" w:name="_Hlk38201455"/>
      <w:r w:rsidRPr="00D41FC5">
        <w:rPr>
          <w:rFonts w:cs="Times New Roman"/>
          <w:szCs w:val="21"/>
        </w:rPr>
        <w:t>reciprocating motion</w:t>
      </w:r>
      <w:bookmarkEnd w:id="4"/>
      <w:r w:rsidRPr="00D41FC5">
        <w:rPr>
          <w:rFonts w:cs="Times New Roman"/>
          <w:szCs w:val="21"/>
        </w:rPr>
        <w:t xml:space="preserve"> of the mass under operational conditions. Such systems usually work well at resonance, but the introduction of nonlinear restoring force can broaden the bandwidth of resonant frequency. </w:t>
      </w:r>
      <w:r w:rsidR="00F37A3C" w:rsidRPr="00D41FC5">
        <w:rPr>
          <w:rFonts w:cs="Times New Roman" w:hint="eastAsia"/>
          <w:szCs w:val="21"/>
          <w:lang w:eastAsia="zh-CN"/>
        </w:rPr>
        <w:t>S</w:t>
      </w:r>
      <w:r w:rsidRPr="00D41FC5">
        <w:rPr>
          <w:rFonts w:cs="Times New Roman"/>
          <w:szCs w:val="21"/>
        </w:rPr>
        <w:t xml:space="preserve">pring-mass </w:t>
      </w:r>
      <w:proofErr w:type="gramStart"/>
      <w:r w:rsidRPr="00D41FC5">
        <w:rPr>
          <w:rFonts w:cs="Times New Roman"/>
          <w:szCs w:val="21"/>
        </w:rPr>
        <w:t>like</w:t>
      </w:r>
      <w:proofErr w:type="gramEnd"/>
      <w:r w:rsidRPr="00D41FC5">
        <w:rPr>
          <w:rFonts w:cs="Times New Roman"/>
          <w:szCs w:val="21"/>
        </w:rPr>
        <w:t xml:space="preserve"> structures are common in electromagnetic harvesters.</w:t>
      </w:r>
    </w:p>
    <w:p w14:paraId="301B252D" w14:textId="1EC36B00" w:rsidR="00A6461A" w:rsidRPr="00D41FC5" w:rsidRDefault="00A6461A" w:rsidP="00A6461A">
      <w:pPr>
        <w:pStyle w:val="IOPText"/>
        <w:rPr>
          <w:rFonts w:cs="Times New Roman"/>
          <w:szCs w:val="21"/>
        </w:rPr>
      </w:pPr>
      <w:r w:rsidRPr="00D41FC5">
        <w:rPr>
          <w:rFonts w:cs="Times New Roman"/>
          <w:szCs w:val="21"/>
        </w:rPr>
        <w:t xml:space="preserve">Compared with a spring-mass structure, a cantilever beam is more common in both electromagnetic </w:t>
      </w:r>
      <w:r w:rsidRPr="00D41FC5">
        <w:rPr>
          <w:rFonts w:cs="Times New Roman"/>
          <w:szCs w:val="21"/>
        </w:rPr>
        <w:fldChar w:fldCharType="begin"/>
      </w:r>
      <w:r w:rsidR="00EF04EC" w:rsidRPr="00D41FC5">
        <w:rPr>
          <w:rFonts w:cs="Times New Roman"/>
          <w:szCs w:val="21"/>
        </w:rPr>
        <w:instrText xml:space="preserve"> ADDIN ZOTERO_ITEM CSL_CITATION {"citationID":"HumKlqz9","properties":{"formattedCitation":"[36]","plainCitation":"[36]","noteIndex":0},"citationItems":[{"id":280,"uris":["http://zotero.org/users/5619602/items/5ZW3YBFP"],"uri":["http://zotero.org/users/5619602/items/5ZW3YBFP"],"itemData":{"id":280,"type":"paper-conference","abstract":"In this paper we present a nonlinear electromagnetic energy harvesting device that has a broadly resonant response. The nonlinearity is generated by a particular arrangement of magnets in conjunction with an iron-cored stator. We show the resonant response of the system to both pure-tone excitation and narrow-band random excitation. In addition to the primary resonance, the super-harmonic resonances of the harvester are also investigated and we show that the corresponding mechanical up-conversion of the excitation frequency may be useful for energy harvesting. The harvester is modeled using a Duffing-type equation and the results compared to the experimental data.","container-title":"IDETC-CIE2009","DOI":"10.1115/DETC2009-86841","event-place":"Volume 1: 22nd Biennial Conference on Mechanical Vibration and Noise, Parts A and B","ISBN":"978-0-7918-4898-2","page":"427-436","publisher-place":"Volume 1: 22nd Biennial Conference on Mechanical Vibration and Noise, Parts A and B","title":"Energy Harvesting From Vibrations With a Nonlinear Oscillator","URL":"https://doi.org/10.1115/DETC2009-86841","author":[{"family":"Barton","given":"David A. W."},{"family":"Burrow","given":"Stephen G."},{"family":"Clare","given":"Lindsay R."}],"accessed":{"date-parts":[["2020",4,19]]},"issued":{"date-parts":[["2009"]]}},"label":"page"}],"schema":"https://github.com/citation-style-language/schema/raw/master/csl-citation.json"} </w:instrText>
      </w:r>
      <w:r w:rsidRPr="00D41FC5">
        <w:rPr>
          <w:rFonts w:cs="Times New Roman"/>
          <w:szCs w:val="21"/>
        </w:rPr>
        <w:fldChar w:fldCharType="separate"/>
      </w:r>
      <w:r w:rsidR="00EF04EC" w:rsidRPr="00D41FC5">
        <w:rPr>
          <w:rFonts w:cs="Times New Roman"/>
        </w:rPr>
        <w:t>[36]</w:t>
      </w:r>
      <w:r w:rsidRPr="00D41FC5">
        <w:rPr>
          <w:rFonts w:cs="Times New Roman"/>
          <w:szCs w:val="21"/>
        </w:rPr>
        <w:fldChar w:fldCharType="end"/>
      </w:r>
      <w:r w:rsidRPr="00D41FC5">
        <w:rPr>
          <w:rFonts w:cs="Times New Roman"/>
          <w:szCs w:val="21"/>
        </w:rPr>
        <w:t xml:space="preserve"> and piezoelectric </w:t>
      </w:r>
      <w:r w:rsidRPr="00D41FC5">
        <w:rPr>
          <w:rFonts w:cs="Times New Roman"/>
          <w:szCs w:val="21"/>
        </w:rPr>
        <w:fldChar w:fldCharType="begin"/>
      </w:r>
      <w:r w:rsidRPr="00D41FC5">
        <w:rPr>
          <w:rFonts w:cs="Times New Roman"/>
          <w:szCs w:val="21"/>
        </w:rPr>
        <w:instrText xml:space="preserve"> ADDIN ZOTERO_ITEM CSL_CITATION {"citationID":"1vMVPWh8","properties":{"formattedCitation":"[18]","plainCitation":"[18]","noteIndex":0},"citationItems":[{"id":263,"uris":["http://zotero.org/users/5619602/items/DY3TXLHW"],"uri":["http://zotero.org/users/5619602/items/DY3TXLHW"],"itemData":{"id":263,"type":"article-journal","container-title":"Journal of Applied Physics","DOI":"10.1063/1.3457330","ISSN":"0021-8979","issue":"1","journalAbbreviation":"Journal of Applied Physics","note":"publisher: American Institute of Physics","page":"014901","title":"Sensor shape design for piezoelectric cantilever beams to harvest vibration energy","volume":"108","author":[{"family":"Friswell","given":"Michael I."},{"family":"Adhikari","given":"Sondipon"}],"issued":{"date-parts":[["2010"]]}}}],"schema":"https://github.com/citation-style-language/schema/raw/master/csl-citation.json"} </w:instrText>
      </w:r>
      <w:r w:rsidRPr="00D41FC5">
        <w:rPr>
          <w:rFonts w:cs="Times New Roman"/>
          <w:szCs w:val="21"/>
        </w:rPr>
        <w:fldChar w:fldCharType="separate"/>
      </w:r>
      <w:r w:rsidRPr="00D41FC5">
        <w:rPr>
          <w:rFonts w:cs="Times New Roman"/>
          <w:szCs w:val="21"/>
        </w:rPr>
        <w:t>[18]</w:t>
      </w:r>
      <w:r w:rsidRPr="00D41FC5">
        <w:rPr>
          <w:rFonts w:cs="Times New Roman"/>
          <w:szCs w:val="21"/>
        </w:rPr>
        <w:fldChar w:fldCharType="end"/>
      </w:r>
      <w:r w:rsidRPr="00D41FC5">
        <w:rPr>
          <w:rFonts w:cs="Times New Roman"/>
          <w:szCs w:val="21"/>
        </w:rPr>
        <w:t xml:space="preserve"> VEHs because of its </w:t>
      </w:r>
      <w:r w:rsidR="00D05AAC" w:rsidRPr="00D41FC5">
        <w:rPr>
          <w:rFonts w:cs="Times New Roman"/>
          <w:szCs w:val="21"/>
        </w:rPr>
        <w:t>more straightforward</w:t>
      </w:r>
      <w:r w:rsidRPr="00D41FC5">
        <w:rPr>
          <w:rFonts w:cs="Times New Roman"/>
          <w:szCs w:val="21"/>
        </w:rPr>
        <w:t xml:space="preserve"> structure. A cantilever-beam structure having no movable components makes it easier to fabricate. Under the action of external excitation, </w:t>
      </w:r>
      <w:proofErr w:type="gramStart"/>
      <w:r w:rsidRPr="00D41FC5">
        <w:rPr>
          <w:rFonts w:cs="Times New Roman"/>
          <w:szCs w:val="21"/>
        </w:rPr>
        <w:t>stress and strain</w:t>
      </w:r>
      <w:proofErr w:type="gramEnd"/>
      <w:r w:rsidRPr="00D41FC5">
        <w:rPr>
          <w:rFonts w:cs="Times New Roman"/>
          <w:szCs w:val="21"/>
        </w:rPr>
        <w:t xml:space="preserve"> are generated inside the beam. Electricity </w:t>
      </w:r>
      <w:proofErr w:type="gramStart"/>
      <w:r w:rsidRPr="00D41FC5">
        <w:rPr>
          <w:rFonts w:cs="Times New Roman"/>
          <w:szCs w:val="21"/>
        </w:rPr>
        <w:t>is generated</w:t>
      </w:r>
      <w:proofErr w:type="gramEnd"/>
      <w:r w:rsidRPr="00D41FC5">
        <w:rPr>
          <w:rFonts w:cs="Times New Roman"/>
          <w:szCs w:val="21"/>
        </w:rPr>
        <w:t xml:space="preserve"> via the strain of a cantilever beam in piezoelectric VEHs, and via the displacement at the free end of a beam in electromagnetic VEHs. </w:t>
      </w:r>
    </w:p>
    <w:p w14:paraId="1C6DEA3E" w14:textId="57B122E3" w:rsidR="00A6461A" w:rsidRPr="00D41FC5" w:rsidRDefault="00A6461A" w:rsidP="00A6461A">
      <w:pPr>
        <w:pStyle w:val="IOPText"/>
        <w:rPr>
          <w:rFonts w:cs="Times New Roman"/>
          <w:szCs w:val="21"/>
        </w:rPr>
      </w:pPr>
      <w:r w:rsidRPr="00D41FC5">
        <w:rPr>
          <w:rFonts w:cs="Times New Roman"/>
          <w:szCs w:val="21"/>
        </w:rPr>
        <w:t xml:space="preserve">Although the advantages of a cantilever-beam structure are outstanding, some of its limitations </w:t>
      </w:r>
      <w:proofErr w:type="gramStart"/>
      <w:r w:rsidRPr="00D41FC5">
        <w:rPr>
          <w:rFonts w:cs="Times New Roman"/>
          <w:szCs w:val="21"/>
        </w:rPr>
        <w:t>must not be overlooked</w:t>
      </w:r>
      <w:proofErr w:type="gramEnd"/>
      <w:r w:rsidRPr="00D41FC5">
        <w:rPr>
          <w:rFonts w:cs="Times New Roman"/>
          <w:szCs w:val="21"/>
        </w:rPr>
        <w:t xml:space="preserve">. Cantilever structures are prone to damage due to stress concentration at the fixed end of the beam. Besides, tip mass or other accessories </w:t>
      </w:r>
      <w:proofErr w:type="gramStart"/>
      <w:r w:rsidRPr="00D41FC5">
        <w:rPr>
          <w:rFonts w:cs="Times New Roman"/>
          <w:szCs w:val="21"/>
        </w:rPr>
        <w:t>are needed</w:t>
      </w:r>
      <w:proofErr w:type="gramEnd"/>
      <w:r w:rsidRPr="00D41FC5">
        <w:rPr>
          <w:rFonts w:cs="Times New Roman"/>
          <w:szCs w:val="21"/>
        </w:rPr>
        <w:t xml:space="preserve"> to enrich the dynamic behaviours of the system. A pendulum, having a simple design principle, can exhibit complex dynamic behaviours. Pendulum-based VEHs can change from a linear to a nonlinear system automatically with the increase of excitation levels. This feature allows a pendulum-based VEH to adapt to more complex excitation conditions. Consequently, a pendulum-based structure is also common in the design of VEHs </w:t>
      </w:r>
      <w:r w:rsidRPr="00D41FC5">
        <w:rPr>
          <w:rFonts w:cs="Times New Roman"/>
          <w:szCs w:val="21"/>
        </w:rPr>
        <w:fldChar w:fldCharType="begin"/>
      </w:r>
      <w:r w:rsidR="00EF04EC" w:rsidRPr="00D41FC5">
        <w:rPr>
          <w:rFonts w:cs="Times New Roman"/>
          <w:szCs w:val="21"/>
        </w:rPr>
        <w:instrText xml:space="preserve"> ADDIN ZOTERO_ITEM CSL_CITATION {"citationID":"X0JDZwXq","properties":{"formattedCitation":"[1,12,37,38]","plainCitation":"[1,12,37,38]","noteIndex":0},"citationItems":[{"id":240,"uris":["http://zotero.org/users/5619602/items/LVU9YDKY"],"uri":["http://zotero.org/users/5619602/items/LVU9YDKY"],"itemData":{"id":240,"type":"article-journal","container-title":"Applied energy","page":"600–614","title":"A piezoelectric spring pendulum oscillator used for multi-directional and ultra-low frequency vibration energy harvesting","volume":"231","author":[{"family":"Wu","given":"Yipeng"},{"family":"Qiu","given":"Jinhao"},{"family":"Zhou","given":"Shengpeng"},{"family":"Ji","given":"Hongli"},{"family":"Chen","given":"Yang"},{"family":"Li","given":"Sen"}],"issued":{"date-parts":[["2018"]]}},"label":"page"},{"id":245,"uris":["http://zotero.org/users/5619602/items/68VNQCEE"],"uri":["http://zotero.org/users/5619602/items/68VNQCEE"],"itemData":{"id":245,"type":"article-journal","container-title":"MATEC Web Conf.","DOI":"10.1051/matecconf/201821105008","title":"Analysis of pendulums coupled by torsional springs for energy harvesting","URL":"https://doi.org/10.1051/matecconf/201821105008","volume":"211","author":[{"family":"Malaji","given":"P V"},{"family":"Doddi","given":"Suresh"},{"family":"Friswell","given":"Michael I."},{"family":"Adhikari","given":"Sondipon"}],"issued":{"date-parts":[["2018"]]}},"label":"page"},{"id":243,"uris":["http://zotero.org/users/5619602/items/TL22XR2M"],"uri":["http://zotero.org/users/5619602/items/TL22XR2M"],"itemData":{"id":243,"type":"article-journal","container-title":"The European Physical Journal Special Topics","issue":"14-15","page":"2823–2838","title":"Analysis of energy harvesting from multiple pendulums with and without mechanical coupling","volume":"224","author":[{"family":"Malaji","given":"PV"},{"family":"Ali","given":"SF"}],"issued":{"date-parts":[["2015"]]}},"label":"page"},{"id":228,"uris":["http://zotero.org/users/5619602/items/HY6H8W72"],"uri":["http://zotero.org/users/5619602/items/HY6H8W72"],"itemData":{"id":228,"type":"article-journal","abstract":"In this work we analyse the possibility of energy harvesting from the vibration of the environment. The investigations are performed using experimental rig, which consists of a parametrically forced pendulum and an energy harvester, and the mathematical model developed based on the experimental rig. Numerical studies focus on the oscillating motion of pendulum in 2:1 resonance and show good agreement with experimental results. We present that the energy harvesting is possible and is more efficient for shorter reduced length of the pendulum, as proved numerically and experimentally.","container-title":"International Journal of Non-Linear Mechanics","DOI":"https://doi.org/10.1016/j.ijnonlinmec.2017.03.022","ISSN":"0020-7462","page":"251 - 256","title":"Energy harvesting from pendulum oscillations","volume":"94","author":[{"family":"Marszal","given":"Michał"},{"family":"Witkowski","given":"Błażej"},{"family":"Jankowski","given":"Krzysztof"},{"family":"Perlikowski","given":"Przemysław"},{"family":"Kapitaniak","given":"Tomasz"}],"issued":{"date-parts":[["2017"]]}},"label":"page"}],"schema":"https://github.com/citation-style-language/schema/raw/master/csl-citation.json"} </w:instrText>
      </w:r>
      <w:r w:rsidRPr="00D41FC5">
        <w:rPr>
          <w:rFonts w:cs="Times New Roman"/>
          <w:szCs w:val="21"/>
        </w:rPr>
        <w:fldChar w:fldCharType="separate"/>
      </w:r>
      <w:r w:rsidR="00EF04EC" w:rsidRPr="00D41FC5">
        <w:rPr>
          <w:rFonts w:cs="Times New Roman"/>
        </w:rPr>
        <w:t>[1,12,37,38]</w:t>
      </w:r>
      <w:r w:rsidRPr="00D41FC5">
        <w:rPr>
          <w:rFonts w:cs="Times New Roman"/>
          <w:szCs w:val="21"/>
        </w:rPr>
        <w:fldChar w:fldCharType="end"/>
      </w:r>
      <w:r w:rsidRPr="00D41FC5">
        <w:rPr>
          <w:rFonts w:cs="Times New Roman"/>
          <w:szCs w:val="21"/>
        </w:rPr>
        <w:t xml:space="preserve">. Sometimes, a combination of different structures performs better by taking advantages of each structure </w:t>
      </w:r>
      <w:r w:rsidRPr="00D41FC5">
        <w:rPr>
          <w:rFonts w:cs="Times New Roman"/>
          <w:szCs w:val="21"/>
        </w:rPr>
        <w:fldChar w:fldCharType="begin"/>
      </w:r>
      <w:r w:rsidR="00EF04EC" w:rsidRPr="00D41FC5">
        <w:rPr>
          <w:rFonts w:cs="Times New Roman"/>
          <w:szCs w:val="21"/>
        </w:rPr>
        <w:instrText xml:space="preserve"> ADDIN ZOTERO_ITEM CSL_CITATION {"citationID":"JahEJ8J3","properties":{"formattedCitation":"[39]","plainCitation":"[39]","noteIndex":0},"citationItems":[{"id":309,"uris":["http://zotero.org/users/5619602/items/72YCVMS3"],"uri":["http://zotero.org/users/5619602/items/72YCVMS3"],"itemData":{"id":309,"type":"article-journal","container-title":"Applied Physics Letters","issue":"19","note":"publisher: AIP Publishing LLC","page":"193901","title":"A double-beam piezo-magneto-elastic wind energy harvester for improving the galloping-based energy harvesting","volume":"115","author":[{"family":"Yang","given":"Kai"},{"family":"Wang","given":"Junlei"},{"family":"Yurchenko","given":"Daniil"}],"issued":{"date-parts":[["2019"]]}}}],"schema":"https://github.com/citation-style-language/schema/raw/master/csl-citation.json"} </w:instrText>
      </w:r>
      <w:r w:rsidRPr="00D41FC5">
        <w:rPr>
          <w:rFonts w:cs="Times New Roman"/>
          <w:szCs w:val="21"/>
        </w:rPr>
        <w:fldChar w:fldCharType="separate"/>
      </w:r>
      <w:r w:rsidR="00EF04EC" w:rsidRPr="00D41FC5">
        <w:rPr>
          <w:rFonts w:cs="Times New Roman"/>
        </w:rPr>
        <w:t>[39]</w:t>
      </w:r>
      <w:r w:rsidRPr="00D41FC5">
        <w:rPr>
          <w:rFonts w:cs="Times New Roman"/>
          <w:szCs w:val="21"/>
        </w:rPr>
        <w:fldChar w:fldCharType="end"/>
      </w:r>
      <w:r w:rsidRPr="00D41FC5">
        <w:rPr>
          <w:rFonts w:cs="Times New Roman"/>
          <w:szCs w:val="21"/>
        </w:rPr>
        <w:t>.</w:t>
      </w:r>
    </w:p>
    <w:p w14:paraId="41943262" w14:textId="74C198EE" w:rsidR="00F37A3C" w:rsidRPr="00D41FC5" w:rsidRDefault="00300DCA" w:rsidP="005357A7">
      <w:pPr>
        <w:pStyle w:val="IOPText"/>
        <w:rPr>
          <w:rFonts w:cs="Times New Roman"/>
          <w:szCs w:val="21"/>
        </w:rPr>
      </w:pPr>
      <w:bookmarkStart w:id="5" w:name="_Hlk44704851"/>
      <w:bookmarkStart w:id="6" w:name="_Hlk44822967"/>
      <w:r w:rsidRPr="00D41FC5">
        <w:rPr>
          <w:rFonts w:cs="Times New Roman"/>
        </w:rPr>
        <w:t xml:space="preserve">Recently, some studies on bi-stable rotational energy harvesters </w:t>
      </w:r>
      <w:proofErr w:type="gramStart"/>
      <w:r w:rsidRPr="00D41FC5">
        <w:rPr>
          <w:rFonts w:cs="Times New Roman"/>
        </w:rPr>
        <w:t>have been reported</w:t>
      </w:r>
      <w:proofErr w:type="gramEnd"/>
      <w:r w:rsidRPr="00D41FC5">
        <w:rPr>
          <w:rFonts w:cs="Times New Roman"/>
        </w:rPr>
        <w:t>. For instance, Han et al.</w:t>
      </w:r>
      <w:r w:rsidR="00F04957" w:rsidRPr="00D41FC5">
        <w:rPr>
          <w:rFonts w:cs="Times New Roman"/>
        </w:rPr>
        <w:t xml:space="preserve"> </w:t>
      </w:r>
      <w:r w:rsidR="00F37A3C" w:rsidRPr="00D41FC5">
        <w:rPr>
          <w:rFonts w:cs="Times New Roman"/>
          <w:szCs w:val="21"/>
          <w:lang w:eastAsia="zh-CN"/>
        </w:rPr>
        <w:fldChar w:fldCharType="begin"/>
      </w:r>
      <w:r w:rsidR="00F37A3C" w:rsidRPr="00D41FC5">
        <w:rPr>
          <w:rFonts w:cs="Times New Roman"/>
          <w:szCs w:val="21"/>
          <w:lang w:eastAsia="zh-CN"/>
        </w:rPr>
        <w:instrText xml:space="preserve"> ADDIN ZOTERO_ITEM CSL_CITATION {"citationID":"kb0Wd7D3","properties":{"formattedCitation":"[40]","plainCitation":"[40]","noteIndex":0},"citationItems":[{"id":361,"uris":["http://zotero.org/users/5619602/items/YJSA2HTB"],"uri":["http://zotero.org/users/5619602/items/YJSA2HTB"],"itemData":{"id":361,"type":"article-journal","abstract":"In this paper, we propose a parametrically excited pendulum with irrational nonlinearity which comprises a simple pendulum linked by a linear spring under base excitation. This parametric vibration system exhibits bistable state and discontinuous characteristics due to the geometry configuration. For small oscillations, this system can be described by Mathieu equation coupled with SD (Smooth and Discontinuous) oscillator whose dynamic response is examined analytically by using the averaging method in both smooth and discontinuous case. Numerical simulations are carried out to demonstrate the complicated dynamic behavior of multiple periodic motions and different types of chaotic motions.","container-title":"International Journal of Non-Linear Mechanics","DOI":"10.1016/j.ijnonlinmec.2016.10.018","ISSN":"0020-7462","journalAbbreviation":"International Journal of Non-Linear Mechanics","page":"122-134","title":"A parametrically excited pendulum with irrational nonlinearity","volume":"88","author":[{"family":"Han","given":"Ning"},{"family":"Cao","given":"Qingjie"}],"issued":{"date-parts":[["2017"]]}}}],"schema":"https://github.com/citation-style-language/schema/raw/master/csl-citation.json"} </w:instrText>
      </w:r>
      <w:r w:rsidR="00F37A3C" w:rsidRPr="00D41FC5">
        <w:rPr>
          <w:rFonts w:cs="Times New Roman"/>
          <w:szCs w:val="21"/>
          <w:lang w:eastAsia="zh-CN"/>
        </w:rPr>
        <w:fldChar w:fldCharType="separate"/>
      </w:r>
      <w:r w:rsidR="00F37A3C" w:rsidRPr="00D41FC5">
        <w:rPr>
          <w:rFonts w:cs="Times New Roman"/>
          <w:szCs w:val="21"/>
          <w:lang w:eastAsia="zh-CN"/>
        </w:rPr>
        <w:t>[40]</w:t>
      </w:r>
      <w:r w:rsidR="00F37A3C" w:rsidRPr="00D41FC5">
        <w:rPr>
          <w:rFonts w:cs="Times New Roman"/>
          <w:szCs w:val="21"/>
          <w:lang w:eastAsia="zh-CN"/>
        </w:rPr>
        <w:fldChar w:fldCharType="end"/>
      </w:r>
      <w:r w:rsidR="00F37A3C" w:rsidRPr="00D41FC5">
        <w:rPr>
          <w:rFonts w:cs="Times New Roman"/>
          <w:szCs w:val="21"/>
          <w:lang w:eastAsia="zh-CN"/>
        </w:rPr>
        <w:t xml:space="preserve"> </w:t>
      </w:r>
      <w:r w:rsidRPr="00D41FC5">
        <w:rPr>
          <w:rFonts w:cs="Times New Roman"/>
        </w:rPr>
        <w:t xml:space="preserve">proposed a bi-stable structure which comprised a simple pendulum linked with a linear spring. The nonlinearity of this system mainly came from the large angular displacement of the pendulum. Some other studies made use of a magnetic </w:t>
      </w:r>
      <w:r w:rsidRPr="00D41FC5">
        <w:rPr>
          <w:rFonts w:cs="Times New Roman"/>
        </w:rPr>
        <w:lastRenderedPageBreak/>
        <w:t xml:space="preserve">force to provide nonlinearity to bi-stable energy harvesting systems </w:t>
      </w:r>
      <w:r w:rsidR="00F37A3C" w:rsidRPr="00D41FC5">
        <w:rPr>
          <w:rFonts w:cs="Times New Roman"/>
          <w:szCs w:val="24"/>
        </w:rPr>
        <w:fldChar w:fldCharType="begin"/>
      </w:r>
      <w:r w:rsidR="00F37A3C" w:rsidRPr="00D41FC5">
        <w:rPr>
          <w:rFonts w:cs="Times New Roman"/>
          <w:szCs w:val="24"/>
        </w:rPr>
        <w:instrText xml:space="preserve"> ADDIN ZOTERO_ITEM CSL_CITATION {"citationID":"q4GDbgXk","properties":{"formattedCitation":"[41\\uc0\\u8211{}43]","plainCitation":"[41–43]","noteIndex":0},"citationItems":[{"id":367,"uris":["http://zotero.org/users/5619602/items/QKSWG5TI"],"uri":["http://zotero.org/users/5619602/items/QKSWG5TI"],"itemData":{"id":367,"type":"article-journal","abstract":"Kinetic energy harvesting has drawn great attention in the past decade, but low-frequency and broadband operation is still a big issue which impedes this technology to be widely deployed in low-power Internet of Things applications. In this paper, theoretical modelling and experimental validation of a rotational harvester with bi-stability and frequency up-conversion is presented for harnessing low-frequency kinetic energy with a wide bandwidth. Piezoelectric transduction was adopted to convert the rotational kinetic energy into electricity. Distributed-parameter modelling was employed for analyzing the electromechanical dynamics of the bistable piezoelectric beam. Bistable and frequency up-converting behaviours were considered in the theoretical model by introducing two external input magnetic forces. Different oscillating modes were analyzed, showing the variation of power generation capability under different modes, and the advantage of operating in the periodic double-well mode. From the potential well study, we got a conclusion that for the same input magnetic force, periodic double-well mode is capable of achieving a larger vibration amplitude compared to a harvester without bi-stability. Asymmetric potential well shapes were investigated. This asymmetric shape provides a way to stabilize the initiation position of the beam for each plucking cycle, and eventually to stabilized the output. Key design factors to control the oscillating modes were studied, providing a guideline for future design. An experimental study was conducted to verify the theoretical results. A close match was achieved. This bistable harvester demonstrated a significant improvement (up to 2×) compared to a harvester without bi-stability over a wide bandwidth (from 1 to 11 Hz) at low frequencies, when operating in the periodic double-well mode. This paper presents a detailed theoretical model and in-depth analysis of a bistable frequency up-converting harvester, providing a fundamental understanding and guidance for low-frequency broadband energy harvester design.","container-title":"Exploring nonlinear benefits in engineering","DOI":"10.1016/j.ymssp.2018.04.043","ISSN":"0888-3270","journalAbbreviation":"Mechanical Systems and Signal Processing","page":"229-244","title":"Rotational energy harvesting using bi-stability and frequency up-conversion for low-power sensing applications: Theoretical modelling and experimental validation","volume":"125","author":[{"family":"Fu","given":"Hailing"},{"family":"Yeatman","given":"Eric M."}],"issued":{"date-parts":[["2019"]]}},"label":"page"},{"id":364,"uris":["http://zotero.org/users/5619602/items/GBGVEAR7"],"uri":["http://zotero.org/users/5619602/items/GBGVEAR7"],"itemData":{"id":364,"type":"article-journal","container-title":"Applied Physics Letters","DOI":"10.1063/1.4932947","ISSN":"0003-6951","issue":"14","journalAbbreviation":"Appl. Phys. Lett.","note":"publisher: American Institute of Physics","page":"143904","title":"Nonlinear time-varying potential bistable energy harvesting from human motion","volume":"107","author":[{"family":"Cao","given":"Junyi"},{"family":"Wang","given":"Wei"},{"family":"Zhou","given":"Shengxi"},{"family":"Inman","given":"Daniel J."},{"family":"Lin","given":"Jing"}],"issued":{"date-parts":[["2015"]]}},"label":"page"},{"id":363,"uris":["http://zotero.org/users/5619602/items/QAV8GVGQ"],"uri":["http://zotero.org/users/5619602/items/QAV8GVGQ"],"itemData":{"id":363,"type":"article-journal","abstract":"Many common environmental vibration sources exhibit low and broad frequency spectra. In order to exploit such excitations, energy harvesting architectures utilizing nonlinearity, especially bistability, have been extensively explored as a promising energy source for self-powered small-scale electric devices. For such devices, the energetic interwell oscillations between their stable equilibria can provide enhanced power harvesting capability over a wider bandwidth compared to the linear counterpart. Yet, one of the limitations of these nonlinear architectures is that the interwell oscillation regime may not be readily activated for low excitation level that is not sufficient to overcome the potential energy barrier, thus resulting in low amplitude intrawell response, which provides poor energy harvesting performance. This research investigates a multi-degree of freedom (MDOF) vibration energy harvesting system that leverages magnetically coupled bistable and linear harvesters. It presents novel in-depth insights into capitalizing on a passive mechanism that not only facilitates the energetic interwell response for relatively low excitation amplitudes and frequencies than that may be required for conventional bistable harvester by passively and adaptively lowering the potential energy barrier level, but also effectively exploits the redistributed dynamic energy and the rich MDOF dynamic characteristics introduced by the magnetically coupled linear harvester. It is found that in addition to the enhanced power harvesting performance of bistable harvester with adaptive potential, the power captured from the redistributed energy and the higher harmonic resonances introduced by the passive mechanism further increase the energy harvesting performance especially at the lower frequency range. Analytical, numerical, and experimental investigations reveal that strategically incorporating a linear harvester magnetically coupled to a conventional bistable harvester provides an effective and easy to implement means for enhancing broadband energy harvesting performance.","container-title":"Smart Materials and Structures","DOI":"10.1088/1361-665x/ab809a","ISSN":"0964-1726","issue":"6","note":"publisher: IOP Publishing","page":"065006","title":"Vibration energy harvesting enhancement exploiting magnetically coupled bistable and linear harvesters","volume":"29","author":[{"family":"Kim","given":"Jinki"},{"family":"Dorin","given":"Patrick"},{"family":"Wang","given":"K W"}],"issued":{"date-parts":[["2020"]]}},"label":"page"}],"schema":"https://github.com/citation-style-language/schema/raw/master/csl-citation.json"} </w:instrText>
      </w:r>
      <w:r w:rsidR="00F37A3C" w:rsidRPr="00D41FC5">
        <w:rPr>
          <w:rFonts w:cs="Times New Roman"/>
          <w:szCs w:val="24"/>
        </w:rPr>
        <w:fldChar w:fldCharType="separate"/>
      </w:r>
      <w:r w:rsidR="00F37A3C" w:rsidRPr="00D41FC5">
        <w:rPr>
          <w:rFonts w:cs="Times New Roman"/>
          <w:szCs w:val="24"/>
        </w:rPr>
        <w:t>[41–43]</w:t>
      </w:r>
      <w:r w:rsidR="00F37A3C" w:rsidRPr="00D41FC5">
        <w:rPr>
          <w:rFonts w:cs="Times New Roman"/>
          <w:szCs w:val="24"/>
        </w:rPr>
        <w:fldChar w:fldCharType="end"/>
      </w:r>
      <w:r w:rsidR="00F37A3C" w:rsidRPr="00D41FC5">
        <w:rPr>
          <w:rFonts w:cs="Times New Roman"/>
          <w:szCs w:val="21"/>
          <w:lang w:eastAsia="zh-CN"/>
        </w:rPr>
        <w:t>.</w:t>
      </w:r>
      <w:r w:rsidR="006B4042" w:rsidRPr="00D41FC5">
        <w:rPr>
          <w:rFonts w:cs="Times New Roman"/>
          <w:szCs w:val="21"/>
          <w:lang w:eastAsia="zh-CN"/>
        </w:rPr>
        <w:t xml:space="preserve"> </w:t>
      </w:r>
      <w:r w:rsidR="000A6452" w:rsidRPr="00D41FC5">
        <w:rPr>
          <w:rFonts w:cs="Times New Roman"/>
          <w:szCs w:val="21"/>
          <w:lang w:eastAsia="zh-CN"/>
        </w:rPr>
        <w:t>Kim</w:t>
      </w:r>
      <w:r w:rsidR="006B4042" w:rsidRPr="00D41FC5">
        <w:rPr>
          <w:rFonts w:cs="Times New Roman"/>
          <w:szCs w:val="21"/>
          <w:lang w:eastAsia="zh-CN"/>
        </w:rPr>
        <w:t xml:space="preserve"> et al.</w:t>
      </w:r>
      <w:r w:rsidR="005D087C" w:rsidRPr="00D41FC5">
        <w:rPr>
          <w:rFonts w:cs="Times New Roman"/>
          <w:szCs w:val="21"/>
          <w:lang w:eastAsia="zh-CN"/>
        </w:rPr>
        <w:t xml:space="preserve"> </w:t>
      </w:r>
      <w:r w:rsidR="000A6452" w:rsidRPr="00D41FC5">
        <w:rPr>
          <w:rFonts w:cs="Times New Roman"/>
          <w:szCs w:val="21"/>
          <w:lang w:eastAsia="zh-CN"/>
        </w:rPr>
        <w:fldChar w:fldCharType="begin"/>
      </w:r>
      <w:r w:rsidR="000A6452" w:rsidRPr="00D41FC5">
        <w:rPr>
          <w:rFonts w:cs="Times New Roman"/>
          <w:szCs w:val="21"/>
          <w:lang w:eastAsia="zh-CN"/>
        </w:rPr>
        <w:instrText xml:space="preserve"> ADDIN ZOTERO_ITEM CSL_CITATION {"citationID":"sOt8SqtX","properties":{"formattedCitation":"[43]","plainCitation":"[43]","noteIndex":0},"citationItems":[{"id":363,"uris":["http://zotero.org/users/5619602/items/QAV8GVGQ"],"uri":["http://zotero.org/users/5619602/items/QAV8GVGQ"],"itemData":{"id":363,"type":"article-journal","abstract":"Many common environmental vibration sources exhibit low and broad frequency spectra. In order to exploit such excitations, energy harvesting architectures utilizing nonlinearity, especially bistability, have been extensively explored as a promising energy source for self-powered small-scale electric devices. For such devices, the energetic interwell oscillations between their stable equilibria can provide enhanced power harvesting capability over a wider bandwidth compared to the linear counterpart. Yet, one of the limitations of these nonlinear architectures is that the interwell oscillation regime may not be readily activated for low excitation level that is not sufficient to overcome the potential energy barrier, thus resulting in low amplitude intrawell response, which provides poor energy harvesting performance. This research investigates a multi-degree of freedom (MDOF) vibration energy harvesting system that leverages magnetically coupled bistable and linear harvesters. It presents novel in-depth insights into capitalizing on a passive mechanism that not only facilitates the energetic interwell response for relatively low excitation amplitudes and frequencies than that may be required for conventional bistable harvester by passively and adaptively lowering the potential energy barrier level, but also effectively exploits the redistributed dynamic energy and the rich MDOF dynamic characteristics introduced by the magnetically coupled linear harvester. It is found that in addition to the enhanced power harvesting performance of bistable harvester with adaptive potential, the power captured from the redistributed energy and the higher harmonic resonances introduced by the passive mechanism further increase the energy harvesting performance especially at the lower frequency range. Analytical, numerical, and experimental investigations reveal that strategically incorporating a linear harvester magnetically coupled to a conventional bistable harvester provides an effective and easy to implement means for enhancing broadband energy harvesting performance.","container-title":"Smart Materials and Structures","DOI":"10.1088/1361-665x/ab809a","ISSN":"0964-1726","issue":"6","note":"publisher: IOP Publishing","page":"065006","title":"Vibration energy harvesting enhancement exploiting magnetically coupled bistable and linear harvesters","volume":"29","author":[{"family":"Kim","given":"Jinki"},{"family":"Dorin","given":"Patrick"},{"family":"Wang","given":"K W"}],"issued":{"date-parts":[["2020"]]}}}],"schema":"https://github.com/citation-style-language/schema/raw/master/csl-citation.json"} </w:instrText>
      </w:r>
      <w:r w:rsidR="000A6452" w:rsidRPr="00D41FC5">
        <w:rPr>
          <w:rFonts w:cs="Times New Roman"/>
          <w:szCs w:val="21"/>
          <w:lang w:eastAsia="zh-CN"/>
        </w:rPr>
        <w:fldChar w:fldCharType="separate"/>
      </w:r>
      <w:r w:rsidR="000A6452" w:rsidRPr="00D41FC5">
        <w:rPr>
          <w:rFonts w:cs="Times New Roman"/>
        </w:rPr>
        <w:t>[43]</w:t>
      </w:r>
      <w:r w:rsidR="000A6452" w:rsidRPr="00D41FC5">
        <w:rPr>
          <w:rFonts w:cs="Times New Roman"/>
          <w:szCs w:val="21"/>
          <w:lang w:eastAsia="zh-CN"/>
        </w:rPr>
        <w:fldChar w:fldCharType="end"/>
      </w:r>
      <w:r w:rsidR="000A6452" w:rsidRPr="00D41FC5">
        <w:rPr>
          <w:rFonts w:cs="Times New Roman"/>
          <w:szCs w:val="21"/>
          <w:lang w:eastAsia="zh-CN"/>
        </w:rPr>
        <w:t xml:space="preserve"> </w:t>
      </w:r>
      <w:r w:rsidR="00220067" w:rsidRPr="00D41FC5">
        <w:rPr>
          <w:rFonts w:cs="Times New Roman"/>
        </w:rPr>
        <w:t>put forward a bi-stable harvester composed of two magnetic-coupled piezoelectric cantilever beams for facilitating the energetic inter-well response for relatively low excitation amplitudes and frequencies in multiple directions. Fu et al.’s rotational harvester</w:t>
      </w:r>
      <w:r w:rsidR="00F04957" w:rsidRPr="00D41FC5">
        <w:rPr>
          <w:rFonts w:cs="Times New Roman"/>
        </w:rPr>
        <w:t xml:space="preserve"> </w:t>
      </w:r>
      <w:r w:rsidR="00DA64AE" w:rsidRPr="00D41FC5">
        <w:rPr>
          <w:rFonts w:cs="Times New Roman"/>
          <w:szCs w:val="21"/>
          <w:lang w:eastAsia="zh-CN"/>
        </w:rPr>
        <w:fldChar w:fldCharType="begin"/>
      </w:r>
      <w:r w:rsidR="00DA64AE" w:rsidRPr="00D41FC5">
        <w:rPr>
          <w:rFonts w:cs="Times New Roman"/>
          <w:szCs w:val="21"/>
          <w:lang w:eastAsia="zh-CN"/>
        </w:rPr>
        <w:instrText xml:space="preserve"> ADDIN ZOTERO_ITEM CSL_CITATION {"citationID":"ruIdljcp","properties":{"formattedCitation":"[41]","plainCitation":"[41]","noteIndex":0},"citationItems":[{"id":367,"uris":["http://zotero.org/users/5619602/items/QKSWG5TI"],"uri":["http://zotero.org/users/5619602/items/QKSWG5TI"],"itemData":{"id":367,"type":"article-journal","abstract":"Kinetic energy harvesting has drawn great attention in the past decade, but low-frequency and broadband operation is still a big issue which impedes this technology to be widely deployed in low-power Internet of Things applications. In this paper, theoretical modelling and experimental validation of a rotational harvester with bi-stability and frequency up-conversion is presented for harnessing low-frequency kinetic energy with a wide bandwidth. Piezoelectric transduction was adopted to convert the rotational kinetic energy into electricity. Distributed-parameter modelling was employed for analyzing the electromechanical dynamics of the bistable piezoelectric beam. Bistable and frequency up-converting behaviours were considered in the theoretical model by introducing two external input magnetic forces. Different oscillating modes were analyzed, showing the variation of power generation capability under different modes, and the advantage of operating in the periodic double-well mode. From the potential well study, we got a conclusion that for the same input magnetic force, periodic double-well mode is capable of achieving a larger vibration amplitude compared to a harvester without bi-stability. Asymmetric potential well shapes were investigated. This asymmetric shape provides a way to stabilize the initiation position of the beam for each plucking cycle, and eventually to stabilized the output. Key design factors to control the oscillating modes were studied, providing a guideline for future design. An experimental study was conducted to verify the theoretical results. A close match was achieved. This bistable harvester demonstrated a significant improvement (up to 2×) compared to a harvester without bi-stability over a wide bandwidth (from 1 to 11 Hz) at low frequencies, when operating in the periodic double-well mode. This paper presents a detailed theoretical model and in-depth analysis of a bistable frequency up-converting harvester, providing a fundamental understanding and guidance for low-frequency broadband energy harvester design.","container-title":"Exploring nonlinear benefits in engineering","DOI":"10.1016/j.ymssp.2018.04.043","ISSN":"0888-3270","journalAbbreviation":"Mechanical Systems and Signal Processing","page":"229-244","title":"Rotational energy harvesting using bi-stability and frequency up-conversion for low-power sensing applications: Theoretical modelling and experimental validation","volume":"125","author":[{"family":"Fu","given":"Hailing"},{"family":"Yeatman","given":"Eric M."}],"issued":{"date-parts":[["2019"]]}}}],"schema":"https://github.com/citation-style-language/schema/raw/master/csl-citation.json"} </w:instrText>
      </w:r>
      <w:r w:rsidR="00DA64AE" w:rsidRPr="00D41FC5">
        <w:rPr>
          <w:rFonts w:cs="Times New Roman"/>
          <w:szCs w:val="21"/>
          <w:lang w:eastAsia="zh-CN"/>
        </w:rPr>
        <w:fldChar w:fldCharType="separate"/>
      </w:r>
      <w:r w:rsidR="00DA64AE" w:rsidRPr="00D41FC5">
        <w:rPr>
          <w:rFonts w:cs="Times New Roman"/>
        </w:rPr>
        <w:t>[41]</w:t>
      </w:r>
      <w:r w:rsidR="00DA64AE" w:rsidRPr="00D41FC5">
        <w:rPr>
          <w:rFonts w:cs="Times New Roman"/>
          <w:szCs w:val="21"/>
          <w:lang w:eastAsia="zh-CN"/>
        </w:rPr>
        <w:fldChar w:fldCharType="end"/>
      </w:r>
      <w:r w:rsidR="000A6452" w:rsidRPr="00D41FC5">
        <w:rPr>
          <w:rFonts w:cs="Times New Roman"/>
          <w:szCs w:val="21"/>
          <w:lang w:eastAsia="zh-CN"/>
        </w:rPr>
        <w:t xml:space="preserve"> </w:t>
      </w:r>
      <w:r w:rsidR="00220067" w:rsidRPr="00D41FC5">
        <w:rPr>
          <w:rFonts w:cs="Times New Roman"/>
        </w:rPr>
        <w:t xml:space="preserve">consisted of a piezoelectric cantilever beam with a tip magnet interacting with another magnet attached on the rotating host. This harvester had a bi-stability and frequency up-conversion characteristic for harnessing low-frequency kinetic energy with a wide bandwidth. Compared with other reported VEHs, the nonlinearity of the pendulum-flywheel VEH in this work originates from both magnetic repulsion and large angular displacements. These complex nonlinearities enable this harvester to have time-variant dynamic behaviours. Besides, the proposed VEH can shift between the pendulum and flywheel modes automatically in response to excitation, which presents a passive mechanism. Such a passive mechanism endows the pendulum-flywheel harvester stronger adaptability to various excitations and enhances its energy harvesting performance in a broader frequency range. Although the dynamics of bi-stable harvesters </w:t>
      </w:r>
      <w:proofErr w:type="gramStart"/>
      <w:r w:rsidR="00220067" w:rsidRPr="00D41FC5">
        <w:rPr>
          <w:rFonts w:cs="Times New Roman"/>
        </w:rPr>
        <w:t>have been studied</w:t>
      </w:r>
      <w:proofErr w:type="gramEnd"/>
      <w:r w:rsidR="00220067" w:rsidRPr="00D41FC5">
        <w:rPr>
          <w:rFonts w:cs="Times New Roman"/>
        </w:rPr>
        <w:t xml:space="preserve"> widely, the proposed pendulum-flywheel structure has distinct dynamical behaviours.</w:t>
      </w:r>
    </w:p>
    <w:bookmarkEnd w:id="5"/>
    <w:bookmarkEnd w:id="6"/>
    <w:p w14:paraId="3CDEE5AB" w14:textId="7A65EA84" w:rsidR="00220067" w:rsidRPr="00D41FC5" w:rsidRDefault="00220067" w:rsidP="00220067">
      <w:pPr>
        <w:pStyle w:val="IOPText"/>
        <w:rPr>
          <w:rFonts w:cs="Times New Roman"/>
        </w:rPr>
      </w:pPr>
      <w:r w:rsidRPr="00D41FC5">
        <w:rPr>
          <w:rFonts w:cs="Times New Roman"/>
        </w:rPr>
        <w:t xml:space="preserve">The contributions of this work </w:t>
      </w:r>
      <w:r w:rsidR="00513E81" w:rsidRPr="00D41FC5">
        <w:rPr>
          <w:rFonts w:cs="Times New Roman" w:hint="eastAsia"/>
          <w:lang w:eastAsia="zh-CN"/>
        </w:rPr>
        <w:t>are</w:t>
      </w:r>
      <w:r w:rsidR="00513E81" w:rsidRPr="00D41FC5">
        <w:rPr>
          <w:rFonts w:cs="Times New Roman"/>
        </w:rPr>
        <w:t xml:space="preserve"> </w:t>
      </w:r>
      <w:r w:rsidRPr="00D41FC5">
        <w:rPr>
          <w:rFonts w:cs="Times New Roman"/>
        </w:rPr>
        <w:t>summarised as follows:</w:t>
      </w:r>
    </w:p>
    <w:p w14:paraId="4E1DA0C5" w14:textId="34238763" w:rsidR="00220067" w:rsidRPr="00D41FC5" w:rsidRDefault="00220067" w:rsidP="00220067">
      <w:pPr>
        <w:pStyle w:val="IOPText"/>
        <w:rPr>
          <w:rFonts w:cs="Times New Roman"/>
        </w:rPr>
      </w:pPr>
      <w:r w:rsidRPr="00D41FC5">
        <w:rPr>
          <w:rFonts w:cs="Times New Roman"/>
        </w:rPr>
        <w:t xml:space="preserve">(1) </w:t>
      </w:r>
      <w:r w:rsidR="00513E81" w:rsidRPr="00D41FC5">
        <w:rPr>
          <w:rFonts w:cs="Times New Roman"/>
        </w:rPr>
        <w:t xml:space="preserve">To our best knowledge, a pendulum-flywheel VEH based on the electromagnetic mechanism </w:t>
      </w:r>
      <w:proofErr w:type="gramStart"/>
      <w:r w:rsidR="00513E81" w:rsidRPr="00D41FC5">
        <w:rPr>
          <w:rFonts w:cs="Times New Roman"/>
        </w:rPr>
        <w:t>is first proposed</w:t>
      </w:r>
      <w:proofErr w:type="gramEnd"/>
      <w:r w:rsidR="00513E81" w:rsidRPr="00D41FC5">
        <w:rPr>
          <w:rFonts w:cs="Times New Roman"/>
        </w:rPr>
        <w:t xml:space="preserve"> in this paper. Although a small number of papers also reported VEHs with both a pendulum and a flywheel, e.g., in</w:t>
      </w:r>
      <w:r w:rsidR="005018BB" w:rsidRPr="00D41FC5">
        <w:rPr>
          <w:rFonts w:cs="Times New Roman"/>
        </w:rPr>
        <w:t xml:space="preserve"> </w:t>
      </w:r>
      <w:r w:rsidR="005018BB" w:rsidRPr="00D41FC5">
        <w:rPr>
          <w:rFonts w:cs="Times New Roman"/>
        </w:rPr>
        <w:fldChar w:fldCharType="begin"/>
      </w:r>
      <w:r w:rsidR="005018BB" w:rsidRPr="00D41FC5">
        <w:rPr>
          <w:rFonts w:cs="Times New Roman"/>
        </w:rPr>
        <w:instrText xml:space="preserve"> ADDIN ZOTERO_ITEM CSL_CITATION {"citationID":"98q25yZo","properties":{"formattedCitation":"[4]","plainCitation":"[4]","noteIndex":0},"citationItems":[{"id":203,"uris":["http://zotero.org/users/5619602/items/BYQDNA3T"],"uri":["http://zotero.org/users/5619602/items/BYQDNA3T"],"itemData":{"id":203,"type":"article-journal","container-title":"Smart Materials and Structures","issue":"9","page":"095042","title":"Broadband pendulum energy harvester","volume":"25","author":[{"family":"Liang","given":"Changwei"},{"family":"Wu","given":"You"},{"family":"Zuo","given":"Lei"}],"issued":{"date-parts":[["2016"]]}}}],"schema":"https://github.com/citation-style-language/schema/raw/master/csl-citation.json"} </w:instrText>
      </w:r>
      <w:r w:rsidR="005018BB" w:rsidRPr="00D41FC5">
        <w:rPr>
          <w:rFonts w:cs="Times New Roman"/>
        </w:rPr>
        <w:fldChar w:fldCharType="separate"/>
      </w:r>
      <w:r w:rsidR="005018BB" w:rsidRPr="00D41FC5">
        <w:rPr>
          <w:rFonts w:cs="Times New Roman"/>
        </w:rPr>
        <w:t>[4]</w:t>
      </w:r>
      <w:r w:rsidR="005018BB" w:rsidRPr="00D41FC5">
        <w:rPr>
          <w:rFonts w:cs="Times New Roman"/>
        </w:rPr>
        <w:fldChar w:fldCharType="end"/>
      </w:r>
      <w:r w:rsidR="00513E81" w:rsidRPr="00D41FC5">
        <w:rPr>
          <w:rFonts w:cs="Times New Roman"/>
        </w:rPr>
        <w:t>, and</w:t>
      </w:r>
      <w:r w:rsidR="005018BB" w:rsidRPr="00D41FC5">
        <w:rPr>
          <w:rFonts w:cs="Times New Roman"/>
        </w:rPr>
        <w:t xml:space="preserve"> </w:t>
      </w:r>
      <w:r w:rsidR="005018BB" w:rsidRPr="00D41FC5">
        <w:rPr>
          <w:rFonts w:cs="Times New Roman"/>
        </w:rPr>
        <w:fldChar w:fldCharType="begin"/>
      </w:r>
      <w:r w:rsidR="005018BB" w:rsidRPr="00D41FC5">
        <w:rPr>
          <w:rFonts w:cs="Times New Roman"/>
        </w:rPr>
        <w:instrText xml:space="preserve"> ADDIN ZOTERO_ITEM CSL_CITATION {"citationID":"ZeooSXZ1","properties":{"formattedCitation":"[38]","plainCitation":"[38]","noteIndex":0},"citationItems":[{"id":228,"uris":["http://zotero.org/users/5619602/items/HY6H8W72"],"uri":["http://zotero.org/users/5619602/items/HY6H8W72"],"itemData":{"id":228,"type":"article-journal","abstract":"In this work we analyse the possibility of energy harvesting from the vibration of the environment. The investigations are performed using experimental rig, which consists of a parametrically forced pendulum and an energy harvester, and the mathematical model developed based on the experimental rig. Numerical studies focus on the oscillating motion of pendulum in 2:1 resonance and show good agreement with experimental results. We present that the energy harvesting is possible and is more efficient for shorter reduced length of the pendulum, as proved numerically and experimentally.","container-title":"International Journal of Non-Linear Mechanics","DOI":"https://doi.org/10.1016/j.ijnonlinmec.2017.03.022","ISSN":"0020-7462","page":"251 - 256","title":"Energy harvesting from pendulum oscillations","volume":"94","author":[{"family":"Marszal","given":"Michał"},{"family":"Witkowski","given":"Błażej"},{"family":"Jankowski","given":"Krzysztof"},{"family":"Perlikowski","given":"Przemysław"},{"family":"Kapitaniak","given":"Tomasz"}],"issued":{"date-parts":[["2017"]]}}}],"schema":"https://github.com/citation-style-language/schema/raw/master/csl-citation.json"} </w:instrText>
      </w:r>
      <w:r w:rsidR="005018BB" w:rsidRPr="00D41FC5">
        <w:rPr>
          <w:rFonts w:cs="Times New Roman"/>
        </w:rPr>
        <w:fldChar w:fldCharType="separate"/>
      </w:r>
      <w:r w:rsidR="005018BB" w:rsidRPr="00D41FC5">
        <w:rPr>
          <w:rFonts w:cs="Times New Roman"/>
        </w:rPr>
        <w:t>[38]</w:t>
      </w:r>
      <w:r w:rsidR="005018BB" w:rsidRPr="00D41FC5">
        <w:rPr>
          <w:rFonts w:cs="Times New Roman"/>
        </w:rPr>
        <w:fldChar w:fldCharType="end"/>
      </w:r>
      <w:r w:rsidR="00513E81" w:rsidRPr="00D41FC5">
        <w:rPr>
          <w:rFonts w:cs="Times New Roman"/>
        </w:rPr>
        <w:t>, these VEHs swing in a small angular range and operate on only a pendulum mode. Our proposed pendulum-flywheel structure can not only oscillate around its stable equilibrium point, but also rotate to harvest more energy, that is, it has both pendulum and flywheel modes, and can automatically switch between them in response to the intensity of excitations. This feature endows this device strong adaptability to various ambient vibrations.</w:t>
      </w:r>
    </w:p>
    <w:p w14:paraId="61AD82A0" w14:textId="77777777" w:rsidR="00220067" w:rsidRPr="00D41FC5" w:rsidRDefault="00220067" w:rsidP="00220067">
      <w:pPr>
        <w:pStyle w:val="IOPText"/>
        <w:rPr>
          <w:rFonts w:cs="Times New Roman"/>
        </w:rPr>
      </w:pPr>
      <w:r w:rsidRPr="00D41FC5">
        <w:rPr>
          <w:rFonts w:cs="Times New Roman"/>
        </w:rPr>
        <w:t xml:space="preserve">(2) A theoretical model of this pendulum-flywheel VEH </w:t>
      </w:r>
      <w:proofErr w:type="gramStart"/>
      <w:r w:rsidRPr="00D41FC5">
        <w:rPr>
          <w:rFonts w:cs="Times New Roman"/>
        </w:rPr>
        <w:t>is established</w:t>
      </w:r>
      <w:proofErr w:type="gramEnd"/>
      <w:r w:rsidRPr="00D41FC5">
        <w:rPr>
          <w:rFonts w:cs="Times New Roman"/>
        </w:rPr>
        <w:t xml:space="preserve"> based on the </w:t>
      </w:r>
      <w:proofErr w:type="spellStart"/>
      <w:r w:rsidRPr="00D41FC5">
        <w:rPr>
          <w:rFonts w:cs="Times New Roman"/>
        </w:rPr>
        <w:t>D'Alembert's</w:t>
      </w:r>
      <w:proofErr w:type="spellEnd"/>
      <w:r w:rsidRPr="00D41FC5">
        <w:rPr>
          <w:rFonts w:cs="Times New Roman"/>
        </w:rPr>
        <w:t xml:space="preserve"> principle and Kirchhoff's Voltage Law.</w:t>
      </w:r>
    </w:p>
    <w:p w14:paraId="3AA3715A" w14:textId="6423A971" w:rsidR="00220067" w:rsidRPr="00D41FC5" w:rsidRDefault="00220067" w:rsidP="00220067">
      <w:pPr>
        <w:pStyle w:val="IOPText"/>
        <w:rPr>
          <w:rFonts w:cs="Times New Roman"/>
        </w:rPr>
      </w:pPr>
      <w:r w:rsidRPr="00D41FC5">
        <w:rPr>
          <w:rFonts w:cs="Times New Roman"/>
        </w:rPr>
        <w:t xml:space="preserve">(3) An approach to controlling the nonlinearity of the harvester by adjusting magnet distance </w:t>
      </w:r>
      <w:proofErr w:type="gramStart"/>
      <w:r w:rsidRPr="00D41FC5">
        <w:rPr>
          <w:rFonts w:cs="Times New Roman"/>
        </w:rPr>
        <w:t>is suggested</w:t>
      </w:r>
      <w:proofErr w:type="gramEnd"/>
      <w:r w:rsidRPr="00D41FC5">
        <w:rPr>
          <w:rFonts w:cs="Times New Roman"/>
        </w:rPr>
        <w:t>. This approach makes the pendulum-flywheel more adaptive to various application scenarios</w:t>
      </w:r>
      <w:r w:rsidR="008C487B" w:rsidRPr="00D41FC5">
        <w:rPr>
          <w:rFonts w:cs="Times New Roman" w:hint="eastAsia"/>
          <w:lang w:eastAsia="zh-CN"/>
        </w:rPr>
        <w:t>.</w:t>
      </w:r>
      <w:r w:rsidRPr="00D41FC5">
        <w:rPr>
          <w:rFonts w:cs="Times New Roman"/>
        </w:rPr>
        <w:t xml:space="preserve"> </w:t>
      </w:r>
    </w:p>
    <w:p w14:paraId="01A7EF02" w14:textId="3A8926D4" w:rsidR="00A6461A" w:rsidRPr="00D41FC5" w:rsidRDefault="00A6461A" w:rsidP="00220067">
      <w:pPr>
        <w:pStyle w:val="IOPText"/>
        <w:rPr>
          <w:rFonts w:cs="Times New Roman"/>
          <w:szCs w:val="21"/>
        </w:rPr>
      </w:pPr>
      <w:r w:rsidRPr="00D41FC5">
        <w:rPr>
          <w:rFonts w:cs="Times New Roman"/>
          <w:szCs w:val="21"/>
        </w:rPr>
        <w:t xml:space="preserve">This study carries out a series of investigations on the harvester's structural dynamics behaviours and efficiency for harvesting more energy. The remainder of this paper is organised as follows: Section 2 introduces the concept of the pendulum-flywheel energy harvester. Subsequently, Section 3 presents the establishment process of the theoretical model of the proposed VEH. Section 4 describes the fabricated prototype of the harvester. Estimation and verification of model parameters </w:t>
      </w:r>
      <w:proofErr w:type="gramStart"/>
      <w:r w:rsidRPr="00D41FC5">
        <w:rPr>
          <w:rFonts w:cs="Times New Roman"/>
          <w:szCs w:val="21"/>
        </w:rPr>
        <w:t>are conducted</w:t>
      </w:r>
      <w:proofErr w:type="gramEnd"/>
      <w:r w:rsidRPr="00D41FC5">
        <w:rPr>
          <w:rFonts w:cs="Times New Roman"/>
          <w:szCs w:val="21"/>
        </w:rPr>
        <w:t xml:space="preserve"> in Section 5. In Section 6, a </w:t>
      </w:r>
      <w:r w:rsidRPr="00D41FC5">
        <w:rPr>
          <w:rFonts w:cs="Times New Roman"/>
          <w:szCs w:val="21"/>
        </w:rPr>
        <w:t xml:space="preserve">numerical analysis of the VEH’s dynamical behaviours </w:t>
      </w:r>
      <w:proofErr w:type="gramStart"/>
      <w:r w:rsidRPr="00D41FC5">
        <w:rPr>
          <w:rFonts w:cs="Times New Roman"/>
          <w:szCs w:val="21"/>
        </w:rPr>
        <w:t>is made</w:t>
      </w:r>
      <w:proofErr w:type="gramEnd"/>
      <w:r w:rsidRPr="00D41FC5">
        <w:rPr>
          <w:rFonts w:cs="Times New Roman"/>
          <w:szCs w:val="21"/>
        </w:rPr>
        <w:t xml:space="preserve">. Section 7 provides the experimental verification of the proposed theoretical model. Finally, conclusions </w:t>
      </w:r>
      <w:proofErr w:type="gramStart"/>
      <w:r w:rsidRPr="00D41FC5">
        <w:rPr>
          <w:rFonts w:cs="Times New Roman"/>
          <w:szCs w:val="21"/>
        </w:rPr>
        <w:t>are drawn</w:t>
      </w:r>
      <w:proofErr w:type="gramEnd"/>
      <w:r w:rsidRPr="00D41FC5">
        <w:rPr>
          <w:rFonts w:cs="Times New Roman"/>
          <w:szCs w:val="21"/>
        </w:rPr>
        <w:t xml:space="preserve"> according to the relevant analysis.</w:t>
      </w:r>
    </w:p>
    <w:p w14:paraId="73199B12" w14:textId="0191E8A3" w:rsidR="00C42076" w:rsidRPr="00D41FC5" w:rsidRDefault="00C42076" w:rsidP="00C42076">
      <w:pPr>
        <w:pStyle w:val="IOPH1"/>
      </w:pPr>
      <w:r w:rsidRPr="00D41FC5">
        <w:rPr>
          <w:rFonts w:hint="eastAsia"/>
          <w:lang w:eastAsia="zh-CN"/>
        </w:rPr>
        <w:t>2</w:t>
      </w:r>
      <w:r w:rsidRPr="00D41FC5">
        <w:t xml:space="preserve">. </w:t>
      </w:r>
      <w:r w:rsidR="00234F3E" w:rsidRPr="00D41FC5">
        <w:t>Concept of the pendulum-flywheel VEH</w:t>
      </w:r>
    </w:p>
    <w:p w14:paraId="4CC92E5E" w14:textId="0E915738" w:rsidR="00B9736A" w:rsidRPr="00D41FC5" w:rsidRDefault="00A6461A" w:rsidP="0055274C">
      <w:pPr>
        <w:pStyle w:val="IOPText"/>
        <w:rPr>
          <w:rFonts w:cs="Times New Roman"/>
          <w:szCs w:val="21"/>
        </w:rPr>
      </w:pPr>
      <w:r w:rsidRPr="00D41FC5">
        <w:rPr>
          <w:rFonts w:cs="Times New Roman"/>
          <w:szCs w:val="21"/>
        </w:rPr>
        <w:t xml:space="preserve">Figure 1 shows the schematic diagram of the proposed pendulum-flywheel VEH, composed of a frame, two magnets, a fan-shaped pendulum, an annular gear, a pinion gear, and a DC generator. The frame of this harvester </w:t>
      </w:r>
      <w:proofErr w:type="gramStart"/>
      <w:r w:rsidRPr="00D41FC5">
        <w:rPr>
          <w:rFonts w:cs="Times New Roman"/>
          <w:szCs w:val="21"/>
        </w:rPr>
        <w:t>is fixed</w:t>
      </w:r>
      <w:proofErr w:type="gramEnd"/>
      <w:r w:rsidRPr="00D41FC5">
        <w:rPr>
          <w:rFonts w:cs="Times New Roman"/>
          <w:szCs w:val="21"/>
        </w:rPr>
        <w:t xml:space="preserve"> on a base plate that receives excitations. The fan-shaped pendulum </w:t>
      </w:r>
      <w:proofErr w:type="gramStart"/>
      <w:r w:rsidRPr="00D41FC5">
        <w:rPr>
          <w:rFonts w:cs="Times New Roman"/>
          <w:szCs w:val="21"/>
        </w:rPr>
        <w:t>is connected</w:t>
      </w:r>
      <w:proofErr w:type="gramEnd"/>
      <w:r w:rsidRPr="00D41FC5">
        <w:rPr>
          <w:rFonts w:cs="Times New Roman"/>
          <w:szCs w:val="21"/>
        </w:rPr>
        <w:t xml:space="preserve"> to the frame through a rotating shaft. The annular gear and fan-shaped pendulum </w:t>
      </w:r>
      <w:proofErr w:type="gramStart"/>
      <w:r w:rsidRPr="00D41FC5">
        <w:rPr>
          <w:rFonts w:cs="Times New Roman"/>
          <w:szCs w:val="21"/>
        </w:rPr>
        <w:t>are bolted</w:t>
      </w:r>
      <w:proofErr w:type="gramEnd"/>
      <w:r w:rsidRPr="00D41FC5">
        <w:rPr>
          <w:rFonts w:cs="Times New Roman"/>
          <w:szCs w:val="21"/>
        </w:rPr>
        <w:t xml:space="preserve"> together and share the same centre of rotation. The pinion gear meshes with the internal teeth of the annular gear and </w:t>
      </w:r>
      <w:proofErr w:type="gramStart"/>
      <w:r w:rsidRPr="00D41FC5">
        <w:rPr>
          <w:rFonts w:cs="Times New Roman"/>
          <w:szCs w:val="21"/>
        </w:rPr>
        <w:t>is connected</w:t>
      </w:r>
      <w:proofErr w:type="gramEnd"/>
      <w:r w:rsidRPr="00D41FC5">
        <w:rPr>
          <w:rFonts w:cs="Times New Roman"/>
          <w:szCs w:val="21"/>
        </w:rPr>
        <w:t xml:space="preserve"> to the rotating shaft of the DC generator by an interference fit. The DC generator </w:t>
      </w:r>
      <w:proofErr w:type="gramStart"/>
      <w:r w:rsidRPr="00D41FC5">
        <w:rPr>
          <w:rFonts w:cs="Times New Roman"/>
          <w:szCs w:val="21"/>
        </w:rPr>
        <w:t>is fixed</w:t>
      </w:r>
      <w:proofErr w:type="gramEnd"/>
      <w:r w:rsidRPr="00D41FC5">
        <w:rPr>
          <w:rFonts w:cs="Times New Roman"/>
          <w:szCs w:val="21"/>
        </w:rPr>
        <w:t xml:space="preserve"> to the frame of the VEH. Driven by the swinging fan-shaped pendulum, the annular gear rotates around its centre of rotation to turn the pinion </w:t>
      </w:r>
      <w:proofErr w:type="gramStart"/>
      <w:r w:rsidRPr="00D41FC5">
        <w:rPr>
          <w:rFonts w:cs="Times New Roman"/>
          <w:szCs w:val="21"/>
        </w:rPr>
        <w:t>gear which</w:t>
      </w:r>
      <w:proofErr w:type="gramEnd"/>
      <w:r w:rsidRPr="00D41FC5">
        <w:rPr>
          <w:rFonts w:cs="Times New Roman"/>
          <w:szCs w:val="21"/>
        </w:rPr>
        <w:t xml:space="preserve"> in turn drives the DC generator to convert mechanical energy to electricity. </w:t>
      </w:r>
    </w:p>
    <w:p w14:paraId="51FF744F" w14:textId="60284206" w:rsidR="00601FC5" w:rsidRPr="00D41FC5" w:rsidRDefault="00FA3478" w:rsidP="0055274C">
      <w:pPr>
        <w:pStyle w:val="IOPText"/>
        <w:rPr>
          <w:rFonts w:cs="Times New Roman"/>
          <w:szCs w:val="21"/>
        </w:rPr>
      </w:pPr>
      <w:bookmarkStart w:id="7" w:name="_Hlk45483313"/>
      <w:bookmarkStart w:id="8" w:name="_Hlk44750385"/>
      <w:bookmarkStart w:id="9" w:name="_Hlk44713394"/>
      <w:r w:rsidRPr="00D41FC5">
        <w:rPr>
          <w:rFonts w:cs="Times New Roman"/>
        </w:rPr>
        <w:t xml:space="preserve">The DC generator produces electrical power based on Faraday’s law of electromagnetic induction. The essential parts of a DC generator include a stator, a rotor, armature windings, a yoke, poles, pole shoes, a commutator, and brushes. </w:t>
      </w:r>
      <w:r w:rsidR="00513E81" w:rsidRPr="00D41FC5">
        <w:rPr>
          <w:rFonts w:cs="Times New Roman"/>
        </w:rPr>
        <w:t xml:space="preserve">The rotor includes a cylindrical armature core stacked with slotted iron laminations. Armature windings (coils) are in a closed circuit form and connected in series for enhancing the voltage outputs. </w:t>
      </w:r>
      <w:r w:rsidRPr="00D41FC5">
        <w:rPr>
          <w:rFonts w:cs="Times New Roman"/>
        </w:rPr>
        <w:t xml:space="preserve">The stator is utilised for providing a magnetic field </w:t>
      </w:r>
      <w:r w:rsidR="005522EE" w:rsidRPr="00D41FC5">
        <w:rPr>
          <w:rFonts w:cs="Times New Roman"/>
        </w:rPr>
        <w:t xml:space="preserve">in which </w:t>
      </w:r>
      <w:r w:rsidRPr="00D41FC5">
        <w:rPr>
          <w:rFonts w:cs="Times New Roman"/>
        </w:rPr>
        <w:t xml:space="preserve">the coil spins. The poles </w:t>
      </w:r>
      <w:proofErr w:type="gramStart"/>
      <w:r w:rsidRPr="00D41FC5">
        <w:rPr>
          <w:rFonts w:cs="Times New Roman"/>
        </w:rPr>
        <w:t>are used</w:t>
      </w:r>
      <w:proofErr w:type="gramEnd"/>
      <w:r w:rsidRPr="00D41FC5">
        <w:rPr>
          <w:rFonts w:cs="Times New Roman"/>
        </w:rPr>
        <w:t xml:space="preserve"> to hold the field windings and the pole shoes to spread the magnet flux for avoiding the field coil from falling. A commutator can work as a rectifier to change the voltage within the armature windings from AC to DC.  The brushes </w:t>
      </w:r>
      <w:proofErr w:type="gramStart"/>
      <w:r w:rsidRPr="00D41FC5">
        <w:rPr>
          <w:rFonts w:cs="Times New Roman"/>
        </w:rPr>
        <w:t>are employed</w:t>
      </w:r>
      <w:proofErr w:type="gramEnd"/>
      <w:r w:rsidRPr="00D41FC5">
        <w:rPr>
          <w:rFonts w:cs="Times New Roman"/>
        </w:rPr>
        <w:t xml:space="preserve"> to realising the electrical connection between the commutator and exterior load circuit. Driven by the pinion gear </w:t>
      </w:r>
      <w:proofErr w:type="gramStart"/>
      <w:r w:rsidRPr="00D41FC5">
        <w:rPr>
          <w:rFonts w:cs="Times New Roman"/>
        </w:rPr>
        <w:t>being turned</w:t>
      </w:r>
      <w:proofErr w:type="gramEnd"/>
      <w:r w:rsidRPr="00D41FC5">
        <w:rPr>
          <w:rFonts w:cs="Times New Roman"/>
        </w:rPr>
        <w:t xml:space="preserve"> by the pendulum-flywheel mechanism, the rotor and armature windings rotate in the magnetic field, generating an alternating voltage. However, a unidirectional voltage </w:t>
      </w:r>
      <w:proofErr w:type="gramStart"/>
      <w:r w:rsidRPr="00D41FC5">
        <w:rPr>
          <w:rFonts w:cs="Times New Roman"/>
        </w:rPr>
        <w:t>can be obtained</w:t>
      </w:r>
      <w:proofErr w:type="gramEnd"/>
      <w:r w:rsidRPr="00D41FC5">
        <w:rPr>
          <w:rFonts w:cs="Times New Roman"/>
        </w:rPr>
        <w:t xml:space="preserve"> with the commutator and brushes.</w:t>
      </w:r>
      <w:bookmarkEnd w:id="7"/>
      <w:r w:rsidR="00863DBF" w:rsidRPr="00D41FC5">
        <w:rPr>
          <w:rFonts w:cs="Times New Roman"/>
          <w:szCs w:val="21"/>
          <w:lang w:eastAsia="zh-CN"/>
        </w:rPr>
        <w:t xml:space="preserve"> </w:t>
      </w:r>
      <w:bookmarkEnd w:id="8"/>
      <w:r w:rsidR="00863DBF" w:rsidRPr="00D41FC5">
        <w:rPr>
          <w:rFonts w:cs="Times New Roman"/>
          <w:szCs w:val="21"/>
          <w:lang w:eastAsia="zh-CN"/>
        </w:rPr>
        <w:t xml:space="preserve"> </w:t>
      </w:r>
      <w:r w:rsidR="00601FC5" w:rsidRPr="00D41FC5">
        <w:rPr>
          <w:rFonts w:cs="Times New Roman"/>
          <w:szCs w:val="21"/>
          <w:lang w:eastAsia="zh-CN"/>
        </w:rPr>
        <w:t xml:space="preserve"> </w:t>
      </w:r>
      <w:bookmarkEnd w:id="9"/>
    </w:p>
    <w:p w14:paraId="6D0E7977" w14:textId="109700F7" w:rsidR="00A6461A" w:rsidRPr="00D41FC5" w:rsidRDefault="00A6461A" w:rsidP="0055274C">
      <w:pPr>
        <w:pStyle w:val="IOPText"/>
        <w:rPr>
          <w:rFonts w:cs="Times New Roman"/>
          <w:szCs w:val="21"/>
        </w:rPr>
      </w:pPr>
      <w:r w:rsidRPr="00D41FC5">
        <w:rPr>
          <w:rFonts w:cs="Times New Roman"/>
          <w:szCs w:val="21"/>
        </w:rPr>
        <w:t xml:space="preserve">The fixed magnet </w:t>
      </w:r>
      <w:proofErr w:type="gramStart"/>
      <w:r w:rsidRPr="00D41FC5">
        <w:rPr>
          <w:rFonts w:cs="Times New Roman"/>
          <w:szCs w:val="21"/>
        </w:rPr>
        <w:t>is attached</w:t>
      </w:r>
      <w:proofErr w:type="gramEnd"/>
      <w:r w:rsidRPr="00D41FC5">
        <w:rPr>
          <w:rFonts w:cs="Times New Roman"/>
          <w:szCs w:val="21"/>
        </w:rPr>
        <w:t xml:space="preserve"> to the base of the harvester frame and moves with it. The tip magnet is stuck on the bottom rim of the fan-shaped </w:t>
      </w:r>
      <w:r w:rsidR="00B9736A" w:rsidRPr="00D41FC5">
        <w:rPr>
          <w:rFonts w:cs="Times New Roman"/>
          <w:szCs w:val="21"/>
        </w:rPr>
        <w:t>pendulum. The</w:t>
      </w:r>
      <w:r w:rsidRPr="00D41FC5">
        <w:rPr>
          <w:rFonts w:cs="Times New Roman"/>
          <w:szCs w:val="21"/>
        </w:rPr>
        <w:t xml:space="preserve"> repulsion between magnets acts on the fan-shaped pendulum through the tip magnet. The nonlinear magnetic force </w:t>
      </w:r>
      <w:r w:rsidR="00863DBF" w:rsidRPr="00D41FC5">
        <w:rPr>
          <w:rFonts w:cs="Times New Roman"/>
          <w:szCs w:val="21"/>
        </w:rPr>
        <w:t xml:space="preserve">induces </w:t>
      </w:r>
      <w:r w:rsidRPr="00D41FC5">
        <w:rPr>
          <w:rFonts w:cs="Times New Roman"/>
          <w:szCs w:val="21"/>
        </w:rPr>
        <w:t>a bi</w:t>
      </w:r>
      <w:r w:rsidR="00B9736A" w:rsidRPr="00D41FC5">
        <w:rPr>
          <w:rFonts w:cs="Times New Roman"/>
          <w:szCs w:val="21"/>
        </w:rPr>
        <w:t>-</w:t>
      </w:r>
      <w:r w:rsidRPr="00D41FC5">
        <w:rPr>
          <w:rFonts w:cs="Times New Roman"/>
          <w:szCs w:val="21"/>
        </w:rPr>
        <w:t>stable potential function</w:t>
      </w:r>
      <w:r w:rsidR="00863DBF" w:rsidRPr="00D41FC5">
        <w:rPr>
          <w:rFonts w:cs="Times New Roman"/>
          <w:szCs w:val="21"/>
        </w:rPr>
        <w:t>, being helpful to</w:t>
      </w:r>
      <w:r w:rsidRPr="00D41FC5">
        <w:rPr>
          <w:rFonts w:cs="Times New Roman"/>
          <w:szCs w:val="21"/>
        </w:rPr>
        <w:t xml:space="preserve"> broaden the frequency band of the system. </w:t>
      </w:r>
      <w:bookmarkStart w:id="10" w:name="OLE_LINK2"/>
      <w:bookmarkStart w:id="11" w:name="OLE_LINK1"/>
      <w:r w:rsidRPr="00D41FC5">
        <w:rPr>
          <w:rFonts w:cs="Times New Roman"/>
          <w:szCs w:val="21"/>
        </w:rPr>
        <w:t>This VEH has two motion modes, namely the pendulum and</w:t>
      </w:r>
      <w:r w:rsidR="00863DBF" w:rsidRPr="00D41FC5">
        <w:rPr>
          <w:rFonts w:cs="Times New Roman"/>
          <w:szCs w:val="21"/>
        </w:rPr>
        <w:t xml:space="preserve"> </w:t>
      </w:r>
      <w:r w:rsidRPr="00D41FC5">
        <w:rPr>
          <w:rFonts w:cs="Times New Roman"/>
          <w:szCs w:val="21"/>
        </w:rPr>
        <w:t>flywheel modes, to adapt to different magnitudes of horizontal base excitations. The fan-shaped structure swings as a pend</w:t>
      </w:r>
      <w:bookmarkEnd w:id="10"/>
      <w:bookmarkEnd w:id="11"/>
      <w:r w:rsidRPr="00D41FC5">
        <w:rPr>
          <w:rFonts w:cs="Times New Roman"/>
          <w:szCs w:val="21"/>
        </w:rPr>
        <w:t xml:space="preserve">ulum when subjected to weak excitations. On the other hand, the fan-annular gear-tip magnet assembly rotates around the centre of rotation continuously, becoming an eccentric flywheel, when subjected to intense </w:t>
      </w:r>
      <w:r w:rsidRPr="00D41FC5">
        <w:rPr>
          <w:rFonts w:cs="Times New Roman"/>
          <w:szCs w:val="21"/>
        </w:rPr>
        <w:lastRenderedPageBreak/>
        <w:t>base excitations. This harvester switches from one mode to another automatically according to the magnitude of base excitations, enabling this VEH to have stronger adaptability to variant excitations in nature.</w:t>
      </w:r>
    </w:p>
    <w:p w14:paraId="5940C271" w14:textId="72B6BFA7" w:rsidR="00C42076" w:rsidRPr="00D41FC5" w:rsidRDefault="00234F3E" w:rsidP="00234F3E">
      <w:pPr>
        <w:pStyle w:val="IOPText"/>
        <w:ind w:firstLine="0"/>
        <w:rPr>
          <w:noProof/>
        </w:rPr>
      </w:pPr>
      <w:r w:rsidRPr="00D41FC5">
        <w:rPr>
          <w:rFonts w:cs="Times New Roman"/>
          <w:noProof/>
          <w:lang w:eastAsia="zh-CN"/>
        </w:rPr>
        <w:drawing>
          <wp:inline distT="0" distB="0" distL="0" distR="0" wp14:anchorId="67E3679F" wp14:editId="77691D8E">
            <wp:extent cx="3152851" cy="1851511"/>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8">
                      <a:extLst>
                        <a:ext uri="{28A0092B-C50C-407E-A947-70E740481C1C}">
                          <a14:useLocalDpi xmlns:a14="http://schemas.microsoft.com/office/drawing/2010/main" val="0"/>
                        </a:ext>
                      </a:extLst>
                    </a:blip>
                    <a:srcRect l="1924" t="9557" r="2141"/>
                    <a:stretch/>
                  </pic:blipFill>
                  <pic:spPr bwMode="auto">
                    <a:xfrm>
                      <a:off x="0" y="0"/>
                      <a:ext cx="3349882" cy="1967217"/>
                    </a:xfrm>
                    <a:prstGeom prst="rect">
                      <a:avLst/>
                    </a:prstGeom>
                    <a:noFill/>
                    <a:ln>
                      <a:noFill/>
                    </a:ln>
                    <a:extLst>
                      <a:ext uri="{53640926-AAD7-44D8-BBD7-CCE9431645EC}">
                        <a14:shadowObscured xmlns:a14="http://schemas.microsoft.com/office/drawing/2010/main"/>
                      </a:ext>
                    </a:extLst>
                  </pic:spPr>
                </pic:pic>
              </a:graphicData>
            </a:graphic>
          </wp:inline>
        </w:drawing>
      </w:r>
    </w:p>
    <w:p w14:paraId="0657C1BD" w14:textId="058F939E" w:rsidR="00C42076" w:rsidRPr="00D41FC5" w:rsidRDefault="00234F3E" w:rsidP="001E5C75">
      <w:pPr>
        <w:pStyle w:val="IOPText"/>
        <w:spacing w:afterLines="100" w:after="240"/>
        <w:ind w:firstLine="0"/>
        <w:rPr>
          <w:noProof/>
        </w:rPr>
      </w:pPr>
      <w:r w:rsidRPr="00D41FC5">
        <w:rPr>
          <w:noProof/>
        </w:rPr>
        <w:t>Figure 1. Schematic of the pendulum-flywheel energy harvester</w:t>
      </w:r>
      <w:r w:rsidR="001E5C75" w:rsidRPr="00D41FC5">
        <w:rPr>
          <w:rFonts w:hint="eastAsia"/>
          <w:noProof/>
          <w:lang w:eastAsia="zh-CN"/>
        </w:rPr>
        <w:t>.</w:t>
      </w:r>
    </w:p>
    <w:p w14:paraId="7739DE9F" w14:textId="2ED00F54" w:rsidR="00234F3E" w:rsidRPr="00D41FC5" w:rsidRDefault="00234F3E" w:rsidP="00234F3E">
      <w:pPr>
        <w:pStyle w:val="IOPH1"/>
      </w:pPr>
      <w:r w:rsidRPr="00D41FC5">
        <w:rPr>
          <w:rFonts w:hint="eastAsia"/>
          <w:lang w:eastAsia="zh-CN"/>
        </w:rPr>
        <w:t>3</w:t>
      </w:r>
      <w:r w:rsidRPr="00D41FC5">
        <w:t>. The theoretical model of the proposed VEH</w:t>
      </w:r>
    </w:p>
    <w:p w14:paraId="0FDA9C70" w14:textId="77777777" w:rsidR="00A6461A" w:rsidRPr="00D41FC5" w:rsidRDefault="00A6461A" w:rsidP="00A6461A">
      <w:pPr>
        <w:pStyle w:val="IOPText"/>
        <w:rPr>
          <w:rFonts w:cs="Times New Roman"/>
          <w:szCs w:val="21"/>
        </w:rPr>
      </w:pPr>
      <w:bookmarkStart w:id="12" w:name="_Hlk41633386"/>
      <w:r w:rsidRPr="00D41FC5">
        <w:rPr>
          <w:rFonts w:cs="Times New Roman"/>
          <w:szCs w:val="21"/>
        </w:rPr>
        <w:t xml:space="preserve">Based on the proposed concept, a theoretical model of the VEH </w:t>
      </w:r>
      <w:proofErr w:type="gramStart"/>
      <w:r w:rsidRPr="00D41FC5">
        <w:rPr>
          <w:rFonts w:cs="Times New Roman"/>
          <w:szCs w:val="21"/>
        </w:rPr>
        <w:t>is established</w:t>
      </w:r>
      <w:proofErr w:type="gramEnd"/>
      <w:r w:rsidRPr="00D41FC5">
        <w:rPr>
          <w:rFonts w:cs="Times New Roman"/>
          <w:szCs w:val="21"/>
        </w:rPr>
        <w:t xml:space="preserve"> in this section. Calculating the recovery torque of the system is one of the most critical steps while building the dynamical model of the VEH. The magnetic repulsion and gravity work together to generate the recovery torque of this harvesting system. The gravity is a volume </w:t>
      </w:r>
      <w:proofErr w:type="gramStart"/>
      <w:r w:rsidRPr="00D41FC5">
        <w:rPr>
          <w:rFonts w:cs="Times New Roman"/>
          <w:szCs w:val="21"/>
        </w:rPr>
        <w:t>force which</w:t>
      </w:r>
      <w:proofErr w:type="gramEnd"/>
      <w:r w:rsidRPr="00D41FC5">
        <w:rPr>
          <w:rFonts w:cs="Times New Roman"/>
          <w:szCs w:val="21"/>
        </w:rPr>
        <w:t xml:space="preserve"> does not change with the position of objects. The recovery torque by gravity </w:t>
      </w:r>
      <w:proofErr w:type="gramStart"/>
      <w:r w:rsidRPr="00D41FC5">
        <w:rPr>
          <w:rFonts w:cs="Times New Roman"/>
          <w:szCs w:val="21"/>
        </w:rPr>
        <w:t>can be calculated</w:t>
      </w:r>
      <w:proofErr w:type="gramEnd"/>
      <w:r w:rsidRPr="00D41FC5">
        <w:rPr>
          <w:rFonts w:cs="Times New Roman"/>
          <w:szCs w:val="21"/>
        </w:rPr>
        <w:t xml:space="preserve"> as follows: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893"/>
      </w:tblGrid>
      <w:tr w:rsidR="00D41FC5" w:rsidRPr="00D41FC5" w14:paraId="5DD1A2E1" w14:textId="77777777" w:rsidTr="00283514">
        <w:tc>
          <w:tcPr>
            <w:tcW w:w="4051" w:type="dxa"/>
            <w:hideMark/>
          </w:tcPr>
          <w:bookmarkStart w:id="13" w:name="_Hlk41633404"/>
          <w:bookmarkEnd w:id="12"/>
          <w:p w14:paraId="3C321532" w14:textId="77777777" w:rsidR="00283514" w:rsidRPr="00D41FC5" w:rsidRDefault="00C34992" w:rsidP="000B10EA">
            <w:pPr>
              <w:spacing w:beforeLines="25" w:before="60" w:afterLines="25" w:after="60"/>
              <w:ind w:firstLineChars="200" w:firstLine="400"/>
              <w:jc w:val="center"/>
              <w:rPr>
                <w:rFonts w:ascii="Cambria Math" w:hAnsi="Cambria Math" w:cs="Times New Roman"/>
                <w:iCs/>
                <w:sz w:val="20"/>
                <w:szCs w:val="20"/>
              </w:rPr>
            </w:pPr>
            <m:oMath>
              <m:sSub>
                <m:sSubPr>
                  <m:ctrlPr>
                    <w:rPr>
                      <w:rFonts w:ascii="Cambria Math" w:hAnsi="Cambria Math" w:cs="Times New Roman"/>
                      <w:iCs/>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g</m:t>
                  </m:r>
                </m:sub>
              </m:sSub>
              <m:r>
                <m:rPr>
                  <m:sty m:val="p"/>
                </m:rPr>
                <w:rPr>
                  <w:rFonts w:ascii="Cambria Math" w:hAnsi="Cambria Math" w:cs="Times New Roman"/>
                  <w:sz w:val="20"/>
                  <w:szCs w:val="20"/>
                </w:rPr>
                <m:t>=-</m:t>
              </m:r>
              <m:r>
                <w:rPr>
                  <w:rFonts w:ascii="Cambria Math" w:hAnsi="Cambria Math" w:cs="Times New Roman"/>
                  <w:sz w:val="20"/>
                  <w:szCs w:val="20"/>
                </w:rPr>
                <m:t>mg</m:t>
              </m:r>
              <m:sSub>
                <m:sSubPr>
                  <m:ctrlPr>
                    <w:rPr>
                      <w:rFonts w:ascii="Cambria Math" w:hAnsi="Cambria Math" w:cs="Times New Roman"/>
                      <w:iCs/>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0</m:t>
                  </m:r>
                </m:sub>
              </m:sSub>
              <m:func>
                <m:funcPr>
                  <m:ctrlPr>
                    <w:rPr>
                      <w:rFonts w:ascii="Cambria Math" w:hAnsi="Cambria Math" w:cs="Times New Roman"/>
                      <w:iCs/>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Cs/>
                          <w:sz w:val="20"/>
                          <w:szCs w:val="20"/>
                        </w:rPr>
                      </m:ctrlPr>
                    </m:dPr>
                    <m:e>
                      <m:r>
                        <w:rPr>
                          <w:rFonts w:ascii="Cambria Math" w:hAnsi="Cambria Math" w:cs="Times New Roman"/>
                          <w:sz w:val="20"/>
                          <w:szCs w:val="20"/>
                        </w:rPr>
                        <m:t>θ</m:t>
                      </m:r>
                    </m:e>
                  </m:d>
                </m:e>
              </m:func>
            </m:oMath>
            <w:r w:rsidR="00283514" w:rsidRPr="00D41FC5">
              <w:rPr>
                <w:rFonts w:ascii="Cambria Math" w:hAnsi="Cambria Math" w:cs="Times New Roman"/>
                <w:iCs/>
                <w:sz w:val="20"/>
                <w:szCs w:val="20"/>
              </w:rPr>
              <w:t>,</w:t>
            </w:r>
          </w:p>
        </w:tc>
        <w:tc>
          <w:tcPr>
            <w:tcW w:w="881" w:type="dxa"/>
            <w:hideMark/>
          </w:tcPr>
          <w:p w14:paraId="6863F597" w14:textId="77777777" w:rsidR="00283514" w:rsidRPr="00D41FC5" w:rsidRDefault="00283514" w:rsidP="000B10EA">
            <w:pPr>
              <w:spacing w:beforeLines="25" w:before="60" w:afterLines="25" w:after="60"/>
              <w:ind w:firstLineChars="200" w:firstLine="400"/>
              <w:rPr>
                <w:rFonts w:ascii="Cambria Math" w:hAnsi="Cambria Math" w:cs="Times New Roman"/>
                <w:iCs/>
                <w:sz w:val="20"/>
                <w:szCs w:val="20"/>
              </w:rPr>
            </w:pPr>
            <w:r w:rsidRPr="00D41FC5">
              <w:rPr>
                <w:rFonts w:ascii="Cambria Math" w:hAnsi="Cambria Math" w:cs="Times New Roman"/>
                <w:iCs/>
                <w:sz w:val="20"/>
                <w:szCs w:val="20"/>
              </w:rPr>
              <w:t>(1)</w:t>
            </w:r>
          </w:p>
        </w:tc>
      </w:tr>
    </w:tbl>
    <w:p w14:paraId="542C7CC8" w14:textId="418389DD" w:rsidR="00C42076" w:rsidRPr="00D41FC5" w:rsidRDefault="00A6461A" w:rsidP="001F3EC9">
      <w:pPr>
        <w:pStyle w:val="IOPText"/>
        <w:ind w:firstLine="0"/>
        <w:rPr>
          <w:rFonts w:cs="Times New Roman"/>
          <w:szCs w:val="21"/>
        </w:rPr>
      </w:pPr>
      <w:bookmarkStart w:id="14" w:name="_Hlk41633426"/>
      <w:bookmarkEnd w:id="13"/>
      <w:r w:rsidRPr="00D41FC5">
        <w:rPr>
          <w:rFonts w:cs="Times New Roman"/>
          <w:szCs w:val="21"/>
        </w:rPr>
        <w:t xml:space="preserve">where </w:t>
      </w:r>
      <m:oMath>
        <m:r>
          <w:rPr>
            <w:rFonts w:ascii="Cambria Math" w:hAnsi="Cambria Math" w:cs="Times New Roman"/>
            <w:szCs w:val="21"/>
          </w:rPr>
          <m:t>m</m:t>
        </m:r>
      </m:oMath>
      <w:r w:rsidRPr="00D41FC5">
        <w:rPr>
          <w:rFonts w:cs="Times New Roman"/>
          <w:szCs w:val="21"/>
        </w:rPr>
        <w:t xml:space="preserve"> is the mass of the pendulum system, including the fan-shaped structure, the bolts, the tip magnet, and other accessories; </w:t>
      </w:r>
      <m:oMath>
        <m:r>
          <w:rPr>
            <w:rFonts w:ascii="Cambria Math" w:hAnsi="Cambria Math" w:cs="Times New Roman"/>
            <w:szCs w:val="21"/>
          </w:rPr>
          <m:t>g</m:t>
        </m:r>
      </m:oMath>
      <w:r w:rsidRPr="00D41FC5">
        <w:rPr>
          <w:rFonts w:cs="Times New Roman"/>
          <w:szCs w:val="21"/>
        </w:rPr>
        <w:t xml:space="preserve"> is the local gravity of the Earth; </w:t>
      </w:r>
      <m:oMath>
        <m:sSub>
          <m:sSubPr>
            <m:ctrlPr>
              <w:rPr>
                <w:rFonts w:ascii="Cambria Math" w:hAnsi="Cambria Math" w:cs="Times New Roman"/>
                <w:szCs w:val="21"/>
              </w:rPr>
            </m:ctrlPr>
          </m:sSubPr>
          <m:e>
            <m:r>
              <w:rPr>
                <w:rFonts w:ascii="Cambria Math" w:hAnsi="Cambria Math" w:cs="Times New Roman"/>
                <w:szCs w:val="21"/>
              </w:rPr>
              <m:t>r</m:t>
            </m:r>
          </m:e>
          <m:sub>
            <m:r>
              <m:rPr>
                <m:sty m:val="p"/>
              </m:rPr>
              <w:rPr>
                <w:rFonts w:ascii="Cambria Math" w:hAnsi="Cambria Math" w:cs="Times New Roman"/>
                <w:szCs w:val="21"/>
              </w:rPr>
              <m:t>0</m:t>
            </m:r>
          </m:sub>
        </m:sSub>
      </m:oMath>
      <w:r w:rsidRPr="00D41FC5">
        <w:rPr>
          <w:rFonts w:cs="Times New Roman"/>
          <w:szCs w:val="21"/>
        </w:rPr>
        <w:t xml:space="preserve"> stands for the distance between the centre of gravity and the centre of rotation; </w:t>
      </w:r>
      <m:oMath>
        <m:r>
          <w:rPr>
            <w:rFonts w:ascii="Cambria Math" w:hAnsi="Cambria Math" w:cs="Times New Roman"/>
            <w:szCs w:val="21"/>
          </w:rPr>
          <m:t>θ</m:t>
        </m:r>
      </m:oMath>
      <w:r w:rsidRPr="00D41FC5">
        <w:rPr>
          <w:rFonts w:cs="Times New Roman"/>
          <w:szCs w:val="21"/>
        </w:rPr>
        <w:t xml:space="preserve"> is the angular displacement of the fan-shaped structure. The recovery torque by gravity </w:t>
      </w:r>
      <m:oMath>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g</m:t>
            </m:r>
          </m:sub>
        </m:sSub>
      </m:oMath>
      <w:r w:rsidRPr="00D41FC5">
        <w:rPr>
          <w:rFonts w:cs="Times New Roman"/>
          <w:szCs w:val="21"/>
        </w:rPr>
        <w:t xml:space="preserve"> only depends on the force </w:t>
      </w:r>
      <w:proofErr w:type="gramStart"/>
      <w:r w:rsidRPr="00D41FC5">
        <w:rPr>
          <w:rFonts w:cs="Times New Roman"/>
          <w:szCs w:val="21"/>
        </w:rPr>
        <w:t xml:space="preserve">arm </w:t>
      </w:r>
      <w:proofErr w:type="gramEnd"/>
      <m:oMath>
        <m:sSub>
          <m:sSubPr>
            <m:ctrlPr>
              <w:rPr>
                <w:rFonts w:ascii="Cambria Math" w:hAnsi="Cambria Math" w:cs="Times New Roman"/>
                <w:szCs w:val="21"/>
              </w:rPr>
            </m:ctrlPr>
          </m:sSubPr>
          <m:e>
            <m:r>
              <w:rPr>
                <w:rFonts w:ascii="Cambria Math" w:hAnsi="Cambria Math" w:cs="Times New Roman"/>
                <w:szCs w:val="21"/>
              </w:rPr>
              <m:t>r</m:t>
            </m:r>
          </m:e>
          <m:sub>
            <m:r>
              <m:rPr>
                <m:sty m:val="p"/>
              </m:rPr>
              <w:rPr>
                <w:rFonts w:ascii="Cambria Math" w:hAnsi="Cambria Math" w:cs="Times New Roman"/>
                <w:szCs w:val="21"/>
              </w:rPr>
              <m:t>0</m:t>
            </m:r>
          </m:sub>
        </m:sSub>
        <m:func>
          <m:funcPr>
            <m:ctrlPr>
              <w:rPr>
                <w:rFonts w:ascii="Cambria Math" w:hAnsi="Cambria Math" w:cs="Times New Roman"/>
                <w:szCs w:val="21"/>
              </w:rPr>
            </m:ctrlPr>
          </m:funcPr>
          <m:fName>
            <m:r>
              <m:rPr>
                <m:sty m:val="p"/>
              </m:rPr>
              <w:rPr>
                <w:rFonts w:ascii="Cambria Math" w:hAnsi="Cambria Math" w:cs="Times New Roman"/>
                <w:szCs w:val="21"/>
              </w:rPr>
              <m:t>sin</m:t>
            </m:r>
          </m:fName>
          <m:e>
            <m:d>
              <m:dPr>
                <m:ctrlPr>
                  <w:rPr>
                    <w:rFonts w:ascii="Cambria Math" w:hAnsi="Cambria Math" w:cs="Times New Roman"/>
                    <w:szCs w:val="21"/>
                  </w:rPr>
                </m:ctrlPr>
              </m:dPr>
              <m:e>
                <m:r>
                  <w:rPr>
                    <w:rFonts w:ascii="Cambria Math" w:hAnsi="Cambria Math" w:cs="Times New Roman"/>
                    <w:szCs w:val="21"/>
                  </w:rPr>
                  <m:t>θ</m:t>
                </m:r>
              </m:e>
            </m:d>
          </m:e>
        </m:func>
      </m:oMath>
      <w:r w:rsidRPr="00D41FC5">
        <w:rPr>
          <w:rFonts w:cs="Times New Roman"/>
          <w:szCs w:val="21"/>
        </w:rPr>
        <w:t>. However, calculating the torque by magnetic repulsion is more complex, as the magnetic force has strong nonlinearity.</w:t>
      </w:r>
      <w:bookmarkEnd w:id="14"/>
    </w:p>
    <w:p w14:paraId="6E4CA8D1" w14:textId="157406A2" w:rsidR="001F3EC9" w:rsidRPr="00D41FC5" w:rsidRDefault="001F3EC9" w:rsidP="001E5C75">
      <w:pPr>
        <w:pStyle w:val="IOPText"/>
        <w:rPr>
          <w:rFonts w:cs="Times New Roman"/>
          <w:szCs w:val="21"/>
        </w:rPr>
      </w:pPr>
      <w:r w:rsidRPr="00D41FC5">
        <w:rPr>
          <w:rFonts w:cs="Times New Roman"/>
          <w:szCs w:val="21"/>
        </w:rPr>
        <w:t xml:space="preserve">Usually, the magnetic repulse between two magnets can be obtained through an analytical method </w:t>
      </w:r>
      <w:r w:rsidRPr="00D41FC5">
        <w:rPr>
          <w:rFonts w:cs="Times New Roman"/>
          <w:szCs w:val="21"/>
        </w:rPr>
        <w:fldChar w:fldCharType="begin"/>
      </w:r>
      <w:r w:rsidR="00211226" w:rsidRPr="00D41FC5">
        <w:rPr>
          <w:rFonts w:cs="Times New Roman"/>
          <w:szCs w:val="21"/>
        </w:rPr>
        <w:instrText xml:space="preserve"> ADDIN ZOTERO_ITEM CSL_CITATION {"citationID":"0CI0ZGfX","properties":{"formattedCitation":"[44]","plainCitation":"[44]","noteIndex":0},"citationItems":[{"id":195,"uris":["http://zotero.org/users/5619602/items/YDI5ZTA5"],"uri":["http://zotero.org/users/5619602/items/YDI5ZTA5"],"itemData":{"id":195,"type":"article-journal","container-title":"Sensors and Actuators A: Physical","page":"210–218","title":"Piezoelectric energy harvesting system with magnetic pendulum movement for self-powered safety sensor of trains","volume":"250","author":[{"family":"Cho","given":"Jae Yong"},{"family":"Jeong","given":"Sinwoo"},{"family":"Jabbar","given":"Hamid"},{"family":"Song","given":"Yewon"},{"family":"Ahn","given":"Jung Hwan"},{"family":"Kim","given":"Jeong Hun"},{"family":"Jung","given":"Hyun Jun"},{"family":"Yoo","given":"Hong Hee"},{"family":"Sung","given":"Tae Hyun"}],"issued":{"date-parts":[["2016"]]}}}],"schema":"https://github.com/citation-style-language/schema/raw/master/csl-citation.json"} </w:instrText>
      </w:r>
      <w:r w:rsidRPr="00D41FC5">
        <w:rPr>
          <w:rFonts w:cs="Times New Roman"/>
          <w:szCs w:val="21"/>
        </w:rPr>
        <w:fldChar w:fldCharType="separate"/>
      </w:r>
      <w:r w:rsidR="00211226" w:rsidRPr="00D41FC5">
        <w:rPr>
          <w:rFonts w:cs="Times New Roman"/>
        </w:rPr>
        <w:t>[44]</w:t>
      </w:r>
      <w:r w:rsidRPr="00D41FC5">
        <w:rPr>
          <w:rFonts w:cs="Times New Roman"/>
          <w:szCs w:val="21"/>
        </w:rPr>
        <w:fldChar w:fldCharType="end"/>
      </w:r>
      <w:r w:rsidRPr="00D41FC5">
        <w:rPr>
          <w:rFonts w:cs="Times New Roman"/>
          <w:szCs w:val="21"/>
        </w:rPr>
        <w:t xml:space="preserve">, a numerical method </w:t>
      </w:r>
      <w:r w:rsidRPr="00D41FC5">
        <w:rPr>
          <w:rFonts w:cs="Times New Roman"/>
          <w:szCs w:val="21"/>
        </w:rPr>
        <w:fldChar w:fldCharType="begin"/>
      </w:r>
      <w:r w:rsidR="00211226" w:rsidRPr="00D41FC5">
        <w:rPr>
          <w:rFonts w:cs="Times New Roman"/>
          <w:szCs w:val="21"/>
        </w:rPr>
        <w:instrText xml:space="preserve"> ADDIN ZOTERO_ITEM CSL_CITATION {"citationID":"Iut05ttV","properties":{"formattedCitation":"[45]","plainCitation":"[45]","noteIndex":0},"citationItems":[{"id":196,"uris":["http://zotero.org/users/5619602/items/H9G47G2W"],"uri":["http://zotero.org/users/5619602/items/H9G47G2W"],"itemData":{"id":196,"type":"article-journal","container-title":"Lab on a Chip","issue":"16","page":"2356–2363","title":"Magnetic forces produced by rectangular permanent magnets in static microsystems","volume":"9","author":[{"family":"Gassner","given":"Anne-Laure"},{"family":"Abonnenc","given":"Mélanie"},{"family":"Chen","given":"Hong-Xu"},{"family":"Morandini","given":"Jacques"},{"family":"Josserand","given":"Jacques"},{"family":"Rossier","given":"Joel S"},{"family":"Busnel","given":"Jean-Marc"},{"family":"Girault","given":"Hubert H"}],"issued":{"date-parts":[["2009"]]}}}],"schema":"https://github.com/citation-style-language/schema/raw/master/csl-citation.json"} </w:instrText>
      </w:r>
      <w:r w:rsidRPr="00D41FC5">
        <w:rPr>
          <w:rFonts w:cs="Times New Roman"/>
          <w:szCs w:val="21"/>
        </w:rPr>
        <w:fldChar w:fldCharType="separate"/>
      </w:r>
      <w:r w:rsidR="00211226" w:rsidRPr="00D41FC5">
        <w:rPr>
          <w:rFonts w:cs="Times New Roman"/>
        </w:rPr>
        <w:t>[45]</w:t>
      </w:r>
      <w:r w:rsidRPr="00D41FC5">
        <w:rPr>
          <w:rFonts w:cs="Times New Roman"/>
          <w:szCs w:val="21"/>
        </w:rPr>
        <w:fldChar w:fldCharType="end"/>
      </w:r>
      <w:r w:rsidRPr="00D41FC5">
        <w:rPr>
          <w:rFonts w:cs="Times New Roman"/>
          <w:szCs w:val="21"/>
        </w:rPr>
        <w:t xml:space="preserve">, or an experimental method </w:t>
      </w:r>
      <w:r w:rsidRPr="00D41FC5">
        <w:rPr>
          <w:rFonts w:cs="Times New Roman"/>
          <w:szCs w:val="21"/>
        </w:rPr>
        <w:fldChar w:fldCharType="begin"/>
      </w:r>
      <w:r w:rsidR="00211226" w:rsidRPr="00D41FC5">
        <w:rPr>
          <w:rFonts w:cs="Times New Roman"/>
          <w:szCs w:val="21"/>
        </w:rPr>
        <w:instrText xml:space="preserve"> ADDIN ZOTERO_ITEM CSL_CITATION {"citationID":"avhg2Cx9","properties":{"formattedCitation":"[46]","plainCitation":"[46]","noteIndex":0},"citationItems":[{"id":197,"uris":["http://zotero.org/users/5619602/items/9E8FWBZW"],"uri":["http://zotero.org/users/5619602/items/9E8FWBZW"],"itemData":{"id":197,"type":"article-journal","container-title":"American Journal of Physics","issue":"11","page":"1023–1025","title":"Experiments on magnetic repulsion","volume":"51","author":[{"family":"Defrancesco","given":"S"},{"family":"Zanetti","given":"V"}],"issued":{"date-parts":[["1983"]]}}}],"schema":"https://github.com/citation-style-language/schema/raw/master/csl-citation.json"} </w:instrText>
      </w:r>
      <w:r w:rsidRPr="00D41FC5">
        <w:rPr>
          <w:rFonts w:cs="Times New Roman"/>
          <w:szCs w:val="21"/>
        </w:rPr>
        <w:fldChar w:fldCharType="separate"/>
      </w:r>
      <w:r w:rsidR="00211226" w:rsidRPr="00D41FC5">
        <w:rPr>
          <w:rFonts w:cs="Times New Roman"/>
        </w:rPr>
        <w:t>[46]</w:t>
      </w:r>
      <w:r w:rsidRPr="00D41FC5">
        <w:rPr>
          <w:rFonts w:cs="Times New Roman"/>
          <w:szCs w:val="21"/>
        </w:rPr>
        <w:fldChar w:fldCharType="end"/>
      </w:r>
      <w:r w:rsidRPr="00D41FC5">
        <w:rPr>
          <w:rFonts w:cs="Times New Roman"/>
          <w:szCs w:val="21"/>
        </w:rPr>
        <w:t xml:space="preserve">. An analytical method </w:t>
      </w:r>
      <w:proofErr w:type="gramStart"/>
      <w:r w:rsidRPr="00D41FC5">
        <w:rPr>
          <w:rFonts w:cs="Times New Roman"/>
          <w:szCs w:val="21"/>
        </w:rPr>
        <w:t>is used</w:t>
      </w:r>
      <w:proofErr w:type="gramEnd"/>
      <w:r w:rsidRPr="00D41FC5">
        <w:rPr>
          <w:rFonts w:cs="Times New Roman"/>
          <w:szCs w:val="21"/>
        </w:rPr>
        <w:t xml:space="preserve"> to express the repulsion between fixed and movable magnets, which leads to the recovery torque </w:t>
      </w:r>
      <m:oMath>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m</m:t>
            </m:r>
          </m:sub>
        </m:sSub>
      </m:oMath>
      <w:r w:rsidRPr="00D41FC5">
        <w:rPr>
          <w:rFonts w:cs="Times New Roman"/>
          <w:szCs w:val="21"/>
        </w:rPr>
        <w:t xml:space="preserve"> due to magnetic force below: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881"/>
      </w:tblGrid>
      <w:tr w:rsidR="00D41FC5" w:rsidRPr="00D41FC5" w14:paraId="6037898B" w14:textId="77777777" w:rsidTr="00283514">
        <w:trPr>
          <w:trHeight w:val="274"/>
        </w:trPr>
        <w:tc>
          <w:tcPr>
            <w:tcW w:w="4051" w:type="dxa"/>
            <w:hideMark/>
          </w:tcPr>
          <w:p w14:paraId="553EA77A" w14:textId="77777777" w:rsidR="00283514" w:rsidRPr="00D41FC5" w:rsidRDefault="00C34992" w:rsidP="000B10EA">
            <w:pPr>
              <w:spacing w:beforeLines="25" w:before="60" w:afterLines="25" w:after="60"/>
              <w:ind w:firstLineChars="200" w:firstLine="400"/>
              <w:jc w:val="center"/>
              <w:rPr>
                <w:rFonts w:ascii="Times New Roman" w:hAnsi="Times New Roman" w:cs="Times New Roman"/>
                <w:sz w:val="20"/>
                <w:szCs w:val="20"/>
              </w:rPr>
            </w:pPr>
            <m:oMath>
              <m:sSub>
                <m:sSubPr>
                  <m:ctrlPr>
                    <w:rPr>
                      <w:rFonts w:ascii="Cambria Math" w:hAnsi="Cambria Math" w:cs="Times New Roman"/>
                      <w:iCs/>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m</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m</m:t>
                  </m:r>
                </m:sub>
              </m:sSub>
              <m:r>
                <w:rPr>
                  <w:rFonts w:ascii="Cambria Math" w:hAnsi="Cambria Math" w:cs="Times New Roman"/>
                  <w:sz w:val="20"/>
                  <w:szCs w:val="20"/>
                </w:rPr>
                <m:t>∙R</m:t>
              </m:r>
            </m:oMath>
            <w:r w:rsidR="00283514" w:rsidRPr="00D41FC5">
              <w:rPr>
                <w:rFonts w:ascii="Times New Roman" w:hAnsi="Times New Roman" w:cs="Times New Roman"/>
                <w:sz w:val="20"/>
                <w:szCs w:val="20"/>
              </w:rPr>
              <w:t>,</w:t>
            </w:r>
          </w:p>
        </w:tc>
        <w:tc>
          <w:tcPr>
            <w:tcW w:w="881" w:type="dxa"/>
            <w:hideMark/>
          </w:tcPr>
          <w:p w14:paraId="5FABE330" w14:textId="77777777" w:rsidR="00283514" w:rsidRPr="00D41FC5" w:rsidRDefault="00283514" w:rsidP="000B10EA">
            <w:pPr>
              <w:spacing w:beforeLines="25" w:before="60" w:afterLines="25" w:after="60"/>
              <w:ind w:firstLineChars="200" w:firstLine="400"/>
              <w:rPr>
                <w:rFonts w:ascii="Times New Roman" w:hAnsi="Times New Roman" w:cs="Times New Roman"/>
                <w:sz w:val="20"/>
                <w:szCs w:val="20"/>
              </w:rPr>
            </w:pPr>
            <w:r w:rsidRPr="00D41FC5">
              <w:rPr>
                <w:rFonts w:ascii="Times New Roman" w:hAnsi="Times New Roman" w:cs="Times New Roman"/>
                <w:sz w:val="20"/>
                <w:szCs w:val="20"/>
              </w:rPr>
              <w:t>(2)</w:t>
            </w:r>
          </w:p>
        </w:tc>
      </w:tr>
    </w:tbl>
    <w:p w14:paraId="63C96BF7" w14:textId="22C61DBC" w:rsidR="00283514" w:rsidRPr="00D41FC5" w:rsidRDefault="00283514" w:rsidP="00283514">
      <w:pPr>
        <w:pStyle w:val="IOPText"/>
        <w:ind w:firstLine="0"/>
        <w:rPr>
          <w:rFonts w:cs="Times New Roman"/>
          <w:szCs w:val="21"/>
        </w:rPr>
      </w:pPr>
      <w:proofErr w:type="gramStart"/>
      <w:r w:rsidRPr="00D41FC5">
        <w:rPr>
          <w:rFonts w:cs="Times New Roman"/>
          <w:szCs w:val="21"/>
        </w:rPr>
        <w:t>where</w:t>
      </w:r>
      <w:proofErr w:type="gramEnd"/>
      <w:r w:rsidRPr="00D41FC5">
        <w:rPr>
          <w:rFonts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m</m:t>
            </m:r>
          </m:sub>
        </m:sSub>
      </m:oMath>
      <w:r w:rsidRPr="00D41FC5">
        <w:rPr>
          <w:rFonts w:cs="Times New Roman"/>
          <w:szCs w:val="21"/>
        </w:rPr>
        <w:t xml:space="preserve"> denotes the component of magnetic force in the moving direction of tip magnet; </w:t>
      </w:r>
      <m:oMath>
        <m:r>
          <w:rPr>
            <w:rFonts w:ascii="Cambria Math" w:hAnsi="Cambria Math" w:cs="Times New Roman"/>
            <w:szCs w:val="21"/>
          </w:rPr>
          <m:t>R</m:t>
        </m:r>
      </m:oMath>
      <w:r w:rsidRPr="00D41FC5">
        <w:rPr>
          <w:rFonts w:cs="Times New Roman"/>
          <w:szCs w:val="21"/>
        </w:rPr>
        <w:t xml:space="preserve"> is the radius of the fan-shaped pendulum. By simplifying these permanent magnets as two dipoles,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m</m:t>
            </m:r>
          </m:sub>
        </m:sSub>
      </m:oMath>
      <w:r w:rsidRPr="00D41FC5">
        <w:rPr>
          <w:rFonts w:cs="Times New Roman"/>
          <w:szCs w:val="21"/>
        </w:rPr>
        <w:t xml:space="preserve"> can be expre</w:t>
      </w:r>
      <w:proofErr w:type="spellStart"/>
      <w:r w:rsidRPr="00D41FC5">
        <w:rPr>
          <w:rFonts w:cs="Times New Roman"/>
          <w:szCs w:val="21"/>
        </w:rPr>
        <w:t>ssed</w:t>
      </w:r>
      <w:proofErr w:type="spellEnd"/>
      <w:r w:rsidRPr="00D41FC5">
        <w:rPr>
          <w:rFonts w:cs="Times New Roman"/>
          <w:szCs w:val="21"/>
        </w:rPr>
        <w:t xml:space="preserve"> as follows </w:t>
      </w:r>
      <w:r w:rsidRPr="00D41FC5">
        <w:rPr>
          <w:rFonts w:cs="Times New Roman"/>
          <w:szCs w:val="21"/>
        </w:rPr>
        <w:fldChar w:fldCharType="begin"/>
      </w:r>
      <w:r w:rsidR="00211226" w:rsidRPr="00D41FC5">
        <w:rPr>
          <w:rFonts w:cs="Times New Roman"/>
          <w:szCs w:val="21"/>
        </w:rPr>
        <w:instrText xml:space="preserve"> ADDIN ZOTERO_ITEM CSL_CITATION {"citationID":"i6LxyLG1","properties":{"formattedCitation":"[44,47]","plainCitation":"[44,47]","noteIndex":0},"citationItems":[{"id":195,"uris":["http://zotero.org/users/5619602/items/YDI5ZTA5"],"uri":["http://zotero.org/users/5619602/items/YDI5ZTA5"],"itemData":{"id":195,"type":"article-journal","container-title":"Sensors and Actuators A: Physical","page":"210–218","title":"Piezoelectric energy harvesting system with magnetic pendulum movement for self-powered safety sensor of trains","volume":"250","author":[{"family":"Cho","given":"Jae Yong"},{"family":"Jeong","given":"Sinwoo"},{"family":"Jabbar","given":"Hamid"},{"family":"Song","given":"Yewon"},{"family":"Ahn","given":"Jung Hwan"},{"family":"Kim","given":"Jeong Hun"},{"family":"Jung","given":"Hyun Jun"},{"family":"Yoo","given":"Hong Hee"},{"family":"Sung","given":"Tae Hyun"}],"issued":{"date-parts":[["2016"]]}}},{"id":198,"uris":["http://zotero.org/users/5619602/items/BUQJ2SH3"],"uri":["http://zotero.org/users/5619602/items/BUQJ2SH3"],"itemData":{"id":198,"type":"article-journal","container-title":"Physical Separation in Science and Engineering","issue":"1","page":"39–52","title":"An analytic solution for the force between two magnetic dipoles","volume":"9","author":[{"family":"Yung","given":"Kar W"},{"family":"Landecker","given":"Peter B"},{"family":"Villani","given":"Daniel D"}],"issued":{"date-parts":[["1998"]]}}}],"schema":"https://github.com/citation-style-language/schema/raw/master/csl-citation.json"} </w:instrText>
      </w:r>
      <w:r w:rsidRPr="00D41FC5">
        <w:rPr>
          <w:rFonts w:cs="Times New Roman"/>
          <w:szCs w:val="21"/>
        </w:rPr>
        <w:fldChar w:fldCharType="separate"/>
      </w:r>
      <w:r w:rsidR="00211226" w:rsidRPr="00D41FC5">
        <w:rPr>
          <w:rFonts w:cs="Times New Roman"/>
        </w:rPr>
        <w:t>[44,47]</w:t>
      </w:r>
      <w:r w:rsidRPr="00D41FC5">
        <w:rPr>
          <w:rFonts w:cs="Times New Roman"/>
          <w:szCs w:val="21"/>
        </w:rPr>
        <w:fldChar w:fldCharType="end"/>
      </w:r>
      <w:r w:rsidRPr="00D41FC5">
        <w:rPr>
          <w:rFonts w:cs="Times New Roman"/>
          <w:szCs w:val="21"/>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618"/>
      </w:tblGrid>
      <w:tr w:rsidR="00D41FC5" w:rsidRPr="00D41FC5" w14:paraId="4B3AD4B7" w14:textId="77777777" w:rsidTr="00283514">
        <w:tc>
          <w:tcPr>
            <w:tcW w:w="4314" w:type="dxa"/>
            <w:vAlign w:val="center"/>
            <w:hideMark/>
          </w:tcPr>
          <w:p w14:paraId="422EACFE" w14:textId="77777777" w:rsidR="00283514" w:rsidRPr="00D41FC5" w:rsidRDefault="00C34992" w:rsidP="000B10EA">
            <w:pPr>
              <w:spacing w:beforeLines="25" w:before="60" w:afterLines="25" w:after="60"/>
              <w:ind w:firstLineChars="200" w:firstLine="400"/>
              <w:jc w:val="center"/>
              <w:rPr>
                <w:rFonts w:ascii="Cambria Math" w:hAnsi="Cambria Math" w:cs="Times New Roman"/>
                <w:iCs/>
                <w:sz w:val="20"/>
                <w:szCs w:val="20"/>
              </w:rPr>
            </w:pPr>
            <m:oMathPara>
              <m:oMath>
                <m:sSub>
                  <m:sSubPr>
                    <m:ctrlPr>
                      <w:rPr>
                        <w:rFonts w:ascii="Cambria Math" w:hAnsi="Cambria Math" w:cs="Times New Roman"/>
                        <w:iCs/>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m</m:t>
                    </m:r>
                  </m:sub>
                </m:sSub>
                <m:r>
                  <m:rPr>
                    <m:sty m:val="p"/>
                  </m:rPr>
                  <w:rPr>
                    <w:rFonts w:ascii="Cambria Math" w:hAnsi="Cambria Math" w:cs="Times New Roman"/>
                    <w:sz w:val="20"/>
                    <w:szCs w:val="20"/>
                  </w:rPr>
                  <m:t>=</m:t>
                </m:r>
                <m:f>
                  <m:fPr>
                    <m:ctrlPr>
                      <w:rPr>
                        <w:rFonts w:ascii="Cambria Math" w:hAnsi="Cambria Math" w:cs="Times New Roman"/>
                        <w:iCs/>
                        <w:sz w:val="20"/>
                        <w:szCs w:val="20"/>
                      </w:rPr>
                    </m:ctrlPr>
                  </m:fPr>
                  <m:num>
                    <m:r>
                      <m:rPr>
                        <m:sty m:val="p"/>
                      </m:rPr>
                      <w:rPr>
                        <w:rFonts w:ascii="Cambria Math" w:hAnsi="Cambria Math" w:cs="Times New Roman"/>
                        <w:sz w:val="20"/>
                        <w:szCs w:val="20"/>
                      </w:rPr>
                      <m:t>3</m:t>
                    </m:r>
                    <m:sSub>
                      <m:sSubPr>
                        <m:ctrlPr>
                          <w:rPr>
                            <w:rFonts w:ascii="Cambria Math" w:hAnsi="Cambria Math" w:cs="Times New Roman"/>
                            <w:iCs/>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0</m:t>
                        </m:r>
                      </m:sub>
                    </m:sSub>
                    <m:sSub>
                      <m:sSubPr>
                        <m:ctrlPr>
                          <w:rPr>
                            <w:rFonts w:ascii="Cambria Math" w:hAnsi="Cambria Math" w:cs="Times New Roman"/>
                            <w:iCs/>
                            <w:sz w:val="20"/>
                            <w:szCs w:val="20"/>
                          </w:rPr>
                        </m:ctrlPr>
                      </m:sSubPr>
                      <m:e>
                        <m:r>
                          <w:rPr>
                            <w:rFonts w:ascii="Cambria Math" w:hAnsi="Cambria Math" w:cs="Times New Roman"/>
                            <w:sz w:val="20"/>
                            <w:szCs w:val="20"/>
                          </w:rPr>
                          <m:t>M</m:t>
                        </m:r>
                      </m:e>
                      <m:sub>
                        <m:r>
                          <m:rPr>
                            <m:sty m:val="p"/>
                          </m:rPr>
                          <w:rPr>
                            <w:rFonts w:ascii="Cambria Math" w:hAnsi="Cambria Math" w:cs="Times New Roman"/>
                            <w:sz w:val="20"/>
                            <w:szCs w:val="20"/>
                          </w:rPr>
                          <m:t>a</m:t>
                        </m:r>
                      </m:sub>
                    </m:sSub>
                    <m:sSub>
                      <m:sSubPr>
                        <m:ctrlPr>
                          <w:rPr>
                            <w:rFonts w:ascii="Cambria Math" w:hAnsi="Cambria Math" w:cs="Times New Roman"/>
                            <w:iCs/>
                            <w:sz w:val="20"/>
                            <w:szCs w:val="20"/>
                          </w:rPr>
                        </m:ctrlPr>
                      </m:sSubPr>
                      <m:e>
                        <m:r>
                          <w:rPr>
                            <w:rFonts w:ascii="Cambria Math" w:hAnsi="Cambria Math" w:cs="Times New Roman"/>
                            <w:sz w:val="20"/>
                            <w:szCs w:val="20"/>
                          </w:rPr>
                          <m:t>M</m:t>
                        </m:r>
                      </m:e>
                      <m:sub>
                        <m:r>
                          <m:rPr>
                            <m:sty m:val="p"/>
                          </m:rPr>
                          <w:rPr>
                            <w:rFonts w:ascii="Cambria Math" w:hAnsi="Cambria Math" w:cs="Times New Roman"/>
                            <w:sz w:val="20"/>
                            <w:szCs w:val="20"/>
                          </w:rPr>
                          <m:t>b</m:t>
                        </m:r>
                      </m:sub>
                    </m:sSub>
                  </m:num>
                  <m:den>
                    <m:r>
                      <m:rPr>
                        <m:sty m:val="p"/>
                      </m:rPr>
                      <w:rPr>
                        <w:rFonts w:ascii="Cambria Math" w:hAnsi="Cambria Math" w:cs="Times New Roman"/>
                        <w:sz w:val="20"/>
                        <w:szCs w:val="20"/>
                      </w:rPr>
                      <m:t>4π</m:t>
                    </m:r>
                    <m:sSup>
                      <m:sSupPr>
                        <m:ctrlPr>
                          <w:rPr>
                            <w:rFonts w:ascii="Cambria Math" w:hAnsi="Cambria Math" w:cs="Times New Roman"/>
                            <w:iCs/>
                            <w:sz w:val="20"/>
                            <w:szCs w:val="20"/>
                          </w:rPr>
                        </m:ctrlPr>
                      </m:sSupPr>
                      <m:e>
                        <m:r>
                          <w:rPr>
                            <w:rFonts w:ascii="Cambria Math" w:hAnsi="Cambria Math" w:cs="Times New Roman"/>
                            <w:sz w:val="20"/>
                            <w:szCs w:val="20"/>
                          </w:rPr>
                          <m:t>r</m:t>
                        </m:r>
                      </m:e>
                      <m:sup>
                        <m:r>
                          <m:rPr>
                            <m:sty m:val="p"/>
                          </m:rPr>
                          <w:rPr>
                            <w:rFonts w:ascii="Cambria Math" w:hAnsi="Cambria Math" w:cs="Times New Roman"/>
                            <w:sz w:val="20"/>
                            <w:szCs w:val="20"/>
                          </w:rPr>
                          <m:t>4</m:t>
                        </m:r>
                      </m:sup>
                    </m:sSup>
                  </m:den>
                </m:f>
                <m:d>
                  <m:dPr>
                    <m:begChr m:val="["/>
                    <m:endChr m:val="]"/>
                    <m:ctrlPr>
                      <w:rPr>
                        <w:rFonts w:ascii="Cambria Math" w:hAnsi="Cambria Math" w:cs="Times New Roman"/>
                        <w:iCs/>
                        <w:sz w:val="20"/>
                        <w:szCs w:val="20"/>
                      </w:rPr>
                    </m:ctrlPr>
                  </m:dPr>
                  <m:e>
                    <m:func>
                      <m:funcPr>
                        <m:ctrlPr>
                          <w:rPr>
                            <w:rFonts w:ascii="Cambria Math" w:hAnsi="Cambria Math" w:cs="Times New Roman"/>
                            <w:iCs/>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Cs/>
                                <w:sz w:val="20"/>
                                <w:szCs w:val="20"/>
                              </w:rPr>
                            </m:ctrlPr>
                          </m:dPr>
                          <m:e>
                            <m:r>
                              <w:rPr>
                                <w:rFonts w:ascii="Cambria Math" w:hAnsi="Cambria Math" w:cs="Times New Roman"/>
                                <w:sz w:val="20"/>
                                <w:szCs w:val="20"/>
                              </w:rPr>
                              <m:t>α</m:t>
                            </m:r>
                          </m:e>
                        </m:d>
                        <m:r>
                          <m:rPr>
                            <m:sty m:val="p"/>
                          </m:rPr>
                          <w:rPr>
                            <w:rFonts w:ascii="Cambria Math" w:hAnsi="Cambria Math" w:cs="Times New Roman"/>
                            <w:sz w:val="20"/>
                            <w:szCs w:val="20"/>
                          </w:rPr>
                          <m:t>+3</m:t>
                        </m:r>
                        <m:func>
                          <m:funcPr>
                            <m:ctrlPr>
                              <w:rPr>
                                <w:rFonts w:ascii="Cambria Math" w:hAnsi="Cambria Math" w:cs="Times New Roman"/>
                                <w:iCs/>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Cs/>
                                    <w:sz w:val="20"/>
                                    <w:szCs w:val="20"/>
                                  </w:rPr>
                                </m:ctrlPr>
                              </m:dPr>
                              <m:e>
                                <m:r>
                                  <w:rPr>
                                    <w:rFonts w:ascii="Cambria Math" w:hAnsi="Cambria Math" w:cs="Times New Roman"/>
                                    <w:sz w:val="20"/>
                                    <w:szCs w:val="20"/>
                                  </w:rPr>
                                  <m:t>α</m:t>
                                </m:r>
                                <m:r>
                                  <m:rPr>
                                    <m:sty m:val="p"/>
                                  </m:rPr>
                                  <w:rPr>
                                    <w:rFonts w:ascii="Cambria Math" w:hAnsi="Cambria Math" w:cs="Times New Roman"/>
                                    <w:sz w:val="20"/>
                                    <w:szCs w:val="20"/>
                                  </w:rPr>
                                  <m:t>+</m:t>
                                </m:r>
                                <m:r>
                                  <w:rPr>
                                    <w:rFonts w:ascii="Cambria Math" w:hAnsi="Cambria Math" w:cs="Times New Roman"/>
                                    <w:sz w:val="20"/>
                                    <w:szCs w:val="20"/>
                                  </w:rPr>
                                  <m:t>θ</m:t>
                                </m:r>
                              </m:e>
                            </m:d>
                            <m:r>
                              <m:rPr>
                                <m:sty m:val="p"/>
                              </m:rPr>
                              <w:rPr>
                                <w:rFonts w:ascii="Cambria Math" w:hAnsi="Cambria Math" w:cs="Times New Roman"/>
                                <w:sz w:val="20"/>
                                <w:szCs w:val="20"/>
                              </w:rPr>
                              <m:t>cos</m:t>
                            </m:r>
                            <m:d>
                              <m:dPr>
                                <m:ctrlPr>
                                  <w:rPr>
                                    <w:rFonts w:ascii="Cambria Math" w:hAnsi="Cambria Math" w:cs="Times New Roman"/>
                                    <w:iCs/>
                                    <w:sz w:val="20"/>
                                    <w:szCs w:val="20"/>
                                  </w:rPr>
                                </m:ctrlPr>
                              </m:dPr>
                              <m:e>
                                <m:r>
                                  <w:rPr>
                                    <w:rFonts w:ascii="Cambria Math" w:hAnsi="Cambria Math" w:cs="Times New Roman"/>
                                    <w:sz w:val="20"/>
                                    <w:szCs w:val="20"/>
                                  </w:rPr>
                                  <m:t>θ</m:t>
                                </m:r>
                              </m:e>
                            </m:d>
                          </m:e>
                        </m:func>
                      </m:e>
                    </m:func>
                    <m:r>
                      <m:rPr>
                        <m:sty m:val="p"/>
                      </m:rPr>
                      <w:rPr>
                        <w:rFonts w:ascii="Cambria Math" w:hAnsi="Cambria Math" w:cs="Times New Roman"/>
                        <w:sz w:val="20"/>
                        <w:szCs w:val="20"/>
                      </w:rPr>
                      <m:t>-5</m:t>
                    </m:r>
                    <m:func>
                      <m:funcPr>
                        <m:ctrlPr>
                          <w:rPr>
                            <w:rFonts w:ascii="Cambria Math" w:hAnsi="Cambria Math" w:cs="Times New Roman"/>
                            <w:iCs/>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Cs/>
                                <w:sz w:val="20"/>
                                <w:szCs w:val="20"/>
                              </w:rPr>
                            </m:ctrlPr>
                          </m:dPr>
                          <m:e>
                            <m:r>
                              <w:rPr>
                                <w:rFonts w:ascii="Cambria Math" w:hAnsi="Cambria Math" w:cs="Times New Roman"/>
                                <w:sz w:val="20"/>
                                <w:szCs w:val="20"/>
                              </w:rPr>
                              <m:t>α</m:t>
                            </m:r>
                          </m:e>
                        </m:d>
                        <m:func>
                          <m:funcPr>
                            <m:ctrlPr>
                              <w:rPr>
                                <w:rFonts w:ascii="Cambria Math" w:hAnsi="Cambria Math" w:cs="Times New Roman"/>
                                <w:iCs/>
                                <w:sz w:val="20"/>
                                <w:szCs w:val="20"/>
                              </w:rPr>
                            </m:ctrlPr>
                          </m:funcPr>
                          <m:fName>
                            <m:sSup>
                              <m:sSupPr>
                                <m:ctrlPr>
                                  <w:rPr>
                                    <w:rFonts w:ascii="Cambria Math" w:hAnsi="Cambria Math" w:cs="Times New Roman"/>
                                    <w:iCs/>
                                    <w:sz w:val="20"/>
                                    <w:szCs w:val="20"/>
                                  </w:rPr>
                                </m:ctrlPr>
                              </m:sSupPr>
                              <m:e>
                                <m:r>
                                  <m:rPr>
                                    <m:sty m:val="p"/>
                                  </m:rPr>
                                  <w:rPr>
                                    <w:rFonts w:ascii="Cambria Math" w:hAnsi="Cambria Math" w:cs="Times New Roman"/>
                                    <w:sz w:val="20"/>
                                    <w:szCs w:val="20"/>
                                  </w:rPr>
                                  <m:t>sin</m:t>
                                </m:r>
                              </m:e>
                              <m:sup>
                                <m:r>
                                  <m:rPr>
                                    <m:sty m:val="p"/>
                                  </m:rPr>
                                  <w:rPr>
                                    <w:rFonts w:ascii="Cambria Math" w:hAnsi="Cambria Math" w:cs="Times New Roman"/>
                                    <w:sz w:val="20"/>
                                    <w:szCs w:val="20"/>
                                  </w:rPr>
                                  <m:t>2</m:t>
                                </m:r>
                              </m:sup>
                            </m:sSup>
                          </m:fName>
                          <m:e>
                            <m:d>
                              <m:dPr>
                                <m:ctrlPr>
                                  <w:rPr>
                                    <w:rFonts w:ascii="Cambria Math" w:hAnsi="Cambria Math" w:cs="Times New Roman"/>
                                    <w:iCs/>
                                    <w:sz w:val="20"/>
                                    <w:szCs w:val="20"/>
                                  </w:rPr>
                                </m:ctrlPr>
                              </m:dPr>
                              <m:e>
                                <m:r>
                                  <w:rPr>
                                    <w:rFonts w:ascii="Cambria Math" w:hAnsi="Cambria Math" w:cs="Times New Roman"/>
                                    <w:sz w:val="20"/>
                                    <w:szCs w:val="20"/>
                                  </w:rPr>
                                  <m:t>α</m:t>
                                </m:r>
                                <m:r>
                                  <m:rPr>
                                    <m:sty m:val="p"/>
                                  </m:rPr>
                                  <w:rPr>
                                    <w:rFonts w:ascii="Cambria Math" w:hAnsi="Cambria Math" w:cs="Times New Roman"/>
                                    <w:sz w:val="20"/>
                                    <w:szCs w:val="20"/>
                                  </w:rPr>
                                  <m:t>+</m:t>
                                </m:r>
                                <m:r>
                                  <w:rPr>
                                    <w:rFonts w:ascii="Cambria Math" w:hAnsi="Cambria Math" w:cs="Times New Roman"/>
                                    <w:sz w:val="20"/>
                                    <w:szCs w:val="20"/>
                                  </w:rPr>
                                  <m:t>θ</m:t>
                                </m:r>
                              </m:e>
                            </m:d>
                          </m:e>
                        </m:func>
                      </m:e>
                    </m:func>
                  </m:e>
                </m:d>
              </m:oMath>
            </m:oMathPara>
          </w:p>
        </w:tc>
        <w:tc>
          <w:tcPr>
            <w:tcW w:w="618" w:type="dxa"/>
            <w:vAlign w:val="center"/>
            <w:hideMark/>
          </w:tcPr>
          <w:p w14:paraId="13AF6823" w14:textId="77777777" w:rsidR="00283514" w:rsidRPr="00D41FC5" w:rsidRDefault="00283514" w:rsidP="000B10EA">
            <w:pPr>
              <w:spacing w:beforeLines="25" w:before="60" w:afterLines="25" w:after="60"/>
              <w:jc w:val="center"/>
              <w:rPr>
                <w:rFonts w:ascii="Cambria Math" w:hAnsi="Cambria Math" w:cs="Times New Roman"/>
                <w:iCs/>
                <w:sz w:val="20"/>
                <w:szCs w:val="20"/>
              </w:rPr>
            </w:pPr>
            <w:r w:rsidRPr="00D41FC5">
              <w:rPr>
                <w:rFonts w:ascii="Cambria Math" w:hAnsi="Cambria Math" w:cs="Times New Roman"/>
                <w:iCs/>
                <w:sz w:val="20"/>
                <w:szCs w:val="20"/>
              </w:rPr>
              <w:t>(3)</w:t>
            </w:r>
          </w:p>
        </w:tc>
      </w:tr>
    </w:tbl>
    <w:p w14:paraId="7C065F19" w14:textId="6A6DAB7C" w:rsidR="00283514" w:rsidRPr="00D41FC5" w:rsidRDefault="00283514" w:rsidP="00283514">
      <w:pPr>
        <w:pStyle w:val="IOPText"/>
        <w:ind w:firstLine="0"/>
        <w:rPr>
          <w:rFonts w:cs="Times New Roman"/>
          <w:szCs w:val="21"/>
        </w:rPr>
      </w:pPr>
      <w:proofErr w:type="gramStart"/>
      <w:r w:rsidRPr="00D41FC5">
        <w:rPr>
          <w:rFonts w:cs="Times New Roman"/>
          <w:szCs w:val="21"/>
        </w:rPr>
        <w:t>where</w:t>
      </w:r>
      <w:proofErr w:type="gramEnd"/>
      <w:r w:rsidRPr="00D41FC5">
        <w:rPr>
          <w:rFonts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μ</m:t>
            </m:r>
          </m:e>
          <m:sub>
            <m:r>
              <m:rPr>
                <m:sty m:val="p"/>
              </m:rPr>
              <w:rPr>
                <w:rFonts w:ascii="Cambria Math" w:hAnsi="Cambria Math" w:cs="Times New Roman"/>
                <w:szCs w:val="21"/>
              </w:rPr>
              <m:t>0</m:t>
            </m:r>
          </m:sub>
        </m:sSub>
      </m:oMath>
      <w:r w:rsidRPr="00D41FC5">
        <w:rPr>
          <w:rFonts w:cs="Times New Roman"/>
          <w:szCs w:val="21"/>
        </w:rPr>
        <w:t xml:space="preserve"> is the permeability of free space, which has an exact value of 4</w:t>
      </w:r>
      <m:oMath>
        <m:r>
          <m:rPr>
            <m:sty m:val="p"/>
          </m:rPr>
          <w:rPr>
            <w:rFonts w:ascii="Cambria Math" w:hAnsi="Cambria Math" w:cs="Times New Roman"/>
            <w:szCs w:val="21"/>
          </w:rPr>
          <m:t>π</m:t>
        </m:r>
      </m:oMath>
      <w:r w:rsidRPr="00D41FC5">
        <w:rPr>
          <w:rFonts w:cs="Times New Roman"/>
          <w:szCs w:val="21"/>
        </w:rPr>
        <w:t xml:space="preserve">E-7 </w:t>
      </w:r>
      <m:oMath>
        <m:r>
          <m:rPr>
            <m:sty m:val="p"/>
          </m:rPr>
          <w:rPr>
            <w:rFonts w:ascii="Cambria Math" w:hAnsi="Cambria Math" w:cs="Times New Roman"/>
            <w:szCs w:val="21"/>
          </w:rPr>
          <m:t>H/m</m:t>
        </m:r>
      </m:oMath>
      <w:r w:rsidRPr="00D41FC5">
        <w:rPr>
          <w:rFonts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M</m:t>
            </m:r>
          </m:e>
          <m:sub>
            <m:r>
              <m:rPr>
                <m:sty m:val="p"/>
              </m:rPr>
              <w:rPr>
                <w:rFonts w:ascii="Cambria Math" w:hAnsi="Cambria Math" w:cs="Times New Roman"/>
                <w:szCs w:val="21"/>
              </w:rPr>
              <m:t>a</m:t>
            </m:r>
          </m:sub>
        </m:sSub>
      </m:oMath>
      <w:r w:rsidRPr="00D41FC5">
        <w:rPr>
          <w:rFonts w:cs="Times New Roman"/>
          <w:szCs w:val="21"/>
        </w:rPr>
        <w:t xml:space="preserve"> and </w:t>
      </w:r>
      <m:oMath>
        <m:sSub>
          <m:sSubPr>
            <m:ctrlPr>
              <w:rPr>
                <w:rFonts w:ascii="Cambria Math" w:hAnsi="Cambria Math" w:cs="Times New Roman"/>
                <w:szCs w:val="21"/>
              </w:rPr>
            </m:ctrlPr>
          </m:sSubPr>
          <m:e>
            <m:r>
              <w:rPr>
                <w:rFonts w:ascii="Cambria Math" w:hAnsi="Cambria Math" w:cs="Times New Roman"/>
                <w:szCs w:val="21"/>
              </w:rPr>
              <m:t>M</m:t>
            </m:r>
          </m:e>
          <m:sub>
            <m:r>
              <m:rPr>
                <m:sty m:val="p"/>
              </m:rPr>
              <w:rPr>
                <w:rFonts w:ascii="Cambria Math" w:hAnsi="Cambria Math" w:cs="Times New Roman"/>
                <w:szCs w:val="21"/>
              </w:rPr>
              <m:t>b</m:t>
            </m:r>
          </m:sub>
        </m:sSub>
      </m:oMath>
      <w:r w:rsidRPr="00D41FC5">
        <w:rPr>
          <w:rFonts w:cs="Times New Roman"/>
          <w:szCs w:val="21"/>
        </w:rPr>
        <w:t xml:space="preserve"> are the magnetic dipole moments of the two magnets; </w:t>
      </w:r>
      <m:oMath>
        <m:r>
          <w:rPr>
            <w:rFonts w:ascii="Cambria Math" w:hAnsi="Cambria Math" w:cs="Times New Roman"/>
            <w:szCs w:val="21"/>
          </w:rPr>
          <m:t>r</m:t>
        </m:r>
      </m:oMath>
      <w:r w:rsidRPr="00D41FC5">
        <w:rPr>
          <w:rFonts w:cs="Times New Roman"/>
          <w:szCs w:val="21"/>
        </w:rPr>
        <w:t xml:space="preserve"> is the distance between the centres of the two magnets.</w:t>
      </w:r>
      <m:oMath>
        <m:r>
          <m:rPr>
            <m:sty m:val="p"/>
          </m:rPr>
          <w:rPr>
            <w:rFonts w:ascii="Cambria Math" w:hAnsi="Cambria Math" w:cs="Times New Roman"/>
            <w:szCs w:val="21"/>
          </w:rPr>
          <m:t xml:space="preserve"> </m:t>
        </m:r>
        <m:r>
          <w:rPr>
            <w:rFonts w:ascii="Cambria Math" w:hAnsi="Cambria Math" w:cs="Times New Roman"/>
            <w:szCs w:val="21"/>
          </w:rPr>
          <m:t>α</m:t>
        </m:r>
      </m:oMath>
      <w:r w:rsidRPr="00D41FC5">
        <w:rPr>
          <w:rFonts w:cs="Times New Roman"/>
          <w:szCs w:val="21"/>
        </w:rPr>
        <w:t xml:space="preserve"> </w:t>
      </w:r>
      <w:proofErr w:type="gramStart"/>
      <w:r w:rsidRPr="00D41FC5">
        <w:rPr>
          <w:rFonts w:cs="Times New Roman"/>
          <w:szCs w:val="21"/>
        </w:rPr>
        <w:t>is</w:t>
      </w:r>
      <w:proofErr w:type="gramEnd"/>
      <w:r w:rsidRPr="00D41FC5">
        <w:rPr>
          <w:rFonts w:cs="Times New Roman"/>
          <w:szCs w:val="21"/>
        </w:rPr>
        <w:t xml:space="preserve"> a function of </w:t>
      </w:r>
      <m:oMath>
        <m:r>
          <w:rPr>
            <w:rFonts w:ascii="Cambria Math" w:hAnsi="Cambria Math" w:cs="Times New Roman"/>
            <w:szCs w:val="21"/>
          </w:rPr>
          <m:t>θ</m:t>
        </m:r>
      </m:oMath>
      <w:r w:rsidRPr="00D41FC5">
        <w:rPr>
          <w:rFonts w:cs="Times New Roman"/>
          <w:szCs w:val="21"/>
        </w:rPr>
        <w:t xml:space="preserve">, </w:t>
      </w:r>
      <m:oMath>
        <m:r>
          <w:rPr>
            <w:rFonts w:ascii="Cambria Math" w:hAnsi="Cambria Math" w:cs="Times New Roman"/>
            <w:szCs w:val="21"/>
          </w:rPr>
          <m:t>R</m:t>
        </m:r>
      </m:oMath>
      <w:r w:rsidRPr="00D41FC5">
        <w:rPr>
          <w:rFonts w:cs="Times New Roman"/>
          <w:szCs w:val="21"/>
        </w:rPr>
        <w:t xml:space="preserve">, and </w:t>
      </w:r>
      <m:oMath>
        <m:r>
          <w:rPr>
            <w:rFonts w:ascii="Cambria Math" w:hAnsi="Cambria Math" w:cs="Times New Roman"/>
            <w:szCs w:val="21"/>
          </w:rPr>
          <m:t>D</m:t>
        </m:r>
      </m:oMath>
      <w:r w:rsidRPr="00D41FC5">
        <w:rPr>
          <w:rFonts w:cs="Times New Roman"/>
          <w:szCs w:val="21"/>
        </w:rPr>
        <w:t>, which can be written as: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893"/>
      </w:tblGrid>
      <w:tr w:rsidR="00D41FC5" w:rsidRPr="00D41FC5" w14:paraId="1854581B" w14:textId="77777777" w:rsidTr="00911EB8">
        <w:trPr>
          <w:trHeight w:val="274"/>
        </w:trPr>
        <w:tc>
          <w:tcPr>
            <w:tcW w:w="4051" w:type="dxa"/>
            <w:vAlign w:val="center"/>
            <w:hideMark/>
          </w:tcPr>
          <w:p w14:paraId="24DC7522" w14:textId="0DC01216" w:rsidR="00283514" w:rsidRPr="00D41FC5" w:rsidRDefault="00283514" w:rsidP="000B10EA">
            <w:pPr>
              <w:spacing w:beforeLines="25" w:before="60" w:afterLines="25" w:after="60"/>
              <w:ind w:firstLineChars="200" w:firstLine="400"/>
              <w:jc w:val="center"/>
              <w:rPr>
                <w:rFonts w:ascii="Cambria Math" w:hAnsi="Cambria Math" w:cs="Times New Roman"/>
                <w:iCs/>
                <w:sz w:val="20"/>
                <w:szCs w:val="20"/>
              </w:rPr>
            </w:pPr>
            <m:oMathPara>
              <m:oMath>
                <m:r>
                  <w:rPr>
                    <w:rFonts w:ascii="Cambria Math" w:hAnsi="Cambria Math" w:cs="Times New Roman"/>
                    <w:sz w:val="20"/>
                    <w:szCs w:val="20"/>
                  </w:rPr>
                  <m:t>α</m:t>
                </m:r>
                <m:r>
                  <m:rPr>
                    <m:sty m:val="p"/>
                  </m:rPr>
                  <w:rPr>
                    <w:rFonts w:ascii="Cambria Math" w:hAnsi="Cambria Math" w:cs="Times New Roman"/>
                    <w:sz w:val="20"/>
                    <w:szCs w:val="20"/>
                  </w:rPr>
                  <m:t>=arctan</m:t>
                </m:r>
                <m:d>
                  <m:dPr>
                    <m:ctrlPr>
                      <w:rPr>
                        <w:rFonts w:ascii="Cambria Math" w:hAnsi="Cambria Math" w:cs="Times New Roman"/>
                        <w:iCs/>
                        <w:sz w:val="20"/>
                        <w:szCs w:val="20"/>
                      </w:rPr>
                    </m:ctrlPr>
                  </m:dPr>
                  <m:e>
                    <m:f>
                      <m:fPr>
                        <m:ctrlPr>
                          <w:rPr>
                            <w:rFonts w:ascii="Cambria Math" w:hAnsi="Cambria Math" w:cs="Times New Roman"/>
                            <w:iCs/>
                            <w:sz w:val="20"/>
                            <w:szCs w:val="20"/>
                          </w:rPr>
                        </m:ctrlPr>
                      </m:fPr>
                      <m:num>
                        <m:r>
                          <w:rPr>
                            <w:rFonts w:ascii="Cambria Math" w:hAnsi="Cambria Math" w:cs="Times New Roman"/>
                            <w:sz w:val="20"/>
                            <w:szCs w:val="20"/>
                          </w:rPr>
                          <m:t>R</m:t>
                        </m:r>
                        <m:r>
                          <m:rPr>
                            <m:sty m:val="p"/>
                          </m:rPr>
                          <w:rPr>
                            <w:rFonts w:ascii="Cambria Math" w:hAnsi="Cambria Math" w:cs="Times New Roman"/>
                            <w:sz w:val="20"/>
                            <w:szCs w:val="20"/>
                          </w:rPr>
                          <m:t>∙sin</m:t>
                        </m:r>
                        <m:d>
                          <m:dPr>
                            <m:ctrlPr>
                              <w:rPr>
                                <w:rFonts w:ascii="Cambria Math" w:hAnsi="Cambria Math" w:cs="Times New Roman"/>
                                <w:iCs/>
                                <w:sz w:val="20"/>
                                <w:szCs w:val="20"/>
                              </w:rPr>
                            </m:ctrlPr>
                          </m:dPr>
                          <m:e>
                            <m:r>
                              <w:rPr>
                                <w:rFonts w:ascii="Cambria Math" w:hAnsi="Cambria Math" w:cs="Times New Roman"/>
                                <w:sz w:val="20"/>
                                <w:szCs w:val="20"/>
                              </w:rPr>
                              <m:t>θ</m:t>
                            </m:r>
                          </m:e>
                        </m:d>
                      </m:num>
                      <m:den>
                        <m:d>
                          <m:dPr>
                            <m:ctrlPr>
                              <w:rPr>
                                <w:rFonts w:ascii="Cambria Math" w:hAnsi="Cambria Math" w:cs="Times New Roman"/>
                                <w:iCs/>
                                <w:sz w:val="20"/>
                                <w:szCs w:val="20"/>
                              </w:rPr>
                            </m:ctrlPr>
                          </m:dPr>
                          <m:e>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D</m:t>
                            </m:r>
                          </m:e>
                        </m:d>
                        <m:r>
                          <m:rPr>
                            <m:sty m:val="p"/>
                          </m:rPr>
                          <w:rPr>
                            <w:rFonts w:ascii="Cambria Math" w:hAnsi="Cambria Math" w:cs="Times New Roman"/>
                            <w:sz w:val="20"/>
                            <w:szCs w:val="20"/>
                          </w:rPr>
                          <m:t>-</m:t>
                        </m:r>
                        <m:r>
                          <w:rPr>
                            <w:rFonts w:ascii="Cambria Math" w:hAnsi="Cambria Math" w:cs="Times New Roman"/>
                            <w:sz w:val="20"/>
                            <w:szCs w:val="20"/>
                          </w:rPr>
                          <m:t>R</m:t>
                        </m:r>
                        <m:r>
                          <m:rPr>
                            <m:sty m:val="p"/>
                          </m:rPr>
                          <w:rPr>
                            <w:rFonts w:ascii="Cambria Math" w:hAnsi="Cambria Math" w:cs="Times New Roman"/>
                            <w:sz w:val="20"/>
                            <w:szCs w:val="20"/>
                          </w:rPr>
                          <m:t>∙cos(</m:t>
                        </m:r>
                        <m:r>
                          <w:rPr>
                            <w:rFonts w:ascii="Cambria Math" w:hAnsi="Cambria Math" w:cs="Times New Roman"/>
                            <w:sz w:val="20"/>
                            <w:szCs w:val="20"/>
                          </w:rPr>
                          <m:t>θ</m:t>
                        </m:r>
                        <m:r>
                          <m:rPr>
                            <m:sty m:val="p"/>
                          </m:rPr>
                          <w:rPr>
                            <w:rFonts w:ascii="Cambria Math" w:hAnsi="Cambria Math" w:cs="Times New Roman"/>
                            <w:sz w:val="20"/>
                            <w:szCs w:val="20"/>
                          </w:rPr>
                          <m:t>)</m:t>
                        </m:r>
                      </m:den>
                    </m:f>
                  </m:e>
                </m:d>
              </m:oMath>
            </m:oMathPara>
          </w:p>
        </w:tc>
        <w:tc>
          <w:tcPr>
            <w:tcW w:w="881" w:type="dxa"/>
            <w:vAlign w:val="center"/>
            <w:hideMark/>
          </w:tcPr>
          <w:p w14:paraId="38866EC5" w14:textId="14548389" w:rsidR="00283514" w:rsidRPr="00D41FC5" w:rsidRDefault="00283514" w:rsidP="000B10EA">
            <w:pPr>
              <w:spacing w:beforeLines="25" w:before="60" w:afterLines="25" w:after="60"/>
              <w:ind w:firstLineChars="200" w:firstLine="400"/>
              <w:jc w:val="center"/>
              <w:rPr>
                <w:rFonts w:ascii="Cambria Math" w:hAnsi="Cambria Math" w:cs="Times New Roman"/>
                <w:iCs/>
                <w:sz w:val="20"/>
                <w:szCs w:val="20"/>
              </w:rPr>
            </w:pPr>
            <w:r w:rsidRPr="00D41FC5">
              <w:rPr>
                <w:rFonts w:ascii="Cambria Math" w:hAnsi="Cambria Math" w:cs="Times New Roman"/>
                <w:iCs/>
                <w:sz w:val="20"/>
                <w:szCs w:val="20"/>
              </w:rPr>
              <w:t>(</w:t>
            </w:r>
            <w:r w:rsidRPr="00D41FC5">
              <w:rPr>
                <w:rFonts w:ascii="Cambria Math" w:hAnsi="Cambria Math" w:cs="Times New Roman" w:hint="eastAsia"/>
                <w:iCs/>
                <w:sz w:val="20"/>
                <w:szCs w:val="20"/>
              </w:rPr>
              <w:t>4</w:t>
            </w:r>
            <w:r w:rsidRPr="00D41FC5">
              <w:rPr>
                <w:rFonts w:ascii="Cambria Math" w:hAnsi="Cambria Math" w:cs="Times New Roman"/>
                <w:iCs/>
                <w:sz w:val="20"/>
                <w:szCs w:val="20"/>
              </w:rPr>
              <w:t>)</w:t>
            </w:r>
          </w:p>
        </w:tc>
      </w:tr>
    </w:tbl>
    <w:p w14:paraId="619DF75F" w14:textId="77777777" w:rsidR="00283514" w:rsidRPr="00D41FC5" w:rsidRDefault="00283514" w:rsidP="00283514">
      <w:pPr>
        <w:pStyle w:val="IOPText"/>
        <w:ind w:firstLine="0"/>
        <w:rPr>
          <w:rFonts w:cs="Times New Roman"/>
          <w:szCs w:val="21"/>
        </w:rPr>
      </w:pPr>
      <w:proofErr w:type="gramStart"/>
      <w:r w:rsidRPr="00D41FC5">
        <w:rPr>
          <w:rFonts w:cs="Times New Roman"/>
          <w:szCs w:val="21"/>
        </w:rPr>
        <w:t>where</w:t>
      </w:r>
      <w:proofErr w:type="gramEnd"/>
      <w:r w:rsidRPr="00D41FC5">
        <w:rPr>
          <w:rFonts w:cs="Times New Roman"/>
          <w:szCs w:val="21"/>
        </w:rPr>
        <w:t xml:space="preserve"> </w:t>
      </w:r>
      <m:oMath>
        <m:r>
          <w:rPr>
            <w:rFonts w:ascii="Cambria Math" w:hAnsi="Cambria Math" w:cs="Times New Roman"/>
            <w:szCs w:val="21"/>
          </w:rPr>
          <m:t>D</m:t>
        </m:r>
      </m:oMath>
      <w:r w:rsidRPr="00D41FC5">
        <w:rPr>
          <w:rFonts w:cs="Times New Roman"/>
          <w:szCs w:val="21"/>
        </w:rPr>
        <w:t xml:space="preserve"> is the distance between the tip and fixed magnets when the angular displacement </w:t>
      </w:r>
      <m:oMath>
        <m:r>
          <w:rPr>
            <w:rFonts w:ascii="Cambria Math" w:hAnsi="Cambria Math" w:cs="Times New Roman"/>
            <w:szCs w:val="21"/>
          </w:rPr>
          <m:t>θ</m:t>
        </m:r>
      </m:oMath>
      <w:r w:rsidRPr="00D41FC5">
        <w:rPr>
          <w:rFonts w:cs="Times New Roman"/>
          <w:szCs w:val="21"/>
        </w:rPr>
        <w:t xml:space="preserve"> equals 0. The definition of some critical variables </w:t>
      </w:r>
      <w:proofErr w:type="gramStart"/>
      <w:r w:rsidRPr="00D41FC5">
        <w:rPr>
          <w:rFonts w:cs="Times New Roman"/>
          <w:szCs w:val="21"/>
        </w:rPr>
        <w:t>is presented</w:t>
      </w:r>
      <w:proofErr w:type="gramEnd"/>
      <w:r w:rsidRPr="00D41FC5">
        <w:rPr>
          <w:rFonts w:cs="Times New Roman"/>
          <w:szCs w:val="21"/>
        </w:rPr>
        <w:t xml:space="preserve"> in Figure 2. By substituting Eq. (3) into Eq. (2), the recovery torque by magnetic force </w:t>
      </w:r>
      <w:proofErr w:type="gramStart"/>
      <w:r w:rsidRPr="00D41FC5">
        <w:rPr>
          <w:rFonts w:cs="Times New Roman"/>
          <w:szCs w:val="21"/>
        </w:rPr>
        <w:t>can be derived</w:t>
      </w:r>
      <w:proofErr w:type="gramEnd"/>
      <w:r w:rsidRPr="00D41FC5">
        <w:rPr>
          <w:rFonts w:cs="Times New Roman"/>
          <w:szCs w:val="21"/>
        </w:rPr>
        <w:t>.</w:t>
      </w:r>
    </w:p>
    <w:p w14:paraId="485BF3E9" w14:textId="23F26A5D" w:rsidR="00C42076" w:rsidRPr="00D41FC5" w:rsidRDefault="00F9059A" w:rsidP="00F9059A">
      <w:pPr>
        <w:pStyle w:val="IOPText"/>
        <w:jc w:val="center"/>
        <w:rPr>
          <w:noProof/>
        </w:rPr>
      </w:pPr>
      <w:r w:rsidRPr="00D41FC5">
        <w:rPr>
          <w:rFonts w:cs="Times New Roman"/>
          <w:noProof/>
          <w:lang w:eastAsia="zh-CN"/>
        </w:rPr>
        <w:drawing>
          <wp:inline distT="0" distB="0" distL="0" distR="0" wp14:anchorId="25E735BF" wp14:editId="75820CC0">
            <wp:extent cx="1710994" cy="1889903"/>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2172" cy="1946432"/>
                    </a:xfrm>
                    <a:prstGeom prst="rect">
                      <a:avLst/>
                    </a:prstGeom>
                  </pic:spPr>
                </pic:pic>
              </a:graphicData>
            </a:graphic>
          </wp:inline>
        </w:drawing>
      </w:r>
    </w:p>
    <w:p w14:paraId="12C59EBD" w14:textId="6A86681F" w:rsidR="00C42076" w:rsidRPr="00D41FC5" w:rsidRDefault="00F9059A" w:rsidP="0085699F">
      <w:pPr>
        <w:pStyle w:val="IOPText"/>
        <w:spacing w:afterLines="50" w:after="120"/>
        <w:ind w:firstLine="0"/>
        <w:rPr>
          <w:noProof/>
        </w:rPr>
      </w:pPr>
      <w:r w:rsidRPr="00D41FC5">
        <w:rPr>
          <w:noProof/>
        </w:rPr>
        <w:t>Figure 2. Definition of some critical variables</w:t>
      </w:r>
    </w:p>
    <w:p w14:paraId="15C03FF9" w14:textId="0B35B282" w:rsidR="00C42076" w:rsidRPr="00D41FC5" w:rsidRDefault="00F9059A" w:rsidP="0085699F">
      <w:pPr>
        <w:pStyle w:val="IOPText"/>
        <w:spacing w:beforeLines="20" w:before="48" w:afterLines="20" w:after="48"/>
        <w:rPr>
          <w:noProof/>
        </w:rPr>
      </w:pPr>
      <w:r w:rsidRPr="00D41FC5">
        <w:rPr>
          <w:noProof/>
        </w:rPr>
        <w:t xml:space="preserve">Figure 3(a) describes the force diagram of the pendulum-flywheel VEH. For simplifying analysis, this harvester is divided into two subsystems, namely, the inertial-motion subsystem and the energy-conversion subsystem. The inertial-motion subsystem includes the fan-shaped pendulum, the annular gear, and the tip magnet. The energy-conversion subsystem is composed of the pinion gear and the DC generator. </w:t>
      </w:r>
      <w:r w:rsidR="00BC5322" w:rsidRPr="00D41FC5">
        <w:rPr>
          <w:noProof/>
        </w:rPr>
        <w:t>According to</w:t>
      </w:r>
      <w:r w:rsidR="00BC5322" w:rsidRPr="00D41FC5">
        <w:t xml:space="preserve"> </w:t>
      </w:r>
      <w:r w:rsidR="00BC5322" w:rsidRPr="00D41FC5">
        <w:rPr>
          <w:noProof/>
        </w:rPr>
        <w:t>D'Alembert's principle, t</w:t>
      </w:r>
      <w:r w:rsidRPr="00D41FC5">
        <w:rPr>
          <w:noProof/>
        </w:rPr>
        <w:t>he dynamic equation of the inertial-motion subsystem can be written as follows: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73"/>
      </w:tblGrid>
      <w:tr w:rsidR="00D41FC5" w:rsidRPr="00D41FC5" w14:paraId="0A379B32" w14:textId="77777777" w:rsidTr="001C488D">
        <w:tc>
          <w:tcPr>
            <w:tcW w:w="7792" w:type="dxa"/>
            <w:hideMark/>
          </w:tcPr>
          <w:bookmarkStart w:id="15" w:name="_Hlk44572772"/>
          <w:p w14:paraId="136866C0" w14:textId="19CFAE04" w:rsidR="008A5256" w:rsidRPr="00D41FC5" w:rsidRDefault="00C34992" w:rsidP="000B10EA">
            <w:pPr>
              <w:snapToGrid w:val="0"/>
              <w:spacing w:beforeLines="25" w:before="60" w:afterLines="25" w:after="60"/>
              <w:jc w:val="center"/>
              <w:textAlignment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J</m:t>
                    </m:r>
                  </m:e>
                  <m:sub>
                    <m:r>
                      <m:rPr>
                        <m:sty m:val="p"/>
                      </m:rPr>
                      <w:rPr>
                        <w:rFonts w:ascii="Cambria Math" w:hAnsi="Cambria Math" w:cs="Times New Roman"/>
                        <w:sz w:val="20"/>
                        <w:szCs w:val="20"/>
                      </w:rPr>
                      <m:t>1</m:t>
                    </m:r>
                  </m:sub>
                </m:sSub>
                <m:acc>
                  <m:accPr>
                    <m:chr m:val="̈"/>
                    <m:ctrlPr>
                      <w:rPr>
                        <w:rFonts w:ascii="Cambria Math" w:hAnsi="Cambria Math" w:cs="Times New Roman"/>
                        <w:sz w:val="20"/>
                        <w:szCs w:val="20"/>
                      </w:rPr>
                    </m:ctrlPr>
                  </m:accPr>
                  <m:e>
                    <m:r>
                      <w:rPr>
                        <w:rFonts w:ascii="Cambria Math" w:hAnsi="Cambria Math" w:cs="Times New Roman"/>
                        <w:sz w:val="20"/>
                        <w:szCs w:val="20"/>
                      </w:rPr>
                      <m:t>θ</m:t>
                    </m:r>
                  </m:e>
                </m:acc>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m:rPr>
                        <m:sty m:val="p"/>
                      </m:rPr>
                      <w:rPr>
                        <w:rFonts w:ascii="Cambria Math" w:hAnsi="Cambria Math" w:cs="Times New Roman"/>
                        <w:sz w:val="20"/>
                        <w:szCs w:val="20"/>
                      </w:rPr>
                      <m:t>1</m:t>
                    </m:r>
                  </m:sub>
                </m:sSub>
                <m:acc>
                  <m:accPr>
                    <m:chr m:val="̇"/>
                    <m:ctrlPr>
                      <w:rPr>
                        <w:rFonts w:ascii="Cambria Math" w:hAnsi="Cambria Math" w:cs="Times New Roman"/>
                        <w:sz w:val="20"/>
                        <w:szCs w:val="20"/>
                      </w:rPr>
                    </m:ctrlPr>
                  </m:accPr>
                  <m:e>
                    <m:r>
                      <w:rPr>
                        <w:rFonts w:ascii="Cambria Math" w:hAnsi="Cambria Math" w:cs="Times New Roman"/>
                        <w:sz w:val="20"/>
                        <w:szCs w:val="20"/>
                      </w:rPr>
                      <m:t>θ</m:t>
                    </m:r>
                  </m:e>
                </m:acc>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m</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g</m:t>
                    </m:r>
                  </m:sub>
                </m:sSub>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t</m:t>
                    </m:r>
                  </m:sub>
                </m:sSub>
                <m:r>
                  <w:rPr>
                    <w:rFonts w:ascii="Cambria Math" w:hAnsi="Cambria Math" w:cs="Times New Roman"/>
                    <w:sz w:val="20"/>
                    <w:szCs w:val="20"/>
                  </w:rPr>
                  <m:t>R</m:t>
                </m:r>
                <m:r>
                  <m:rPr>
                    <m:sty m:val="p"/>
                  </m:rPr>
                  <w:rPr>
                    <w:rFonts w:ascii="Cambria Math" w:hAnsi="Cambria Math" w:cs="Times New Roman"/>
                    <w:sz w:val="20"/>
                    <w:szCs w:val="20"/>
                  </w:rPr>
                  <m:t>=-</m:t>
                </m:r>
                <m:r>
                  <w:rPr>
                    <w:rFonts w:ascii="Cambria Math" w:hAnsi="Cambria Math" w:cs="Times New Roman"/>
                    <w:sz w:val="20"/>
                    <w:szCs w:val="20"/>
                  </w:rPr>
                  <m:t>m</m:t>
                </m:r>
                <m:acc>
                  <m:accPr>
                    <m:chr m:val="̈"/>
                    <m:ctrlPr>
                      <w:rPr>
                        <w:rFonts w:ascii="Cambria Math" w:hAnsi="Cambria Math" w:cs="Times New Roman"/>
                        <w:sz w:val="20"/>
                        <w:szCs w:val="20"/>
                      </w:rPr>
                    </m:ctrlPr>
                  </m:accPr>
                  <m:e>
                    <m:r>
                      <w:rPr>
                        <w:rFonts w:ascii="Cambria Math" w:hAnsi="Cambria Math" w:cs="Times New Roman"/>
                        <w:sz w:val="20"/>
                        <w:szCs w:val="20"/>
                      </w:rPr>
                      <m:t>z</m:t>
                    </m:r>
                  </m:e>
                </m:acc>
                <m:sSub>
                  <m:sSubPr>
                    <m:ctrlPr>
                      <w:rPr>
                        <w:rFonts w:ascii="Cambria Math" w:hAnsi="Cambria Math" w:cs="Times New Roman"/>
                        <w:sz w:val="20"/>
                        <w:szCs w:val="20"/>
                      </w:rPr>
                    </m:ctrlPr>
                  </m:sSubPr>
                  <m:e>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r</m:t>
                    </m:r>
                  </m:e>
                  <m:sub>
                    <m:r>
                      <m:rPr>
                        <m:sty m:val="p"/>
                      </m:rPr>
                      <w:rPr>
                        <w:rFonts w:ascii="Cambria Math" w:hAnsi="Cambria Math" w:cs="Times New Roman"/>
                        <w:sz w:val="20"/>
                        <w:szCs w:val="20"/>
                      </w:rPr>
                      <m:t>0</m:t>
                    </m:r>
                  </m:sub>
                </m:sSub>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fName>
                  <m:e>
                    <m:d>
                      <m:dPr>
                        <m:ctrlPr>
                          <w:rPr>
                            <w:rFonts w:ascii="Cambria Math" w:hAnsi="Cambria Math" w:cs="Times New Roman"/>
                            <w:sz w:val="20"/>
                            <w:szCs w:val="20"/>
                          </w:rPr>
                        </m:ctrlPr>
                      </m:dPr>
                      <m:e>
                        <m:r>
                          <w:rPr>
                            <w:rFonts w:ascii="Cambria Math" w:hAnsi="Cambria Math" w:cs="Times New Roman"/>
                            <w:sz w:val="20"/>
                            <w:szCs w:val="20"/>
                          </w:rPr>
                          <m:t>θ</m:t>
                        </m:r>
                      </m:e>
                    </m:d>
                  </m:e>
                </m:func>
                <m:r>
                  <w:rPr>
                    <w:rFonts w:ascii="Cambria Math" w:hAnsi="Cambria Math" w:cs="Times New Roman"/>
                    <w:sz w:val="20"/>
                    <w:szCs w:val="20"/>
                  </w:rPr>
                  <m:t>,</m:t>
                </m:r>
              </m:oMath>
            </m:oMathPara>
          </w:p>
        </w:tc>
        <w:tc>
          <w:tcPr>
            <w:tcW w:w="504" w:type="dxa"/>
            <w:hideMark/>
          </w:tcPr>
          <w:p w14:paraId="273A7F6F" w14:textId="77777777" w:rsidR="008A5256" w:rsidRPr="00D41FC5" w:rsidRDefault="008A5256" w:rsidP="000B10EA">
            <w:pPr>
              <w:snapToGrid w:val="0"/>
              <w:spacing w:beforeLines="25" w:before="60" w:afterLines="25" w:after="60"/>
              <w:textAlignment w:val="center"/>
              <w:rPr>
                <w:rFonts w:ascii="Times New Roman" w:hAnsi="Times New Roman" w:cs="Times New Roman"/>
                <w:sz w:val="20"/>
                <w:szCs w:val="20"/>
              </w:rPr>
            </w:pPr>
            <w:r w:rsidRPr="00D41FC5">
              <w:rPr>
                <w:rFonts w:ascii="Times New Roman" w:hAnsi="Times New Roman" w:cs="Times New Roman"/>
                <w:sz w:val="20"/>
                <w:szCs w:val="20"/>
              </w:rPr>
              <w:t>(5)</w:t>
            </w:r>
          </w:p>
        </w:tc>
      </w:tr>
    </w:tbl>
    <w:bookmarkEnd w:id="15"/>
    <w:p w14:paraId="53A7DC80" w14:textId="35B5906D" w:rsidR="00C42076" w:rsidRPr="00D41FC5" w:rsidRDefault="008A5256" w:rsidP="008A5256">
      <w:pPr>
        <w:pStyle w:val="IOPText"/>
        <w:ind w:firstLine="0"/>
        <w:rPr>
          <w:rFonts w:cs="Times New Roman"/>
          <w:szCs w:val="21"/>
        </w:rPr>
      </w:pPr>
      <w:proofErr w:type="gramStart"/>
      <w:r w:rsidRPr="00D41FC5">
        <w:rPr>
          <w:rFonts w:cs="Times New Roman"/>
          <w:szCs w:val="21"/>
        </w:rPr>
        <w:t xml:space="preserve">where </w:t>
      </w:r>
      <m:oMath>
        <m:sSub>
          <m:sSubPr>
            <m:ctrlPr>
              <w:rPr>
                <w:rFonts w:ascii="Cambria Math" w:hAnsi="Cambria Math" w:cs="Times New Roman"/>
                <w:szCs w:val="21"/>
              </w:rPr>
            </m:ctrlPr>
          </m:sSubPr>
          <m:e>
            <m:r>
              <w:rPr>
                <w:rFonts w:ascii="Cambria Math" w:hAnsi="Cambria Math" w:cs="Times New Roman"/>
                <w:szCs w:val="21"/>
              </w:rPr>
              <m:t>J</m:t>
            </m:r>
          </m:e>
          <m:sub>
            <m:r>
              <m:rPr>
                <m:sty m:val="p"/>
              </m:rPr>
              <w:rPr>
                <w:rFonts w:ascii="Cambria Math" w:hAnsi="Cambria Math" w:cs="Times New Roman"/>
                <w:szCs w:val="21"/>
              </w:rPr>
              <m:t>1</m:t>
            </m:r>
          </m:sub>
        </m:sSub>
      </m:oMath>
      <w:r w:rsidRPr="00D41FC5">
        <w:rPr>
          <w:rFonts w:cs="Times New Roman"/>
          <w:szCs w:val="21"/>
        </w:rPr>
        <w:t xml:space="preserve"> stands for the equivalent polar moment of inertia of the</w:t>
      </w:r>
      <w:bookmarkStart w:id="16" w:name="_Hlk39943426"/>
      <w:r w:rsidRPr="00D41FC5">
        <w:rPr>
          <w:rFonts w:cs="Times New Roman"/>
          <w:szCs w:val="21"/>
        </w:rPr>
        <w:t xml:space="preserve"> inertial-motion subsystem</w:t>
      </w:r>
      <w:bookmarkEnd w:id="16"/>
      <w:r w:rsidRPr="00D41FC5">
        <w:rPr>
          <w:rFonts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c</m:t>
            </m:r>
          </m:e>
          <m:sub>
            <m:r>
              <m:rPr>
                <m:sty m:val="p"/>
              </m:rPr>
              <w:rPr>
                <w:rFonts w:ascii="Cambria Math" w:hAnsi="Cambria Math" w:cs="Times New Roman"/>
                <w:szCs w:val="21"/>
              </w:rPr>
              <m:t>1</m:t>
            </m:r>
          </m:sub>
        </m:sSub>
      </m:oMath>
      <w:r w:rsidRPr="00D41FC5">
        <w:rPr>
          <w:rFonts w:cs="Times New Roman"/>
          <w:szCs w:val="21"/>
        </w:rPr>
        <w:t xml:space="preserve"> is the mechanical </w:t>
      </w:r>
      <w:bookmarkStart w:id="17" w:name="_Hlk33793236"/>
      <w:r w:rsidRPr="00D41FC5">
        <w:rPr>
          <w:rFonts w:cs="Times New Roman"/>
          <w:szCs w:val="21"/>
        </w:rPr>
        <w:t>damping coefficient</w:t>
      </w:r>
      <w:bookmarkEnd w:id="17"/>
      <w:r w:rsidRPr="00D41FC5">
        <w:rPr>
          <w:rFonts w:cs="Times New Roman"/>
          <w:szCs w:val="21"/>
        </w:rPr>
        <w:t xml:space="preserve"> of this system;</w:t>
      </w:r>
      <m:oMath>
        <m:r>
          <m:rPr>
            <m:sty m:val="p"/>
          </m:rPr>
          <w:rPr>
            <w:rFonts w:ascii="Cambria Math" w:hAnsi="Cambria Math" w:cs="Times New Roman"/>
            <w:szCs w:val="21"/>
          </w:rPr>
          <m:t xml:space="preserve"> </m:t>
        </m:r>
        <m:r>
          <w:rPr>
            <w:rFonts w:ascii="Cambria Math" w:hAnsi="Cambria Math" w:cs="Times New Roman"/>
            <w:szCs w:val="21"/>
          </w:rPr>
          <m:t>θ</m:t>
        </m:r>
      </m:oMath>
      <w:r w:rsidRPr="00D41FC5">
        <w:rPr>
          <w:rFonts w:cs="Times New Roman"/>
          <w:szCs w:val="21"/>
        </w:rPr>
        <w:t xml:space="preserve"> is the</w:t>
      </w:r>
      <w:bookmarkStart w:id="18" w:name="OLE_LINK19"/>
      <w:bookmarkStart w:id="19" w:name="OLE_LINK18"/>
      <w:r w:rsidRPr="00D41FC5">
        <w:rPr>
          <w:rFonts w:cs="Times New Roman"/>
          <w:szCs w:val="21"/>
        </w:rPr>
        <w:t xml:space="preserve"> angular </w:t>
      </w:r>
      <w:bookmarkEnd w:id="18"/>
      <w:bookmarkEnd w:id="19"/>
      <w:r w:rsidRPr="00D41FC5">
        <w:rPr>
          <w:rFonts w:cs="Times New Roman"/>
          <w:szCs w:val="21"/>
        </w:rPr>
        <w:t xml:space="preserve">position of the fan-shaped structure; </w:t>
      </w:r>
      <m:oMath>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m</m:t>
            </m:r>
          </m:sub>
        </m:sSub>
      </m:oMath>
      <w:r w:rsidRPr="00D41FC5">
        <w:rPr>
          <w:rFonts w:cs="Times New Roman"/>
          <w:szCs w:val="21"/>
        </w:rPr>
        <w:t xml:space="preserve"> and </w:t>
      </w:r>
      <m:oMath>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g</m:t>
            </m:r>
          </m:sub>
        </m:sSub>
      </m:oMath>
      <w:r w:rsidRPr="00D41FC5">
        <w:rPr>
          <w:rFonts w:cs="Times New Roman"/>
          <w:szCs w:val="21"/>
        </w:rPr>
        <w:t xml:space="preserve"> are the recovery torques by magnetic force and gravity; </w:t>
      </w:r>
      <m:oMath>
        <m:acc>
          <m:accPr>
            <m:chr m:val="̈"/>
            <m:ctrlPr>
              <w:rPr>
                <w:rFonts w:ascii="Cambria Math" w:hAnsi="Cambria Math" w:cs="Times New Roman"/>
                <w:szCs w:val="21"/>
              </w:rPr>
            </m:ctrlPr>
          </m:accPr>
          <m:e>
            <m:r>
              <w:rPr>
                <w:rFonts w:ascii="Cambria Math" w:hAnsi="Cambria Math" w:cs="Times New Roman"/>
                <w:szCs w:val="21"/>
              </w:rPr>
              <m:t>z</m:t>
            </m:r>
          </m:e>
        </m:acc>
        <m:d>
          <m:dPr>
            <m:ctrlPr>
              <w:rPr>
                <w:rFonts w:ascii="Cambria Math" w:hAnsi="Cambria Math" w:cs="Times New Roman"/>
                <w:szCs w:val="21"/>
              </w:rPr>
            </m:ctrlPr>
          </m:dPr>
          <m:e>
            <m:r>
              <w:rPr>
                <w:rFonts w:ascii="Cambria Math" w:hAnsi="Cambria Math" w:cs="Times New Roman"/>
                <w:szCs w:val="21"/>
              </w:rPr>
              <m:t>t</m:t>
            </m:r>
          </m:e>
        </m:d>
      </m:oMath>
      <w:r w:rsidRPr="00D41FC5">
        <w:rPr>
          <w:rFonts w:cs="Times New Roman"/>
          <w:szCs w:val="21"/>
        </w:rPr>
        <w:t xml:space="preserve"> denotes the acceleration of the horizontal base excitation, which is a function of time </w:t>
      </w:r>
      <m:oMath>
        <m:r>
          <w:rPr>
            <w:rFonts w:ascii="Cambria Math" w:hAnsi="Cambria Math" w:cs="Times New Roman"/>
            <w:szCs w:val="21"/>
          </w:rPr>
          <m:t>t</m:t>
        </m:r>
      </m:oMath>
      <w:r w:rsidRPr="00D41FC5">
        <w:rPr>
          <w:rFonts w:cs="Times New Roman"/>
          <w:szCs w:val="21"/>
        </w:rPr>
        <w:t xml:space="preserve">; the term </w:t>
      </w:r>
      <m:oMath>
        <m:r>
          <m:rPr>
            <m:sty m:val="p"/>
          </m:rPr>
          <w:rPr>
            <w:rFonts w:ascii="Cambria Math" w:hAnsi="Cambria Math" w:cs="Times New Roman"/>
            <w:szCs w:val="21"/>
          </w:rPr>
          <m:t>-</m:t>
        </m:r>
        <m:r>
          <w:rPr>
            <w:rFonts w:ascii="Cambria Math" w:hAnsi="Cambria Math" w:cs="Times New Roman"/>
            <w:szCs w:val="21"/>
          </w:rPr>
          <m:t>m</m:t>
        </m:r>
        <m:acc>
          <m:accPr>
            <m:chr m:val="̈"/>
            <m:ctrlPr>
              <w:rPr>
                <w:rFonts w:ascii="Cambria Math" w:hAnsi="Cambria Math" w:cs="Times New Roman"/>
                <w:szCs w:val="21"/>
              </w:rPr>
            </m:ctrlPr>
          </m:accPr>
          <m:e>
            <m:r>
              <w:rPr>
                <w:rFonts w:ascii="Cambria Math" w:hAnsi="Cambria Math" w:cs="Times New Roman"/>
                <w:szCs w:val="21"/>
              </w:rPr>
              <m:t>z</m:t>
            </m:r>
          </m:e>
        </m:acc>
        <m:d>
          <m:dPr>
            <m:ctrlPr>
              <w:rPr>
                <w:rFonts w:ascii="Cambria Math" w:hAnsi="Cambria Math" w:cs="Times New Roman"/>
                <w:szCs w:val="21"/>
              </w:rPr>
            </m:ctrlPr>
          </m:dPr>
          <m:e>
            <m:r>
              <w:rPr>
                <w:rFonts w:ascii="Cambria Math" w:hAnsi="Cambria Math" w:cs="Times New Roman"/>
                <w:szCs w:val="21"/>
              </w:rPr>
              <m:t>t</m:t>
            </m:r>
          </m:e>
        </m:d>
        <m:sSub>
          <m:sSubPr>
            <m:ctrlPr>
              <w:rPr>
                <w:rFonts w:ascii="Cambria Math" w:hAnsi="Cambria Math" w:cs="Times New Roman"/>
                <w:szCs w:val="21"/>
              </w:rPr>
            </m:ctrlPr>
          </m:sSubPr>
          <m:e>
            <m:r>
              <w:rPr>
                <w:rFonts w:ascii="Cambria Math" w:hAnsi="Cambria Math" w:cs="Times New Roman"/>
                <w:szCs w:val="21"/>
              </w:rPr>
              <m:t>r</m:t>
            </m:r>
          </m:e>
          <m:sub>
            <m:r>
              <m:rPr>
                <m:sty m:val="p"/>
              </m:rPr>
              <w:rPr>
                <w:rFonts w:ascii="Cambria Math" w:hAnsi="Cambria Math" w:cs="Times New Roman"/>
                <w:szCs w:val="21"/>
              </w:rPr>
              <m:t>0</m:t>
            </m:r>
          </m:sub>
        </m:sSub>
        <m:func>
          <m:funcPr>
            <m:ctrlPr>
              <w:rPr>
                <w:rFonts w:ascii="Cambria Math" w:hAnsi="Cambria Math" w:cs="Times New Roman"/>
                <w:szCs w:val="21"/>
              </w:rPr>
            </m:ctrlPr>
          </m:funcPr>
          <m:fName>
            <m:r>
              <m:rPr>
                <m:sty m:val="p"/>
              </m:rPr>
              <w:rPr>
                <w:rFonts w:ascii="Cambria Math" w:hAnsi="Cambria Math" w:cs="Times New Roman"/>
                <w:szCs w:val="21"/>
              </w:rPr>
              <m:t>cos</m:t>
            </m:r>
          </m:fName>
          <m:e>
            <m:d>
              <m:dPr>
                <m:ctrlPr>
                  <w:rPr>
                    <w:rFonts w:ascii="Cambria Math" w:hAnsi="Cambria Math" w:cs="Times New Roman"/>
                    <w:szCs w:val="21"/>
                  </w:rPr>
                </m:ctrlPr>
              </m:dPr>
              <m:e>
                <m:r>
                  <w:rPr>
                    <w:rFonts w:ascii="Cambria Math" w:hAnsi="Cambria Math" w:cs="Times New Roman"/>
                    <w:szCs w:val="21"/>
                  </w:rPr>
                  <m:t>θ</m:t>
                </m:r>
              </m:e>
            </m:d>
          </m:e>
        </m:func>
      </m:oMath>
      <w:r w:rsidRPr="00D41FC5">
        <w:rPr>
          <w:rFonts w:cs="Times New Roman"/>
          <w:szCs w:val="21"/>
        </w:rPr>
        <w:t xml:space="preserve"> stands for the torque caused by base excitation and is the function of </w:t>
      </w:r>
      <m:oMath>
        <m:r>
          <w:rPr>
            <w:rFonts w:ascii="Cambria Math" w:hAnsi="Cambria Math" w:cs="Times New Roman"/>
            <w:szCs w:val="21"/>
          </w:rPr>
          <m:t>t</m:t>
        </m:r>
      </m:oMath>
      <w:r w:rsidRPr="00D41FC5">
        <w:rPr>
          <w:rFonts w:cs="Times New Roman"/>
          <w:szCs w:val="21"/>
        </w:rPr>
        <w:t xml:space="preserve"> and </w:t>
      </w:r>
      <m:oMath>
        <m:r>
          <w:rPr>
            <w:rFonts w:ascii="Cambria Math" w:hAnsi="Cambria Math" w:cs="Times New Roman"/>
            <w:szCs w:val="21"/>
          </w:rPr>
          <m:t>θ</m:t>
        </m:r>
      </m:oMath>
      <w:r w:rsidRPr="00D41FC5">
        <w:rPr>
          <w:rFonts w:cs="Times New Roman"/>
          <w:szCs w:val="21"/>
        </w:rPr>
        <w:t>.</w:t>
      </w:r>
      <w:proofErr w:type="gramEnd"/>
      <w:r w:rsidRPr="00D41FC5">
        <w:rPr>
          <w:rFonts w:cs="Times New Roman"/>
          <w:szCs w:val="21"/>
        </w:rPr>
        <w:t xml:space="preserve"> The two variables, </w:t>
      </w:r>
      <m:oMath>
        <m:r>
          <w:rPr>
            <w:rFonts w:ascii="Cambria Math" w:hAnsi="Cambria Math" w:cs="Times New Roman"/>
            <w:szCs w:val="21"/>
          </w:rPr>
          <m:t>t</m:t>
        </m:r>
      </m:oMath>
      <w:r w:rsidRPr="00D41FC5">
        <w:rPr>
          <w:rFonts w:cs="Times New Roman"/>
          <w:szCs w:val="21"/>
        </w:rPr>
        <w:t xml:space="preserve"> </w:t>
      </w:r>
      <w:proofErr w:type="gramStart"/>
      <w:r w:rsidRPr="00D41FC5">
        <w:rPr>
          <w:rFonts w:cs="Times New Roman"/>
          <w:szCs w:val="21"/>
        </w:rPr>
        <w:t xml:space="preserve">and </w:t>
      </w:r>
      <w:proofErr w:type="gramEnd"/>
      <m:oMath>
        <m:r>
          <w:rPr>
            <w:rFonts w:ascii="Cambria Math" w:hAnsi="Cambria Math" w:cs="Times New Roman"/>
            <w:szCs w:val="21"/>
          </w:rPr>
          <m:t>θ</m:t>
        </m:r>
      </m:oMath>
      <w:r w:rsidRPr="00D41FC5">
        <w:rPr>
          <w:rFonts w:cs="Times New Roman"/>
          <w:szCs w:val="21"/>
        </w:rPr>
        <w:t>, make the VEH's dynamical characteristics more complex;</w:t>
      </w:r>
      <w:bookmarkStart w:id="20" w:name="_Hlk44577310"/>
      <w:r w:rsidRPr="00D41FC5">
        <w:rPr>
          <w:rFonts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t</m:t>
            </m:r>
          </m:sub>
        </m:sSub>
      </m:oMath>
      <w:r w:rsidRPr="00D41FC5">
        <w:rPr>
          <w:rFonts w:cs="Times New Roman"/>
          <w:szCs w:val="21"/>
        </w:rPr>
        <w:t xml:space="preserve"> represents the tangential component of the interaction force </w:t>
      </w:r>
      <w:bookmarkStart w:id="21" w:name="_Hlk44582760"/>
      <w:r w:rsidRPr="00D41FC5">
        <w:rPr>
          <w:rFonts w:cs="Times New Roman"/>
          <w:szCs w:val="21"/>
        </w:rPr>
        <w:t>between the annular gear and the pinion gear</w:t>
      </w:r>
      <w:bookmarkEnd w:id="20"/>
      <w:bookmarkEnd w:id="21"/>
      <w:r w:rsidRPr="00D41FC5">
        <w:rPr>
          <w:rFonts w:cs="Times New Roman"/>
          <w:szCs w:val="21"/>
        </w:rPr>
        <w:t xml:space="preserve">, </w:t>
      </w:r>
      <w:r w:rsidRPr="00D41FC5">
        <w:rPr>
          <w:rFonts w:cs="Times New Roman"/>
          <w:szCs w:val="21"/>
        </w:rPr>
        <w:lastRenderedPageBreak/>
        <w:t xml:space="preserve">and </w:t>
      </w:r>
      <m:oMath>
        <m:r>
          <w:rPr>
            <w:rFonts w:ascii="Cambria Math" w:hAnsi="Cambria Math" w:cs="Times New Roman"/>
            <w:szCs w:val="21"/>
          </w:rPr>
          <m:t>R</m:t>
        </m:r>
      </m:oMath>
      <w:r w:rsidRPr="00D41FC5">
        <w:rPr>
          <w:rFonts w:cs="Times New Roman"/>
          <w:szCs w:val="21"/>
        </w:rPr>
        <w:t xml:space="preserve"> the radius of the pitch circle of the annular gear. The equation of motion of the energy-conversion subsystem is: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893"/>
      </w:tblGrid>
      <w:tr w:rsidR="00D41FC5" w:rsidRPr="00D41FC5" w14:paraId="60F7B6A1" w14:textId="77777777" w:rsidTr="008A5256">
        <w:tc>
          <w:tcPr>
            <w:tcW w:w="4454" w:type="dxa"/>
            <w:hideMark/>
          </w:tcPr>
          <w:p w14:paraId="4AA7752C" w14:textId="77777777" w:rsidR="008A5256" w:rsidRPr="00D41FC5" w:rsidRDefault="00C34992" w:rsidP="000B10EA">
            <w:pPr>
              <w:spacing w:beforeLines="25" w:before="60" w:afterLines="25" w:after="60"/>
              <w:ind w:firstLineChars="200" w:firstLine="400"/>
              <w:jc w:val="center"/>
              <w:rPr>
                <w:rFonts w:ascii="Cambria Math" w:hAnsi="Cambria Math" w:cs="Times New Roman"/>
                <w:iCs/>
                <w:sz w:val="20"/>
                <w:szCs w:val="20"/>
              </w:rPr>
            </w:pPr>
            <m:oMathPara>
              <m:oMath>
                <m:sSub>
                  <m:sSubPr>
                    <m:ctrlPr>
                      <w:rPr>
                        <w:rFonts w:ascii="Cambria Math" w:hAnsi="Cambria Math" w:cs="Times New Roman"/>
                        <w:iCs/>
                        <w:sz w:val="20"/>
                        <w:szCs w:val="20"/>
                      </w:rPr>
                    </m:ctrlPr>
                  </m:sSubPr>
                  <m:e>
                    <m:r>
                      <w:rPr>
                        <w:rFonts w:ascii="Cambria Math" w:hAnsi="Cambria Math" w:cs="Times New Roman"/>
                        <w:sz w:val="20"/>
                        <w:szCs w:val="20"/>
                      </w:rPr>
                      <m:t>J</m:t>
                    </m:r>
                  </m:e>
                  <m:sub>
                    <m:r>
                      <m:rPr>
                        <m:sty m:val="p"/>
                      </m:rPr>
                      <w:rPr>
                        <w:rFonts w:ascii="Cambria Math" w:hAnsi="Cambria Math" w:cs="Times New Roman"/>
                        <w:sz w:val="20"/>
                        <w:szCs w:val="20"/>
                      </w:rPr>
                      <m:t>2</m:t>
                    </m:r>
                  </m:sub>
                </m:sSub>
                <m:sSub>
                  <m:sSubPr>
                    <m:ctrlPr>
                      <w:rPr>
                        <w:rFonts w:ascii="Cambria Math" w:hAnsi="Cambria Math" w:cs="Times New Roman"/>
                        <w:iCs/>
                        <w:sz w:val="20"/>
                        <w:szCs w:val="20"/>
                      </w:rPr>
                    </m:ctrlPr>
                  </m:sSubPr>
                  <m:e>
                    <m:acc>
                      <m:accPr>
                        <m:chr m:val="̈"/>
                        <m:ctrlPr>
                          <w:rPr>
                            <w:rFonts w:ascii="Cambria Math" w:hAnsi="Cambria Math" w:cs="Times New Roman"/>
                            <w:iCs/>
                            <w:sz w:val="20"/>
                            <w:szCs w:val="20"/>
                          </w:rPr>
                        </m:ctrlPr>
                      </m:accPr>
                      <m:e>
                        <m:r>
                          <w:rPr>
                            <w:rFonts w:ascii="Cambria Math" w:hAnsi="Cambria Math" w:cs="Times New Roman"/>
                            <w:sz w:val="20"/>
                            <w:szCs w:val="20"/>
                          </w:rPr>
                          <m:t>θ</m:t>
                        </m:r>
                      </m:e>
                    </m:acc>
                  </m:e>
                  <m:sub>
                    <m:r>
                      <m:rPr>
                        <m:sty m:val="p"/>
                      </m:rPr>
                      <w:rPr>
                        <w:rFonts w:ascii="Cambria Math" w:hAnsi="Cambria Math" w:cs="Times New Roman"/>
                        <w:sz w:val="20"/>
                        <w:szCs w:val="20"/>
                      </w:rPr>
                      <m:t>2</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w:rPr>
                        <w:rFonts w:ascii="Cambria Math" w:hAnsi="Cambria Math" w:cs="Times New Roman"/>
                        <w:sz w:val="20"/>
                        <w:szCs w:val="20"/>
                      </w:rPr>
                      <m:t>c</m:t>
                    </m:r>
                  </m:e>
                  <m:sub>
                    <m:r>
                      <m:rPr>
                        <m:sty m:val="p"/>
                      </m:rPr>
                      <w:rPr>
                        <w:rFonts w:ascii="Cambria Math" w:hAnsi="Cambria Math" w:cs="Times New Roman"/>
                        <w:sz w:val="20"/>
                        <w:szCs w:val="20"/>
                      </w:rPr>
                      <m:t>2</m:t>
                    </m:r>
                  </m:sub>
                </m:sSub>
                <m:sSub>
                  <m:sSubPr>
                    <m:ctrlPr>
                      <w:rPr>
                        <w:rFonts w:ascii="Cambria Math" w:hAnsi="Cambria Math" w:cs="Times New Roman"/>
                        <w:iCs/>
                        <w:sz w:val="20"/>
                        <w:szCs w:val="20"/>
                      </w:rPr>
                    </m:ctrlPr>
                  </m:sSubPr>
                  <m:e>
                    <m:acc>
                      <m:accPr>
                        <m:chr m:val="̇"/>
                        <m:ctrlPr>
                          <w:rPr>
                            <w:rFonts w:ascii="Cambria Math" w:hAnsi="Cambria Math" w:cs="Times New Roman"/>
                            <w:iCs/>
                            <w:sz w:val="20"/>
                            <w:szCs w:val="20"/>
                          </w:rPr>
                        </m:ctrlPr>
                      </m:accPr>
                      <m:e>
                        <m:r>
                          <w:rPr>
                            <w:rFonts w:ascii="Cambria Math" w:hAnsi="Cambria Math" w:cs="Times New Roman"/>
                            <w:sz w:val="20"/>
                            <w:szCs w:val="20"/>
                          </w:rPr>
                          <m:t>θ</m:t>
                        </m:r>
                      </m:e>
                    </m:acc>
                  </m:e>
                  <m:sub>
                    <m:r>
                      <m:rPr>
                        <m:sty m:val="p"/>
                      </m:rPr>
                      <w:rPr>
                        <w:rFonts w:ascii="Cambria Math" w:hAnsi="Cambria Math" w:cs="Times New Roman"/>
                        <w:sz w:val="20"/>
                        <w:szCs w:val="20"/>
                      </w:rPr>
                      <m:t>2</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t</m:t>
                    </m:r>
                  </m:sub>
                </m:sSub>
                <m:sSub>
                  <m:sSubPr>
                    <m:ctrlPr>
                      <w:rPr>
                        <w:rFonts w:ascii="Cambria Math" w:hAnsi="Cambria Math" w:cs="Times New Roman"/>
                        <w:iCs/>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2</m:t>
                    </m:r>
                  </m:sub>
                </m:sSub>
                <m:r>
                  <m:rPr>
                    <m:sty m:val="p"/>
                  </m:rPr>
                  <w:rPr>
                    <w:rFonts w:ascii="Cambria Math" w:hAnsi="Cambria Math" w:cs="Times New Roman"/>
                    <w:sz w:val="20"/>
                    <w:szCs w:val="20"/>
                  </w:rPr>
                  <m:t>-</m:t>
                </m:r>
                <m:r>
                  <w:rPr>
                    <w:rFonts w:ascii="Cambria Math" w:hAnsi="Cambria Math" w:cs="Times New Roman"/>
                    <w:sz w:val="20"/>
                    <w:szCs w:val="20"/>
                  </w:rPr>
                  <m:t>τ</m:t>
                </m:r>
                <m:r>
                  <m:rPr>
                    <m:sty m:val="p"/>
                  </m:rPr>
                  <w:rPr>
                    <w:rFonts w:ascii="Cambria Math" w:hAnsi="Cambria Math" w:cs="Times New Roman"/>
                    <w:sz w:val="20"/>
                    <w:szCs w:val="20"/>
                  </w:rPr>
                  <m:t>,</m:t>
                </m:r>
              </m:oMath>
            </m:oMathPara>
          </w:p>
        </w:tc>
        <w:tc>
          <w:tcPr>
            <w:tcW w:w="478" w:type="dxa"/>
            <w:hideMark/>
          </w:tcPr>
          <w:p w14:paraId="15470782" w14:textId="77777777" w:rsidR="008A5256" w:rsidRPr="00D41FC5" w:rsidRDefault="008A5256" w:rsidP="000B10EA">
            <w:pPr>
              <w:spacing w:beforeLines="25" w:before="60" w:afterLines="25" w:after="60"/>
              <w:ind w:firstLineChars="200" w:firstLine="400"/>
              <w:jc w:val="center"/>
              <w:rPr>
                <w:rFonts w:ascii="Cambria Math" w:hAnsi="Cambria Math" w:cs="Times New Roman"/>
                <w:iCs/>
                <w:sz w:val="20"/>
                <w:szCs w:val="20"/>
              </w:rPr>
            </w:pPr>
            <w:r w:rsidRPr="00D41FC5">
              <w:rPr>
                <w:rFonts w:ascii="Cambria Math" w:hAnsi="Cambria Math" w:cs="Times New Roman"/>
                <w:iCs/>
                <w:sz w:val="20"/>
                <w:szCs w:val="20"/>
              </w:rPr>
              <w:t>(6)</w:t>
            </w:r>
          </w:p>
        </w:tc>
      </w:tr>
    </w:tbl>
    <w:p w14:paraId="1C3F3356" w14:textId="174F1BF7" w:rsidR="008A5256" w:rsidRPr="00D41FC5" w:rsidRDefault="008A5256" w:rsidP="008A5256">
      <w:pPr>
        <w:pStyle w:val="IOPText"/>
        <w:ind w:firstLine="0"/>
        <w:rPr>
          <w:rFonts w:cs="Times New Roman"/>
          <w:szCs w:val="21"/>
        </w:rPr>
      </w:pPr>
      <w:proofErr w:type="gramStart"/>
      <w:r w:rsidRPr="00D41FC5">
        <w:rPr>
          <w:rFonts w:cs="Times New Roman"/>
          <w:szCs w:val="21"/>
        </w:rPr>
        <w:t xml:space="preserve">where </w:t>
      </w:r>
      <m:oMath>
        <m:sSub>
          <m:sSubPr>
            <m:ctrlPr>
              <w:rPr>
                <w:rFonts w:ascii="Cambria Math" w:hAnsi="Cambria Math" w:cs="Times New Roman"/>
                <w:szCs w:val="21"/>
              </w:rPr>
            </m:ctrlPr>
          </m:sSubPr>
          <m:e>
            <m:r>
              <w:rPr>
                <w:rFonts w:ascii="Cambria Math" w:hAnsi="Cambria Math" w:cs="Times New Roman"/>
                <w:szCs w:val="21"/>
              </w:rPr>
              <m:t>J</m:t>
            </m:r>
          </m:e>
          <m:sub>
            <m:r>
              <m:rPr>
                <m:sty m:val="p"/>
              </m:rPr>
              <w:rPr>
                <w:rFonts w:ascii="Cambria Math" w:hAnsi="Cambria Math" w:cs="Times New Roman"/>
                <w:szCs w:val="21"/>
              </w:rPr>
              <m:t>2</m:t>
            </m:r>
          </m:sub>
        </m:sSub>
        <m:r>
          <m:rPr>
            <m:sty m:val="p"/>
          </m:rPr>
          <w:rPr>
            <w:rFonts w:ascii="Cambria Math" w:hAnsi="Cambria Math" w:cs="Times New Roman"/>
            <w:szCs w:val="21"/>
          </w:rPr>
          <m:t xml:space="preserve"> </m:t>
        </m:r>
      </m:oMath>
      <w:r w:rsidRPr="00D41FC5">
        <w:rPr>
          <w:rFonts w:cs="Times New Roman"/>
          <w:szCs w:val="21"/>
        </w:rPr>
        <w:t xml:space="preserve">is the equivalent polar moment of inertia of the energy-conversion subsystem; </w:t>
      </w:r>
      <m:oMath>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2</m:t>
            </m:r>
          </m:sub>
        </m:sSub>
      </m:oMath>
      <w:r w:rsidRPr="00D41FC5">
        <w:rPr>
          <w:rFonts w:cs="Times New Roman"/>
          <w:szCs w:val="21"/>
        </w:rPr>
        <w:t xml:space="preserve"> stands for the angular displacement of the pinion gear, equal to the angle of rotation of the DC generator; </w:t>
      </w:r>
      <m:oMath>
        <m:sSub>
          <m:sSubPr>
            <m:ctrlPr>
              <w:rPr>
                <w:rFonts w:ascii="Cambria Math" w:hAnsi="Cambria Math" w:cs="Times New Roman"/>
                <w:szCs w:val="21"/>
              </w:rPr>
            </m:ctrlPr>
          </m:sSubPr>
          <m:e>
            <m:r>
              <w:rPr>
                <w:rFonts w:ascii="Cambria Math" w:hAnsi="Cambria Math" w:cs="Times New Roman"/>
                <w:szCs w:val="21"/>
              </w:rPr>
              <m:t>c</m:t>
            </m:r>
          </m:e>
          <m:sub>
            <m:r>
              <m:rPr>
                <m:sty m:val="p"/>
              </m:rPr>
              <w:rPr>
                <w:rFonts w:ascii="Cambria Math" w:hAnsi="Cambria Math" w:cs="Times New Roman"/>
                <w:szCs w:val="21"/>
              </w:rPr>
              <m:t>2</m:t>
            </m:r>
          </m:sub>
        </m:sSub>
      </m:oMath>
      <w:r w:rsidRPr="00D41FC5">
        <w:rPr>
          <w:rFonts w:cs="Times New Roman"/>
          <w:szCs w:val="21"/>
        </w:rPr>
        <w:t xml:space="preserve"> is the mechanical damping coefficient of the energy conversion subsystem, </w:t>
      </w:r>
      <m:oMath>
        <m:sSub>
          <m:sSubPr>
            <m:ctrlPr>
              <w:rPr>
                <w:rFonts w:ascii="Cambria Math" w:hAnsi="Cambria Math" w:cs="Times New Roman"/>
                <w:szCs w:val="21"/>
              </w:rPr>
            </m:ctrlPr>
          </m:sSubPr>
          <m:e>
            <m:r>
              <w:rPr>
                <w:rFonts w:ascii="Cambria Math" w:hAnsi="Cambria Math" w:cs="Times New Roman"/>
                <w:szCs w:val="21"/>
              </w:rPr>
              <m:t>r</m:t>
            </m:r>
          </m:e>
          <m:sub>
            <m:r>
              <m:rPr>
                <m:sty m:val="p"/>
              </m:rPr>
              <w:rPr>
                <w:rFonts w:ascii="Cambria Math" w:hAnsi="Cambria Math" w:cs="Times New Roman"/>
                <w:szCs w:val="21"/>
              </w:rPr>
              <m:t>2</m:t>
            </m:r>
          </m:sub>
        </m:sSub>
      </m:oMath>
      <w:r w:rsidRPr="00D41FC5">
        <w:rPr>
          <w:rFonts w:cs="Times New Roman"/>
          <w:szCs w:val="21"/>
        </w:rPr>
        <w:t xml:space="preserve"> the radius of the pitch circle of the pinion gear; </w:t>
      </w:r>
      <m:oMath>
        <m:r>
          <w:rPr>
            <w:rFonts w:ascii="Cambria Math" w:hAnsi="Cambria Math" w:cs="Times New Roman"/>
            <w:szCs w:val="21"/>
          </w:rPr>
          <m:t>τ</m:t>
        </m:r>
      </m:oMath>
      <w:r w:rsidRPr="00D41FC5">
        <w:rPr>
          <w:rFonts w:cs="Times New Roman"/>
          <w:szCs w:val="21"/>
        </w:rPr>
        <w:t xml:space="preserve"> stands for the torque by the generator, which is proportional to the electrical current </w:t>
      </w:r>
      <m:oMath>
        <m:r>
          <w:rPr>
            <w:rFonts w:ascii="Cambria Math" w:hAnsi="Cambria Math" w:cs="Times New Roman"/>
            <w:szCs w:val="21"/>
          </w:rPr>
          <m:t>i</m:t>
        </m:r>
      </m:oMath>
      <w:r w:rsidRPr="00D41FC5">
        <w:rPr>
          <w:rFonts w:cs="Times New Roman"/>
          <w:szCs w:val="21"/>
        </w:rPr>
        <w:t xml:space="preserve"> with a torque constant </w:t>
      </w:r>
      <m:oMath>
        <m:sSub>
          <m:sSubPr>
            <m:ctrlPr>
              <w:rPr>
                <w:rFonts w:ascii="Cambria Math" w:hAnsi="Cambria Math" w:cs="Times New Roman"/>
                <w:szCs w:val="21"/>
              </w:rPr>
            </m:ctrlPr>
          </m:sSubPr>
          <m:e>
            <m:r>
              <w:rPr>
                <w:rFonts w:ascii="Cambria Math" w:hAnsi="Cambria Math" w:cs="Times New Roman"/>
                <w:szCs w:val="21"/>
              </w:rPr>
              <m:t>K</m:t>
            </m:r>
          </m:e>
          <m:sub>
            <m:r>
              <m:rPr>
                <m:sty m:val="p"/>
              </m:rPr>
              <w:rPr>
                <w:rFonts w:ascii="Cambria Math" w:hAnsi="Cambria Math" w:cs="Times New Roman"/>
                <w:szCs w:val="21"/>
              </w:rPr>
              <m:t>t</m:t>
            </m:r>
          </m:sub>
        </m:sSub>
      </m:oMath>
      <w:r w:rsidRPr="00D41FC5">
        <w:rPr>
          <w:rFonts w:cs="Times New Roman"/>
          <w:szCs w:val="21"/>
        </w:rPr>
        <w:t xml:space="preserve"> </w:t>
      </w:r>
      <w:proofErr w:type="gramEnd"/>
      <w:r w:rsidRPr="00D41FC5">
        <w:rPr>
          <w:rFonts w:cs="Times New Roman"/>
          <w:szCs w:val="21"/>
        </w:rPr>
        <w:fldChar w:fldCharType="begin"/>
      </w:r>
      <w:r w:rsidR="00211226" w:rsidRPr="00D41FC5">
        <w:rPr>
          <w:rFonts w:cs="Times New Roman"/>
          <w:szCs w:val="21"/>
        </w:rPr>
        <w:instrText xml:space="preserve"> ADDIN ZOTERO_ITEM CSL_CITATION {"citationID":"qCobVJCV","properties":{"formattedCitation":"[48,49]","plainCitation":"[48,49]","noteIndex":0},"citationItems":[{"id":199,"uris":["http://zotero.org/users/5619602/items/XCFI9LUE"],"uri":["http://zotero.org/users/5619602/items/XCFI9LUE"],"itemData":{"id":199,"type":"book","publisher":"Nelson Education","title":"Electric Machines: principles, applications, and control schematics","author":[{"family":"Zorbas","given":"Dino"}],"issued":{"date-parts":[["2014"]]}}},{"id":200,"uris":["http://zotero.org/users/5619602/items/TGYWRUWH"],"uri":["http://zotero.org/users/5619602/items/TGYWRUWH"],"itemData":{"id":200,"type":"article-journal","container-title":"Mechanical Systems and Signal Processing","page":"244–254","title":"Level-dependent load in a pendulum like energy harvester","volume":"119","author":[{"family":"Simeone","given":"Luigi"},{"family":"Tehrani","given":"Maryam Ghandchi"},{"family":"Elliott","given":"Steve"}],"issued":{"date-parts":[["2019"]]}}}],"schema":"https://github.com/citation-style-language/schema/raw/master/csl-citation.json"} </w:instrText>
      </w:r>
      <w:r w:rsidRPr="00D41FC5">
        <w:rPr>
          <w:rFonts w:cs="Times New Roman"/>
          <w:szCs w:val="21"/>
        </w:rPr>
        <w:fldChar w:fldCharType="separate"/>
      </w:r>
      <w:r w:rsidR="00211226" w:rsidRPr="00D41FC5">
        <w:rPr>
          <w:rFonts w:cs="Times New Roman"/>
        </w:rPr>
        <w:t>[48,49]</w:t>
      </w:r>
      <w:r w:rsidRPr="00D41FC5">
        <w:rPr>
          <w:rFonts w:cs="Times New Roman"/>
          <w:szCs w:val="21"/>
        </w:rPr>
        <w:fldChar w:fldCharType="end"/>
      </w:r>
      <w:proofErr w:type="gramStart"/>
      <w:r w:rsidRPr="00D41FC5">
        <w:rPr>
          <w:rFonts w:cs="Times New Roman"/>
          <w:szCs w:val="21"/>
        </w:rPr>
        <w:t>,</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893"/>
      </w:tblGrid>
      <w:tr w:rsidR="00D41FC5" w:rsidRPr="00D41FC5" w14:paraId="2851C4BB" w14:textId="77777777" w:rsidTr="008A5256">
        <w:tc>
          <w:tcPr>
            <w:tcW w:w="4453" w:type="dxa"/>
            <w:hideMark/>
          </w:tcPr>
          <w:p w14:paraId="5131E369" w14:textId="77777777" w:rsidR="008A5256" w:rsidRPr="00D41FC5" w:rsidRDefault="008A5256" w:rsidP="000B10EA">
            <w:pPr>
              <w:spacing w:beforeLines="25" w:before="60" w:afterLines="25" w:after="60"/>
              <w:ind w:firstLineChars="200" w:firstLine="400"/>
              <w:jc w:val="center"/>
              <w:rPr>
                <w:rFonts w:ascii="Cambria Math" w:hAnsi="Cambria Math" w:cs="Times New Roman"/>
                <w:iCs/>
                <w:sz w:val="20"/>
                <w:szCs w:val="20"/>
              </w:rPr>
            </w:pPr>
            <m:oMathPara>
              <m:oMath>
                <m:r>
                  <w:rPr>
                    <w:rFonts w:ascii="Cambria Math" w:hAnsi="Cambria Math" w:cs="Times New Roman"/>
                    <w:sz w:val="20"/>
                    <w:szCs w:val="20"/>
                  </w:rPr>
                  <m:t>τ</m:t>
                </m:r>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t</m:t>
                    </m:r>
                  </m:sub>
                </m:sSub>
                <m:r>
                  <w:rPr>
                    <w:rFonts w:ascii="Cambria Math" w:hAnsi="Cambria Math" w:cs="Times New Roman"/>
                    <w:sz w:val="20"/>
                    <w:szCs w:val="20"/>
                  </w:rPr>
                  <m:t>i</m:t>
                </m:r>
                <m:r>
                  <m:rPr>
                    <m:sty m:val="p"/>
                  </m:rPr>
                  <w:rPr>
                    <w:rFonts w:ascii="Cambria Math" w:hAnsi="Cambria Math" w:cs="Times New Roman"/>
                    <w:sz w:val="20"/>
                    <w:szCs w:val="20"/>
                  </w:rPr>
                  <m:t>.</m:t>
                </m:r>
              </m:oMath>
            </m:oMathPara>
          </w:p>
        </w:tc>
        <w:tc>
          <w:tcPr>
            <w:tcW w:w="479" w:type="dxa"/>
            <w:hideMark/>
          </w:tcPr>
          <w:p w14:paraId="01EE26C3" w14:textId="77777777" w:rsidR="008A5256" w:rsidRPr="00D41FC5" w:rsidRDefault="008A5256" w:rsidP="000B10EA">
            <w:pPr>
              <w:spacing w:beforeLines="25" w:before="60" w:afterLines="25" w:after="60"/>
              <w:ind w:firstLineChars="200" w:firstLine="400"/>
              <w:rPr>
                <w:rFonts w:ascii="Cambria Math" w:hAnsi="Cambria Math" w:cs="Times New Roman"/>
                <w:iCs/>
                <w:sz w:val="20"/>
                <w:szCs w:val="20"/>
              </w:rPr>
            </w:pPr>
            <w:r w:rsidRPr="00D41FC5">
              <w:rPr>
                <w:rFonts w:ascii="Cambria Math" w:hAnsi="Cambria Math" w:cs="Times New Roman"/>
                <w:iCs/>
                <w:sz w:val="20"/>
                <w:szCs w:val="20"/>
              </w:rPr>
              <w:t>(7)</w:t>
            </w:r>
          </w:p>
        </w:tc>
      </w:tr>
    </w:tbl>
    <w:p w14:paraId="1AEC89A9" w14:textId="66593037" w:rsidR="008A5256" w:rsidRPr="00D41FC5" w:rsidRDefault="008A5256" w:rsidP="008A5256">
      <w:pPr>
        <w:pStyle w:val="IOPText"/>
        <w:ind w:firstLine="0"/>
        <w:rPr>
          <w:rFonts w:cs="Times New Roman"/>
          <w:szCs w:val="21"/>
        </w:rPr>
      </w:pPr>
      <w:r w:rsidRPr="00D41FC5">
        <w:rPr>
          <w:rFonts w:cs="Times New Roman"/>
          <w:szCs w:val="21"/>
        </w:rPr>
        <w:t xml:space="preserve">As the pinion and the annular gears engage with each other, there is a constant gear ratio </w:t>
      </w:r>
      <m:oMath>
        <m:sSub>
          <m:sSubPr>
            <m:ctrlPr>
              <w:rPr>
                <w:rFonts w:ascii="Cambria Math" w:hAnsi="Cambria Math" w:cs="Times New Roman"/>
                <w:szCs w:val="21"/>
              </w:rPr>
            </m:ctrlPr>
          </m:sSubPr>
          <m:e>
            <m:r>
              <w:rPr>
                <w:rFonts w:ascii="Cambria Math" w:hAnsi="Cambria Math" w:cs="Times New Roman"/>
                <w:szCs w:val="21"/>
              </w:rPr>
              <m:t>g</m:t>
            </m:r>
          </m:e>
          <m:sub>
            <m:r>
              <m:rPr>
                <m:sty m:val="p"/>
              </m:rPr>
              <w:rPr>
                <w:rFonts w:ascii="Cambria Math" w:hAnsi="Cambria Math" w:cs="Times New Roman"/>
                <w:szCs w:val="21"/>
              </w:rPr>
              <m:t>r</m:t>
            </m:r>
          </m:sub>
        </m:sSub>
      </m:oMath>
      <w:r w:rsidRPr="00D41FC5">
        <w:rPr>
          <w:rFonts w:cs="Times New Roman"/>
          <w:szCs w:val="21"/>
        </w:rPr>
        <w:t xml:space="preserve"> between them,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893"/>
      </w:tblGrid>
      <w:tr w:rsidR="00D41FC5" w:rsidRPr="00D41FC5" w14:paraId="24BA4055" w14:textId="77777777" w:rsidTr="00911EB8">
        <w:tc>
          <w:tcPr>
            <w:tcW w:w="4453" w:type="dxa"/>
            <w:vAlign w:val="center"/>
            <w:hideMark/>
          </w:tcPr>
          <w:p w14:paraId="56AB0DA8" w14:textId="36128669" w:rsidR="00911EB8" w:rsidRPr="00D41FC5" w:rsidRDefault="00C34992" w:rsidP="000B10EA">
            <w:pPr>
              <w:spacing w:beforeLines="25" w:before="60" w:afterLines="25" w:after="60"/>
              <w:ind w:firstLineChars="200" w:firstLine="400"/>
              <w:jc w:val="center"/>
              <w:rPr>
                <w:rFonts w:ascii="Cambria Math" w:hAnsi="Cambria Math" w:cs="Times New Roman"/>
                <w:iCs/>
                <w:sz w:val="20"/>
                <w:szCs w:val="20"/>
              </w:rPr>
            </w:pPr>
            <m:oMathPara>
              <m:oMath>
                <m:sSub>
                  <m:sSubPr>
                    <m:ctrlPr>
                      <w:rPr>
                        <w:rFonts w:ascii="Cambria Math" w:hAnsi="Cambria Math" w:cs="Times New Roman"/>
                        <w:iCs/>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r>
                  <m:rPr>
                    <m:sty m:val="p"/>
                  </m:rPr>
                  <w:rPr>
                    <w:rFonts w:ascii="Cambria Math" w:hAnsi="Cambria Math" w:cs="Times New Roman"/>
                    <w:sz w:val="20"/>
                    <w:szCs w:val="20"/>
                  </w:rPr>
                  <m:t>=</m:t>
                </m:r>
                <m:f>
                  <m:fPr>
                    <m:ctrlPr>
                      <w:rPr>
                        <w:rFonts w:ascii="Cambria Math" w:hAnsi="Cambria Math" w:cs="Times New Roman"/>
                        <w:iCs/>
                        <w:sz w:val="20"/>
                        <w:szCs w:val="20"/>
                      </w:rPr>
                    </m:ctrlPr>
                  </m:fPr>
                  <m:num>
                    <m:sSub>
                      <m:sSubPr>
                        <m:ctrlPr>
                          <w:rPr>
                            <w:rFonts w:ascii="Cambria Math" w:hAnsi="Cambria Math" w:cs="Times New Roman"/>
                            <w:iCs/>
                            <w:sz w:val="20"/>
                            <w:szCs w:val="20"/>
                          </w:rPr>
                        </m:ctrlPr>
                      </m:sSubPr>
                      <m:e>
                        <m:r>
                          <w:rPr>
                            <w:rFonts w:ascii="Cambria Math" w:hAnsi="Cambria Math" w:cs="Times New Roman"/>
                            <w:sz w:val="20"/>
                            <w:szCs w:val="20"/>
                          </w:rPr>
                          <m:t>θ</m:t>
                        </m:r>
                      </m:e>
                      <m:sub>
                        <m:r>
                          <m:rPr>
                            <m:sty m:val="p"/>
                          </m:rPr>
                          <w:rPr>
                            <w:rFonts w:ascii="Cambria Math" w:hAnsi="Cambria Math" w:cs="Times New Roman"/>
                            <w:sz w:val="20"/>
                            <w:szCs w:val="20"/>
                          </w:rPr>
                          <m:t>2</m:t>
                        </m:r>
                      </m:sub>
                    </m:sSub>
                  </m:num>
                  <m:den>
                    <m:r>
                      <w:rPr>
                        <w:rFonts w:ascii="Cambria Math" w:hAnsi="Cambria Math" w:cs="Times New Roman"/>
                        <w:sz w:val="20"/>
                        <w:szCs w:val="20"/>
                      </w:rPr>
                      <m:t>θ</m:t>
                    </m:r>
                  </m:den>
                </m:f>
                <m:r>
                  <m:rPr>
                    <m:sty m:val="p"/>
                  </m:rPr>
                  <w:rPr>
                    <w:rFonts w:ascii="Cambria Math" w:hAnsi="Cambria Math" w:cs="Times New Roman"/>
                    <w:sz w:val="20"/>
                    <w:szCs w:val="20"/>
                  </w:rPr>
                  <m:t>.</m:t>
                </m:r>
              </m:oMath>
            </m:oMathPara>
          </w:p>
        </w:tc>
        <w:tc>
          <w:tcPr>
            <w:tcW w:w="479" w:type="dxa"/>
            <w:vAlign w:val="center"/>
            <w:hideMark/>
          </w:tcPr>
          <w:p w14:paraId="7B37BF7E" w14:textId="09BB37EE" w:rsidR="00911EB8" w:rsidRPr="00D41FC5" w:rsidRDefault="00911EB8" w:rsidP="000B10EA">
            <w:pPr>
              <w:spacing w:beforeLines="25" w:before="60" w:afterLines="25" w:after="60"/>
              <w:ind w:firstLineChars="200" w:firstLine="400"/>
              <w:rPr>
                <w:rFonts w:ascii="Cambria Math" w:hAnsi="Cambria Math" w:cs="Times New Roman"/>
                <w:iCs/>
                <w:sz w:val="20"/>
                <w:szCs w:val="20"/>
              </w:rPr>
            </w:pPr>
            <w:r w:rsidRPr="00D41FC5">
              <w:rPr>
                <w:rFonts w:ascii="Cambria Math" w:hAnsi="Cambria Math" w:cs="Times New Roman"/>
                <w:iCs/>
                <w:sz w:val="20"/>
                <w:szCs w:val="20"/>
              </w:rPr>
              <w:t>(8)</w:t>
            </w:r>
          </w:p>
        </w:tc>
      </w:tr>
    </w:tbl>
    <w:p w14:paraId="69D4F719" w14:textId="77777777" w:rsidR="00911EB8" w:rsidRPr="00D41FC5" w:rsidRDefault="00911EB8" w:rsidP="00911EB8">
      <w:pPr>
        <w:pStyle w:val="IOPText"/>
        <w:ind w:firstLine="0"/>
        <w:rPr>
          <w:rFonts w:cs="Times New Roman"/>
          <w:szCs w:val="21"/>
        </w:rPr>
      </w:pPr>
      <w:r w:rsidRPr="00D41FC5">
        <w:rPr>
          <w:rFonts w:cs="Times New Roman"/>
          <w:szCs w:val="21"/>
        </w:rPr>
        <w:t xml:space="preserve">According to the relationship between the tooth number and the radius of the </w:t>
      </w:r>
      <w:proofErr w:type="gramStart"/>
      <w:r w:rsidRPr="00D41FC5">
        <w:rPr>
          <w:rFonts w:cs="Times New Roman"/>
          <w:szCs w:val="21"/>
        </w:rPr>
        <w:t xml:space="preserve">gear </w:t>
      </w:r>
      <w:proofErr w:type="gramEnd"/>
      <m:oMath>
        <m:sSub>
          <m:sSubPr>
            <m:ctrlPr>
              <w:rPr>
                <w:rFonts w:ascii="Cambria Math" w:hAnsi="Cambria Math" w:cs="Times New Roman"/>
                <w:szCs w:val="21"/>
              </w:rPr>
            </m:ctrlPr>
          </m:sSubPr>
          <m:e>
            <m:r>
              <w:rPr>
                <w:rFonts w:ascii="Cambria Math" w:hAnsi="Cambria Math" w:cs="Times New Roman"/>
                <w:szCs w:val="21"/>
              </w:rPr>
              <m:t>g</m:t>
            </m:r>
          </m:e>
          <m:sub>
            <m:r>
              <m:rPr>
                <m:sty m:val="p"/>
              </m:rPr>
              <w:rPr>
                <w:rFonts w:ascii="Cambria Math" w:hAnsi="Cambria Math" w:cs="Times New Roman"/>
                <w:szCs w:val="21"/>
              </w:rPr>
              <m:t>r</m:t>
            </m:r>
          </m:sub>
        </m:sSub>
      </m:oMath>
      <w:r w:rsidRPr="00D41FC5">
        <w:rPr>
          <w:rFonts w:cs="Times New Roman"/>
          <w:szCs w:val="21"/>
        </w:rPr>
        <w:t>, Eq. (8) can also be written as follows: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893"/>
      </w:tblGrid>
      <w:tr w:rsidR="00D41FC5" w:rsidRPr="00D41FC5" w14:paraId="7DDC34BF" w14:textId="77777777" w:rsidTr="001C488D">
        <w:tc>
          <w:tcPr>
            <w:tcW w:w="4453" w:type="dxa"/>
            <w:vAlign w:val="center"/>
            <w:hideMark/>
          </w:tcPr>
          <w:p w14:paraId="33E7BD0E" w14:textId="4108A787" w:rsidR="00911EB8" w:rsidRPr="00D41FC5" w:rsidRDefault="00C34992" w:rsidP="000B10EA">
            <w:pPr>
              <w:spacing w:beforeLines="25" w:before="60" w:afterLines="25" w:after="60"/>
              <w:ind w:firstLineChars="200" w:firstLine="400"/>
              <w:jc w:val="center"/>
              <w:rPr>
                <w:rFonts w:ascii="Cambria Math" w:hAnsi="Cambria Math" w:cs="Times New Roman"/>
                <w:iCs/>
                <w:sz w:val="20"/>
                <w:szCs w:val="20"/>
              </w:rPr>
            </w:pPr>
            <m:oMathPara>
              <m:oMath>
                <m:sSub>
                  <m:sSubPr>
                    <m:ctrlPr>
                      <w:rPr>
                        <w:rFonts w:ascii="Cambria Math" w:hAnsi="Cambria Math" w:cs="Times New Roman"/>
                        <w:iCs/>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r>
                  <m:rPr>
                    <m:sty m:val="p"/>
                  </m:rPr>
                  <w:rPr>
                    <w:rFonts w:ascii="Cambria Math" w:hAnsi="Cambria Math" w:cs="Times New Roman"/>
                    <w:sz w:val="20"/>
                    <w:szCs w:val="20"/>
                  </w:rPr>
                  <m:t>=</m:t>
                </m:r>
                <m:f>
                  <m:fPr>
                    <m:ctrlPr>
                      <w:rPr>
                        <w:rFonts w:ascii="Cambria Math" w:hAnsi="Cambria Math" w:cs="Times New Roman"/>
                        <w:iCs/>
                        <w:sz w:val="20"/>
                        <w:szCs w:val="20"/>
                      </w:rPr>
                    </m:ctrlPr>
                  </m:fPr>
                  <m:num>
                    <m:r>
                      <w:rPr>
                        <w:rFonts w:ascii="Cambria Math" w:hAnsi="Cambria Math" w:cs="Times New Roman"/>
                        <w:sz w:val="20"/>
                        <w:szCs w:val="20"/>
                      </w:rPr>
                      <m:t>R</m:t>
                    </m:r>
                  </m:num>
                  <m:den>
                    <m:sSub>
                      <m:sSubPr>
                        <m:ctrlPr>
                          <w:rPr>
                            <w:rFonts w:ascii="Cambria Math" w:hAnsi="Cambria Math" w:cs="Times New Roman"/>
                            <w:iCs/>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2</m:t>
                        </m:r>
                      </m:sub>
                    </m:sSub>
                  </m:den>
                </m:f>
                <m:r>
                  <m:rPr>
                    <m:sty m:val="p"/>
                  </m:rPr>
                  <w:rPr>
                    <w:rFonts w:ascii="Cambria Math" w:hAnsi="Cambria Math" w:cs="Times New Roman"/>
                    <w:sz w:val="20"/>
                    <w:szCs w:val="20"/>
                  </w:rPr>
                  <m:t>.</m:t>
                </m:r>
              </m:oMath>
            </m:oMathPara>
          </w:p>
        </w:tc>
        <w:tc>
          <w:tcPr>
            <w:tcW w:w="479" w:type="dxa"/>
            <w:vAlign w:val="center"/>
            <w:hideMark/>
          </w:tcPr>
          <w:p w14:paraId="5C4C8020" w14:textId="1AB61A96" w:rsidR="00911EB8" w:rsidRPr="00D41FC5" w:rsidRDefault="00911EB8" w:rsidP="000B10EA">
            <w:pPr>
              <w:spacing w:beforeLines="25" w:before="60" w:afterLines="25" w:after="60"/>
              <w:ind w:firstLineChars="200" w:firstLine="400"/>
              <w:rPr>
                <w:rFonts w:ascii="Cambria Math" w:hAnsi="Cambria Math" w:cs="Times New Roman"/>
                <w:iCs/>
                <w:sz w:val="20"/>
                <w:szCs w:val="20"/>
              </w:rPr>
            </w:pPr>
            <w:r w:rsidRPr="00D41FC5">
              <w:rPr>
                <w:rFonts w:ascii="Cambria Math" w:hAnsi="Cambria Math" w:cs="Times New Roman"/>
                <w:iCs/>
                <w:sz w:val="20"/>
                <w:szCs w:val="20"/>
              </w:rPr>
              <w:t>(9)</w:t>
            </w:r>
          </w:p>
        </w:tc>
      </w:tr>
    </w:tbl>
    <w:p w14:paraId="1BAEBFA4" w14:textId="77777777" w:rsidR="00911EB8" w:rsidRPr="00D41FC5" w:rsidRDefault="00911EB8" w:rsidP="00911EB8">
      <w:pPr>
        <w:pStyle w:val="IOPText"/>
        <w:ind w:firstLine="0"/>
        <w:rPr>
          <w:rFonts w:cs="Times New Roman"/>
          <w:szCs w:val="21"/>
        </w:rPr>
      </w:pPr>
      <w:bookmarkStart w:id="22" w:name="_Hlk44615568"/>
      <w:r w:rsidRPr="00D41FC5">
        <w:rPr>
          <w:rFonts w:cs="Times New Roman"/>
          <w:szCs w:val="21"/>
        </w:rPr>
        <w:t xml:space="preserve">The back electromotive voltage </w:t>
      </w:r>
      <m:oMath>
        <m:r>
          <w:rPr>
            <w:rFonts w:ascii="Cambria Math" w:hAnsi="Cambria Math" w:cs="Times New Roman"/>
            <w:szCs w:val="21"/>
          </w:rPr>
          <m:t>V</m:t>
        </m:r>
      </m:oMath>
      <w:r w:rsidRPr="00D41FC5">
        <w:rPr>
          <w:rFonts w:cs="Times New Roman"/>
          <w:szCs w:val="21"/>
        </w:rPr>
        <w:t xml:space="preserve"> of the generator is proportional to the rotational speed </w:t>
      </w:r>
      <m:oMath>
        <m:sSub>
          <m:sSubPr>
            <m:ctrlPr>
              <w:rPr>
                <w:rFonts w:ascii="Cambria Math" w:hAnsi="Cambria Math" w:cs="Times New Roman"/>
                <w:szCs w:val="21"/>
              </w:rPr>
            </m:ctrlPr>
          </m:sSubPr>
          <m:e>
            <m:acc>
              <m:accPr>
                <m:chr m:val="̇"/>
                <m:ctrlPr>
                  <w:rPr>
                    <w:rFonts w:ascii="Cambria Math" w:hAnsi="Cambria Math" w:cs="Times New Roman"/>
                    <w:szCs w:val="21"/>
                  </w:rPr>
                </m:ctrlPr>
              </m:accPr>
              <m:e>
                <m:r>
                  <w:rPr>
                    <w:rFonts w:ascii="Cambria Math" w:hAnsi="Cambria Math" w:cs="Times New Roman"/>
                    <w:szCs w:val="21"/>
                  </w:rPr>
                  <m:t>θ</m:t>
                </m:r>
              </m:e>
            </m:acc>
          </m:e>
          <m:sub>
            <m:r>
              <m:rPr>
                <m:sty m:val="p"/>
              </m:rPr>
              <w:rPr>
                <w:rFonts w:ascii="Cambria Math" w:hAnsi="Cambria Math" w:cs="Times New Roman"/>
                <w:szCs w:val="21"/>
              </w:rPr>
              <m:t>2</m:t>
            </m:r>
          </m:sub>
        </m:sSub>
      </m:oMath>
      <w:r w:rsidRPr="00D41FC5">
        <w:rPr>
          <w:rFonts w:cs="Times New Roman"/>
          <w:szCs w:val="21"/>
        </w:rPr>
        <w:t xml:space="preserve"> of the rotor of the generator </w:t>
      </w:r>
      <w:r w:rsidRPr="00D41FC5">
        <w:rPr>
          <w:rFonts w:cs="Times New Roman"/>
          <w:szCs w:val="21"/>
        </w:rPr>
        <w:fldChar w:fldCharType="begin"/>
      </w:r>
      <w:r w:rsidRPr="00D41FC5">
        <w:rPr>
          <w:rFonts w:cs="Times New Roman"/>
          <w:szCs w:val="21"/>
        </w:rPr>
        <w:instrText xml:space="preserve"> ADDIN ZOTERO_ITEM CSL_CITATION {"citationID":"3wVivPGo","properties":{"formattedCitation":"[4]","plainCitation":"[4]","noteIndex":0},"citationItems":[{"id":203,"uris":["http://zotero.org/users/5619602/items/BYQDNA3T"],"uri":["http://zotero.org/users/5619602/items/BYQDNA3T"],"itemData":{"id":203,"type":"article-journal","container-title":"Smart Materials and Structures","issue":"9","page":"095042","title":"Broadband pendulum energy harvester","volume":"25","author":[{"family":"Liang","given":"Changwei"},{"family":"Wu","given":"You"},{"family":"Zuo","given":"Lei"}],"issued":{"date-parts":[["2016"]]}}}],"schema":"https://github.com/citation-style-language/schema/raw/master/csl-citation.json"} </w:instrText>
      </w:r>
      <w:r w:rsidRPr="00D41FC5">
        <w:rPr>
          <w:rFonts w:cs="Times New Roman"/>
          <w:szCs w:val="21"/>
        </w:rPr>
        <w:fldChar w:fldCharType="separate"/>
      </w:r>
      <w:r w:rsidRPr="00D41FC5">
        <w:rPr>
          <w:rFonts w:cs="Times New Roman"/>
          <w:szCs w:val="21"/>
        </w:rPr>
        <w:t>[4]</w:t>
      </w:r>
      <w:r w:rsidRPr="00D41FC5">
        <w:rPr>
          <w:rFonts w:cs="Times New Roman"/>
          <w:szCs w:val="21"/>
        </w:rPr>
        <w:fldChar w:fldCharType="end"/>
      </w:r>
      <w:r w:rsidRPr="00D41FC5">
        <w:rPr>
          <w:rFonts w:cs="Times New Roman"/>
          <w:szCs w:val="21"/>
        </w:rPr>
        <w:t>, which can be written as: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1004"/>
      </w:tblGrid>
      <w:tr w:rsidR="00D41FC5" w:rsidRPr="00D41FC5" w14:paraId="67D8806E" w14:textId="77777777" w:rsidTr="0081299E">
        <w:tc>
          <w:tcPr>
            <w:tcW w:w="4382" w:type="dxa"/>
            <w:vAlign w:val="center"/>
            <w:hideMark/>
          </w:tcPr>
          <w:p w14:paraId="5696CAE0" w14:textId="58766634" w:rsidR="00911EB8" w:rsidRPr="00D41FC5" w:rsidRDefault="0081299E" w:rsidP="000B10EA">
            <w:pPr>
              <w:spacing w:beforeLines="25" w:before="60" w:afterLines="25" w:after="60"/>
              <w:ind w:firstLineChars="200" w:firstLine="400"/>
              <w:jc w:val="center"/>
              <w:rPr>
                <w:rFonts w:ascii="Cambria Math" w:hAnsi="Cambria Math" w:cs="Times New Roman"/>
                <w:iCs/>
                <w:sz w:val="20"/>
                <w:szCs w:val="20"/>
              </w:rPr>
            </w:pPr>
            <m:oMathPara>
              <m:oMath>
                <m:r>
                  <w:rPr>
                    <w:rFonts w:ascii="Cambria Math" w:hAnsi="Cambria Math" w:cs="Times New Roman"/>
                    <w:sz w:val="20"/>
                    <w:szCs w:val="20"/>
                  </w:rPr>
                  <m:t>V</m:t>
                </m:r>
                <m:r>
                  <m:rPr>
                    <m:sty m:val="p"/>
                  </m:rPr>
                  <w:rPr>
                    <w:rFonts w:ascii="Cambria Math" w:hAnsi="Cambria Math" w:cs="Times New Roman"/>
                    <w:sz w:val="20"/>
                    <w:szCs w:val="20"/>
                  </w:rPr>
                  <m:t>=</m:t>
                </m:r>
                <w:bookmarkStart w:id="23" w:name="_Hlk44614774"/>
                <m:sSub>
                  <m:sSubPr>
                    <m:ctrlPr>
                      <w:rPr>
                        <w:rFonts w:ascii="Cambria Math" w:hAnsi="Cambria Math" w:cs="Times New Roman"/>
                        <w:iCs/>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e</m:t>
                    </m:r>
                  </m:sub>
                </m:sSub>
                <w:bookmarkEnd w:id="23"/>
                <m:sSub>
                  <m:sSubPr>
                    <m:ctrlPr>
                      <w:rPr>
                        <w:rFonts w:ascii="Cambria Math" w:hAnsi="Cambria Math" w:cs="Times New Roman"/>
                        <w:iCs/>
                        <w:sz w:val="20"/>
                        <w:szCs w:val="20"/>
                      </w:rPr>
                    </m:ctrlPr>
                  </m:sSubPr>
                  <m:e>
                    <m:acc>
                      <m:accPr>
                        <m:chr m:val="̇"/>
                        <m:ctrlPr>
                          <w:rPr>
                            <w:rFonts w:ascii="Cambria Math" w:hAnsi="Cambria Math" w:cs="Times New Roman"/>
                            <w:iCs/>
                            <w:sz w:val="20"/>
                            <w:szCs w:val="20"/>
                          </w:rPr>
                        </m:ctrlPr>
                      </m:accPr>
                      <m:e>
                        <m:r>
                          <w:rPr>
                            <w:rFonts w:ascii="Cambria Math" w:hAnsi="Cambria Math" w:cs="Times New Roman"/>
                            <w:sz w:val="20"/>
                            <w:szCs w:val="20"/>
                          </w:rPr>
                          <m:t>θ</m:t>
                        </m:r>
                      </m:e>
                    </m:acc>
                  </m:e>
                  <m:sub>
                    <m:r>
                      <m:rPr>
                        <m:sty m:val="p"/>
                      </m:rPr>
                      <w:rPr>
                        <w:rFonts w:ascii="Cambria Math" w:hAnsi="Cambria Math" w:cs="Times New Roman"/>
                        <w:sz w:val="20"/>
                        <w:szCs w:val="20"/>
                      </w:rPr>
                      <m:t>2</m:t>
                    </m:r>
                  </m:sub>
                </m:sSub>
                <m:r>
                  <m:rPr>
                    <m:sty m:val="p"/>
                  </m:rPr>
                  <w:rPr>
                    <w:rFonts w:ascii="Cambria Math" w:hAnsi="Cambria Math" w:cs="Times New Roman"/>
                    <w:sz w:val="20"/>
                    <w:szCs w:val="20"/>
                  </w:rPr>
                  <m:t>.</m:t>
                </m:r>
              </m:oMath>
            </m:oMathPara>
          </w:p>
        </w:tc>
        <w:tc>
          <w:tcPr>
            <w:tcW w:w="550" w:type="dxa"/>
            <w:vAlign w:val="center"/>
            <w:hideMark/>
          </w:tcPr>
          <w:p w14:paraId="71F1E484" w14:textId="5FC9D945" w:rsidR="00911EB8" w:rsidRPr="00D41FC5" w:rsidRDefault="00911EB8" w:rsidP="000B10EA">
            <w:pPr>
              <w:spacing w:beforeLines="25" w:before="60" w:afterLines="25" w:after="60"/>
              <w:ind w:firstLineChars="200" w:firstLine="400"/>
              <w:rPr>
                <w:rFonts w:ascii="Cambria Math" w:hAnsi="Cambria Math" w:cs="Times New Roman"/>
                <w:iCs/>
                <w:sz w:val="20"/>
                <w:szCs w:val="20"/>
              </w:rPr>
            </w:pPr>
            <w:r w:rsidRPr="00D41FC5">
              <w:rPr>
                <w:rFonts w:ascii="Cambria Math" w:hAnsi="Cambria Math" w:cs="Times New Roman"/>
                <w:iCs/>
                <w:sz w:val="20"/>
                <w:szCs w:val="20"/>
              </w:rPr>
              <w:t>(</w:t>
            </w:r>
            <w:r w:rsidR="0081299E" w:rsidRPr="00D41FC5">
              <w:rPr>
                <w:rFonts w:ascii="Cambria Math" w:hAnsi="Cambria Math" w:cs="Times New Roman"/>
                <w:iCs/>
                <w:sz w:val="20"/>
                <w:szCs w:val="20"/>
              </w:rPr>
              <w:t>10</w:t>
            </w:r>
            <w:r w:rsidRPr="00D41FC5">
              <w:rPr>
                <w:rFonts w:ascii="Cambria Math" w:hAnsi="Cambria Math" w:cs="Times New Roman"/>
                <w:iCs/>
                <w:sz w:val="20"/>
                <w:szCs w:val="20"/>
              </w:rPr>
              <w:t>)</w:t>
            </w:r>
          </w:p>
        </w:tc>
      </w:tr>
    </w:tbl>
    <w:p w14:paraId="29918D9C" w14:textId="273F3E32" w:rsidR="00264599" w:rsidRPr="00D41FC5" w:rsidRDefault="00264599" w:rsidP="00264599">
      <w:pPr>
        <w:pStyle w:val="IOPText"/>
        <w:spacing w:beforeLines="50" w:before="120"/>
        <w:ind w:firstLine="0"/>
        <w:rPr>
          <w:noProof/>
          <w:lang w:eastAsia="zh-CN"/>
        </w:rPr>
      </w:pPr>
      <w:r w:rsidRPr="00D41FC5">
        <w:rPr>
          <w:noProof/>
          <w:lang w:eastAsia="zh-CN"/>
        </w:rPr>
        <w:t xml:space="preserve">where </w:t>
      </w:r>
      <m:oMath>
        <m:sSub>
          <m:sSubPr>
            <m:ctrlPr>
              <w:rPr>
                <w:rFonts w:ascii="Cambria Math" w:hAnsi="Cambria Math" w:cs="Times New Roman"/>
                <w:iCs/>
                <w:szCs w:val="20"/>
              </w:rPr>
            </m:ctrlPr>
          </m:sSubPr>
          <m:e>
            <m:r>
              <w:rPr>
                <w:rFonts w:ascii="Cambria Math" w:hAnsi="Cambria Math" w:cs="Times New Roman"/>
                <w:szCs w:val="20"/>
              </w:rPr>
              <m:t>K</m:t>
            </m:r>
          </m:e>
          <m:sub>
            <m:r>
              <m:rPr>
                <m:sty m:val="p"/>
              </m:rPr>
              <w:rPr>
                <w:rFonts w:ascii="Cambria Math" w:hAnsi="Cambria Math" w:cs="Times New Roman"/>
                <w:szCs w:val="20"/>
              </w:rPr>
              <m:t>e</m:t>
            </m:r>
          </m:sub>
        </m:sSub>
      </m:oMath>
      <w:r w:rsidRPr="00D41FC5">
        <w:rPr>
          <w:rFonts w:hint="eastAsia"/>
          <w:iCs/>
          <w:noProof/>
          <w:szCs w:val="20"/>
          <w:lang w:eastAsia="zh-CN"/>
        </w:rPr>
        <w:t xml:space="preserve"> </w:t>
      </w:r>
      <w:r w:rsidRPr="00D41FC5">
        <w:rPr>
          <w:iCs/>
          <w:noProof/>
          <w:szCs w:val="20"/>
          <w:lang w:eastAsia="zh-CN"/>
        </w:rPr>
        <w:t>is the back electromotive</w:t>
      </w:r>
      <w:r w:rsidR="00863DBF" w:rsidRPr="00D41FC5">
        <w:rPr>
          <w:iCs/>
          <w:noProof/>
          <w:szCs w:val="20"/>
          <w:lang w:eastAsia="zh-CN"/>
        </w:rPr>
        <w:t xml:space="preserve"> force</w:t>
      </w:r>
      <w:r w:rsidRPr="00D41FC5">
        <w:rPr>
          <w:iCs/>
          <w:noProof/>
          <w:szCs w:val="20"/>
          <w:lang w:eastAsia="zh-CN"/>
        </w:rPr>
        <w:t xml:space="preserve"> constant</w:t>
      </w:r>
      <w:bookmarkEnd w:id="22"/>
      <w:r w:rsidR="00863DBF" w:rsidRPr="00D41FC5">
        <w:rPr>
          <w:iCs/>
          <w:noProof/>
          <w:szCs w:val="20"/>
          <w:lang w:eastAsia="zh-CN"/>
        </w:rPr>
        <w:t>.</w:t>
      </w:r>
    </w:p>
    <w:p w14:paraId="3F35FBE4" w14:textId="560C1BC1" w:rsidR="00C42076" w:rsidRPr="00D41FC5" w:rsidRDefault="0081299E" w:rsidP="0081299E">
      <w:pPr>
        <w:pStyle w:val="IOPText"/>
        <w:spacing w:beforeLines="50" w:before="120"/>
        <w:rPr>
          <w:noProof/>
        </w:rPr>
      </w:pPr>
      <w:r w:rsidRPr="00D41FC5">
        <w:rPr>
          <w:rFonts w:cs="Times New Roman"/>
          <w:noProof/>
          <w:lang w:eastAsia="zh-CN"/>
        </w:rPr>
        <w:drawing>
          <wp:inline distT="0" distB="0" distL="0" distR="0" wp14:anchorId="6D618C00" wp14:editId="21A87137">
            <wp:extent cx="2669945" cy="1974655"/>
            <wp:effectExtent l="0" t="0" r="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9945" cy="1974655"/>
                    </a:xfrm>
                    <a:prstGeom prst="rect">
                      <a:avLst/>
                    </a:prstGeom>
                  </pic:spPr>
                </pic:pic>
              </a:graphicData>
            </a:graphic>
          </wp:inline>
        </w:drawing>
      </w:r>
    </w:p>
    <w:p w14:paraId="77C62F27" w14:textId="42A2BCB1" w:rsidR="0081299E" w:rsidRPr="00D41FC5" w:rsidRDefault="0081299E" w:rsidP="0081299E">
      <w:pPr>
        <w:pStyle w:val="IOPText"/>
        <w:jc w:val="center"/>
        <w:rPr>
          <w:noProof/>
        </w:rPr>
      </w:pPr>
      <w:r w:rsidRPr="00D41FC5">
        <w:rPr>
          <w:rFonts w:cs="Times New Roman"/>
        </w:rPr>
        <w:t>(a)</w:t>
      </w:r>
    </w:p>
    <w:p w14:paraId="1913F108" w14:textId="3D178802" w:rsidR="008A5256" w:rsidRPr="00D41FC5" w:rsidRDefault="0081299E" w:rsidP="0081299E">
      <w:pPr>
        <w:pStyle w:val="IOPText"/>
        <w:jc w:val="center"/>
        <w:rPr>
          <w:noProof/>
        </w:rPr>
      </w:pPr>
      <w:r w:rsidRPr="00D41FC5">
        <w:rPr>
          <w:rFonts w:cs="Times New Roman"/>
          <w:noProof/>
          <w:lang w:eastAsia="zh-CN"/>
        </w:rPr>
        <w:drawing>
          <wp:inline distT="0" distB="0" distL="0" distR="0" wp14:anchorId="6BCDED37" wp14:editId="6723C712">
            <wp:extent cx="2253870" cy="1593187"/>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4661" cy="1657364"/>
                    </a:xfrm>
                    <a:prstGeom prst="rect">
                      <a:avLst/>
                    </a:prstGeom>
                    <a:noFill/>
                    <a:ln>
                      <a:noFill/>
                    </a:ln>
                  </pic:spPr>
                </pic:pic>
              </a:graphicData>
            </a:graphic>
          </wp:inline>
        </w:drawing>
      </w:r>
    </w:p>
    <w:p w14:paraId="31F35C66" w14:textId="5C18C528" w:rsidR="0081299E" w:rsidRPr="00D41FC5" w:rsidRDefault="0081299E" w:rsidP="0081299E">
      <w:pPr>
        <w:pStyle w:val="IOPText"/>
        <w:jc w:val="center"/>
        <w:rPr>
          <w:noProof/>
        </w:rPr>
      </w:pPr>
      <w:r w:rsidRPr="00D41FC5">
        <w:rPr>
          <w:rFonts w:cs="Times New Roman"/>
        </w:rPr>
        <w:t>(b)</w:t>
      </w:r>
    </w:p>
    <w:p w14:paraId="4AC99203" w14:textId="12D63FA3" w:rsidR="0081299E" w:rsidRPr="00D41FC5" w:rsidRDefault="0081299E" w:rsidP="008E0D91">
      <w:pPr>
        <w:pStyle w:val="IOPText"/>
        <w:ind w:firstLine="0"/>
        <w:rPr>
          <w:noProof/>
        </w:rPr>
      </w:pPr>
      <w:r w:rsidRPr="00D41FC5">
        <w:rPr>
          <w:noProof/>
        </w:rPr>
        <w:t>Figure 3. Physical model of the harvester: (a) the force diagram; (b) the equivalent circuit</w:t>
      </w:r>
    </w:p>
    <w:p w14:paraId="1C99C71B" w14:textId="5318C0F7" w:rsidR="0081299E" w:rsidRPr="00D41FC5" w:rsidRDefault="0081299E" w:rsidP="0081299E">
      <w:pPr>
        <w:pStyle w:val="IOPText"/>
        <w:rPr>
          <w:rFonts w:cs="Times New Roman"/>
          <w:szCs w:val="21"/>
        </w:rPr>
      </w:pPr>
      <w:r w:rsidRPr="00D41FC5">
        <w:rPr>
          <w:rFonts w:cs="Times New Roman"/>
          <w:szCs w:val="21"/>
        </w:rPr>
        <w:t xml:space="preserve">For converting the electromotive voltage into electricity, the generator needs to </w:t>
      </w:r>
      <w:proofErr w:type="gramStart"/>
      <w:r w:rsidRPr="00D41FC5">
        <w:rPr>
          <w:rFonts w:cs="Times New Roman"/>
          <w:szCs w:val="21"/>
        </w:rPr>
        <w:t>be connected</w:t>
      </w:r>
      <w:proofErr w:type="gramEnd"/>
      <w:r w:rsidRPr="00D41FC5">
        <w:rPr>
          <w:rFonts w:cs="Times New Roman"/>
          <w:szCs w:val="21"/>
        </w:rPr>
        <w:t xml:space="preserve"> to a closed circuit, which has an external electrical load. The equivalent circuit of the harvester is shown in Figure 3(b), where </w:t>
      </w:r>
      <m:oMath>
        <m:sSub>
          <m:sSubPr>
            <m:ctrlPr>
              <w:rPr>
                <w:rFonts w:ascii="Cambria Math" w:hAnsi="Cambria Math" w:cs="Times New Roman"/>
                <w:szCs w:val="21"/>
              </w:rPr>
            </m:ctrlPr>
          </m:sSubPr>
          <m:e>
            <m:r>
              <w:rPr>
                <w:rFonts w:ascii="Cambria Math" w:hAnsi="Cambria Math" w:cs="Times New Roman"/>
                <w:szCs w:val="21"/>
              </w:rPr>
              <m:t>R</m:t>
            </m:r>
          </m:e>
          <m:sub>
            <m:r>
              <m:rPr>
                <m:sty m:val="p"/>
              </m:rPr>
              <w:rPr>
                <w:rFonts w:ascii="Cambria Math" w:hAnsi="Cambria Math" w:cs="Times New Roman"/>
                <w:szCs w:val="21"/>
              </w:rPr>
              <m:t>int</m:t>
            </m:r>
          </m:sub>
        </m:sSub>
      </m:oMath>
      <w:r w:rsidRPr="00D41FC5">
        <w:rPr>
          <w:rFonts w:cs="Times New Roman"/>
          <w:szCs w:val="21"/>
        </w:rPr>
        <w:t xml:space="preserve"> is the internal resistan</w:t>
      </w:r>
      <w:proofErr w:type="spellStart"/>
      <w:r w:rsidRPr="00D41FC5">
        <w:rPr>
          <w:rFonts w:cs="Times New Roman"/>
          <w:szCs w:val="21"/>
        </w:rPr>
        <w:t>ce</w:t>
      </w:r>
      <w:proofErr w:type="spellEnd"/>
      <w:r w:rsidRPr="00D41FC5">
        <w:rPr>
          <w:rFonts w:cs="Times New Roman"/>
          <w:szCs w:val="21"/>
        </w:rPr>
        <w:t xml:space="preserve"> of the generator, and </w:t>
      </w:r>
      <m:oMath>
        <m:r>
          <w:rPr>
            <w:rFonts w:ascii="Cambria Math" w:hAnsi="Cambria Math" w:cs="Times New Roman"/>
            <w:szCs w:val="21"/>
          </w:rPr>
          <m:t>L</m:t>
        </m:r>
      </m:oMath>
      <w:r w:rsidRPr="00D41FC5">
        <w:rPr>
          <w:rFonts w:cs="Times New Roman"/>
          <w:szCs w:val="21"/>
        </w:rPr>
        <w:t xml:space="preserve"> the inductance of this closed circuit; </w:t>
      </w:r>
      <m:oMath>
        <m:r>
          <w:rPr>
            <w:rFonts w:ascii="Cambria Math" w:hAnsi="Cambria Math" w:cs="Times New Roman"/>
            <w:szCs w:val="21"/>
          </w:rPr>
          <m:t>i</m:t>
        </m:r>
      </m:oMath>
      <w:r w:rsidRPr="00D41FC5">
        <w:rPr>
          <w:rFonts w:cs="Times New Roman"/>
          <w:szCs w:val="21"/>
        </w:rPr>
        <w:t xml:space="preserve"> is the current generated in this circuit due to the electromotive voltage of the generator, and </w:t>
      </w:r>
      <m:oMath>
        <m:sSub>
          <m:sSubPr>
            <m:ctrlPr>
              <w:rPr>
                <w:rFonts w:ascii="Cambria Math" w:hAnsi="Cambria Math" w:cs="Times New Roman"/>
                <w:szCs w:val="21"/>
              </w:rPr>
            </m:ctrlPr>
          </m:sSubPr>
          <m:e>
            <m:r>
              <w:rPr>
                <w:rFonts w:ascii="Cambria Math" w:hAnsi="Cambria Math" w:cs="Times New Roman"/>
                <w:szCs w:val="21"/>
              </w:rPr>
              <m:t>R</m:t>
            </m:r>
          </m:e>
          <m:sub>
            <m:r>
              <m:rPr>
                <m:sty m:val="p"/>
              </m:rPr>
              <w:rPr>
                <w:rFonts w:ascii="Cambria Math" w:hAnsi="Cambria Math" w:cs="Times New Roman"/>
                <w:szCs w:val="21"/>
              </w:rPr>
              <m:t>L</m:t>
            </m:r>
          </m:sub>
        </m:sSub>
      </m:oMath>
      <w:r w:rsidRPr="00D41FC5">
        <w:rPr>
          <w:rFonts w:cs="Times New Roman"/>
          <w:szCs w:val="21"/>
        </w:rPr>
        <w:t xml:space="preserve"> represents the resistance of the external electrical load. Applying Kirchhoff voltage law for the circuit, one obtains: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1004"/>
      </w:tblGrid>
      <w:tr w:rsidR="00D41FC5" w:rsidRPr="00D41FC5" w14:paraId="776722BA" w14:textId="77777777" w:rsidTr="001C488D">
        <w:trPr>
          <w:trHeight w:val="355"/>
        </w:trPr>
        <w:tc>
          <w:tcPr>
            <w:tcW w:w="4395" w:type="dxa"/>
            <w:vAlign w:val="center"/>
            <w:hideMark/>
          </w:tcPr>
          <w:p w14:paraId="2CD74586" w14:textId="77777777" w:rsidR="001C488D" w:rsidRPr="00D41FC5" w:rsidRDefault="001C488D" w:rsidP="00064738">
            <w:pPr>
              <w:spacing w:afterLines="10" w:after="24"/>
              <w:ind w:firstLineChars="200" w:firstLine="400"/>
              <w:jc w:val="center"/>
              <w:rPr>
                <w:rFonts w:ascii="Cambria Math" w:hAnsi="Cambria Math" w:cs="Times New Roman"/>
                <w:iCs/>
                <w:sz w:val="20"/>
                <w:szCs w:val="20"/>
              </w:rPr>
            </w:pPr>
            <m:oMathPara>
              <m:oMath>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i</m:t>
                </m:r>
                <m:d>
                  <m:dPr>
                    <m:ctrlPr>
                      <w:rPr>
                        <w:rFonts w:ascii="Cambria Math" w:hAnsi="Cambria Math" w:cs="Times New Roman"/>
                        <w:iCs/>
                        <w:sz w:val="20"/>
                        <w:szCs w:val="20"/>
                      </w:rPr>
                    </m:ctrlPr>
                  </m:dPr>
                  <m:e>
                    <m:sSub>
                      <m:sSubPr>
                        <m:ctrlPr>
                          <w:rPr>
                            <w:rFonts w:ascii="Cambria Math" w:hAnsi="Cambria Math" w:cs="Times New Roman"/>
                            <w:iCs/>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Int</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L</m:t>
                        </m:r>
                      </m:sub>
                    </m:sSub>
                  </m:e>
                </m:d>
                <m:r>
                  <m:rPr>
                    <m:sty m:val="p"/>
                  </m:rPr>
                  <w:rPr>
                    <w:rFonts w:ascii="Cambria Math" w:hAnsi="Cambria Math" w:cs="Times New Roman"/>
                    <w:sz w:val="20"/>
                    <w:szCs w:val="20"/>
                  </w:rPr>
                  <m:t>-</m:t>
                </m:r>
                <m:r>
                  <w:rPr>
                    <w:rFonts w:ascii="Cambria Math" w:hAnsi="Cambria Math" w:cs="Times New Roman"/>
                    <w:sz w:val="20"/>
                    <w:szCs w:val="20"/>
                  </w:rPr>
                  <m:t>L</m:t>
                </m:r>
                <m:f>
                  <m:fPr>
                    <m:ctrlPr>
                      <w:rPr>
                        <w:rFonts w:ascii="Cambria Math" w:hAnsi="Cambria Math" w:cs="Times New Roman"/>
                        <w:iCs/>
                        <w:sz w:val="20"/>
                        <w:szCs w:val="20"/>
                      </w:rPr>
                    </m:ctrlPr>
                  </m:fPr>
                  <m:num>
                    <m:r>
                      <w:rPr>
                        <w:rFonts w:ascii="Cambria Math" w:hAnsi="Cambria Math" w:cs="Times New Roman"/>
                        <w:sz w:val="20"/>
                        <w:szCs w:val="20"/>
                      </w:rPr>
                      <m:t>di</m:t>
                    </m:r>
                  </m:num>
                  <m:den>
                    <m:r>
                      <w:rPr>
                        <w:rFonts w:ascii="Cambria Math" w:hAnsi="Cambria Math" w:cs="Times New Roman"/>
                        <w:sz w:val="20"/>
                        <w:szCs w:val="20"/>
                      </w:rPr>
                      <m:t>dt</m:t>
                    </m:r>
                  </m:den>
                </m:f>
                <m:r>
                  <m:rPr>
                    <m:sty m:val="p"/>
                  </m:rPr>
                  <w:rPr>
                    <w:rFonts w:ascii="Cambria Math" w:hAnsi="Cambria Math" w:cs="Times New Roman"/>
                    <w:sz w:val="20"/>
                    <w:szCs w:val="20"/>
                  </w:rPr>
                  <m:t>=0.</m:t>
                </m:r>
              </m:oMath>
            </m:oMathPara>
          </w:p>
        </w:tc>
        <w:tc>
          <w:tcPr>
            <w:tcW w:w="542" w:type="dxa"/>
            <w:vAlign w:val="center"/>
            <w:hideMark/>
          </w:tcPr>
          <w:p w14:paraId="5992FFAB" w14:textId="77777777" w:rsidR="001C488D" w:rsidRPr="00D41FC5" w:rsidRDefault="001C488D" w:rsidP="00064738">
            <w:pPr>
              <w:spacing w:afterLines="10" w:after="24"/>
              <w:ind w:firstLineChars="200" w:firstLine="400"/>
              <w:rPr>
                <w:rFonts w:ascii="Cambria Math" w:hAnsi="Cambria Math" w:cs="Times New Roman"/>
                <w:iCs/>
                <w:sz w:val="20"/>
                <w:szCs w:val="20"/>
              </w:rPr>
            </w:pPr>
            <w:r w:rsidRPr="00D41FC5">
              <w:rPr>
                <w:rFonts w:ascii="Cambria Math" w:hAnsi="Cambria Math" w:cs="Times New Roman"/>
                <w:iCs/>
                <w:sz w:val="20"/>
                <w:szCs w:val="20"/>
              </w:rPr>
              <w:t>(11)</w:t>
            </w:r>
          </w:p>
        </w:tc>
      </w:tr>
    </w:tbl>
    <w:p w14:paraId="78EC82F5" w14:textId="4FAC945C" w:rsidR="001C488D" w:rsidRPr="00D41FC5" w:rsidRDefault="001C488D" w:rsidP="001C488D">
      <w:pPr>
        <w:pStyle w:val="IOPText"/>
        <w:ind w:firstLine="0"/>
        <w:rPr>
          <w:rFonts w:cs="Times New Roman"/>
          <w:szCs w:val="21"/>
        </w:rPr>
      </w:pPr>
      <w:r w:rsidRPr="00D41FC5">
        <w:rPr>
          <w:rFonts w:cs="Times New Roman"/>
          <w:szCs w:val="21"/>
        </w:rPr>
        <w:t xml:space="preserve">Since the pendulum-flywheel VEH is expected to usually operate at low frequencies, neglecting the inductance </w:t>
      </w:r>
      <m:oMath>
        <m:r>
          <w:rPr>
            <w:rFonts w:ascii="Cambria Math" w:hAnsi="Cambria Math" w:cs="Times New Roman"/>
            <w:szCs w:val="21"/>
          </w:rPr>
          <m:t>L</m:t>
        </m:r>
      </m:oMath>
      <w:r w:rsidRPr="00D41FC5">
        <w:rPr>
          <w:rFonts w:cs="Times New Roman"/>
          <w:szCs w:val="21"/>
        </w:rPr>
        <w:t xml:space="preserve"> has little impact on the performance of the electric circuit </w:t>
      </w:r>
      <w:r w:rsidRPr="00D41FC5">
        <w:rPr>
          <w:rFonts w:cs="Times New Roman"/>
          <w:szCs w:val="21"/>
        </w:rPr>
        <w:fldChar w:fldCharType="begin"/>
      </w:r>
      <w:r w:rsidR="00211226" w:rsidRPr="00D41FC5">
        <w:rPr>
          <w:rFonts w:cs="Times New Roman"/>
          <w:szCs w:val="21"/>
        </w:rPr>
        <w:instrText xml:space="preserve"> ADDIN ZOTERO_ITEM CSL_CITATION {"citationID":"KIiUQeGL","properties":{"formattedCitation":"[49]","plainCitation":"[49]","noteIndex":0},"citationItems":[{"id":200,"uris":["http://zotero.org/users/5619602/items/TGYWRUWH"],"uri":["http://zotero.org/users/5619602/items/TGYWRUWH"],"itemData":{"id":200,"type":"article-journal","container-title":"Mechanical Systems and Signal Processing","page":"244–254","title":"Level-dependent load in a pendulum like energy harvester","volume":"119","author":[{"family":"Simeone","given":"Luigi"},{"family":"Tehrani","given":"Maryam Ghandchi"},{"family":"Elliott","given":"Steve"}],"issued":{"date-parts":[["2019"]]}}}],"schema":"https://github.com/citation-style-language/schema/raw/master/csl-citation.json"} </w:instrText>
      </w:r>
      <w:r w:rsidRPr="00D41FC5">
        <w:rPr>
          <w:rFonts w:cs="Times New Roman"/>
          <w:szCs w:val="21"/>
        </w:rPr>
        <w:fldChar w:fldCharType="separate"/>
      </w:r>
      <w:r w:rsidR="00211226" w:rsidRPr="00D41FC5">
        <w:rPr>
          <w:rFonts w:cs="Times New Roman"/>
        </w:rPr>
        <w:t>[49]</w:t>
      </w:r>
      <w:r w:rsidRPr="00D41FC5">
        <w:rPr>
          <w:rFonts w:cs="Times New Roman"/>
          <w:szCs w:val="21"/>
        </w:rPr>
        <w:fldChar w:fldCharType="end"/>
      </w:r>
      <w:r w:rsidRPr="00D41FC5">
        <w:rPr>
          <w:rFonts w:cs="Times New Roman"/>
          <w:szCs w:val="21"/>
        </w:rPr>
        <w:t xml:space="preserve">. Thus, Eq. (11) </w:t>
      </w:r>
      <w:proofErr w:type="gramStart"/>
      <w:r w:rsidRPr="00D41FC5">
        <w:rPr>
          <w:rFonts w:cs="Times New Roman"/>
          <w:szCs w:val="21"/>
        </w:rPr>
        <w:t>can be rewritten</w:t>
      </w:r>
      <w:proofErr w:type="gramEnd"/>
      <w:r w:rsidRPr="00D41FC5">
        <w:rPr>
          <w:rFonts w:cs="Times New Roman"/>
          <w:szCs w:val="21"/>
        </w:rPr>
        <w:t xml:space="preserve"> as follows: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1004"/>
      </w:tblGrid>
      <w:tr w:rsidR="00D41FC5" w:rsidRPr="00D41FC5" w14:paraId="5905D644" w14:textId="77777777" w:rsidTr="00220067">
        <w:trPr>
          <w:trHeight w:val="355"/>
        </w:trPr>
        <w:tc>
          <w:tcPr>
            <w:tcW w:w="3933" w:type="dxa"/>
            <w:vAlign w:val="center"/>
            <w:hideMark/>
          </w:tcPr>
          <w:p w14:paraId="668D218D" w14:textId="28001121" w:rsidR="001C488D" w:rsidRPr="00D41FC5" w:rsidRDefault="001C488D" w:rsidP="00064738">
            <w:pPr>
              <w:ind w:firstLineChars="200" w:firstLine="400"/>
              <w:jc w:val="center"/>
              <w:rPr>
                <w:rFonts w:ascii="Cambria Math" w:hAnsi="Cambria Math" w:cs="Times New Roman"/>
                <w:iCs/>
                <w:sz w:val="20"/>
                <w:szCs w:val="20"/>
              </w:rPr>
            </w:pPr>
            <m:oMath>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i</m:t>
              </m:r>
              <m:d>
                <m:dPr>
                  <m:ctrlPr>
                    <w:rPr>
                      <w:rFonts w:ascii="Cambria Math" w:hAnsi="Cambria Math" w:cs="Times New Roman"/>
                      <w:iCs/>
                      <w:sz w:val="20"/>
                      <w:szCs w:val="20"/>
                    </w:rPr>
                  </m:ctrlPr>
                </m:dPr>
                <m:e>
                  <m:sSub>
                    <m:sSubPr>
                      <m:ctrlPr>
                        <w:rPr>
                          <w:rFonts w:ascii="Cambria Math" w:hAnsi="Cambria Math" w:cs="Times New Roman"/>
                          <w:iCs/>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Int</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L</m:t>
                      </m:r>
                    </m:sub>
                  </m:sSub>
                </m:e>
              </m:d>
              <m:r>
                <m:rPr>
                  <m:sty m:val="p"/>
                </m:rPr>
                <w:rPr>
                  <w:rFonts w:ascii="Cambria Math" w:hAnsi="Cambria Math" w:cs="Times New Roman"/>
                  <w:sz w:val="20"/>
                  <w:szCs w:val="20"/>
                </w:rPr>
                <m:t>=0</m:t>
              </m:r>
            </m:oMath>
            <w:r w:rsidRPr="00D41FC5">
              <w:rPr>
                <w:rFonts w:ascii="Cambria Math" w:hAnsi="Cambria Math" w:cs="Times New Roman"/>
                <w:iCs/>
                <w:sz w:val="20"/>
                <w:szCs w:val="20"/>
              </w:rPr>
              <w:t>.</w:t>
            </w:r>
          </w:p>
        </w:tc>
        <w:tc>
          <w:tcPr>
            <w:tcW w:w="1004" w:type="dxa"/>
            <w:vAlign w:val="center"/>
            <w:hideMark/>
          </w:tcPr>
          <w:p w14:paraId="4F4D06AC" w14:textId="6C97BF86" w:rsidR="001C488D" w:rsidRPr="00D41FC5" w:rsidRDefault="001C488D" w:rsidP="00064738">
            <w:pPr>
              <w:ind w:firstLineChars="200" w:firstLine="400"/>
              <w:jc w:val="center"/>
              <w:rPr>
                <w:rFonts w:ascii="Cambria Math" w:hAnsi="Cambria Math" w:cs="Times New Roman"/>
                <w:iCs/>
                <w:sz w:val="20"/>
                <w:szCs w:val="20"/>
              </w:rPr>
            </w:pPr>
            <w:r w:rsidRPr="00D41FC5">
              <w:rPr>
                <w:rFonts w:ascii="Cambria Math" w:hAnsi="Cambria Math" w:cs="Times New Roman"/>
                <w:iCs/>
                <w:sz w:val="20"/>
                <w:szCs w:val="20"/>
              </w:rPr>
              <w:t>(12)</w:t>
            </w:r>
          </w:p>
        </w:tc>
      </w:tr>
    </w:tbl>
    <w:p w14:paraId="48882C7B" w14:textId="125FC696" w:rsidR="001C488D" w:rsidRPr="00D41FC5" w:rsidRDefault="00220067" w:rsidP="001C488D">
      <w:pPr>
        <w:pStyle w:val="IOPText"/>
        <w:rPr>
          <w:rFonts w:cs="Times New Roman"/>
          <w:szCs w:val="21"/>
        </w:rPr>
      </w:pPr>
      <w:bookmarkStart w:id="24" w:name="_Hlk45446438"/>
      <w:r w:rsidRPr="00D41FC5">
        <w:rPr>
          <w:rFonts w:cs="Times New Roman"/>
        </w:rPr>
        <w:t xml:space="preserve">The inductance </w:t>
      </w:r>
      <m:oMath>
        <m:r>
          <w:rPr>
            <w:rFonts w:ascii="Cambria Math" w:hAnsi="Cambria Math" w:cs="Times New Roman"/>
          </w:rPr>
          <m:t>L</m:t>
        </m:r>
      </m:oMath>
      <w:r w:rsidRPr="00D41FC5">
        <w:rPr>
          <w:rFonts w:cs="Times New Roman"/>
        </w:rPr>
        <w:t xml:space="preserve"> of the DC generator is estimated to be below and near </w:t>
      </w:r>
      <w:proofErr w:type="gramStart"/>
      <w:r w:rsidRPr="00D41FC5">
        <w:rPr>
          <w:rFonts w:cs="Times New Roman"/>
        </w:rPr>
        <w:t xml:space="preserve">3.2 </w:t>
      </w:r>
      <w:proofErr w:type="gramEnd"/>
      <m:oMath>
        <m:r>
          <m:rPr>
            <m:sty m:val="p"/>
          </m:rPr>
          <w:rPr>
            <w:rFonts w:ascii="Cambria Math" w:hAnsi="Cambria Math" w:cs="Times New Roman"/>
          </w:rPr>
          <m:t>mH</m:t>
        </m:r>
      </m:oMath>
      <w:r w:rsidRPr="00D41FC5">
        <w:rPr>
          <w:rFonts w:cs="Times New Roman"/>
        </w:rPr>
        <w:t xml:space="preserve">. Numerical simulation results of several examples with </w:t>
      </w:r>
      <w:r w:rsidRPr="00D41FC5">
        <w:rPr>
          <w:rFonts w:cs="Times New Roman"/>
          <w:i/>
        </w:rPr>
        <w:t>L</w:t>
      </w:r>
      <w:r w:rsidRPr="00D41FC5">
        <w:rPr>
          <w:rFonts w:cs="Times New Roman"/>
        </w:rPr>
        <w:t xml:space="preserve">=3.2 </w:t>
      </w:r>
      <w:proofErr w:type="spellStart"/>
      <w:r w:rsidRPr="00D41FC5">
        <w:rPr>
          <w:rFonts w:cs="Times New Roman"/>
        </w:rPr>
        <w:t>mH</w:t>
      </w:r>
      <w:proofErr w:type="spellEnd"/>
      <w:r w:rsidRPr="00D41FC5">
        <w:rPr>
          <w:rFonts w:cs="Times New Roman"/>
        </w:rPr>
        <w:t xml:space="preserve"> and </w:t>
      </w:r>
      <w:r w:rsidRPr="00D41FC5">
        <w:rPr>
          <w:rFonts w:cs="Times New Roman"/>
          <w:i/>
        </w:rPr>
        <w:t>L</w:t>
      </w:r>
      <w:r w:rsidRPr="00D41FC5">
        <w:rPr>
          <w:rFonts w:cs="Times New Roman"/>
        </w:rPr>
        <w:t>=</w:t>
      </w:r>
      <w:proofErr w:type="gramStart"/>
      <w:r w:rsidRPr="00D41FC5">
        <w:rPr>
          <w:rFonts w:cs="Times New Roman"/>
        </w:rPr>
        <w:t>0</w:t>
      </w:r>
      <w:proofErr w:type="gramEnd"/>
      <w:r w:rsidRPr="00D41FC5">
        <w:rPr>
          <w:rFonts w:cs="Times New Roman"/>
        </w:rPr>
        <w:t xml:space="preserve"> indicate that </w:t>
      </w:r>
      <m:oMath>
        <m:r>
          <w:rPr>
            <w:rFonts w:ascii="Cambria Math" w:hAnsi="Cambria Math" w:cs="Times New Roman"/>
          </w:rPr>
          <m:t>L</m:t>
        </m:r>
        <m:f>
          <m:fPr>
            <m:ctrlPr>
              <w:rPr>
                <w:rFonts w:ascii="Cambria Math" w:hAnsi="Cambria Math" w:cs="Times New Roman"/>
              </w:rPr>
            </m:ctrlPr>
          </m:fPr>
          <m:num>
            <m:r>
              <m:rPr>
                <m:sty m:val="p"/>
              </m:rPr>
              <w:rPr>
                <w:rFonts w:ascii="Cambria Math" w:hAnsi="Cambria Math" w:cs="Times New Roman"/>
              </w:rPr>
              <m:t>d</m:t>
            </m:r>
            <m:r>
              <w:rPr>
                <w:rFonts w:ascii="Cambria Math" w:hAnsi="Cambria Math" w:cs="Times New Roman"/>
              </w:rPr>
              <m:t>i</m:t>
            </m:r>
          </m:num>
          <m:den>
            <m:r>
              <m:rPr>
                <m:sty m:val="p"/>
              </m:rPr>
              <w:rPr>
                <w:rFonts w:ascii="Cambria Math" w:hAnsi="Cambria Math" w:cs="Times New Roman"/>
              </w:rPr>
              <m:t>d</m:t>
            </m:r>
            <m:r>
              <w:rPr>
                <w:rFonts w:ascii="Cambria Math" w:hAnsi="Cambria Math" w:cs="Times New Roman"/>
              </w:rPr>
              <m:t>t</m:t>
            </m:r>
          </m:den>
        </m:f>
      </m:oMath>
      <w:r w:rsidRPr="00D41FC5">
        <w:rPr>
          <w:rFonts w:cs="Times New Roman"/>
        </w:rPr>
        <w:t xml:space="preserve"> can be neglected in Eq. (11), that is, Eq. (12) can be used, without any noticeable loss of accuracy</w:t>
      </w:r>
      <w:bookmarkEnd w:id="24"/>
      <w:r w:rsidRPr="00D41FC5">
        <w:rPr>
          <w:rFonts w:cs="Times New Roman"/>
        </w:rPr>
        <w:t xml:space="preserve">. </w:t>
      </w:r>
      <w:r w:rsidR="001C488D" w:rsidRPr="00D41FC5">
        <w:rPr>
          <w:rFonts w:cs="Times New Roman"/>
          <w:szCs w:val="21"/>
        </w:rPr>
        <w:t xml:space="preserve">Based on Eq. (7), (8), (10), and (12), the current </w:t>
      </w:r>
      <m:oMath>
        <m:r>
          <w:rPr>
            <w:rFonts w:ascii="Cambria Math" w:hAnsi="Cambria Math" w:cs="Times New Roman"/>
            <w:szCs w:val="21"/>
          </w:rPr>
          <m:t>i</m:t>
        </m:r>
      </m:oMath>
      <w:r w:rsidR="001C488D" w:rsidRPr="00D41FC5">
        <w:rPr>
          <w:rFonts w:cs="Times New Roman"/>
          <w:szCs w:val="21"/>
        </w:rPr>
        <w:t xml:space="preserve"> and torque of the generator </w:t>
      </w:r>
      <m:oMath>
        <m:r>
          <w:rPr>
            <w:rFonts w:ascii="Cambria Math" w:hAnsi="Cambria Math" w:cs="Times New Roman"/>
            <w:szCs w:val="21"/>
          </w:rPr>
          <m:t>τ</m:t>
        </m:r>
      </m:oMath>
      <w:r w:rsidR="001C488D" w:rsidRPr="00D41FC5">
        <w:rPr>
          <w:rFonts w:cs="Times New Roman"/>
          <w:szCs w:val="21"/>
        </w:rPr>
        <w:t xml:space="preserve"> </w:t>
      </w:r>
      <w:proofErr w:type="gramStart"/>
      <w:r w:rsidR="001C488D" w:rsidRPr="00D41FC5">
        <w:rPr>
          <w:rFonts w:cs="Times New Roman"/>
          <w:szCs w:val="21"/>
        </w:rPr>
        <w:t>are obtained</w:t>
      </w:r>
      <w:proofErr w:type="gramEnd"/>
      <w:r w:rsidR="001C488D" w:rsidRPr="00D41FC5">
        <w:rPr>
          <w:rFonts w:cs="Times New Roman"/>
          <w:szCs w:val="21"/>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550"/>
      </w:tblGrid>
      <w:tr w:rsidR="00D41FC5" w:rsidRPr="00D41FC5" w14:paraId="5FDAA9D0" w14:textId="77777777" w:rsidTr="008D1D0B">
        <w:trPr>
          <w:trHeight w:val="355"/>
        </w:trPr>
        <w:tc>
          <w:tcPr>
            <w:tcW w:w="4387" w:type="dxa"/>
            <w:vAlign w:val="center"/>
            <w:hideMark/>
          </w:tcPr>
          <w:p w14:paraId="4B8BE0C1" w14:textId="77777777" w:rsidR="001C488D" w:rsidRPr="00D41FC5" w:rsidRDefault="001C488D" w:rsidP="00064738">
            <w:pPr>
              <w:snapToGrid w:val="0"/>
              <w:spacing w:beforeLines="10" w:before="24" w:afterLines="10" w:after="24"/>
              <w:jc w:val="center"/>
              <w:textAlignment w:val="center"/>
              <w:rPr>
                <w:rFonts w:ascii="Times New Roman" w:hAnsi="Times New Roman" w:cs="Times New Roman"/>
                <w:sz w:val="20"/>
                <w:szCs w:val="20"/>
              </w:rPr>
            </w:pPr>
            <m:oMathPara>
              <m:oMath>
                <m:r>
                  <w:rPr>
                    <w:rFonts w:ascii="Cambria Math" w:hAnsi="Cambria Math" w:cs="Times New Roman"/>
                    <w:sz w:val="20"/>
                    <w:szCs w:val="20"/>
                  </w:rPr>
                  <m:t>i=</m:t>
                </m:r>
                <m:f>
                  <m:fPr>
                    <m:ctrlPr>
                      <w:rPr>
                        <w:rFonts w:ascii="Cambria Math" w:hAnsi="Cambria Math" w:cs="Times New Roman"/>
                        <w:i/>
                        <w:sz w:val="20"/>
                        <w:szCs w:val="20"/>
                      </w:rPr>
                    </m:ctrlPr>
                  </m:fPr>
                  <m:num>
                    <m:sSub>
                      <m:sSubPr>
                        <m:ctrlPr>
                          <w:rPr>
                            <w:rFonts w:ascii="Cambria Math" w:hAnsi="Cambria Math" w:cs="Times New Roman"/>
                            <w:iCs/>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e</m:t>
                        </m:r>
                      </m:sub>
                    </m:sSub>
                    <m:sSub>
                      <m:sSubPr>
                        <m:ctrlPr>
                          <w:rPr>
                            <w:rFonts w:ascii="Cambria Math" w:hAnsi="Cambria Math" w:cs="Times New Roman"/>
                            <w:iCs/>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acc>
                      <m:accPr>
                        <m:chr m:val="̇"/>
                        <m:ctrlPr>
                          <w:rPr>
                            <w:rFonts w:ascii="Cambria Math" w:hAnsi="Cambria Math" w:cs="Times New Roman"/>
                            <w:i/>
                            <w:sz w:val="20"/>
                            <w:szCs w:val="20"/>
                          </w:rPr>
                        </m:ctrlPr>
                      </m:accPr>
                      <m:e>
                        <m:r>
                          <w:rPr>
                            <w:rFonts w:ascii="Cambria Math" w:hAnsi="Cambria Math" w:cs="Times New Roman"/>
                            <w:sz w:val="20"/>
                            <w:szCs w:val="20"/>
                          </w:rPr>
                          <m:t>θ</m:t>
                        </m:r>
                      </m:e>
                    </m:acc>
                  </m:num>
                  <m:den>
                    <m:sSub>
                      <m:sSubPr>
                        <m:ctrlPr>
                          <w:rPr>
                            <w:rFonts w:ascii="Cambria Math" w:hAnsi="Cambria Math" w:cs="Times New Roman"/>
                            <w:i/>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Int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L</m:t>
                        </m:r>
                      </m:sub>
                    </m:sSub>
                  </m:den>
                </m:f>
                <m:r>
                  <w:rPr>
                    <w:rFonts w:ascii="Cambria Math" w:hAnsi="Cambria Math" w:cs="Times New Roman"/>
                    <w:sz w:val="20"/>
                    <w:szCs w:val="20"/>
                  </w:rPr>
                  <m:t>,</m:t>
                </m:r>
              </m:oMath>
            </m:oMathPara>
          </w:p>
        </w:tc>
        <w:tc>
          <w:tcPr>
            <w:tcW w:w="550" w:type="dxa"/>
            <w:vAlign w:val="center"/>
            <w:hideMark/>
          </w:tcPr>
          <w:p w14:paraId="503A18EA" w14:textId="77777777" w:rsidR="001C488D" w:rsidRPr="00D41FC5" w:rsidRDefault="001C488D" w:rsidP="00064738">
            <w:pPr>
              <w:snapToGrid w:val="0"/>
              <w:spacing w:beforeLines="10" w:before="24" w:afterLines="10" w:after="24"/>
              <w:textAlignment w:val="center"/>
              <w:rPr>
                <w:rFonts w:ascii="Times New Roman" w:hAnsi="Times New Roman" w:cs="Times New Roman"/>
                <w:sz w:val="20"/>
                <w:szCs w:val="20"/>
              </w:rPr>
            </w:pPr>
            <w:r w:rsidRPr="00D41FC5">
              <w:rPr>
                <w:rFonts w:ascii="Times New Roman" w:hAnsi="Times New Roman" w:cs="Times New Roman"/>
                <w:sz w:val="20"/>
                <w:szCs w:val="20"/>
              </w:rPr>
              <w:t>(13)</w:t>
            </w:r>
          </w:p>
        </w:tc>
      </w:tr>
      <w:tr w:rsidR="00D41FC5" w:rsidRPr="00D41FC5" w14:paraId="1C4014B3" w14:textId="77777777" w:rsidTr="008D1D0B">
        <w:trPr>
          <w:trHeight w:val="355"/>
        </w:trPr>
        <w:tc>
          <w:tcPr>
            <w:tcW w:w="4387" w:type="dxa"/>
            <w:vAlign w:val="center"/>
            <w:hideMark/>
          </w:tcPr>
          <w:p w14:paraId="62B1847A" w14:textId="77777777" w:rsidR="001C488D" w:rsidRPr="00D41FC5" w:rsidRDefault="001C488D" w:rsidP="00064738">
            <w:pPr>
              <w:snapToGrid w:val="0"/>
              <w:spacing w:beforeLines="10" w:before="24" w:afterLines="10" w:after="24"/>
              <w:jc w:val="center"/>
              <w:textAlignment w:val="center"/>
              <w:rPr>
                <w:rFonts w:ascii="Times New Roman" w:hAnsi="Times New Roman" w:cs="Times New Roman"/>
                <w:iCs/>
                <w:sz w:val="20"/>
                <w:szCs w:val="20"/>
              </w:rPr>
            </w:pPr>
            <m:oMathPara>
              <m:oMath>
                <m:r>
                  <w:rPr>
                    <w:rFonts w:ascii="Cambria Math" w:hAnsi="Cambria Math" w:cs="Times New Roman"/>
                    <w:sz w:val="20"/>
                    <w:szCs w:val="20"/>
                  </w:rPr>
                  <m:t>τ</m:t>
                </m:r>
                <m:r>
                  <m:rPr>
                    <m:sty m:val="p"/>
                  </m:rPr>
                  <w:rPr>
                    <w:rFonts w:ascii="Cambria Math" w:hAnsi="Cambria Math" w:cs="Times New Roman"/>
                    <w:sz w:val="20"/>
                    <w:szCs w:val="20"/>
                  </w:rPr>
                  <m:t>=</m:t>
                </m:r>
                <m:f>
                  <m:fPr>
                    <m:ctrlPr>
                      <w:rPr>
                        <w:rFonts w:ascii="Cambria Math" w:hAnsi="Cambria Math" w:cs="Times New Roman"/>
                        <w:iCs/>
                        <w:sz w:val="20"/>
                        <w:szCs w:val="20"/>
                      </w:rPr>
                    </m:ctrlPr>
                  </m:fPr>
                  <m:num>
                    <m:sSub>
                      <m:sSubPr>
                        <m:ctrlPr>
                          <w:rPr>
                            <w:rFonts w:ascii="Cambria Math" w:hAnsi="Cambria Math" w:cs="Times New Roman"/>
                            <w:iCs/>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t</m:t>
                        </m:r>
                      </m:sub>
                    </m:sSub>
                    <m:sSub>
                      <m:sSubPr>
                        <m:ctrlPr>
                          <w:rPr>
                            <w:rFonts w:ascii="Cambria Math" w:hAnsi="Cambria Math" w:cs="Times New Roman"/>
                            <w:iCs/>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e</m:t>
                        </m:r>
                      </m:sub>
                    </m:sSub>
                    <m:sSub>
                      <m:sSubPr>
                        <m:ctrlPr>
                          <w:rPr>
                            <w:rFonts w:ascii="Cambria Math" w:hAnsi="Cambria Math" w:cs="Times New Roman"/>
                            <w:iCs/>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acc>
                      <m:accPr>
                        <m:chr m:val="̇"/>
                        <m:ctrlPr>
                          <w:rPr>
                            <w:rFonts w:ascii="Cambria Math" w:hAnsi="Cambria Math" w:cs="Times New Roman"/>
                            <w:iCs/>
                            <w:sz w:val="20"/>
                            <w:szCs w:val="20"/>
                          </w:rPr>
                        </m:ctrlPr>
                      </m:accPr>
                      <m:e>
                        <m:r>
                          <w:rPr>
                            <w:rFonts w:ascii="Cambria Math" w:hAnsi="Cambria Math" w:cs="Times New Roman"/>
                            <w:sz w:val="20"/>
                            <w:szCs w:val="20"/>
                          </w:rPr>
                          <m:t>θ</m:t>
                        </m:r>
                      </m:e>
                    </m:acc>
                  </m:num>
                  <m:den>
                    <m:sSub>
                      <m:sSubPr>
                        <m:ctrlPr>
                          <w:rPr>
                            <w:rFonts w:ascii="Cambria Math" w:hAnsi="Cambria Math" w:cs="Times New Roman"/>
                            <w:iCs/>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Int</m:t>
                        </m:r>
                      </m:sub>
                    </m:sSub>
                    <m:r>
                      <m:rPr>
                        <m:sty m:val="p"/>
                      </m:rPr>
                      <w:rPr>
                        <w:rFonts w:ascii="Cambria Math" w:hAnsi="Cambria Math" w:cs="Times New Roman"/>
                        <w:sz w:val="20"/>
                        <w:szCs w:val="20"/>
                      </w:rPr>
                      <m:t>+</m:t>
                    </m:r>
                    <m:sSub>
                      <m:sSubPr>
                        <m:ctrlPr>
                          <w:rPr>
                            <w:rFonts w:ascii="Cambria Math" w:hAnsi="Cambria Math" w:cs="Times New Roman"/>
                            <w:iCs/>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L</m:t>
                        </m:r>
                      </m:sub>
                    </m:sSub>
                  </m:den>
                </m:f>
                <m:r>
                  <m:rPr>
                    <m:sty m:val="p"/>
                  </m:rPr>
                  <w:rPr>
                    <w:rFonts w:ascii="Cambria Math" w:hAnsi="Cambria Math" w:cs="Times New Roman"/>
                    <w:sz w:val="20"/>
                    <w:szCs w:val="20"/>
                  </w:rPr>
                  <m:t>,</m:t>
                </m:r>
              </m:oMath>
            </m:oMathPara>
          </w:p>
        </w:tc>
        <w:tc>
          <w:tcPr>
            <w:tcW w:w="550" w:type="dxa"/>
            <w:vAlign w:val="center"/>
            <w:hideMark/>
          </w:tcPr>
          <w:p w14:paraId="4F341615" w14:textId="77777777" w:rsidR="001C488D" w:rsidRPr="00D41FC5" w:rsidRDefault="001C488D" w:rsidP="00064738">
            <w:pPr>
              <w:snapToGrid w:val="0"/>
              <w:spacing w:beforeLines="10" w:before="24" w:afterLines="10" w:after="24"/>
              <w:textAlignment w:val="center"/>
              <w:rPr>
                <w:rFonts w:ascii="Times New Roman" w:hAnsi="Times New Roman" w:cs="Times New Roman"/>
                <w:iCs/>
                <w:sz w:val="20"/>
                <w:szCs w:val="20"/>
              </w:rPr>
            </w:pPr>
            <w:r w:rsidRPr="00D41FC5">
              <w:rPr>
                <w:rFonts w:ascii="Times New Roman" w:hAnsi="Times New Roman" w:cs="Times New Roman"/>
                <w:iCs/>
                <w:sz w:val="20"/>
                <w:szCs w:val="20"/>
              </w:rPr>
              <w:t>(14)</w:t>
            </w:r>
          </w:p>
        </w:tc>
      </w:tr>
    </w:tbl>
    <w:p w14:paraId="5F33DFDD" w14:textId="77777777" w:rsidR="008D1D0B" w:rsidRPr="00D41FC5" w:rsidRDefault="008D1D0B" w:rsidP="008D1D0B">
      <w:pPr>
        <w:pStyle w:val="IOPText"/>
        <w:ind w:firstLine="0"/>
        <w:rPr>
          <w:rFonts w:cs="Times New Roman"/>
          <w:szCs w:val="21"/>
        </w:rPr>
      </w:pPr>
      <w:r w:rsidRPr="00D41FC5">
        <w:rPr>
          <w:rFonts w:cs="Times New Roman"/>
          <w:szCs w:val="21"/>
        </w:rPr>
        <w:t xml:space="preserve">Substituting Eq. (6), (9), and (14) into Eq. (5), the dynamical model of the inertial-motion subsystem </w:t>
      </w:r>
      <w:proofErr w:type="gramStart"/>
      <w:r w:rsidRPr="00D41FC5">
        <w:rPr>
          <w:rFonts w:cs="Times New Roman"/>
          <w:szCs w:val="21"/>
        </w:rPr>
        <w:t>can be derived</w:t>
      </w:r>
      <w:proofErr w:type="gramEnd"/>
      <w:r w:rsidRPr="00D41FC5">
        <w:rPr>
          <w:rFonts w:cs="Times New Roman"/>
          <w:szCs w:val="21"/>
        </w:rPr>
        <w:t xml:space="preserve"> as: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73"/>
      </w:tblGrid>
      <w:tr w:rsidR="00D41FC5" w:rsidRPr="00D41FC5" w14:paraId="5CC4461F" w14:textId="77777777" w:rsidTr="008D1D0B">
        <w:trPr>
          <w:trHeight w:val="397"/>
        </w:trPr>
        <w:tc>
          <w:tcPr>
            <w:tcW w:w="4364" w:type="dxa"/>
            <w:vAlign w:val="center"/>
            <w:hideMark/>
          </w:tcPr>
          <w:p w14:paraId="23CF33F0" w14:textId="2E1E4082" w:rsidR="008D1D0B" w:rsidRPr="00D41FC5" w:rsidRDefault="00C34992" w:rsidP="00246CD3">
            <w:pPr>
              <w:snapToGrid w:val="0"/>
              <w:spacing w:beforeLines="20" w:before="48"/>
              <w:jc w:val="center"/>
              <w:textAlignment w:val="center"/>
              <w:rPr>
                <w:rFonts w:ascii="Times New Roman" w:hAnsi="Times New Roman" w:cs="Times New Roman"/>
                <w:sz w:val="20"/>
                <w:szCs w:val="20"/>
              </w:rPr>
            </w:pPr>
            <m:oMathPara>
              <m:oMath>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1</m:t>
                        </m:r>
                      </m:sub>
                    </m:sSub>
                    <m:r>
                      <w:rPr>
                        <w:rFonts w:ascii="Cambria Math" w:hAnsi="Cambria Math" w:cs="Times New Roman"/>
                        <w:sz w:val="20"/>
                        <w:szCs w:val="20"/>
                      </w:rPr>
                      <m:t>+</m:t>
                    </m:r>
                    <m:sSup>
                      <m:sSupPr>
                        <m:ctrlPr>
                          <w:rPr>
                            <w:rFonts w:ascii="Cambria Math" w:hAnsi="Cambria Math" w:cs="Times New Roman"/>
                            <w:i/>
                            <w:sz w:val="20"/>
                            <w:szCs w:val="20"/>
                          </w:rPr>
                        </m:ctrlPr>
                      </m:sSupPr>
                      <m:e>
                        <m:sSub>
                          <m:sSubPr>
                            <m:ctrlPr>
                              <w:rPr>
                                <w:rFonts w:ascii="Cambria Math" w:hAnsi="Cambria Math" w:cs="Times New Roman"/>
                                <w:iCs/>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2</m:t>
                        </m:r>
                      </m:sub>
                    </m:sSub>
                    <m:ctrlPr>
                      <w:rPr>
                        <w:rFonts w:ascii="Cambria Math" w:hAnsi="Cambria Math" w:cs="Times New Roman"/>
                        <w:sz w:val="20"/>
                        <w:szCs w:val="20"/>
                      </w:rPr>
                    </m:ctrlPr>
                  </m:e>
                </m:d>
                <m:acc>
                  <m:accPr>
                    <m:chr m:val="̈"/>
                    <m:ctrlPr>
                      <w:rPr>
                        <w:rFonts w:ascii="Cambria Math" w:hAnsi="Cambria Math" w:cs="Times New Roman"/>
                        <w:i/>
                        <w:sz w:val="20"/>
                        <w:szCs w:val="20"/>
                      </w:rPr>
                    </m:ctrlPr>
                  </m:accPr>
                  <m:e>
                    <m:r>
                      <w:rPr>
                        <w:rFonts w:ascii="Cambria Math" w:hAnsi="Cambria Math" w:cs="Times New Roman"/>
                        <w:sz w:val="20"/>
                        <w:szCs w:val="20"/>
                      </w:rPr>
                      <m:t>θ</m:t>
                    </m:r>
                  </m:e>
                </m:acc>
                <m:r>
                  <w:rPr>
                    <w:rFonts w:ascii="Cambria Math" w:hAnsi="Cambria Math" w:cs="Times New Roman"/>
                    <w:sz w:val="20"/>
                    <w:szCs w:val="20"/>
                  </w:rPr>
                  <m:t>+</m:t>
                </m:r>
                <w:bookmarkStart w:id="25" w:name="OLE_LINK5"/>
                <w:bookmarkStart w:id="26" w:name="OLE_LINK6"/>
                <w:bookmarkEnd w:id="25"/>
                <w:bookmarkEnd w:id="26"/>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sSup>
                          <m:sSupPr>
                            <m:ctrlPr>
                              <w:rPr>
                                <w:rFonts w:ascii="Cambria Math" w:hAnsi="Cambria Math" w:cs="Times New Roman"/>
                                <w:i/>
                                <w:sz w:val="20"/>
                                <w:szCs w:val="20"/>
                              </w:rPr>
                            </m:ctrlPr>
                          </m:sSupPr>
                          <m:e>
                            <m:sSub>
                              <m:sSubPr>
                                <m:ctrlPr>
                                  <w:rPr>
                                    <w:rFonts w:ascii="Cambria Math" w:hAnsi="Cambria Math" w:cs="Times New Roman"/>
                                    <w:iCs/>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e>
                          <m:sup>
                            <m:r>
                              <w:rPr>
                                <w:rFonts w:ascii="Cambria Math" w:hAnsi="Cambria Math" w:cs="Times New Roman"/>
                                <w:sz w:val="20"/>
                                <w:szCs w:val="20"/>
                              </w:rPr>
                              <m:t>2</m:t>
                            </m:r>
                          </m:sup>
                        </m:sSup>
                        <m:r>
                          <w:rPr>
                            <w:rFonts w:ascii="Cambria Math" w:hAnsi="Cambria Math" w:cs="Times New Roman"/>
                            <w:sz w:val="20"/>
                            <w:szCs w:val="20"/>
                          </w:rPr>
                          <m:t>c</m:t>
                        </m:r>
                      </m:e>
                      <m:sub>
                        <m:r>
                          <w:rPr>
                            <w:rFonts w:ascii="Cambria Math" w:hAnsi="Cambria Math" w:cs="Times New Roman"/>
                            <w:sz w:val="20"/>
                            <w:szCs w:val="20"/>
                          </w:rPr>
                          <m:t>2</m:t>
                        </m:r>
                      </m:sub>
                    </m:sSub>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t</m:t>
                            </m:r>
                          </m:sub>
                        </m:sSub>
                        <m:sSub>
                          <m:sSubPr>
                            <m:ctrlPr>
                              <w:rPr>
                                <w:rFonts w:ascii="Cambria Math" w:hAnsi="Cambria Math" w:cs="Times New Roman"/>
                                <w:i/>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e</m:t>
                            </m:r>
                          </m:sub>
                        </m:sSub>
                      </m:num>
                      <m:den>
                        <m:sSub>
                          <m:sSubPr>
                            <m:ctrlPr>
                              <w:rPr>
                                <w:rFonts w:ascii="Cambria Math" w:hAnsi="Cambria Math" w:cs="Times New Roman"/>
                                <w:i/>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Int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L</m:t>
                            </m:r>
                          </m:sub>
                        </m:sSub>
                      </m:den>
                    </m:f>
                  </m:e>
                </m:d>
                <m:acc>
                  <m:accPr>
                    <m:chr m:val="̇"/>
                    <m:ctrlPr>
                      <w:rPr>
                        <w:rFonts w:ascii="Cambria Math" w:hAnsi="Cambria Math" w:cs="Times New Roman"/>
                        <w:i/>
                        <w:sz w:val="20"/>
                        <w:szCs w:val="20"/>
                      </w:rPr>
                    </m:ctrlPr>
                  </m:accPr>
                  <m:e>
                    <m:r>
                      <w:rPr>
                        <w:rFonts w:ascii="Cambria Math" w:hAnsi="Cambria Math" w:cs="Times New Roman"/>
                        <w:sz w:val="20"/>
                        <w:szCs w:val="20"/>
                      </w:rPr>
                      <m:t>θ</m:t>
                    </m:r>
                  </m:e>
                </m:acc>
                <m:r>
                  <w:rPr>
                    <w:rFonts w:ascii="Cambria Math" w:hAnsi="Cambria Math" w:cs="Times New Roman"/>
                    <w:sz w:val="20"/>
                    <w:szCs w:val="20"/>
                  </w:rPr>
                  <m:t>-</m:t>
                </m:r>
                <w:bookmarkStart w:id="27" w:name="_Hlk44620948"/>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g</m:t>
                    </m:r>
                  </m:sub>
                </m:sSub>
                <w:bookmarkEnd w:id="27"/>
                <m:r>
                  <w:rPr>
                    <w:rFonts w:ascii="Cambria Math" w:hAnsi="Cambria Math" w:cs="Times New Roman"/>
                    <w:sz w:val="20"/>
                    <w:szCs w:val="20"/>
                  </w:rPr>
                  <m:t>=-m</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0</m:t>
                    </m:r>
                  </m:sub>
                </m:sSub>
                <m:acc>
                  <m:accPr>
                    <m:chr m:val="̈"/>
                    <m:ctrlPr>
                      <w:rPr>
                        <w:rFonts w:ascii="Cambria Math" w:hAnsi="Cambria Math" w:cs="Times New Roman"/>
                        <w:i/>
                        <w:sz w:val="20"/>
                        <w:szCs w:val="20"/>
                      </w:rPr>
                    </m:ctrlPr>
                  </m:accPr>
                  <m:e>
                    <m:r>
                      <w:rPr>
                        <w:rFonts w:ascii="Cambria Math" w:hAnsi="Cambria Math" w:cs="Times New Roman"/>
                        <w:sz w:val="20"/>
                        <w:szCs w:val="20"/>
                      </w:rPr>
                      <m:t>z</m:t>
                    </m:r>
                  </m:e>
                </m:acc>
                <m:func>
                  <m:funcPr>
                    <m:ctrlPr>
                      <w:rPr>
                        <w:rFonts w:ascii="Cambria Math" w:hAnsi="Cambria Math" w:cs="Times New Roman"/>
                        <w:i/>
                        <w:sz w:val="20"/>
                        <w:szCs w:val="20"/>
                      </w:rPr>
                    </m:ctrlPr>
                  </m:funcPr>
                  <m:fName>
                    <m:d>
                      <m:dPr>
                        <m:ctrlPr>
                          <w:rPr>
                            <w:rFonts w:ascii="Cambria Math" w:hAnsi="Cambria Math" w:cs="Times New Roman"/>
                            <w:sz w:val="20"/>
                            <w:szCs w:val="20"/>
                          </w:rPr>
                        </m:ctrlPr>
                      </m:dPr>
                      <m:e>
                        <m:r>
                          <w:rPr>
                            <w:rFonts w:ascii="Cambria Math" w:hAnsi="Cambria Math" w:cs="Times New Roman"/>
                            <w:sz w:val="20"/>
                            <w:szCs w:val="20"/>
                          </w:rPr>
                          <m:t>t</m:t>
                        </m:r>
                      </m:e>
                    </m:d>
                    <m:r>
                      <m:rPr>
                        <m:sty m:val="p"/>
                      </m:rPr>
                      <w:rPr>
                        <w:rFonts w:ascii="Cambria Math" w:hAnsi="Cambria Math" w:cs="Times New Roman"/>
                        <w:sz w:val="20"/>
                        <w:szCs w:val="20"/>
                      </w:rPr>
                      <m:t>cos</m:t>
                    </m:r>
                  </m:fName>
                  <m:e>
                    <m:d>
                      <m:dPr>
                        <m:ctrlPr>
                          <w:rPr>
                            <w:rFonts w:ascii="Cambria Math" w:hAnsi="Cambria Math" w:cs="Times New Roman"/>
                            <w:i/>
                            <w:sz w:val="20"/>
                            <w:szCs w:val="20"/>
                          </w:rPr>
                        </m:ctrlPr>
                      </m:dPr>
                      <m:e>
                        <m:r>
                          <w:rPr>
                            <w:rFonts w:ascii="Cambria Math" w:hAnsi="Cambria Math" w:cs="Times New Roman"/>
                            <w:sz w:val="20"/>
                            <w:szCs w:val="20"/>
                          </w:rPr>
                          <m:t>θ</m:t>
                        </m:r>
                      </m:e>
                    </m:d>
                  </m:e>
                </m:func>
                <m:r>
                  <w:rPr>
                    <w:rFonts w:ascii="Cambria Math" w:hAnsi="Cambria Math" w:cs="Times New Roman"/>
                    <w:sz w:val="20"/>
                    <w:szCs w:val="20"/>
                  </w:rPr>
                  <m:t>.</m:t>
                </m:r>
              </m:oMath>
            </m:oMathPara>
          </w:p>
        </w:tc>
        <w:tc>
          <w:tcPr>
            <w:tcW w:w="573" w:type="dxa"/>
            <w:vAlign w:val="center"/>
            <w:hideMark/>
          </w:tcPr>
          <w:p w14:paraId="5F084ECF" w14:textId="77777777" w:rsidR="008D1D0B" w:rsidRPr="00D41FC5" w:rsidRDefault="008D1D0B" w:rsidP="00246CD3">
            <w:pPr>
              <w:snapToGrid w:val="0"/>
              <w:spacing w:beforeLines="20" w:before="48"/>
              <w:jc w:val="center"/>
              <w:textAlignment w:val="center"/>
              <w:rPr>
                <w:rFonts w:ascii="Times New Roman" w:hAnsi="Times New Roman" w:cs="Times New Roman"/>
                <w:sz w:val="20"/>
                <w:szCs w:val="20"/>
              </w:rPr>
            </w:pPr>
            <w:r w:rsidRPr="00D41FC5">
              <w:rPr>
                <w:rFonts w:ascii="Times New Roman" w:hAnsi="Times New Roman" w:cs="Times New Roman"/>
                <w:sz w:val="20"/>
                <w:szCs w:val="20"/>
              </w:rPr>
              <w:t>(15)</w:t>
            </w:r>
          </w:p>
        </w:tc>
      </w:tr>
    </w:tbl>
    <w:p w14:paraId="08567250" w14:textId="77777777" w:rsidR="008D1D0B" w:rsidRPr="00D41FC5" w:rsidRDefault="008D1D0B" w:rsidP="00095B6C">
      <w:pPr>
        <w:pStyle w:val="IOPText"/>
        <w:rPr>
          <w:rFonts w:cs="Times New Roman"/>
          <w:szCs w:val="21"/>
        </w:rPr>
      </w:pPr>
      <w:r w:rsidRPr="00D41FC5">
        <w:rPr>
          <w:rFonts w:cs="Times New Roman"/>
          <w:szCs w:val="21"/>
        </w:rPr>
        <w:t xml:space="preserve">Both </w:t>
      </w:r>
      <m:oMath>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m</m:t>
            </m:r>
          </m:sub>
        </m:sSub>
      </m:oMath>
      <w:r w:rsidRPr="00D41FC5">
        <w:rPr>
          <w:rFonts w:cs="Times New Roman"/>
          <w:szCs w:val="21"/>
        </w:rPr>
        <w:t xml:space="preserve"> and </w:t>
      </w:r>
      <m:oMath>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g</m:t>
            </m:r>
          </m:sub>
        </m:sSub>
      </m:oMath>
      <w:r w:rsidRPr="00D41FC5">
        <w:rPr>
          <w:rFonts w:cs="Times New Roman"/>
          <w:szCs w:val="21"/>
        </w:rPr>
        <w:t xml:space="preserve"> are functions of angular position </w:t>
      </w:r>
      <m:oMath>
        <m:r>
          <w:rPr>
            <w:rFonts w:ascii="Cambria Math" w:hAnsi="Cambria Math" w:cs="Times New Roman"/>
            <w:szCs w:val="21"/>
          </w:rPr>
          <m:t>θ</m:t>
        </m:r>
      </m:oMath>
      <w:r w:rsidRPr="00D41FC5">
        <w:rPr>
          <w:rFonts w:cs="Times New Roman"/>
          <w:szCs w:val="21"/>
        </w:rPr>
        <w:t xml:space="preserve"> and have a nonlinear characteristic. However, the pendulum oscillates with a small amplitude of angular displacement when subjected to a weak excitation, which </w:t>
      </w:r>
      <w:proofErr w:type="gramStart"/>
      <w:r w:rsidRPr="00D41FC5">
        <w:rPr>
          <w:rFonts w:cs="Times New Roman"/>
          <w:szCs w:val="21"/>
        </w:rPr>
        <w:t>can be approximately regarded</w:t>
      </w:r>
      <w:proofErr w:type="gramEnd"/>
      <w:r w:rsidRPr="00D41FC5">
        <w:rPr>
          <w:rFonts w:cs="Times New Roman"/>
          <w:szCs w:val="21"/>
        </w:rPr>
        <w:t xml:space="preserve"> as a linear system. Therefore, the natural frequency of the corresponding linear system </w:t>
      </w:r>
      <w:proofErr w:type="gramStart"/>
      <w:r w:rsidRPr="00D41FC5">
        <w:rPr>
          <w:rFonts w:cs="Times New Roman"/>
          <w:szCs w:val="21"/>
        </w:rPr>
        <w:t>can be estimated</w:t>
      </w:r>
      <w:proofErr w:type="gramEnd"/>
      <w:r w:rsidRPr="00D41FC5">
        <w:rPr>
          <w:rFonts w:cs="Times New Roman"/>
          <w:szCs w:val="21"/>
        </w:rPr>
        <w:t xml:space="preserve"> as: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73"/>
      </w:tblGrid>
      <w:tr w:rsidR="00D41FC5" w:rsidRPr="00D41FC5" w14:paraId="3A838A72" w14:textId="77777777" w:rsidTr="0004124C">
        <w:trPr>
          <w:trHeight w:val="397"/>
        </w:trPr>
        <w:tc>
          <w:tcPr>
            <w:tcW w:w="4364" w:type="dxa"/>
            <w:vAlign w:val="center"/>
            <w:hideMark/>
          </w:tcPr>
          <w:p w14:paraId="6A937866" w14:textId="616C834C" w:rsidR="008D1D0B" w:rsidRPr="00D41FC5" w:rsidRDefault="00C34992" w:rsidP="00095B6C">
            <w:pPr>
              <w:snapToGrid w:val="0"/>
              <w:jc w:val="center"/>
              <w:textAlignment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ω</m:t>
                    </m:r>
                  </m:e>
                  <m:sub>
                    <m:r>
                      <m:rPr>
                        <m:sty m:val="p"/>
                      </m:rPr>
                      <w:rPr>
                        <w:rFonts w:ascii="Cambria Math" w:hAnsi="Cambria Math" w:cs="Times New Roman"/>
                        <w:sz w:val="20"/>
                        <w:szCs w:val="20"/>
                      </w:rPr>
                      <m:t>n</m:t>
                    </m:r>
                  </m:sub>
                </m:sSub>
                <m:r>
                  <m:rPr>
                    <m:sty m:val="p"/>
                  </m:rPr>
                  <w:rPr>
                    <w:rFonts w:ascii="Cambria Math" w:hAnsi="Cambria Math" w:cs="Times New Roman"/>
                    <w:sz w:val="20"/>
                    <w:szCs w:val="20"/>
                  </w:rPr>
                  <m:t>=</m:t>
                </m:r>
                <m:rad>
                  <m:radPr>
                    <m:degHide m:val="1"/>
                    <m:ctrlPr>
                      <w:rPr>
                        <w:rFonts w:ascii="Cambria Math" w:hAnsi="Cambria Math" w:cs="Times New Roman"/>
                        <w:sz w:val="20"/>
                        <w:szCs w:val="20"/>
                      </w:rPr>
                    </m:ctrlPr>
                  </m:radPr>
                  <m:deg/>
                  <m:e>
                    <m:f>
                      <m:fPr>
                        <m:ctrlPr>
                          <w:rPr>
                            <w:rFonts w:ascii="Cambria Math" w:hAnsi="Cambria Math" w:cs="Times New Roman"/>
                            <w:i/>
                            <w:sz w:val="20"/>
                            <w:szCs w:val="20"/>
                          </w:rPr>
                        </m:ctrlPr>
                      </m:fPr>
                      <m:num>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g</m:t>
                                </m:r>
                              </m:sub>
                            </m:sSub>
                          </m:num>
                          <m:den>
                            <m:r>
                              <w:rPr>
                                <w:rFonts w:ascii="Cambria Math" w:hAnsi="Cambria Math" w:cs="Times New Roman"/>
                                <w:sz w:val="20"/>
                                <w:szCs w:val="20"/>
                              </w:rPr>
                              <m:t>∂θ</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0</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m</m:t>
                                </m:r>
                              </m:sub>
                            </m:sSub>
                          </m:num>
                          <m:den>
                            <m:r>
                              <w:rPr>
                                <w:rFonts w:ascii="Cambria Math" w:hAnsi="Cambria Math" w:cs="Times New Roman"/>
                                <w:sz w:val="20"/>
                                <w:szCs w:val="20"/>
                              </w:rPr>
                              <m:t>∂θ</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0</m:t>
                            </m:r>
                          </m:sub>
                        </m:sSub>
                        <m:r>
                          <w:rPr>
                            <w:rFonts w:ascii="Cambria Math" w:hAnsi="Cambria Math" w:cs="Times New Roman"/>
                            <w:sz w:val="20"/>
                            <w:szCs w:val="20"/>
                          </w:rPr>
                          <m:t>)</m:t>
                        </m:r>
                      </m:num>
                      <m:den>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1</m:t>
                            </m:r>
                          </m:sub>
                        </m:sSub>
                        <m:r>
                          <w:rPr>
                            <w:rFonts w:ascii="Cambria Math" w:hAnsi="Cambria Math" w:cs="Times New Roman"/>
                            <w:sz w:val="20"/>
                            <w:szCs w:val="20"/>
                          </w:rPr>
                          <m:t>+</m:t>
                        </m:r>
                        <m:sSup>
                          <m:sSupPr>
                            <m:ctrlPr>
                              <w:rPr>
                                <w:rFonts w:ascii="Cambria Math" w:hAnsi="Cambria Math" w:cs="Times New Roman"/>
                                <w:i/>
                                <w:sz w:val="20"/>
                                <w:szCs w:val="20"/>
                              </w:rPr>
                            </m:ctrlPr>
                          </m:sSupPr>
                          <m:e>
                            <m:sSub>
                              <m:sSubPr>
                                <m:ctrlPr>
                                  <w:rPr>
                                    <w:rFonts w:ascii="Cambria Math" w:hAnsi="Cambria Math" w:cs="Times New Roman"/>
                                    <w:iCs/>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2</m:t>
                            </m:r>
                          </m:sub>
                        </m:sSub>
                      </m:den>
                    </m:f>
                  </m:e>
                </m:rad>
                <m:r>
                  <m:rPr>
                    <m:sty m:val="p"/>
                  </m:rPr>
                  <w:rPr>
                    <w:rFonts w:ascii="Cambria Math" w:hAnsi="Cambria Math" w:cs="Times New Roman"/>
                    <w:sz w:val="20"/>
                    <w:szCs w:val="20"/>
                  </w:rPr>
                  <m:t xml:space="preserve"> ,</m:t>
                </m:r>
                <m:r>
                  <w:rPr>
                    <w:rFonts w:ascii="Cambria Math" w:hAnsi="Cambria Math" w:cs="Times New Roman"/>
                    <w:sz w:val="20"/>
                    <w:szCs w:val="20"/>
                  </w:rPr>
                  <m:t xml:space="preserve"> </m:t>
                </m:r>
              </m:oMath>
            </m:oMathPara>
          </w:p>
        </w:tc>
        <w:tc>
          <w:tcPr>
            <w:tcW w:w="573" w:type="dxa"/>
            <w:vAlign w:val="center"/>
            <w:hideMark/>
          </w:tcPr>
          <w:p w14:paraId="367ED379" w14:textId="5C4A6E2C" w:rsidR="008D1D0B" w:rsidRPr="00D41FC5" w:rsidRDefault="008D1D0B" w:rsidP="00095B6C">
            <w:pPr>
              <w:snapToGrid w:val="0"/>
              <w:jc w:val="center"/>
              <w:textAlignment w:val="center"/>
              <w:rPr>
                <w:rFonts w:ascii="Times New Roman" w:hAnsi="Times New Roman" w:cs="Times New Roman"/>
                <w:sz w:val="20"/>
                <w:szCs w:val="20"/>
              </w:rPr>
            </w:pPr>
            <w:r w:rsidRPr="00D41FC5">
              <w:rPr>
                <w:rFonts w:ascii="Times New Roman" w:hAnsi="Times New Roman" w:cs="Times New Roman"/>
                <w:sz w:val="20"/>
                <w:szCs w:val="20"/>
              </w:rPr>
              <w:t>(1</w:t>
            </w:r>
            <w:r w:rsidR="0089392A" w:rsidRPr="00D41FC5">
              <w:rPr>
                <w:rFonts w:ascii="Times New Roman" w:hAnsi="Times New Roman" w:cs="Times New Roman"/>
                <w:sz w:val="20"/>
                <w:szCs w:val="20"/>
              </w:rPr>
              <w:t>6</w:t>
            </w:r>
            <w:r w:rsidRPr="00D41FC5">
              <w:rPr>
                <w:rFonts w:ascii="Times New Roman" w:hAnsi="Times New Roman" w:cs="Times New Roman"/>
                <w:sz w:val="20"/>
                <w:szCs w:val="20"/>
              </w:rPr>
              <w:t>)</w:t>
            </w:r>
          </w:p>
        </w:tc>
      </w:tr>
    </w:tbl>
    <w:p w14:paraId="39EAF713" w14:textId="57EE4F7F" w:rsidR="0089392A" w:rsidRPr="00D41FC5" w:rsidRDefault="0089392A" w:rsidP="00095B6C">
      <w:pPr>
        <w:pStyle w:val="IOPText"/>
        <w:ind w:firstLine="0"/>
        <w:rPr>
          <w:rFonts w:cs="Times New Roman"/>
          <w:szCs w:val="21"/>
        </w:rPr>
      </w:pPr>
      <w:proofErr w:type="gramStart"/>
      <w:r w:rsidRPr="00D41FC5">
        <w:rPr>
          <w:rFonts w:cs="Times New Roman"/>
          <w:szCs w:val="21"/>
        </w:rPr>
        <w:t>where</w:t>
      </w:r>
      <w:proofErr w:type="gramEnd"/>
      <w:r w:rsidRPr="00D41FC5">
        <w:rPr>
          <w:rFonts w:cs="Times New Roman"/>
          <w:szCs w:val="21"/>
        </w:rPr>
        <w:t xml:space="preserve"> </w:t>
      </w:r>
      <m:oMath>
        <m:f>
          <m:fPr>
            <m:ctrlPr>
              <w:rPr>
                <w:rFonts w:ascii="Cambria Math" w:hAnsi="Cambria Math" w:cs="Times New Roman"/>
                <w:szCs w:val="21"/>
              </w:rPr>
            </m:ctrlPr>
          </m:fPr>
          <m:num>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m</m:t>
                </m:r>
              </m:sub>
            </m:sSub>
          </m:num>
          <m:den>
            <m:r>
              <w:rPr>
                <w:rFonts w:ascii="Cambria Math" w:hAnsi="Cambria Math" w:cs="Times New Roman"/>
                <w:szCs w:val="21"/>
              </w:rPr>
              <m:t>∂θ</m:t>
            </m:r>
          </m:den>
        </m:f>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0</m:t>
            </m:r>
          </m:sub>
        </m:sSub>
        <m:r>
          <m:rPr>
            <m:sty m:val="p"/>
          </m:rPr>
          <w:rPr>
            <w:rFonts w:ascii="Cambria Math" w:hAnsi="Cambria Math" w:cs="Times New Roman"/>
            <w:szCs w:val="21"/>
          </w:rPr>
          <m:t>)</m:t>
        </m:r>
      </m:oMath>
      <w:r w:rsidRPr="00D41FC5">
        <w:rPr>
          <w:rFonts w:cs="Times New Roman"/>
          <w:szCs w:val="21"/>
        </w:rPr>
        <w:t xml:space="preserve"> and </w:t>
      </w:r>
      <m:oMath>
        <m:f>
          <m:fPr>
            <m:ctrlPr>
              <w:rPr>
                <w:rFonts w:ascii="Cambria Math" w:hAnsi="Cambria Math" w:cs="Times New Roman"/>
                <w:szCs w:val="21"/>
              </w:rPr>
            </m:ctrlPr>
          </m:fPr>
          <m:num>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g</m:t>
                </m:r>
              </m:sub>
            </m:sSub>
          </m:num>
          <m:den>
            <m:r>
              <w:rPr>
                <w:rFonts w:ascii="Cambria Math" w:hAnsi="Cambria Math" w:cs="Times New Roman"/>
                <w:szCs w:val="21"/>
              </w:rPr>
              <m:t>∂θ</m:t>
            </m:r>
          </m:den>
        </m:f>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0</m:t>
            </m:r>
          </m:sub>
        </m:sSub>
        <m:r>
          <m:rPr>
            <m:sty m:val="p"/>
          </m:rPr>
          <w:rPr>
            <w:rFonts w:ascii="Cambria Math" w:hAnsi="Cambria Math" w:cs="Times New Roman"/>
            <w:szCs w:val="21"/>
          </w:rPr>
          <m:t>)</m:t>
        </m:r>
      </m:oMath>
      <w:r w:rsidRPr="00D41FC5">
        <w:rPr>
          <w:rFonts w:cs="Times New Roman"/>
          <w:szCs w:val="21"/>
        </w:rPr>
        <w:t xml:space="preserve"> are the partial derivative of </w:t>
      </w:r>
      <m:oMath>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m</m:t>
            </m:r>
          </m:sub>
        </m:sSub>
      </m:oMath>
      <w:r w:rsidRPr="00D41FC5">
        <w:rPr>
          <w:rFonts w:cs="Times New Roman"/>
          <w:szCs w:val="21"/>
        </w:rPr>
        <w:t xml:space="preserve"> and </w:t>
      </w:r>
      <m:oMath>
        <m:sSub>
          <m:sSubPr>
            <m:ctrlPr>
              <w:rPr>
                <w:rFonts w:ascii="Cambria Math" w:hAnsi="Cambria Math" w:cs="Times New Roman"/>
                <w:szCs w:val="21"/>
              </w:rPr>
            </m:ctrlPr>
          </m:sSubPr>
          <m:e>
            <m:r>
              <w:rPr>
                <w:rFonts w:ascii="Cambria Math" w:hAnsi="Cambria Math" w:cs="Times New Roman"/>
                <w:szCs w:val="21"/>
              </w:rPr>
              <m:t>T</m:t>
            </m:r>
          </m:e>
          <m:sub>
            <m:r>
              <m:rPr>
                <m:sty m:val="p"/>
              </m:rPr>
              <w:rPr>
                <w:rFonts w:ascii="Cambria Math" w:hAnsi="Cambria Math" w:cs="Times New Roman"/>
                <w:szCs w:val="21"/>
              </w:rPr>
              <m:t>g</m:t>
            </m:r>
          </m:sub>
        </m:sSub>
      </m:oMath>
      <w:r w:rsidRPr="00D41FC5">
        <w:rPr>
          <w:rFonts w:cs="Times New Roman"/>
          <w:szCs w:val="21"/>
        </w:rPr>
        <w:t xml:space="preserve"> with respect to variable </w:t>
      </w:r>
      <m:oMath>
        <m:r>
          <w:rPr>
            <w:rFonts w:ascii="Cambria Math" w:hAnsi="Cambria Math" w:cs="Times New Roman"/>
            <w:szCs w:val="21"/>
          </w:rPr>
          <m:t>θ</m:t>
        </m:r>
      </m:oMath>
      <w:r w:rsidRPr="00D41FC5">
        <w:rPr>
          <w:rFonts w:cs="Times New Roman"/>
          <w:szCs w:val="21"/>
        </w:rPr>
        <w:t xml:space="preserve">, corresponding to the stiffness of the system caused by magnetic force and gravity when </w:t>
      </w:r>
      <m:oMath>
        <m:r>
          <w:rPr>
            <w:rFonts w:ascii="Cambria Math" w:hAnsi="Cambria Math" w:cs="Times New Roman"/>
            <w:szCs w:val="21"/>
          </w:rPr>
          <m:t>θ</m:t>
        </m:r>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0</m:t>
            </m:r>
          </m:sub>
        </m:sSub>
      </m:oMath>
      <w:r w:rsidRPr="00D41FC5">
        <w:rPr>
          <w:rFonts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0</m:t>
            </m:r>
          </m:sub>
        </m:sSub>
      </m:oMath>
      <w:r w:rsidRPr="00D41FC5">
        <w:rPr>
          <w:rFonts w:cs="Times New Roman"/>
          <w:szCs w:val="21"/>
        </w:rPr>
        <w:t xml:space="preserve"> denotes the stable equilibrium point of the pendulum structure. The value of </w:t>
      </w:r>
      <m:oMath>
        <m:sSub>
          <m:sSubPr>
            <m:ctrlPr>
              <w:rPr>
                <w:rFonts w:ascii="Cambria Math" w:hAnsi="Cambria Math" w:cs="Times New Roman"/>
                <w:szCs w:val="21"/>
              </w:rPr>
            </m:ctrlPr>
          </m:sSubPr>
          <m:e>
            <m:r>
              <w:rPr>
                <w:rFonts w:ascii="Cambria Math" w:hAnsi="Cambria Math" w:cs="Times New Roman"/>
                <w:szCs w:val="21"/>
              </w:rPr>
              <m:t>θ</m:t>
            </m:r>
          </m:e>
          <m:sub>
            <m:r>
              <m:rPr>
                <m:sty m:val="p"/>
              </m:rPr>
              <w:rPr>
                <w:rFonts w:ascii="Cambria Math" w:hAnsi="Cambria Math" w:cs="Times New Roman"/>
                <w:szCs w:val="21"/>
              </w:rPr>
              <m:t>0</m:t>
            </m:r>
          </m:sub>
        </m:sSub>
      </m:oMath>
      <w:r w:rsidRPr="00D41FC5">
        <w:rPr>
          <w:rFonts w:cs="Times New Roman"/>
          <w:szCs w:val="21"/>
        </w:rPr>
        <w:t xml:space="preserve"> varies with numerous factors, such as the mass of the pendulum and the pos</w:t>
      </w:r>
      <w:proofErr w:type="spellStart"/>
      <w:r w:rsidRPr="00D41FC5">
        <w:rPr>
          <w:rFonts w:cs="Times New Roman"/>
          <w:szCs w:val="21"/>
        </w:rPr>
        <w:t>ition</w:t>
      </w:r>
      <w:proofErr w:type="spellEnd"/>
      <w:r w:rsidRPr="00D41FC5">
        <w:rPr>
          <w:rFonts w:cs="Times New Roman"/>
          <w:szCs w:val="21"/>
        </w:rPr>
        <w:t xml:space="preserve"> of </w:t>
      </w:r>
      <w:r w:rsidRPr="00D41FC5">
        <w:rPr>
          <w:rFonts w:cs="Times New Roman"/>
          <w:szCs w:val="21"/>
        </w:rPr>
        <w:lastRenderedPageBreak/>
        <w:t xml:space="preserve">the fixed magnet. Estimating the natural frequency of the system provides an insight into the dynamic characteristics of the harvester. Besides, the instantaneous power generated by  </w:t>
      </w:r>
      <m:oMath>
        <m:sSub>
          <m:sSubPr>
            <m:ctrlPr>
              <w:rPr>
                <w:rFonts w:ascii="Cambria Math" w:hAnsi="Cambria Math" w:cs="Times New Roman"/>
                <w:szCs w:val="21"/>
              </w:rPr>
            </m:ctrlPr>
          </m:sSubPr>
          <m:e>
            <m:r>
              <w:rPr>
                <w:rFonts w:ascii="Cambria Math" w:hAnsi="Cambria Math" w:cs="Times New Roman"/>
                <w:szCs w:val="21"/>
              </w:rPr>
              <m:t>R</m:t>
            </m:r>
          </m:e>
          <m:sub>
            <m:r>
              <w:rPr>
                <w:rFonts w:ascii="Cambria Math" w:hAnsi="Cambria Math" w:cs="Times New Roman"/>
                <w:szCs w:val="21"/>
              </w:rPr>
              <m:t>L</m:t>
            </m:r>
          </m:sub>
        </m:sSub>
      </m:oMath>
      <w:r w:rsidRPr="00D41FC5">
        <w:rPr>
          <w:rFonts w:cs="Times New Roman"/>
          <w:szCs w:val="21"/>
        </w:rPr>
        <w:t xml:space="preserve"> is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557"/>
      </w:tblGrid>
      <w:tr w:rsidR="00D41FC5" w:rsidRPr="00D41FC5" w14:paraId="23AEBC66" w14:textId="77777777" w:rsidTr="0089392A">
        <w:trPr>
          <w:trHeight w:val="355"/>
        </w:trPr>
        <w:tc>
          <w:tcPr>
            <w:tcW w:w="4380" w:type="dxa"/>
            <w:vAlign w:val="center"/>
            <w:hideMark/>
          </w:tcPr>
          <w:p w14:paraId="2E7E8EF2" w14:textId="77777777" w:rsidR="0089392A" w:rsidRPr="00D41FC5" w:rsidRDefault="0089392A" w:rsidP="00095B6C">
            <w:pPr>
              <w:snapToGrid w:val="0"/>
              <w:jc w:val="center"/>
              <w:textAlignment w:val="center"/>
              <w:rPr>
                <w:rFonts w:ascii="Times New Roman" w:hAnsi="Times New Roman" w:cs="Times New Roman"/>
                <w:sz w:val="20"/>
                <w:szCs w:val="20"/>
              </w:rPr>
            </w:pPr>
            <m:oMathPara>
              <m:oMath>
                <m:r>
                  <w:rPr>
                    <w:rFonts w:ascii="Cambria Math" w:hAnsi="Cambria Math" w:cs="Times New Roman"/>
                    <w:sz w:val="20"/>
                    <w:szCs w:val="20"/>
                  </w:rPr>
                  <m:t>P</m:t>
                </m:r>
                <m:r>
                  <m:rPr>
                    <m:sty m:val="p"/>
                  </m:rPr>
                  <w:rPr>
                    <w:rFonts w:ascii="Cambria Math" w:hAnsi="Cambria Math" w:cs="Times New Roman"/>
                    <w:sz w:val="20"/>
                    <w:szCs w:val="20"/>
                  </w:rPr>
                  <m:t>=</m:t>
                </m:r>
                <m:sSup>
                  <m:sSupPr>
                    <m:ctrlPr>
                      <w:rPr>
                        <w:rFonts w:ascii="Cambria Math" w:hAnsi="Cambria Math" w:cs="Times New Roman"/>
                        <w:sz w:val="20"/>
                        <w:szCs w:val="20"/>
                      </w:rPr>
                    </m:ctrlPr>
                  </m:sSupPr>
                  <m:e>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e</m:t>
                                </m:r>
                              </m:sub>
                            </m:sSub>
                            <m:sSub>
                              <m:sSubPr>
                                <m:ctrlPr>
                                  <w:rPr>
                                    <w:rFonts w:ascii="Cambria Math" w:hAnsi="Cambria Math" w:cs="Times New Roman"/>
                                    <w:i/>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acc>
                              <m:accPr>
                                <m:chr m:val="̇"/>
                                <m:ctrlPr>
                                  <w:rPr>
                                    <w:rFonts w:ascii="Cambria Math" w:hAnsi="Cambria Math" w:cs="Times New Roman"/>
                                    <w:sz w:val="20"/>
                                    <w:szCs w:val="20"/>
                                  </w:rPr>
                                </m:ctrlPr>
                              </m:accPr>
                              <m:e>
                                <m:r>
                                  <w:rPr>
                                    <w:rFonts w:ascii="Cambria Math" w:hAnsi="Cambria Math" w:cs="Times New Roman"/>
                                    <w:sz w:val="20"/>
                                    <w:szCs w:val="20"/>
                                  </w:rPr>
                                  <m:t>θ</m:t>
                                </m:r>
                              </m:e>
                            </m:acc>
                          </m:num>
                          <m:den>
                            <m:sSub>
                              <m:sSubPr>
                                <m:ctrlPr>
                                  <w:rPr>
                                    <w:rFonts w:ascii="Cambria Math" w:hAnsi="Cambria Math" w:cs="Times New Roman"/>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Int</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L</m:t>
                                </m:r>
                              </m:sub>
                            </m:sSub>
                          </m:den>
                        </m:f>
                      </m:e>
                    </m:d>
                    <m:r>
                      <m:rPr>
                        <m:sty m:val="p"/>
                      </m:rPr>
                      <w:rPr>
                        <w:rFonts w:ascii="Cambria Math" w:hAnsi="Cambria Math" w:cs="Times New Roman"/>
                        <w:sz w:val="20"/>
                        <w:szCs w:val="20"/>
                      </w:rPr>
                      <m:t xml:space="preserve"> </m:t>
                    </m:r>
                  </m:e>
                  <m:sup>
                    <m:r>
                      <m:rPr>
                        <m:sty m:val="p"/>
                      </m:rPr>
                      <w:rPr>
                        <w:rFonts w:ascii="Cambria Math" w:hAnsi="Cambria Math" w:cs="Times New Roman"/>
                        <w:sz w:val="20"/>
                        <w:szCs w:val="20"/>
                      </w:rPr>
                      <m:t>2</m:t>
                    </m:r>
                  </m:sup>
                </m:sSup>
                <m:sSub>
                  <m:sSubPr>
                    <m:ctrlPr>
                      <w:rPr>
                        <w:rFonts w:ascii="Cambria Math" w:hAnsi="Cambria Math" w:cs="Times New Roman"/>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L</m:t>
                    </m:r>
                  </m:sub>
                </m:sSub>
                <m:r>
                  <w:rPr>
                    <w:rFonts w:ascii="Cambria Math" w:hAnsi="Cambria Math" w:cs="Times New Roman"/>
                    <w:sz w:val="20"/>
                    <w:szCs w:val="20"/>
                  </w:rPr>
                  <m:t xml:space="preserve">. </m:t>
                </m:r>
              </m:oMath>
            </m:oMathPara>
          </w:p>
        </w:tc>
        <w:tc>
          <w:tcPr>
            <w:tcW w:w="557" w:type="dxa"/>
            <w:vAlign w:val="center"/>
            <w:hideMark/>
          </w:tcPr>
          <w:p w14:paraId="483E9389" w14:textId="77777777" w:rsidR="0089392A" w:rsidRPr="00D41FC5" w:rsidRDefault="0089392A" w:rsidP="00095B6C">
            <w:pPr>
              <w:snapToGrid w:val="0"/>
              <w:textAlignment w:val="center"/>
              <w:rPr>
                <w:rFonts w:ascii="Times New Roman" w:hAnsi="Times New Roman" w:cs="Times New Roman"/>
                <w:sz w:val="20"/>
                <w:szCs w:val="20"/>
              </w:rPr>
            </w:pPr>
            <w:r w:rsidRPr="00D41FC5">
              <w:rPr>
                <w:rFonts w:ascii="Times New Roman" w:hAnsi="Times New Roman" w:cs="Times New Roman"/>
                <w:sz w:val="20"/>
                <w:szCs w:val="20"/>
              </w:rPr>
              <w:t>(17)</w:t>
            </w:r>
          </w:p>
        </w:tc>
      </w:tr>
    </w:tbl>
    <w:p w14:paraId="54228A24" w14:textId="1F2BA4E9" w:rsidR="0089392A" w:rsidRPr="00D41FC5" w:rsidRDefault="0089392A" w:rsidP="00095B6C">
      <w:pPr>
        <w:pStyle w:val="IOPText"/>
        <w:ind w:firstLine="0"/>
        <w:rPr>
          <w:rFonts w:cs="Times New Roman"/>
          <w:szCs w:val="21"/>
        </w:rPr>
      </w:pPr>
      <w:r w:rsidRPr="00D41FC5">
        <w:rPr>
          <w:rFonts w:cs="Times New Roman"/>
          <w:szCs w:val="21"/>
        </w:rPr>
        <w:t>With Eq. (15), Eq. (16) and Eq. (17), we are able to investigate the dynamic behaviours of the pendulum-flywheel VEH and estimate its energy performance.</w:t>
      </w:r>
    </w:p>
    <w:p w14:paraId="037B5AA8" w14:textId="3A36D680" w:rsidR="00581B2A" w:rsidRPr="00D41FC5" w:rsidRDefault="00581B2A" w:rsidP="00064738">
      <w:pPr>
        <w:pStyle w:val="IOPH1"/>
        <w:spacing w:before="120" w:after="80"/>
        <w:rPr>
          <w:lang w:eastAsia="zh-CN"/>
        </w:rPr>
      </w:pPr>
      <w:r w:rsidRPr="00D41FC5">
        <w:rPr>
          <w:lang w:eastAsia="zh-CN"/>
        </w:rPr>
        <w:t>4. The prototype of the VEH</w:t>
      </w:r>
    </w:p>
    <w:p w14:paraId="43403725" w14:textId="5BBCA66B" w:rsidR="00095B6C" w:rsidRPr="00D41FC5" w:rsidRDefault="008B7044" w:rsidP="008B7044">
      <w:pPr>
        <w:pStyle w:val="IOPText"/>
        <w:rPr>
          <w:rFonts w:cs="Times New Roman"/>
          <w:szCs w:val="21"/>
        </w:rPr>
      </w:pPr>
      <w:r w:rsidRPr="00D41FC5">
        <w:rPr>
          <w:noProof/>
        </w:rPr>
        <w:t>According to the concept of the proposed pendulum-flywheel VEH, a prototype is designed and fabricated, as shown in Figure 4. Both the frame and the annular gear are built through a 3D-printing process with nylon. The fan-shaped structure, the pinion gear, and the washer are made of aluminium. The fan-shaped structure has a central angle of 130° and a thickness of 2 mm. Two identical</w:t>
      </w:r>
      <w:bookmarkStart w:id="28" w:name="OLE_LINK20"/>
      <w:r w:rsidRPr="00D41FC5">
        <w:rPr>
          <w:noProof/>
        </w:rPr>
        <w:t xml:space="preserve"> cylindrical</w:t>
      </w:r>
      <w:bookmarkEnd w:id="28"/>
      <w:r w:rsidRPr="00D41FC5">
        <w:rPr>
          <w:noProof/>
        </w:rPr>
        <w:t xml:space="preserve"> neodymium magnets (grade number: N52; size:</w:t>
      </w:r>
      <m:oMath>
        <m:r>
          <m:rPr>
            <m:sty m:val="p"/>
          </m:rPr>
          <w:rPr>
            <w:rFonts w:ascii="Cambria Math" w:hAnsi="Cambria Math"/>
            <w:noProof/>
          </w:rPr>
          <m:t xml:space="preserve"> </m:t>
        </m:r>
        <m:r>
          <w:rPr>
            <w:rFonts w:ascii="Cambria Math" w:hAnsi="Cambria Math"/>
            <w:noProof/>
          </w:rPr>
          <m:t>ϕ</m:t>
        </m:r>
        <m:r>
          <m:rPr>
            <m:sty m:val="p"/>
          </m:rPr>
          <w:rPr>
            <w:rFonts w:ascii="Cambria Math" w:hAnsi="Cambria Math"/>
            <w:noProof/>
          </w:rPr>
          <m:t>20×5</m:t>
        </m:r>
      </m:oMath>
      <w:r w:rsidRPr="00D41FC5">
        <w:rPr>
          <w:noProof/>
        </w:rPr>
        <w:t xml:space="preserve"> mm) are employed in the prototype. Different from the schematic diagram in Figure 1, we also attach a nylon fixture on the fan-shaped structure to provide the block of mass with space for</w:t>
      </w:r>
      <w:r w:rsidR="00757B90" w:rsidRPr="00D41FC5">
        <w:rPr>
          <w:noProof/>
        </w:rPr>
        <w:t xml:space="preserve"> installing additional masses (if needed). The block of mass (material: copper, size: </w:t>
      </w:r>
      <m:oMath>
        <m:r>
          <m:rPr>
            <m:sty m:val="p"/>
          </m:rPr>
          <w:rPr>
            <w:rFonts w:ascii="Cambria Math" w:hAnsi="Cambria Math"/>
            <w:noProof/>
          </w:rPr>
          <m:t>20×10×10</m:t>
        </m:r>
      </m:oMath>
      <w:r w:rsidR="00757B90" w:rsidRPr="00D41FC5">
        <w:rPr>
          <w:noProof/>
        </w:rPr>
        <w:t xml:space="preserve"> mm) is used for obtaining a larger inertial force. Considering the block of mass and nylon fixture as parts of the inertial-motion</w:t>
      </w:r>
      <w:r w:rsidR="00A60685" w:rsidRPr="00D41FC5">
        <w:rPr>
          <w:noProof/>
        </w:rPr>
        <w:t xml:space="preserve"> subsystem, the proposed theoretical model still works. The DC generator is installed on the Nylon frame through a 3D-printed fixture and connected to a close circuit via the wire connector.</w:t>
      </w:r>
      <w:r w:rsidR="00E05A9E" w:rsidRPr="00D41FC5">
        <w:rPr>
          <w:noProof/>
        </w:rPr>
        <w:t xml:space="preserve"> </w:t>
      </w:r>
      <w:r w:rsidR="00E05A9E" w:rsidRPr="00D41FC5">
        <w:rPr>
          <w:rFonts w:hint="eastAsia"/>
          <w:noProof/>
          <w:lang w:eastAsia="zh-CN"/>
        </w:rPr>
        <w:t>Since</w:t>
      </w:r>
      <w:r w:rsidR="00E05A9E" w:rsidRPr="00D41FC5">
        <w:rPr>
          <w:noProof/>
          <w:lang w:eastAsia="zh-CN"/>
        </w:rPr>
        <w:t xml:space="preserve"> </w:t>
      </w:r>
      <w:r w:rsidR="00E05A9E" w:rsidRPr="00D41FC5">
        <w:rPr>
          <w:rFonts w:hint="eastAsia"/>
          <w:noProof/>
          <w:lang w:eastAsia="zh-CN"/>
        </w:rPr>
        <w:t>the</w:t>
      </w:r>
      <w:r w:rsidR="00E05A9E" w:rsidRPr="00D41FC5">
        <w:rPr>
          <w:noProof/>
          <w:lang w:eastAsia="zh-CN"/>
        </w:rPr>
        <w:t xml:space="preserve"> fixed magnet is mounted on the frame foot, the distance </w:t>
      </w:r>
      <w:r w:rsidR="00E05A9E" w:rsidRPr="00D41FC5">
        <w:rPr>
          <w:noProof/>
          <w:lang w:eastAsia="zh-CN"/>
        </w:rPr>
        <w:t>between the tip and fixed magnets can be adjusted by moving the vertical position of the rotati</w:t>
      </w:r>
      <w:r w:rsidR="008C487B" w:rsidRPr="00D41FC5">
        <w:rPr>
          <w:noProof/>
          <w:lang w:eastAsia="zh-CN"/>
        </w:rPr>
        <w:t>ng</w:t>
      </w:r>
      <w:r w:rsidR="00E05A9E" w:rsidRPr="00D41FC5">
        <w:rPr>
          <w:noProof/>
          <w:lang w:eastAsia="zh-CN"/>
        </w:rPr>
        <w:t xml:space="preserve"> </w:t>
      </w:r>
      <w:r w:rsidR="008C487B" w:rsidRPr="00D41FC5">
        <w:rPr>
          <w:noProof/>
          <w:lang w:eastAsia="zh-CN"/>
        </w:rPr>
        <w:t xml:space="preserve">shaft </w:t>
      </w:r>
      <w:r w:rsidR="00E05A9E" w:rsidRPr="00D41FC5">
        <w:rPr>
          <w:noProof/>
          <w:lang w:eastAsia="zh-CN"/>
        </w:rPr>
        <w:t>of the pendulum</w:t>
      </w:r>
      <w:r w:rsidR="00C37216" w:rsidRPr="00D41FC5">
        <w:rPr>
          <w:noProof/>
          <w:lang w:eastAsia="zh-CN"/>
        </w:rPr>
        <w:t xml:space="preserve"> to a different position on the frame</w:t>
      </w:r>
      <w:r w:rsidR="00E05A9E" w:rsidRPr="00D41FC5">
        <w:rPr>
          <w:noProof/>
          <w:lang w:eastAsia="zh-CN"/>
        </w:rPr>
        <w:t>.</w:t>
      </w:r>
      <w:r w:rsidR="00A60685" w:rsidRPr="00D41FC5">
        <w:rPr>
          <w:noProof/>
        </w:rPr>
        <w:t xml:space="preserve"> </w:t>
      </w:r>
      <w:r w:rsidR="0093182F" w:rsidRPr="00D41FC5">
        <w:rPr>
          <w:noProof/>
        </w:rPr>
        <w:t xml:space="preserve">Some </w:t>
      </w:r>
      <w:r w:rsidR="00A60685" w:rsidRPr="00D41FC5">
        <w:rPr>
          <w:noProof/>
        </w:rPr>
        <w:t>detailed parameters about the prototype, including the magnets and DC generator, are presented in Table 1. However, the magnetic dipole moment of magnets and the mechanical damping coefficient of the VEH cannot be obtained directly. They are determined from experimental data.</w:t>
      </w:r>
    </w:p>
    <w:p w14:paraId="7F7D89D0" w14:textId="77777777" w:rsidR="00BA1CA6" w:rsidRPr="00D41FC5" w:rsidRDefault="00A60685" w:rsidP="00120A99">
      <w:pPr>
        <w:spacing w:after="0" w:line="240" w:lineRule="auto"/>
        <w:jc w:val="both"/>
        <w:rPr>
          <w:rFonts w:ascii="Times New Roman" w:hAnsi="Times New Roman"/>
          <w:noProof/>
          <w:sz w:val="20"/>
        </w:rPr>
      </w:pPr>
      <w:r w:rsidRPr="00D41FC5">
        <w:rPr>
          <w:rFonts w:ascii="Times New Roman" w:hAnsi="Times New Roman" w:cs="Times New Roman"/>
          <w:noProof/>
          <w:lang w:eastAsia="zh-CN"/>
        </w:rPr>
        <w:drawing>
          <wp:inline distT="0" distB="0" distL="0" distR="0" wp14:anchorId="648C8BFB" wp14:editId="43C9C300">
            <wp:extent cx="2968388" cy="1637540"/>
            <wp:effectExtent l="0" t="0" r="381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892" r="648" b="524"/>
                    <a:stretch/>
                  </pic:blipFill>
                  <pic:spPr bwMode="auto">
                    <a:xfrm>
                      <a:off x="0" y="0"/>
                      <a:ext cx="3107537" cy="1714303"/>
                    </a:xfrm>
                    <a:prstGeom prst="rect">
                      <a:avLst/>
                    </a:prstGeom>
                    <a:ln>
                      <a:noFill/>
                    </a:ln>
                    <a:extLst>
                      <a:ext uri="{53640926-AAD7-44D8-BBD7-CCE9431645EC}">
                        <a14:shadowObscured xmlns:a14="http://schemas.microsoft.com/office/drawing/2010/main"/>
                      </a:ext>
                    </a:extLst>
                  </pic:spPr>
                </pic:pic>
              </a:graphicData>
            </a:graphic>
          </wp:inline>
        </w:drawing>
      </w:r>
    </w:p>
    <w:p w14:paraId="2A0A347E" w14:textId="76002AF9" w:rsidR="00A60685" w:rsidRPr="00D41FC5" w:rsidRDefault="00A60685" w:rsidP="00120A99">
      <w:pPr>
        <w:spacing w:after="0" w:line="240" w:lineRule="auto"/>
        <w:jc w:val="both"/>
        <w:rPr>
          <w:noProof/>
        </w:rPr>
      </w:pPr>
      <w:r w:rsidRPr="00D41FC5">
        <w:rPr>
          <w:rFonts w:ascii="Times New Roman" w:hAnsi="Times New Roman"/>
          <w:noProof/>
          <w:sz w:val="20"/>
        </w:rPr>
        <w:t>Figure 4. The prototype of the pendulum-eccentric flywheel VEH (left: side view; right: front view)</w:t>
      </w:r>
    </w:p>
    <w:p w14:paraId="02995942" w14:textId="77777777" w:rsidR="00A60685" w:rsidRPr="00D41FC5" w:rsidRDefault="00A60685" w:rsidP="00246CD3">
      <w:pPr>
        <w:pStyle w:val="IOPH1"/>
        <w:spacing w:before="160" w:after="80"/>
      </w:pPr>
      <w:r w:rsidRPr="00D41FC5">
        <w:rPr>
          <w:lang w:eastAsia="zh-CN"/>
        </w:rPr>
        <w:t>5</w:t>
      </w:r>
      <w:r w:rsidRPr="00D41FC5">
        <w:t>. Estimation and verification of model parameters</w:t>
      </w:r>
    </w:p>
    <w:p w14:paraId="27D26C28" w14:textId="4AECAD9C" w:rsidR="00A60685" w:rsidRPr="00D41FC5" w:rsidRDefault="00A60685" w:rsidP="00A60685">
      <w:pPr>
        <w:pStyle w:val="IOPText"/>
        <w:rPr>
          <w:noProof/>
        </w:rPr>
      </w:pPr>
      <w:r w:rsidRPr="00D41FC5">
        <w:rPr>
          <w:noProof/>
        </w:rPr>
        <w:t xml:space="preserve">In this study, we use a series of experiments to estimate magnetic dipole moments </w:t>
      </w:r>
      <m:oMath>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a</m:t>
            </m:r>
          </m:sub>
        </m:sSub>
      </m:oMath>
      <w:r w:rsidRPr="00D41FC5">
        <w:rPr>
          <w:noProof/>
        </w:rPr>
        <w:t xml:space="preserve"> and </w:t>
      </w:r>
      <m:oMath>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b</m:t>
            </m:r>
          </m:sub>
        </m:sSub>
      </m:oMath>
      <w:r w:rsidRPr="00D41FC5">
        <w:rPr>
          <w:noProof/>
        </w:rPr>
        <w:t xml:space="preserve">, and damping coefficients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1</m:t>
            </m:r>
          </m:sub>
        </m:sSub>
      </m:oMath>
      <w:r w:rsidRPr="00D41FC5">
        <w:rPr>
          <w:noProof/>
        </w:rPr>
        <w:t xml:space="preserve"> and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2</m:t>
            </m:r>
          </m:sub>
        </m:sSub>
      </m:oMath>
      <w:r w:rsidRPr="00D41FC5">
        <w:rPr>
          <w:noProof/>
        </w:rPr>
        <w:t>. Comparisons between the calculated and experimental recovery torques of the system are conducted to verify the effectiveness of the analytical model. Besides, we discuss the optimal resistance of the electrical load through numerical simulations.</w:t>
      </w:r>
    </w:p>
    <w:p w14:paraId="59D8E4EA" w14:textId="1ED64E0D" w:rsidR="00A60685" w:rsidRPr="00D41FC5" w:rsidRDefault="00A60685" w:rsidP="00A60685">
      <w:pPr>
        <w:pStyle w:val="IOPText"/>
        <w:ind w:firstLine="0"/>
        <w:rPr>
          <w:rFonts w:cs="Times New Roman"/>
          <w:szCs w:val="21"/>
        </w:rPr>
        <w:sectPr w:rsidR="00A60685" w:rsidRPr="00D41FC5" w:rsidSect="003A5833">
          <w:headerReference w:type="default" r:id="rId13"/>
          <w:footerReference w:type="default" r:id="rId14"/>
          <w:type w:val="continuous"/>
          <w:pgSz w:w="11906" w:h="16838" w:code="9"/>
          <w:pgMar w:top="1418" w:right="907" w:bottom="2041" w:left="907" w:header="709" w:footer="709" w:gutter="0"/>
          <w:cols w:num="2" w:space="227"/>
          <w:titlePg/>
          <w:docGrid w:linePitch="360"/>
        </w:sectPr>
      </w:pPr>
    </w:p>
    <w:p w14:paraId="72E69C73" w14:textId="77777777" w:rsidR="00095B6C" w:rsidRPr="00D41FC5" w:rsidRDefault="00095B6C" w:rsidP="004E1BF3">
      <w:pPr>
        <w:spacing w:after="0"/>
        <w:jc w:val="center"/>
        <w:rPr>
          <w:rFonts w:ascii="Times New Roman" w:hAnsi="Times New Roman" w:cs="Times New Roman"/>
        </w:rPr>
      </w:pPr>
      <w:r w:rsidRPr="00D41FC5">
        <w:rPr>
          <w:rFonts w:ascii="Times New Roman" w:hAnsi="Times New Roman" w:cs="Times New Roman"/>
        </w:rPr>
        <w:t>Table 1. Parameters of the designed prototype</w:t>
      </w:r>
    </w:p>
    <w:tbl>
      <w:tblPr>
        <w:tblStyle w:val="TableGrid"/>
        <w:tblW w:w="10029" w:type="dxa"/>
        <w:tblInd w:w="0" w:type="dxa"/>
        <w:tblLayout w:type="fixed"/>
        <w:tblLook w:val="04A0" w:firstRow="1" w:lastRow="0" w:firstColumn="1" w:lastColumn="0" w:noHBand="0" w:noVBand="1"/>
      </w:tblPr>
      <w:tblGrid>
        <w:gridCol w:w="670"/>
        <w:gridCol w:w="2249"/>
        <w:gridCol w:w="1070"/>
        <w:gridCol w:w="1069"/>
        <w:gridCol w:w="1069"/>
        <w:gridCol w:w="9"/>
        <w:gridCol w:w="2170"/>
        <w:gridCol w:w="862"/>
        <w:gridCol w:w="861"/>
      </w:tblGrid>
      <w:tr w:rsidR="00D41FC5" w:rsidRPr="00D41FC5" w14:paraId="6CD1C4DA" w14:textId="77777777" w:rsidTr="0084655D">
        <w:trPr>
          <w:trHeight w:val="215"/>
        </w:trPr>
        <w:tc>
          <w:tcPr>
            <w:tcW w:w="670" w:type="dxa"/>
            <w:tcBorders>
              <w:top w:val="single" w:sz="12" w:space="0" w:color="auto"/>
              <w:left w:val="nil"/>
              <w:bottom w:val="single" w:sz="4" w:space="0" w:color="auto"/>
              <w:right w:val="nil"/>
            </w:tcBorders>
            <w:vAlign w:val="center"/>
          </w:tcPr>
          <w:p w14:paraId="140CDF37" w14:textId="77777777" w:rsidR="00095B6C" w:rsidRPr="00D41FC5" w:rsidRDefault="00095B6C" w:rsidP="004E1BF3">
            <w:pPr>
              <w:spacing w:line="200" w:lineRule="exact"/>
              <w:rPr>
                <w:rFonts w:ascii="Times New Roman" w:hAnsi="Times New Roman" w:cs="Times New Roman"/>
                <w:b/>
                <w:bCs/>
                <w:sz w:val="20"/>
                <w:szCs w:val="20"/>
              </w:rPr>
            </w:pPr>
          </w:p>
        </w:tc>
        <w:tc>
          <w:tcPr>
            <w:tcW w:w="2249" w:type="dxa"/>
            <w:tcBorders>
              <w:top w:val="single" w:sz="12" w:space="0" w:color="auto"/>
              <w:left w:val="nil"/>
              <w:bottom w:val="single" w:sz="4" w:space="0" w:color="auto"/>
              <w:right w:val="nil"/>
            </w:tcBorders>
            <w:vAlign w:val="center"/>
            <w:hideMark/>
          </w:tcPr>
          <w:p w14:paraId="4CDC0923" w14:textId="77777777" w:rsidR="00095B6C" w:rsidRPr="00D41FC5" w:rsidRDefault="00095B6C" w:rsidP="004E1BF3">
            <w:pPr>
              <w:spacing w:line="200" w:lineRule="exact"/>
              <w:jc w:val="center"/>
              <w:rPr>
                <w:rFonts w:ascii="Times New Roman" w:hAnsi="Times New Roman" w:cs="Times New Roman"/>
                <w:b/>
                <w:bCs/>
                <w:sz w:val="20"/>
                <w:szCs w:val="20"/>
              </w:rPr>
            </w:pPr>
            <w:r w:rsidRPr="00D41FC5">
              <w:rPr>
                <w:rFonts w:ascii="Times New Roman" w:hAnsi="Times New Roman" w:cs="Times New Roman"/>
                <w:b/>
                <w:bCs/>
                <w:sz w:val="20"/>
                <w:szCs w:val="20"/>
              </w:rPr>
              <w:t>Parameter</w:t>
            </w:r>
          </w:p>
        </w:tc>
        <w:tc>
          <w:tcPr>
            <w:tcW w:w="1070" w:type="dxa"/>
            <w:tcBorders>
              <w:top w:val="single" w:sz="12" w:space="0" w:color="auto"/>
              <w:left w:val="nil"/>
              <w:bottom w:val="single" w:sz="4" w:space="0" w:color="auto"/>
              <w:right w:val="nil"/>
            </w:tcBorders>
            <w:vAlign w:val="center"/>
            <w:hideMark/>
          </w:tcPr>
          <w:p w14:paraId="30575A7C" w14:textId="77777777" w:rsidR="00095B6C" w:rsidRPr="00D41FC5" w:rsidRDefault="00095B6C" w:rsidP="004E1BF3">
            <w:pPr>
              <w:spacing w:line="200" w:lineRule="exact"/>
              <w:jc w:val="center"/>
              <w:rPr>
                <w:rFonts w:ascii="Times New Roman" w:hAnsi="Times New Roman" w:cs="Times New Roman"/>
                <w:b/>
                <w:bCs/>
                <w:sz w:val="20"/>
                <w:szCs w:val="20"/>
              </w:rPr>
            </w:pPr>
            <w:r w:rsidRPr="00D41FC5">
              <w:rPr>
                <w:rFonts w:ascii="Times New Roman" w:hAnsi="Times New Roman" w:cs="Times New Roman"/>
                <w:b/>
                <w:bCs/>
                <w:sz w:val="20"/>
                <w:szCs w:val="20"/>
              </w:rPr>
              <w:t>Value</w:t>
            </w:r>
          </w:p>
        </w:tc>
        <w:tc>
          <w:tcPr>
            <w:tcW w:w="1069" w:type="dxa"/>
            <w:tcBorders>
              <w:top w:val="single" w:sz="12" w:space="0" w:color="auto"/>
              <w:left w:val="nil"/>
              <w:bottom w:val="single" w:sz="4" w:space="0" w:color="auto"/>
              <w:right w:val="single" w:sz="8" w:space="0" w:color="auto"/>
            </w:tcBorders>
            <w:vAlign w:val="center"/>
            <w:hideMark/>
          </w:tcPr>
          <w:p w14:paraId="22370790" w14:textId="77777777" w:rsidR="00095B6C" w:rsidRPr="00D41FC5" w:rsidRDefault="00095B6C" w:rsidP="004E1BF3">
            <w:pPr>
              <w:snapToGrid w:val="0"/>
              <w:spacing w:line="200" w:lineRule="exact"/>
              <w:jc w:val="center"/>
              <w:rPr>
                <w:rFonts w:ascii="Times New Roman" w:hAnsi="Times New Roman" w:cs="Times New Roman"/>
                <w:b/>
                <w:bCs/>
                <w:sz w:val="20"/>
                <w:szCs w:val="20"/>
              </w:rPr>
            </w:pPr>
            <w:r w:rsidRPr="00D41FC5">
              <w:rPr>
                <w:rFonts w:ascii="Times New Roman" w:hAnsi="Times New Roman" w:cs="Times New Roman"/>
                <w:b/>
                <w:bCs/>
                <w:sz w:val="20"/>
                <w:szCs w:val="20"/>
              </w:rPr>
              <w:t>Unit</w:t>
            </w:r>
          </w:p>
        </w:tc>
        <w:tc>
          <w:tcPr>
            <w:tcW w:w="1069" w:type="dxa"/>
            <w:tcBorders>
              <w:top w:val="single" w:sz="12" w:space="0" w:color="auto"/>
              <w:left w:val="single" w:sz="8" w:space="0" w:color="auto"/>
              <w:bottom w:val="single" w:sz="4" w:space="0" w:color="auto"/>
              <w:right w:val="nil"/>
            </w:tcBorders>
            <w:vAlign w:val="center"/>
          </w:tcPr>
          <w:p w14:paraId="3429E1DA" w14:textId="77777777" w:rsidR="00095B6C" w:rsidRPr="00D41FC5" w:rsidRDefault="00095B6C" w:rsidP="004E1BF3">
            <w:pPr>
              <w:spacing w:line="200" w:lineRule="exact"/>
              <w:jc w:val="center"/>
              <w:rPr>
                <w:rFonts w:ascii="Times New Roman" w:hAnsi="Times New Roman" w:cs="Times New Roman"/>
                <w:b/>
                <w:bCs/>
                <w:sz w:val="20"/>
                <w:szCs w:val="20"/>
              </w:rPr>
            </w:pPr>
          </w:p>
        </w:tc>
        <w:tc>
          <w:tcPr>
            <w:tcW w:w="2179" w:type="dxa"/>
            <w:gridSpan w:val="2"/>
            <w:tcBorders>
              <w:top w:val="single" w:sz="12" w:space="0" w:color="auto"/>
              <w:left w:val="nil"/>
              <w:bottom w:val="single" w:sz="4" w:space="0" w:color="auto"/>
              <w:right w:val="nil"/>
            </w:tcBorders>
            <w:vAlign w:val="center"/>
            <w:hideMark/>
          </w:tcPr>
          <w:p w14:paraId="45CA270F" w14:textId="77777777" w:rsidR="00095B6C" w:rsidRPr="00D41FC5" w:rsidRDefault="00095B6C" w:rsidP="004E1BF3">
            <w:pPr>
              <w:spacing w:line="200" w:lineRule="exact"/>
              <w:jc w:val="center"/>
              <w:rPr>
                <w:rFonts w:ascii="Times New Roman" w:hAnsi="Times New Roman" w:cs="Times New Roman"/>
                <w:b/>
                <w:bCs/>
                <w:sz w:val="20"/>
                <w:szCs w:val="20"/>
              </w:rPr>
            </w:pPr>
            <w:r w:rsidRPr="00D41FC5">
              <w:rPr>
                <w:rFonts w:ascii="Times New Roman" w:hAnsi="Times New Roman" w:cs="Times New Roman"/>
                <w:b/>
                <w:bCs/>
                <w:sz w:val="20"/>
                <w:szCs w:val="20"/>
              </w:rPr>
              <w:t>Parameter</w:t>
            </w:r>
          </w:p>
        </w:tc>
        <w:tc>
          <w:tcPr>
            <w:tcW w:w="862" w:type="dxa"/>
            <w:tcBorders>
              <w:top w:val="single" w:sz="12" w:space="0" w:color="auto"/>
              <w:left w:val="nil"/>
              <w:bottom w:val="single" w:sz="4" w:space="0" w:color="auto"/>
              <w:right w:val="nil"/>
            </w:tcBorders>
            <w:vAlign w:val="center"/>
            <w:hideMark/>
          </w:tcPr>
          <w:p w14:paraId="7749537F" w14:textId="77777777" w:rsidR="00095B6C" w:rsidRPr="00D41FC5" w:rsidRDefault="00095B6C" w:rsidP="004E1BF3">
            <w:pPr>
              <w:spacing w:line="200" w:lineRule="exact"/>
              <w:jc w:val="center"/>
              <w:rPr>
                <w:rFonts w:ascii="Times New Roman" w:hAnsi="Times New Roman" w:cs="Times New Roman"/>
                <w:b/>
                <w:bCs/>
                <w:sz w:val="20"/>
                <w:szCs w:val="20"/>
              </w:rPr>
            </w:pPr>
            <w:r w:rsidRPr="00D41FC5">
              <w:rPr>
                <w:rFonts w:ascii="Times New Roman" w:hAnsi="Times New Roman" w:cs="Times New Roman"/>
                <w:b/>
                <w:bCs/>
                <w:sz w:val="20"/>
                <w:szCs w:val="20"/>
              </w:rPr>
              <w:t>Value</w:t>
            </w:r>
          </w:p>
        </w:tc>
        <w:tc>
          <w:tcPr>
            <w:tcW w:w="861" w:type="dxa"/>
            <w:tcBorders>
              <w:top w:val="single" w:sz="12" w:space="0" w:color="auto"/>
              <w:left w:val="nil"/>
              <w:bottom w:val="single" w:sz="4" w:space="0" w:color="auto"/>
              <w:right w:val="nil"/>
            </w:tcBorders>
            <w:vAlign w:val="center"/>
            <w:hideMark/>
          </w:tcPr>
          <w:p w14:paraId="5315224D" w14:textId="77777777" w:rsidR="00095B6C" w:rsidRPr="00D41FC5" w:rsidRDefault="00095B6C" w:rsidP="004E1BF3">
            <w:pPr>
              <w:spacing w:line="200" w:lineRule="exact"/>
              <w:jc w:val="center"/>
              <w:rPr>
                <w:rFonts w:ascii="Times New Roman" w:hAnsi="Times New Roman" w:cs="Times New Roman"/>
                <w:b/>
                <w:bCs/>
                <w:sz w:val="20"/>
                <w:szCs w:val="20"/>
              </w:rPr>
            </w:pPr>
            <w:r w:rsidRPr="00D41FC5">
              <w:rPr>
                <w:rFonts w:ascii="Times New Roman" w:hAnsi="Times New Roman" w:cs="Times New Roman"/>
                <w:b/>
                <w:bCs/>
                <w:sz w:val="20"/>
                <w:szCs w:val="20"/>
              </w:rPr>
              <w:t>Unit</w:t>
            </w:r>
          </w:p>
        </w:tc>
      </w:tr>
      <w:tr w:rsidR="00D41FC5" w:rsidRPr="00D41FC5" w14:paraId="57E097ED" w14:textId="77777777" w:rsidTr="0084655D">
        <w:trPr>
          <w:trHeight w:val="228"/>
        </w:trPr>
        <w:tc>
          <w:tcPr>
            <w:tcW w:w="670" w:type="dxa"/>
            <w:vMerge w:val="restart"/>
            <w:tcBorders>
              <w:top w:val="single" w:sz="4" w:space="0" w:color="auto"/>
              <w:left w:val="nil"/>
              <w:bottom w:val="single" w:sz="12" w:space="0" w:color="auto"/>
              <w:right w:val="nil"/>
            </w:tcBorders>
            <w:vAlign w:val="center"/>
            <w:hideMark/>
          </w:tcPr>
          <w:p w14:paraId="4679DA14" w14:textId="77777777" w:rsidR="00095B6C" w:rsidRPr="00D41FC5" w:rsidRDefault="00095B6C" w:rsidP="004E1BF3">
            <w:pPr>
              <w:spacing w:line="200" w:lineRule="exact"/>
              <w:rPr>
                <w:rFonts w:ascii="Times New Roman" w:eastAsia="DengXian" w:hAnsi="Times New Roman" w:cs="Times New Roman"/>
                <w:sz w:val="20"/>
                <w:szCs w:val="20"/>
              </w:rPr>
            </w:pPr>
            <w:r w:rsidRPr="00D41FC5">
              <w:rPr>
                <w:rFonts w:ascii="Times New Roman" w:eastAsia="DengXian" w:hAnsi="Times New Roman" w:cs="Times New Roman"/>
                <w:sz w:val="20"/>
                <w:szCs w:val="20"/>
              </w:rPr>
              <w:t>VEH</w:t>
            </w:r>
          </w:p>
        </w:tc>
        <w:tc>
          <w:tcPr>
            <w:tcW w:w="2249" w:type="dxa"/>
            <w:tcBorders>
              <w:top w:val="single" w:sz="4" w:space="0" w:color="auto"/>
              <w:left w:val="nil"/>
              <w:bottom w:val="nil"/>
              <w:right w:val="nil"/>
            </w:tcBorders>
            <w:vAlign w:val="center"/>
            <w:hideMark/>
          </w:tcPr>
          <w:p w14:paraId="4BB006E9" w14:textId="77777777" w:rsidR="00095B6C" w:rsidRPr="00D41FC5" w:rsidRDefault="00C34992" w:rsidP="004E1BF3">
            <w:pPr>
              <w:spacing w:line="200" w:lineRule="exact"/>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1</m:t>
                    </m:r>
                  </m:sub>
                </m:sSub>
              </m:oMath>
            </m:oMathPara>
          </w:p>
        </w:tc>
        <w:tc>
          <w:tcPr>
            <w:tcW w:w="1070" w:type="dxa"/>
            <w:tcBorders>
              <w:top w:val="single" w:sz="4" w:space="0" w:color="auto"/>
              <w:left w:val="nil"/>
              <w:bottom w:val="nil"/>
              <w:right w:val="nil"/>
            </w:tcBorders>
            <w:vAlign w:val="center"/>
            <w:hideMark/>
          </w:tcPr>
          <w:p w14:paraId="3B05E3B9"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2.48E-4</w:t>
            </w:r>
          </w:p>
        </w:tc>
        <w:tc>
          <w:tcPr>
            <w:tcW w:w="1069" w:type="dxa"/>
            <w:tcBorders>
              <w:top w:val="single" w:sz="4" w:space="0" w:color="auto"/>
              <w:left w:val="nil"/>
              <w:bottom w:val="nil"/>
              <w:right w:val="single" w:sz="8" w:space="0" w:color="auto"/>
            </w:tcBorders>
            <w:vAlign w:val="center"/>
            <w:hideMark/>
          </w:tcPr>
          <w:p w14:paraId="6BFE0A32" w14:textId="77777777" w:rsidR="00095B6C" w:rsidRPr="00D41FC5" w:rsidRDefault="00095B6C" w:rsidP="004E1BF3">
            <w:pPr>
              <w:snapToGrid w:val="0"/>
              <w:spacing w:line="200" w:lineRule="exact"/>
              <w:jc w:val="center"/>
              <w:rPr>
                <w:rFonts w:ascii="Times New Roman" w:hAnsi="Times New Roman" w:cs="Times New Roman"/>
                <w:iCs/>
                <w:sz w:val="20"/>
                <w:szCs w:val="20"/>
              </w:rPr>
            </w:pPr>
            <m:oMathPara>
              <m:oMathParaPr>
                <m:jc m:val="left"/>
              </m:oMathParaPr>
              <m:oMath>
                <m:r>
                  <m:rPr>
                    <m:sty m:val="p"/>
                  </m:rPr>
                  <w:rPr>
                    <w:rFonts w:ascii="Cambria Math" w:hAnsi="Cambria Math" w:cs="Times New Roman"/>
                    <w:sz w:val="20"/>
                    <w:szCs w:val="20"/>
                  </w:rPr>
                  <m:t>kg∙</m:t>
                </m:r>
                <m:sSup>
                  <m:sSupPr>
                    <m:ctrlPr>
                      <w:rPr>
                        <w:rFonts w:ascii="Cambria Math" w:hAnsi="Cambria Math" w:cs="Times New Roman"/>
                        <w:iCs/>
                        <w:sz w:val="20"/>
                        <w:szCs w:val="20"/>
                      </w:rPr>
                    </m:ctrlPr>
                  </m:sSupPr>
                  <m:e>
                    <m:r>
                      <m:rPr>
                        <m:sty m:val="p"/>
                      </m:rPr>
                      <w:rPr>
                        <w:rFonts w:ascii="Cambria Math" w:hAnsi="Cambria Math" w:cs="Times New Roman"/>
                        <w:sz w:val="20"/>
                        <w:szCs w:val="20"/>
                      </w:rPr>
                      <m:t>m</m:t>
                    </m:r>
                  </m:e>
                  <m:sup>
                    <m:r>
                      <m:rPr>
                        <m:sty m:val="p"/>
                      </m:rPr>
                      <w:rPr>
                        <w:rFonts w:ascii="Cambria Math" w:hAnsi="Cambria Math" w:cs="Times New Roman"/>
                        <w:sz w:val="20"/>
                        <w:szCs w:val="20"/>
                      </w:rPr>
                      <m:t>2</m:t>
                    </m:r>
                  </m:sup>
                </m:sSup>
              </m:oMath>
            </m:oMathPara>
          </w:p>
        </w:tc>
        <w:tc>
          <w:tcPr>
            <w:tcW w:w="1078" w:type="dxa"/>
            <w:gridSpan w:val="2"/>
            <w:vMerge w:val="restart"/>
            <w:tcBorders>
              <w:top w:val="single" w:sz="4" w:space="0" w:color="auto"/>
              <w:left w:val="single" w:sz="8" w:space="0" w:color="auto"/>
              <w:bottom w:val="dashed" w:sz="4" w:space="0" w:color="auto"/>
              <w:right w:val="nil"/>
            </w:tcBorders>
            <w:vAlign w:val="center"/>
            <w:hideMark/>
          </w:tcPr>
          <w:p w14:paraId="0BD9FFC7" w14:textId="77777777" w:rsidR="00095B6C" w:rsidRPr="00D41FC5" w:rsidRDefault="00095B6C" w:rsidP="004E1BF3">
            <w:pPr>
              <w:spacing w:line="200" w:lineRule="exact"/>
              <w:jc w:val="center"/>
              <w:rPr>
                <w:rFonts w:ascii="Times New Roman" w:hAnsi="Times New Roman" w:cs="Times New Roman"/>
                <w:sz w:val="20"/>
                <w:szCs w:val="20"/>
              </w:rPr>
            </w:pPr>
            <w:r w:rsidRPr="00D41FC5">
              <w:rPr>
                <w:rFonts w:ascii="Times New Roman" w:hAnsi="Times New Roman" w:cs="Times New Roman"/>
                <w:sz w:val="20"/>
                <w:szCs w:val="20"/>
              </w:rPr>
              <w:t>Permanent magnet</w:t>
            </w:r>
          </w:p>
        </w:tc>
        <w:tc>
          <w:tcPr>
            <w:tcW w:w="2170" w:type="dxa"/>
            <w:tcBorders>
              <w:top w:val="single" w:sz="4" w:space="0" w:color="auto"/>
              <w:left w:val="nil"/>
              <w:bottom w:val="nil"/>
              <w:right w:val="nil"/>
            </w:tcBorders>
            <w:vAlign w:val="center"/>
            <w:hideMark/>
          </w:tcPr>
          <w:p w14:paraId="45362014"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Diameter</w:t>
            </w:r>
          </w:p>
        </w:tc>
        <w:tc>
          <w:tcPr>
            <w:tcW w:w="862" w:type="dxa"/>
            <w:tcBorders>
              <w:top w:val="single" w:sz="4" w:space="0" w:color="auto"/>
              <w:left w:val="nil"/>
              <w:bottom w:val="nil"/>
              <w:right w:val="nil"/>
            </w:tcBorders>
            <w:vAlign w:val="center"/>
            <w:hideMark/>
          </w:tcPr>
          <w:p w14:paraId="48796E3D"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20</w:t>
            </w:r>
          </w:p>
        </w:tc>
        <w:tc>
          <w:tcPr>
            <w:tcW w:w="861" w:type="dxa"/>
            <w:tcBorders>
              <w:top w:val="single" w:sz="4" w:space="0" w:color="auto"/>
              <w:left w:val="nil"/>
              <w:bottom w:val="nil"/>
              <w:right w:val="nil"/>
            </w:tcBorders>
            <w:vAlign w:val="center"/>
            <w:hideMark/>
          </w:tcPr>
          <w:p w14:paraId="7587053B" w14:textId="77777777" w:rsidR="00095B6C" w:rsidRPr="00D41FC5" w:rsidRDefault="00095B6C" w:rsidP="004E1BF3">
            <w:pPr>
              <w:spacing w:line="200" w:lineRule="exact"/>
              <w:jc w:val="cente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mm</m:t>
                </m:r>
              </m:oMath>
            </m:oMathPara>
          </w:p>
        </w:tc>
      </w:tr>
      <w:tr w:rsidR="00D41FC5" w:rsidRPr="00D41FC5" w14:paraId="42BB5640" w14:textId="77777777" w:rsidTr="0084655D">
        <w:trPr>
          <w:trHeight w:val="252"/>
        </w:trPr>
        <w:tc>
          <w:tcPr>
            <w:tcW w:w="670" w:type="dxa"/>
            <w:vMerge/>
            <w:tcBorders>
              <w:top w:val="single" w:sz="4" w:space="0" w:color="auto"/>
              <w:left w:val="nil"/>
              <w:bottom w:val="single" w:sz="12" w:space="0" w:color="auto"/>
              <w:right w:val="nil"/>
            </w:tcBorders>
            <w:vAlign w:val="center"/>
            <w:hideMark/>
          </w:tcPr>
          <w:p w14:paraId="5E3143BA"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23000E3D" w14:textId="77777777" w:rsidR="00095B6C" w:rsidRPr="00D41FC5" w:rsidRDefault="00C34992" w:rsidP="004E1BF3">
            <w:pPr>
              <w:spacing w:line="200" w:lineRule="exact"/>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2</m:t>
                    </m:r>
                  </m:sub>
                </m:sSub>
              </m:oMath>
            </m:oMathPara>
          </w:p>
        </w:tc>
        <w:tc>
          <w:tcPr>
            <w:tcW w:w="1070" w:type="dxa"/>
            <w:tcBorders>
              <w:top w:val="nil"/>
              <w:left w:val="nil"/>
              <w:bottom w:val="nil"/>
              <w:right w:val="nil"/>
            </w:tcBorders>
            <w:vAlign w:val="center"/>
            <w:hideMark/>
          </w:tcPr>
          <w:p w14:paraId="542F0191"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9.88E-8</w:t>
            </w:r>
          </w:p>
        </w:tc>
        <w:tc>
          <w:tcPr>
            <w:tcW w:w="1069" w:type="dxa"/>
            <w:tcBorders>
              <w:top w:val="nil"/>
              <w:left w:val="nil"/>
              <w:bottom w:val="nil"/>
              <w:right w:val="single" w:sz="8" w:space="0" w:color="auto"/>
            </w:tcBorders>
            <w:vAlign w:val="center"/>
            <w:hideMark/>
          </w:tcPr>
          <w:p w14:paraId="2A5BF57D" w14:textId="77777777" w:rsidR="00095B6C" w:rsidRPr="00D41FC5" w:rsidRDefault="00095B6C" w:rsidP="004E1BF3">
            <w:pPr>
              <w:snapToGrid w:val="0"/>
              <w:spacing w:line="200" w:lineRule="exact"/>
              <w:jc w:val="center"/>
              <w:rPr>
                <w:rFonts w:ascii="Times New Roman" w:hAnsi="Times New Roman" w:cs="Times New Roman"/>
                <w:iCs/>
                <w:sz w:val="20"/>
                <w:szCs w:val="20"/>
              </w:rPr>
            </w:pPr>
            <m:oMathPara>
              <m:oMathParaPr>
                <m:jc m:val="left"/>
              </m:oMathParaPr>
              <m:oMath>
                <m:r>
                  <m:rPr>
                    <m:sty m:val="p"/>
                  </m:rPr>
                  <w:rPr>
                    <w:rFonts w:ascii="Cambria Math" w:hAnsi="Cambria Math" w:cs="Times New Roman"/>
                    <w:sz w:val="20"/>
                    <w:szCs w:val="20"/>
                  </w:rPr>
                  <m:t>kg∙</m:t>
                </m:r>
                <m:sSup>
                  <m:sSupPr>
                    <m:ctrlPr>
                      <w:rPr>
                        <w:rFonts w:ascii="Cambria Math" w:hAnsi="Cambria Math" w:cs="Times New Roman"/>
                        <w:iCs/>
                        <w:sz w:val="20"/>
                        <w:szCs w:val="20"/>
                      </w:rPr>
                    </m:ctrlPr>
                  </m:sSupPr>
                  <m:e>
                    <m:r>
                      <m:rPr>
                        <m:sty m:val="p"/>
                      </m:rPr>
                      <w:rPr>
                        <w:rFonts w:ascii="Cambria Math" w:hAnsi="Cambria Math" w:cs="Times New Roman"/>
                        <w:sz w:val="20"/>
                        <w:szCs w:val="20"/>
                      </w:rPr>
                      <m:t>m</m:t>
                    </m:r>
                  </m:e>
                  <m:sup>
                    <m:r>
                      <m:rPr>
                        <m:sty m:val="p"/>
                      </m:rPr>
                      <w:rPr>
                        <w:rFonts w:ascii="Cambria Math" w:hAnsi="Cambria Math" w:cs="Times New Roman"/>
                        <w:sz w:val="20"/>
                        <w:szCs w:val="20"/>
                      </w:rPr>
                      <m:t>2</m:t>
                    </m:r>
                  </m:sup>
                </m:sSup>
              </m:oMath>
            </m:oMathPara>
          </w:p>
        </w:tc>
        <w:tc>
          <w:tcPr>
            <w:tcW w:w="1078" w:type="dxa"/>
            <w:gridSpan w:val="2"/>
            <w:vMerge/>
            <w:tcBorders>
              <w:top w:val="single" w:sz="4" w:space="0" w:color="auto"/>
              <w:left w:val="single" w:sz="8" w:space="0" w:color="auto"/>
              <w:bottom w:val="dashed" w:sz="4" w:space="0" w:color="auto"/>
              <w:right w:val="nil"/>
            </w:tcBorders>
            <w:vAlign w:val="center"/>
            <w:hideMark/>
          </w:tcPr>
          <w:p w14:paraId="24E57FC6"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13638DB9"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Height</w:t>
            </w:r>
          </w:p>
        </w:tc>
        <w:tc>
          <w:tcPr>
            <w:tcW w:w="862" w:type="dxa"/>
            <w:tcBorders>
              <w:top w:val="nil"/>
              <w:left w:val="nil"/>
              <w:bottom w:val="nil"/>
              <w:right w:val="nil"/>
            </w:tcBorders>
            <w:vAlign w:val="center"/>
            <w:hideMark/>
          </w:tcPr>
          <w:p w14:paraId="6D40ADEC"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8.7</w:t>
            </w:r>
          </w:p>
        </w:tc>
        <w:tc>
          <w:tcPr>
            <w:tcW w:w="861" w:type="dxa"/>
            <w:tcBorders>
              <w:top w:val="nil"/>
              <w:left w:val="nil"/>
              <w:bottom w:val="nil"/>
              <w:right w:val="nil"/>
            </w:tcBorders>
            <w:vAlign w:val="center"/>
            <w:hideMark/>
          </w:tcPr>
          <w:p w14:paraId="655D2E05" w14:textId="77777777" w:rsidR="00095B6C" w:rsidRPr="00D41FC5" w:rsidRDefault="00095B6C" w:rsidP="004E1BF3">
            <w:pPr>
              <w:spacing w:line="200" w:lineRule="exact"/>
              <w:jc w:val="cente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mm</m:t>
                </m:r>
              </m:oMath>
            </m:oMathPara>
          </w:p>
        </w:tc>
      </w:tr>
      <w:tr w:rsidR="00D41FC5" w:rsidRPr="00D41FC5" w14:paraId="60A6438B" w14:textId="77777777" w:rsidTr="0084655D">
        <w:trPr>
          <w:trHeight w:val="263"/>
        </w:trPr>
        <w:tc>
          <w:tcPr>
            <w:tcW w:w="670" w:type="dxa"/>
            <w:vMerge/>
            <w:tcBorders>
              <w:top w:val="single" w:sz="4" w:space="0" w:color="auto"/>
              <w:left w:val="nil"/>
              <w:bottom w:val="single" w:sz="12" w:space="0" w:color="auto"/>
              <w:right w:val="nil"/>
            </w:tcBorders>
            <w:vAlign w:val="center"/>
            <w:hideMark/>
          </w:tcPr>
          <w:p w14:paraId="27E8A653"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23418629" w14:textId="77777777" w:rsidR="00095B6C" w:rsidRPr="00D41FC5" w:rsidRDefault="00C34992" w:rsidP="004E1BF3">
            <w:pPr>
              <w:spacing w:line="200" w:lineRule="exact"/>
              <w:rPr>
                <w:rFonts w:ascii="Times New Roman" w:eastAsia="DengXi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t</m:t>
                    </m:r>
                  </m:sub>
                </m:sSub>
              </m:oMath>
            </m:oMathPara>
          </w:p>
        </w:tc>
        <w:tc>
          <w:tcPr>
            <w:tcW w:w="1070" w:type="dxa"/>
            <w:tcBorders>
              <w:top w:val="nil"/>
              <w:left w:val="nil"/>
              <w:bottom w:val="nil"/>
              <w:right w:val="nil"/>
            </w:tcBorders>
            <w:vAlign w:val="center"/>
            <w:hideMark/>
          </w:tcPr>
          <w:p w14:paraId="23C49BBA"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1.96E-2</w:t>
            </w:r>
          </w:p>
        </w:tc>
        <w:tc>
          <w:tcPr>
            <w:tcW w:w="1069" w:type="dxa"/>
            <w:tcBorders>
              <w:top w:val="nil"/>
              <w:left w:val="nil"/>
              <w:bottom w:val="nil"/>
              <w:right w:val="single" w:sz="8" w:space="0" w:color="auto"/>
            </w:tcBorders>
            <w:vAlign w:val="center"/>
            <w:hideMark/>
          </w:tcPr>
          <w:p w14:paraId="4896F753" w14:textId="77777777" w:rsidR="00095B6C" w:rsidRPr="00D41FC5" w:rsidRDefault="00095B6C" w:rsidP="004E1BF3">
            <w:pPr>
              <w:snapToGrid w:val="0"/>
              <w:spacing w:line="200" w:lineRule="exact"/>
              <w:jc w:val="center"/>
              <w:rPr>
                <w:rFonts w:ascii="Times New Roman" w:hAnsi="Times New Roman" w:cs="Times New Roman"/>
                <w:iCs/>
                <w:sz w:val="20"/>
                <w:szCs w:val="20"/>
              </w:rPr>
            </w:pPr>
            <m:oMathPara>
              <m:oMathParaPr>
                <m:jc m:val="left"/>
              </m:oMathParaPr>
              <m:oMath>
                <m:r>
                  <m:rPr>
                    <m:sty m:val="p"/>
                  </m:rPr>
                  <w:rPr>
                    <w:rFonts w:ascii="Cambria Math" w:hAnsi="Cambria Math" w:cs="Times New Roman"/>
                    <w:sz w:val="20"/>
                    <w:szCs w:val="20"/>
                  </w:rPr>
                  <m:t>N∙m/A</m:t>
                </m:r>
              </m:oMath>
            </m:oMathPara>
          </w:p>
        </w:tc>
        <w:tc>
          <w:tcPr>
            <w:tcW w:w="1078" w:type="dxa"/>
            <w:gridSpan w:val="2"/>
            <w:vMerge/>
            <w:tcBorders>
              <w:top w:val="single" w:sz="4" w:space="0" w:color="auto"/>
              <w:left w:val="single" w:sz="8" w:space="0" w:color="auto"/>
              <w:bottom w:val="dashed" w:sz="4" w:space="0" w:color="auto"/>
              <w:right w:val="nil"/>
            </w:tcBorders>
            <w:vAlign w:val="center"/>
            <w:hideMark/>
          </w:tcPr>
          <w:p w14:paraId="629B134D"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72405D3E"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Magnet Grade</w:t>
            </w:r>
          </w:p>
        </w:tc>
        <w:tc>
          <w:tcPr>
            <w:tcW w:w="862" w:type="dxa"/>
            <w:tcBorders>
              <w:top w:val="nil"/>
              <w:left w:val="nil"/>
              <w:bottom w:val="nil"/>
              <w:right w:val="nil"/>
            </w:tcBorders>
            <w:vAlign w:val="center"/>
            <w:hideMark/>
          </w:tcPr>
          <w:p w14:paraId="2A45FF6C"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N52</w:t>
            </w:r>
          </w:p>
        </w:tc>
        <w:tc>
          <w:tcPr>
            <w:tcW w:w="861" w:type="dxa"/>
            <w:tcBorders>
              <w:top w:val="nil"/>
              <w:left w:val="nil"/>
              <w:bottom w:val="nil"/>
              <w:right w:val="nil"/>
            </w:tcBorders>
            <w:vAlign w:val="center"/>
          </w:tcPr>
          <w:p w14:paraId="5A649B4A" w14:textId="77777777" w:rsidR="00095B6C" w:rsidRPr="00D41FC5" w:rsidRDefault="00095B6C" w:rsidP="004E1BF3">
            <w:pPr>
              <w:spacing w:line="200" w:lineRule="exact"/>
              <w:jc w:val="center"/>
              <w:rPr>
                <w:rFonts w:ascii="Times New Roman" w:hAnsi="Times New Roman" w:cs="Times New Roman"/>
                <w:sz w:val="20"/>
                <w:szCs w:val="20"/>
              </w:rPr>
            </w:pPr>
          </w:p>
        </w:tc>
      </w:tr>
      <w:tr w:rsidR="00D41FC5" w:rsidRPr="00D41FC5" w14:paraId="7FDFB4FD" w14:textId="77777777" w:rsidTr="0084655D">
        <w:trPr>
          <w:trHeight w:val="252"/>
        </w:trPr>
        <w:tc>
          <w:tcPr>
            <w:tcW w:w="670" w:type="dxa"/>
            <w:vMerge/>
            <w:tcBorders>
              <w:top w:val="single" w:sz="4" w:space="0" w:color="auto"/>
              <w:left w:val="nil"/>
              <w:bottom w:val="single" w:sz="12" w:space="0" w:color="auto"/>
              <w:right w:val="nil"/>
            </w:tcBorders>
            <w:vAlign w:val="center"/>
            <w:hideMark/>
          </w:tcPr>
          <w:p w14:paraId="657A0748"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1576428E" w14:textId="77777777" w:rsidR="00095B6C" w:rsidRPr="00D41FC5" w:rsidRDefault="00C34992" w:rsidP="004E1BF3">
            <w:pPr>
              <w:spacing w:line="200" w:lineRule="exact"/>
              <w:rPr>
                <w:rFonts w:ascii="Times New Roman" w:eastAsia="DengXi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K</m:t>
                    </m:r>
                  </m:e>
                  <m:sub>
                    <m:r>
                      <m:rPr>
                        <m:sty m:val="p"/>
                      </m:rPr>
                      <w:rPr>
                        <w:rFonts w:ascii="Cambria Math" w:hAnsi="Cambria Math" w:cs="Times New Roman"/>
                        <w:sz w:val="20"/>
                        <w:szCs w:val="20"/>
                      </w:rPr>
                      <m:t>e</m:t>
                    </m:r>
                  </m:sub>
                </m:sSub>
              </m:oMath>
            </m:oMathPara>
          </w:p>
        </w:tc>
        <w:tc>
          <w:tcPr>
            <w:tcW w:w="1070" w:type="dxa"/>
            <w:tcBorders>
              <w:top w:val="nil"/>
              <w:left w:val="nil"/>
              <w:bottom w:val="nil"/>
              <w:right w:val="nil"/>
            </w:tcBorders>
            <w:vAlign w:val="center"/>
            <w:hideMark/>
          </w:tcPr>
          <w:p w14:paraId="74E3FC8D"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5.72E-2</w:t>
            </w:r>
          </w:p>
        </w:tc>
        <w:tc>
          <w:tcPr>
            <w:tcW w:w="1069" w:type="dxa"/>
            <w:tcBorders>
              <w:top w:val="nil"/>
              <w:left w:val="nil"/>
              <w:bottom w:val="nil"/>
              <w:right w:val="single" w:sz="8" w:space="0" w:color="auto"/>
            </w:tcBorders>
            <w:vAlign w:val="center"/>
            <w:hideMark/>
          </w:tcPr>
          <w:p w14:paraId="695CAB8D" w14:textId="77777777" w:rsidR="00095B6C" w:rsidRPr="00D41FC5" w:rsidRDefault="00095B6C" w:rsidP="004E1BF3">
            <w:pPr>
              <w:snapToGrid w:val="0"/>
              <w:spacing w:line="200" w:lineRule="exact"/>
              <w:jc w:val="center"/>
              <w:rPr>
                <w:rFonts w:ascii="Times New Roman" w:hAnsi="Times New Roman" w:cs="Times New Roman"/>
                <w:iCs/>
                <w:sz w:val="20"/>
                <w:szCs w:val="20"/>
              </w:rPr>
            </w:pPr>
            <m:oMathPara>
              <m:oMathParaPr>
                <m:jc m:val="left"/>
              </m:oMathParaPr>
              <m:oMath>
                <m:r>
                  <m:rPr>
                    <m:sty m:val="p"/>
                  </m:rPr>
                  <w:rPr>
                    <w:rFonts w:ascii="Cambria Math" w:hAnsi="Cambria Math" w:cs="Times New Roman"/>
                    <w:sz w:val="20"/>
                    <w:szCs w:val="20"/>
                  </w:rPr>
                  <m:t>V∙s/rad</m:t>
                </m:r>
              </m:oMath>
            </m:oMathPara>
          </w:p>
        </w:tc>
        <w:tc>
          <w:tcPr>
            <w:tcW w:w="1078" w:type="dxa"/>
            <w:gridSpan w:val="2"/>
            <w:vMerge/>
            <w:tcBorders>
              <w:top w:val="single" w:sz="4" w:space="0" w:color="auto"/>
              <w:left w:val="single" w:sz="8" w:space="0" w:color="auto"/>
              <w:bottom w:val="dashed" w:sz="4" w:space="0" w:color="auto"/>
              <w:right w:val="nil"/>
            </w:tcBorders>
            <w:vAlign w:val="center"/>
            <w:hideMark/>
          </w:tcPr>
          <w:p w14:paraId="232E23A8"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3C1A98EE" w14:textId="77777777" w:rsidR="00095B6C" w:rsidRPr="00D41FC5" w:rsidRDefault="00095B6C" w:rsidP="004E1BF3">
            <w:pPr>
              <w:spacing w:line="200" w:lineRule="exact"/>
              <w:rPr>
                <w:rFonts w:ascii="Times New Roman" w:hAnsi="Times New Roman" w:cs="Times New Roman"/>
                <w:sz w:val="20"/>
                <w:szCs w:val="20"/>
              </w:rPr>
            </w:pPr>
            <w:proofErr w:type="spellStart"/>
            <w:r w:rsidRPr="00D41FC5">
              <w:rPr>
                <w:rFonts w:ascii="Times New Roman" w:hAnsi="Times New Roman" w:cs="Times New Roman"/>
                <w:sz w:val="20"/>
                <w:szCs w:val="20"/>
              </w:rPr>
              <w:t>Magnetisation</w:t>
            </w:r>
            <w:proofErr w:type="spellEnd"/>
            <w:r w:rsidRPr="00D41FC5">
              <w:rPr>
                <w:rFonts w:ascii="Times New Roman" w:hAnsi="Times New Roman" w:cs="Times New Roman"/>
                <w:sz w:val="20"/>
                <w:szCs w:val="20"/>
              </w:rPr>
              <w:t xml:space="preserve"> Direction</w:t>
            </w:r>
          </w:p>
        </w:tc>
        <w:tc>
          <w:tcPr>
            <w:tcW w:w="862" w:type="dxa"/>
            <w:tcBorders>
              <w:top w:val="nil"/>
              <w:left w:val="nil"/>
              <w:bottom w:val="nil"/>
              <w:right w:val="nil"/>
            </w:tcBorders>
            <w:vAlign w:val="center"/>
            <w:hideMark/>
          </w:tcPr>
          <w:p w14:paraId="6369C570"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Axial</w:t>
            </w:r>
          </w:p>
        </w:tc>
        <w:tc>
          <w:tcPr>
            <w:tcW w:w="861" w:type="dxa"/>
            <w:tcBorders>
              <w:top w:val="nil"/>
              <w:left w:val="nil"/>
              <w:bottom w:val="nil"/>
              <w:right w:val="nil"/>
            </w:tcBorders>
            <w:vAlign w:val="center"/>
          </w:tcPr>
          <w:p w14:paraId="6BC857DD" w14:textId="77777777" w:rsidR="00095B6C" w:rsidRPr="00D41FC5" w:rsidRDefault="00095B6C" w:rsidP="004E1BF3">
            <w:pPr>
              <w:spacing w:line="200" w:lineRule="exact"/>
              <w:jc w:val="center"/>
              <w:rPr>
                <w:rFonts w:ascii="Times New Roman" w:hAnsi="Times New Roman" w:cs="Times New Roman"/>
                <w:sz w:val="20"/>
                <w:szCs w:val="20"/>
              </w:rPr>
            </w:pPr>
          </w:p>
        </w:tc>
      </w:tr>
      <w:tr w:rsidR="00D41FC5" w:rsidRPr="00D41FC5" w14:paraId="49CC2ECC" w14:textId="77777777" w:rsidTr="0084655D">
        <w:trPr>
          <w:trHeight w:val="263"/>
        </w:trPr>
        <w:tc>
          <w:tcPr>
            <w:tcW w:w="670" w:type="dxa"/>
            <w:vMerge/>
            <w:tcBorders>
              <w:top w:val="single" w:sz="4" w:space="0" w:color="auto"/>
              <w:left w:val="nil"/>
              <w:bottom w:val="single" w:sz="12" w:space="0" w:color="auto"/>
              <w:right w:val="nil"/>
            </w:tcBorders>
            <w:vAlign w:val="center"/>
            <w:hideMark/>
          </w:tcPr>
          <w:p w14:paraId="442F49EB"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65338786" w14:textId="77777777" w:rsidR="00095B6C" w:rsidRPr="00D41FC5" w:rsidRDefault="00095B6C" w:rsidP="004E1BF3">
            <w:pPr>
              <w:spacing w:line="200" w:lineRule="exact"/>
              <w:rPr>
                <w:rFonts w:ascii="Times New Roman" w:eastAsia="DengXian" w:hAnsi="Times New Roman" w:cs="Times New Roman"/>
                <w:sz w:val="20"/>
                <w:szCs w:val="20"/>
              </w:rPr>
            </w:pPr>
            <m:oMathPara>
              <m:oMathParaPr>
                <m:jc m:val="left"/>
              </m:oMathParaPr>
              <m:oMath>
                <m:r>
                  <w:rPr>
                    <w:rFonts w:ascii="Cambria Math" w:hAnsi="Cambria Math" w:cs="Times New Roman"/>
                    <w:sz w:val="20"/>
                    <w:szCs w:val="20"/>
                  </w:rPr>
                  <m:t>m</m:t>
                </m:r>
              </m:oMath>
            </m:oMathPara>
          </w:p>
        </w:tc>
        <w:tc>
          <w:tcPr>
            <w:tcW w:w="1070" w:type="dxa"/>
            <w:tcBorders>
              <w:top w:val="nil"/>
              <w:left w:val="nil"/>
              <w:bottom w:val="nil"/>
              <w:right w:val="nil"/>
            </w:tcBorders>
            <w:vAlign w:val="center"/>
            <w:hideMark/>
          </w:tcPr>
          <w:p w14:paraId="04E300A4"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110.02E-2</w:t>
            </w:r>
          </w:p>
        </w:tc>
        <w:tc>
          <w:tcPr>
            <w:tcW w:w="1069" w:type="dxa"/>
            <w:tcBorders>
              <w:top w:val="nil"/>
              <w:left w:val="nil"/>
              <w:bottom w:val="nil"/>
              <w:right w:val="single" w:sz="8" w:space="0" w:color="auto"/>
            </w:tcBorders>
            <w:vAlign w:val="center"/>
            <w:hideMark/>
          </w:tcPr>
          <w:p w14:paraId="139C48B5" w14:textId="77777777" w:rsidR="00095B6C" w:rsidRPr="00D41FC5" w:rsidRDefault="00095B6C" w:rsidP="004E1BF3">
            <w:pPr>
              <w:snapToGrid w:val="0"/>
              <w:spacing w:line="200" w:lineRule="exact"/>
              <w:jc w:val="center"/>
              <w:rPr>
                <w:rFonts w:ascii="Times New Roman" w:hAnsi="Times New Roman" w:cs="Times New Roman"/>
                <w:iCs/>
                <w:sz w:val="20"/>
                <w:szCs w:val="20"/>
              </w:rPr>
            </w:pPr>
            <m:oMathPara>
              <m:oMathParaPr>
                <m:jc m:val="left"/>
              </m:oMathParaPr>
              <m:oMath>
                <m:r>
                  <m:rPr>
                    <m:sty m:val="p"/>
                  </m:rPr>
                  <w:rPr>
                    <w:rFonts w:ascii="Cambria Math" w:hAnsi="Cambria Math" w:cs="Times New Roman"/>
                    <w:sz w:val="20"/>
                    <w:szCs w:val="20"/>
                  </w:rPr>
                  <m:t>kg</m:t>
                </m:r>
              </m:oMath>
            </m:oMathPara>
          </w:p>
        </w:tc>
        <w:tc>
          <w:tcPr>
            <w:tcW w:w="1078" w:type="dxa"/>
            <w:gridSpan w:val="2"/>
            <w:vMerge/>
            <w:tcBorders>
              <w:top w:val="single" w:sz="4" w:space="0" w:color="auto"/>
              <w:left w:val="single" w:sz="8" w:space="0" w:color="auto"/>
              <w:bottom w:val="dashed" w:sz="4" w:space="0" w:color="auto"/>
              <w:right w:val="nil"/>
            </w:tcBorders>
            <w:vAlign w:val="center"/>
            <w:hideMark/>
          </w:tcPr>
          <w:p w14:paraId="6D9DF2E9"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5F7CC676"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Weight</w:t>
            </w:r>
          </w:p>
        </w:tc>
        <w:tc>
          <w:tcPr>
            <w:tcW w:w="862" w:type="dxa"/>
            <w:tcBorders>
              <w:top w:val="nil"/>
              <w:left w:val="nil"/>
              <w:bottom w:val="nil"/>
              <w:right w:val="nil"/>
            </w:tcBorders>
            <w:vAlign w:val="center"/>
            <w:hideMark/>
          </w:tcPr>
          <w:p w14:paraId="50D67369"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11.90</w:t>
            </w:r>
          </w:p>
        </w:tc>
        <w:tc>
          <w:tcPr>
            <w:tcW w:w="861" w:type="dxa"/>
            <w:tcBorders>
              <w:top w:val="nil"/>
              <w:left w:val="nil"/>
              <w:bottom w:val="nil"/>
              <w:right w:val="nil"/>
            </w:tcBorders>
            <w:vAlign w:val="center"/>
            <w:hideMark/>
          </w:tcPr>
          <w:p w14:paraId="4E16551E" w14:textId="77777777" w:rsidR="00095B6C" w:rsidRPr="00D41FC5" w:rsidRDefault="00095B6C" w:rsidP="004E1BF3">
            <w:pPr>
              <w:spacing w:line="200" w:lineRule="exact"/>
              <w:jc w:val="cente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g</m:t>
                </m:r>
              </m:oMath>
            </m:oMathPara>
          </w:p>
        </w:tc>
      </w:tr>
      <w:tr w:rsidR="00D41FC5" w:rsidRPr="00D41FC5" w14:paraId="746FA65C" w14:textId="77777777" w:rsidTr="0084655D">
        <w:trPr>
          <w:trHeight w:val="252"/>
        </w:trPr>
        <w:tc>
          <w:tcPr>
            <w:tcW w:w="670" w:type="dxa"/>
            <w:vMerge/>
            <w:tcBorders>
              <w:top w:val="single" w:sz="4" w:space="0" w:color="auto"/>
              <w:left w:val="nil"/>
              <w:bottom w:val="single" w:sz="12" w:space="0" w:color="auto"/>
              <w:right w:val="nil"/>
            </w:tcBorders>
            <w:vAlign w:val="center"/>
            <w:hideMark/>
          </w:tcPr>
          <w:p w14:paraId="392C2C37"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6EA9073B" w14:textId="77777777" w:rsidR="00095B6C" w:rsidRPr="00D41FC5" w:rsidRDefault="00C34992" w:rsidP="004E1BF3">
            <w:pPr>
              <w:spacing w:line="200" w:lineRule="exact"/>
              <w:rPr>
                <w:rFonts w:ascii="Times New Roman" w:eastAsia="DengXi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0</m:t>
                    </m:r>
                  </m:sub>
                </m:sSub>
              </m:oMath>
            </m:oMathPara>
          </w:p>
        </w:tc>
        <w:tc>
          <w:tcPr>
            <w:tcW w:w="1070" w:type="dxa"/>
            <w:tcBorders>
              <w:top w:val="nil"/>
              <w:left w:val="nil"/>
              <w:bottom w:val="nil"/>
              <w:right w:val="nil"/>
            </w:tcBorders>
            <w:vAlign w:val="center"/>
            <w:hideMark/>
          </w:tcPr>
          <w:p w14:paraId="658746B0"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3.32E-2</w:t>
            </w:r>
          </w:p>
        </w:tc>
        <w:tc>
          <w:tcPr>
            <w:tcW w:w="1069" w:type="dxa"/>
            <w:tcBorders>
              <w:top w:val="nil"/>
              <w:left w:val="nil"/>
              <w:bottom w:val="nil"/>
              <w:right w:val="single" w:sz="8" w:space="0" w:color="auto"/>
            </w:tcBorders>
            <w:vAlign w:val="center"/>
            <w:hideMark/>
          </w:tcPr>
          <w:p w14:paraId="11AFA947" w14:textId="77777777" w:rsidR="00095B6C" w:rsidRPr="00D41FC5" w:rsidRDefault="00095B6C" w:rsidP="004E1BF3">
            <w:pPr>
              <w:snapToGrid w:val="0"/>
              <w:spacing w:line="200" w:lineRule="exact"/>
              <w:jc w:val="center"/>
              <w:rPr>
                <w:rFonts w:ascii="Times New Roman" w:hAnsi="Times New Roman" w:cs="Times New Roman"/>
                <w:iCs/>
                <w:sz w:val="20"/>
                <w:szCs w:val="20"/>
              </w:rPr>
            </w:pPr>
            <m:oMathPara>
              <m:oMathParaPr>
                <m:jc m:val="left"/>
              </m:oMathParaPr>
              <m:oMath>
                <m:r>
                  <m:rPr>
                    <m:sty m:val="p"/>
                  </m:rPr>
                  <w:rPr>
                    <w:rFonts w:ascii="Cambria Math" w:hAnsi="Cambria Math" w:cs="Times New Roman"/>
                    <w:sz w:val="20"/>
                    <w:szCs w:val="20"/>
                  </w:rPr>
                  <m:t>m</m:t>
                </m:r>
              </m:oMath>
            </m:oMathPara>
          </w:p>
        </w:tc>
        <w:tc>
          <w:tcPr>
            <w:tcW w:w="1078" w:type="dxa"/>
            <w:gridSpan w:val="2"/>
            <w:vMerge/>
            <w:tcBorders>
              <w:top w:val="single" w:sz="4" w:space="0" w:color="auto"/>
              <w:left w:val="single" w:sz="8" w:space="0" w:color="auto"/>
              <w:bottom w:val="dashed" w:sz="4" w:space="0" w:color="auto"/>
              <w:right w:val="nil"/>
            </w:tcBorders>
            <w:vAlign w:val="center"/>
            <w:hideMark/>
          </w:tcPr>
          <w:p w14:paraId="1AFDCC62"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159678F0"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Surface field</w:t>
            </w:r>
          </w:p>
        </w:tc>
        <w:tc>
          <w:tcPr>
            <w:tcW w:w="862" w:type="dxa"/>
            <w:tcBorders>
              <w:top w:val="nil"/>
              <w:left w:val="nil"/>
              <w:bottom w:val="nil"/>
              <w:right w:val="nil"/>
            </w:tcBorders>
            <w:vAlign w:val="center"/>
            <w:hideMark/>
          </w:tcPr>
          <w:p w14:paraId="48AA3E8B" w14:textId="420EEB84"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2</w:t>
            </w:r>
            <w:r w:rsidR="004E1BF3" w:rsidRPr="00D41FC5">
              <w:rPr>
                <w:rFonts w:ascii="Times New Roman" w:hAnsi="Times New Roman" w:cs="Times New Roman" w:hint="eastAsia"/>
                <w:sz w:val="20"/>
                <w:szCs w:val="20"/>
              </w:rPr>
              <w:t>,</w:t>
            </w:r>
            <w:r w:rsidRPr="00D41FC5">
              <w:rPr>
                <w:rFonts w:ascii="Times New Roman" w:hAnsi="Times New Roman" w:cs="Times New Roman"/>
                <w:sz w:val="20"/>
                <w:szCs w:val="20"/>
              </w:rPr>
              <w:t>999</w:t>
            </w:r>
          </w:p>
        </w:tc>
        <w:tc>
          <w:tcPr>
            <w:tcW w:w="861" w:type="dxa"/>
            <w:tcBorders>
              <w:top w:val="nil"/>
              <w:left w:val="nil"/>
              <w:bottom w:val="nil"/>
              <w:right w:val="nil"/>
            </w:tcBorders>
            <w:vAlign w:val="center"/>
            <w:hideMark/>
          </w:tcPr>
          <w:p w14:paraId="462E2C8B" w14:textId="77777777" w:rsidR="00095B6C" w:rsidRPr="00D41FC5" w:rsidRDefault="00095B6C" w:rsidP="004E1BF3">
            <w:pPr>
              <w:spacing w:line="200" w:lineRule="exact"/>
              <w:jc w:val="cente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Gauss</m:t>
                </m:r>
              </m:oMath>
            </m:oMathPara>
          </w:p>
        </w:tc>
      </w:tr>
      <w:tr w:rsidR="00D41FC5" w:rsidRPr="00D41FC5" w14:paraId="679CA88C" w14:textId="77777777" w:rsidTr="0084655D">
        <w:trPr>
          <w:trHeight w:val="480"/>
        </w:trPr>
        <w:tc>
          <w:tcPr>
            <w:tcW w:w="670" w:type="dxa"/>
            <w:vMerge/>
            <w:tcBorders>
              <w:top w:val="single" w:sz="4" w:space="0" w:color="auto"/>
              <w:left w:val="nil"/>
              <w:bottom w:val="single" w:sz="12" w:space="0" w:color="auto"/>
              <w:right w:val="nil"/>
            </w:tcBorders>
            <w:vAlign w:val="center"/>
            <w:hideMark/>
          </w:tcPr>
          <w:p w14:paraId="7A4E1DC4"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21D8DC45" w14:textId="77777777" w:rsidR="00095B6C" w:rsidRPr="00D41FC5" w:rsidRDefault="00095B6C" w:rsidP="004E1BF3">
            <w:pPr>
              <w:spacing w:line="200" w:lineRule="exact"/>
              <w:rPr>
                <w:rFonts w:ascii="Times New Roman" w:eastAsia="DengXian" w:hAnsi="Times New Roman" w:cs="Times New Roman"/>
                <w:sz w:val="20"/>
                <w:szCs w:val="20"/>
              </w:rPr>
            </w:pPr>
            <m:oMathPara>
              <m:oMathParaPr>
                <m:jc m:val="left"/>
              </m:oMathParaPr>
              <m:oMath>
                <m:r>
                  <w:rPr>
                    <w:rFonts w:ascii="Cambria Math" w:hAnsi="Cambria Math" w:cs="Times New Roman"/>
                    <w:sz w:val="20"/>
                    <w:szCs w:val="20"/>
                  </w:rPr>
                  <m:t>R</m:t>
                </m:r>
              </m:oMath>
            </m:oMathPara>
          </w:p>
        </w:tc>
        <w:tc>
          <w:tcPr>
            <w:tcW w:w="1070" w:type="dxa"/>
            <w:tcBorders>
              <w:top w:val="nil"/>
              <w:left w:val="nil"/>
              <w:bottom w:val="nil"/>
              <w:right w:val="nil"/>
            </w:tcBorders>
            <w:vAlign w:val="center"/>
            <w:hideMark/>
          </w:tcPr>
          <w:p w14:paraId="1787047B"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6.00E-2</w:t>
            </w:r>
          </w:p>
        </w:tc>
        <w:tc>
          <w:tcPr>
            <w:tcW w:w="1069" w:type="dxa"/>
            <w:tcBorders>
              <w:top w:val="nil"/>
              <w:left w:val="nil"/>
              <w:bottom w:val="nil"/>
              <w:right w:val="single" w:sz="8" w:space="0" w:color="auto"/>
            </w:tcBorders>
            <w:vAlign w:val="center"/>
            <w:hideMark/>
          </w:tcPr>
          <w:p w14:paraId="31C3AC1D" w14:textId="77777777" w:rsidR="00095B6C" w:rsidRPr="00D41FC5" w:rsidRDefault="00095B6C" w:rsidP="004E1BF3">
            <w:pPr>
              <w:snapToGrid w:val="0"/>
              <w:spacing w:line="200" w:lineRule="exact"/>
              <w:jc w:val="center"/>
              <w:rPr>
                <w:rFonts w:ascii="Times New Roman" w:hAnsi="Times New Roman" w:cs="Times New Roman"/>
                <w:iCs/>
                <w:sz w:val="20"/>
                <w:szCs w:val="20"/>
              </w:rPr>
            </w:pPr>
            <m:oMathPara>
              <m:oMathParaPr>
                <m:jc m:val="left"/>
              </m:oMathParaPr>
              <m:oMath>
                <m:r>
                  <m:rPr>
                    <m:sty m:val="p"/>
                  </m:rPr>
                  <w:rPr>
                    <w:rFonts w:ascii="Cambria Math" w:hAnsi="Cambria Math" w:cs="Times New Roman"/>
                    <w:sz w:val="20"/>
                    <w:szCs w:val="20"/>
                  </w:rPr>
                  <m:t>m</m:t>
                </m:r>
              </m:oMath>
            </m:oMathPara>
          </w:p>
        </w:tc>
        <w:tc>
          <w:tcPr>
            <w:tcW w:w="1078" w:type="dxa"/>
            <w:gridSpan w:val="2"/>
            <w:vMerge/>
            <w:tcBorders>
              <w:top w:val="single" w:sz="4" w:space="0" w:color="auto"/>
              <w:left w:val="single" w:sz="8" w:space="0" w:color="auto"/>
              <w:bottom w:val="dashed" w:sz="4" w:space="0" w:color="auto"/>
              <w:right w:val="nil"/>
            </w:tcBorders>
            <w:vAlign w:val="center"/>
            <w:hideMark/>
          </w:tcPr>
          <w:p w14:paraId="3AAEAEAD"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5A6FEA07"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Maximum operating temperature</w:t>
            </w:r>
          </w:p>
        </w:tc>
        <w:tc>
          <w:tcPr>
            <w:tcW w:w="862" w:type="dxa"/>
            <w:tcBorders>
              <w:top w:val="nil"/>
              <w:left w:val="nil"/>
              <w:bottom w:val="nil"/>
              <w:right w:val="nil"/>
            </w:tcBorders>
            <w:vAlign w:val="center"/>
            <w:hideMark/>
          </w:tcPr>
          <w:p w14:paraId="1271FDD1"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80</w:t>
            </w:r>
          </w:p>
        </w:tc>
        <w:tc>
          <w:tcPr>
            <w:tcW w:w="861" w:type="dxa"/>
            <w:tcBorders>
              <w:top w:val="nil"/>
              <w:left w:val="nil"/>
              <w:bottom w:val="nil"/>
              <w:right w:val="nil"/>
            </w:tcBorders>
            <w:vAlign w:val="center"/>
            <w:hideMark/>
          </w:tcPr>
          <w:p w14:paraId="3A22E449" w14:textId="77777777" w:rsidR="00095B6C" w:rsidRPr="00D41FC5" w:rsidRDefault="00095B6C" w:rsidP="004E1BF3">
            <w:pPr>
              <w:spacing w:line="200" w:lineRule="exact"/>
              <w:jc w:val="center"/>
              <w:rPr>
                <w:rFonts w:ascii="Times New Roman" w:hAnsi="Times New Roman" w:cs="Times New Roman"/>
                <w:sz w:val="20"/>
                <w:szCs w:val="20"/>
              </w:rPr>
            </w:pPr>
            <m:oMathPara>
              <m:oMathParaPr>
                <m:jc m:val="left"/>
              </m:oMathParaPr>
              <m:oMath>
                <m:r>
                  <m:rPr>
                    <m:sty m:val="p"/>
                  </m:rPr>
                  <w:rPr>
                    <w:rFonts w:ascii="Cambria Math" w:hAnsi="Cambria Math" w:cs="Times New Roman" w:hint="eastAsia"/>
                    <w:sz w:val="20"/>
                    <w:szCs w:val="20"/>
                  </w:rPr>
                  <m:t>℃</m:t>
                </m:r>
              </m:oMath>
            </m:oMathPara>
          </w:p>
        </w:tc>
      </w:tr>
      <w:tr w:rsidR="00D41FC5" w:rsidRPr="00D41FC5" w14:paraId="5A6BA868" w14:textId="77777777" w:rsidTr="0084655D">
        <w:trPr>
          <w:trHeight w:val="252"/>
        </w:trPr>
        <w:tc>
          <w:tcPr>
            <w:tcW w:w="670" w:type="dxa"/>
            <w:vMerge/>
            <w:tcBorders>
              <w:top w:val="single" w:sz="4" w:space="0" w:color="auto"/>
              <w:left w:val="nil"/>
              <w:bottom w:val="single" w:sz="12" w:space="0" w:color="auto"/>
              <w:right w:val="nil"/>
            </w:tcBorders>
            <w:vAlign w:val="center"/>
            <w:hideMark/>
          </w:tcPr>
          <w:p w14:paraId="7FFAEF80"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58C3103D" w14:textId="77777777" w:rsidR="00095B6C" w:rsidRPr="00D41FC5" w:rsidRDefault="00C34992" w:rsidP="004E1BF3">
            <w:pPr>
              <w:spacing w:line="200" w:lineRule="exact"/>
              <w:rPr>
                <w:rFonts w:ascii="Times New Roman" w:eastAsia="DengXi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2</m:t>
                    </m:r>
                  </m:sub>
                </m:sSub>
              </m:oMath>
            </m:oMathPara>
          </w:p>
        </w:tc>
        <w:tc>
          <w:tcPr>
            <w:tcW w:w="1070" w:type="dxa"/>
            <w:tcBorders>
              <w:top w:val="nil"/>
              <w:left w:val="nil"/>
              <w:bottom w:val="nil"/>
              <w:right w:val="nil"/>
            </w:tcBorders>
            <w:vAlign w:val="center"/>
            <w:hideMark/>
          </w:tcPr>
          <w:p w14:paraId="4E52CF0C"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5.20E-3</w:t>
            </w:r>
          </w:p>
        </w:tc>
        <w:tc>
          <w:tcPr>
            <w:tcW w:w="1069" w:type="dxa"/>
            <w:tcBorders>
              <w:top w:val="nil"/>
              <w:left w:val="nil"/>
              <w:bottom w:val="nil"/>
              <w:right w:val="single" w:sz="8" w:space="0" w:color="auto"/>
            </w:tcBorders>
            <w:vAlign w:val="center"/>
            <w:hideMark/>
          </w:tcPr>
          <w:p w14:paraId="59DDE5DC" w14:textId="77777777" w:rsidR="00095B6C" w:rsidRPr="00D41FC5" w:rsidRDefault="00095B6C" w:rsidP="004E1BF3">
            <w:pPr>
              <w:snapToGrid w:val="0"/>
              <w:spacing w:line="200" w:lineRule="exact"/>
              <w:jc w:val="center"/>
              <w:rPr>
                <w:rFonts w:ascii="Times New Roman" w:hAnsi="Times New Roman" w:cs="Times New Roman"/>
                <w:iCs/>
                <w:sz w:val="20"/>
                <w:szCs w:val="20"/>
              </w:rPr>
            </w:pPr>
            <m:oMathPara>
              <m:oMathParaPr>
                <m:jc m:val="left"/>
              </m:oMathParaPr>
              <m:oMath>
                <m:r>
                  <m:rPr>
                    <m:sty m:val="p"/>
                  </m:rPr>
                  <w:rPr>
                    <w:rFonts w:ascii="Cambria Math" w:hAnsi="Cambria Math" w:cs="Times New Roman"/>
                    <w:sz w:val="20"/>
                    <w:szCs w:val="20"/>
                  </w:rPr>
                  <m:t>m</m:t>
                </m:r>
              </m:oMath>
            </m:oMathPara>
          </w:p>
        </w:tc>
        <w:tc>
          <w:tcPr>
            <w:tcW w:w="1078" w:type="dxa"/>
            <w:gridSpan w:val="2"/>
            <w:vMerge/>
            <w:tcBorders>
              <w:top w:val="single" w:sz="4" w:space="0" w:color="auto"/>
              <w:left w:val="single" w:sz="8" w:space="0" w:color="auto"/>
              <w:bottom w:val="dashed" w:sz="4" w:space="0" w:color="auto"/>
              <w:right w:val="nil"/>
            </w:tcBorders>
            <w:vAlign w:val="center"/>
            <w:hideMark/>
          </w:tcPr>
          <w:p w14:paraId="30C81558"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06E7A471" w14:textId="77777777" w:rsidR="00095B6C" w:rsidRPr="00D41FC5" w:rsidRDefault="00095B6C" w:rsidP="004E1BF3">
            <w:pPr>
              <w:spacing w:line="200" w:lineRule="exact"/>
              <w:rPr>
                <w:rFonts w:ascii="Times New Roman" w:hAnsi="Times New Roman" w:cs="Times New Roman"/>
                <w:sz w:val="20"/>
                <w:szCs w:val="20"/>
              </w:rPr>
            </w:pPr>
            <w:proofErr w:type="spellStart"/>
            <w:r w:rsidRPr="00D41FC5">
              <w:rPr>
                <w:rFonts w:ascii="Times New Roman" w:hAnsi="Times New Roman" w:cs="Times New Roman"/>
                <w:sz w:val="20"/>
                <w:szCs w:val="20"/>
              </w:rPr>
              <w:t>Remanence</w:t>
            </w:r>
            <w:proofErr w:type="spellEnd"/>
          </w:p>
        </w:tc>
        <w:tc>
          <w:tcPr>
            <w:tcW w:w="862" w:type="dxa"/>
            <w:tcBorders>
              <w:top w:val="nil"/>
              <w:left w:val="nil"/>
              <w:bottom w:val="nil"/>
              <w:right w:val="nil"/>
            </w:tcBorders>
            <w:vAlign w:val="center"/>
            <w:hideMark/>
          </w:tcPr>
          <w:p w14:paraId="7F9C43DC" w14:textId="40631BEC"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14</w:t>
            </w:r>
            <w:r w:rsidR="004E1BF3" w:rsidRPr="00D41FC5">
              <w:rPr>
                <w:rFonts w:ascii="Times New Roman" w:hAnsi="Times New Roman" w:cs="Times New Roman"/>
                <w:sz w:val="20"/>
                <w:szCs w:val="20"/>
              </w:rPr>
              <w:t>,</w:t>
            </w:r>
            <w:r w:rsidRPr="00D41FC5">
              <w:rPr>
                <w:rFonts w:ascii="Times New Roman" w:hAnsi="Times New Roman" w:cs="Times New Roman"/>
                <w:sz w:val="20"/>
                <w:szCs w:val="20"/>
              </w:rPr>
              <w:t>7</w:t>
            </w:r>
            <w:r w:rsidR="004E1BF3" w:rsidRPr="00D41FC5">
              <w:rPr>
                <w:rFonts w:ascii="Times New Roman" w:hAnsi="Times New Roman" w:cs="Times New Roman"/>
                <w:sz w:val="20"/>
                <w:szCs w:val="20"/>
              </w:rPr>
              <w:t>00</w:t>
            </w:r>
          </w:p>
        </w:tc>
        <w:tc>
          <w:tcPr>
            <w:tcW w:w="861" w:type="dxa"/>
            <w:tcBorders>
              <w:top w:val="nil"/>
              <w:left w:val="nil"/>
              <w:bottom w:val="nil"/>
              <w:right w:val="nil"/>
            </w:tcBorders>
            <w:vAlign w:val="center"/>
            <w:hideMark/>
          </w:tcPr>
          <w:p w14:paraId="28E453B2"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Gauss</w:t>
            </w:r>
          </w:p>
        </w:tc>
      </w:tr>
      <w:tr w:rsidR="00D41FC5" w:rsidRPr="00D41FC5" w14:paraId="7CD4CBF2" w14:textId="77777777" w:rsidTr="0084655D">
        <w:trPr>
          <w:trHeight w:val="480"/>
        </w:trPr>
        <w:tc>
          <w:tcPr>
            <w:tcW w:w="670" w:type="dxa"/>
            <w:vMerge/>
            <w:tcBorders>
              <w:top w:val="single" w:sz="4" w:space="0" w:color="auto"/>
              <w:left w:val="nil"/>
              <w:bottom w:val="single" w:sz="12" w:space="0" w:color="auto"/>
              <w:right w:val="nil"/>
            </w:tcBorders>
            <w:vAlign w:val="center"/>
            <w:hideMark/>
          </w:tcPr>
          <w:p w14:paraId="6F288854"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0102E399" w14:textId="77777777" w:rsidR="00095B6C" w:rsidRPr="00D41FC5" w:rsidRDefault="00C34992" w:rsidP="004E1BF3">
            <w:pPr>
              <w:spacing w:line="200" w:lineRule="exact"/>
              <w:rPr>
                <w:rFonts w:ascii="Times New Roman" w:eastAsia="DengXi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r</m:t>
                    </m:r>
                  </m:sub>
                </m:sSub>
              </m:oMath>
            </m:oMathPara>
          </w:p>
        </w:tc>
        <w:tc>
          <w:tcPr>
            <w:tcW w:w="1070" w:type="dxa"/>
            <w:tcBorders>
              <w:top w:val="nil"/>
              <w:left w:val="nil"/>
              <w:bottom w:val="nil"/>
              <w:right w:val="nil"/>
            </w:tcBorders>
            <w:vAlign w:val="center"/>
            <w:hideMark/>
          </w:tcPr>
          <w:p w14:paraId="66E21968"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9.23</w:t>
            </w:r>
          </w:p>
        </w:tc>
        <w:tc>
          <w:tcPr>
            <w:tcW w:w="1069" w:type="dxa"/>
            <w:tcBorders>
              <w:top w:val="nil"/>
              <w:left w:val="nil"/>
              <w:bottom w:val="nil"/>
              <w:right w:val="single" w:sz="8" w:space="0" w:color="auto"/>
            </w:tcBorders>
            <w:vAlign w:val="center"/>
          </w:tcPr>
          <w:p w14:paraId="0AF586CC" w14:textId="77777777" w:rsidR="00095B6C" w:rsidRPr="00D41FC5" w:rsidRDefault="00095B6C" w:rsidP="004E1BF3">
            <w:pPr>
              <w:snapToGrid w:val="0"/>
              <w:spacing w:line="200" w:lineRule="exact"/>
              <w:rPr>
                <w:rFonts w:ascii="Times New Roman" w:hAnsi="Times New Roman" w:cs="Times New Roman"/>
                <w:iCs/>
                <w:sz w:val="20"/>
                <w:szCs w:val="20"/>
              </w:rPr>
            </w:pPr>
          </w:p>
        </w:tc>
        <w:tc>
          <w:tcPr>
            <w:tcW w:w="1078" w:type="dxa"/>
            <w:gridSpan w:val="2"/>
            <w:vMerge/>
            <w:tcBorders>
              <w:top w:val="single" w:sz="4" w:space="0" w:color="auto"/>
              <w:left w:val="single" w:sz="8" w:space="0" w:color="auto"/>
              <w:bottom w:val="dashed" w:sz="4" w:space="0" w:color="auto"/>
              <w:right w:val="nil"/>
            </w:tcBorders>
            <w:vAlign w:val="center"/>
            <w:hideMark/>
          </w:tcPr>
          <w:p w14:paraId="08410127"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dashed" w:sz="4" w:space="0" w:color="auto"/>
              <w:right w:val="nil"/>
            </w:tcBorders>
            <w:vAlign w:val="center"/>
            <w:hideMark/>
          </w:tcPr>
          <w:p w14:paraId="40D5DBC2"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Maximum energy product</w:t>
            </w:r>
          </w:p>
        </w:tc>
        <w:tc>
          <w:tcPr>
            <w:tcW w:w="862" w:type="dxa"/>
            <w:tcBorders>
              <w:top w:val="nil"/>
              <w:left w:val="nil"/>
              <w:bottom w:val="dashed" w:sz="4" w:space="0" w:color="auto"/>
              <w:right w:val="nil"/>
            </w:tcBorders>
            <w:vAlign w:val="center"/>
            <w:hideMark/>
          </w:tcPr>
          <w:p w14:paraId="675C69DB"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52</w:t>
            </w:r>
          </w:p>
        </w:tc>
        <w:tc>
          <w:tcPr>
            <w:tcW w:w="861" w:type="dxa"/>
            <w:tcBorders>
              <w:top w:val="nil"/>
              <w:left w:val="nil"/>
              <w:bottom w:val="dashed" w:sz="4" w:space="0" w:color="auto"/>
              <w:right w:val="nil"/>
            </w:tcBorders>
            <w:vAlign w:val="center"/>
            <w:hideMark/>
          </w:tcPr>
          <w:p w14:paraId="5F55E23B" w14:textId="77777777" w:rsidR="00095B6C" w:rsidRPr="00D41FC5" w:rsidRDefault="00095B6C" w:rsidP="004E1BF3">
            <w:pPr>
              <w:spacing w:line="200" w:lineRule="exact"/>
              <w:jc w:val="center"/>
              <w:rPr>
                <w:rFonts w:ascii="Times New Roman" w:hAnsi="Times New Roman" w:cs="Times New Roman"/>
                <w:sz w:val="20"/>
                <w:szCs w:val="20"/>
              </w:rPr>
            </w:pPr>
            <w:proofErr w:type="spellStart"/>
            <w:r w:rsidRPr="00D41FC5">
              <w:rPr>
                <w:rFonts w:ascii="Times New Roman" w:hAnsi="Times New Roman" w:cs="Times New Roman"/>
                <w:sz w:val="20"/>
                <w:szCs w:val="20"/>
              </w:rPr>
              <w:t>MGOe</w:t>
            </w:r>
            <w:proofErr w:type="spellEnd"/>
          </w:p>
        </w:tc>
      </w:tr>
      <w:tr w:rsidR="00D41FC5" w:rsidRPr="00D41FC5" w14:paraId="58F02AB4" w14:textId="77777777" w:rsidTr="0084655D">
        <w:trPr>
          <w:trHeight w:val="480"/>
        </w:trPr>
        <w:tc>
          <w:tcPr>
            <w:tcW w:w="670" w:type="dxa"/>
            <w:vMerge/>
            <w:tcBorders>
              <w:top w:val="single" w:sz="4" w:space="0" w:color="auto"/>
              <w:left w:val="nil"/>
              <w:bottom w:val="single" w:sz="12" w:space="0" w:color="auto"/>
              <w:right w:val="nil"/>
            </w:tcBorders>
            <w:vAlign w:val="center"/>
            <w:hideMark/>
          </w:tcPr>
          <w:p w14:paraId="0AA0ECF1"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5AAE8DED" w14:textId="77777777" w:rsidR="00095B6C" w:rsidRPr="00D41FC5" w:rsidRDefault="00095B6C" w:rsidP="004E1BF3">
            <w:pPr>
              <w:spacing w:line="200" w:lineRule="exact"/>
              <w:rPr>
                <w:rFonts w:ascii="Times New Roman" w:eastAsia="DengXian" w:hAnsi="Times New Roman" w:cs="Times New Roman"/>
                <w:sz w:val="20"/>
                <w:szCs w:val="20"/>
              </w:rPr>
            </w:pPr>
            <w:r w:rsidRPr="00D41FC5">
              <w:rPr>
                <w:rFonts w:ascii="Times New Roman" w:hAnsi="Times New Roman" w:cs="Times New Roman"/>
                <w:sz w:val="20"/>
                <w:szCs w:val="20"/>
              </w:rPr>
              <w:t>Teeth number-annular gear</w:t>
            </w:r>
          </w:p>
        </w:tc>
        <w:tc>
          <w:tcPr>
            <w:tcW w:w="1070" w:type="dxa"/>
            <w:tcBorders>
              <w:top w:val="nil"/>
              <w:left w:val="nil"/>
              <w:bottom w:val="nil"/>
              <w:right w:val="nil"/>
            </w:tcBorders>
            <w:vAlign w:val="center"/>
            <w:hideMark/>
          </w:tcPr>
          <w:p w14:paraId="758795A9"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120</w:t>
            </w:r>
          </w:p>
        </w:tc>
        <w:tc>
          <w:tcPr>
            <w:tcW w:w="1069" w:type="dxa"/>
            <w:tcBorders>
              <w:top w:val="nil"/>
              <w:left w:val="nil"/>
              <w:bottom w:val="nil"/>
              <w:right w:val="single" w:sz="8" w:space="0" w:color="auto"/>
            </w:tcBorders>
            <w:vAlign w:val="center"/>
          </w:tcPr>
          <w:p w14:paraId="6D85690E" w14:textId="77777777" w:rsidR="00095B6C" w:rsidRPr="00D41FC5" w:rsidRDefault="00095B6C" w:rsidP="004E1BF3">
            <w:pPr>
              <w:snapToGrid w:val="0"/>
              <w:spacing w:line="200" w:lineRule="exact"/>
              <w:rPr>
                <w:rFonts w:ascii="Times New Roman" w:eastAsia="DengXian" w:hAnsi="Times New Roman" w:cs="Times New Roman"/>
                <w:iCs/>
                <w:sz w:val="20"/>
                <w:szCs w:val="20"/>
              </w:rPr>
            </w:pPr>
          </w:p>
        </w:tc>
        <w:tc>
          <w:tcPr>
            <w:tcW w:w="1078" w:type="dxa"/>
            <w:gridSpan w:val="2"/>
            <w:vMerge w:val="restart"/>
            <w:tcBorders>
              <w:top w:val="dashed" w:sz="4" w:space="0" w:color="auto"/>
              <w:left w:val="single" w:sz="8" w:space="0" w:color="auto"/>
              <w:bottom w:val="single" w:sz="12" w:space="0" w:color="auto"/>
              <w:right w:val="nil"/>
            </w:tcBorders>
            <w:vAlign w:val="center"/>
            <w:hideMark/>
          </w:tcPr>
          <w:p w14:paraId="321C373F" w14:textId="77777777" w:rsidR="00095B6C" w:rsidRPr="00D41FC5" w:rsidRDefault="00095B6C" w:rsidP="004E1BF3">
            <w:pPr>
              <w:spacing w:line="200" w:lineRule="exact"/>
              <w:jc w:val="center"/>
              <w:rPr>
                <w:rFonts w:ascii="Times New Roman" w:hAnsi="Times New Roman" w:cs="Times New Roman"/>
                <w:sz w:val="20"/>
                <w:szCs w:val="20"/>
              </w:rPr>
            </w:pPr>
            <w:r w:rsidRPr="00D41FC5">
              <w:rPr>
                <w:rFonts w:ascii="Times New Roman" w:hAnsi="Times New Roman" w:cs="Times New Roman"/>
                <w:sz w:val="20"/>
                <w:szCs w:val="20"/>
              </w:rPr>
              <w:t>DC generator</w:t>
            </w:r>
          </w:p>
        </w:tc>
        <w:tc>
          <w:tcPr>
            <w:tcW w:w="2170" w:type="dxa"/>
            <w:tcBorders>
              <w:top w:val="dashed" w:sz="4" w:space="0" w:color="auto"/>
              <w:left w:val="nil"/>
              <w:bottom w:val="nil"/>
              <w:right w:val="nil"/>
            </w:tcBorders>
            <w:vAlign w:val="center"/>
            <w:hideMark/>
          </w:tcPr>
          <w:p w14:paraId="7F803AC8"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Induced voltage</w:t>
            </w:r>
          </w:p>
        </w:tc>
        <w:tc>
          <w:tcPr>
            <w:tcW w:w="862" w:type="dxa"/>
            <w:tcBorders>
              <w:top w:val="dashed" w:sz="4" w:space="0" w:color="auto"/>
              <w:left w:val="nil"/>
              <w:bottom w:val="nil"/>
              <w:right w:val="nil"/>
            </w:tcBorders>
            <w:vAlign w:val="center"/>
            <w:hideMark/>
          </w:tcPr>
          <w:p w14:paraId="755C151F"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1-5</w:t>
            </w:r>
          </w:p>
        </w:tc>
        <w:tc>
          <w:tcPr>
            <w:tcW w:w="861" w:type="dxa"/>
            <w:tcBorders>
              <w:top w:val="dashed" w:sz="4" w:space="0" w:color="auto"/>
              <w:left w:val="nil"/>
              <w:bottom w:val="nil"/>
              <w:right w:val="nil"/>
            </w:tcBorders>
            <w:vAlign w:val="center"/>
            <w:hideMark/>
          </w:tcPr>
          <w:p w14:paraId="68A339E0" w14:textId="77777777" w:rsidR="00095B6C" w:rsidRPr="00D41FC5" w:rsidRDefault="00095B6C" w:rsidP="004E1BF3">
            <w:pPr>
              <w:spacing w:line="200" w:lineRule="exact"/>
              <w:jc w:val="center"/>
              <w:rPr>
                <w:rFonts w:ascii="Times New Roman" w:eastAsia="DengXian" w:hAnsi="Times New Roman" w:cs="Times New Roman"/>
                <w:sz w:val="20"/>
                <w:szCs w:val="20"/>
              </w:rPr>
            </w:pPr>
            <m:oMathPara>
              <m:oMathParaPr>
                <m:jc m:val="left"/>
              </m:oMathParaPr>
              <m:oMath>
                <m:r>
                  <m:rPr>
                    <m:sty m:val="p"/>
                  </m:rPr>
                  <w:rPr>
                    <w:rFonts w:ascii="Cambria Math" w:hAnsi="Cambria Math" w:cs="Times New Roman"/>
                    <w:sz w:val="20"/>
                    <w:szCs w:val="20"/>
                  </w:rPr>
                  <m:t>V</m:t>
                </m:r>
              </m:oMath>
            </m:oMathPara>
          </w:p>
        </w:tc>
      </w:tr>
      <w:tr w:rsidR="00D41FC5" w:rsidRPr="00D41FC5" w14:paraId="0395F3FC" w14:textId="77777777" w:rsidTr="0084655D">
        <w:trPr>
          <w:trHeight w:val="480"/>
        </w:trPr>
        <w:tc>
          <w:tcPr>
            <w:tcW w:w="670" w:type="dxa"/>
            <w:vMerge/>
            <w:tcBorders>
              <w:top w:val="single" w:sz="4" w:space="0" w:color="auto"/>
              <w:left w:val="nil"/>
              <w:bottom w:val="single" w:sz="12" w:space="0" w:color="auto"/>
              <w:right w:val="nil"/>
            </w:tcBorders>
            <w:vAlign w:val="center"/>
            <w:hideMark/>
          </w:tcPr>
          <w:p w14:paraId="10A31D8D"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5CB15BC0" w14:textId="77777777" w:rsidR="00095B6C" w:rsidRPr="00D41FC5" w:rsidRDefault="00095B6C" w:rsidP="004E1BF3">
            <w:pPr>
              <w:spacing w:line="200" w:lineRule="exact"/>
              <w:rPr>
                <w:rFonts w:ascii="Times New Roman" w:eastAsia="DengXian" w:hAnsi="Times New Roman" w:cs="Times New Roman"/>
                <w:sz w:val="20"/>
                <w:szCs w:val="20"/>
              </w:rPr>
            </w:pPr>
            <w:r w:rsidRPr="00D41FC5">
              <w:rPr>
                <w:rFonts w:ascii="Times New Roman" w:hAnsi="Times New Roman" w:cs="Times New Roman"/>
                <w:sz w:val="20"/>
                <w:szCs w:val="20"/>
              </w:rPr>
              <w:t>Teeth number-pinion gear</w:t>
            </w:r>
          </w:p>
        </w:tc>
        <w:tc>
          <w:tcPr>
            <w:tcW w:w="1070" w:type="dxa"/>
            <w:tcBorders>
              <w:top w:val="nil"/>
              <w:left w:val="nil"/>
              <w:bottom w:val="nil"/>
              <w:right w:val="nil"/>
            </w:tcBorders>
            <w:vAlign w:val="center"/>
            <w:hideMark/>
          </w:tcPr>
          <w:p w14:paraId="1B19B110"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13</w:t>
            </w:r>
          </w:p>
        </w:tc>
        <w:tc>
          <w:tcPr>
            <w:tcW w:w="1069" w:type="dxa"/>
            <w:tcBorders>
              <w:top w:val="nil"/>
              <w:left w:val="nil"/>
              <w:bottom w:val="nil"/>
              <w:right w:val="single" w:sz="8" w:space="0" w:color="auto"/>
            </w:tcBorders>
            <w:vAlign w:val="center"/>
          </w:tcPr>
          <w:p w14:paraId="43AA8442" w14:textId="77777777" w:rsidR="00095B6C" w:rsidRPr="00D41FC5" w:rsidRDefault="00095B6C" w:rsidP="004E1BF3">
            <w:pPr>
              <w:snapToGrid w:val="0"/>
              <w:spacing w:line="200" w:lineRule="exact"/>
              <w:rPr>
                <w:rFonts w:ascii="Times New Roman" w:eastAsia="DengXian" w:hAnsi="Times New Roman" w:cs="Times New Roman"/>
                <w:iCs/>
                <w:sz w:val="20"/>
                <w:szCs w:val="20"/>
              </w:rPr>
            </w:pPr>
          </w:p>
        </w:tc>
        <w:tc>
          <w:tcPr>
            <w:tcW w:w="1078" w:type="dxa"/>
            <w:gridSpan w:val="2"/>
            <w:vMerge/>
            <w:tcBorders>
              <w:top w:val="dashed" w:sz="4" w:space="0" w:color="auto"/>
              <w:left w:val="single" w:sz="8" w:space="0" w:color="auto"/>
              <w:bottom w:val="single" w:sz="12" w:space="0" w:color="auto"/>
              <w:right w:val="nil"/>
            </w:tcBorders>
            <w:vAlign w:val="center"/>
            <w:hideMark/>
          </w:tcPr>
          <w:p w14:paraId="7FA0C2D2"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555EF33D"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Internal resistance (</w:t>
            </w:r>
            <m:oMath>
              <m:sSub>
                <m:sSubPr>
                  <m:ctrlPr>
                    <w:rPr>
                      <w:rFonts w:ascii="Cambria Math" w:hAnsi="Cambria Math" w:cs="Times New Roman"/>
                      <w:i/>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int</m:t>
                  </m:r>
                </m:sub>
              </m:sSub>
            </m:oMath>
            <w:r w:rsidRPr="00D41FC5">
              <w:rPr>
                <w:rFonts w:ascii="Times New Roman" w:hAnsi="Times New Roman" w:cs="Times New Roman"/>
                <w:sz w:val="20"/>
                <w:szCs w:val="20"/>
              </w:rPr>
              <w:t>)</w:t>
            </w:r>
          </w:p>
        </w:tc>
        <w:tc>
          <w:tcPr>
            <w:tcW w:w="862" w:type="dxa"/>
            <w:tcBorders>
              <w:top w:val="nil"/>
              <w:left w:val="nil"/>
              <w:bottom w:val="nil"/>
              <w:right w:val="nil"/>
            </w:tcBorders>
            <w:vAlign w:val="center"/>
            <w:hideMark/>
          </w:tcPr>
          <w:p w14:paraId="36A65C3A"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94</w:t>
            </w:r>
          </w:p>
        </w:tc>
        <w:tc>
          <w:tcPr>
            <w:tcW w:w="861" w:type="dxa"/>
            <w:tcBorders>
              <w:top w:val="nil"/>
              <w:left w:val="nil"/>
              <w:bottom w:val="nil"/>
              <w:right w:val="nil"/>
            </w:tcBorders>
            <w:vAlign w:val="center"/>
            <w:hideMark/>
          </w:tcPr>
          <w:p w14:paraId="272CFA95" w14:textId="77777777" w:rsidR="00095B6C" w:rsidRPr="00D41FC5" w:rsidRDefault="00095B6C" w:rsidP="004E1BF3">
            <w:pPr>
              <w:spacing w:line="200" w:lineRule="exact"/>
              <w:jc w:val="center"/>
              <w:rPr>
                <w:rFonts w:ascii="Times New Roman" w:eastAsia="DengXian" w:hAnsi="Times New Roman" w:cs="Times New Roman"/>
                <w:sz w:val="20"/>
                <w:szCs w:val="20"/>
              </w:rPr>
            </w:pPr>
            <m:oMathPara>
              <m:oMathParaPr>
                <m:jc m:val="left"/>
              </m:oMathParaPr>
              <m:oMath>
                <m:r>
                  <m:rPr>
                    <m:sty m:val="p"/>
                  </m:rPr>
                  <w:rPr>
                    <w:rFonts w:ascii="Cambria Math" w:hAnsi="Cambria Math" w:cs="Times New Roman"/>
                    <w:sz w:val="20"/>
                    <w:szCs w:val="20"/>
                  </w:rPr>
                  <m:t>Ω</m:t>
                </m:r>
              </m:oMath>
            </m:oMathPara>
          </w:p>
        </w:tc>
      </w:tr>
      <w:tr w:rsidR="00D41FC5" w:rsidRPr="00D41FC5" w14:paraId="4D38651C" w14:textId="77777777" w:rsidTr="0084655D">
        <w:trPr>
          <w:trHeight w:val="263"/>
        </w:trPr>
        <w:tc>
          <w:tcPr>
            <w:tcW w:w="670" w:type="dxa"/>
            <w:vMerge/>
            <w:tcBorders>
              <w:top w:val="single" w:sz="4" w:space="0" w:color="auto"/>
              <w:left w:val="nil"/>
              <w:bottom w:val="single" w:sz="12" w:space="0" w:color="auto"/>
              <w:right w:val="nil"/>
            </w:tcBorders>
            <w:vAlign w:val="center"/>
            <w:hideMark/>
          </w:tcPr>
          <w:p w14:paraId="2ABDB376"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4A9A7016" w14:textId="77777777" w:rsidR="00095B6C" w:rsidRPr="00D41FC5" w:rsidRDefault="00095B6C" w:rsidP="004E1BF3">
            <w:pPr>
              <w:spacing w:line="200" w:lineRule="exact"/>
              <w:rPr>
                <w:rFonts w:ascii="Times New Roman" w:eastAsia="DengXian" w:hAnsi="Times New Roman" w:cs="Times New Roman"/>
                <w:sz w:val="20"/>
                <w:szCs w:val="20"/>
              </w:rPr>
            </w:pPr>
            <w:r w:rsidRPr="00D41FC5">
              <w:rPr>
                <w:rFonts w:ascii="Times New Roman" w:hAnsi="Times New Roman" w:cs="Times New Roman"/>
                <w:sz w:val="20"/>
                <w:szCs w:val="20"/>
              </w:rPr>
              <w:t>Standard pressure angle</w:t>
            </w:r>
          </w:p>
        </w:tc>
        <w:tc>
          <w:tcPr>
            <w:tcW w:w="1070" w:type="dxa"/>
            <w:tcBorders>
              <w:top w:val="nil"/>
              <w:left w:val="nil"/>
              <w:bottom w:val="nil"/>
              <w:right w:val="nil"/>
            </w:tcBorders>
            <w:vAlign w:val="center"/>
            <w:hideMark/>
          </w:tcPr>
          <w:p w14:paraId="21CADB01"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20</w:t>
            </w:r>
          </w:p>
        </w:tc>
        <w:tc>
          <w:tcPr>
            <w:tcW w:w="1069" w:type="dxa"/>
            <w:tcBorders>
              <w:top w:val="nil"/>
              <w:left w:val="nil"/>
              <w:bottom w:val="nil"/>
              <w:right w:val="single" w:sz="8" w:space="0" w:color="auto"/>
            </w:tcBorders>
            <w:vAlign w:val="center"/>
            <w:hideMark/>
          </w:tcPr>
          <w:p w14:paraId="7E407520" w14:textId="77777777" w:rsidR="00095B6C" w:rsidRPr="00D41FC5" w:rsidRDefault="00095B6C" w:rsidP="004E1BF3">
            <w:pPr>
              <w:snapToGrid w:val="0"/>
              <w:spacing w:line="200" w:lineRule="exact"/>
              <w:jc w:val="center"/>
              <w:rPr>
                <w:rFonts w:ascii="Times New Roman" w:eastAsia="DengXian" w:hAnsi="Times New Roman" w:cs="Times New Roman"/>
                <w:iCs/>
                <w:sz w:val="20"/>
                <w:szCs w:val="20"/>
              </w:rPr>
            </w:pPr>
            <m:oMathPara>
              <m:oMathParaPr>
                <m:jc m:val="left"/>
              </m:oMathParaPr>
              <m:oMath>
                <m:r>
                  <m:rPr>
                    <m:sty m:val="p"/>
                  </m:rPr>
                  <w:rPr>
                    <w:rFonts w:ascii="Cambria Math" w:hAnsi="Cambria Math" w:cs="Times New Roman"/>
                    <w:sz w:val="20"/>
                    <w:szCs w:val="20"/>
                  </w:rPr>
                  <m:t>°</m:t>
                </m:r>
              </m:oMath>
            </m:oMathPara>
          </w:p>
        </w:tc>
        <w:tc>
          <w:tcPr>
            <w:tcW w:w="1078" w:type="dxa"/>
            <w:gridSpan w:val="2"/>
            <w:vMerge/>
            <w:tcBorders>
              <w:top w:val="dashed" w:sz="4" w:space="0" w:color="auto"/>
              <w:left w:val="single" w:sz="8" w:space="0" w:color="auto"/>
              <w:bottom w:val="single" w:sz="12" w:space="0" w:color="auto"/>
              <w:right w:val="nil"/>
            </w:tcBorders>
            <w:vAlign w:val="center"/>
            <w:hideMark/>
          </w:tcPr>
          <w:p w14:paraId="09DA3C92"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14526EE7"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Rated speed</w:t>
            </w:r>
          </w:p>
        </w:tc>
        <w:tc>
          <w:tcPr>
            <w:tcW w:w="862" w:type="dxa"/>
            <w:tcBorders>
              <w:top w:val="nil"/>
              <w:left w:val="nil"/>
              <w:bottom w:val="nil"/>
              <w:right w:val="nil"/>
            </w:tcBorders>
            <w:vAlign w:val="center"/>
            <w:hideMark/>
          </w:tcPr>
          <w:p w14:paraId="397560CC"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500</w:t>
            </w:r>
          </w:p>
        </w:tc>
        <w:tc>
          <w:tcPr>
            <w:tcW w:w="861" w:type="dxa"/>
            <w:tcBorders>
              <w:top w:val="nil"/>
              <w:left w:val="nil"/>
              <w:bottom w:val="nil"/>
              <w:right w:val="nil"/>
            </w:tcBorders>
            <w:vAlign w:val="center"/>
            <w:hideMark/>
          </w:tcPr>
          <w:p w14:paraId="670F3385" w14:textId="77777777" w:rsidR="00095B6C" w:rsidRPr="00D41FC5" w:rsidRDefault="00095B6C" w:rsidP="004E1BF3">
            <w:pPr>
              <w:spacing w:line="200" w:lineRule="exact"/>
              <w:jc w:val="center"/>
              <w:rPr>
                <w:rFonts w:ascii="Times New Roman" w:eastAsia="DengXian" w:hAnsi="Times New Roman" w:cs="Times New Roman"/>
                <w:sz w:val="20"/>
                <w:szCs w:val="20"/>
              </w:rPr>
            </w:pPr>
            <m:oMathPara>
              <m:oMathParaPr>
                <m:jc m:val="left"/>
              </m:oMathParaPr>
              <m:oMath>
                <m:r>
                  <m:rPr>
                    <m:sty m:val="p"/>
                  </m:rPr>
                  <w:rPr>
                    <w:rFonts w:ascii="Cambria Math" w:hAnsi="Cambria Math" w:cs="Times New Roman"/>
                    <w:sz w:val="20"/>
                    <w:szCs w:val="20"/>
                  </w:rPr>
                  <m:t>rpm</m:t>
                </m:r>
              </m:oMath>
            </m:oMathPara>
          </w:p>
        </w:tc>
      </w:tr>
      <w:tr w:rsidR="00D41FC5" w:rsidRPr="00D41FC5" w14:paraId="08E5C282" w14:textId="77777777" w:rsidTr="0084655D">
        <w:trPr>
          <w:trHeight w:val="252"/>
        </w:trPr>
        <w:tc>
          <w:tcPr>
            <w:tcW w:w="670" w:type="dxa"/>
            <w:vMerge/>
            <w:tcBorders>
              <w:top w:val="single" w:sz="4" w:space="0" w:color="auto"/>
              <w:left w:val="nil"/>
              <w:bottom w:val="single" w:sz="12" w:space="0" w:color="auto"/>
              <w:right w:val="nil"/>
            </w:tcBorders>
            <w:vAlign w:val="center"/>
            <w:hideMark/>
          </w:tcPr>
          <w:p w14:paraId="078BBD50"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16EA6D3F" w14:textId="77777777" w:rsidR="00095B6C" w:rsidRPr="00D41FC5" w:rsidRDefault="00095B6C" w:rsidP="004E1BF3">
            <w:pPr>
              <w:spacing w:line="200" w:lineRule="exact"/>
              <w:rPr>
                <w:rFonts w:ascii="Times New Roman" w:eastAsia="DengXian" w:hAnsi="Times New Roman" w:cs="Times New Roman"/>
                <w:sz w:val="20"/>
                <w:szCs w:val="20"/>
              </w:rPr>
            </w:pPr>
            <w:r w:rsidRPr="00D41FC5">
              <w:rPr>
                <w:rFonts w:ascii="Times New Roman" w:hAnsi="Times New Roman" w:cs="Times New Roman"/>
                <w:sz w:val="20"/>
                <w:szCs w:val="20"/>
              </w:rPr>
              <w:t>Addendum</w:t>
            </w:r>
          </w:p>
        </w:tc>
        <w:tc>
          <w:tcPr>
            <w:tcW w:w="1070" w:type="dxa"/>
            <w:tcBorders>
              <w:top w:val="nil"/>
              <w:left w:val="nil"/>
              <w:bottom w:val="nil"/>
              <w:right w:val="nil"/>
            </w:tcBorders>
            <w:vAlign w:val="center"/>
            <w:hideMark/>
          </w:tcPr>
          <w:p w14:paraId="3A6DD2CB"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8.00E-4</w:t>
            </w:r>
          </w:p>
        </w:tc>
        <w:tc>
          <w:tcPr>
            <w:tcW w:w="1069" w:type="dxa"/>
            <w:tcBorders>
              <w:top w:val="nil"/>
              <w:left w:val="nil"/>
              <w:bottom w:val="nil"/>
              <w:right w:val="single" w:sz="8" w:space="0" w:color="auto"/>
            </w:tcBorders>
            <w:vAlign w:val="center"/>
            <w:hideMark/>
          </w:tcPr>
          <w:p w14:paraId="223C8579" w14:textId="77777777" w:rsidR="00095B6C" w:rsidRPr="00D41FC5" w:rsidRDefault="00095B6C" w:rsidP="004E1BF3">
            <w:pPr>
              <w:snapToGrid w:val="0"/>
              <w:spacing w:line="200" w:lineRule="exact"/>
              <w:jc w:val="center"/>
              <w:rPr>
                <w:rFonts w:ascii="Times New Roman" w:eastAsia="DengXian" w:hAnsi="Times New Roman" w:cs="Times New Roman"/>
                <w:iCs/>
                <w:sz w:val="20"/>
                <w:szCs w:val="20"/>
              </w:rPr>
            </w:pPr>
            <m:oMathPara>
              <m:oMathParaPr>
                <m:jc m:val="left"/>
              </m:oMathParaPr>
              <m:oMath>
                <m:r>
                  <m:rPr>
                    <m:sty m:val="p"/>
                  </m:rPr>
                  <w:rPr>
                    <w:rFonts w:ascii="Cambria Math" w:hAnsi="Cambria Math" w:cs="Times New Roman"/>
                    <w:sz w:val="20"/>
                    <w:szCs w:val="20"/>
                  </w:rPr>
                  <m:t>m</m:t>
                </m:r>
              </m:oMath>
            </m:oMathPara>
          </w:p>
        </w:tc>
        <w:tc>
          <w:tcPr>
            <w:tcW w:w="1078" w:type="dxa"/>
            <w:gridSpan w:val="2"/>
            <w:vMerge/>
            <w:tcBorders>
              <w:top w:val="dashed" w:sz="4" w:space="0" w:color="auto"/>
              <w:left w:val="single" w:sz="8" w:space="0" w:color="auto"/>
              <w:bottom w:val="single" w:sz="12" w:space="0" w:color="auto"/>
              <w:right w:val="nil"/>
            </w:tcBorders>
            <w:vAlign w:val="center"/>
            <w:hideMark/>
          </w:tcPr>
          <w:p w14:paraId="06D930A0"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552B3068"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Rated torque</w:t>
            </w:r>
          </w:p>
        </w:tc>
        <w:tc>
          <w:tcPr>
            <w:tcW w:w="862" w:type="dxa"/>
            <w:tcBorders>
              <w:top w:val="nil"/>
              <w:left w:val="nil"/>
              <w:bottom w:val="nil"/>
              <w:right w:val="nil"/>
            </w:tcBorders>
            <w:vAlign w:val="center"/>
            <w:hideMark/>
          </w:tcPr>
          <w:p w14:paraId="74ECEE27"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10</w:t>
            </w:r>
          </w:p>
        </w:tc>
        <w:tc>
          <w:tcPr>
            <w:tcW w:w="861" w:type="dxa"/>
            <w:tcBorders>
              <w:top w:val="nil"/>
              <w:left w:val="nil"/>
              <w:bottom w:val="nil"/>
              <w:right w:val="nil"/>
            </w:tcBorders>
            <w:vAlign w:val="center"/>
            <w:hideMark/>
          </w:tcPr>
          <w:p w14:paraId="40794F58" w14:textId="77777777" w:rsidR="00095B6C" w:rsidRPr="00D41FC5" w:rsidRDefault="00095B6C" w:rsidP="004E1BF3">
            <w:pPr>
              <w:spacing w:line="200" w:lineRule="exact"/>
              <w:jc w:val="center"/>
              <w:rPr>
                <w:rFonts w:ascii="Times New Roman" w:eastAsia="DengXian" w:hAnsi="Times New Roman" w:cs="Times New Roman"/>
                <w:sz w:val="20"/>
                <w:szCs w:val="20"/>
              </w:rPr>
            </w:pPr>
            <m:oMathPara>
              <m:oMathParaPr>
                <m:jc m:val="left"/>
              </m:oMathParaPr>
              <m:oMath>
                <m:r>
                  <m:rPr>
                    <m:sty m:val="p"/>
                  </m:rPr>
                  <w:rPr>
                    <w:rFonts w:ascii="Cambria Math" w:hAnsi="Cambria Math" w:cs="Times New Roman"/>
                    <w:sz w:val="20"/>
                    <w:szCs w:val="20"/>
                  </w:rPr>
                  <m:t>g∙cm</m:t>
                </m:r>
              </m:oMath>
            </m:oMathPara>
          </w:p>
        </w:tc>
      </w:tr>
      <w:tr w:rsidR="00D41FC5" w:rsidRPr="00D41FC5" w14:paraId="5DE0E209" w14:textId="77777777" w:rsidTr="0084655D">
        <w:trPr>
          <w:trHeight w:val="263"/>
        </w:trPr>
        <w:tc>
          <w:tcPr>
            <w:tcW w:w="670" w:type="dxa"/>
            <w:vMerge/>
            <w:tcBorders>
              <w:top w:val="single" w:sz="4" w:space="0" w:color="auto"/>
              <w:left w:val="nil"/>
              <w:bottom w:val="single" w:sz="12" w:space="0" w:color="auto"/>
              <w:right w:val="nil"/>
            </w:tcBorders>
            <w:vAlign w:val="center"/>
            <w:hideMark/>
          </w:tcPr>
          <w:p w14:paraId="7163990A"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14F30E18" w14:textId="77777777" w:rsidR="00095B6C" w:rsidRPr="00D41FC5" w:rsidRDefault="00095B6C" w:rsidP="004E1BF3">
            <w:pPr>
              <w:spacing w:line="200" w:lineRule="exact"/>
              <w:rPr>
                <w:rFonts w:ascii="Times New Roman" w:eastAsia="DengXian" w:hAnsi="Times New Roman" w:cs="Times New Roman"/>
                <w:sz w:val="20"/>
                <w:szCs w:val="20"/>
              </w:rPr>
            </w:pPr>
            <w:r w:rsidRPr="00D41FC5">
              <w:rPr>
                <w:rFonts w:ascii="Times New Roman" w:hAnsi="Times New Roman" w:cs="Times New Roman"/>
                <w:sz w:val="20"/>
                <w:szCs w:val="20"/>
              </w:rPr>
              <w:t>Tooth length</w:t>
            </w:r>
          </w:p>
        </w:tc>
        <w:tc>
          <w:tcPr>
            <w:tcW w:w="1070" w:type="dxa"/>
            <w:tcBorders>
              <w:top w:val="nil"/>
              <w:left w:val="nil"/>
              <w:bottom w:val="nil"/>
              <w:right w:val="nil"/>
            </w:tcBorders>
            <w:vAlign w:val="center"/>
            <w:hideMark/>
          </w:tcPr>
          <w:p w14:paraId="4B707321"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1.80E-3</w:t>
            </w:r>
          </w:p>
        </w:tc>
        <w:tc>
          <w:tcPr>
            <w:tcW w:w="1069" w:type="dxa"/>
            <w:tcBorders>
              <w:top w:val="nil"/>
              <w:left w:val="nil"/>
              <w:bottom w:val="nil"/>
              <w:right w:val="single" w:sz="8" w:space="0" w:color="auto"/>
            </w:tcBorders>
            <w:vAlign w:val="center"/>
            <w:hideMark/>
          </w:tcPr>
          <w:p w14:paraId="33FD8C9C" w14:textId="77777777" w:rsidR="00095B6C" w:rsidRPr="00D41FC5" w:rsidRDefault="00095B6C" w:rsidP="004E1BF3">
            <w:pPr>
              <w:snapToGrid w:val="0"/>
              <w:spacing w:line="200" w:lineRule="exact"/>
              <w:jc w:val="center"/>
              <w:rPr>
                <w:rFonts w:ascii="Times New Roman" w:eastAsia="DengXian" w:hAnsi="Times New Roman" w:cs="Times New Roman"/>
                <w:iCs/>
                <w:sz w:val="20"/>
                <w:szCs w:val="20"/>
              </w:rPr>
            </w:pPr>
            <m:oMathPara>
              <m:oMathParaPr>
                <m:jc m:val="left"/>
              </m:oMathParaPr>
              <m:oMath>
                <m:r>
                  <m:rPr>
                    <m:sty m:val="p"/>
                  </m:rPr>
                  <w:rPr>
                    <w:rFonts w:ascii="Cambria Math" w:hAnsi="Cambria Math" w:cs="Times New Roman"/>
                    <w:sz w:val="20"/>
                    <w:szCs w:val="20"/>
                  </w:rPr>
                  <m:t>m</m:t>
                </m:r>
              </m:oMath>
            </m:oMathPara>
          </w:p>
        </w:tc>
        <w:tc>
          <w:tcPr>
            <w:tcW w:w="1078" w:type="dxa"/>
            <w:gridSpan w:val="2"/>
            <w:vMerge/>
            <w:tcBorders>
              <w:top w:val="dashed" w:sz="4" w:space="0" w:color="auto"/>
              <w:left w:val="single" w:sz="8" w:space="0" w:color="auto"/>
              <w:bottom w:val="single" w:sz="12" w:space="0" w:color="auto"/>
              <w:right w:val="nil"/>
            </w:tcBorders>
            <w:vAlign w:val="center"/>
            <w:hideMark/>
          </w:tcPr>
          <w:p w14:paraId="21080B6C"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4CAB0467"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Rated current</w:t>
            </w:r>
          </w:p>
        </w:tc>
        <w:tc>
          <w:tcPr>
            <w:tcW w:w="862" w:type="dxa"/>
            <w:tcBorders>
              <w:top w:val="nil"/>
              <w:left w:val="nil"/>
              <w:bottom w:val="nil"/>
              <w:right w:val="nil"/>
            </w:tcBorders>
            <w:vAlign w:val="center"/>
            <w:hideMark/>
          </w:tcPr>
          <w:p w14:paraId="57D4B8E9"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50</w:t>
            </w:r>
          </w:p>
        </w:tc>
        <w:tc>
          <w:tcPr>
            <w:tcW w:w="861" w:type="dxa"/>
            <w:tcBorders>
              <w:top w:val="nil"/>
              <w:left w:val="nil"/>
              <w:bottom w:val="nil"/>
              <w:right w:val="nil"/>
            </w:tcBorders>
            <w:vAlign w:val="center"/>
            <w:hideMark/>
          </w:tcPr>
          <w:p w14:paraId="16C6A627" w14:textId="77777777" w:rsidR="00095B6C" w:rsidRPr="00D41FC5" w:rsidRDefault="00095B6C" w:rsidP="004E1BF3">
            <w:pPr>
              <w:spacing w:line="200" w:lineRule="exact"/>
              <w:jc w:val="center"/>
              <w:rPr>
                <w:rFonts w:ascii="Times New Roman" w:eastAsia="DengXian" w:hAnsi="Times New Roman" w:cs="Times New Roman"/>
                <w:sz w:val="20"/>
                <w:szCs w:val="20"/>
              </w:rPr>
            </w:pPr>
            <m:oMathPara>
              <m:oMathParaPr>
                <m:jc m:val="left"/>
              </m:oMathParaPr>
              <m:oMath>
                <m:r>
                  <m:rPr>
                    <m:sty m:val="p"/>
                  </m:rPr>
                  <w:rPr>
                    <w:rFonts w:ascii="Cambria Math" w:hAnsi="Cambria Math" w:cs="Times New Roman"/>
                    <w:sz w:val="20"/>
                    <w:szCs w:val="20"/>
                  </w:rPr>
                  <m:t>mA</m:t>
                </m:r>
              </m:oMath>
            </m:oMathPara>
          </w:p>
        </w:tc>
      </w:tr>
      <w:tr w:rsidR="00D41FC5" w:rsidRPr="00D41FC5" w14:paraId="0923077E" w14:textId="77777777" w:rsidTr="0084655D">
        <w:trPr>
          <w:trHeight w:val="480"/>
        </w:trPr>
        <w:tc>
          <w:tcPr>
            <w:tcW w:w="670" w:type="dxa"/>
            <w:vMerge/>
            <w:tcBorders>
              <w:top w:val="single" w:sz="4" w:space="0" w:color="auto"/>
              <w:left w:val="nil"/>
              <w:bottom w:val="single" w:sz="12" w:space="0" w:color="auto"/>
              <w:right w:val="nil"/>
            </w:tcBorders>
            <w:vAlign w:val="center"/>
            <w:hideMark/>
          </w:tcPr>
          <w:p w14:paraId="174C5222"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nil"/>
              <w:right w:val="nil"/>
            </w:tcBorders>
            <w:vAlign w:val="center"/>
            <w:hideMark/>
          </w:tcPr>
          <w:p w14:paraId="65F7942D" w14:textId="77777777" w:rsidR="00095B6C" w:rsidRPr="00D41FC5" w:rsidRDefault="00095B6C" w:rsidP="004E1BF3">
            <w:pPr>
              <w:spacing w:line="200" w:lineRule="exact"/>
              <w:rPr>
                <w:rFonts w:ascii="Times New Roman" w:eastAsia="DengXian" w:hAnsi="Times New Roman" w:cs="Times New Roman"/>
                <w:sz w:val="20"/>
                <w:szCs w:val="20"/>
              </w:rPr>
            </w:pPr>
            <w:r w:rsidRPr="00D41FC5">
              <w:rPr>
                <w:rFonts w:ascii="Times New Roman" w:hAnsi="Times New Roman" w:cs="Times New Roman"/>
                <w:sz w:val="20"/>
                <w:szCs w:val="20"/>
              </w:rPr>
              <w:t>The radius of the fan-shaped structure</w:t>
            </w:r>
          </w:p>
        </w:tc>
        <w:tc>
          <w:tcPr>
            <w:tcW w:w="1070" w:type="dxa"/>
            <w:tcBorders>
              <w:top w:val="nil"/>
              <w:left w:val="nil"/>
              <w:bottom w:val="nil"/>
              <w:right w:val="nil"/>
            </w:tcBorders>
            <w:vAlign w:val="center"/>
            <w:hideMark/>
          </w:tcPr>
          <w:p w14:paraId="65FC7A88"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3.85E-2</w:t>
            </w:r>
          </w:p>
        </w:tc>
        <w:tc>
          <w:tcPr>
            <w:tcW w:w="1069" w:type="dxa"/>
            <w:tcBorders>
              <w:top w:val="nil"/>
              <w:left w:val="nil"/>
              <w:bottom w:val="nil"/>
              <w:right w:val="single" w:sz="8" w:space="0" w:color="auto"/>
            </w:tcBorders>
            <w:vAlign w:val="center"/>
            <w:hideMark/>
          </w:tcPr>
          <w:p w14:paraId="21F59ABC" w14:textId="77777777" w:rsidR="00095B6C" w:rsidRPr="00D41FC5" w:rsidRDefault="00095B6C" w:rsidP="004E1BF3">
            <w:pPr>
              <w:snapToGrid w:val="0"/>
              <w:spacing w:line="200" w:lineRule="exact"/>
              <w:jc w:val="center"/>
              <w:rPr>
                <w:rFonts w:ascii="Times New Roman" w:eastAsia="DengXian" w:hAnsi="Times New Roman" w:cs="Times New Roman"/>
                <w:iCs/>
                <w:sz w:val="20"/>
                <w:szCs w:val="20"/>
              </w:rPr>
            </w:pPr>
            <m:oMathPara>
              <m:oMathParaPr>
                <m:jc m:val="left"/>
              </m:oMathParaPr>
              <m:oMath>
                <m:r>
                  <m:rPr>
                    <m:sty m:val="p"/>
                  </m:rPr>
                  <w:rPr>
                    <w:rFonts w:ascii="Cambria Math" w:hAnsi="Cambria Math" w:cs="Times New Roman"/>
                    <w:sz w:val="20"/>
                    <w:szCs w:val="20"/>
                  </w:rPr>
                  <m:t>m</m:t>
                </m:r>
              </m:oMath>
            </m:oMathPara>
          </w:p>
        </w:tc>
        <w:tc>
          <w:tcPr>
            <w:tcW w:w="1078" w:type="dxa"/>
            <w:gridSpan w:val="2"/>
            <w:vMerge/>
            <w:tcBorders>
              <w:top w:val="dashed" w:sz="4" w:space="0" w:color="auto"/>
              <w:left w:val="single" w:sz="8" w:space="0" w:color="auto"/>
              <w:bottom w:val="single" w:sz="12" w:space="0" w:color="auto"/>
              <w:right w:val="nil"/>
            </w:tcBorders>
            <w:vAlign w:val="center"/>
            <w:hideMark/>
          </w:tcPr>
          <w:p w14:paraId="663DE447"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nil"/>
              <w:right w:val="nil"/>
            </w:tcBorders>
            <w:vAlign w:val="center"/>
            <w:hideMark/>
          </w:tcPr>
          <w:p w14:paraId="6F6B6AA8"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Rated power</w:t>
            </w:r>
          </w:p>
        </w:tc>
        <w:tc>
          <w:tcPr>
            <w:tcW w:w="862" w:type="dxa"/>
            <w:tcBorders>
              <w:top w:val="nil"/>
              <w:left w:val="nil"/>
              <w:bottom w:val="nil"/>
              <w:right w:val="nil"/>
            </w:tcBorders>
            <w:vAlign w:val="center"/>
            <w:hideMark/>
          </w:tcPr>
          <w:p w14:paraId="06E79A55"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150</w:t>
            </w:r>
          </w:p>
        </w:tc>
        <w:tc>
          <w:tcPr>
            <w:tcW w:w="861" w:type="dxa"/>
            <w:tcBorders>
              <w:top w:val="nil"/>
              <w:left w:val="nil"/>
              <w:bottom w:val="nil"/>
              <w:right w:val="nil"/>
            </w:tcBorders>
            <w:vAlign w:val="center"/>
            <w:hideMark/>
          </w:tcPr>
          <w:p w14:paraId="7E18668C" w14:textId="77777777" w:rsidR="00095B6C" w:rsidRPr="00D41FC5" w:rsidRDefault="00095B6C" w:rsidP="004E1BF3">
            <w:pPr>
              <w:spacing w:line="200" w:lineRule="exact"/>
              <w:jc w:val="center"/>
              <w:rPr>
                <w:rFonts w:ascii="Times New Roman" w:eastAsia="DengXian" w:hAnsi="Times New Roman" w:cs="Times New Roman"/>
                <w:sz w:val="20"/>
                <w:szCs w:val="20"/>
              </w:rPr>
            </w:pPr>
            <m:oMathPara>
              <m:oMathParaPr>
                <m:jc m:val="left"/>
              </m:oMathParaPr>
              <m:oMath>
                <m:r>
                  <m:rPr>
                    <m:sty m:val="p"/>
                  </m:rPr>
                  <w:rPr>
                    <w:rFonts w:ascii="Cambria Math" w:hAnsi="Cambria Math" w:cs="Times New Roman"/>
                    <w:sz w:val="20"/>
                    <w:szCs w:val="20"/>
                  </w:rPr>
                  <m:t>mW</m:t>
                </m:r>
              </m:oMath>
            </m:oMathPara>
          </w:p>
        </w:tc>
      </w:tr>
      <w:tr w:rsidR="00D41FC5" w:rsidRPr="00D41FC5" w14:paraId="710026F8" w14:textId="77777777" w:rsidTr="0084655D">
        <w:trPr>
          <w:trHeight w:val="468"/>
        </w:trPr>
        <w:tc>
          <w:tcPr>
            <w:tcW w:w="670" w:type="dxa"/>
            <w:vMerge/>
            <w:tcBorders>
              <w:top w:val="single" w:sz="4" w:space="0" w:color="auto"/>
              <w:left w:val="nil"/>
              <w:bottom w:val="single" w:sz="12" w:space="0" w:color="auto"/>
              <w:right w:val="nil"/>
            </w:tcBorders>
            <w:vAlign w:val="center"/>
            <w:hideMark/>
          </w:tcPr>
          <w:p w14:paraId="1FE31F5A" w14:textId="77777777" w:rsidR="00095B6C" w:rsidRPr="00D41FC5" w:rsidRDefault="00095B6C" w:rsidP="004E1BF3">
            <w:pPr>
              <w:spacing w:line="200" w:lineRule="exact"/>
              <w:rPr>
                <w:rFonts w:ascii="Times New Roman" w:eastAsia="DengXian" w:hAnsi="Times New Roman" w:cs="Times New Roman"/>
                <w:sz w:val="20"/>
                <w:szCs w:val="20"/>
              </w:rPr>
            </w:pPr>
          </w:p>
        </w:tc>
        <w:tc>
          <w:tcPr>
            <w:tcW w:w="2249" w:type="dxa"/>
            <w:tcBorders>
              <w:top w:val="nil"/>
              <w:left w:val="nil"/>
              <w:bottom w:val="single" w:sz="12" w:space="0" w:color="auto"/>
              <w:right w:val="nil"/>
            </w:tcBorders>
            <w:vAlign w:val="center"/>
            <w:hideMark/>
          </w:tcPr>
          <w:p w14:paraId="67368A79" w14:textId="77777777" w:rsidR="00095B6C" w:rsidRPr="00D41FC5" w:rsidRDefault="00095B6C" w:rsidP="004E1BF3">
            <w:pPr>
              <w:spacing w:line="200" w:lineRule="exact"/>
              <w:rPr>
                <w:rFonts w:ascii="Times New Roman" w:eastAsia="DengXian" w:hAnsi="Times New Roman" w:cs="Times New Roman"/>
                <w:sz w:val="20"/>
                <w:szCs w:val="20"/>
              </w:rPr>
            </w:pPr>
            <w:r w:rsidRPr="00D41FC5">
              <w:rPr>
                <w:rFonts w:ascii="Times New Roman" w:hAnsi="Times New Roman" w:cs="Times New Roman"/>
                <w:sz w:val="20"/>
                <w:szCs w:val="20"/>
              </w:rPr>
              <w:t>The central angle of the fan-shaped pendulum</w:t>
            </w:r>
          </w:p>
        </w:tc>
        <w:tc>
          <w:tcPr>
            <w:tcW w:w="1070" w:type="dxa"/>
            <w:tcBorders>
              <w:top w:val="nil"/>
              <w:left w:val="nil"/>
              <w:bottom w:val="single" w:sz="12" w:space="0" w:color="auto"/>
              <w:right w:val="nil"/>
            </w:tcBorders>
            <w:vAlign w:val="center"/>
            <w:hideMark/>
          </w:tcPr>
          <w:p w14:paraId="326B2870"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130</w:t>
            </w:r>
          </w:p>
        </w:tc>
        <w:tc>
          <w:tcPr>
            <w:tcW w:w="1069" w:type="dxa"/>
            <w:tcBorders>
              <w:top w:val="nil"/>
              <w:left w:val="nil"/>
              <w:bottom w:val="single" w:sz="12" w:space="0" w:color="auto"/>
              <w:right w:val="single" w:sz="8" w:space="0" w:color="auto"/>
            </w:tcBorders>
            <w:vAlign w:val="center"/>
            <w:hideMark/>
          </w:tcPr>
          <w:p w14:paraId="53FB1A6B" w14:textId="77777777" w:rsidR="00095B6C" w:rsidRPr="00D41FC5" w:rsidRDefault="00095B6C" w:rsidP="004E1BF3">
            <w:pPr>
              <w:snapToGrid w:val="0"/>
              <w:spacing w:line="200" w:lineRule="exact"/>
              <w:jc w:val="center"/>
              <w:rPr>
                <w:rFonts w:ascii="Times New Roman" w:eastAsia="DengXian" w:hAnsi="Times New Roman" w:cs="Times New Roman"/>
                <w:iCs/>
                <w:sz w:val="20"/>
                <w:szCs w:val="20"/>
              </w:rPr>
            </w:pPr>
            <m:oMathPara>
              <m:oMathParaPr>
                <m:jc m:val="left"/>
              </m:oMathParaPr>
              <m:oMath>
                <m:r>
                  <m:rPr>
                    <m:sty m:val="p"/>
                  </m:rPr>
                  <w:rPr>
                    <w:rFonts w:ascii="Cambria Math" w:hAnsi="Cambria Math" w:cs="Times New Roman"/>
                    <w:sz w:val="20"/>
                    <w:szCs w:val="20"/>
                  </w:rPr>
                  <m:t>°</m:t>
                </m:r>
              </m:oMath>
            </m:oMathPara>
          </w:p>
        </w:tc>
        <w:tc>
          <w:tcPr>
            <w:tcW w:w="1078" w:type="dxa"/>
            <w:gridSpan w:val="2"/>
            <w:vMerge/>
            <w:tcBorders>
              <w:top w:val="dashed" w:sz="4" w:space="0" w:color="auto"/>
              <w:left w:val="single" w:sz="8" w:space="0" w:color="auto"/>
              <w:bottom w:val="single" w:sz="12" w:space="0" w:color="auto"/>
              <w:right w:val="nil"/>
            </w:tcBorders>
            <w:vAlign w:val="center"/>
            <w:hideMark/>
          </w:tcPr>
          <w:p w14:paraId="63314A85" w14:textId="77777777" w:rsidR="00095B6C" w:rsidRPr="00D41FC5" w:rsidRDefault="00095B6C" w:rsidP="004E1BF3">
            <w:pPr>
              <w:spacing w:line="200" w:lineRule="exact"/>
              <w:rPr>
                <w:rFonts w:ascii="Times New Roman" w:hAnsi="Times New Roman" w:cs="Times New Roman"/>
                <w:sz w:val="20"/>
                <w:szCs w:val="20"/>
              </w:rPr>
            </w:pPr>
          </w:p>
        </w:tc>
        <w:tc>
          <w:tcPr>
            <w:tcW w:w="2170" w:type="dxa"/>
            <w:tcBorders>
              <w:top w:val="nil"/>
              <w:left w:val="nil"/>
              <w:bottom w:val="single" w:sz="12" w:space="0" w:color="auto"/>
              <w:right w:val="nil"/>
            </w:tcBorders>
            <w:vAlign w:val="center"/>
            <w:hideMark/>
          </w:tcPr>
          <w:p w14:paraId="7504AD60"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Rotation direction</w:t>
            </w:r>
          </w:p>
        </w:tc>
        <w:tc>
          <w:tcPr>
            <w:tcW w:w="862" w:type="dxa"/>
            <w:tcBorders>
              <w:top w:val="nil"/>
              <w:left w:val="nil"/>
              <w:bottom w:val="single" w:sz="12" w:space="0" w:color="auto"/>
              <w:right w:val="nil"/>
            </w:tcBorders>
            <w:vAlign w:val="center"/>
            <w:hideMark/>
          </w:tcPr>
          <w:p w14:paraId="4F7C2CA4" w14:textId="77777777" w:rsidR="00095B6C" w:rsidRPr="00D41FC5" w:rsidRDefault="00095B6C" w:rsidP="004E1BF3">
            <w:pPr>
              <w:spacing w:line="200" w:lineRule="exact"/>
              <w:rPr>
                <w:rFonts w:ascii="Times New Roman" w:hAnsi="Times New Roman" w:cs="Times New Roman"/>
                <w:sz w:val="20"/>
                <w:szCs w:val="20"/>
              </w:rPr>
            </w:pPr>
            <w:r w:rsidRPr="00D41FC5">
              <w:rPr>
                <w:rFonts w:ascii="Times New Roman" w:hAnsi="Times New Roman" w:cs="Times New Roman"/>
                <w:sz w:val="20"/>
                <w:szCs w:val="20"/>
              </w:rPr>
              <w:t>CW/CCW</w:t>
            </w:r>
          </w:p>
        </w:tc>
        <w:tc>
          <w:tcPr>
            <w:tcW w:w="861" w:type="dxa"/>
            <w:tcBorders>
              <w:top w:val="nil"/>
              <w:left w:val="nil"/>
              <w:bottom w:val="single" w:sz="12" w:space="0" w:color="auto"/>
              <w:right w:val="nil"/>
            </w:tcBorders>
            <w:vAlign w:val="center"/>
          </w:tcPr>
          <w:p w14:paraId="69C977A7" w14:textId="77777777" w:rsidR="00095B6C" w:rsidRPr="00D41FC5" w:rsidRDefault="00095B6C" w:rsidP="004E1BF3">
            <w:pPr>
              <w:spacing w:line="200" w:lineRule="exact"/>
              <w:jc w:val="center"/>
              <w:rPr>
                <w:rFonts w:ascii="Times New Roman" w:eastAsia="DengXian" w:hAnsi="Times New Roman" w:cs="Times New Roman"/>
                <w:sz w:val="20"/>
                <w:szCs w:val="20"/>
              </w:rPr>
            </w:pPr>
          </w:p>
        </w:tc>
      </w:tr>
    </w:tbl>
    <w:p w14:paraId="28008251" w14:textId="77777777" w:rsidR="00095B6C" w:rsidRPr="00D41FC5" w:rsidRDefault="00095B6C" w:rsidP="0055274C">
      <w:pPr>
        <w:pStyle w:val="IOPText"/>
        <w:rPr>
          <w:rFonts w:cs="Times New Roman"/>
          <w:szCs w:val="21"/>
        </w:rPr>
        <w:sectPr w:rsidR="00095B6C" w:rsidRPr="00D41FC5" w:rsidSect="00095B6C">
          <w:type w:val="continuous"/>
          <w:pgSz w:w="11906" w:h="16838" w:code="9"/>
          <w:pgMar w:top="1418" w:right="907" w:bottom="2041" w:left="907" w:header="709" w:footer="709" w:gutter="0"/>
          <w:cols w:space="227"/>
          <w:titlePg/>
          <w:docGrid w:linePitch="360"/>
        </w:sectPr>
      </w:pPr>
    </w:p>
    <w:p w14:paraId="53B68ACF" w14:textId="77777777" w:rsidR="00A60685" w:rsidRPr="00D41FC5" w:rsidRDefault="00A60685" w:rsidP="004E1BF3">
      <w:pPr>
        <w:pStyle w:val="IOPH2"/>
        <w:spacing w:line="240" w:lineRule="auto"/>
        <w:rPr>
          <w:highlight w:val="lightGray"/>
        </w:rPr>
      </w:pPr>
      <w:r w:rsidRPr="00D41FC5">
        <w:rPr>
          <w:rFonts w:hint="eastAsia"/>
          <w:lang w:eastAsia="zh-CN"/>
        </w:rPr>
        <w:t>5</w:t>
      </w:r>
      <w:r w:rsidRPr="00D41FC5">
        <w:t>.1 Estimation of the magnetic dipole moments</w:t>
      </w:r>
    </w:p>
    <w:p w14:paraId="15E18C99" w14:textId="1A2F3E94" w:rsidR="0004124C" w:rsidRPr="00D41FC5" w:rsidRDefault="0004124C" w:rsidP="0004124C">
      <w:pPr>
        <w:pStyle w:val="IOPText"/>
        <w:rPr>
          <w:noProof/>
        </w:rPr>
      </w:pPr>
      <w:r w:rsidRPr="00D41FC5">
        <w:rPr>
          <w:noProof/>
        </w:rPr>
        <w:t xml:space="preserve">As two identical permanent magnets are used in the prototype, magnetic dipole moments </w:t>
      </w:r>
      <m:oMath>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a</m:t>
            </m:r>
          </m:sub>
        </m:sSub>
      </m:oMath>
      <w:r w:rsidRPr="00D41FC5">
        <w:rPr>
          <w:noProof/>
        </w:rPr>
        <w:t xml:space="preserve"> and </w:t>
      </w:r>
      <m:oMath>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b</m:t>
            </m:r>
          </m:sub>
        </m:sSub>
      </m:oMath>
      <w:r w:rsidRPr="00D41FC5">
        <w:rPr>
          <w:noProof/>
        </w:rPr>
        <w:t xml:space="preserve"> share the same value. According to Eq. (3), we know </w:t>
      </w:r>
      <m:oMath>
        <m:sSub>
          <m:sSubPr>
            <m:ctrlPr>
              <w:rPr>
                <w:rFonts w:ascii="Cambria Math" w:hAnsi="Cambria Math"/>
                <w:noProof/>
              </w:rPr>
            </m:ctrlPr>
          </m:sSubPr>
          <m:e>
            <m:r>
              <w:rPr>
                <w:rFonts w:ascii="Cambria Math" w:hAnsi="Cambria Math"/>
                <w:noProof/>
              </w:rPr>
              <m:t>F</m:t>
            </m:r>
          </m:e>
          <m:sub>
            <m:r>
              <m:rPr>
                <m:sty m:val="p"/>
              </m:rPr>
              <w:rPr>
                <w:rFonts w:ascii="Cambria Math" w:hAnsi="Cambria Math"/>
                <w:noProof/>
              </w:rPr>
              <m:t>m</m:t>
            </m:r>
          </m:sub>
        </m:sSub>
      </m:oMath>
      <w:r w:rsidRPr="00D41FC5">
        <w:rPr>
          <w:noProof/>
        </w:rPr>
        <w:t xml:space="preserve"> is a function of magnetic dipole moments </w:t>
      </w:r>
      <m:oMath>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a</m:t>
            </m:r>
          </m:sub>
        </m:sSub>
      </m:oMath>
      <w:r w:rsidRPr="00D41FC5">
        <w:rPr>
          <w:noProof/>
        </w:rPr>
        <w:t xml:space="preserve"> and </w:t>
      </w:r>
      <m:oMath>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b</m:t>
            </m:r>
          </m:sub>
        </m:sSub>
      </m:oMath>
      <w:r w:rsidRPr="00D41FC5">
        <w:rPr>
          <w:noProof/>
        </w:rPr>
        <w:t xml:space="preserve">, allowing us to estimate the dipole moments with different magnetic forces. To achieve such a goal, magnetic forces in the vertical direction are measured with the experimental setup shown in Figure 5(a), where the angular position </w:t>
      </w:r>
      <m:oMath>
        <m:r>
          <w:rPr>
            <w:rFonts w:ascii="Cambria Math" w:hAnsi="Cambria Math"/>
            <w:noProof/>
          </w:rPr>
          <m:t>θ</m:t>
        </m:r>
      </m:oMath>
      <w:r w:rsidRPr="00D41FC5">
        <w:rPr>
          <w:noProof/>
        </w:rPr>
        <w:t xml:space="preserve"> is fixed to 0 for simplifying experiments. Then, the least-squares fitting method is used to determine the optimal </w:t>
      </w:r>
      <m:oMath>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a</m:t>
            </m:r>
          </m:sub>
        </m:sSub>
      </m:oMath>
      <w:r w:rsidRPr="00D41FC5">
        <w:rPr>
          <w:noProof/>
        </w:rPr>
        <w:t xml:space="preserve"> and </w:t>
      </w:r>
      <m:oMath>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b</m:t>
            </m:r>
          </m:sub>
        </m:sSub>
      </m:oMath>
      <w:r w:rsidRPr="00D41FC5">
        <w:rPr>
          <w:noProof/>
        </w:rPr>
        <w:t xml:space="preserve">. When </w:t>
      </w:r>
      <m:oMath>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a</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b</m:t>
            </m:r>
          </m:sub>
        </m:sSub>
        <m:r>
          <m:rPr>
            <m:sty m:val="p"/>
          </m:rPr>
          <w:rPr>
            <w:rFonts w:ascii="Cambria Math" w:hAnsi="Cambria Math"/>
            <w:noProof/>
          </w:rPr>
          <m:t>=1.30 Wb∙m</m:t>
        </m:r>
      </m:oMath>
      <w:r w:rsidRPr="00D41FC5">
        <w:rPr>
          <w:noProof/>
        </w:rPr>
        <w:t>, the magnetic force calculated by Eq. (3) fits best to experimental data, as shown in Figure 5(b).</w:t>
      </w:r>
    </w:p>
    <w:p w14:paraId="3DF41ECC" w14:textId="77777777" w:rsidR="006A3E57" w:rsidRPr="00D41FC5" w:rsidRDefault="006A3E57" w:rsidP="00C37216">
      <w:pPr>
        <w:pStyle w:val="IOPText"/>
        <w:jc w:val="center"/>
        <w:rPr>
          <w:noProof/>
        </w:rPr>
      </w:pPr>
      <w:bookmarkStart w:id="29" w:name="_Hlk42501362"/>
      <w:r w:rsidRPr="00D41FC5">
        <w:rPr>
          <w:rFonts w:cs="Times New Roman"/>
          <w:noProof/>
          <w:lang w:eastAsia="zh-CN"/>
        </w:rPr>
        <w:drawing>
          <wp:inline distT="0" distB="0" distL="0" distR="0" wp14:anchorId="43A5856D" wp14:editId="10D348DB">
            <wp:extent cx="2370491" cy="195244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40" b="1075"/>
                    <a:stretch/>
                  </pic:blipFill>
                  <pic:spPr bwMode="auto">
                    <a:xfrm>
                      <a:off x="0" y="0"/>
                      <a:ext cx="2379041" cy="1959483"/>
                    </a:xfrm>
                    <a:prstGeom prst="rect">
                      <a:avLst/>
                    </a:prstGeom>
                    <a:noFill/>
                    <a:ln>
                      <a:noFill/>
                    </a:ln>
                    <a:extLst>
                      <a:ext uri="{53640926-AAD7-44D8-BBD7-CCE9431645EC}">
                        <a14:shadowObscured xmlns:a14="http://schemas.microsoft.com/office/drawing/2010/main"/>
                      </a:ext>
                    </a:extLst>
                  </pic:spPr>
                </pic:pic>
              </a:graphicData>
            </a:graphic>
          </wp:inline>
        </w:drawing>
      </w:r>
    </w:p>
    <w:p w14:paraId="594E5578" w14:textId="77777777" w:rsidR="006A3E57" w:rsidRPr="00D41FC5" w:rsidRDefault="006A3E57" w:rsidP="006A3E57">
      <w:pPr>
        <w:pStyle w:val="IOPText"/>
        <w:jc w:val="center"/>
        <w:rPr>
          <w:noProof/>
        </w:rPr>
      </w:pPr>
      <w:r w:rsidRPr="00D41FC5">
        <w:rPr>
          <w:rFonts w:cs="Times New Roman"/>
        </w:rPr>
        <w:t>(a)</w:t>
      </w:r>
    </w:p>
    <w:p w14:paraId="2D31C2DF" w14:textId="77777777" w:rsidR="006A3E57" w:rsidRPr="00D41FC5" w:rsidRDefault="006A3E57" w:rsidP="006A3E57">
      <w:pPr>
        <w:pStyle w:val="IOPText"/>
        <w:rPr>
          <w:noProof/>
        </w:rPr>
      </w:pPr>
      <w:r w:rsidRPr="00D41FC5">
        <w:rPr>
          <w:rFonts w:cs="Times New Roman"/>
          <w:noProof/>
          <w:lang w:eastAsia="zh-CN"/>
        </w:rPr>
        <w:drawing>
          <wp:inline distT="0" distB="0" distL="0" distR="0" wp14:anchorId="571CC03C" wp14:editId="0507A2BB">
            <wp:extent cx="2959757" cy="1897039"/>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758"/>
                    <a:stretch/>
                  </pic:blipFill>
                  <pic:spPr bwMode="auto">
                    <a:xfrm>
                      <a:off x="0" y="0"/>
                      <a:ext cx="3063737" cy="1963684"/>
                    </a:xfrm>
                    <a:prstGeom prst="rect">
                      <a:avLst/>
                    </a:prstGeom>
                    <a:noFill/>
                    <a:ln>
                      <a:noFill/>
                    </a:ln>
                    <a:extLst>
                      <a:ext uri="{53640926-AAD7-44D8-BBD7-CCE9431645EC}">
                        <a14:shadowObscured xmlns:a14="http://schemas.microsoft.com/office/drawing/2010/main"/>
                      </a:ext>
                    </a:extLst>
                  </pic:spPr>
                </pic:pic>
              </a:graphicData>
            </a:graphic>
          </wp:inline>
        </w:drawing>
      </w:r>
    </w:p>
    <w:p w14:paraId="690DBC87" w14:textId="77777777" w:rsidR="006A3E57" w:rsidRPr="00D41FC5" w:rsidRDefault="006A3E57" w:rsidP="006A3E57">
      <w:pPr>
        <w:pStyle w:val="IOPText"/>
        <w:jc w:val="center"/>
        <w:rPr>
          <w:noProof/>
        </w:rPr>
      </w:pPr>
      <w:r w:rsidRPr="00D41FC5">
        <w:rPr>
          <w:rFonts w:cs="Times New Roman"/>
        </w:rPr>
        <w:t>(b)</w:t>
      </w:r>
    </w:p>
    <w:p w14:paraId="218066DE" w14:textId="336429EA" w:rsidR="006A3E57" w:rsidRPr="00D41FC5" w:rsidRDefault="006A3E57" w:rsidP="006A3E57">
      <w:pPr>
        <w:pStyle w:val="IOPText"/>
        <w:spacing w:line="240" w:lineRule="auto"/>
        <w:ind w:firstLine="0"/>
        <w:rPr>
          <w:noProof/>
        </w:rPr>
      </w:pPr>
      <w:r w:rsidRPr="00D41FC5">
        <w:rPr>
          <w:noProof/>
        </w:rPr>
        <w:t>Figure 5. Estimation of the magnetic dipole moments: (a) experimental setup; (b) curve fitting results</w:t>
      </w:r>
      <w:bookmarkEnd w:id="29"/>
    </w:p>
    <w:p w14:paraId="746DCBE4" w14:textId="43C81B8E" w:rsidR="0004124C" w:rsidRPr="00D41FC5" w:rsidRDefault="0004124C" w:rsidP="004E1BF3">
      <w:pPr>
        <w:pStyle w:val="IOPH2"/>
        <w:spacing w:line="240" w:lineRule="auto"/>
        <w:rPr>
          <w:highlight w:val="lightGray"/>
        </w:rPr>
      </w:pPr>
      <w:r w:rsidRPr="00D41FC5">
        <w:rPr>
          <w:rFonts w:hint="eastAsia"/>
          <w:lang w:eastAsia="zh-CN"/>
        </w:rPr>
        <w:t>5</w:t>
      </w:r>
      <w:r w:rsidRPr="00D41FC5">
        <w:t>.</w:t>
      </w:r>
      <w:r w:rsidRPr="00D41FC5">
        <w:rPr>
          <w:rFonts w:hint="eastAsia"/>
          <w:lang w:eastAsia="zh-CN"/>
        </w:rPr>
        <w:t>2</w:t>
      </w:r>
      <w:r w:rsidRPr="00D41FC5">
        <w:t xml:space="preserve"> </w:t>
      </w:r>
      <w:r w:rsidR="00FF3C7F" w:rsidRPr="00D41FC5">
        <w:t>Estimation of the mechanical damping coefficients</w:t>
      </w:r>
    </w:p>
    <w:p w14:paraId="49D09C4C" w14:textId="77777777" w:rsidR="006A3E57" w:rsidRPr="00D41FC5" w:rsidRDefault="0004124C" w:rsidP="006A3E57">
      <w:pPr>
        <w:pStyle w:val="IOPText"/>
        <w:rPr>
          <w:noProof/>
        </w:rPr>
      </w:pPr>
      <w:r w:rsidRPr="00D41FC5">
        <w:rPr>
          <w:noProof/>
        </w:rPr>
        <w:t xml:space="preserve">An experimental approach is adopted in this study to estimate the damping coefficients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1</m:t>
            </m:r>
          </m:sub>
        </m:sSub>
      </m:oMath>
      <w:r w:rsidRPr="00D41FC5">
        <w:rPr>
          <w:noProof/>
        </w:rPr>
        <w:t xml:space="preserve"> and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2</m:t>
            </m:r>
          </m:sub>
        </m:sSub>
      </m:oMath>
      <w:r w:rsidRPr="00D41FC5">
        <w:rPr>
          <w:noProof/>
        </w:rPr>
        <w:t xml:space="preserve">, the setup of which is shown in Figure 6(a). A Bluetooth-version gyroscope </w:t>
      </w:r>
      <w:r w:rsidRPr="00D41FC5">
        <w:rPr>
          <w:noProof/>
        </w:rPr>
        <w:t xml:space="preserve">module (WT901B, by WitMotion Shenzhen Co., Ltd) is fixed on the centre of rotation of the pendulum-flywheel structure to record its dynamic behaviours. This sensor module, integrating the high-precision gyroscopes, accelerometers, and geomagnetic sensors, has a maximum sampling frequency </w:t>
      </w:r>
    </w:p>
    <w:p w14:paraId="355D54BA" w14:textId="77777777" w:rsidR="006A3E57" w:rsidRPr="00D41FC5" w:rsidRDefault="006A3E57" w:rsidP="006A3E57">
      <w:pPr>
        <w:pStyle w:val="IOPText"/>
        <w:spacing w:line="240" w:lineRule="auto"/>
        <w:ind w:firstLine="0"/>
        <w:jc w:val="center"/>
        <w:rPr>
          <w:noProof/>
        </w:rPr>
      </w:pPr>
      <w:r w:rsidRPr="00D41FC5">
        <w:rPr>
          <w:rFonts w:cs="Times New Roman"/>
          <w:noProof/>
          <w:lang w:eastAsia="zh-CN"/>
        </w:rPr>
        <w:drawing>
          <wp:inline distT="0" distB="0" distL="0" distR="0" wp14:anchorId="5FA342C5" wp14:editId="74B21522">
            <wp:extent cx="2656936" cy="1863534"/>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508" t="2119" r="631" b="1562"/>
                    <a:stretch/>
                  </pic:blipFill>
                  <pic:spPr bwMode="auto">
                    <a:xfrm>
                      <a:off x="0" y="0"/>
                      <a:ext cx="2874452" cy="2016096"/>
                    </a:xfrm>
                    <a:prstGeom prst="rect">
                      <a:avLst/>
                    </a:prstGeom>
                    <a:noFill/>
                    <a:ln>
                      <a:noFill/>
                    </a:ln>
                    <a:extLst>
                      <a:ext uri="{53640926-AAD7-44D8-BBD7-CCE9431645EC}">
                        <a14:shadowObscured xmlns:a14="http://schemas.microsoft.com/office/drawing/2010/main"/>
                      </a:ext>
                    </a:extLst>
                  </pic:spPr>
                </pic:pic>
              </a:graphicData>
            </a:graphic>
          </wp:inline>
        </w:drawing>
      </w:r>
    </w:p>
    <w:p w14:paraId="5888376A" w14:textId="77777777" w:rsidR="006A3E57" w:rsidRPr="00D41FC5" w:rsidRDefault="006A3E57" w:rsidP="006A3E57">
      <w:pPr>
        <w:pStyle w:val="IOPText"/>
        <w:spacing w:line="240" w:lineRule="auto"/>
        <w:jc w:val="center"/>
        <w:rPr>
          <w:rFonts w:cs="Times New Roman"/>
        </w:rPr>
      </w:pPr>
      <w:r w:rsidRPr="00D41FC5">
        <w:rPr>
          <w:rFonts w:cs="Times New Roman"/>
        </w:rPr>
        <w:t>(a)</w:t>
      </w:r>
    </w:p>
    <w:p w14:paraId="7CC2C129" w14:textId="77777777" w:rsidR="006A3E57" w:rsidRPr="00D41FC5" w:rsidRDefault="006A3E57" w:rsidP="006A3E57">
      <w:pPr>
        <w:pStyle w:val="IOPText"/>
        <w:spacing w:line="240" w:lineRule="auto"/>
        <w:ind w:firstLine="0"/>
        <w:rPr>
          <w:noProof/>
        </w:rPr>
      </w:pPr>
      <w:r w:rsidRPr="00D41FC5">
        <w:rPr>
          <w:rFonts w:cs="Times New Roman"/>
          <w:noProof/>
          <w:lang w:eastAsia="zh-CN"/>
        </w:rPr>
        <w:drawing>
          <wp:inline distT="0" distB="0" distL="0" distR="0" wp14:anchorId="2363B25A" wp14:editId="451BFEC0">
            <wp:extent cx="2915728" cy="2395866"/>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181" cy="2598378"/>
                    </a:xfrm>
                    <a:prstGeom prst="rect">
                      <a:avLst/>
                    </a:prstGeom>
                    <a:noFill/>
                    <a:ln>
                      <a:noFill/>
                    </a:ln>
                  </pic:spPr>
                </pic:pic>
              </a:graphicData>
            </a:graphic>
          </wp:inline>
        </w:drawing>
      </w:r>
    </w:p>
    <w:p w14:paraId="56793210" w14:textId="77777777" w:rsidR="006A3E57" w:rsidRPr="00D41FC5" w:rsidRDefault="006A3E57" w:rsidP="006A3E57">
      <w:pPr>
        <w:pStyle w:val="IOPText"/>
        <w:spacing w:line="240" w:lineRule="auto"/>
        <w:jc w:val="center"/>
        <w:rPr>
          <w:noProof/>
        </w:rPr>
      </w:pPr>
      <w:r w:rsidRPr="00D41FC5">
        <w:rPr>
          <w:rFonts w:cs="Times New Roman"/>
        </w:rPr>
        <w:t>(b)</w:t>
      </w:r>
    </w:p>
    <w:p w14:paraId="3F5EDD51" w14:textId="0DB40446" w:rsidR="006A3E57" w:rsidRPr="00D41FC5" w:rsidRDefault="006A3E57" w:rsidP="006A3E57">
      <w:pPr>
        <w:pStyle w:val="IOPText"/>
        <w:spacing w:afterLines="100" w:after="240" w:line="240" w:lineRule="auto"/>
        <w:ind w:firstLine="0"/>
        <w:rPr>
          <w:noProof/>
        </w:rPr>
      </w:pPr>
      <w:r w:rsidRPr="00D41FC5">
        <w:rPr>
          <w:noProof/>
        </w:rPr>
        <w:t>Figure 6. Estimation of damping coefficients: a) experimental setup; b)</w:t>
      </w:r>
      <w:bookmarkStart w:id="30" w:name="OLE_LINK7"/>
      <w:r w:rsidRPr="00D41FC5">
        <w:rPr>
          <w:noProof/>
        </w:rPr>
        <w:t xml:space="preserve"> comparisons between the experimental and simulated angular velocity.</w:t>
      </w:r>
      <w:bookmarkEnd w:id="30"/>
    </w:p>
    <w:p w14:paraId="55283D74" w14:textId="2731DFAE" w:rsidR="0004124C" w:rsidRPr="00D41FC5" w:rsidRDefault="0004124C" w:rsidP="006A3E57">
      <w:pPr>
        <w:pStyle w:val="IOPText"/>
        <w:ind w:firstLine="0"/>
        <w:rPr>
          <w:noProof/>
        </w:rPr>
      </w:pPr>
      <w:r w:rsidRPr="00D41FC5">
        <w:rPr>
          <w:noProof/>
        </w:rPr>
        <w:t xml:space="preserve">of 200 Hz. By fusing the multiple attitude data through a dynamic Kalman algorithm, the precision of gesture resolution is up to 0.01 degrees. These gesture data can be transmitted to the computer in real-time via the USB Bluetooth adapter. We design two cases to estimate damping coefficients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1</m:t>
            </m:r>
          </m:sub>
        </m:sSub>
      </m:oMath>
      <w:r w:rsidRPr="00D41FC5">
        <w:rPr>
          <w:noProof/>
        </w:rPr>
        <w:t xml:space="preserve"> and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2</m:t>
            </m:r>
          </m:sub>
        </m:sSub>
      </m:oMath>
      <w:r w:rsidRPr="00D41FC5">
        <w:rPr>
          <w:noProof/>
        </w:rPr>
        <w:t xml:space="preserve">, respectively. In case 1, the energy-conversion subsystem, including the pinion gear and the DC </w:t>
      </w:r>
    </w:p>
    <w:p w14:paraId="32ECEC1E" w14:textId="6B99C556" w:rsidR="00740618" w:rsidRPr="00D41FC5" w:rsidRDefault="0004124C" w:rsidP="002A426B">
      <w:pPr>
        <w:pStyle w:val="IOPText"/>
        <w:ind w:firstLine="0"/>
        <w:rPr>
          <w:noProof/>
        </w:rPr>
      </w:pPr>
      <w:r w:rsidRPr="00D41FC5">
        <w:rPr>
          <w:noProof/>
        </w:rPr>
        <w:t>generator, is removed from the VEH. Then, the inertial-motion structure is released from the angular position of 0.5</w:t>
      </w:r>
      <m:oMath>
        <m:r>
          <m:rPr>
            <m:sty m:val="p"/>
          </m:rPr>
          <w:rPr>
            <w:rFonts w:ascii="Cambria Math" w:hAnsi="Cambria Math"/>
            <w:noProof/>
          </w:rPr>
          <m:t>π</m:t>
        </m:r>
      </m:oMath>
      <w:r w:rsidRPr="00D41FC5">
        <w:rPr>
          <w:noProof/>
        </w:rPr>
        <w:t xml:space="preserve"> and swings freely under the influence of gravity and the mechanical resistance related to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1</m:t>
            </m:r>
          </m:sub>
        </m:sSub>
      </m:oMath>
      <w:r w:rsidRPr="00D41FC5">
        <w:rPr>
          <w:noProof/>
        </w:rPr>
        <w:t xml:space="preserve">. The simulated curve fits </w:t>
      </w:r>
      <w:r w:rsidRPr="00D41FC5">
        <w:rPr>
          <w:noProof/>
        </w:rPr>
        <w:lastRenderedPageBreak/>
        <w:t xml:space="preserve">well to experimental data when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1</m:t>
            </m:r>
          </m:sub>
        </m:sSub>
      </m:oMath>
      <w:r w:rsidRPr="00D41FC5">
        <w:rPr>
          <w:noProof/>
        </w:rPr>
        <w:t xml:space="preserve">=2.5E-4 </w:t>
      </w:r>
      <m:oMath>
        <m:r>
          <m:rPr>
            <m:sty m:val="p"/>
          </m:rPr>
          <w:rPr>
            <w:rFonts w:ascii="Cambria Math" w:hAnsi="Cambria Math"/>
            <w:noProof/>
          </w:rPr>
          <m:t>N∙m∙s/rad</m:t>
        </m:r>
      </m:oMath>
      <w:r w:rsidRPr="00D41FC5">
        <w:rPr>
          <w:noProof/>
        </w:rPr>
        <w:t>. In case 2, the energy conversion subsystem is installed, but the DC generator is in an open circuit and hence does not present any electrical resistance. The pendulum-flywheel structure is also released from the angular position 0.5</w:t>
      </w:r>
      <m:oMath>
        <m:r>
          <m:rPr>
            <m:sty m:val="p"/>
          </m:rPr>
          <w:rPr>
            <w:rFonts w:ascii="Cambria Math" w:hAnsi="Cambria Math"/>
            <w:noProof/>
          </w:rPr>
          <m:t>π</m:t>
        </m:r>
      </m:oMath>
      <w:r w:rsidRPr="00D41FC5">
        <w:rPr>
          <w:noProof/>
        </w:rPr>
        <w:t xml:space="preserve">, rotating around the pivot under the action of gravity and mechanical resistances related to both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1</m:t>
            </m:r>
          </m:sub>
        </m:sSub>
      </m:oMath>
      <w:r w:rsidRPr="00D41FC5">
        <w:rPr>
          <w:noProof/>
        </w:rPr>
        <w:t xml:space="preserve"> and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2</m:t>
            </m:r>
          </m:sub>
        </m:sSub>
      </m:oMath>
      <w:r w:rsidRPr="00D41FC5">
        <w:rPr>
          <w:noProof/>
        </w:rPr>
        <w:t xml:space="preserve">. Based on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1</m:t>
            </m:r>
          </m:sub>
        </m:sSub>
      </m:oMath>
      <w:r w:rsidRPr="00D41FC5">
        <w:rPr>
          <w:noProof/>
        </w:rPr>
        <w:t xml:space="preserve"> determined in Case 1,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2</m:t>
            </m:r>
          </m:sub>
        </m:sSub>
      </m:oMath>
      <w:r w:rsidRPr="00D41FC5">
        <w:rPr>
          <w:noProof/>
        </w:rPr>
        <w:t xml:space="preserve"> can be obtained by fitting the experimental data. When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=2.5E-4</m:t>
        </m:r>
      </m:oMath>
      <w:r w:rsidRPr="00D41FC5">
        <w:rPr>
          <w:noProof/>
        </w:rPr>
        <w:t xml:space="preserve"> </w:t>
      </w:r>
      <m:oMath>
        <m:r>
          <m:rPr>
            <m:sty m:val="p"/>
          </m:rPr>
          <w:rPr>
            <w:rFonts w:ascii="Cambria Math" w:hAnsi="Cambria Math"/>
            <w:noProof/>
          </w:rPr>
          <m:t>N∙m∙s/rad</m:t>
        </m:r>
      </m:oMath>
      <w:r w:rsidRPr="00D41FC5">
        <w:rPr>
          <w:noProof/>
        </w:rPr>
        <w:t xml:space="preserve"> and </w:t>
      </w:r>
      <m:oMath>
        <m:sSub>
          <m:sSubPr>
            <m:ctrlPr>
              <w:rPr>
                <w:rFonts w:ascii="Cambria Math" w:hAnsi="Cambria Math"/>
                <w:noProof/>
              </w:rPr>
            </m:ctrlPr>
          </m:sSubPr>
          <m:e>
            <m:r>
              <w:rPr>
                <w:rFonts w:ascii="Cambria Math" w:hAnsi="Cambria Math"/>
                <w:noProof/>
              </w:rPr>
              <m:t>c</m:t>
            </m:r>
          </m:e>
          <m:sub>
            <m:r>
              <m:rPr>
                <m:sty m:val="p"/>
              </m:rPr>
              <w:rPr>
                <w:rFonts w:ascii="Cambria Math" w:hAnsi="Cambria Math"/>
                <w:noProof/>
              </w:rPr>
              <m:t>2</m:t>
            </m:r>
          </m:sub>
        </m:sSub>
      </m:oMath>
      <w:r w:rsidRPr="00D41FC5">
        <w:rPr>
          <w:noProof/>
        </w:rPr>
        <w:t xml:space="preserve">=3.0E-6 </w:t>
      </w:r>
      <m:oMath>
        <m:r>
          <m:rPr>
            <m:sty m:val="p"/>
          </m:rPr>
          <w:rPr>
            <w:rFonts w:ascii="Cambria Math" w:hAnsi="Cambria Math"/>
            <w:noProof/>
          </w:rPr>
          <m:t>N∙m∙s/rad</m:t>
        </m:r>
      </m:oMath>
      <w:r w:rsidRPr="00D41FC5">
        <w:rPr>
          <w:noProof/>
        </w:rPr>
        <w:t xml:space="preserve">, the simulated curve fits well with the experimental data. Figure 6(b) shows the comparisons between the simulated and experimental data in both cases. It should be noted that the influence of the sensor module on the system's damping coefficients is not </w:t>
      </w:r>
      <w:r w:rsidR="00D03494" w:rsidRPr="00D41FC5">
        <w:rPr>
          <w:noProof/>
        </w:rPr>
        <w:t>considered</w:t>
      </w:r>
      <w:r w:rsidRPr="00D41FC5">
        <w:rPr>
          <w:noProof/>
        </w:rPr>
        <w:t xml:space="preserve"> due to its small mass (3.5 g).</w:t>
      </w:r>
    </w:p>
    <w:p w14:paraId="465AF9E2" w14:textId="2F57A14D" w:rsidR="00FF3C7F" w:rsidRPr="00D41FC5" w:rsidRDefault="00FF3C7F" w:rsidP="00FF3C7F">
      <w:pPr>
        <w:pStyle w:val="IOPH2"/>
        <w:rPr>
          <w:highlight w:val="lightGray"/>
        </w:rPr>
      </w:pPr>
      <w:r w:rsidRPr="00D41FC5">
        <w:rPr>
          <w:rFonts w:hint="eastAsia"/>
          <w:lang w:eastAsia="zh-CN"/>
        </w:rPr>
        <w:t>5</w:t>
      </w:r>
      <w:r w:rsidRPr="00D41FC5">
        <w:t>.</w:t>
      </w:r>
      <w:r w:rsidR="008B1075" w:rsidRPr="00D41FC5">
        <w:rPr>
          <w:lang w:eastAsia="zh-CN"/>
        </w:rPr>
        <w:t>3</w:t>
      </w:r>
      <w:r w:rsidRPr="00D41FC5">
        <w:t xml:space="preserve"> The recovery torque and potential energy of the VEH</w:t>
      </w:r>
    </w:p>
    <w:p w14:paraId="273F5455" w14:textId="328B25CB" w:rsidR="00FF3C7F" w:rsidRPr="00D41FC5" w:rsidRDefault="00FF3C7F" w:rsidP="006A3E57">
      <w:pPr>
        <w:pStyle w:val="IOPText"/>
        <w:spacing w:line="240" w:lineRule="auto"/>
        <w:rPr>
          <w:noProof/>
        </w:rPr>
      </w:pPr>
      <w:r w:rsidRPr="00D41FC5">
        <w:rPr>
          <w:noProof/>
        </w:rPr>
        <w:t xml:space="preserve">Although Eq. (3) allows a fast calculation of the magnetic force, simplifying magnets to magnetic dipoles without considering their sizes may lead to considerable errors. Thus, this study also investigates the influence of magnet distance </w:t>
      </w:r>
      <m:oMath>
        <m:r>
          <w:rPr>
            <w:rFonts w:ascii="Cambria Math" w:hAnsi="Cambria Math"/>
            <w:noProof/>
          </w:rPr>
          <m:t>D</m:t>
        </m:r>
      </m:oMath>
      <w:r w:rsidRPr="00D41FC5">
        <w:rPr>
          <w:noProof/>
        </w:rPr>
        <w:t xml:space="preserve"> (the distance between centres of the fixed and tip magnets when the angular position </w:t>
      </w:r>
      <m:oMath>
        <m:r>
          <w:rPr>
            <w:rFonts w:ascii="Cambria Math" w:hAnsi="Cambria Math"/>
            <w:noProof/>
          </w:rPr>
          <m:t>θ</m:t>
        </m:r>
      </m:oMath>
      <w:r w:rsidRPr="00D41FC5">
        <w:rPr>
          <w:noProof/>
        </w:rPr>
        <w:t xml:space="preserve"> is 0) on the accuracy of Eq. (3) for the magnetic force through comparisons with experimental data. Figure 7(a) presents the experimental setup to measure the magnetic force-induced recovery torque. The VEH is horizontally fixed on a tabletop for eliminating the interference by gravity.</w:t>
      </w:r>
      <w:bookmarkStart w:id="31" w:name="OLE_LINK9"/>
      <w:bookmarkStart w:id="32" w:name="OLE_LINK8"/>
      <w:r w:rsidRPr="00D41FC5">
        <w:rPr>
          <w:noProof/>
        </w:rPr>
        <w:t xml:space="preserve"> The tip of a digital torque screwdriver is put into the head of a screw fixed on the centre of rotation of the pendulum-flywheel structure to measure the torques at different angular positions.</w:t>
      </w:r>
      <w:bookmarkEnd w:id="31"/>
      <w:bookmarkEnd w:id="32"/>
      <w:r w:rsidRPr="00D41FC5">
        <w:rPr>
          <w:noProof/>
        </w:rPr>
        <w:t xml:space="preserve"> The digital screwdriver employed in this experiment has a measuring range of 0-0.5 </w:t>
      </w:r>
      <m:oMath>
        <m:r>
          <m:rPr>
            <m:sty m:val="p"/>
          </m:rPr>
          <w:rPr>
            <w:rFonts w:ascii="Cambria Math" w:hAnsi="Cambria Math"/>
            <w:noProof/>
          </w:rPr>
          <m:t>N·m</m:t>
        </m:r>
      </m:oMath>
      <w:r w:rsidRPr="00D41FC5">
        <w:rPr>
          <w:noProof/>
        </w:rPr>
        <w:t xml:space="preserve"> and a resolution of 0.0001 </w:t>
      </w:r>
      <m:oMath>
        <m:r>
          <m:rPr>
            <m:sty m:val="p"/>
          </m:rPr>
          <w:rPr>
            <w:rFonts w:ascii="Cambria Math" w:hAnsi="Cambria Math"/>
            <w:noProof/>
          </w:rPr>
          <m:t>N·m</m:t>
        </m:r>
      </m:oMath>
      <w:r w:rsidRPr="00D41FC5">
        <w:rPr>
          <w:noProof/>
        </w:rPr>
        <w:t xml:space="preserve">. The magnet distance </w:t>
      </w:r>
      <m:oMath>
        <m:r>
          <w:rPr>
            <w:rFonts w:ascii="Cambria Math" w:hAnsi="Cambria Math"/>
            <w:noProof/>
          </w:rPr>
          <m:t>D</m:t>
        </m:r>
      </m:oMath>
      <w:r w:rsidRPr="00D41FC5">
        <w:rPr>
          <w:noProof/>
        </w:rPr>
        <w:t xml:space="preserve"> is set to 20 mm, 25 mm, 30 mm, and 35 mm in experiments, respectively.</w:t>
      </w:r>
    </w:p>
    <w:p w14:paraId="4F35E747" w14:textId="77777777" w:rsidR="006A3E57" w:rsidRPr="00D41FC5" w:rsidRDefault="006A3E57" w:rsidP="006A3E57">
      <w:pPr>
        <w:pStyle w:val="IOPText"/>
        <w:spacing w:line="240" w:lineRule="auto"/>
        <w:ind w:firstLine="0"/>
        <w:jc w:val="right"/>
        <w:rPr>
          <w:rFonts w:cs="Times New Roman"/>
          <w:szCs w:val="21"/>
        </w:rPr>
      </w:pPr>
      <w:bookmarkStart w:id="33" w:name="_Hlk42501456"/>
      <w:r w:rsidRPr="00D41FC5">
        <w:rPr>
          <w:noProof/>
          <w:lang w:eastAsia="zh-CN"/>
        </w:rPr>
        <w:drawing>
          <wp:inline distT="0" distB="0" distL="0" distR="0" wp14:anchorId="0FF146AE" wp14:editId="36314DDD">
            <wp:extent cx="2875451" cy="1869743"/>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6984" cy="2046306"/>
                    </a:xfrm>
                    <a:prstGeom prst="rect">
                      <a:avLst/>
                    </a:prstGeom>
                  </pic:spPr>
                </pic:pic>
              </a:graphicData>
            </a:graphic>
          </wp:inline>
        </w:drawing>
      </w:r>
    </w:p>
    <w:p w14:paraId="61F66DA7" w14:textId="77777777" w:rsidR="006A3E57" w:rsidRPr="00D41FC5" w:rsidRDefault="006A3E57" w:rsidP="006A3E57">
      <w:pPr>
        <w:pStyle w:val="IOPText"/>
        <w:spacing w:line="240" w:lineRule="auto"/>
        <w:ind w:firstLine="0"/>
        <w:jc w:val="center"/>
        <w:rPr>
          <w:noProof/>
        </w:rPr>
      </w:pPr>
      <w:r w:rsidRPr="00D41FC5">
        <w:rPr>
          <w:rFonts w:cs="Times New Roman"/>
          <w:szCs w:val="21"/>
        </w:rPr>
        <w:t>(</w:t>
      </w:r>
      <w:r w:rsidRPr="00D41FC5">
        <w:rPr>
          <w:rFonts w:cs="Times New Roman" w:hint="eastAsia"/>
          <w:szCs w:val="21"/>
          <w:lang w:eastAsia="zh-CN"/>
        </w:rPr>
        <w:t>a</w:t>
      </w:r>
      <w:r w:rsidRPr="00D41FC5">
        <w:rPr>
          <w:rFonts w:cs="Times New Roman"/>
          <w:szCs w:val="21"/>
        </w:rPr>
        <w:t>)</w:t>
      </w:r>
    </w:p>
    <w:p w14:paraId="45D977DC" w14:textId="77777777" w:rsidR="006A3E57" w:rsidRPr="00D41FC5" w:rsidRDefault="006A3E57" w:rsidP="006A3E57">
      <w:pPr>
        <w:pStyle w:val="IOPText"/>
        <w:spacing w:line="240" w:lineRule="auto"/>
        <w:ind w:firstLine="0"/>
        <w:jc w:val="center"/>
        <w:rPr>
          <w:noProof/>
        </w:rPr>
      </w:pPr>
      <w:r w:rsidRPr="00D41FC5">
        <w:rPr>
          <w:rFonts w:cs="Times New Roman"/>
          <w:noProof/>
          <w:lang w:eastAsia="zh-CN"/>
        </w:rPr>
        <w:drawing>
          <wp:inline distT="0" distB="0" distL="0" distR="0" wp14:anchorId="1C84EA29" wp14:editId="3217D653">
            <wp:extent cx="3158836" cy="2186235"/>
            <wp:effectExtent l="0" t="0" r="381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0602" cy="2339720"/>
                    </a:xfrm>
                    <a:prstGeom prst="rect">
                      <a:avLst/>
                    </a:prstGeom>
                    <a:noFill/>
                    <a:ln>
                      <a:noFill/>
                    </a:ln>
                  </pic:spPr>
                </pic:pic>
              </a:graphicData>
            </a:graphic>
          </wp:inline>
        </w:drawing>
      </w:r>
    </w:p>
    <w:p w14:paraId="42D804BE" w14:textId="77777777" w:rsidR="006A3E57" w:rsidRPr="00D41FC5" w:rsidRDefault="006A3E57" w:rsidP="006A3E57">
      <w:pPr>
        <w:pStyle w:val="IOPText"/>
        <w:spacing w:line="240" w:lineRule="auto"/>
        <w:ind w:firstLine="0"/>
        <w:jc w:val="center"/>
        <w:rPr>
          <w:noProof/>
        </w:rPr>
      </w:pPr>
      <w:r w:rsidRPr="00D41FC5">
        <w:rPr>
          <w:rFonts w:cs="Times New Roman"/>
          <w:szCs w:val="21"/>
        </w:rPr>
        <w:t>(</w:t>
      </w:r>
      <w:r w:rsidRPr="00D41FC5">
        <w:rPr>
          <w:rFonts w:cs="Times New Roman"/>
          <w:szCs w:val="21"/>
          <w:lang w:eastAsia="zh-CN"/>
        </w:rPr>
        <w:t>b</w:t>
      </w:r>
      <w:r w:rsidRPr="00D41FC5">
        <w:rPr>
          <w:rFonts w:cs="Times New Roman"/>
          <w:szCs w:val="21"/>
        </w:rPr>
        <w:t>)</w:t>
      </w:r>
    </w:p>
    <w:p w14:paraId="743AD459" w14:textId="77777777" w:rsidR="006A3E57" w:rsidRPr="00D41FC5" w:rsidRDefault="006A3E57" w:rsidP="006A3E57">
      <w:pPr>
        <w:pStyle w:val="IOPText"/>
        <w:spacing w:line="240" w:lineRule="auto"/>
        <w:ind w:firstLine="0"/>
        <w:rPr>
          <w:noProof/>
        </w:rPr>
      </w:pPr>
      <w:r w:rsidRPr="00D41FC5">
        <w:rPr>
          <w:noProof/>
        </w:rPr>
        <w:t>Figure 7. Comparison between the experimental and analytical recovery torques by magnets: (a) experimental setup; (b) comparison results.</w:t>
      </w:r>
    </w:p>
    <w:bookmarkEnd w:id="33"/>
    <w:p w14:paraId="0B383DCB" w14:textId="04255B38" w:rsidR="008B1075" w:rsidRPr="00D41FC5" w:rsidRDefault="008B1075" w:rsidP="008B1075">
      <w:pPr>
        <w:pStyle w:val="IOPText"/>
        <w:rPr>
          <w:rFonts w:cs="Times New Roman"/>
          <w:szCs w:val="21"/>
        </w:rPr>
      </w:pPr>
      <w:r w:rsidRPr="00D41FC5">
        <w:rPr>
          <w:rFonts w:cs="Times New Roman"/>
          <w:szCs w:val="21"/>
        </w:rPr>
        <w:t xml:space="preserve">Figure 7(b) shows the recovery torques obtained by experiments (red points) and analytical calculation (blue lines). The segment of each torque curve between the two black dotted lines in Figure 7(b) indicates the angular range of influence of the magnetic force where it becomes large as </w:t>
      </w:r>
      <m:oMath>
        <m:r>
          <w:rPr>
            <w:rFonts w:ascii="Cambria Math" w:hAnsi="Cambria Math" w:cs="Times New Roman"/>
            <w:szCs w:val="21"/>
          </w:rPr>
          <m:t>D</m:t>
        </m:r>
      </m:oMath>
      <w:r w:rsidRPr="00D41FC5">
        <w:rPr>
          <w:rFonts w:cs="Times New Roman"/>
          <w:szCs w:val="21"/>
        </w:rPr>
        <w:t xml:space="preserve"> increases. However, the magnitude of the recovery torque drops sharply with the increase </w:t>
      </w:r>
      <w:proofErr w:type="gramStart"/>
      <w:r w:rsidRPr="00D41FC5">
        <w:rPr>
          <w:rFonts w:cs="Times New Roman"/>
          <w:szCs w:val="21"/>
        </w:rPr>
        <w:t xml:space="preserve">of </w:t>
      </w:r>
      <w:proofErr w:type="gramEnd"/>
      <m:oMath>
        <m:r>
          <w:rPr>
            <w:rFonts w:ascii="Cambria Math" w:hAnsi="Cambria Math" w:cs="Times New Roman"/>
            <w:szCs w:val="21"/>
          </w:rPr>
          <m:t>D</m:t>
        </m:r>
      </m:oMath>
      <w:r w:rsidRPr="00D41FC5">
        <w:rPr>
          <w:rFonts w:cs="Times New Roman"/>
          <w:szCs w:val="21"/>
        </w:rPr>
        <w:t>. There is also a slight phase deviation between the experimental and calculated data when the two magnets are close because o</w:t>
      </w:r>
      <w:proofErr w:type="spellStart"/>
      <w:r w:rsidRPr="00D41FC5">
        <w:rPr>
          <w:rFonts w:cs="Times New Roman"/>
          <w:szCs w:val="21"/>
        </w:rPr>
        <w:t>f</w:t>
      </w:r>
      <w:proofErr w:type="spellEnd"/>
      <w:r w:rsidRPr="00D41FC5">
        <w:rPr>
          <w:rFonts w:cs="Times New Roman"/>
          <w:szCs w:val="21"/>
        </w:rPr>
        <w:t xml:space="preserve"> the size effect of magnets. The maximum deviation between the experimental and calculated data decreases from 8.6E-2</w:t>
      </w:r>
      <m:oMath>
        <m:r>
          <m:rPr>
            <m:sty m:val="p"/>
          </m:rPr>
          <w:rPr>
            <w:rFonts w:ascii="Cambria Math" w:hAnsi="Cambria Math" w:cs="Times New Roman"/>
            <w:szCs w:val="21"/>
          </w:rPr>
          <m:t xml:space="preserve"> N·m</m:t>
        </m:r>
      </m:oMath>
      <w:r w:rsidRPr="00D41FC5">
        <w:rPr>
          <w:rFonts w:cs="Times New Roman"/>
          <w:szCs w:val="21"/>
        </w:rPr>
        <w:t xml:space="preserve"> to 5.4E-3 </w:t>
      </w:r>
      <m:oMath>
        <m:r>
          <m:rPr>
            <m:sty m:val="p"/>
          </m:rPr>
          <w:rPr>
            <w:rFonts w:ascii="Cambria Math" w:hAnsi="Cambria Math" w:cs="Times New Roman"/>
            <w:szCs w:val="21"/>
          </w:rPr>
          <m:t>N·m</m:t>
        </m:r>
      </m:oMath>
      <w:r w:rsidRPr="00D41FC5">
        <w:rPr>
          <w:rFonts w:cs="Times New Roman"/>
          <w:szCs w:val="21"/>
        </w:rPr>
        <w:t xml:space="preserve"> when distance </w:t>
      </w:r>
      <m:oMath>
        <m:r>
          <w:rPr>
            <w:rFonts w:ascii="Cambria Math" w:hAnsi="Cambria Math" w:cs="Times New Roman"/>
            <w:szCs w:val="21"/>
          </w:rPr>
          <m:t>D</m:t>
        </m:r>
      </m:oMath>
      <w:r w:rsidRPr="00D41FC5">
        <w:rPr>
          <w:rFonts w:cs="Times New Roman"/>
          <w:szCs w:val="21"/>
        </w:rPr>
        <w:t xml:space="preserve"> increases from 20 mm to 35 mm. For ensuring the precision of calculated results, we suggest that </w:t>
      </w:r>
      <m:oMath>
        <m:r>
          <w:rPr>
            <w:rFonts w:ascii="Cambria Math" w:hAnsi="Cambria Math" w:cs="Times New Roman"/>
            <w:szCs w:val="21"/>
          </w:rPr>
          <m:t>D</m:t>
        </m:r>
      </m:oMath>
      <w:r w:rsidRPr="00D41FC5">
        <w:rPr>
          <w:rFonts w:cs="Times New Roman"/>
          <w:szCs w:val="21"/>
        </w:rPr>
        <w:t xml:space="preserve"> sh</w:t>
      </w:r>
      <w:proofErr w:type="spellStart"/>
      <w:r w:rsidRPr="00D41FC5">
        <w:rPr>
          <w:rFonts w:cs="Times New Roman"/>
          <w:szCs w:val="21"/>
        </w:rPr>
        <w:t>ould</w:t>
      </w:r>
      <w:proofErr w:type="spellEnd"/>
      <w:r w:rsidRPr="00D41FC5">
        <w:rPr>
          <w:rFonts w:cs="Times New Roman"/>
          <w:szCs w:val="21"/>
        </w:rPr>
        <w:t xml:space="preserve"> not be less than 20 mm.</w:t>
      </w:r>
    </w:p>
    <w:p w14:paraId="7F55BE85" w14:textId="77777777" w:rsidR="00120A99" w:rsidRPr="00D41FC5" w:rsidRDefault="00120A99" w:rsidP="00120A99">
      <w:pPr>
        <w:pStyle w:val="IOPText"/>
        <w:ind w:firstLine="0"/>
        <w:rPr>
          <w:noProof/>
        </w:rPr>
      </w:pPr>
      <w:bookmarkStart w:id="34" w:name="_Hlk42501481"/>
      <w:r w:rsidRPr="00D41FC5">
        <w:rPr>
          <w:noProof/>
          <w:lang w:eastAsia="zh-CN"/>
        </w:rPr>
        <w:drawing>
          <wp:inline distT="0" distB="0" distL="0" distR="0" wp14:anchorId="60D18EB2" wp14:editId="625C2BC9">
            <wp:extent cx="3131820" cy="20980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1820" cy="2098040"/>
                    </a:xfrm>
                    <a:prstGeom prst="rect">
                      <a:avLst/>
                    </a:prstGeom>
                  </pic:spPr>
                </pic:pic>
              </a:graphicData>
            </a:graphic>
          </wp:inline>
        </w:drawing>
      </w:r>
    </w:p>
    <w:p w14:paraId="177AF3FF" w14:textId="77777777" w:rsidR="00120A99" w:rsidRPr="00D41FC5" w:rsidRDefault="00120A99" w:rsidP="00120A99">
      <w:pPr>
        <w:pStyle w:val="IOPText"/>
        <w:spacing w:line="240" w:lineRule="auto"/>
        <w:ind w:firstLine="0"/>
        <w:jc w:val="center"/>
        <w:rPr>
          <w:rFonts w:cs="Times New Roman"/>
          <w:szCs w:val="21"/>
        </w:rPr>
      </w:pPr>
      <w:r w:rsidRPr="00D41FC5">
        <w:rPr>
          <w:rFonts w:cs="Times New Roman"/>
          <w:szCs w:val="21"/>
        </w:rPr>
        <w:t xml:space="preserve">               (a)</w:t>
      </w:r>
    </w:p>
    <w:p w14:paraId="62EF44E4" w14:textId="77777777" w:rsidR="00120A99" w:rsidRPr="00D41FC5" w:rsidRDefault="00120A99" w:rsidP="00120A99">
      <w:pPr>
        <w:pStyle w:val="IOPText"/>
        <w:ind w:firstLine="0"/>
        <w:jc w:val="center"/>
        <w:rPr>
          <w:noProof/>
        </w:rPr>
      </w:pPr>
      <w:r w:rsidRPr="00D41FC5">
        <w:rPr>
          <w:rFonts w:cs="Times New Roman"/>
          <w:noProof/>
          <w:lang w:eastAsia="zh-CN"/>
        </w:rPr>
        <w:lastRenderedPageBreak/>
        <w:drawing>
          <wp:inline distT="0" distB="0" distL="0" distR="0" wp14:anchorId="0508B828" wp14:editId="3A8D8CDB">
            <wp:extent cx="3186752" cy="21044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5496" cy="2427216"/>
                    </a:xfrm>
                    <a:prstGeom prst="rect">
                      <a:avLst/>
                    </a:prstGeom>
                    <a:noFill/>
                    <a:ln>
                      <a:noFill/>
                    </a:ln>
                  </pic:spPr>
                </pic:pic>
              </a:graphicData>
            </a:graphic>
          </wp:inline>
        </w:drawing>
      </w:r>
    </w:p>
    <w:p w14:paraId="1032D511" w14:textId="77777777" w:rsidR="00120A99" w:rsidRPr="00D41FC5" w:rsidRDefault="00120A99" w:rsidP="00120A99">
      <w:pPr>
        <w:pStyle w:val="IOPText"/>
        <w:ind w:firstLine="0"/>
        <w:jc w:val="center"/>
        <w:rPr>
          <w:noProof/>
        </w:rPr>
      </w:pPr>
      <w:r w:rsidRPr="00D41FC5">
        <w:rPr>
          <w:rFonts w:cs="Times New Roman"/>
          <w:szCs w:val="21"/>
        </w:rPr>
        <w:t xml:space="preserve">                (b)</w:t>
      </w:r>
    </w:p>
    <w:p w14:paraId="10F6C70F" w14:textId="73E5A84F" w:rsidR="00120A99" w:rsidRPr="00D41FC5" w:rsidRDefault="00120A99" w:rsidP="006A3E57">
      <w:pPr>
        <w:pStyle w:val="IOPText"/>
        <w:spacing w:afterLines="50" w:after="120"/>
        <w:ind w:firstLine="0"/>
        <w:rPr>
          <w:rFonts w:cs="Times New Roman"/>
          <w:szCs w:val="21"/>
        </w:rPr>
      </w:pPr>
      <w:r w:rsidRPr="00D41FC5">
        <w:rPr>
          <w:noProof/>
        </w:rPr>
        <w:t>Figure 8. The recovery torques and potential energies of the VEH: (a) the recovery torques of the system; (b) the potential energies of the system.</w:t>
      </w:r>
      <w:bookmarkEnd w:id="34"/>
    </w:p>
    <w:p w14:paraId="32F38EFC" w14:textId="662D1C39" w:rsidR="008B1075" w:rsidRPr="00D41FC5" w:rsidRDefault="00C1131B" w:rsidP="008B1075">
      <w:pPr>
        <w:pStyle w:val="IOPText"/>
        <w:rPr>
          <w:noProof/>
        </w:rPr>
      </w:pPr>
      <w:bookmarkStart w:id="35" w:name="_Hlk44626251"/>
      <w:r w:rsidRPr="00D41FC5">
        <w:rPr>
          <w:rFonts w:cs="Times New Roman" w:hint="eastAsia"/>
        </w:rPr>
        <w:t>T</w:t>
      </w:r>
      <w:r w:rsidRPr="00D41FC5">
        <w:rPr>
          <w:rFonts w:cs="Times New Roman"/>
        </w:rPr>
        <w:t xml:space="preserve">he recovery torque of the system can be expressed </w:t>
      </w:r>
      <w:proofErr w:type="gramStart"/>
      <w:r w:rsidRPr="00D41FC5">
        <w:rPr>
          <w:rFonts w:cs="Times New Roman"/>
        </w:rPr>
        <w:t xml:space="preserve">as </w:t>
      </w:r>
      <w:proofErr w:type="gramEnd"/>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mg</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g</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m</m:t>
            </m:r>
          </m:sub>
        </m:sSub>
      </m:oMath>
      <w:r w:rsidRPr="00D41FC5">
        <w:rPr>
          <w:rFonts w:cs="Times New Roman"/>
        </w:rPr>
        <w:t xml:space="preserve">. By integrating </w:t>
      </w:r>
      <m:oMath>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mg</m:t>
            </m:r>
          </m:sub>
        </m:sSub>
      </m:oMath>
      <w:r w:rsidRPr="00D41FC5">
        <w:rPr>
          <w:rFonts w:cs="Times New Roman" w:hint="eastAsia"/>
        </w:rPr>
        <w:t xml:space="preserve"> </w:t>
      </w:r>
      <w:r w:rsidRPr="00D41FC5">
        <w:rPr>
          <w:rFonts w:cs="Times New Roman"/>
        </w:rPr>
        <w:t xml:space="preserve">from angle </w:t>
      </w:r>
      <m:oMath>
        <m:r>
          <m:rPr>
            <m:sty m:val="p"/>
          </m:rPr>
          <w:rPr>
            <w:rFonts w:ascii="Cambria Math" w:hAnsi="Cambria Math" w:cs="Times New Roman"/>
          </w:rPr>
          <m:t>-</m:t>
        </m:r>
        <m:r>
          <w:rPr>
            <w:rFonts w:ascii="Cambria Math" w:hAnsi="Cambria Math" w:cs="Times New Roman"/>
          </w:rPr>
          <m:t>π</m:t>
        </m:r>
      </m:oMath>
      <w:r w:rsidRPr="00D41FC5">
        <w:rPr>
          <w:rFonts w:cs="Times New Roman" w:hint="eastAsia"/>
        </w:rPr>
        <w:t xml:space="preserve"> </w:t>
      </w:r>
      <w:proofErr w:type="gramStart"/>
      <w:r w:rsidRPr="00D41FC5">
        <w:rPr>
          <w:rFonts w:cs="Times New Roman"/>
        </w:rPr>
        <w:t xml:space="preserve">to </w:t>
      </w:r>
      <w:proofErr w:type="gramEnd"/>
      <m:oMath>
        <m:r>
          <w:rPr>
            <w:rFonts w:ascii="Cambria Math" w:hAnsi="Cambria Math" w:cs="Times New Roman"/>
          </w:rPr>
          <m:t>π</m:t>
        </m:r>
      </m:oMath>
      <w:r w:rsidRPr="00D41FC5">
        <w:rPr>
          <w:rFonts w:cs="Times New Roman"/>
        </w:rPr>
        <w:t>, the potential energy of the system can be obtained</w:t>
      </w:r>
      <w:r w:rsidR="0084655D" w:rsidRPr="00D41FC5">
        <w:rPr>
          <w:rFonts w:cs="Times New Roman"/>
          <w:szCs w:val="20"/>
        </w:rPr>
        <w:t xml:space="preserve">. </w:t>
      </w:r>
      <w:bookmarkEnd w:id="35"/>
      <w:r w:rsidR="008B1075" w:rsidRPr="00D41FC5">
        <w:rPr>
          <w:noProof/>
        </w:rPr>
        <w:t>Figure 8(a) describes the recovery torques of the system induced by gravity and magnetic repulsion at the magnet distance of 20 mm, 25 mm, 30 mm, 35 mm, and ‘INF’ (‘INF’ denotes infinite magnet distance), respectively. We can conclude from the figure that magnetic forces influence the recovery torque of the system within an angular range from -0.5 rad to 0.5 rad, but gravity in the range -</w:t>
      </w:r>
      <m:oMath>
        <m:r>
          <m:rPr>
            <m:sty m:val="p"/>
          </m:rPr>
          <w:rPr>
            <w:rFonts w:ascii="Cambria Math" w:hAnsi="Cambria Math"/>
            <w:noProof/>
          </w:rPr>
          <m:t>π</m:t>
        </m:r>
      </m:oMath>
      <w:r w:rsidR="008B1075" w:rsidRPr="00D41FC5">
        <w:rPr>
          <w:noProof/>
        </w:rPr>
        <w:t xml:space="preserve"> rad to </w:t>
      </w:r>
      <m:oMath>
        <m:r>
          <m:rPr>
            <m:sty m:val="p"/>
          </m:rPr>
          <w:rPr>
            <w:rFonts w:ascii="Cambria Math" w:hAnsi="Cambria Math"/>
            <w:noProof/>
          </w:rPr>
          <m:t>π</m:t>
        </m:r>
      </m:oMath>
      <w:r w:rsidR="008B1075" w:rsidRPr="00D41FC5">
        <w:rPr>
          <w:noProof/>
        </w:rPr>
        <w:t xml:space="preserve"> rad. However, the magnitude of the recovery torque varies sharply within the angular range of influence of the magnetic force. Introducing the magnetic force to the harvesting system can significantly increase the system's nonlinearity. Gravity and the magnetic force work together to generate a double-well potential energy structure, as shown in Figure 8(b).</w:t>
      </w:r>
      <w:bookmarkStart w:id="36" w:name="OLE_LINK22"/>
      <w:bookmarkStart w:id="37" w:name="OLE_LINK12"/>
      <w:r w:rsidR="008B1075" w:rsidRPr="00D41FC5">
        <w:rPr>
          <w:noProof/>
        </w:rPr>
        <w:t xml:space="preserve"> The wells of the potential energy become deep as distance </w:t>
      </w:r>
      <m:oMath>
        <m:r>
          <w:rPr>
            <w:rFonts w:ascii="Cambria Math" w:hAnsi="Cambria Math"/>
            <w:noProof/>
          </w:rPr>
          <m:t>D</m:t>
        </m:r>
      </m:oMath>
      <w:r w:rsidR="008B1075" w:rsidRPr="00D41FC5">
        <w:rPr>
          <w:noProof/>
        </w:rPr>
        <w:t xml:space="preserve"> decreases.</w:t>
      </w:r>
      <w:bookmarkEnd w:id="36"/>
      <w:bookmarkEnd w:id="37"/>
      <w:r w:rsidR="008B1075" w:rsidRPr="00D41FC5">
        <w:rPr>
          <w:noProof/>
        </w:rPr>
        <w:t xml:space="preserve"> Under the pendulum mode, this system oscillates within one well or jumps between the two wells. However, under the flywheel mode, the system rotates around the centre of rotation, namely, continuously escaping from one cycle and entering another. </w:t>
      </w:r>
    </w:p>
    <w:p w14:paraId="738CAE69" w14:textId="78C04B6C" w:rsidR="008B1075" w:rsidRPr="00D41FC5" w:rsidRDefault="008B1075" w:rsidP="008B1075">
      <w:pPr>
        <w:pStyle w:val="IOPH2"/>
        <w:rPr>
          <w:highlight w:val="lightGray"/>
        </w:rPr>
      </w:pPr>
      <w:r w:rsidRPr="00D41FC5">
        <w:rPr>
          <w:rFonts w:hint="eastAsia"/>
          <w:lang w:eastAsia="zh-CN"/>
        </w:rPr>
        <w:t>5</w:t>
      </w:r>
      <w:r w:rsidRPr="00D41FC5">
        <w:t xml:space="preserve">.4 </w:t>
      </w:r>
      <w:r w:rsidR="002E7CD0" w:rsidRPr="00D41FC5">
        <w:t>Estimation of the optimal resistance of the external load</w:t>
      </w:r>
    </w:p>
    <w:p w14:paraId="00887920" w14:textId="772C1669" w:rsidR="00120A99" w:rsidRPr="00D41FC5" w:rsidRDefault="005913DE" w:rsidP="005913DE">
      <w:pPr>
        <w:pStyle w:val="IOPText"/>
        <w:rPr>
          <w:noProof/>
        </w:rPr>
      </w:pPr>
      <w:r w:rsidRPr="00D41FC5">
        <w:rPr>
          <w:noProof/>
        </w:rPr>
        <w:t xml:space="preserve">During energy generation, the DC generator and the electrical load need to be connected to the same circuit, as shown in Figure 3(b). For obtaining higher energy harvesting efficiency, the resistance of the electrical load should match with the internal resistance of the DC generator. This study performs a series of simulations based on the established theoretical model to estimate the optimal resistance of the external load. The sinusoidal excitation with an amplitude of 10 mm and a frequency of 5 Hz is employed in all simulations. ‘LSODA’, a wrapper to the Fortran solver, is used to solve the ODEs of this harvesting system. For each case, the total </w:t>
      </w:r>
      <w:r w:rsidRPr="00D41FC5">
        <w:rPr>
          <w:noProof/>
        </w:rPr>
        <w:t xml:space="preserve">integration time is set to 10 s and the time step 1E-3 s. The root mean square (RMS) values of instantaneous power at the magnet distance of 20 mm, 25 mm, 30 mm, and 'INF' are calculated to evaluate the harvested energy </w:t>
      </w:r>
      <w:r w:rsidRPr="00D41FC5">
        <w:rPr>
          <w:noProof/>
        </w:rPr>
        <w:fldChar w:fldCharType="begin"/>
      </w:r>
      <w:r w:rsidR="00211226" w:rsidRPr="00D41FC5">
        <w:rPr>
          <w:noProof/>
        </w:rPr>
        <w:instrText xml:space="preserve"> ADDIN ZOTERO_ITEM CSL_CITATION {"citationID":"xxE3LwxX","properties":{"formattedCitation":"[50]","plainCitation":"[50]","noteIndex":0},"citationItems":[{"id":303,"uris":["http://zotero.org/users/5619602/items/2HXJCWKR"],"uri":["http://zotero.org/users/5619602/items/2HXJCWKR"],"itemData":{"id":303,"type":"article-journal","abstract":"Eco-friendly and wearable power sources are in high demand because of the hasty growth in smart wearable electronic devices including health care monitoring sensors. Here, we successfully designed and fabricated a high-performance cycloid-inspired wearable electromagnetic energy harvester (CEEH) for scavenging low frequency (</w:instrText>
      </w:r>
      <w:r w:rsidR="00211226" w:rsidRPr="00D41FC5">
        <w:rPr>
          <w:rFonts w:hint="eastAsia"/>
          <w:noProof/>
        </w:rPr>
        <w:instrText>≤</w:instrText>
      </w:r>
      <w:r w:rsidR="00211226" w:rsidRPr="00D41FC5">
        <w:rPr>
          <w:noProof/>
        </w:rPr>
        <w:instrText xml:space="preserve">5 Hz) human motion energy. The proposed CEEH introduces a cycloid curved structure as an energy harvester for the first time which provides the fastest descent for the freely rolling spherical magnet in the curve path, resulting an increment in the rate of cutting magnetic flux. In order to demonstrate the capability of the proposed device for harvesting electrical energy from the natural human motions such as arm swinging and vibration, hand-shaking vibration motion tests and custom-made swinging arm tests were performed. The as-fabricated harvester can deliver an average power of 8.8 mW under the excitation vibration of 5 Hz at an optimum load resistance of 104.7 Ω. Moreover, it can continuously power a commercial sporty stopwatch for more than 16 min and a wristwatch for more than 34 min from just 5 s of hand motion vibration. The proposed device exhibits much enhanced performance which is more than 1.45 times higher in comparison with other different geometric structures such as straight and circular design. The outstanding energy harvesting capability of the proposed energy harvester shows huge potential as a wearable energy harvester for wrist and foot worn applications and as a sustainable power source for powering smart wearable or portable electronic devices and systems.","container-title":"Applied Energy","DOI":"10.1016/j.apenergy.2019.113987","ISSN":"0306-2619","journalAbbreviation":"Applied Energy","page":"113987","title":"High-performance cycloid inspired wearable electromagnetic energy harvester for scavenging human motion energy","volume":"256","author":[{"family":"Maharjan","given":"Pukar"},{"family":"Bhatta","given":"Trilochan"},{"family":"Salauddin Rasel","given":"M."},{"family":"Salauddin","given":"Md."},{"family":"Toyabur Rahman","given":"M."},{"family":"Park","given":"Jae Yeong"}],"issued":{"date-parts":[["2019"]]}}}],"schema":"https://github.com/citation-style-language/schema/raw/master/csl-citation.json"} </w:instrText>
      </w:r>
      <w:r w:rsidRPr="00D41FC5">
        <w:rPr>
          <w:noProof/>
        </w:rPr>
        <w:fldChar w:fldCharType="separate"/>
      </w:r>
      <w:r w:rsidR="00211226" w:rsidRPr="00D41FC5">
        <w:rPr>
          <w:rFonts w:cs="Times New Roman"/>
        </w:rPr>
        <w:t>[50]</w:t>
      </w:r>
      <w:r w:rsidRPr="00D41FC5">
        <w:rPr>
          <w:noProof/>
        </w:rPr>
        <w:fldChar w:fldCharType="end"/>
      </w:r>
      <w:r w:rsidRPr="00D41FC5">
        <w:rPr>
          <w:noProof/>
        </w:rPr>
        <w:t xml:space="preserve">. Figure 9 presents the simulation results when the resistance of the external load varies from 0 to 200 </w:t>
      </w:r>
      <m:oMath>
        <m:r>
          <m:rPr>
            <m:sty m:val="p"/>
          </m:rPr>
          <w:rPr>
            <w:rFonts w:ascii="Cambria Math" w:hAnsi="Cambria Math"/>
            <w:noProof/>
          </w:rPr>
          <m:t>Ω</m:t>
        </m:r>
      </m:oMath>
      <w:r w:rsidRPr="00D41FC5">
        <w:rPr>
          <w:noProof/>
        </w:rPr>
        <w:t>. The black dashed line indicates the locations of the maximum average power. The results</w:t>
      </w:r>
      <w:bookmarkStart w:id="38" w:name="OLE_LINK26"/>
      <w:bookmarkStart w:id="39" w:name="OLE_LINK25"/>
      <w:r w:rsidRPr="00D41FC5">
        <w:rPr>
          <w:noProof/>
        </w:rPr>
        <w:t xml:space="preserve"> </w:t>
      </w:r>
      <w:bookmarkEnd w:id="38"/>
      <w:bookmarkEnd w:id="39"/>
      <w:r w:rsidRPr="00D41FC5">
        <w:rPr>
          <w:noProof/>
        </w:rPr>
        <w:t xml:space="preserve">demonstrate that the VEH can obtain its maximum output when the resistance of the external load equals to that of the DC generator. This figure also indicates that decreasing </w:t>
      </w:r>
      <m:oMath>
        <m:r>
          <w:rPr>
            <w:rFonts w:ascii="Cambria Math" w:hAnsi="Cambria Math"/>
            <w:noProof/>
          </w:rPr>
          <m:t>D</m:t>
        </m:r>
      </m:oMath>
      <w:r w:rsidRPr="00D41FC5">
        <w:rPr>
          <w:noProof/>
        </w:rPr>
        <w:t xml:space="preserve"> is conducive to improving energy harvesting efficiency.</w:t>
      </w:r>
    </w:p>
    <w:p w14:paraId="3FD88EA3" w14:textId="3FF95E6A" w:rsidR="00120A99" w:rsidRPr="00D41FC5" w:rsidRDefault="00120A99" w:rsidP="00120A99">
      <w:pPr>
        <w:pStyle w:val="IOPText"/>
        <w:ind w:firstLine="0"/>
        <w:rPr>
          <w:noProof/>
        </w:rPr>
      </w:pPr>
      <w:r w:rsidRPr="00D41FC5">
        <w:rPr>
          <w:rFonts w:cs="Times New Roman"/>
          <w:noProof/>
          <w:lang w:eastAsia="zh-CN"/>
        </w:rPr>
        <w:drawing>
          <wp:inline distT="0" distB="0" distL="0" distR="0" wp14:anchorId="7129F479" wp14:editId="2E4FE8C2">
            <wp:extent cx="3131820" cy="1961515"/>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45" t="1" b="682"/>
                    <a:stretch/>
                  </pic:blipFill>
                  <pic:spPr bwMode="auto">
                    <a:xfrm>
                      <a:off x="0" y="0"/>
                      <a:ext cx="3131820" cy="1961515"/>
                    </a:xfrm>
                    <a:prstGeom prst="rect">
                      <a:avLst/>
                    </a:prstGeom>
                    <a:ln>
                      <a:noFill/>
                    </a:ln>
                    <a:extLst>
                      <a:ext uri="{53640926-AAD7-44D8-BBD7-CCE9431645EC}">
                        <a14:shadowObscured xmlns:a14="http://schemas.microsoft.com/office/drawing/2010/main"/>
                      </a:ext>
                    </a:extLst>
                  </pic:spPr>
                </pic:pic>
              </a:graphicData>
            </a:graphic>
          </wp:inline>
        </w:drawing>
      </w:r>
    </w:p>
    <w:p w14:paraId="35DA0545" w14:textId="77777777" w:rsidR="00120A99" w:rsidRPr="00D41FC5" w:rsidRDefault="00120A99" w:rsidP="00120A99">
      <w:pPr>
        <w:pStyle w:val="IOPText"/>
        <w:ind w:firstLine="0"/>
        <w:rPr>
          <w:noProof/>
        </w:rPr>
      </w:pPr>
      <w:r w:rsidRPr="00D41FC5">
        <w:rPr>
          <w:noProof/>
        </w:rPr>
        <w:t>Figure 9. The optimal resistance of the external load</w:t>
      </w:r>
    </w:p>
    <w:p w14:paraId="14CC51CD" w14:textId="1214C08E" w:rsidR="005C2BF7" w:rsidRPr="00D41FC5" w:rsidRDefault="005C2BF7" w:rsidP="005C2BF7">
      <w:pPr>
        <w:pStyle w:val="IOPH1"/>
        <w:rPr>
          <w:lang w:eastAsia="zh-CN"/>
        </w:rPr>
      </w:pPr>
      <w:r w:rsidRPr="00D41FC5">
        <w:rPr>
          <w:lang w:eastAsia="zh-CN"/>
        </w:rPr>
        <w:t>6. Numerical analysis of the VEH’s dynamical behaviours</w:t>
      </w:r>
    </w:p>
    <w:p w14:paraId="30724D14" w14:textId="2108ED35" w:rsidR="005C2BF7" w:rsidRPr="00D41FC5" w:rsidRDefault="005C2BF7" w:rsidP="008953F7">
      <w:pPr>
        <w:pStyle w:val="IOPText"/>
        <w:rPr>
          <w:noProof/>
        </w:rPr>
      </w:pPr>
      <w:r w:rsidRPr="00D41FC5">
        <w:rPr>
          <w:noProof/>
        </w:rPr>
        <w:t xml:space="preserve">The introduction of the magnetic force strengthens the nonlinear characteristics of the VEH, enriching the system’s dynamical behaviours. Not only intra-well oscillations with small angular amplitude but also inter-well oscillations in a </w:t>
      </w:r>
      <w:r w:rsidR="00322C57" w:rsidRPr="00D41FC5">
        <w:rPr>
          <w:noProof/>
        </w:rPr>
        <w:t xml:space="preserve">broad </w:t>
      </w:r>
      <w:r w:rsidRPr="00D41FC5">
        <w:rPr>
          <w:noProof/>
        </w:rPr>
        <w:t>angular range, even continuous rotations, occur during its operations.</w:t>
      </w:r>
      <w:r w:rsidR="00BC5322" w:rsidRPr="00D41FC5">
        <w:rPr>
          <w:noProof/>
        </w:rPr>
        <w:t xml:space="preserve"> </w:t>
      </w:r>
      <w:bookmarkStart w:id="40" w:name="_Hlk44591337"/>
      <w:r w:rsidR="00641F6A" w:rsidRPr="00D41FC5">
        <w:rPr>
          <w:rFonts w:cs="Times New Roman"/>
        </w:rPr>
        <w:t>The nonlinearity of the system increases with angular motions, and strong nonlinearity will make it impossible to obtain any analytical solution of Eq. (5)</w:t>
      </w:r>
      <w:r w:rsidR="00641F6A" w:rsidRPr="00D41FC5">
        <w:rPr>
          <w:rFonts w:cs="Times New Roman" w:hint="eastAsia"/>
          <w:lang w:eastAsia="zh-CN"/>
        </w:rPr>
        <w:t>.</w:t>
      </w:r>
      <w:r w:rsidR="008C2B33" w:rsidRPr="00D41FC5">
        <w:rPr>
          <w:noProof/>
        </w:rPr>
        <w:t xml:space="preserve"> In this work</w:t>
      </w:r>
      <w:r w:rsidRPr="00D41FC5">
        <w:rPr>
          <w:noProof/>
        </w:rPr>
        <w:t>, ‘LSODA’ solver</w:t>
      </w:r>
      <w:r w:rsidR="002F18B8" w:rsidRPr="00D41FC5">
        <w:rPr>
          <w:noProof/>
        </w:rPr>
        <w:t xml:space="preserve">, </w:t>
      </w:r>
      <w:r w:rsidR="002F18B8" w:rsidRPr="00D41FC5">
        <w:rPr>
          <w:rFonts w:cs="Times New Roman"/>
        </w:rPr>
        <w:t>a numerical method,</w:t>
      </w:r>
      <w:r w:rsidRPr="00D41FC5">
        <w:rPr>
          <w:noProof/>
        </w:rPr>
        <w:t xml:space="preserve"> </w:t>
      </w:r>
      <w:bookmarkStart w:id="41" w:name="_Hlk44599787"/>
      <w:r w:rsidRPr="00D41FC5">
        <w:rPr>
          <w:noProof/>
        </w:rPr>
        <w:t xml:space="preserve">is </w:t>
      </w:r>
      <w:r w:rsidR="00641F6A" w:rsidRPr="00D41FC5">
        <w:rPr>
          <w:rFonts w:hint="eastAsia"/>
          <w:noProof/>
          <w:lang w:eastAsia="zh-CN"/>
        </w:rPr>
        <w:t>us</w:t>
      </w:r>
      <w:r w:rsidRPr="00D41FC5">
        <w:rPr>
          <w:noProof/>
        </w:rPr>
        <w:t>ed to solve the ordinary differential equations (ODEs) of this dynamical system.</w:t>
      </w:r>
      <w:bookmarkEnd w:id="40"/>
      <w:r w:rsidRPr="00D41FC5">
        <w:rPr>
          <w:noProof/>
        </w:rPr>
        <w:t xml:space="preserve"> </w:t>
      </w:r>
      <w:bookmarkEnd w:id="41"/>
      <w:r w:rsidRPr="00D41FC5">
        <w:rPr>
          <w:noProof/>
        </w:rPr>
        <w:t xml:space="preserve">This algorithm can switch automatically between the backward difference (BDF) method and the Adams method utilising the numerical information at the end of each time step during the integration </w:t>
      </w:r>
      <w:r w:rsidRPr="00D41FC5">
        <w:rPr>
          <w:noProof/>
        </w:rPr>
        <w:fldChar w:fldCharType="begin"/>
      </w:r>
      <w:r w:rsidR="00211226" w:rsidRPr="00D41FC5">
        <w:rPr>
          <w:noProof/>
        </w:rPr>
        <w:instrText xml:space="preserve"> ADDIN ZOTERO_ITEM CSL_CITATION {"citationID":"mAuhcq1Q","properties":{"formattedCitation":"[51]","plainCitation":"[51]","noteIndex":0},"citationItems":[{"id":294,"uris":["http://zotero.org/users/5619602/items/HC73LTR4"],"uri":["http://zotero.org/users/5619602/items/HC73LTR4"],"itemData":{"id":294,"type":"article-journal","container-title":"SIAM Journal on Scientific and Statistical Computing","DOI":"10.1137/0904010","ISSN":"0196-5204","issue":"1","journalAbbreviation":"SIAM J. Sci. and Stat. Comput.","note":"publisher: Society for Industrial and Applied Mathematics","page":"136-148","title":"Automatic Selection of Methods for Solving Stiff and Nonstiff Systems of Ordinary Differential Equations","volume":"4","author":[{"family":"Petzold","given":"Linda"}],"issued":{"date-parts":[["1983"]]}}}],"schema":"https://github.com/citation-style-language/schema/raw/master/csl-citation.json"} </w:instrText>
      </w:r>
      <w:r w:rsidRPr="00D41FC5">
        <w:rPr>
          <w:noProof/>
        </w:rPr>
        <w:fldChar w:fldCharType="separate"/>
      </w:r>
      <w:r w:rsidR="00211226" w:rsidRPr="00D41FC5">
        <w:rPr>
          <w:rFonts w:cs="Times New Roman"/>
        </w:rPr>
        <w:t>[51]</w:t>
      </w:r>
      <w:r w:rsidRPr="00D41FC5">
        <w:rPr>
          <w:noProof/>
        </w:rPr>
        <w:fldChar w:fldCharType="end"/>
      </w:r>
      <w:r w:rsidRPr="00D41FC5">
        <w:rPr>
          <w:noProof/>
        </w:rPr>
        <w:t xml:space="preserve">. The BDF is one of the linear multistep methods for solving stiff differential equations </w:t>
      </w:r>
      <w:r w:rsidRPr="00D41FC5">
        <w:rPr>
          <w:noProof/>
        </w:rPr>
        <w:fldChar w:fldCharType="begin"/>
      </w:r>
      <w:r w:rsidR="00211226" w:rsidRPr="00D41FC5">
        <w:rPr>
          <w:noProof/>
        </w:rPr>
        <w:instrText xml:space="preserve"> ADDIN ZOTERO_ITEM CSL_CITATION {"citationID":"PctkJxZG","properties":{"formattedCitation":"[52]","plainCitation":"[52]","noteIndex":0},"citationItems":[{"id":298,"uris":["http://zotero.org/users/5619602/items/HLDB9VUZ"],"uri":["http://zotero.org/users/5619602/items/HLDB9VUZ"],"itemData":{"id":298,"type":"article-journal","archive":"PubMed","archive_location":"16589085","container-title":"Proceedings of the National Academy of Sciences of the United States of America","DOI":"10.1073/pnas.38.3.235","ISSN":"0027-8424","issue":"3","journalAbbreviation":"Proc Natl Acad Sci U S A","language":"eng","page":"235-243","title":"Integration of Stiff Equations","volume":"38","author":[{"family":"Curtiss","given":"C F"},{"family":"Hirschfelder","given":"J O"}],"issued":{"date-parts":[["1952"]]}}}],"schema":"https://github.com/citation-style-language/schema/raw/master/csl-citation.json"} </w:instrText>
      </w:r>
      <w:r w:rsidRPr="00D41FC5">
        <w:rPr>
          <w:noProof/>
        </w:rPr>
        <w:fldChar w:fldCharType="separate"/>
      </w:r>
      <w:r w:rsidR="00211226" w:rsidRPr="00D41FC5">
        <w:rPr>
          <w:rFonts w:cs="Times New Roman"/>
        </w:rPr>
        <w:t>[52]</w:t>
      </w:r>
      <w:r w:rsidRPr="00D41FC5">
        <w:rPr>
          <w:noProof/>
        </w:rPr>
        <w:fldChar w:fldCharType="end"/>
      </w:r>
      <w:r w:rsidRPr="00D41FC5">
        <w:rPr>
          <w:noProof/>
        </w:rPr>
        <w:t xml:space="preserve">. The Adams method is more suitable for nonstiff systems </w:t>
      </w:r>
      <w:r w:rsidRPr="00D41FC5">
        <w:rPr>
          <w:noProof/>
        </w:rPr>
        <w:fldChar w:fldCharType="begin"/>
      </w:r>
      <w:r w:rsidR="00211226" w:rsidRPr="00D41FC5">
        <w:rPr>
          <w:noProof/>
        </w:rPr>
        <w:instrText xml:space="preserve"> ADDIN ZOTERO_ITEM CSL_CITATION {"citationID":"aEUV4P0s","properties":{"formattedCitation":"[51]","plainCitation":"[51]","noteIndex":0},"citationItems":[{"id":294,"uris":["http://zotero.org/users/5619602/items/HC73LTR4"],"uri":["http://zotero.org/users/5619602/items/HC73LTR4"],"itemData":{"id":294,"type":"article-journal","container-title":"SIAM Journal on Scientific and Statistical Computing","DOI":"10.1137/0904010","ISSN":"0196-5204","issue":"1","journalAbbreviation":"SIAM J. Sci. and Stat. Comput.","note":"publisher: Society for Industrial and Applied Mathematics","page":"136-148","title":"Automatic Selection of Methods for Solving Stiff and Nonstiff Systems of Ordinary Differential Equations","volume":"4","author":[{"family":"Petzold","given":"Linda"}],"issued":{"date-parts":[["1983"]]}}}],"schema":"https://github.com/citation-style-language/schema/raw/master/csl-citation.json"} </w:instrText>
      </w:r>
      <w:r w:rsidRPr="00D41FC5">
        <w:rPr>
          <w:noProof/>
        </w:rPr>
        <w:fldChar w:fldCharType="separate"/>
      </w:r>
      <w:r w:rsidR="00211226" w:rsidRPr="00D41FC5">
        <w:rPr>
          <w:rFonts w:cs="Times New Roman"/>
        </w:rPr>
        <w:t>[51]</w:t>
      </w:r>
      <w:r w:rsidRPr="00D41FC5">
        <w:rPr>
          <w:noProof/>
        </w:rPr>
        <w:fldChar w:fldCharType="end"/>
      </w:r>
      <w:r w:rsidRPr="00D41FC5">
        <w:rPr>
          <w:noProof/>
        </w:rPr>
        <w:t>. Being able to automatically switch to the proper method makes the ‘LSODA’ scheme more efficient, especially for complex dynamic systems.</w:t>
      </w:r>
    </w:p>
    <w:p w14:paraId="2C03B542" w14:textId="77777777" w:rsidR="005C2BF7" w:rsidRPr="00D41FC5" w:rsidRDefault="005C2BF7" w:rsidP="008953F7">
      <w:pPr>
        <w:pStyle w:val="IOPText"/>
        <w:rPr>
          <w:noProof/>
        </w:rPr>
      </w:pPr>
      <w:r w:rsidRPr="00D41FC5">
        <w:rPr>
          <w:noProof/>
        </w:rPr>
        <w:t xml:space="preserve">This study carries out a series of numerical simulations to better understand the dynamical characteristics of this energy harvesting system. The typical phase trajectories of different motion modes, frequency response characteristics, the influence factors on the basins of attractions, and the influence factors on the transition from the pendulum mode to the </w:t>
      </w:r>
      <w:r w:rsidRPr="00D41FC5">
        <w:rPr>
          <w:noProof/>
        </w:rPr>
        <w:lastRenderedPageBreak/>
        <w:t xml:space="preserve">flywheel one are discussed in the simulated studies. The parameters estimated in Section 5.1 are employed. During simulations, the time step is always fixed at 1E-3 s. </w:t>
      </w:r>
    </w:p>
    <w:p w14:paraId="2F567ABF" w14:textId="468171D5" w:rsidR="008953F7" w:rsidRPr="00D41FC5" w:rsidRDefault="008953F7" w:rsidP="008953F7">
      <w:pPr>
        <w:pStyle w:val="IOPH2"/>
        <w:rPr>
          <w:highlight w:val="lightGray"/>
        </w:rPr>
      </w:pPr>
      <w:r w:rsidRPr="00D41FC5">
        <w:rPr>
          <w:lang w:eastAsia="zh-CN"/>
        </w:rPr>
        <w:t>6</w:t>
      </w:r>
      <w:r w:rsidRPr="00D41FC5">
        <w:t>.1 Typical trajectories of different motion modes</w:t>
      </w:r>
    </w:p>
    <w:p w14:paraId="57C59527" w14:textId="1D4BC442" w:rsidR="00120A99" w:rsidRPr="00D41FC5" w:rsidRDefault="008953F7" w:rsidP="00120A99">
      <w:pPr>
        <w:pStyle w:val="IOPText"/>
        <w:rPr>
          <w:noProof/>
        </w:rPr>
        <w:sectPr w:rsidR="00120A99" w:rsidRPr="00D41FC5" w:rsidSect="0010389A">
          <w:type w:val="continuous"/>
          <w:pgSz w:w="11906" w:h="16838" w:code="9"/>
          <w:pgMar w:top="1418" w:right="907" w:bottom="2041" w:left="907" w:header="709" w:footer="709" w:gutter="0"/>
          <w:cols w:num="2" w:space="227"/>
          <w:titlePg/>
          <w:docGrid w:linePitch="360"/>
        </w:sectPr>
      </w:pPr>
      <w:r w:rsidRPr="00D41FC5">
        <w:rPr>
          <w:noProof/>
        </w:rPr>
        <w:t xml:space="preserve">This VEH system has two distinct motion modes: the pendulum and flywheel modes. </w:t>
      </w:r>
      <w:r w:rsidR="003A594F" w:rsidRPr="00D41FC5">
        <w:rPr>
          <w:noProof/>
        </w:rPr>
        <w:t>Figure 10(a) and 10(b) display</w:t>
      </w:r>
      <w:r w:rsidRPr="00D41FC5">
        <w:rPr>
          <w:noProof/>
        </w:rPr>
        <w:t xml:space="preserve">the typical phase trajectories and time histories of the pendulum mode. </w:t>
      </w:r>
      <w:r w:rsidR="002E7CD0" w:rsidRPr="00D41FC5">
        <w:rPr>
          <w:noProof/>
        </w:rPr>
        <w:t xml:space="preserve">The two circles with star and circle makers in Figure 10(a) are the phase trajectories of intra-well oscillations </w:t>
      </w:r>
      <w:r w:rsidRPr="00D41FC5">
        <w:rPr>
          <w:noProof/>
        </w:rPr>
        <w:t xml:space="preserve">under the sinusoidal excitation (amplitude of </w:t>
      </w:r>
      <w:r w:rsidRPr="00D41FC5">
        <w:rPr>
          <w:noProof/>
        </w:rPr>
        <w:t xml:space="preserve">displacement: 5 mm; frequency: 3 Hz). All the parameters of the two intra-well oscillations are set the same, but the initial position </w:t>
      </w:r>
      <m:oMath>
        <m:sSub>
          <m:sSubPr>
            <m:ctrlPr>
              <w:rPr>
                <w:rFonts w:ascii="Cambria Math" w:hAnsi="Cambria Math"/>
                <w:noProof/>
              </w:rPr>
            </m:ctrlPr>
          </m:sSubPr>
          <m:e>
            <m:r>
              <w:rPr>
                <w:rFonts w:ascii="Cambria Math" w:hAnsi="Cambria Math"/>
                <w:noProof/>
              </w:rPr>
              <m:t>θ</m:t>
            </m:r>
          </m:e>
          <m:sub>
            <m:r>
              <m:rPr>
                <m:sty m:val="p"/>
              </m:rPr>
              <w:rPr>
                <w:rFonts w:ascii="Cambria Math" w:hAnsi="Cambria Math"/>
                <w:noProof/>
              </w:rPr>
              <m:t>0</m:t>
            </m:r>
          </m:sub>
        </m:sSub>
      </m:oMath>
      <w:r w:rsidRPr="00D41FC5">
        <w:rPr>
          <w:noProof/>
        </w:rPr>
        <w:t xml:space="preserve"> (left circle: corresponding to the left stable equilibrium point of -0.40 </w:t>
      </w:r>
      <m:oMath>
        <m:r>
          <m:rPr>
            <m:sty m:val="p"/>
          </m:rPr>
          <w:rPr>
            <w:rFonts w:ascii="Cambria Math" w:hAnsi="Cambria Math"/>
            <w:noProof/>
          </w:rPr>
          <m:t>rad</m:t>
        </m:r>
      </m:oMath>
      <w:r w:rsidRPr="00D41FC5">
        <w:rPr>
          <w:noProof/>
        </w:rPr>
        <w:t xml:space="preserve">; right circle: corresponding to the right stable point of 0.40 </w:t>
      </w:r>
      <m:oMath>
        <m:r>
          <m:rPr>
            <m:sty m:val="p"/>
          </m:rPr>
          <w:rPr>
            <w:rFonts w:ascii="Cambria Math" w:hAnsi="Cambria Math"/>
            <w:noProof/>
          </w:rPr>
          <m:t>rad</m:t>
        </m:r>
      </m:oMath>
      <w:r w:rsidRPr="00D41FC5">
        <w:rPr>
          <w:noProof/>
        </w:rPr>
        <w:t xml:space="preserve">). The blue line with triangle markers in Figure 10(a) refers to the phase trajectory of inter-well oscillation. Compared with the intra-well oscillations, the excitation amplitude increases from </w:t>
      </w:r>
      <w:r w:rsidR="006A5E8B" w:rsidRPr="00D41FC5">
        <w:rPr>
          <w:noProof/>
        </w:rPr>
        <w:t xml:space="preserve">5 </w:t>
      </w:r>
      <w:r w:rsidRPr="00D41FC5">
        <w:rPr>
          <w:noProof/>
        </w:rPr>
        <w:t xml:space="preserve">mm to 30 mm. The green line with square markers in Figure 10(a) is the phase trajectory corresponding to the situation of removing the fixed magnet from the harvester and employing the same 30 mm-amplitude excitations. The comparison between the </w:t>
      </w:r>
      <w:r w:rsidR="00120A99" w:rsidRPr="00D41FC5">
        <w:rPr>
          <w:noProof/>
        </w:rPr>
        <w:t xml:space="preserve"> </w:t>
      </w:r>
    </w:p>
    <w:p w14:paraId="51F7DFD2" w14:textId="77777777" w:rsidR="00120A99" w:rsidRPr="00D41FC5" w:rsidRDefault="00120A99" w:rsidP="00120A99">
      <w:pPr>
        <w:pStyle w:val="IOPText"/>
        <w:ind w:firstLine="0"/>
        <w:jc w:val="center"/>
        <w:rPr>
          <w:noProof/>
        </w:rPr>
      </w:pPr>
      <w:bookmarkStart w:id="42" w:name="_Hlk42501946"/>
      <w:r w:rsidRPr="00D41FC5">
        <w:rPr>
          <w:rFonts w:cs="Times New Roman"/>
          <w:noProof/>
          <w:lang w:eastAsia="zh-CN"/>
        </w:rPr>
        <w:drawing>
          <wp:inline distT="0" distB="0" distL="0" distR="0" wp14:anchorId="086A76DC" wp14:editId="775E9DDA">
            <wp:extent cx="3028233" cy="1905179"/>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 cstate="print">
                      <a:extLst>
                        <a:ext uri="{28A0092B-C50C-407E-A947-70E740481C1C}">
                          <a14:useLocalDpi xmlns:a14="http://schemas.microsoft.com/office/drawing/2010/main" val="0"/>
                        </a:ext>
                      </a:extLst>
                    </a:blip>
                    <a:srcRect b="192"/>
                    <a:stretch>
                      <a:fillRect/>
                    </a:stretch>
                  </pic:blipFill>
                  <pic:spPr bwMode="auto">
                    <a:xfrm>
                      <a:off x="0" y="0"/>
                      <a:ext cx="3066583" cy="1929306"/>
                    </a:xfrm>
                    <a:prstGeom prst="rect">
                      <a:avLst/>
                    </a:prstGeom>
                    <a:noFill/>
                    <a:ln>
                      <a:noFill/>
                    </a:ln>
                  </pic:spPr>
                </pic:pic>
              </a:graphicData>
            </a:graphic>
          </wp:inline>
        </w:drawing>
      </w:r>
      <w:r w:rsidRPr="00D41FC5">
        <w:rPr>
          <w:rFonts w:cs="Times New Roman"/>
          <w:noProof/>
          <w:lang w:eastAsia="zh-CN"/>
        </w:rPr>
        <w:drawing>
          <wp:inline distT="0" distB="0" distL="0" distR="0" wp14:anchorId="03DA9C6D" wp14:editId="74AFA82F">
            <wp:extent cx="3088053" cy="1904967"/>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b="223"/>
                    <a:stretch>
                      <a:fillRect/>
                    </a:stretch>
                  </pic:blipFill>
                  <pic:spPr bwMode="auto">
                    <a:xfrm>
                      <a:off x="0" y="0"/>
                      <a:ext cx="3088053" cy="1904967"/>
                    </a:xfrm>
                    <a:prstGeom prst="rect">
                      <a:avLst/>
                    </a:prstGeom>
                    <a:noFill/>
                    <a:ln>
                      <a:noFill/>
                    </a:ln>
                  </pic:spPr>
                </pic:pic>
              </a:graphicData>
            </a:graphic>
          </wp:inline>
        </w:drawing>
      </w:r>
    </w:p>
    <w:p w14:paraId="2D524F49" w14:textId="77777777" w:rsidR="00120A99" w:rsidRPr="00D41FC5" w:rsidRDefault="00120A99" w:rsidP="00120A99">
      <w:pPr>
        <w:pStyle w:val="IOPText"/>
        <w:ind w:firstLineChars="1400" w:firstLine="2800"/>
        <w:rPr>
          <w:noProof/>
        </w:rPr>
      </w:pPr>
      <w:r w:rsidRPr="00D41FC5">
        <w:rPr>
          <w:rFonts w:cs="Times New Roman"/>
        </w:rPr>
        <w:t>(a)                                                                                        (</w:t>
      </w:r>
      <w:proofErr w:type="gramStart"/>
      <w:r w:rsidRPr="00D41FC5">
        <w:rPr>
          <w:rFonts w:cs="Times New Roman"/>
        </w:rPr>
        <w:t>b</w:t>
      </w:r>
      <w:proofErr w:type="gramEnd"/>
      <w:r w:rsidRPr="00D41FC5">
        <w:rPr>
          <w:rFonts w:cs="Times New Roman"/>
        </w:rPr>
        <w:t>)</w:t>
      </w:r>
    </w:p>
    <w:p w14:paraId="49B86EBF" w14:textId="77777777" w:rsidR="00120A99" w:rsidRPr="00D41FC5" w:rsidRDefault="00120A99" w:rsidP="00120A99">
      <w:pPr>
        <w:pStyle w:val="IOPText"/>
        <w:ind w:firstLine="0"/>
        <w:jc w:val="center"/>
        <w:rPr>
          <w:noProof/>
        </w:rPr>
      </w:pPr>
      <w:r w:rsidRPr="00D41FC5">
        <w:rPr>
          <w:rFonts w:cs="Times New Roman"/>
          <w:noProof/>
          <w:lang w:eastAsia="zh-CN"/>
        </w:rPr>
        <w:drawing>
          <wp:inline distT="0" distB="0" distL="0" distR="0" wp14:anchorId="11D401D2" wp14:editId="0D569AC0">
            <wp:extent cx="3146778" cy="194119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a:extLst>
                        <a:ext uri="{28A0092B-C50C-407E-A947-70E740481C1C}">
                          <a14:useLocalDpi xmlns:a14="http://schemas.microsoft.com/office/drawing/2010/main" val="0"/>
                        </a:ext>
                      </a:extLst>
                    </a:blip>
                    <a:srcRect b="827"/>
                    <a:stretch>
                      <a:fillRect/>
                    </a:stretch>
                  </pic:blipFill>
                  <pic:spPr bwMode="auto">
                    <a:xfrm>
                      <a:off x="0" y="0"/>
                      <a:ext cx="3256793" cy="2009062"/>
                    </a:xfrm>
                    <a:prstGeom prst="rect">
                      <a:avLst/>
                    </a:prstGeom>
                    <a:noFill/>
                    <a:ln>
                      <a:noFill/>
                    </a:ln>
                  </pic:spPr>
                </pic:pic>
              </a:graphicData>
            </a:graphic>
          </wp:inline>
        </w:drawing>
      </w:r>
      <w:r w:rsidRPr="00D41FC5">
        <w:rPr>
          <w:rFonts w:cs="Times New Roman"/>
          <w:noProof/>
          <w:lang w:eastAsia="zh-CN"/>
        </w:rPr>
        <w:drawing>
          <wp:inline distT="0" distB="0" distL="0" distR="0" wp14:anchorId="4E7B79D6" wp14:editId="71FDE885">
            <wp:extent cx="3088256" cy="194438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17"/>
                    <a:stretch/>
                  </pic:blipFill>
                  <pic:spPr bwMode="auto">
                    <a:xfrm>
                      <a:off x="0" y="0"/>
                      <a:ext cx="3237381" cy="2038270"/>
                    </a:xfrm>
                    <a:prstGeom prst="rect">
                      <a:avLst/>
                    </a:prstGeom>
                    <a:ln>
                      <a:noFill/>
                    </a:ln>
                    <a:extLst>
                      <a:ext uri="{53640926-AAD7-44D8-BBD7-CCE9431645EC}">
                        <a14:shadowObscured xmlns:a14="http://schemas.microsoft.com/office/drawing/2010/main"/>
                      </a:ext>
                    </a:extLst>
                  </pic:spPr>
                </pic:pic>
              </a:graphicData>
            </a:graphic>
          </wp:inline>
        </w:drawing>
      </w:r>
    </w:p>
    <w:p w14:paraId="437D7D50" w14:textId="77777777" w:rsidR="00120A99" w:rsidRPr="00D41FC5" w:rsidRDefault="00120A99" w:rsidP="00120A99">
      <w:pPr>
        <w:pStyle w:val="IOPText"/>
        <w:ind w:firstLineChars="1400" w:firstLine="2800"/>
        <w:rPr>
          <w:noProof/>
        </w:rPr>
      </w:pPr>
      <w:r w:rsidRPr="00D41FC5">
        <w:rPr>
          <w:rFonts w:cs="Times New Roman"/>
        </w:rPr>
        <w:t>(c)                                                                                        (</w:t>
      </w:r>
      <w:proofErr w:type="gramStart"/>
      <w:r w:rsidRPr="00D41FC5">
        <w:rPr>
          <w:rFonts w:cs="Times New Roman"/>
        </w:rPr>
        <w:t>d</w:t>
      </w:r>
      <w:proofErr w:type="gramEnd"/>
      <w:r w:rsidRPr="00D41FC5">
        <w:rPr>
          <w:rFonts w:cs="Times New Roman"/>
        </w:rPr>
        <w:t>)</w:t>
      </w:r>
    </w:p>
    <w:p w14:paraId="403D3D6E" w14:textId="77777777" w:rsidR="00120A99" w:rsidRPr="00D41FC5" w:rsidRDefault="00120A99" w:rsidP="00120A99">
      <w:pPr>
        <w:pStyle w:val="IOPText"/>
        <w:spacing w:line="240" w:lineRule="auto"/>
        <w:ind w:firstLine="0"/>
        <w:rPr>
          <w:noProof/>
        </w:rPr>
        <w:sectPr w:rsidR="00120A99" w:rsidRPr="00D41FC5" w:rsidSect="008953F7">
          <w:type w:val="continuous"/>
          <w:pgSz w:w="11906" w:h="16838" w:code="9"/>
          <w:pgMar w:top="1418" w:right="907" w:bottom="2041" w:left="907" w:header="709" w:footer="709" w:gutter="0"/>
          <w:cols w:space="227"/>
          <w:titlePg/>
          <w:docGrid w:linePitch="360"/>
        </w:sectPr>
      </w:pPr>
      <w:r w:rsidRPr="00D41FC5">
        <w:rPr>
          <w:noProof/>
        </w:rPr>
        <w:t>Figure 10. Typical phase trajectories and time histories of different movement motes: (a) the phase trajectories of pendulum-motion mode; (b) the time histories of pendulum-motion mode; (c) the phase trajectory of flywheel-motion mode; (d) the time history of flywheel-motion mode</w:t>
      </w:r>
    </w:p>
    <w:bookmarkEnd w:id="42"/>
    <w:p w14:paraId="760DE572" w14:textId="3C85AC7A" w:rsidR="008953F7" w:rsidRPr="00D41FC5" w:rsidRDefault="008953F7" w:rsidP="00120A99">
      <w:pPr>
        <w:pStyle w:val="IOPText"/>
        <w:ind w:firstLine="0"/>
        <w:rPr>
          <w:noProof/>
        </w:rPr>
      </w:pPr>
      <w:r w:rsidRPr="00D41FC5">
        <w:rPr>
          <w:noProof/>
        </w:rPr>
        <w:t>trajectories before and after removing the fixed magnets indicates that introducing the magnetic force enables the VEH system to have a multi-stable motion, as well as larger oscillation amplitude and velocity. As for the pendulum mode, the inter-well oscillation has a larger response amplitude and velocity than intra-well oscillation, which means that more kinetic energy can be converted into electricity.</w:t>
      </w:r>
    </w:p>
    <w:p w14:paraId="421D18CC" w14:textId="49B0A542" w:rsidR="002A426B" w:rsidRPr="00D41FC5" w:rsidRDefault="008953F7" w:rsidP="008953F7">
      <w:pPr>
        <w:pStyle w:val="IOPText"/>
        <w:rPr>
          <w:noProof/>
        </w:rPr>
      </w:pPr>
      <w:r w:rsidRPr="00D41FC5">
        <w:rPr>
          <w:noProof/>
        </w:rPr>
        <w:t xml:space="preserve">Figures 10(c) and 10(d) show the phase trajectory and time history of the angular motion in the flywheel mode under the sinusoidal excitation (amplitude: 20 mm; frequency: 7.5 Hz). Under certain conditions, the system can rotate continuously like a flywheel, as shown in Figure 10(c) and 10 (d). </w:t>
      </w:r>
      <w:r w:rsidRPr="00D41FC5">
        <w:rPr>
          <w:noProof/>
        </w:rPr>
        <w:t>Comparisons between Figure 10(a) and Figure 10(c) indicate that the maximum angular speed under the flywheel-mode is larger than that in the pendulum mode, causing more kinetic energy to be converted into electricity.</w:t>
      </w:r>
    </w:p>
    <w:p w14:paraId="6E04C414" w14:textId="0C8E224E" w:rsidR="00CE17EF" w:rsidRPr="00D41FC5" w:rsidRDefault="00CE17EF" w:rsidP="00CE17EF">
      <w:pPr>
        <w:pStyle w:val="IOPH2"/>
        <w:rPr>
          <w:highlight w:val="lightGray"/>
        </w:rPr>
      </w:pPr>
      <w:r w:rsidRPr="00D41FC5">
        <w:rPr>
          <w:lang w:eastAsia="zh-CN"/>
        </w:rPr>
        <w:t>6</w:t>
      </w:r>
      <w:r w:rsidRPr="00D41FC5">
        <w:t>.2 Frequency-response characteristics of the harvesting system</w:t>
      </w:r>
    </w:p>
    <w:p w14:paraId="0152A4B7" w14:textId="6D824D57" w:rsidR="00B41AD0" w:rsidRPr="00D41FC5" w:rsidRDefault="00B41AD0" w:rsidP="00B41AD0">
      <w:pPr>
        <w:pStyle w:val="IOPText"/>
        <w:rPr>
          <w:noProof/>
        </w:rPr>
      </w:pPr>
      <w:r w:rsidRPr="00D41FC5">
        <w:rPr>
          <w:noProof/>
        </w:rPr>
        <w:t xml:space="preserve">Introducing nonlinearity to energy harvesting systems is beneficial in broadening the band of response frequencies. This study conducts linear frequency-sweeping simulations to investigate the frequency-response characteristics of the </w:t>
      </w:r>
      <w:r w:rsidRPr="00D41FC5">
        <w:rPr>
          <w:noProof/>
        </w:rPr>
        <w:lastRenderedPageBreak/>
        <w:t xml:space="preserve">proposed VEH. During linear frequency sweepings, excitation amplitude </w:t>
      </w:r>
      <m:oMath>
        <m:r>
          <w:rPr>
            <w:rFonts w:ascii="Cambria Math" w:hAnsi="Cambria Math"/>
            <w:noProof/>
          </w:rPr>
          <m:t>A</m:t>
        </m:r>
      </m:oMath>
      <w:r w:rsidRPr="00D41FC5">
        <w:rPr>
          <w:noProof/>
        </w:rPr>
        <w:t xml:space="preserve"> remains constant, and excitation frequency </w:t>
      </w:r>
      <m:oMath>
        <m:r>
          <w:rPr>
            <w:rFonts w:ascii="Cambria Math" w:hAnsi="Cambria Math"/>
            <w:noProof/>
          </w:rPr>
          <m:t>f</m:t>
        </m:r>
      </m:oMath>
      <w:r w:rsidRPr="00D41FC5">
        <w:rPr>
          <w:noProof/>
        </w:rPr>
        <w:t xml:space="preserve"> increases linearly, which can be expressed as a function of time </w:t>
      </w:r>
      <m:oMath>
        <m:r>
          <w:rPr>
            <w:rFonts w:ascii="Cambria Math" w:hAnsi="Cambria Math"/>
            <w:noProof/>
          </w:rPr>
          <m:t>t</m:t>
        </m:r>
      </m:oMath>
      <w:r w:rsidRPr="00D41FC5">
        <w:rPr>
          <w:noProof/>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558"/>
      </w:tblGrid>
      <w:tr w:rsidR="00D41FC5" w:rsidRPr="00D41FC5" w14:paraId="3385261B" w14:textId="77777777" w:rsidTr="00B41AD0">
        <w:trPr>
          <w:trHeight w:val="355"/>
        </w:trPr>
        <w:tc>
          <w:tcPr>
            <w:tcW w:w="4379" w:type="dxa"/>
            <w:vAlign w:val="center"/>
            <w:hideMark/>
          </w:tcPr>
          <w:p w14:paraId="5C8EBF0D" w14:textId="77777777" w:rsidR="00B41AD0" w:rsidRPr="00D41FC5" w:rsidRDefault="00B41AD0" w:rsidP="00686818">
            <w:pPr>
              <w:snapToGrid w:val="0"/>
              <w:spacing w:beforeLines="50" w:before="120" w:afterLines="50" w:after="120"/>
              <w:jc w:val="center"/>
              <w:textAlignment w:val="center"/>
              <w:rPr>
                <w:rFonts w:ascii="Times New Roman" w:hAnsi="Times New Roman" w:cs="Times New Roman"/>
                <w:sz w:val="20"/>
                <w:szCs w:val="20"/>
              </w:rPr>
            </w:pPr>
            <m:oMathPara>
              <m:oMath>
                <m:r>
                  <w:rPr>
                    <w:rFonts w:ascii="Cambria Math" w:hAnsi="Cambria Math" w:cs="Times New Roman"/>
                    <w:sz w:val="20"/>
                    <w:szCs w:val="20"/>
                  </w:rPr>
                  <m:t>f</m:t>
                </m:r>
                <m:d>
                  <m:dPr>
                    <m:ctrlPr>
                      <w:rPr>
                        <w:rFonts w:ascii="Cambria Math" w:hAnsi="Cambria Math" w:cs="Times New Roman"/>
                        <w:i/>
                        <w:iCs/>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f</m:t>
                    </m:r>
                  </m:e>
                  <m:sub>
                    <m:r>
                      <w:rPr>
                        <w:rFonts w:ascii="Cambria Math" w:hAnsi="Cambria Math" w:cs="Times New Roman"/>
                        <w:sz w:val="20"/>
                        <w:szCs w:val="20"/>
                      </w:rPr>
                      <m:t>0</m:t>
                    </m:r>
                  </m:sub>
                </m:sSub>
                <m:r>
                  <w:rPr>
                    <w:rFonts w:ascii="Cambria Math" w:hAnsi="Cambria Math" w:cs="Times New Roman"/>
                    <w:sz w:val="20"/>
                    <w:szCs w:val="20"/>
                  </w:rPr>
                  <m:t>+</m:t>
                </m:r>
                <m:f>
                  <m:fPr>
                    <m:ctrlPr>
                      <w:rPr>
                        <w:rFonts w:ascii="Cambria Math" w:hAnsi="Cambria Math" w:cs="Times New Roman"/>
                        <w:i/>
                        <w:iCs/>
                        <w:sz w:val="20"/>
                        <w:szCs w:val="20"/>
                      </w:rPr>
                    </m:ctrlPr>
                  </m:fPr>
                  <m:num>
                    <m:sSub>
                      <m:sSubPr>
                        <m:ctrlPr>
                          <w:rPr>
                            <w:rFonts w:ascii="Cambria Math" w:hAnsi="Cambria Math" w:cs="Times New Roman"/>
                            <w:i/>
                            <w:iCs/>
                            <w:sz w:val="20"/>
                            <w:szCs w:val="20"/>
                          </w:rPr>
                        </m:ctrlPr>
                      </m:sSubPr>
                      <m:e>
                        <m:r>
                          <w:rPr>
                            <w:rFonts w:ascii="Cambria Math" w:hAnsi="Cambria Math" w:cs="Times New Roman"/>
                            <w:sz w:val="20"/>
                            <w:szCs w:val="20"/>
                          </w:rPr>
                          <m:t>f</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f</m:t>
                        </m:r>
                      </m:e>
                      <m:sub>
                        <m:r>
                          <w:rPr>
                            <w:rFonts w:ascii="Cambria Math" w:hAnsi="Cambria Math" w:cs="Times New Roman"/>
                            <w:sz w:val="20"/>
                            <w:szCs w:val="20"/>
                          </w:rPr>
                          <m:t>0</m:t>
                        </m:r>
                      </m:sub>
                    </m:sSub>
                  </m:num>
                  <m:den>
                    <m:r>
                      <w:rPr>
                        <w:rFonts w:ascii="Cambria Math" w:hAnsi="Cambria Math" w:cs="Times New Roman"/>
                        <w:sz w:val="20"/>
                        <w:szCs w:val="20"/>
                      </w:rPr>
                      <m:t>T</m:t>
                    </m:r>
                  </m:den>
                </m:f>
                <m:r>
                  <w:rPr>
                    <w:rFonts w:ascii="Cambria Math" w:hAnsi="Cambria Math" w:cs="Times New Roman"/>
                    <w:sz w:val="20"/>
                    <w:szCs w:val="20"/>
                  </w:rPr>
                  <m:t>∙t ,</m:t>
                </m:r>
              </m:oMath>
            </m:oMathPara>
          </w:p>
        </w:tc>
        <w:tc>
          <w:tcPr>
            <w:tcW w:w="558" w:type="dxa"/>
            <w:vAlign w:val="center"/>
            <w:hideMark/>
          </w:tcPr>
          <w:p w14:paraId="6B443A80" w14:textId="77777777" w:rsidR="00B41AD0" w:rsidRPr="00D41FC5" w:rsidRDefault="00B41AD0" w:rsidP="00686818">
            <w:pPr>
              <w:snapToGrid w:val="0"/>
              <w:spacing w:beforeLines="50" w:before="120" w:afterLines="50" w:after="120"/>
              <w:textAlignment w:val="center"/>
              <w:rPr>
                <w:rFonts w:ascii="Times New Roman" w:hAnsi="Times New Roman" w:cs="Times New Roman"/>
                <w:sz w:val="20"/>
                <w:szCs w:val="20"/>
              </w:rPr>
            </w:pPr>
            <w:r w:rsidRPr="00D41FC5">
              <w:rPr>
                <w:rFonts w:ascii="Times New Roman" w:hAnsi="Times New Roman" w:cs="Times New Roman"/>
                <w:sz w:val="20"/>
                <w:szCs w:val="20"/>
              </w:rPr>
              <w:t>(18)</w:t>
            </w:r>
          </w:p>
        </w:tc>
      </w:tr>
    </w:tbl>
    <w:p w14:paraId="6FCBEAE4" w14:textId="53C67781" w:rsidR="00B41AD0" w:rsidRPr="00D41FC5" w:rsidRDefault="00B41AD0" w:rsidP="00B41AD0">
      <w:pPr>
        <w:pStyle w:val="IOPText"/>
        <w:ind w:firstLine="0"/>
        <w:rPr>
          <w:noProof/>
        </w:rPr>
      </w:pPr>
      <w:r w:rsidRPr="00D41FC5">
        <w:rPr>
          <w:noProof/>
        </w:rPr>
        <w:t xml:space="preserve">where </w:t>
      </w:r>
      <m:oMath>
        <m:sSub>
          <m:sSubPr>
            <m:ctrlPr>
              <w:rPr>
                <w:rFonts w:ascii="Cambria Math" w:hAnsi="Cambria Math"/>
                <w:noProof/>
              </w:rPr>
            </m:ctrlPr>
          </m:sSubPr>
          <m:e>
            <m:r>
              <w:rPr>
                <w:rFonts w:ascii="Cambria Math" w:hAnsi="Cambria Math"/>
                <w:noProof/>
              </w:rPr>
              <m:t>f</m:t>
            </m:r>
          </m:e>
          <m:sub>
            <m:r>
              <m:rPr>
                <m:sty m:val="p"/>
              </m:rPr>
              <w:rPr>
                <w:rFonts w:ascii="Cambria Math" w:hAnsi="Cambria Math"/>
                <w:noProof/>
              </w:rPr>
              <m:t>0</m:t>
            </m:r>
          </m:sub>
        </m:sSub>
      </m:oMath>
      <w:r w:rsidRPr="00D41FC5">
        <w:rPr>
          <w:noProof/>
        </w:rPr>
        <w:t xml:space="preserve"> is the initial frequency; </w:t>
      </w:r>
      <m:oMath>
        <m:sSub>
          <m:sSubPr>
            <m:ctrlPr>
              <w:rPr>
                <w:rFonts w:ascii="Cambria Math" w:hAnsi="Cambria Math"/>
                <w:noProof/>
              </w:rPr>
            </m:ctrlPr>
          </m:sSubPr>
          <m:e>
            <m:r>
              <w:rPr>
                <w:rFonts w:ascii="Cambria Math" w:hAnsi="Cambria Math"/>
                <w:noProof/>
              </w:rPr>
              <m:t>f</m:t>
            </m:r>
          </m:e>
          <m:sub>
            <m:r>
              <m:rPr>
                <m:sty m:val="p"/>
              </m:rPr>
              <w:rPr>
                <w:rFonts w:ascii="Cambria Math" w:hAnsi="Cambria Math"/>
                <w:noProof/>
              </w:rPr>
              <m:t>1</m:t>
            </m:r>
          </m:sub>
        </m:sSub>
      </m:oMath>
      <w:r w:rsidRPr="00D41FC5">
        <w:rPr>
          <w:noProof/>
        </w:rPr>
        <w:t xml:space="preserve"> denotes the final frequency; </w:t>
      </w:r>
      <m:oMath>
        <m:r>
          <w:rPr>
            <w:rFonts w:ascii="Cambria Math" w:hAnsi="Cambria Math"/>
            <w:noProof/>
          </w:rPr>
          <m:t>T</m:t>
        </m:r>
      </m:oMath>
      <w:r w:rsidRPr="00D41FC5">
        <w:rPr>
          <w:noProof/>
        </w:rPr>
        <w:t xml:space="preserve"> stands for the time it takes to sweep from </w:t>
      </w:r>
      <m:oMath>
        <m:sSub>
          <m:sSubPr>
            <m:ctrlPr>
              <w:rPr>
                <w:rFonts w:ascii="Cambria Math" w:hAnsi="Cambria Math"/>
                <w:noProof/>
              </w:rPr>
            </m:ctrlPr>
          </m:sSubPr>
          <m:e>
            <m:r>
              <w:rPr>
                <w:rFonts w:ascii="Cambria Math" w:hAnsi="Cambria Math"/>
                <w:noProof/>
              </w:rPr>
              <m:t>f</m:t>
            </m:r>
          </m:e>
          <m:sub>
            <m:r>
              <m:rPr>
                <m:sty m:val="p"/>
              </m:rPr>
              <w:rPr>
                <w:rFonts w:ascii="Cambria Math" w:hAnsi="Cambria Math"/>
                <w:noProof/>
              </w:rPr>
              <m:t>0</m:t>
            </m:r>
          </m:sub>
        </m:sSub>
      </m:oMath>
      <w:r w:rsidRPr="00D41FC5">
        <w:rPr>
          <w:noProof/>
        </w:rPr>
        <w:t xml:space="preserve"> to </w:t>
      </w:r>
      <m:oMath>
        <m:sSub>
          <m:sSubPr>
            <m:ctrlPr>
              <w:rPr>
                <w:rFonts w:ascii="Cambria Math" w:hAnsi="Cambria Math"/>
                <w:noProof/>
              </w:rPr>
            </m:ctrlPr>
          </m:sSubPr>
          <m:e>
            <m:r>
              <w:rPr>
                <w:rFonts w:ascii="Cambria Math" w:hAnsi="Cambria Math"/>
                <w:noProof/>
              </w:rPr>
              <m:t>f</m:t>
            </m:r>
          </m:e>
          <m:sub>
            <m:r>
              <m:rPr>
                <m:sty m:val="p"/>
              </m:rPr>
              <w:rPr>
                <w:rFonts w:ascii="Cambria Math" w:hAnsi="Cambria Math"/>
                <w:noProof/>
              </w:rPr>
              <m:t>1</m:t>
            </m:r>
          </m:sub>
        </m:sSub>
      </m:oMath>
      <w:r w:rsidRPr="00D41FC5">
        <w:rPr>
          <w:noProof/>
        </w:rPr>
        <w:t>.</w:t>
      </w:r>
    </w:p>
    <w:p w14:paraId="531B8766" w14:textId="218B9915" w:rsidR="00686818" w:rsidRPr="00D41FC5" w:rsidRDefault="00686818">
      <w:pPr>
        <w:pStyle w:val="IOPText"/>
        <w:rPr>
          <w:noProof/>
        </w:rPr>
      </w:pPr>
      <w:r w:rsidRPr="00D41FC5">
        <w:rPr>
          <w:noProof/>
        </w:rPr>
        <w:t xml:space="preserve">The switch between the pendulum and flywheel modes mainly depends on external excitations. Generally, the pendulum mode corresponds to weak excitations, while the flywheel mode to the large excitations. To investigate the influence of distance </w:t>
      </w:r>
      <m:oMath>
        <m:r>
          <w:rPr>
            <w:rFonts w:ascii="Cambria Math" w:hAnsi="Cambria Math"/>
            <w:noProof/>
          </w:rPr>
          <m:t>D</m:t>
        </m:r>
      </m:oMath>
      <w:r w:rsidRPr="00D41FC5">
        <w:rPr>
          <w:noProof/>
        </w:rPr>
        <w:t xml:space="preserve"> on the dynamical responses and avoid the interference from the transition of motion modes, we perform frequency-sweeping simulations with small excitation amplitudes of 2 mm, 4mm, and 8 mm. Under weak excitations, the VEH always stays in the pendulum mode, allowing us to assess the influence of distance </w:t>
      </w:r>
      <m:oMath>
        <m:r>
          <w:rPr>
            <w:rFonts w:ascii="Cambria Math" w:hAnsi="Cambria Math"/>
            <w:noProof/>
          </w:rPr>
          <m:t>D</m:t>
        </m:r>
      </m:oMath>
      <w:r w:rsidRPr="00D41FC5">
        <w:rPr>
          <w:noProof/>
        </w:rPr>
        <w:t xml:space="preserve">. </w:t>
      </w:r>
    </w:p>
    <w:p w14:paraId="5A8FB156" w14:textId="0273AF70" w:rsidR="00120A99" w:rsidRPr="00D41FC5" w:rsidRDefault="00120A99" w:rsidP="00120A99">
      <w:pPr>
        <w:pStyle w:val="IOPText"/>
        <w:rPr>
          <w:noProof/>
        </w:rPr>
      </w:pPr>
      <w:r w:rsidRPr="00D41FC5">
        <w:rPr>
          <w:noProof/>
        </w:rPr>
        <w:t xml:space="preserve">For comparison, the angular displacement relative to the stable equilibrium point where the harvester initially stays is used to describe the dynamical response of this VEH. Figure 11 presents the angular displacement of the harvesting system at the magnet distances of 20 mm, 25 mm, 30 mm, 35 mm, and ‘INF’. Figure 11(a) and 11(b) </w:t>
      </w:r>
      <w:r w:rsidR="004E31ED" w:rsidRPr="00D41FC5">
        <w:rPr>
          <w:noProof/>
        </w:rPr>
        <w:t xml:space="preserve">depict </w:t>
      </w:r>
      <w:r w:rsidRPr="00D41FC5">
        <w:rPr>
          <w:noProof/>
        </w:rPr>
        <w:t>the angular displacements of forward and backward frequency-sweeping simulations.</w:t>
      </w:r>
    </w:p>
    <w:p w14:paraId="7FE36EB8" w14:textId="77777777" w:rsidR="00686818" w:rsidRPr="00D41FC5" w:rsidRDefault="00686818" w:rsidP="00A96B4E">
      <w:pPr>
        <w:pStyle w:val="IOPText"/>
        <w:rPr>
          <w:noProof/>
        </w:rPr>
      </w:pPr>
    </w:p>
    <w:p w14:paraId="664CE81F" w14:textId="144392D1" w:rsidR="00B41AD0" w:rsidRPr="00D41FC5" w:rsidRDefault="00B41AD0" w:rsidP="002E7CD0">
      <w:pPr>
        <w:pStyle w:val="IOPText"/>
        <w:ind w:firstLine="0"/>
        <w:rPr>
          <w:noProof/>
        </w:rPr>
      </w:pPr>
      <w:bookmarkStart w:id="43" w:name="_Hlk42502358"/>
      <w:r w:rsidRPr="00D41FC5">
        <w:rPr>
          <w:rFonts w:cs="Times New Roman"/>
          <w:noProof/>
          <w:lang w:eastAsia="zh-CN"/>
        </w:rPr>
        <w:drawing>
          <wp:inline distT="0" distB="0" distL="0" distR="0" wp14:anchorId="7F64128C" wp14:editId="7CE9A295">
            <wp:extent cx="3162300" cy="286520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rotWithShape="1">
                    <a:blip r:embed="rId28">
                      <a:extLst>
                        <a:ext uri="{28A0092B-C50C-407E-A947-70E740481C1C}">
                          <a14:useLocalDpi xmlns:a14="http://schemas.microsoft.com/office/drawing/2010/main" val="0"/>
                        </a:ext>
                      </a:extLst>
                    </a:blip>
                    <a:srcRect l="894"/>
                    <a:stretch/>
                  </pic:blipFill>
                  <pic:spPr bwMode="auto">
                    <a:xfrm>
                      <a:off x="0" y="0"/>
                      <a:ext cx="3282410" cy="2974029"/>
                    </a:xfrm>
                    <a:prstGeom prst="rect">
                      <a:avLst/>
                    </a:prstGeom>
                    <a:noFill/>
                    <a:ln>
                      <a:noFill/>
                    </a:ln>
                    <a:extLst>
                      <a:ext uri="{53640926-AAD7-44D8-BBD7-CCE9431645EC}">
                        <a14:shadowObscured xmlns:a14="http://schemas.microsoft.com/office/drawing/2010/main"/>
                      </a:ext>
                    </a:extLst>
                  </pic:spPr>
                </pic:pic>
              </a:graphicData>
            </a:graphic>
          </wp:inline>
        </w:drawing>
      </w:r>
    </w:p>
    <w:p w14:paraId="4800047A" w14:textId="3F6F90A2" w:rsidR="00B374A8" w:rsidRPr="00D41FC5" w:rsidRDefault="00B374A8" w:rsidP="00B374A8">
      <w:pPr>
        <w:pStyle w:val="IOPText"/>
        <w:spacing w:afterLines="100" w:after="240"/>
        <w:ind w:firstLine="0"/>
        <w:jc w:val="center"/>
        <w:rPr>
          <w:rFonts w:cs="Times New Roman"/>
          <w:szCs w:val="21"/>
        </w:rPr>
      </w:pPr>
      <w:r w:rsidRPr="00D41FC5">
        <w:rPr>
          <w:rFonts w:cs="Times New Roman"/>
          <w:szCs w:val="21"/>
        </w:rPr>
        <w:t>(</w:t>
      </w:r>
      <w:r w:rsidRPr="00D41FC5">
        <w:rPr>
          <w:rFonts w:cs="Times New Roman"/>
          <w:szCs w:val="21"/>
          <w:lang w:eastAsia="zh-CN"/>
        </w:rPr>
        <w:t>a</w:t>
      </w:r>
      <w:r w:rsidRPr="00D41FC5">
        <w:rPr>
          <w:rFonts w:cs="Times New Roman"/>
          <w:szCs w:val="21"/>
        </w:rPr>
        <w:t>)</w:t>
      </w:r>
    </w:p>
    <w:p w14:paraId="360C5DE3" w14:textId="4CF71099" w:rsidR="00641F6A" w:rsidRPr="00D41FC5" w:rsidRDefault="00641F6A" w:rsidP="00641F6A">
      <w:pPr>
        <w:pStyle w:val="IOPText"/>
        <w:spacing w:afterLines="100" w:after="240"/>
        <w:ind w:firstLine="0"/>
        <w:rPr>
          <w:rFonts w:cs="Times New Roman"/>
          <w:szCs w:val="21"/>
        </w:rPr>
      </w:pPr>
      <w:r w:rsidRPr="00D41FC5">
        <w:rPr>
          <w:noProof/>
          <w:lang w:eastAsia="zh-CN"/>
        </w:rPr>
        <w:drawing>
          <wp:inline distT="0" distB="0" distL="0" distR="0" wp14:anchorId="3D448AD5" wp14:editId="07A4727F">
            <wp:extent cx="3162300" cy="2644474"/>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3784" cy="2670802"/>
                    </a:xfrm>
                    <a:prstGeom prst="rect">
                      <a:avLst/>
                    </a:prstGeom>
                  </pic:spPr>
                </pic:pic>
              </a:graphicData>
            </a:graphic>
          </wp:inline>
        </w:drawing>
      </w:r>
    </w:p>
    <w:p w14:paraId="0156769C" w14:textId="3DB372A7" w:rsidR="00B374A8" w:rsidRPr="00D41FC5" w:rsidRDefault="00B374A8" w:rsidP="00A96B4E">
      <w:pPr>
        <w:pStyle w:val="IOPText"/>
        <w:ind w:firstLine="0"/>
        <w:jc w:val="center"/>
        <w:rPr>
          <w:rFonts w:cs="Times New Roman"/>
          <w:szCs w:val="21"/>
        </w:rPr>
      </w:pPr>
      <w:r w:rsidRPr="00D41FC5">
        <w:rPr>
          <w:rFonts w:cs="Times New Roman"/>
          <w:szCs w:val="21"/>
        </w:rPr>
        <w:t>(</w:t>
      </w:r>
      <w:r w:rsidRPr="00D41FC5">
        <w:rPr>
          <w:rFonts w:cs="Times New Roman"/>
          <w:szCs w:val="21"/>
          <w:lang w:eastAsia="zh-CN"/>
        </w:rPr>
        <w:t>b</w:t>
      </w:r>
      <w:r w:rsidRPr="00D41FC5">
        <w:rPr>
          <w:rFonts w:cs="Times New Roman"/>
          <w:szCs w:val="21"/>
        </w:rPr>
        <w:t>)</w:t>
      </w:r>
    </w:p>
    <w:p w14:paraId="36DEF928" w14:textId="64584CC6" w:rsidR="002A426B" w:rsidRPr="00D41FC5" w:rsidRDefault="00B41AD0" w:rsidP="002C4C64">
      <w:pPr>
        <w:pStyle w:val="IOPText"/>
        <w:spacing w:afterLines="100" w:after="240"/>
        <w:ind w:firstLine="0"/>
        <w:rPr>
          <w:noProof/>
          <w:lang w:eastAsia="zh-CN"/>
        </w:rPr>
      </w:pPr>
      <w:r w:rsidRPr="00D41FC5">
        <w:rPr>
          <w:noProof/>
        </w:rPr>
        <w:t>Figure 11. Frequency responses of angular displacement under different excitations</w:t>
      </w:r>
      <w:r w:rsidR="00B374A8" w:rsidRPr="00D41FC5">
        <w:rPr>
          <w:noProof/>
          <w:lang w:eastAsia="zh-CN"/>
        </w:rPr>
        <w:t>: (a) forward sweep; (b) backward sweep.</w:t>
      </w:r>
    </w:p>
    <w:bookmarkEnd w:id="43"/>
    <w:p w14:paraId="19EF4C47" w14:textId="57ACCC12" w:rsidR="002E2B18" w:rsidRPr="00D41FC5" w:rsidRDefault="001E213D" w:rsidP="001E213D">
      <w:pPr>
        <w:pStyle w:val="IOPText"/>
        <w:rPr>
          <w:noProof/>
        </w:rPr>
      </w:pPr>
      <w:r w:rsidRPr="00D41FC5">
        <w:rPr>
          <w:noProof/>
        </w:rPr>
        <w:t>For</w:t>
      </w:r>
      <w:r w:rsidR="00B374A8" w:rsidRPr="00D41FC5">
        <w:rPr>
          <w:noProof/>
          <w:lang w:eastAsia="zh-CN"/>
        </w:rPr>
        <w:t xml:space="preserve"> </w:t>
      </w:r>
      <w:r w:rsidR="002E2B18" w:rsidRPr="00D41FC5">
        <w:rPr>
          <w:noProof/>
          <w:lang w:eastAsia="zh-CN"/>
        </w:rPr>
        <w:t xml:space="preserve">the </w:t>
      </w:r>
      <w:r w:rsidR="00B374A8" w:rsidRPr="00D41FC5">
        <w:rPr>
          <w:noProof/>
          <w:lang w:eastAsia="zh-CN"/>
        </w:rPr>
        <w:t>forward</w:t>
      </w:r>
      <w:r w:rsidR="00E7166B" w:rsidRPr="00D41FC5">
        <w:rPr>
          <w:noProof/>
          <w:lang w:eastAsia="zh-CN"/>
        </w:rPr>
        <w:t xml:space="preserve"> </w:t>
      </w:r>
      <w:r w:rsidR="00B374A8" w:rsidRPr="00D41FC5">
        <w:rPr>
          <w:noProof/>
          <w:lang w:eastAsia="zh-CN"/>
        </w:rPr>
        <w:t>sweep</w:t>
      </w:r>
      <w:r w:rsidRPr="00D41FC5">
        <w:rPr>
          <w:noProof/>
        </w:rPr>
        <w:t>, the excitation frequency linearly increases from 0</w:t>
      </w:r>
      <w:r w:rsidR="002E2B18" w:rsidRPr="00D41FC5">
        <w:rPr>
          <w:noProof/>
        </w:rPr>
        <w:t xml:space="preserve"> Hz</w:t>
      </w:r>
      <w:r w:rsidRPr="00D41FC5">
        <w:rPr>
          <w:noProof/>
        </w:rPr>
        <w:t xml:space="preserve"> to 20 Hz in 200 s</w:t>
      </w:r>
      <w:r w:rsidR="00B374A8" w:rsidRPr="00D41FC5">
        <w:rPr>
          <w:noProof/>
          <w:lang w:eastAsia="zh-CN"/>
        </w:rPr>
        <w:t xml:space="preserve"> and decreases from 20</w:t>
      </w:r>
      <w:r w:rsidR="002E2B18" w:rsidRPr="00D41FC5">
        <w:rPr>
          <w:noProof/>
          <w:lang w:eastAsia="zh-CN"/>
        </w:rPr>
        <w:t xml:space="preserve"> Hz</w:t>
      </w:r>
      <w:r w:rsidR="00B374A8" w:rsidRPr="00D41FC5">
        <w:rPr>
          <w:noProof/>
          <w:lang w:eastAsia="zh-CN"/>
        </w:rPr>
        <w:t xml:space="preserve"> to 0 Hz for </w:t>
      </w:r>
      <w:r w:rsidR="00322C57" w:rsidRPr="00D41FC5">
        <w:rPr>
          <w:noProof/>
          <w:lang w:eastAsia="zh-CN"/>
        </w:rPr>
        <w:t xml:space="preserve">the </w:t>
      </w:r>
      <w:r w:rsidR="00B374A8" w:rsidRPr="00D41FC5">
        <w:rPr>
          <w:noProof/>
          <w:lang w:eastAsia="zh-CN"/>
        </w:rPr>
        <w:t>backward</w:t>
      </w:r>
      <w:r w:rsidR="002E2B18" w:rsidRPr="00D41FC5">
        <w:rPr>
          <w:noProof/>
          <w:lang w:eastAsia="zh-CN"/>
        </w:rPr>
        <w:t xml:space="preserve"> sweep</w:t>
      </w:r>
      <w:r w:rsidRPr="00D41FC5">
        <w:rPr>
          <w:noProof/>
        </w:rPr>
        <w:t>. Figure 11</w:t>
      </w:r>
      <w:r w:rsidR="00B374A8" w:rsidRPr="00D41FC5">
        <w:rPr>
          <w:noProof/>
        </w:rPr>
        <w:t>(a)</w:t>
      </w:r>
      <w:r w:rsidRPr="00D41FC5">
        <w:rPr>
          <w:noProof/>
        </w:rPr>
        <w:t xml:space="preserve"> shows that the first resonant peak occurs within the frequency range from 1 Hz to 5 Hz. The peak value of the first resonant peak grows with the decrease of the distance </w:t>
      </w:r>
      <m:oMath>
        <m:r>
          <w:rPr>
            <w:rFonts w:ascii="Cambria Math" w:hAnsi="Cambria Math"/>
            <w:noProof/>
          </w:rPr>
          <m:t>D</m:t>
        </m:r>
      </m:oMath>
      <w:r w:rsidRPr="00D41FC5">
        <w:rPr>
          <w:noProof/>
        </w:rPr>
        <w:t>, and the corresponding central frequency increases as well. According to Eq. (16) the natural frequencies of this system at different magnet distances are estimated: 20 mm: 4.97 Hz; 25 mm: 4.13 Hz; 30 mm: 3.60 Hz; 35 mm: 3.17 Hz; ‘INF’: 1.57 Hz. The estimated results show a good consistency with the central frequency of first resonant peaks at different magnet distances, indicating the correctness of Eq. (16). In the middle and lower subplots of Figure 11</w:t>
      </w:r>
      <w:r w:rsidR="00B374A8" w:rsidRPr="00D41FC5">
        <w:rPr>
          <w:noProof/>
        </w:rPr>
        <w:t>(a)</w:t>
      </w:r>
      <w:r w:rsidRPr="00D41FC5">
        <w:rPr>
          <w:noProof/>
        </w:rPr>
        <w:t xml:space="preserve">, the second resonant peaks appear in the frequency range from 6.0 Hz to 13 Hz when the magnet distance </w:t>
      </w:r>
      <m:oMath>
        <m:r>
          <w:rPr>
            <w:rFonts w:ascii="Cambria Math" w:hAnsi="Cambria Math"/>
            <w:noProof/>
          </w:rPr>
          <m:t>D</m:t>
        </m:r>
      </m:oMath>
      <w:r w:rsidRPr="00D41FC5">
        <w:rPr>
          <w:noProof/>
        </w:rPr>
        <w:t xml:space="preserve"> equals to 20 mm and 25 mm. The height of the second resonant peaks increases with the excitation amplitude but drops off when the magnet distance </w:t>
      </w:r>
      <m:oMath>
        <m:r>
          <w:rPr>
            <w:rFonts w:ascii="Cambria Math" w:hAnsi="Cambria Math"/>
            <w:noProof/>
          </w:rPr>
          <m:t>D</m:t>
        </m:r>
      </m:oMath>
      <w:r w:rsidRPr="00D41FC5">
        <w:rPr>
          <w:noProof/>
        </w:rPr>
        <w:t xml:space="preserve"> becomes larger. The above results indicate that decreasing the magnetic force and increasing excitation displacements are conducive to increasing the amplitude of dynamical responses. Moreover, the smaller the distance </w:t>
      </w:r>
      <m:oMath>
        <m:r>
          <w:rPr>
            <w:rFonts w:ascii="Cambria Math" w:hAnsi="Cambria Math"/>
            <w:noProof/>
          </w:rPr>
          <m:t>D</m:t>
        </m:r>
      </m:oMath>
      <w:r w:rsidRPr="00D41FC5">
        <w:rPr>
          <w:noProof/>
        </w:rPr>
        <w:t xml:space="preserve"> is, the more easily it is to cause the second resonant peak, broadening the response-frequency band.</w:t>
      </w:r>
      <w:r w:rsidR="00B374A8" w:rsidRPr="00D41FC5">
        <w:rPr>
          <w:noProof/>
        </w:rPr>
        <w:t xml:space="preserve"> </w:t>
      </w:r>
      <w:r w:rsidR="002E2B18" w:rsidRPr="00D41FC5">
        <w:rPr>
          <w:noProof/>
        </w:rPr>
        <w:t xml:space="preserve">Compared with the result of forward sweep in Figure 11(a), the second resonant peaks tend to move to low frequencies, as shown in Figure 11(b). </w:t>
      </w:r>
    </w:p>
    <w:p w14:paraId="38DE1CD4" w14:textId="5B3A2A28" w:rsidR="001E213D" w:rsidRPr="00D41FC5" w:rsidRDefault="001E213D" w:rsidP="001E213D">
      <w:pPr>
        <w:pStyle w:val="IOPText"/>
        <w:rPr>
          <w:noProof/>
        </w:rPr>
      </w:pPr>
      <w:r w:rsidRPr="00D41FC5">
        <w:rPr>
          <w:noProof/>
        </w:rPr>
        <w:t xml:space="preserve">The motion modes of the VEH change with base excitation, especially when excitation magnitude varies dramatically. Nonlinear dynamic behaviours, such as chaos and bifurcations, often occur when the VEH is subjected to intense excitations. This study carries out linear frequency-sweeping </w:t>
      </w:r>
      <w:r w:rsidRPr="00D41FC5">
        <w:rPr>
          <w:noProof/>
        </w:rPr>
        <w:lastRenderedPageBreak/>
        <w:t xml:space="preserve">simulations to investigate the influence of nonlinear dynamic behaviours on energy harvesting efficiency. During simulations, the excitation amplitude is fixed at 20 mm while frequency sweeping from 0 to 20 Hz takes 200 s. </w:t>
      </w:r>
    </w:p>
    <w:p w14:paraId="3C04C7DC" w14:textId="7B461900" w:rsidR="001E213D" w:rsidRPr="00D41FC5" w:rsidRDefault="001E213D" w:rsidP="001E213D">
      <w:pPr>
        <w:pStyle w:val="IOPText"/>
        <w:rPr>
          <w:rFonts w:cs="Times New Roman"/>
          <w:szCs w:val="21"/>
        </w:rPr>
      </w:pPr>
      <w:r w:rsidRPr="00D41FC5">
        <w:rPr>
          <w:noProof/>
        </w:rPr>
        <w:t xml:space="preserve">For a sinusoidal excitation with a constant frequency </w:t>
      </w:r>
      <m:oMath>
        <m:r>
          <w:rPr>
            <w:rFonts w:ascii="Cambria Math" w:hAnsi="Cambria Math"/>
            <w:noProof/>
          </w:rPr>
          <m:t>f</m:t>
        </m:r>
      </m:oMath>
      <w:r w:rsidRPr="00D41FC5">
        <w:rPr>
          <w:noProof/>
        </w:rPr>
        <w:t xml:space="preserve">, the point set of </w:t>
      </w:r>
      <m:oMath>
        <m:r>
          <m:rPr>
            <m:sty m:val="p"/>
          </m:rPr>
          <w:rPr>
            <w:rFonts w:ascii="Cambria Math" w:hAnsi="Cambria Math"/>
            <w:noProof/>
          </w:rPr>
          <m:t>Poincar</m:t>
        </m:r>
        <m:acc>
          <m:accPr>
            <m:chr m:val="́"/>
            <m:ctrlPr>
              <w:rPr>
                <w:rFonts w:ascii="Cambria Math" w:hAnsi="Cambria Math"/>
                <w:noProof/>
              </w:rPr>
            </m:ctrlPr>
          </m:accPr>
          <m:e>
            <m:r>
              <m:rPr>
                <m:sty m:val="p"/>
              </m:rPr>
              <w:rPr>
                <w:rFonts w:ascii="Cambria Math" w:hAnsi="Cambria Math"/>
                <w:noProof/>
              </w:rPr>
              <m:t>e</m:t>
            </m:r>
          </m:e>
        </m:acc>
      </m:oMath>
      <w:r w:rsidRPr="00D41FC5">
        <w:rPr>
          <w:noProof/>
        </w:rPr>
        <w:t xml:space="preserve"> sections, </w:t>
      </w:r>
      <m:oMath>
        <m:sSub>
          <m:sSubPr>
            <m:ctrlPr>
              <w:rPr>
                <w:rFonts w:ascii="Cambria Math" w:hAnsi="Cambria Math"/>
                <w:noProof/>
              </w:rPr>
            </m:ctrlPr>
          </m:sSubPr>
          <m:e>
            <m:r>
              <w:rPr>
                <w:rFonts w:ascii="Cambria Math" w:hAnsi="Cambria Math"/>
                <w:noProof/>
              </w:rPr>
              <m:t>P</m:t>
            </m:r>
          </m:e>
          <m:sub>
            <m:r>
              <w:rPr>
                <w:rFonts w:ascii="Cambria Math" w:hAnsi="Cambria Math"/>
                <w:noProof/>
              </w:rPr>
              <m:t>k</m:t>
            </m:r>
          </m:sub>
        </m:sSub>
      </m:oMath>
      <w:r w:rsidRPr="00D41FC5">
        <w:rPr>
          <w:noProof/>
        </w:rPr>
        <w:t xml:space="preserve">, can be extracted from time series </w:t>
      </w:r>
      <m:oMath>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x</m:t>
                </m:r>
              </m:e>
              <m:sub>
                <m:r>
                  <w:rPr>
                    <w:rFonts w:ascii="Cambria Math" w:hAnsi="Cambria Math"/>
                    <w:noProof/>
                  </w:rPr>
                  <m:t>i</m:t>
                </m:r>
              </m:sub>
            </m:sSub>
            <m:r>
              <m:rPr>
                <m:sty m:val="p"/>
              </m:rPr>
              <w:rPr>
                <w:rFonts w:ascii="Cambria Math" w:hAnsi="Cambria Math"/>
                <w:noProof/>
              </w:rPr>
              <m:t>|</m:t>
            </m:r>
            <m:r>
              <w:rPr>
                <w:rFonts w:ascii="Cambria Math" w:hAnsi="Cambria Math"/>
                <w:noProof/>
              </w:rPr>
              <m:t>i</m:t>
            </m:r>
            <m:r>
              <m:rPr>
                <m:sty m:val="p"/>
              </m:rPr>
              <w:rPr>
                <w:rFonts w:ascii="Cambria Math" w:hAnsi="Cambria Math"/>
                <w:noProof/>
              </w:rPr>
              <m:t>=1,2,…,</m:t>
            </m:r>
            <m:r>
              <w:rPr>
                <w:rFonts w:ascii="Cambria Math" w:hAnsi="Cambria Math"/>
                <w:noProof/>
              </w:rPr>
              <m:t>N</m:t>
            </m:r>
          </m:e>
        </m:d>
      </m:oMath>
      <w:bookmarkStart w:id="44" w:name="_Hlk42446771"/>
      <w:r w:rsidRPr="00D41FC5">
        <w:rPr>
          <w:rFonts w:hint="eastAsia"/>
          <w:noProof/>
          <w:lang w:eastAsia="zh-CN"/>
        </w:rPr>
        <w:t xml:space="preserve"> </w:t>
      </w:r>
      <w:r w:rsidRPr="00D41FC5">
        <w:rPr>
          <w:noProof/>
          <w:lang w:eastAsia="zh-CN"/>
        </w:rPr>
        <w:t>(</w:t>
      </w:r>
      <m:oMath>
        <m:r>
          <w:rPr>
            <w:rFonts w:ascii="Cambria Math" w:hAnsi="Cambria Math"/>
            <w:noProof/>
          </w:rPr>
          <m:t>N</m:t>
        </m:r>
      </m:oMath>
      <w:r w:rsidRPr="00D41FC5">
        <w:rPr>
          <w:rFonts w:hint="eastAsia"/>
          <w:iCs/>
          <w:noProof/>
          <w:lang w:eastAsia="zh-CN"/>
        </w:rPr>
        <w:t xml:space="preserve"> </w:t>
      </w:r>
      <w:r w:rsidRPr="00D41FC5">
        <w:rPr>
          <w:iCs/>
          <w:noProof/>
          <w:lang w:eastAsia="zh-CN"/>
        </w:rPr>
        <w:t>denotes the total number of signal points</w:t>
      </w:r>
      <w:r w:rsidRPr="00D41FC5">
        <w:rPr>
          <w:noProof/>
          <w:lang w:eastAsia="zh-CN"/>
        </w:rPr>
        <w:t>)</w:t>
      </w:r>
      <w:bookmarkEnd w:id="44"/>
      <w:r w:rsidRPr="00D41FC5">
        <w:rPr>
          <w:noProof/>
        </w:rPr>
        <w:t>, as given in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558"/>
      </w:tblGrid>
      <w:tr w:rsidR="00D41FC5" w:rsidRPr="00D41FC5" w14:paraId="202664A2" w14:textId="77777777" w:rsidTr="001E213D">
        <w:trPr>
          <w:trHeight w:val="355"/>
        </w:trPr>
        <w:tc>
          <w:tcPr>
            <w:tcW w:w="4379" w:type="dxa"/>
            <w:vAlign w:val="center"/>
            <w:hideMark/>
          </w:tcPr>
          <w:p w14:paraId="32667523" w14:textId="77777777" w:rsidR="001E213D" w:rsidRPr="00D41FC5" w:rsidRDefault="00C34992" w:rsidP="00686818">
            <w:pPr>
              <w:spacing w:beforeLines="50" w:before="120" w:afterLines="50" w:after="120"/>
              <w:ind w:firstLineChars="100" w:firstLine="200"/>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k</m:t>
                    </m:r>
                  </m:sub>
                </m:sSub>
                <m:r>
                  <m:rPr>
                    <m:sty m:val="p"/>
                  </m:rPr>
                  <w:rPr>
                    <w:rFonts w:ascii="Cambria Math" w:hAnsi="Cambria Math" w:cs="Times New Roman"/>
                    <w:sz w:val="20"/>
                    <w:szCs w:val="20"/>
                  </w:rPr>
                  <m:t>=</m:t>
                </m:r>
                <m:d>
                  <m:dPr>
                    <m:begChr m:val="{"/>
                    <m:endChr m:val="}"/>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j</m:t>
                        </m:r>
                      </m:sub>
                    </m:sSub>
                    <m:r>
                      <m:rPr>
                        <m:sty m:val="p"/>
                      </m:rPr>
                      <w:rPr>
                        <w:rFonts w:ascii="Cambria Math" w:hAnsi="Cambria Math" w:cs="Times New Roman"/>
                        <w:sz w:val="20"/>
                        <w:szCs w:val="20"/>
                      </w:rPr>
                      <m:t>|</m:t>
                    </m:r>
                    <m:r>
                      <w:rPr>
                        <w:rFonts w:ascii="Cambria Math" w:hAnsi="Cambria Math" w:cs="Times New Roman"/>
                        <w:sz w:val="20"/>
                        <w:szCs w:val="20"/>
                      </w:rPr>
                      <m:t>j</m:t>
                    </m:r>
                    <m:r>
                      <m:rPr>
                        <m:sty m:val="p"/>
                      </m:rPr>
                      <w:rPr>
                        <w:rFonts w:ascii="Cambria Math" w:hAnsi="Cambria Math" w:cs="Times New Roman"/>
                        <w:sz w:val="20"/>
                        <w:szCs w:val="20"/>
                      </w:rPr>
                      <m:t>=</m:t>
                    </m:r>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n</m:t>
                    </m:r>
                    <m:r>
                      <m:rPr>
                        <m:sty m:val="p"/>
                      </m:rPr>
                      <w:rPr>
                        <w:rFonts w:ascii="Cambria Math" w:hAnsi="Cambria Math" w:cs="Times New Roman"/>
                        <w:sz w:val="20"/>
                        <w:szCs w:val="20"/>
                      </w:rPr>
                      <m:t>,…+(</m:t>
                    </m:r>
                    <m:r>
                      <w:rPr>
                        <w:rFonts w:ascii="Cambria Math" w:hAnsi="Cambria Math" w:cs="Times New Roman"/>
                        <w:sz w:val="20"/>
                        <w:szCs w:val="20"/>
                      </w:rPr>
                      <m:t>M</m:t>
                    </m:r>
                    <m:r>
                      <m:rPr>
                        <m:sty m:val="p"/>
                      </m:rPr>
                      <w:rPr>
                        <w:rFonts w:ascii="Cambria Math" w:hAnsi="Cambria Math" w:cs="Times New Roman"/>
                        <w:sz w:val="20"/>
                        <w:szCs w:val="20"/>
                      </w:rPr>
                      <m:t>-1)</m:t>
                    </m:r>
                    <m:r>
                      <w:rPr>
                        <w:rFonts w:ascii="Cambria Math" w:hAnsi="Cambria Math" w:cs="Times New Roman"/>
                        <w:sz w:val="20"/>
                        <w:szCs w:val="20"/>
                      </w:rPr>
                      <m:t>n</m:t>
                    </m:r>
                  </m:e>
                </m:d>
                <m:r>
                  <m:rPr>
                    <m:sty m:val="p"/>
                  </m:rPr>
                  <w:rPr>
                    <w:rFonts w:ascii="Cambria Math" w:hAnsi="Cambria Math" w:cs="Times New Roman"/>
                    <w:sz w:val="20"/>
                    <w:szCs w:val="20"/>
                  </w:rPr>
                  <m:t>.</m:t>
                </m:r>
              </m:oMath>
            </m:oMathPara>
          </w:p>
        </w:tc>
        <w:tc>
          <w:tcPr>
            <w:tcW w:w="558" w:type="dxa"/>
            <w:vAlign w:val="center"/>
            <w:hideMark/>
          </w:tcPr>
          <w:p w14:paraId="1FA88C98" w14:textId="77777777" w:rsidR="001E213D" w:rsidRPr="00D41FC5" w:rsidRDefault="001E213D" w:rsidP="00686818">
            <w:pPr>
              <w:snapToGrid w:val="0"/>
              <w:spacing w:beforeLines="50" w:before="120" w:afterLines="50" w:after="120"/>
              <w:textAlignment w:val="center"/>
              <w:rPr>
                <w:rFonts w:ascii="Times New Roman" w:hAnsi="Times New Roman" w:cs="Times New Roman"/>
                <w:sz w:val="20"/>
                <w:szCs w:val="20"/>
              </w:rPr>
            </w:pPr>
            <w:r w:rsidRPr="00D41FC5">
              <w:rPr>
                <w:rFonts w:ascii="Times New Roman" w:hAnsi="Times New Roman" w:cs="Times New Roman"/>
                <w:sz w:val="20"/>
                <w:szCs w:val="20"/>
              </w:rPr>
              <w:t>(19)</w:t>
            </w:r>
          </w:p>
        </w:tc>
      </w:tr>
    </w:tbl>
    <w:p w14:paraId="19FEA42C" w14:textId="49DBF123" w:rsidR="001E213D" w:rsidRPr="00D41FC5" w:rsidRDefault="001E213D" w:rsidP="001E213D">
      <w:pPr>
        <w:pStyle w:val="IOPText"/>
        <w:rPr>
          <w:noProof/>
        </w:rPr>
      </w:pPr>
      <w:r w:rsidRPr="00D41FC5">
        <w:rPr>
          <w:noProof/>
        </w:rPr>
        <w:t xml:space="preserve">As the base excitation is sinusoidal and periodic, </w:t>
      </w:r>
      <m:oMath>
        <m:r>
          <w:rPr>
            <w:rFonts w:ascii="Cambria Math" w:hAnsi="Cambria Math"/>
            <w:noProof/>
          </w:rPr>
          <m:t>n</m:t>
        </m:r>
      </m:oMath>
      <w:r w:rsidRPr="00D41FC5">
        <w:rPr>
          <w:noProof/>
        </w:rPr>
        <w:t xml:space="preserve">, the number of points in one period of excitation, can be represented as </w:t>
      </w:r>
      <m:oMath>
        <m:r>
          <m:rPr>
            <m:sty m:val="p"/>
          </m:rPr>
          <w:rPr>
            <w:rFonts w:ascii="Cambria Math" w:hAnsi="Cambria Math"/>
            <w:noProof/>
          </w:rPr>
          <m:t>round(</m:t>
        </m:r>
        <m:f>
          <m:fPr>
            <m:ctrlPr>
              <w:rPr>
                <w:rFonts w:ascii="Cambria Math" w:hAnsi="Cambria Math"/>
                <w:noProof/>
              </w:rPr>
            </m:ctrlPr>
          </m:fPr>
          <m:num>
            <m:r>
              <m:rPr>
                <m:sty m:val="p"/>
              </m:rPr>
              <w:rPr>
                <w:rFonts w:ascii="Cambria Math" w:hAnsi="Cambria Math"/>
                <w:noProof/>
              </w:rPr>
              <m:t>1</m:t>
            </m:r>
          </m:num>
          <m:den>
            <m:r>
              <w:rPr>
                <w:rFonts w:ascii="Cambria Math" w:hAnsi="Cambria Math"/>
                <w:noProof/>
              </w:rPr>
              <m:t>f</m:t>
            </m:r>
            <m:r>
              <m:rPr>
                <m:sty m:val="p"/>
              </m:rPr>
              <w:rPr>
                <w:rFonts w:ascii="Cambria Math" w:hAnsi="Cambria Math"/>
                <w:noProof/>
              </w:rPr>
              <m:t>∙∆</m:t>
            </m:r>
            <m:r>
              <w:rPr>
                <w:rFonts w:ascii="Cambria Math" w:hAnsi="Cambria Math"/>
                <w:noProof/>
              </w:rPr>
              <m:t>t</m:t>
            </m:r>
          </m:den>
        </m:f>
        <m:r>
          <m:rPr>
            <m:sty m:val="p"/>
          </m:rPr>
          <w:rPr>
            <w:rFonts w:ascii="Cambria Math" w:hAnsi="Cambria Math"/>
            <w:noProof/>
          </w:rPr>
          <m:t>)</m:t>
        </m:r>
      </m:oMath>
      <w:r w:rsidRPr="00D41FC5">
        <w:rPr>
          <w:noProof/>
        </w:rPr>
        <w:t xml:space="preserve">, where </w:t>
      </w:r>
      <m:oMath>
        <m:r>
          <m:rPr>
            <m:sty m:val="p"/>
          </m:rPr>
          <w:rPr>
            <w:rFonts w:ascii="Cambria Math" w:hAnsi="Cambria Math"/>
            <w:noProof/>
          </w:rPr>
          <m:t>∆</m:t>
        </m:r>
        <m:r>
          <w:rPr>
            <w:rFonts w:ascii="Cambria Math" w:hAnsi="Cambria Math"/>
            <w:noProof/>
          </w:rPr>
          <m:t>t</m:t>
        </m:r>
      </m:oMath>
      <w:r w:rsidRPr="00D41FC5">
        <w:rPr>
          <w:noProof/>
        </w:rPr>
        <w:t xml:space="preserve"> is the time step in the </w:t>
      </w:r>
      <w:r w:rsidRPr="00D41FC5">
        <w:rPr>
          <w:noProof/>
        </w:rPr>
        <w:t xml:space="preserve">numerical integration. </w:t>
      </w:r>
      <m:oMath>
        <m:r>
          <w:rPr>
            <w:rFonts w:ascii="Cambria Math" w:hAnsi="Cambria Math"/>
            <w:noProof/>
          </w:rPr>
          <m:t>n</m:t>
        </m:r>
      </m:oMath>
      <w:r w:rsidRPr="00D41FC5">
        <w:rPr>
          <w:noProof/>
        </w:rPr>
        <w:t xml:space="preserve"> is also the period to resample the points of a </w:t>
      </w:r>
      <m:oMath>
        <m:r>
          <m:rPr>
            <m:sty m:val="p"/>
          </m:rPr>
          <w:rPr>
            <w:rFonts w:ascii="Cambria Math" w:hAnsi="Cambria Math"/>
            <w:noProof/>
          </w:rPr>
          <m:t>Poincar</m:t>
        </m:r>
        <m:acc>
          <m:accPr>
            <m:chr m:val="́"/>
            <m:ctrlPr>
              <w:rPr>
                <w:rFonts w:ascii="Cambria Math" w:hAnsi="Cambria Math"/>
                <w:noProof/>
              </w:rPr>
            </m:ctrlPr>
          </m:accPr>
          <m:e>
            <m:r>
              <m:rPr>
                <m:sty m:val="p"/>
              </m:rPr>
              <w:rPr>
                <w:rFonts w:ascii="Cambria Math" w:hAnsi="Cambria Math"/>
                <w:noProof/>
              </w:rPr>
              <m:t>e</m:t>
            </m:r>
          </m:e>
        </m:acc>
      </m:oMath>
      <w:r w:rsidRPr="00D41FC5">
        <w:rPr>
          <w:noProof/>
        </w:rPr>
        <w:t xml:space="preserve"> section; </w:t>
      </w:r>
      <m:oMath>
        <m:r>
          <w:rPr>
            <w:rFonts w:ascii="Cambria Math" w:hAnsi="Cambria Math"/>
            <w:noProof/>
          </w:rPr>
          <m:t>k</m:t>
        </m:r>
      </m:oMath>
      <w:r w:rsidRPr="00D41FC5">
        <w:rPr>
          <w:noProof/>
        </w:rPr>
        <w:t xml:space="preserve"> can be any integer within the range of </w:t>
      </w:r>
      <m:oMath>
        <m:r>
          <m:rPr>
            <m:sty m:val="p"/>
          </m:rPr>
          <w:rPr>
            <w:rFonts w:ascii="Cambria Math" w:hAnsi="Cambria Math"/>
            <w:noProof/>
          </w:rPr>
          <m:t>[</m:t>
        </m:r>
      </m:oMath>
      <w:r w:rsidRPr="00D41FC5">
        <w:rPr>
          <w:noProof/>
        </w:rPr>
        <w:t>1,</w:t>
      </w:r>
      <m:oMath>
        <m:r>
          <m:rPr>
            <m:sty m:val="p"/>
          </m:rPr>
          <w:rPr>
            <w:rFonts w:ascii="Cambria Math" w:hAnsi="Cambria Math"/>
            <w:noProof/>
          </w:rPr>
          <m:t xml:space="preserve"> </m:t>
        </m:r>
        <m:r>
          <w:rPr>
            <w:rFonts w:ascii="Cambria Math" w:hAnsi="Cambria Math"/>
            <w:noProof/>
          </w:rPr>
          <m:t>n</m:t>
        </m:r>
        <m:r>
          <m:rPr>
            <m:sty m:val="p"/>
          </m:rPr>
          <w:rPr>
            <w:rFonts w:ascii="Cambria Math" w:hAnsi="Cambria Math"/>
            <w:noProof/>
          </w:rPr>
          <m:t>]</m:t>
        </m:r>
      </m:oMath>
      <w:r w:rsidRPr="00D41FC5">
        <w:rPr>
          <w:noProof/>
        </w:rPr>
        <w:t xml:space="preserve">. Thus, we can extract the  </w:t>
      </w:r>
      <w:r w:rsidRPr="00D41FC5">
        <w:rPr>
          <w:i/>
          <w:noProof/>
        </w:rPr>
        <w:t>k</w:t>
      </w:r>
      <w:r w:rsidRPr="00D41FC5">
        <w:rPr>
          <w:noProof/>
        </w:rPr>
        <w:t>-th point in each period of excitation to form</w:t>
      </w:r>
      <w:r w:rsidR="00343E48" w:rsidRPr="00D41FC5">
        <w:rPr>
          <w:noProof/>
        </w:rPr>
        <w:t xml:space="preserve"> the</w:t>
      </w:r>
      <w:r w:rsidRPr="00D41FC5">
        <w:rPr>
          <w:noProof/>
        </w:rPr>
        <w:t xml:space="preserve"> series </w:t>
      </w:r>
      <m:oMath>
        <m:sSub>
          <m:sSubPr>
            <m:ctrlPr>
              <w:rPr>
                <w:rFonts w:ascii="Cambria Math" w:hAnsi="Cambria Math"/>
                <w:noProof/>
              </w:rPr>
            </m:ctrlPr>
          </m:sSubPr>
          <m:e>
            <m:r>
              <w:rPr>
                <w:rFonts w:ascii="Cambria Math" w:hAnsi="Cambria Math"/>
                <w:noProof/>
              </w:rPr>
              <m:t>P</m:t>
            </m:r>
          </m:e>
          <m:sub>
            <m:r>
              <w:rPr>
                <w:rFonts w:ascii="Cambria Math" w:hAnsi="Cambria Math"/>
                <w:noProof/>
              </w:rPr>
              <m:t>k</m:t>
            </m:r>
          </m:sub>
        </m:sSub>
      </m:oMath>
      <w:r w:rsidRPr="00D41FC5">
        <w:rPr>
          <w:noProof/>
        </w:rPr>
        <w:t xml:space="preserve">; </w:t>
      </w:r>
      <m:oMath>
        <m:r>
          <w:rPr>
            <w:rFonts w:ascii="Cambria Math" w:hAnsi="Cambria Math"/>
            <w:noProof/>
          </w:rPr>
          <m:t>M</m:t>
        </m:r>
      </m:oMath>
      <w:r w:rsidRPr="00D41FC5">
        <w:rPr>
          <w:noProof/>
        </w:rPr>
        <w:t xml:space="preserve"> denotes the size of </w:t>
      </w:r>
      <m:oMath>
        <m:sSub>
          <m:sSubPr>
            <m:ctrlPr>
              <w:rPr>
                <w:rFonts w:ascii="Cambria Math" w:hAnsi="Cambria Math"/>
                <w:noProof/>
              </w:rPr>
            </m:ctrlPr>
          </m:sSubPr>
          <m:e>
            <m:r>
              <w:rPr>
                <w:rFonts w:ascii="Cambria Math" w:hAnsi="Cambria Math"/>
                <w:noProof/>
              </w:rPr>
              <m:t>P</m:t>
            </m:r>
          </m:e>
          <m:sub>
            <m:r>
              <w:rPr>
                <w:rFonts w:ascii="Cambria Math" w:hAnsi="Cambria Math"/>
                <w:noProof/>
              </w:rPr>
              <m:t>k</m:t>
            </m:r>
          </m:sub>
        </m:sSub>
      </m:oMath>
      <w:r w:rsidRPr="00D41FC5">
        <w:rPr>
          <w:noProof/>
        </w:rPr>
        <w:t xml:space="preserve">, namely the total number of periods of excitation contained in the time series </w:t>
      </w:r>
      <m:oMath>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x</m:t>
                </m:r>
              </m:e>
              <m:sub>
                <m:r>
                  <w:rPr>
                    <w:rFonts w:ascii="Cambria Math" w:hAnsi="Cambria Math"/>
                    <w:noProof/>
                  </w:rPr>
                  <m:t>i</m:t>
                </m:r>
              </m:sub>
            </m:sSub>
            <m:r>
              <m:rPr>
                <m:sty m:val="p"/>
              </m:rPr>
              <w:rPr>
                <w:rFonts w:ascii="Cambria Math" w:hAnsi="Cambria Math"/>
                <w:noProof/>
              </w:rPr>
              <m:t>|</m:t>
            </m:r>
            <m:r>
              <w:rPr>
                <w:rFonts w:ascii="Cambria Math" w:hAnsi="Cambria Math"/>
                <w:noProof/>
              </w:rPr>
              <m:t>i</m:t>
            </m:r>
            <m:r>
              <m:rPr>
                <m:sty m:val="p"/>
              </m:rPr>
              <w:rPr>
                <w:rFonts w:ascii="Cambria Math" w:hAnsi="Cambria Math"/>
                <w:noProof/>
              </w:rPr>
              <m:t>=1,2,…,</m:t>
            </m:r>
            <m:r>
              <w:rPr>
                <w:rFonts w:ascii="Cambria Math" w:hAnsi="Cambria Math"/>
                <w:noProof/>
              </w:rPr>
              <m:t>N</m:t>
            </m:r>
          </m:e>
        </m:d>
      </m:oMath>
      <w:r w:rsidRPr="00D41FC5">
        <w:rPr>
          <w:noProof/>
        </w:rPr>
        <w:t xml:space="preserve">, satisfying </w:t>
      </w:r>
      <m:oMath>
        <m:r>
          <w:rPr>
            <w:rFonts w:ascii="Cambria Math" w:hAnsi="Cambria Math"/>
            <w:noProof/>
          </w:rPr>
          <m:t>k</m:t>
        </m:r>
        <m:r>
          <m:rPr>
            <m:sty m:val="p"/>
          </m:rPr>
          <w:rPr>
            <w:rFonts w:ascii="Cambria Math" w:hAnsi="Cambria Math"/>
            <w:noProof/>
          </w:rPr>
          <m:t>+</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r>
          <w:rPr>
            <w:rFonts w:ascii="Cambria Math" w:hAnsi="Cambria Math"/>
            <w:noProof/>
          </w:rPr>
          <m:t>n</m:t>
        </m:r>
        <m:r>
          <m:rPr>
            <m:sty m:val="p"/>
          </m:rPr>
          <w:rPr>
            <w:rFonts w:ascii="Cambria Math" w:hAnsi="Cambria Math"/>
            <w:noProof/>
          </w:rPr>
          <m:t>≤</m:t>
        </m:r>
        <m:r>
          <w:rPr>
            <w:rFonts w:ascii="Cambria Math" w:hAnsi="Cambria Math"/>
            <w:noProof/>
          </w:rPr>
          <m:t>N</m:t>
        </m:r>
      </m:oMath>
      <w:r w:rsidRPr="00D41FC5">
        <w:rPr>
          <w:noProof/>
        </w:rPr>
        <w:t xml:space="preserve">. However, as for linear frequency sweeping, the excitation frequency </w:t>
      </w:r>
      <m:oMath>
        <m:r>
          <w:rPr>
            <w:rFonts w:ascii="Cambria Math" w:hAnsi="Cambria Math"/>
            <w:noProof/>
          </w:rPr>
          <m:t>f</m:t>
        </m:r>
      </m:oMath>
      <w:r w:rsidRPr="00D41FC5">
        <w:rPr>
          <w:noProof/>
        </w:rPr>
        <w:t xml:space="preserve"> is a function of time </w:t>
      </w:r>
      <m:oMath>
        <m:r>
          <w:rPr>
            <w:rFonts w:ascii="Cambria Math" w:hAnsi="Cambria Math"/>
            <w:noProof/>
          </w:rPr>
          <m:t>t</m:t>
        </m:r>
      </m:oMath>
      <w:r w:rsidRPr="00D41FC5">
        <w:rPr>
          <w:noProof/>
        </w:rPr>
        <w:t xml:space="preserve"> expressed by Eq. (18). Therefore, the sampling period </w:t>
      </w:r>
      <m:oMath>
        <m:r>
          <w:rPr>
            <w:rFonts w:ascii="Cambria Math" w:hAnsi="Cambria Math"/>
            <w:noProof/>
          </w:rPr>
          <m:t>n</m:t>
        </m:r>
      </m:oMath>
      <w:r w:rsidRPr="00D41FC5">
        <w:rPr>
          <w:noProof/>
        </w:rPr>
        <w:t xml:space="preserve"> is time-varying and can be rewritten as follows: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557"/>
      </w:tblGrid>
      <w:tr w:rsidR="00D41FC5" w:rsidRPr="00D41FC5" w14:paraId="23C88DB1" w14:textId="77777777" w:rsidTr="00614A59">
        <w:trPr>
          <w:trHeight w:val="355"/>
        </w:trPr>
        <w:tc>
          <w:tcPr>
            <w:tcW w:w="4380" w:type="dxa"/>
            <w:vAlign w:val="center"/>
            <w:hideMark/>
          </w:tcPr>
          <w:p w14:paraId="4F96077E" w14:textId="46ECD3A8" w:rsidR="001E213D" w:rsidRPr="00D41FC5" w:rsidRDefault="001E213D" w:rsidP="00686818">
            <w:pPr>
              <w:snapToGrid w:val="0"/>
              <w:spacing w:beforeLines="50" w:before="120" w:afterLines="50" w:after="120"/>
              <w:jc w:val="center"/>
              <w:textAlignment w:val="center"/>
              <w:rPr>
                <w:rFonts w:ascii="Times New Roman" w:hAnsi="Times New Roman" w:cs="Times New Roman"/>
                <w:sz w:val="20"/>
                <w:szCs w:val="20"/>
              </w:rPr>
            </w:pPr>
            <m:oMath>
              <m:r>
                <w:rPr>
                  <w:rFonts w:ascii="Cambria Math" w:hAnsi="Cambria Math" w:cs="Times New Roman"/>
                  <w:sz w:val="20"/>
                  <w:szCs w:val="20"/>
                </w:rPr>
                <m:t>n</m:t>
              </m:r>
              <m:d>
                <m:dPr>
                  <m:ctrlPr>
                    <w:rPr>
                      <w:rFonts w:ascii="Cambria Math" w:hAnsi="Cambria Math" w:cs="Times New Roman"/>
                      <w:i/>
                      <w:iCs/>
                      <w:sz w:val="20"/>
                      <w:szCs w:val="20"/>
                    </w:rPr>
                  </m:ctrlPr>
                </m:dPr>
                <m:e>
                  <m:r>
                    <w:rPr>
                      <w:rFonts w:ascii="Cambria Math" w:hAnsi="Cambria Math" w:cs="Times New Roman"/>
                      <w:sz w:val="20"/>
                      <w:szCs w:val="20"/>
                    </w:rPr>
                    <m:t>t</m:t>
                  </m:r>
                </m:e>
              </m:d>
              <m:r>
                <w:rPr>
                  <w:rFonts w:ascii="Cambria Math" w:hAnsi="Cambria Math" w:cs="Times New Roman"/>
                  <w:sz w:val="20"/>
                  <w:szCs w:val="20"/>
                </w:rPr>
                <m:t>=</m:t>
              </m:r>
              <m:r>
                <m:rPr>
                  <m:sty m:val="p"/>
                </m:rPr>
                <w:rPr>
                  <w:rFonts w:ascii="Cambria Math" w:hAnsi="Cambria Math" w:cs="Times New Roman"/>
                  <w:sz w:val="20"/>
                  <w:szCs w:val="20"/>
                </w:rPr>
                <m:t>round</m:t>
              </m:r>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1</m:t>
                      </m:r>
                      <m:ctrlPr>
                        <w:rPr>
                          <w:rFonts w:ascii="Cambria Math" w:hAnsi="Cambria Math" w:cs="Times New Roman"/>
                          <w:i/>
                          <w:iCs/>
                          <w:sz w:val="20"/>
                          <w:szCs w:val="20"/>
                        </w:rPr>
                      </m:ctrlPr>
                    </m:num>
                    <m:den>
                      <m:r>
                        <w:rPr>
                          <w:rFonts w:ascii="Cambria Math" w:hAnsi="Cambria Math" w:cs="Times New Roman"/>
                          <w:sz w:val="20"/>
                          <w:szCs w:val="20"/>
                        </w:rPr>
                        <m:t>f(t)</m:t>
                      </m:r>
                      <m:r>
                        <m:rPr>
                          <m:sty m:val="p"/>
                        </m:rPr>
                        <w:rPr>
                          <w:rFonts w:ascii="Cambria Math" w:hAnsi="Cambria Math" w:cs="Times New Roman"/>
                          <w:sz w:val="20"/>
                          <w:szCs w:val="20"/>
                        </w:rPr>
                        <m:t>∙∆</m:t>
                      </m:r>
                      <m:r>
                        <w:rPr>
                          <w:rFonts w:ascii="Cambria Math" w:hAnsi="Cambria Math" w:cs="Times New Roman"/>
                          <w:sz w:val="20"/>
                          <w:szCs w:val="20"/>
                        </w:rPr>
                        <m:t>t</m:t>
                      </m:r>
                    </m:den>
                  </m:f>
                </m:e>
              </m:d>
            </m:oMath>
            <w:r w:rsidRPr="00D41FC5">
              <w:rPr>
                <w:rFonts w:ascii="Times New Roman" w:hAnsi="Times New Roman" w:cs="Times New Roman"/>
                <w:sz w:val="20"/>
                <w:szCs w:val="20"/>
              </w:rPr>
              <w:t>.</w:t>
            </w:r>
          </w:p>
        </w:tc>
        <w:tc>
          <w:tcPr>
            <w:tcW w:w="557" w:type="dxa"/>
            <w:vAlign w:val="center"/>
            <w:hideMark/>
          </w:tcPr>
          <w:p w14:paraId="49AA4291" w14:textId="77777777" w:rsidR="001E213D" w:rsidRPr="00D41FC5" w:rsidRDefault="001E213D" w:rsidP="00686818">
            <w:pPr>
              <w:snapToGrid w:val="0"/>
              <w:spacing w:beforeLines="50" w:before="120" w:afterLines="50" w:after="120"/>
              <w:textAlignment w:val="center"/>
              <w:rPr>
                <w:rFonts w:ascii="Times New Roman" w:hAnsi="Times New Roman" w:cs="Times New Roman"/>
                <w:sz w:val="20"/>
                <w:szCs w:val="20"/>
              </w:rPr>
            </w:pPr>
            <w:r w:rsidRPr="00D41FC5">
              <w:rPr>
                <w:rFonts w:ascii="Times New Roman" w:hAnsi="Times New Roman" w:cs="Times New Roman"/>
                <w:sz w:val="20"/>
                <w:szCs w:val="20"/>
              </w:rPr>
              <w:t>(20)</w:t>
            </w:r>
          </w:p>
        </w:tc>
      </w:tr>
    </w:tbl>
    <w:p w14:paraId="7C6B93DF" w14:textId="77777777" w:rsidR="00614A59" w:rsidRPr="00D41FC5" w:rsidRDefault="00614A59" w:rsidP="00614A59">
      <w:pPr>
        <w:pStyle w:val="IOPText"/>
        <w:ind w:firstLine="0"/>
        <w:rPr>
          <w:noProof/>
        </w:rPr>
      </w:pPr>
      <w:r w:rsidRPr="00D41FC5">
        <w:rPr>
          <w:noProof/>
        </w:rPr>
        <w:t xml:space="preserve">Currently, </w:t>
      </w:r>
      <m:oMath>
        <m:r>
          <w:rPr>
            <w:rFonts w:ascii="Cambria Math" w:hAnsi="Cambria Math"/>
            <w:noProof/>
          </w:rPr>
          <m:t>k</m:t>
        </m:r>
      </m:oMath>
      <w:r w:rsidRPr="00D41FC5">
        <w:rPr>
          <w:noProof/>
        </w:rPr>
        <w:t xml:space="preserve"> </w:t>
      </w:r>
      <w:r w:rsidRPr="00D41FC5">
        <w:rPr>
          <w:rFonts w:hint="eastAsia"/>
          <w:noProof/>
        </w:rPr>
        <w:t>should</w:t>
      </w:r>
      <w:r w:rsidRPr="00D41FC5">
        <w:rPr>
          <w:noProof/>
        </w:rPr>
        <w:t xml:space="preserve"> be a positive integer smaller than </w:t>
      </w:r>
      <m:oMath>
        <m:r>
          <w:rPr>
            <w:rFonts w:ascii="Cambria Math" w:hAnsi="Cambria Math"/>
            <w:noProof/>
          </w:rPr>
          <m:t>n</m:t>
        </m:r>
        <m:d>
          <m:dPr>
            <m:ctrlPr>
              <w:rPr>
                <w:rFonts w:ascii="Cambria Math" w:hAnsi="Cambria Math"/>
                <w:noProof/>
              </w:rPr>
            </m:ctrlPr>
          </m:dPr>
          <m:e>
            <m:r>
              <w:rPr>
                <w:rFonts w:ascii="Cambria Math" w:hAnsi="Cambria Math"/>
                <w:noProof/>
              </w:rPr>
              <m:t>t</m:t>
            </m:r>
          </m:e>
        </m:d>
      </m:oMath>
      <w:r w:rsidRPr="00D41FC5">
        <w:rPr>
          <w:noProof/>
        </w:rPr>
        <w:t xml:space="preserve">. </w:t>
      </w:r>
    </w:p>
    <w:p w14:paraId="36352357" w14:textId="77777777" w:rsidR="00686818" w:rsidRPr="00D41FC5" w:rsidRDefault="00686818" w:rsidP="00614A59">
      <w:pPr>
        <w:pStyle w:val="IOPText"/>
        <w:rPr>
          <w:noProof/>
        </w:rPr>
        <w:sectPr w:rsidR="00686818" w:rsidRPr="00D41FC5" w:rsidSect="0010389A">
          <w:type w:val="continuous"/>
          <w:pgSz w:w="11906" w:h="16838" w:code="9"/>
          <w:pgMar w:top="1418" w:right="907" w:bottom="2041" w:left="907" w:header="709" w:footer="709" w:gutter="0"/>
          <w:cols w:num="2" w:space="227"/>
          <w:titlePg/>
          <w:docGrid w:linePitch="360"/>
        </w:sectPr>
      </w:pPr>
    </w:p>
    <w:p w14:paraId="411A2DA0" w14:textId="77777777" w:rsidR="00686818" w:rsidRPr="00D41FC5" w:rsidRDefault="00686818" w:rsidP="00686818">
      <w:pPr>
        <w:pStyle w:val="IOPText"/>
        <w:spacing w:beforeLines="50" w:before="120"/>
        <w:ind w:firstLine="0"/>
        <w:rPr>
          <w:rFonts w:cs="Times New Roman"/>
          <w:szCs w:val="21"/>
        </w:rPr>
      </w:pPr>
      <w:bookmarkStart w:id="45" w:name="_Hlk42502387"/>
      <w:r w:rsidRPr="00D41FC5">
        <w:rPr>
          <w:rFonts w:cs="Times New Roman"/>
          <w:noProof/>
          <w:lang w:eastAsia="zh-CN"/>
        </w:rPr>
        <w:drawing>
          <wp:inline distT="0" distB="0" distL="0" distR="0" wp14:anchorId="0871E409" wp14:editId="1445ED7C">
            <wp:extent cx="3183147" cy="2208817"/>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7140" cy="2454456"/>
                    </a:xfrm>
                    <a:prstGeom prst="rect">
                      <a:avLst/>
                    </a:prstGeom>
                  </pic:spPr>
                </pic:pic>
              </a:graphicData>
            </a:graphic>
          </wp:inline>
        </w:drawing>
      </w:r>
      <w:r w:rsidRPr="00D41FC5">
        <w:rPr>
          <w:rFonts w:cs="Times New Roman"/>
          <w:noProof/>
          <w:lang w:eastAsia="zh-CN"/>
        </w:rPr>
        <w:drawing>
          <wp:inline distT="0" distB="0" distL="0" distR="0" wp14:anchorId="59B47B12" wp14:editId="7BE25740">
            <wp:extent cx="3156297" cy="2180072"/>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0279" cy="2320964"/>
                    </a:xfrm>
                    <a:prstGeom prst="rect">
                      <a:avLst/>
                    </a:prstGeom>
                  </pic:spPr>
                </pic:pic>
              </a:graphicData>
            </a:graphic>
          </wp:inline>
        </w:drawing>
      </w:r>
    </w:p>
    <w:p w14:paraId="24552C24" w14:textId="77777777" w:rsidR="00686818" w:rsidRPr="00D41FC5" w:rsidRDefault="00686818" w:rsidP="00686818">
      <w:pPr>
        <w:pStyle w:val="IOPText"/>
        <w:spacing w:line="360" w:lineRule="auto"/>
        <w:ind w:firstLineChars="1200" w:firstLine="2400"/>
        <w:rPr>
          <w:rFonts w:cs="Times New Roman"/>
        </w:rPr>
      </w:pPr>
      <w:r w:rsidRPr="00D41FC5">
        <w:rPr>
          <w:rFonts w:cs="Times New Roman"/>
        </w:rPr>
        <w:t>(a)                                                                                              (</w:t>
      </w:r>
      <w:proofErr w:type="gramStart"/>
      <w:r w:rsidRPr="00D41FC5">
        <w:rPr>
          <w:rFonts w:cs="Times New Roman"/>
        </w:rPr>
        <w:t>b</w:t>
      </w:r>
      <w:proofErr w:type="gramEnd"/>
      <w:r w:rsidRPr="00D41FC5">
        <w:rPr>
          <w:rFonts w:cs="Times New Roman"/>
        </w:rPr>
        <w:t>)</w:t>
      </w:r>
    </w:p>
    <w:p w14:paraId="728B32D2" w14:textId="77777777" w:rsidR="00686818" w:rsidRPr="00D41FC5" w:rsidRDefault="00686818" w:rsidP="00686818">
      <w:pPr>
        <w:pStyle w:val="IOPText"/>
        <w:ind w:firstLine="0"/>
        <w:rPr>
          <w:b/>
          <w:bCs/>
          <w:noProof/>
        </w:rPr>
      </w:pPr>
      <w:r w:rsidRPr="00D41FC5">
        <w:rPr>
          <w:rFonts w:cs="Times New Roman"/>
          <w:noProof/>
          <w:lang w:eastAsia="zh-CN"/>
        </w:rPr>
        <w:drawing>
          <wp:inline distT="0" distB="0" distL="0" distR="0" wp14:anchorId="353A19CD" wp14:editId="10FCA884">
            <wp:extent cx="3182620" cy="2196672"/>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19292" cy="2221983"/>
                    </a:xfrm>
                    <a:prstGeom prst="rect">
                      <a:avLst/>
                    </a:prstGeom>
                  </pic:spPr>
                </pic:pic>
              </a:graphicData>
            </a:graphic>
          </wp:inline>
        </w:drawing>
      </w:r>
      <w:r w:rsidRPr="00D41FC5">
        <w:rPr>
          <w:rFonts w:cs="Times New Roman"/>
          <w:noProof/>
          <w:lang w:eastAsia="zh-CN"/>
        </w:rPr>
        <w:drawing>
          <wp:inline distT="0" distB="0" distL="0" distR="0" wp14:anchorId="47D977AA" wp14:editId="7CD098EF">
            <wp:extent cx="3215134" cy="2233978"/>
            <wp:effectExtent l="0" t="0" r="444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7198" cy="2235412"/>
                    </a:xfrm>
                    <a:prstGeom prst="rect">
                      <a:avLst/>
                    </a:prstGeom>
                  </pic:spPr>
                </pic:pic>
              </a:graphicData>
            </a:graphic>
          </wp:inline>
        </w:drawing>
      </w:r>
    </w:p>
    <w:p w14:paraId="6129A902" w14:textId="77777777" w:rsidR="00686818" w:rsidRPr="00D41FC5" w:rsidRDefault="00686818" w:rsidP="00686818">
      <w:pPr>
        <w:pStyle w:val="IOPText"/>
        <w:spacing w:line="360" w:lineRule="auto"/>
        <w:ind w:firstLineChars="1200" w:firstLine="2400"/>
        <w:rPr>
          <w:rFonts w:cs="Times New Roman"/>
          <w:szCs w:val="21"/>
        </w:rPr>
      </w:pPr>
      <w:r w:rsidRPr="00D41FC5">
        <w:rPr>
          <w:rFonts w:cs="Times New Roman"/>
        </w:rPr>
        <w:t>(c)                                                                                              (</w:t>
      </w:r>
      <w:proofErr w:type="gramStart"/>
      <w:r w:rsidRPr="00D41FC5">
        <w:rPr>
          <w:rFonts w:cs="Times New Roman"/>
        </w:rPr>
        <w:t>d</w:t>
      </w:r>
      <w:proofErr w:type="gramEnd"/>
      <w:r w:rsidRPr="00D41FC5">
        <w:rPr>
          <w:rFonts w:cs="Times New Roman"/>
        </w:rPr>
        <w:t>)</w:t>
      </w:r>
    </w:p>
    <w:p w14:paraId="0EFD53D2" w14:textId="77777777" w:rsidR="00686818" w:rsidRPr="00D41FC5" w:rsidRDefault="00686818" w:rsidP="00686818">
      <w:pPr>
        <w:pStyle w:val="IOPText"/>
        <w:spacing w:afterLines="100" w:after="240"/>
        <w:ind w:firstLine="0"/>
        <w:rPr>
          <w:rFonts w:cs="Times New Roman"/>
          <w:szCs w:val="21"/>
        </w:rPr>
        <w:sectPr w:rsidR="00686818" w:rsidRPr="00D41FC5" w:rsidSect="00686818">
          <w:type w:val="continuous"/>
          <w:pgSz w:w="11906" w:h="16838" w:code="9"/>
          <w:pgMar w:top="1418" w:right="907" w:bottom="2041" w:left="907" w:header="709" w:footer="709" w:gutter="0"/>
          <w:cols w:space="227"/>
          <w:titlePg/>
          <w:docGrid w:linePitch="360"/>
        </w:sectPr>
      </w:pPr>
      <w:r w:rsidRPr="00D41FC5">
        <w:rPr>
          <w:rFonts w:cs="Times New Roman"/>
          <w:szCs w:val="21"/>
        </w:rPr>
        <w:t xml:space="preserve">Figure 12. Bifurcation diagrams and power spectrum density (PSD) curves of the responses of the harvesting system: (a) Bifurcation diagram when </w:t>
      </w:r>
      <m:oMath>
        <m:r>
          <w:rPr>
            <w:rFonts w:ascii="Cambria Math" w:hAnsi="Cambria Math" w:cs="Times New Roman"/>
            <w:szCs w:val="21"/>
          </w:rPr>
          <m:t>D=</m:t>
        </m:r>
        <m:r>
          <m:rPr>
            <m:sty m:val="p"/>
          </m:rPr>
          <w:rPr>
            <w:rFonts w:ascii="Cambria Math" w:hAnsi="Cambria Math" w:cs="Times New Roman"/>
            <w:szCs w:val="21"/>
          </w:rPr>
          <m:t>INF</m:t>
        </m:r>
      </m:oMath>
      <w:r w:rsidRPr="00D41FC5">
        <w:rPr>
          <w:rFonts w:cs="Times New Roman"/>
          <w:szCs w:val="21"/>
        </w:rPr>
        <w:t xml:space="preserve">; (b) Bifurcation diagram when </w:t>
      </w:r>
      <m:oMath>
        <m:r>
          <w:rPr>
            <w:rFonts w:ascii="Cambria Math" w:hAnsi="Cambria Math" w:cs="Times New Roman"/>
            <w:szCs w:val="21"/>
          </w:rPr>
          <m:t>D=</m:t>
        </m:r>
      </m:oMath>
      <w:r w:rsidRPr="00D41FC5">
        <w:rPr>
          <w:rFonts w:cs="Times New Roman"/>
          <w:szCs w:val="21"/>
        </w:rPr>
        <w:t xml:space="preserve">30 mm; (c) Bifurcation diagram when </w:t>
      </w:r>
      <m:oMath>
        <m:r>
          <w:rPr>
            <w:rFonts w:ascii="Cambria Math" w:hAnsi="Cambria Math" w:cs="Times New Roman"/>
            <w:szCs w:val="21"/>
          </w:rPr>
          <m:t>D=</m:t>
        </m:r>
      </m:oMath>
      <w:r w:rsidRPr="00D41FC5">
        <w:rPr>
          <w:rFonts w:cs="Times New Roman"/>
          <w:szCs w:val="21"/>
        </w:rPr>
        <w:t>20 mm; (d) PSD curves of angular velocity</w:t>
      </w:r>
    </w:p>
    <w:bookmarkEnd w:id="45"/>
    <w:p w14:paraId="278B7BD4" w14:textId="2F998D42" w:rsidR="00614A59" w:rsidRPr="00D41FC5" w:rsidRDefault="00614A59" w:rsidP="00614A59">
      <w:pPr>
        <w:pStyle w:val="IOPText"/>
        <w:rPr>
          <w:noProof/>
        </w:rPr>
      </w:pPr>
      <w:r w:rsidRPr="00D41FC5">
        <w:rPr>
          <w:noProof/>
        </w:rPr>
        <w:t xml:space="preserve">By using the above algorithm, the results of linear frequency sweeping are shown in Figure 12. Figure 12(a), 12(b), and 12(c) correspond to the results with the magnet distance of ‘INF,’ 30 mm, and 20 mm. The cyan lines denote </w:t>
      </w:r>
      <w:r w:rsidRPr="00D41FC5">
        <w:rPr>
          <w:noProof/>
        </w:rPr>
        <w:t xml:space="preserve">time series of angular displacement, angular velocity, and instantaneous power, and the black dots overlaid onto the time-series data are the stroboscopic sampling points (points of </w:t>
      </w:r>
      <m:oMath>
        <m:r>
          <m:rPr>
            <m:sty m:val="p"/>
          </m:rPr>
          <w:rPr>
            <w:rFonts w:ascii="Cambria Math" w:hAnsi="Cambria Math"/>
            <w:noProof/>
          </w:rPr>
          <m:t>Poincar</m:t>
        </m:r>
        <m:acc>
          <m:accPr>
            <m:chr m:val="́"/>
            <m:ctrlPr>
              <w:rPr>
                <w:rFonts w:ascii="Cambria Math" w:hAnsi="Cambria Math"/>
                <w:noProof/>
              </w:rPr>
            </m:ctrlPr>
          </m:accPr>
          <m:e>
            <m:r>
              <m:rPr>
                <m:sty m:val="p"/>
              </m:rPr>
              <w:rPr>
                <w:rFonts w:ascii="Cambria Math" w:hAnsi="Cambria Math"/>
                <w:noProof/>
              </w:rPr>
              <m:t>e</m:t>
            </m:r>
          </m:e>
        </m:acc>
      </m:oMath>
      <w:r w:rsidRPr="00D41FC5">
        <w:rPr>
          <w:noProof/>
        </w:rPr>
        <w:t xml:space="preserve"> sections). The time series shows the angular </w:t>
      </w:r>
      <w:r w:rsidRPr="00D41FC5">
        <w:rPr>
          <w:noProof/>
        </w:rPr>
        <w:lastRenderedPageBreak/>
        <w:t xml:space="preserve">displacement and velocity of the pendulum-flywheel structure at a given frequency. The stroboscopic points show the periodicity of the responses concerning excitation frequency. </w:t>
      </w:r>
    </w:p>
    <w:p w14:paraId="54FFE12E" w14:textId="2AEBBB64" w:rsidR="00B80892" w:rsidRPr="00D41FC5" w:rsidRDefault="00614A59" w:rsidP="00686818">
      <w:pPr>
        <w:pStyle w:val="IOPText"/>
        <w:rPr>
          <w:noProof/>
        </w:rPr>
      </w:pPr>
      <w:r w:rsidRPr="00D41FC5">
        <w:rPr>
          <w:noProof/>
        </w:rPr>
        <w:t xml:space="preserve">When </w:t>
      </w:r>
      <m:oMath>
        <m:r>
          <w:rPr>
            <w:rFonts w:ascii="Cambria Math" w:hAnsi="Cambria Math"/>
            <w:noProof/>
          </w:rPr>
          <m:t>D</m:t>
        </m:r>
      </m:oMath>
      <w:r w:rsidRPr="00D41FC5">
        <w:rPr>
          <w:noProof/>
        </w:rPr>
        <w:t>=INF, the VEH always stays in a periodical motion state with an increase of excitation frequency. The angular velocity and instantaneous power reach their maximum values at the frequency of 11.5 Hz. When</w:t>
      </w:r>
      <m:oMath>
        <m:r>
          <m:rPr>
            <m:sty m:val="p"/>
          </m:rPr>
          <w:rPr>
            <w:rFonts w:ascii="Cambria Math" w:hAnsi="Cambria Math"/>
            <w:noProof/>
          </w:rPr>
          <m:t xml:space="preserve"> </m:t>
        </m:r>
        <m:r>
          <w:rPr>
            <w:rFonts w:ascii="Cambria Math" w:hAnsi="Cambria Math"/>
            <w:noProof/>
          </w:rPr>
          <m:t>D</m:t>
        </m:r>
      </m:oMath>
      <w:r w:rsidRPr="00D41FC5">
        <w:rPr>
          <w:noProof/>
        </w:rPr>
        <w:t>=30 mm, the dynamic behaviour becomes more complicated; chaotic, quasi-periodic, and periodical oscillations occur and switch between them, as shown in the upper subplot of bifurcation in Figure 12(b). The VEH goes through a series of mode transitions: intra-well oscillation (periodic)</w:t>
      </w:r>
      <w:r w:rsidRPr="00D41FC5">
        <w:rPr>
          <w:rFonts w:hint="eastAsia"/>
          <w:noProof/>
        </w:rPr>
        <w:t>→</w:t>
      </w:r>
      <w:r w:rsidRPr="00D41FC5">
        <w:rPr>
          <w:rFonts w:hint="eastAsia"/>
          <w:noProof/>
        </w:rPr>
        <w:t xml:space="preserve"> </w:t>
      </w:r>
      <w:r w:rsidRPr="00D41FC5">
        <w:rPr>
          <w:noProof/>
        </w:rPr>
        <w:t>inter-well oscillation (chaotic)→ intra-well oscillation (periodic)→ inter-well oscillation (chaotic)</w:t>
      </w:r>
      <w:r w:rsidRPr="00D41FC5">
        <w:rPr>
          <w:rFonts w:hint="eastAsia"/>
          <w:noProof/>
        </w:rPr>
        <w:t>→</w:t>
      </w:r>
      <w:r w:rsidRPr="00D41FC5">
        <w:rPr>
          <w:noProof/>
        </w:rPr>
        <w:t xml:space="preserve"> inter-well oscillation (quasi-periodic)</w:t>
      </w:r>
      <w:r w:rsidRPr="00D41FC5">
        <w:rPr>
          <w:rFonts w:hint="eastAsia"/>
          <w:noProof/>
        </w:rPr>
        <w:t>→</w:t>
      </w:r>
      <w:r w:rsidRPr="00D41FC5">
        <w:rPr>
          <w:noProof/>
        </w:rPr>
        <w:t xml:space="preserve"> intra-well oscillation (periodic). </w:t>
      </w:r>
      <w:r w:rsidR="002C4C64" w:rsidRPr="00D41FC5">
        <w:rPr>
          <w:noProof/>
        </w:rPr>
        <w:t xml:space="preserve">As shown by the lower subplot of Figure 12(b), the instantaneous power reaches larger values within the frequency range from 2.5 Hz to 7.5Hz, especially during the chaotic oscillation. When </w:t>
      </w:r>
      <m:oMath>
        <m:r>
          <w:rPr>
            <w:rFonts w:ascii="Cambria Math" w:hAnsi="Cambria Math"/>
            <w:noProof/>
          </w:rPr>
          <m:t>D</m:t>
        </m:r>
      </m:oMath>
      <w:r w:rsidR="002C4C64" w:rsidRPr="00D41FC5">
        <w:rPr>
          <w:noProof/>
        </w:rPr>
        <w:t>=</w:t>
      </w:r>
      <w:r w:rsidR="00343E48" w:rsidRPr="00D41FC5">
        <w:rPr>
          <w:noProof/>
        </w:rPr>
        <w:t xml:space="preserve">20 </w:t>
      </w:r>
      <w:r w:rsidR="002C4C64" w:rsidRPr="00D41FC5">
        <w:rPr>
          <w:noProof/>
        </w:rPr>
        <w:t>mm, both pendulum</w:t>
      </w:r>
      <w:r w:rsidR="00686818" w:rsidRPr="00D41FC5">
        <w:rPr>
          <w:noProof/>
        </w:rPr>
        <w:t xml:space="preserve"> </w:t>
      </w:r>
      <w:r w:rsidR="002C4C64" w:rsidRPr="00D41FC5">
        <w:rPr>
          <w:noProof/>
        </w:rPr>
        <w:t xml:space="preserve">oscillation and flywheel </w:t>
      </w:r>
      <w:r w:rsidRPr="00D41FC5">
        <w:rPr>
          <w:noProof/>
        </w:rPr>
        <w:t>rotation appear during frequency sweeping, as shown in Figure 12(c). The middle subplot of Figure 12(c) shows that the VEH system experiences intra-well oscillation (periodic), flywheel rotation (chaotic), inter-well oscillation (chaotic), flywheel rotation (chaotic), and intra-well oscillation (periodic) in turn. The VEH system has a higher instantaneous power from 4 Hz to 11 Hz. Comparisons among the instantaneous powers in Figure 12(a), 12(b) and 12(c) illustrate that the maximum instantaneous power increases when reducing magnet distance, that is, energy harvesting efficiency can be promoted by reducing the magnet distance. Figure 12(d) presents the power spectral density (PSD) curves of angular velocity at magnet distances of ‘INF’, 30 mm, and 20 mm. The PSD curves become rougher and have larger values when reducing magnet distance, especially in the low-frequency range.</w:t>
      </w:r>
    </w:p>
    <w:p w14:paraId="052147CA" w14:textId="1D14C41C" w:rsidR="00043FC7" w:rsidRPr="00D41FC5" w:rsidRDefault="00043FC7" w:rsidP="00043FC7">
      <w:pPr>
        <w:pStyle w:val="IOPText"/>
        <w:rPr>
          <w:noProof/>
        </w:rPr>
      </w:pPr>
      <w:r w:rsidRPr="00D41FC5">
        <w:rPr>
          <w:noProof/>
        </w:rPr>
        <w:t>The above analyses indicate that reducing magnet distance can increase the nonlinearity of the VEH system, causing nonlinear dynamic behaviours, such as chaos and bifurcation. Compared with intra-well oscillation, nonlinear dynamic behaviours, including chaotic oscillation, inter-well oscillation, and flywheel rotation, have larger energy outputs. Therefore, we can control the nonlinearity of the system by adjusting magnet distance for improving energy harvesting efficiency.</w:t>
      </w:r>
    </w:p>
    <w:p w14:paraId="6DEF55CA" w14:textId="074F4D26" w:rsidR="00043FC7" w:rsidRPr="00D41FC5" w:rsidRDefault="00043FC7" w:rsidP="00043FC7">
      <w:pPr>
        <w:pStyle w:val="IOPH2"/>
        <w:rPr>
          <w:highlight w:val="lightGray"/>
        </w:rPr>
      </w:pPr>
      <w:r w:rsidRPr="00D41FC5">
        <w:rPr>
          <w:lang w:eastAsia="zh-CN"/>
        </w:rPr>
        <w:t>6</w:t>
      </w:r>
      <w:r w:rsidRPr="00D41FC5">
        <w:t>.</w:t>
      </w:r>
      <w:r w:rsidR="00F23CE6" w:rsidRPr="00D41FC5">
        <w:t>3</w:t>
      </w:r>
      <w:r w:rsidRPr="00D41FC5">
        <w:t xml:space="preserve"> The influence factors on the basins of attractions</w:t>
      </w:r>
    </w:p>
    <w:p w14:paraId="5B037CB5" w14:textId="3257731F" w:rsidR="00043FC7" w:rsidRPr="00D41FC5" w:rsidRDefault="003E35B9" w:rsidP="00043FC7">
      <w:pPr>
        <w:pStyle w:val="IOPText"/>
        <w:rPr>
          <w:noProof/>
        </w:rPr>
      </w:pPr>
      <w:r w:rsidRPr="00D41FC5">
        <w:rPr>
          <w:noProof/>
        </w:rPr>
        <w:t xml:space="preserve">Besides the magnet distance and base excitation, initial conditions of the system also have significant influences on the dynamical behaviours of the harvester. Calculating the basins of attractions of high energy orbits helps understand the system’s dynamic characteristics. Figure 13 shows the basins of attractions of six cases: Case 1: </w:t>
      </w:r>
      <m:oMath>
        <m:r>
          <w:rPr>
            <w:rFonts w:ascii="Cambria Math" w:hAnsi="Cambria Math"/>
            <w:noProof/>
          </w:rPr>
          <m:t>A</m:t>
        </m:r>
      </m:oMath>
      <w:r w:rsidRPr="00D41FC5">
        <w:rPr>
          <w:noProof/>
        </w:rPr>
        <w:t xml:space="preserve">=0 mm, </w:t>
      </w:r>
      <m:oMath>
        <m:r>
          <w:rPr>
            <w:rFonts w:ascii="Cambria Math" w:hAnsi="Cambria Math"/>
            <w:noProof/>
          </w:rPr>
          <m:t>f</m:t>
        </m:r>
      </m:oMath>
      <w:r w:rsidRPr="00D41FC5">
        <w:rPr>
          <w:noProof/>
        </w:rPr>
        <w:t xml:space="preserve">=0 Hz, </w:t>
      </w:r>
      <m:oMath>
        <m:r>
          <w:rPr>
            <w:rFonts w:ascii="Cambria Math" w:hAnsi="Cambria Math"/>
            <w:noProof/>
          </w:rPr>
          <m:t>D</m:t>
        </m:r>
      </m:oMath>
      <w:r w:rsidRPr="00D41FC5">
        <w:rPr>
          <w:noProof/>
        </w:rPr>
        <w:t xml:space="preserve">=30 mm; Case 2: </w:t>
      </w:r>
      <m:oMath>
        <m:r>
          <w:rPr>
            <w:rFonts w:ascii="Cambria Math" w:hAnsi="Cambria Math"/>
            <w:noProof/>
          </w:rPr>
          <m:t>A</m:t>
        </m:r>
      </m:oMath>
      <w:r w:rsidRPr="00D41FC5">
        <w:rPr>
          <w:noProof/>
        </w:rPr>
        <w:t>= 10 mm;</w:t>
      </w:r>
      <m:oMath>
        <m:r>
          <m:rPr>
            <m:sty m:val="p"/>
          </m:rPr>
          <w:rPr>
            <w:rFonts w:ascii="Cambria Math" w:hAnsi="Cambria Math"/>
            <w:noProof/>
          </w:rPr>
          <m:t xml:space="preserve"> </m:t>
        </m:r>
        <m:r>
          <w:rPr>
            <w:rFonts w:ascii="Cambria Math" w:hAnsi="Cambria Math"/>
            <w:noProof/>
          </w:rPr>
          <m:t>f</m:t>
        </m:r>
      </m:oMath>
      <w:r w:rsidRPr="00D41FC5">
        <w:rPr>
          <w:noProof/>
        </w:rPr>
        <w:t xml:space="preserve">=5 Hz; </w:t>
      </w:r>
      <m:oMath>
        <m:r>
          <w:rPr>
            <w:rFonts w:ascii="Cambria Math" w:hAnsi="Cambria Math"/>
            <w:noProof/>
          </w:rPr>
          <m:t>D</m:t>
        </m:r>
      </m:oMath>
      <w:r w:rsidRPr="00D41FC5">
        <w:rPr>
          <w:noProof/>
        </w:rPr>
        <w:t xml:space="preserve">=30 mm; Case 3: </w:t>
      </w:r>
      <m:oMath>
        <m:r>
          <w:rPr>
            <w:rFonts w:ascii="Cambria Math" w:hAnsi="Cambria Math"/>
            <w:noProof/>
          </w:rPr>
          <m:t>A</m:t>
        </m:r>
      </m:oMath>
      <w:r w:rsidRPr="00D41FC5">
        <w:rPr>
          <w:noProof/>
        </w:rPr>
        <w:t xml:space="preserve">=10 mm, </w:t>
      </w:r>
      <m:oMath>
        <m:r>
          <w:rPr>
            <w:rFonts w:ascii="Cambria Math" w:hAnsi="Cambria Math"/>
            <w:noProof/>
          </w:rPr>
          <m:t>f</m:t>
        </m:r>
      </m:oMath>
      <w:r w:rsidRPr="00D41FC5">
        <w:rPr>
          <w:noProof/>
        </w:rPr>
        <w:t xml:space="preserve">=7.5 Hz; </w:t>
      </w:r>
      <m:oMath>
        <m:r>
          <w:rPr>
            <w:rFonts w:ascii="Cambria Math" w:hAnsi="Cambria Math"/>
            <w:noProof/>
          </w:rPr>
          <m:t>D</m:t>
        </m:r>
      </m:oMath>
      <w:r w:rsidRPr="00D41FC5">
        <w:rPr>
          <w:noProof/>
        </w:rPr>
        <w:t>=30 mm; Case 4:</w:t>
      </w:r>
      <m:oMath>
        <m:r>
          <m:rPr>
            <m:sty m:val="p"/>
          </m:rPr>
          <w:rPr>
            <w:rFonts w:ascii="Cambria Math" w:hAnsi="Cambria Math"/>
            <w:noProof/>
          </w:rPr>
          <m:t xml:space="preserve"> </m:t>
        </m:r>
        <m:r>
          <w:rPr>
            <w:rFonts w:ascii="Cambria Math" w:hAnsi="Cambria Math"/>
            <w:noProof/>
          </w:rPr>
          <m:t>A</m:t>
        </m:r>
      </m:oMath>
      <w:r w:rsidRPr="00D41FC5">
        <w:rPr>
          <w:noProof/>
        </w:rPr>
        <w:t xml:space="preserve">=20 mm, </w:t>
      </w:r>
      <m:oMath>
        <m:r>
          <w:rPr>
            <w:rFonts w:ascii="Cambria Math" w:hAnsi="Cambria Math"/>
            <w:noProof/>
          </w:rPr>
          <m:t>f</m:t>
        </m:r>
      </m:oMath>
      <w:r w:rsidRPr="00D41FC5">
        <w:rPr>
          <w:noProof/>
        </w:rPr>
        <w:t xml:space="preserve">=7.5 Hz, </w:t>
      </w:r>
      <m:oMath>
        <m:r>
          <w:rPr>
            <w:rFonts w:ascii="Cambria Math" w:hAnsi="Cambria Math"/>
            <w:noProof/>
          </w:rPr>
          <m:t>D</m:t>
        </m:r>
      </m:oMath>
      <w:r w:rsidRPr="00D41FC5">
        <w:rPr>
          <w:noProof/>
        </w:rPr>
        <w:t xml:space="preserve">=30 mm; Case 5: </w:t>
      </w:r>
      <m:oMath>
        <m:r>
          <w:rPr>
            <w:rFonts w:ascii="Cambria Math" w:hAnsi="Cambria Math"/>
            <w:noProof/>
          </w:rPr>
          <m:t>A</m:t>
        </m:r>
      </m:oMath>
      <w:r w:rsidRPr="00D41FC5">
        <w:rPr>
          <w:noProof/>
        </w:rPr>
        <w:t xml:space="preserve">=20 mm, </w:t>
      </w:r>
      <m:oMath>
        <m:r>
          <w:rPr>
            <w:rFonts w:ascii="Cambria Math" w:hAnsi="Cambria Math"/>
            <w:noProof/>
          </w:rPr>
          <m:t>f</m:t>
        </m:r>
      </m:oMath>
      <w:r w:rsidRPr="00D41FC5">
        <w:rPr>
          <w:noProof/>
        </w:rPr>
        <w:t>=7.5 Hz,</w:t>
      </w:r>
      <m:oMath>
        <m:r>
          <m:rPr>
            <m:sty m:val="p"/>
          </m:rPr>
          <w:rPr>
            <w:rFonts w:ascii="Cambria Math" w:hAnsi="Cambria Math"/>
            <w:noProof/>
          </w:rPr>
          <m:t xml:space="preserve"> </m:t>
        </m:r>
        <m:r>
          <w:rPr>
            <w:rFonts w:ascii="Cambria Math" w:hAnsi="Cambria Math"/>
            <w:noProof/>
          </w:rPr>
          <m:t>D</m:t>
        </m:r>
      </m:oMath>
      <w:r w:rsidRPr="00D41FC5">
        <w:rPr>
          <w:noProof/>
        </w:rPr>
        <w:t xml:space="preserve">=25 mm; Case 6: </w:t>
      </w:r>
      <m:oMath>
        <m:r>
          <w:rPr>
            <w:rFonts w:ascii="Cambria Math" w:hAnsi="Cambria Math"/>
            <w:noProof/>
          </w:rPr>
          <m:t>A</m:t>
        </m:r>
      </m:oMath>
      <w:r w:rsidRPr="00D41FC5">
        <w:rPr>
          <w:noProof/>
        </w:rPr>
        <w:t xml:space="preserve">=20 mm, </w:t>
      </w:r>
      <m:oMath>
        <m:r>
          <w:rPr>
            <w:rFonts w:ascii="Cambria Math" w:hAnsi="Cambria Math"/>
            <w:noProof/>
          </w:rPr>
          <m:t>f</m:t>
        </m:r>
      </m:oMath>
      <w:r w:rsidRPr="00D41FC5">
        <w:rPr>
          <w:noProof/>
        </w:rPr>
        <w:t>=7.5 Hz,</w:t>
      </w:r>
      <m:oMath>
        <m:r>
          <m:rPr>
            <m:sty m:val="p"/>
          </m:rPr>
          <w:rPr>
            <w:rFonts w:ascii="Cambria Math" w:hAnsi="Cambria Math"/>
            <w:noProof/>
          </w:rPr>
          <m:t xml:space="preserve"> </m:t>
        </m:r>
        <m:r>
          <w:rPr>
            <w:rFonts w:ascii="Cambria Math" w:hAnsi="Cambria Math"/>
            <w:noProof/>
          </w:rPr>
          <m:t>D</m:t>
        </m:r>
      </m:oMath>
      <w:r w:rsidRPr="00D41FC5">
        <w:rPr>
          <w:noProof/>
        </w:rPr>
        <w:t>=30 mm (</w:t>
      </w:r>
      <m:oMath>
        <m:r>
          <w:rPr>
            <w:rFonts w:ascii="Cambria Math" w:hAnsi="Cambria Math"/>
            <w:noProof/>
          </w:rPr>
          <m:t>A</m:t>
        </m:r>
      </m:oMath>
      <w:r w:rsidRPr="00D41FC5">
        <w:rPr>
          <w:noProof/>
        </w:rPr>
        <w:t xml:space="preserve">: the amplitude of sinusoidal excitations; </w:t>
      </w:r>
      <m:oMath>
        <m:r>
          <w:rPr>
            <w:rFonts w:ascii="Cambria Math" w:hAnsi="Cambria Math"/>
            <w:noProof/>
          </w:rPr>
          <m:t>f</m:t>
        </m:r>
      </m:oMath>
      <w:r w:rsidRPr="00D41FC5">
        <w:rPr>
          <w:noProof/>
        </w:rPr>
        <w:t>: the frequency of sinusoidal excitations). Each figure is made by initialising initial conditions on a rectangular grid. Then, each initial condition is integrated forward to see which attractor its orbit finally approaches. If the orbit approaches the left attractor, a blue dot is drawn on the grid, and if the right one, a red dot is plotted. However, if the orbit remains a hunting oscillation between the two attractors, no dot is plotted.</w:t>
      </w:r>
    </w:p>
    <w:p w14:paraId="43BAE4EB" w14:textId="626B92D4" w:rsidR="00686818" w:rsidRPr="00D41FC5" w:rsidRDefault="007C4169" w:rsidP="00686818">
      <w:pPr>
        <w:pStyle w:val="IOPText"/>
        <w:rPr>
          <w:noProof/>
        </w:rPr>
      </w:pPr>
      <w:r w:rsidRPr="00D41FC5">
        <w:rPr>
          <w:rFonts w:cs="Times New Roman"/>
          <w:szCs w:val="21"/>
        </w:rPr>
        <w:t>Figure 13(a) demonstrates that the basins of attractions of the system have distinct boundaries and an anti-symmetry without base excitations. The orbits of all initial conditions eventually come to rest at the left or right attractors in Case 1. The VEH is subjected to a sinusoidal excitation (amplitude</w:t>
      </w:r>
      <w:proofErr w:type="gramStart"/>
      <w:r w:rsidRPr="00D41FC5">
        <w:rPr>
          <w:rFonts w:cs="Times New Roman"/>
          <w:szCs w:val="21"/>
        </w:rPr>
        <w:t>:10</w:t>
      </w:r>
      <w:proofErr w:type="gramEnd"/>
      <w:r w:rsidRPr="00D41FC5">
        <w:rPr>
          <w:rFonts w:cs="Times New Roman"/>
          <w:szCs w:val="21"/>
        </w:rPr>
        <w:t xml:space="preserve"> mm; frequency: 5 Hz) in Case 2. The boundaries of basins of attractions of Case 2 now display a fractal structure, which indicates that external excitations can make the system more sensitive to initial conditions. Besides, the anti-symmetry of the system also disappears after applying external excitations. Based on Case 2, the excitation frequency of Case 3 increases from 5 Hz to 7.5 Hz, and the excitation amplitude of Case 4 has a further increase from 10 mm to 20 mm. The comparisons among Case 2, Case 3, and Case 4 reveal that both the frequency and amplitude of excitations have influences on the topology of the basins of attractions. Case 4, Case 5, and Case 6 share the same sinusoidal excitation but different magnet distances. It </w:t>
      </w:r>
      <w:proofErr w:type="gramStart"/>
      <w:r w:rsidRPr="00D41FC5">
        <w:rPr>
          <w:rFonts w:cs="Times New Roman"/>
          <w:szCs w:val="21"/>
        </w:rPr>
        <w:t>can be seen</w:t>
      </w:r>
      <w:proofErr w:type="gramEnd"/>
      <w:r w:rsidRPr="00D41FC5">
        <w:rPr>
          <w:rFonts w:cs="Times New Roman"/>
          <w:szCs w:val="21"/>
        </w:rPr>
        <w:t xml:space="preserve"> from Figure 13(d), 13(e), and 13(f) that the closer the magnets are, the more complicated the topology of the</w:t>
      </w:r>
      <w:r w:rsidR="00343E48" w:rsidRPr="00D41FC5">
        <w:rPr>
          <w:rFonts w:cs="Times New Roman"/>
          <w:szCs w:val="21"/>
        </w:rPr>
        <w:t xml:space="preserve"> </w:t>
      </w:r>
      <w:r w:rsidRPr="00D41FC5">
        <w:rPr>
          <w:rFonts w:cs="Times New Roman"/>
          <w:szCs w:val="21"/>
        </w:rPr>
        <w:t>basins of attractions. The above analyses show that both excitations and magnet distance can change the sensitivity of the system to initial conditions.</w:t>
      </w:r>
    </w:p>
    <w:p w14:paraId="303F3EC3" w14:textId="77777777" w:rsidR="00120A99" w:rsidRPr="00D41FC5" w:rsidRDefault="00120A99" w:rsidP="00120A99">
      <w:pPr>
        <w:pStyle w:val="IOPH2"/>
        <w:rPr>
          <w:highlight w:val="lightGray"/>
        </w:rPr>
      </w:pPr>
      <w:r w:rsidRPr="00D41FC5">
        <w:rPr>
          <w:lang w:eastAsia="zh-CN"/>
        </w:rPr>
        <w:t>6</w:t>
      </w:r>
      <w:r w:rsidRPr="00D41FC5">
        <w:t>.4 The influence factors on the conversion from pendulum mode to flywheel mode</w:t>
      </w:r>
    </w:p>
    <w:p w14:paraId="05578F3E" w14:textId="69034ECB" w:rsidR="00120A99" w:rsidRPr="00D41FC5" w:rsidRDefault="00120A99" w:rsidP="00120A99">
      <w:pPr>
        <w:pStyle w:val="IOPText"/>
        <w:rPr>
          <w:rFonts w:cs="Times New Roman"/>
          <w:szCs w:val="21"/>
        </w:rPr>
      </w:pPr>
      <w:r w:rsidRPr="00D41FC5">
        <w:rPr>
          <w:rFonts w:cs="Times New Roman"/>
          <w:szCs w:val="21"/>
        </w:rPr>
        <w:t xml:space="preserve">One of the crucial differences between the pendulum and flywheel modes is energy conversion efficiency. Generally, the VEH system in the flywheel mode can harvest more energy than that in the pendulum mode. Therefore, this study investigates the influence factors on the occurrence of flywheel rotation. Figure 14(a) </w:t>
      </w:r>
      <w:proofErr w:type="gramStart"/>
      <w:r w:rsidRPr="00D41FC5">
        <w:rPr>
          <w:rFonts w:cs="Times New Roman"/>
          <w:szCs w:val="21"/>
        </w:rPr>
        <w:t>is made</w:t>
      </w:r>
      <w:proofErr w:type="gramEnd"/>
      <w:r w:rsidRPr="00D41FC5">
        <w:rPr>
          <w:rFonts w:cs="Times New Roman"/>
          <w:szCs w:val="21"/>
        </w:rPr>
        <w:t xml:space="preserve"> by dividing the amplitude and frequency of excitations into a rectangular grid. The motion trajectory under each excitation </w:t>
      </w:r>
      <w:proofErr w:type="gramStart"/>
      <w:r w:rsidRPr="00D41FC5">
        <w:rPr>
          <w:rFonts w:cs="Times New Roman"/>
          <w:szCs w:val="21"/>
        </w:rPr>
        <w:t>is integrated</w:t>
      </w:r>
      <w:proofErr w:type="gramEnd"/>
      <w:r w:rsidRPr="00D41FC5">
        <w:rPr>
          <w:rFonts w:cs="Times New Roman"/>
          <w:szCs w:val="21"/>
        </w:rPr>
        <w:t xml:space="preserve"> to see which motion modes the VEH system takes. If flywheel rotation occurs during integration, a mark (blue square: </w:t>
      </w:r>
      <m:oMath>
        <m:r>
          <w:rPr>
            <w:rFonts w:ascii="Cambria Math" w:hAnsi="Cambria Math" w:cs="Times New Roman"/>
            <w:szCs w:val="21"/>
          </w:rPr>
          <m:t>D</m:t>
        </m:r>
      </m:oMath>
      <w:r w:rsidRPr="00D41FC5">
        <w:rPr>
          <w:rFonts w:cs="Times New Roman"/>
          <w:szCs w:val="21"/>
        </w:rPr>
        <w:t>=20 mm; red circle</w:t>
      </w:r>
      <w:proofErr w:type="gramStart"/>
      <w:r w:rsidRPr="00D41FC5">
        <w:rPr>
          <w:rFonts w:cs="Times New Roman"/>
          <w:szCs w:val="21"/>
        </w:rPr>
        <w:t>:</w:t>
      </w:r>
      <w:proofErr w:type="gramEnd"/>
      <m:oMath>
        <m:r>
          <m:rPr>
            <m:sty m:val="p"/>
          </m:rPr>
          <w:rPr>
            <w:rFonts w:ascii="Cambria Math" w:hAnsi="Cambria Math" w:cs="Times New Roman"/>
            <w:szCs w:val="21"/>
          </w:rPr>
          <m:t xml:space="preserve"> </m:t>
        </m:r>
        <m:r>
          <w:rPr>
            <w:rFonts w:ascii="Cambria Math" w:hAnsi="Cambria Math" w:cs="Times New Roman"/>
            <w:szCs w:val="21"/>
          </w:rPr>
          <m:t>D</m:t>
        </m:r>
      </m:oMath>
      <w:r w:rsidRPr="00D41FC5">
        <w:rPr>
          <w:rFonts w:cs="Times New Roman"/>
          <w:szCs w:val="21"/>
        </w:rPr>
        <w:t xml:space="preserve">=30 mm; black dot: </w:t>
      </w:r>
      <m:oMath>
        <m:r>
          <w:rPr>
            <w:rFonts w:ascii="Cambria Math" w:hAnsi="Cambria Math" w:cs="Times New Roman"/>
            <w:szCs w:val="21"/>
          </w:rPr>
          <m:t>D</m:t>
        </m:r>
      </m:oMath>
      <w:r w:rsidRPr="00D41FC5">
        <w:rPr>
          <w:rFonts w:cs="Times New Roman"/>
          <w:szCs w:val="21"/>
        </w:rPr>
        <w:t xml:space="preserve">=INF) is plotted on the grid. The overlapped area of the blue squares, red circles, and black points in the upper right corner of Figure 14(a) indicates when the amplitude and frequency of excitation are large enough, the flywheel motion mode occurs regardless of the absence or presence of the magnetic force. However, numerous blue squares appear within the frequency range of 5-15 Hz in Figure 14(a), indicating that the magnetic force is </w:t>
      </w:r>
      <w:r w:rsidRPr="00D41FC5">
        <w:rPr>
          <w:rFonts w:cs="Times New Roman"/>
          <w:szCs w:val="21"/>
        </w:rPr>
        <w:lastRenderedPageBreak/>
        <w:t xml:space="preserve">helpful to cause flywheel motions even at small displacements and low frequencies. Figure 14(b) shows the comparison between the situations with or without the magnetic force. The VEH system is subjected to the same sinusoidal excitation (amplitude: 20.4 mm; frequency: 9.2 Hz) under the two situations. The upper subplot of Figure 14(b) shows that </w:t>
      </w:r>
      <w:r w:rsidRPr="00D41FC5">
        <w:rPr>
          <w:rFonts w:cs="Times New Roman"/>
          <w:szCs w:val="21"/>
        </w:rPr>
        <w:t>flywheel rotation occurs when the magnetic force exists, and this system remains in pendulum oscillation after removing the fixed magnet. Furthermore, the instantaneous power of the system in the flywheel mode is higher than that in the pendulum mode.</w:t>
      </w:r>
    </w:p>
    <w:p w14:paraId="33C292F2" w14:textId="77777777" w:rsidR="00120A99" w:rsidRPr="00D41FC5" w:rsidRDefault="00120A99" w:rsidP="00120A99">
      <w:pPr>
        <w:pStyle w:val="IOPText"/>
        <w:ind w:firstLine="0"/>
        <w:rPr>
          <w:noProof/>
        </w:rPr>
      </w:pPr>
    </w:p>
    <w:p w14:paraId="4C81426F" w14:textId="087CB89A" w:rsidR="00120A99" w:rsidRPr="00D41FC5" w:rsidRDefault="00120A99" w:rsidP="00120A99">
      <w:pPr>
        <w:pStyle w:val="IOPText"/>
        <w:ind w:firstLine="0"/>
        <w:rPr>
          <w:noProof/>
        </w:rPr>
        <w:sectPr w:rsidR="00120A99" w:rsidRPr="00D41FC5" w:rsidSect="00686818">
          <w:type w:val="continuous"/>
          <w:pgSz w:w="11906" w:h="16838" w:code="9"/>
          <w:pgMar w:top="1418" w:right="907" w:bottom="2041" w:left="907" w:header="709" w:footer="709" w:gutter="0"/>
          <w:cols w:num="2" w:space="227"/>
          <w:titlePg/>
          <w:docGrid w:linePitch="360"/>
        </w:sectPr>
      </w:pPr>
    </w:p>
    <w:p w14:paraId="3A766D2F" w14:textId="77777777" w:rsidR="009B72F1" w:rsidRPr="00D41FC5" w:rsidRDefault="00D144EC" w:rsidP="009B72F1">
      <w:pPr>
        <w:jc w:val="center"/>
        <w:rPr>
          <w:rFonts w:cs="Times New Roman"/>
        </w:rPr>
      </w:pPr>
      <w:bookmarkStart w:id="46" w:name="_Hlk42502540"/>
      <w:r w:rsidRPr="00D41FC5">
        <w:rPr>
          <w:noProof/>
          <w:lang w:eastAsia="zh-CN"/>
        </w:rPr>
        <w:drawing>
          <wp:inline distT="0" distB="0" distL="0" distR="0" wp14:anchorId="5444CC5E" wp14:editId="6BD4567F">
            <wp:extent cx="3200400" cy="1999102"/>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737"/>
                    <a:stretch/>
                  </pic:blipFill>
                  <pic:spPr bwMode="auto">
                    <a:xfrm>
                      <a:off x="0" y="0"/>
                      <a:ext cx="3403252" cy="2125812"/>
                    </a:xfrm>
                    <a:prstGeom prst="rect">
                      <a:avLst/>
                    </a:prstGeom>
                    <a:ln>
                      <a:noFill/>
                    </a:ln>
                    <a:extLst>
                      <a:ext uri="{53640926-AAD7-44D8-BBD7-CCE9431645EC}">
                        <a14:shadowObscured xmlns:a14="http://schemas.microsoft.com/office/drawing/2010/main"/>
                      </a:ext>
                    </a:extLst>
                  </pic:spPr>
                </pic:pic>
              </a:graphicData>
            </a:graphic>
          </wp:inline>
        </w:drawing>
      </w:r>
      <w:r w:rsidRPr="00D41FC5">
        <w:rPr>
          <w:noProof/>
          <w:lang w:eastAsia="zh-CN"/>
        </w:rPr>
        <w:drawing>
          <wp:inline distT="0" distB="0" distL="0" distR="0" wp14:anchorId="1BB9BEB9" wp14:editId="28152F71">
            <wp:extent cx="3178645" cy="2000250"/>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49083" cy="2044575"/>
                    </a:xfrm>
                    <a:prstGeom prst="rect">
                      <a:avLst/>
                    </a:prstGeom>
                  </pic:spPr>
                </pic:pic>
              </a:graphicData>
            </a:graphic>
          </wp:inline>
        </w:drawing>
      </w:r>
      <w:r w:rsidR="00686818" w:rsidRPr="00D41FC5">
        <w:rPr>
          <w:rFonts w:cs="Times New Roman"/>
        </w:rPr>
        <w:t>(a)                                                                                              (</w:t>
      </w:r>
      <w:proofErr w:type="gramStart"/>
      <w:r w:rsidR="00686818" w:rsidRPr="00D41FC5">
        <w:rPr>
          <w:rFonts w:cs="Times New Roman"/>
        </w:rPr>
        <w:t>b</w:t>
      </w:r>
      <w:proofErr w:type="gramEnd"/>
      <w:r w:rsidR="00686818" w:rsidRPr="00D41FC5">
        <w:rPr>
          <w:rFonts w:cs="Times New Roman"/>
        </w:rPr>
        <w:t>)</w:t>
      </w:r>
      <w:r w:rsidRPr="00D41FC5">
        <w:rPr>
          <w:noProof/>
          <w:lang w:eastAsia="zh-CN"/>
        </w:rPr>
        <w:drawing>
          <wp:inline distT="0" distB="0" distL="0" distR="0" wp14:anchorId="1BF7E75A" wp14:editId="70DF89E0">
            <wp:extent cx="3201688" cy="1990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002"/>
                    <a:stretch/>
                  </pic:blipFill>
                  <pic:spPr bwMode="auto">
                    <a:xfrm>
                      <a:off x="0" y="0"/>
                      <a:ext cx="3207896" cy="1994585"/>
                    </a:xfrm>
                    <a:prstGeom prst="rect">
                      <a:avLst/>
                    </a:prstGeom>
                    <a:ln>
                      <a:noFill/>
                    </a:ln>
                    <a:extLst>
                      <a:ext uri="{53640926-AAD7-44D8-BBD7-CCE9431645EC}">
                        <a14:shadowObscured xmlns:a14="http://schemas.microsoft.com/office/drawing/2010/main"/>
                      </a:ext>
                    </a:extLst>
                  </pic:spPr>
                </pic:pic>
              </a:graphicData>
            </a:graphic>
          </wp:inline>
        </w:drawing>
      </w:r>
      <w:r w:rsidRPr="00D41FC5">
        <w:rPr>
          <w:noProof/>
          <w:lang w:eastAsia="zh-CN"/>
        </w:rPr>
        <w:drawing>
          <wp:inline distT="0" distB="0" distL="0" distR="0" wp14:anchorId="2C33A9A8" wp14:editId="058A3379">
            <wp:extent cx="3206549" cy="20002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870"/>
                    <a:stretch/>
                  </pic:blipFill>
                  <pic:spPr bwMode="auto">
                    <a:xfrm>
                      <a:off x="0" y="0"/>
                      <a:ext cx="3214108" cy="2004965"/>
                    </a:xfrm>
                    <a:prstGeom prst="rect">
                      <a:avLst/>
                    </a:prstGeom>
                    <a:ln>
                      <a:noFill/>
                    </a:ln>
                    <a:extLst>
                      <a:ext uri="{53640926-AAD7-44D8-BBD7-CCE9431645EC}">
                        <a14:shadowObscured xmlns:a14="http://schemas.microsoft.com/office/drawing/2010/main"/>
                      </a:ext>
                    </a:extLst>
                  </pic:spPr>
                </pic:pic>
              </a:graphicData>
            </a:graphic>
          </wp:inline>
        </w:drawing>
      </w:r>
      <w:r w:rsidR="00686818" w:rsidRPr="00D41FC5">
        <w:rPr>
          <w:rFonts w:cs="Times New Roman"/>
        </w:rPr>
        <w:t>(c)                                                                                              (d)</w:t>
      </w:r>
    </w:p>
    <w:p w14:paraId="392271B5" w14:textId="4178E4BF" w:rsidR="00686818" w:rsidRPr="00D41FC5" w:rsidRDefault="00D144EC" w:rsidP="009B72F1">
      <w:pPr>
        <w:jc w:val="center"/>
        <w:rPr>
          <w:rFonts w:cs="Times New Roman"/>
        </w:rPr>
      </w:pPr>
      <w:r w:rsidRPr="00D41FC5">
        <w:rPr>
          <w:noProof/>
          <w:lang w:eastAsia="zh-CN"/>
        </w:rPr>
        <w:drawing>
          <wp:inline distT="0" distB="0" distL="0" distR="0" wp14:anchorId="20584B5E" wp14:editId="0FA21612">
            <wp:extent cx="3200400" cy="200769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98"/>
                    <a:stretch/>
                  </pic:blipFill>
                  <pic:spPr bwMode="auto">
                    <a:xfrm>
                      <a:off x="0" y="0"/>
                      <a:ext cx="3677181" cy="2306794"/>
                    </a:xfrm>
                    <a:prstGeom prst="rect">
                      <a:avLst/>
                    </a:prstGeom>
                    <a:ln>
                      <a:noFill/>
                    </a:ln>
                    <a:extLst>
                      <a:ext uri="{53640926-AAD7-44D8-BBD7-CCE9431645EC}">
                        <a14:shadowObscured xmlns:a14="http://schemas.microsoft.com/office/drawing/2010/main"/>
                      </a:ext>
                    </a:extLst>
                  </pic:spPr>
                </pic:pic>
              </a:graphicData>
            </a:graphic>
          </wp:inline>
        </w:drawing>
      </w:r>
      <w:r w:rsidRPr="00D41FC5">
        <w:rPr>
          <w:noProof/>
          <w:lang w:eastAsia="zh-CN"/>
        </w:rPr>
        <w:drawing>
          <wp:inline distT="0" distB="0" distL="0" distR="0" wp14:anchorId="7BDA0095" wp14:editId="7BDE4437">
            <wp:extent cx="3173264" cy="1981835"/>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752"/>
                    <a:stretch/>
                  </pic:blipFill>
                  <pic:spPr bwMode="auto">
                    <a:xfrm>
                      <a:off x="0" y="0"/>
                      <a:ext cx="3423389" cy="2138049"/>
                    </a:xfrm>
                    <a:prstGeom prst="rect">
                      <a:avLst/>
                    </a:prstGeom>
                    <a:ln>
                      <a:noFill/>
                    </a:ln>
                    <a:extLst>
                      <a:ext uri="{53640926-AAD7-44D8-BBD7-CCE9431645EC}">
                        <a14:shadowObscured xmlns:a14="http://schemas.microsoft.com/office/drawing/2010/main"/>
                      </a:ext>
                    </a:extLst>
                  </pic:spPr>
                </pic:pic>
              </a:graphicData>
            </a:graphic>
          </wp:inline>
        </w:drawing>
      </w:r>
      <w:r w:rsidR="00686818" w:rsidRPr="00D41FC5">
        <w:rPr>
          <w:rFonts w:cs="Times New Roman"/>
        </w:rPr>
        <w:t>(e)                                                                                              (</w:t>
      </w:r>
      <w:proofErr w:type="gramStart"/>
      <w:r w:rsidR="00686818" w:rsidRPr="00D41FC5">
        <w:rPr>
          <w:rFonts w:cs="Times New Roman"/>
        </w:rPr>
        <w:t>f</w:t>
      </w:r>
      <w:proofErr w:type="gramEnd"/>
      <w:r w:rsidR="00686818" w:rsidRPr="00D41FC5">
        <w:rPr>
          <w:rFonts w:cs="Times New Roman"/>
        </w:rPr>
        <w:t>)</w:t>
      </w:r>
    </w:p>
    <w:p w14:paraId="4684E6AB" w14:textId="77777777" w:rsidR="00686818" w:rsidRPr="00D41FC5" w:rsidRDefault="00686818" w:rsidP="00EC39B6">
      <w:pPr>
        <w:pStyle w:val="IOPText"/>
        <w:spacing w:afterLines="50" w:after="120"/>
        <w:ind w:firstLine="0"/>
        <w:rPr>
          <w:rFonts w:cs="Times New Roman"/>
          <w:szCs w:val="21"/>
        </w:rPr>
        <w:sectPr w:rsidR="00686818" w:rsidRPr="00D41FC5" w:rsidSect="007C4169">
          <w:type w:val="continuous"/>
          <w:pgSz w:w="11906" w:h="16838" w:code="9"/>
          <w:pgMar w:top="1418" w:right="907" w:bottom="2041" w:left="907" w:header="709" w:footer="709" w:gutter="0"/>
          <w:cols w:space="227"/>
          <w:titlePg/>
          <w:docGrid w:linePitch="360"/>
        </w:sectPr>
      </w:pPr>
      <w:r w:rsidRPr="00D41FC5">
        <w:rPr>
          <w:rFonts w:cs="Times New Roman"/>
          <w:szCs w:val="21"/>
        </w:rPr>
        <w:t>Figure 13. Basins of attractions of this pendulum-flywheel harvester: (a): Case 1; (b) Case 2; (c) Case 3; (d) Case 4; (e) Case 5; (f) Case 6</w:t>
      </w:r>
    </w:p>
    <w:p w14:paraId="393E1341" w14:textId="2F65563A" w:rsidR="00F23CE6" w:rsidRPr="00D41FC5" w:rsidRDefault="00114C34" w:rsidP="00043895">
      <w:pPr>
        <w:pStyle w:val="IOPText"/>
        <w:ind w:firstLine="0"/>
        <w:rPr>
          <w:noProof/>
        </w:rPr>
      </w:pPr>
      <w:bookmarkStart w:id="47" w:name="_Hlk42502600"/>
      <w:bookmarkEnd w:id="46"/>
      <w:r w:rsidRPr="00D41FC5">
        <w:rPr>
          <w:noProof/>
          <w:lang w:eastAsia="zh-CN"/>
        </w:rPr>
        <w:lastRenderedPageBreak/>
        <w:drawing>
          <wp:inline distT="0" distB="0" distL="0" distR="0" wp14:anchorId="5DA9B1D4" wp14:editId="35D35BAB">
            <wp:extent cx="3266790" cy="2052009"/>
            <wp:effectExtent l="0" t="0" r="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8830" cy="2097260"/>
                    </a:xfrm>
                    <a:prstGeom prst="rect">
                      <a:avLst/>
                    </a:prstGeom>
                  </pic:spPr>
                </pic:pic>
              </a:graphicData>
            </a:graphic>
          </wp:inline>
        </w:drawing>
      </w:r>
    </w:p>
    <w:p w14:paraId="2CB9D873" w14:textId="70B16DD8" w:rsidR="00043895" w:rsidRPr="00D41FC5" w:rsidRDefault="00043895" w:rsidP="00560445">
      <w:pPr>
        <w:pStyle w:val="IOPText"/>
        <w:spacing w:beforeLines="50" w:before="120" w:afterLines="50" w:after="120"/>
        <w:ind w:firstLine="0"/>
        <w:jc w:val="center"/>
        <w:rPr>
          <w:noProof/>
        </w:rPr>
      </w:pPr>
      <w:r w:rsidRPr="00D41FC5">
        <w:rPr>
          <w:rFonts w:cs="Times New Roman"/>
        </w:rPr>
        <w:t>(a)</w:t>
      </w:r>
    </w:p>
    <w:p w14:paraId="221311BF" w14:textId="41322777" w:rsidR="00043895" w:rsidRPr="00D41FC5" w:rsidRDefault="00043895" w:rsidP="00043895">
      <w:pPr>
        <w:pStyle w:val="IOPText"/>
        <w:ind w:firstLine="0"/>
        <w:rPr>
          <w:noProof/>
        </w:rPr>
      </w:pPr>
      <w:r w:rsidRPr="00D41FC5">
        <w:rPr>
          <w:rFonts w:cs="Times New Roman"/>
          <w:noProof/>
          <w:lang w:eastAsia="zh-CN"/>
        </w:rPr>
        <w:drawing>
          <wp:inline distT="0" distB="0" distL="0" distR="0" wp14:anchorId="3C20E935" wp14:editId="1F5D7BC4">
            <wp:extent cx="3154845" cy="1980713"/>
            <wp:effectExtent l="0" t="0" r="762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a:extLst>
                        <a:ext uri="{28A0092B-C50C-407E-A947-70E740481C1C}">
                          <a14:useLocalDpi xmlns:a14="http://schemas.microsoft.com/office/drawing/2010/main" val="0"/>
                        </a:ext>
                      </a:extLst>
                    </a:blip>
                    <a:srcRect t="3741" b="731"/>
                    <a:stretch>
                      <a:fillRect/>
                    </a:stretch>
                  </pic:blipFill>
                  <pic:spPr bwMode="auto">
                    <a:xfrm>
                      <a:off x="0" y="0"/>
                      <a:ext cx="3258237" cy="2045626"/>
                    </a:xfrm>
                    <a:prstGeom prst="rect">
                      <a:avLst/>
                    </a:prstGeom>
                    <a:noFill/>
                    <a:ln>
                      <a:noFill/>
                    </a:ln>
                  </pic:spPr>
                </pic:pic>
              </a:graphicData>
            </a:graphic>
          </wp:inline>
        </w:drawing>
      </w:r>
    </w:p>
    <w:p w14:paraId="070015DC" w14:textId="645ACDFB" w:rsidR="007C4169" w:rsidRPr="00D41FC5" w:rsidRDefault="008B53FD" w:rsidP="00686818">
      <w:pPr>
        <w:pStyle w:val="IOPText"/>
        <w:spacing w:beforeLines="50" w:before="120" w:afterLines="50" w:after="120" w:line="240" w:lineRule="auto"/>
        <w:jc w:val="center"/>
        <w:rPr>
          <w:noProof/>
        </w:rPr>
      </w:pPr>
      <w:r w:rsidRPr="00D41FC5">
        <w:rPr>
          <w:rFonts w:cs="Times New Roman"/>
        </w:rPr>
        <w:t>(b)</w:t>
      </w:r>
    </w:p>
    <w:p w14:paraId="7B255C8B" w14:textId="4E31BBC3" w:rsidR="007C4169" w:rsidRPr="00D41FC5" w:rsidRDefault="008B53FD" w:rsidP="00686818">
      <w:pPr>
        <w:pStyle w:val="IOPText"/>
        <w:spacing w:beforeLines="50" w:before="120" w:afterLines="50" w:after="120" w:line="240" w:lineRule="auto"/>
        <w:ind w:firstLine="0"/>
        <w:rPr>
          <w:rFonts w:cs="Times New Roman"/>
          <w:szCs w:val="21"/>
        </w:rPr>
      </w:pPr>
      <w:r w:rsidRPr="00D41FC5">
        <w:rPr>
          <w:rFonts w:cs="Times New Roman"/>
          <w:szCs w:val="21"/>
        </w:rPr>
        <w:t>Fig 14. Influence factors on the conversion of motion modes: (a) conditions for the occurrence of flywheel rotation; (b) the typical comparison between the pendulum and flywheel modes</w:t>
      </w:r>
    </w:p>
    <w:bookmarkEnd w:id="47"/>
    <w:p w14:paraId="6875B260" w14:textId="7C015A24" w:rsidR="008B53FD" w:rsidRPr="00D41FC5" w:rsidRDefault="008B53FD" w:rsidP="008B53FD">
      <w:pPr>
        <w:pStyle w:val="IOPH1"/>
        <w:rPr>
          <w:lang w:eastAsia="zh-CN"/>
        </w:rPr>
      </w:pPr>
      <w:r w:rsidRPr="00D41FC5">
        <w:rPr>
          <w:lang w:eastAsia="zh-CN"/>
        </w:rPr>
        <w:t>7. Experimental verification of the theoretical model</w:t>
      </w:r>
    </w:p>
    <w:p w14:paraId="7CD6F872" w14:textId="77777777" w:rsidR="004F6B61" w:rsidRPr="00D41FC5" w:rsidRDefault="004F6B61" w:rsidP="004F6B61">
      <w:pPr>
        <w:pStyle w:val="IOPText"/>
        <w:rPr>
          <w:rFonts w:cs="Times New Roman"/>
          <w:szCs w:val="21"/>
        </w:rPr>
      </w:pPr>
      <w:r w:rsidRPr="00D41FC5">
        <w:rPr>
          <w:rFonts w:cs="Times New Roman"/>
          <w:szCs w:val="21"/>
        </w:rPr>
        <w:t xml:space="preserve">The shake table (DC3200-36, by Suzhou Sushi Testing Instrument Co., Ltd.) utilised in experiments has an operating frequency range of 5-2000 Hz and a maximum horizontal displacement of 20 mm. During tests, the frame of the harvester </w:t>
      </w:r>
      <w:proofErr w:type="gramStart"/>
      <w:r w:rsidRPr="00D41FC5">
        <w:rPr>
          <w:rFonts w:cs="Times New Roman"/>
          <w:szCs w:val="21"/>
        </w:rPr>
        <w:t>is mounted</w:t>
      </w:r>
      <w:proofErr w:type="gramEnd"/>
      <w:r w:rsidRPr="00D41FC5">
        <w:rPr>
          <w:rFonts w:cs="Times New Roman"/>
          <w:szCs w:val="21"/>
        </w:rPr>
        <w:t xml:space="preserve"> on the horizontal table by bolts. Bluetooth-version gyroscope is stuck as an accessory on the fan-shaped pendulum. Angular velocity of the pendulum structure </w:t>
      </w:r>
      <w:proofErr w:type="gramStart"/>
      <w:r w:rsidRPr="00D41FC5">
        <w:rPr>
          <w:rFonts w:cs="Times New Roman"/>
          <w:szCs w:val="21"/>
        </w:rPr>
        <w:t>is recorded at a sampling frequency of 200 Hz and transmitted to the computer in real-time via Bluetooth</w:t>
      </w:r>
      <w:proofErr w:type="gramEnd"/>
      <w:r w:rsidRPr="00D41FC5">
        <w:rPr>
          <w:rFonts w:cs="Times New Roman"/>
          <w:szCs w:val="21"/>
        </w:rPr>
        <w:t xml:space="preserve">. The DC generator and an electrical load with the same resistance </w:t>
      </w:r>
      <w:proofErr w:type="gramStart"/>
      <w:r w:rsidRPr="00D41FC5">
        <w:rPr>
          <w:rFonts w:cs="Times New Roman"/>
          <w:szCs w:val="21"/>
        </w:rPr>
        <w:t>are connected</w:t>
      </w:r>
      <w:proofErr w:type="gramEnd"/>
      <w:r w:rsidRPr="00D41FC5">
        <w:rPr>
          <w:rFonts w:cs="Times New Roman"/>
          <w:szCs w:val="21"/>
        </w:rPr>
        <w:t xml:space="preserve"> to a closed circuit. The voltage across the electrical load </w:t>
      </w:r>
      <w:proofErr w:type="gramStart"/>
      <w:r w:rsidRPr="00D41FC5">
        <w:rPr>
          <w:rFonts w:cs="Times New Roman"/>
          <w:szCs w:val="21"/>
        </w:rPr>
        <w:t>is recorded</w:t>
      </w:r>
      <w:proofErr w:type="gramEnd"/>
      <w:r w:rsidRPr="00D41FC5">
        <w:rPr>
          <w:rFonts w:cs="Times New Roman"/>
          <w:szCs w:val="21"/>
        </w:rPr>
        <w:t xml:space="preserve"> with an oscilloscope (TPS2000, by Tektronix, </w:t>
      </w:r>
      <w:proofErr w:type="spellStart"/>
      <w:r w:rsidRPr="00D41FC5">
        <w:rPr>
          <w:rFonts w:cs="Times New Roman"/>
          <w:szCs w:val="21"/>
        </w:rPr>
        <w:t>Inc</w:t>
      </w:r>
      <w:proofErr w:type="spellEnd"/>
      <w:r w:rsidRPr="00D41FC5">
        <w:rPr>
          <w:rFonts w:cs="Times New Roman"/>
          <w:szCs w:val="21"/>
        </w:rPr>
        <w:t xml:space="preserve">) at a sampling frequency of 5000Hz. The experimental setup </w:t>
      </w:r>
      <w:proofErr w:type="gramStart"/>
      <w:r w:rsidRPr="00D41FC5">
        <w:rPr>
          <w:rFonts w:cs="Times New Roman"/>
          <w:szCs w:val="21"/>
        </w:rPr>
        <w:t>is shown</w:t>
      </w:r>
      <w:proofErr w:type="gramEnd"/>
      <w:r w:rsidRPr="00D41FC5">
        <w:rPr>
          <w:rFonts w:cs="Times New Roman"/>
          <w:szCs w:val="21"/>
        </w:rPr>
        <w:t xml:space="preserve"> in Figure 15(a). </w:t>
      </w:r>
    </w:p>
    <w:p w14:paraId="64FD0114" w14:textId="4A1B3F56" w:rsidR="008B53FD" w:rsidRPr="00D41FC5" w:rsidRDefault="004F6B61" w:rsidP="004F6B61">
      <w:pPr>
        <w:pStyle w:val="IOPText"/>
        <w:rPr>
          <w:rFonts w:cs="Times New Roman"/>
          <w:szCs w:val="21"/>
        </w:rPr>
      </w:pPr>
      <w:r w:rsidRPr="00D41FC5">
        <w:rPr>
          <w:rFonts w:cs="Times New Roman"/>
          <w:szCs w:val="21"/>
        </w:rPr>
        <w:t xml:space="preserve">Our simulations suggest that the VEH system has large dynamical responses within the frequency range of 3-13Hz. Considering the performance of the shake table, the frequencies of 5 Hz,7.5 Hz, and 10 Hz are taken in the </w:t>
      </w:r>
      <w:r w:rsidRPr="00D41FC5">
        <w:rPr>
          <w:rFonts w:cs="Times New Roman"/>
          <w:szCs w:val="21"/>
        </w:rPr>
        <w:t xml:space="preserve">experiments. The excitation </w:t>
      </w:r>
      <w:bookmarkStart w:id="48" w:name="_Hlk41349439"/>
      <w:r w:rsidRPr="00D41FC5">
        <w:rPr>
          <w:rFonts w:cs="Times New Roman"/>
          <w:szCs w:val="21"/>
        </w:rPr>
        <w:t>amplitudes</w:t>
      </w:r>
      <w:bookmarkEnd w:id="48"/>
      <w:r w:rsidRPr="00D41FC5">
        <w:rPr>
          <w:rFonts w:cs="Times New Roman"/>
          <w:szCs w:val="21"/>
        </w:rPr>
        <w:t xml:space="preserve"> are set to 10 mm and 15 mm, and the magnet distance at 20 mm, 30 mm, and 40 mm, respectively. There are </w:t>
      </w:r>
      <w:proofErr w:type="gramStart"/>
      <w:r w:rsidRPr="00D41FC5">
        <w:rPr>
          <w:rFonts w:cs="Times New Roman"/>
          <w:szCs w:val="21"/>
        </w:rPr>
        <w:t>a total of 18</w:t>
      </w:r>
      <w:proofErr w:type="gramEnd"/>
      <w:r w:rsidRPr="00D41FC5">
        <w:rPr>
          <w:rFonts w:cs="Times New Roman"/>
          <w:szCs w:val="21"/>
        </w:rPr>
        <w:t xml:space="preserve"> cases designed in experiments (excitation frequency: 5 Hz, 7.5 Hz, and 10 Hz; excitation amplitude: 10 mm and 15 mm; magnet distance: 20 mm, 30 mm, and 40 mm;</w:t>
      </w:r>
      <m:oMath>
        <m:r>
          <m:rPr>
            <m:sty m:val="p"/>
          </m:rPr>
          <w:rPr>
            <w:rFonts w:ascii="Cambria Math" w:hAnsi="Cambria Math" w:cs="Times New Roman"/>
            <w:szCs w:val="21"/>
          </w:rPr>
          <m:t>3×2×3=18</m:t>
        </m:r>
      </m:oMath>
      <w:r w:rsidRPr="00D41FC5">
        <w:rPr>
          <w:rFonts w:cs="Times New Roman"/>
          <w:szCs w:val="21"/>
        </w:rPr>
        <w:t xml:space="preserve"> cases). First, the experimental data </w:t>
      </w:r>
      <w:proofErr w:type="gramStart"/>
      <w:r w:rsidRPr="00D41FC5">
        <w:rPr>
          <w:rFonts w:cs="Times New Roman"/>
          <w:szCs w:val="21"/>
        </w:rPr>
        <w:t>is used</w:t>
      </w:r>
      <w:proofErr w:type="gramEnd"/>
      <w:r w:rsidRPr="00D41FC5">
        <w:rPr>
          <w:rFonts w:cs="Times New Roman"/>
          <w:szCs w:val="21"/>
        </w:rPr>
        <w:t xml:space="preserve"> to verify the relationship between the electromotive force of the</w:t>
      </w:r>
      <w:r w:rsidR="00343E48" w:rsidRPr="00D41FC5">
        <w:rPr>
          <w:rFonts w:cs="Times New Roman"/>
          <w:szCs w:val="21"/>
        </w:rPr>
        <w:t xml:space="preserve"> </w:t>
      </w:r>
      <w:r w:rsidRPr="00D41FC5">
        <w:rPr>
          <w:rFonts w:cs="Times New Roman"/>
          <w:szCs w:val="21"/>
        </w:rPr>
        <w:t>generator and the angular velocity of the pendulum. Then, the experimental and simulated angular velocities of the pendulum structure are analysed.</w:t>
      </w:r>
    </w:p>
    <w:p w14:paraId="794FCDA0" w14:textId="535CC672" w:rsidR="004F6B61" w:rsidRPr="00D41FC5" w:rsidRDefault="004F6B61" w:rsidP="00120A99">
      <w:pPr>
        <w:pStyle w:val="IOPText"/>
        <w:spacing w:line="240" w:lineRule="auto"/>
        <w:rPr>
          <w:rFonts w:cs="Times New Roman"/>
          <w:szCs w:val="21"/>
        </w:rPr>
      </w:pPr>
      <w:bookmarkStart w:id="49" w:name="_Hlk41309038"/>
      <w:r w:rsidRPr="00D41FC5">
        <w:rPr>
          <w:rFonts w:cs="Times New Roman"/>
          <w:szCs w:val="21"/>
        </w:rPr>
        <w:t xml:space="preserve">The induced electromotive voltage </w:t>
      </w:r>
      <m:oMath>
        <m:r>
          <w:rPr>
            <w:rFonts w:ascii="Cambria Math" w:hAnsi="Cambria Math" w:cs="Times New Roman"/>
            <w:szCs w:val="21"/>
          </w:rPr>
          <m:t>V</m:t>
        </m:r>
      </m:oMath>
      <w:r w:rsidRPr="00D41FC5">
        <w:rPr>
          <w:rFonts w:cs="Times New Roman"/>
          <w:szCs w:val="21"/>
        </w:rPr>
        <w:t xml:space="preserve"> by the generator is assumed </w:t>
      </w:r>
      <w:proofErr w:type="gramStart"/>
      <w:r w:rsidRPr="00D41FC5">
        <w:rPr>
          <w:rFonts w:cs="Times New Roman"/>
          <w:szCs w:val="21"/>
        </w:rPr>
        <w:t>to be proportional</w:t>
      </w:r>
      <w:proofErr w:type="gramEnd"/>
      <w:r w:rsidRPr="00D41FC5">
        <w:rPr>
          <w:rFonts w:cs="Times New Roman"/>
          <w:szCs w:val="21"/>
        </w:rPr>
        <w:t xml:space="preserve"> to the angular velocity </w:t>
      </w:r>
      <m:oMath>
        <m:acc>
          <m:accPr>
            <m:chr m:val="̇"/>
            <m:ctrlPr>
              <w:rPr>
                <w:rFonts w:ascii="Cambria Math" w:hAnsi="Cambria Math" w:cs="Times New Roman"/>
                <w:szCs w:val="21"/>
              </w:rPr>
            </m:ctrlPr>
          </m:accPr>
          <m:e>
            <m:r>
              <w:rPr>
                <w:rFonts w:ascii="Cambria Math" w:hAnsi="Cambria Math" w:cs="Times New Roman"/>
                <w:szCs w:val="21"/>
              </w:rPr>
              <m:t>θ</m:t>
            </m:r>
          </m:e>
        </m:acc>
      </m:oMath>
      <w:r w:rsidRPr="00D41FC5">
        <w:rPr>
          <w:rFonts w:cs="Times New Roman"/>
          <w:szCs w:val="21"/>
        </w:rPr>
        <w:t xml:space="preserve"> of the pendulum. Part of the tests is to verify the linear relationship between the two variables. The electromotive voltage of the generator </w:t>
      </w:r>
      <w:proofErr w:type="gramStart"/>
      <w:r w:rsidRPr="00D41FC5">
        <w:rPr>
          <w:rFonts w:cs="Times New Roman"/>
          <w:szCs w:val="21"/>
        </w:rPr>
        <w:t>can be calculated</w:t>
      </w:r>
      <w:proofErr w:type="gramEnd"/>
      <w:r w:rsidRPr="00D41FC5">
        <w:rPr>
          <w:rFonts w:cs="Times New Roman"/>
          <w:szCs w:val="21"/>
        </w:rPr>
        <w:t xml:space="preserve"> according to the measured voltage across the elect</w:t>
      </w:r>
      <w:proofErr w:type="spellStart"/>
      <w:r w:rsidRPr="00D41FC5">
        <w:rPr>
          <w:rFonts w:cs="Times New Roman"/>
          <w:szCs w:val="21"/>
        </w:rPr>
        <w:t>rical</w:t>
      </w:r>
      <w:proofErr w:type="spellEnd"/>
      <w:r w:rsidRPr="00D41FC5">
        <w:rPr>
          <w:rFonts w:cs="Times New Roman"/>
          <w:szCs w:val="21"/>
        </w:rPr>
        <w:t xml:space="preserve"> load. Eighteen points in Figure 15(b) </w:t>
      </w:r>
      <w:proofErr w:type="gramStart"/>
      <w:r w:rsidRPr="00D41FC5">
        <w:rPr>
          <w:rFonts w:cs="Times New Roman"/>
          <w:szCs w:val="21"/>
        </w:rPr>
        <w:t>are plotted</w:t>
      </w:r>
      <w:proofErr w:type="gramEnd"/>
      <w:r w:rsidRPr="00D41FC5">
        <w:rPr>
          <w:rFonts w:cs="Times New Roman"/>
          <w:szCs w:val="21"/>
        </w:rPr>
        <w:t xml:space="preserve"> according to the amplitudes of angular velocity and the electromotive voltage in those 18 cases. The blue line represents the best fitting results using the least-square method. The coefficient of determination (</w:t>
      </w:r>
      <m:oMath>
        <m:sSup>
          <m:sSupPr>
            <m:ctrlPr>
              <w:rPr>
                <w:rFonts w:ascii="Cambria Math" w:hAnsi="Cambria Math" w:cs="Times New Roman"/>
                <w:szCs w:val="21"/>
              </w:rPr>
            </m:ctrlPr>
          </m:sSupPr>
          <m:e>
            <m:r>
              <w:rPr>
                <w:rFonts w:ascii="Cambria Math" w:hAnsi="Cambria Math" w:cs="Times New Roman"/>
                <w:szCs w:val="21"/>
              </w:rPr>
              <m:t>R</m:t>
            </m:r>
          </m:e>
          <m:sup>
            <m:r>
              <m:rPr>
                <m:sty m:val="p"/>
              </m:rPr>
              <w:rPr>
                <w:rFonts w:ascii="Cambria Math" w:hAnsi="Cambria Math" w:cs="Times New Roman"/>
                <w:szCs w:val="21"/>
              </w:rPr>
              <m:t>2</m:t>
            </m:r>
          </m:sup>
        </m:sSup>
      </m:oMath>
      <w:r w:rsidRPr="00D41FC5">
        <w:rPr>
          <w:rFonts w:cs="Times New Roman"/>
          <w:szCs w:val="21"/>
        </w:rPr>
        <w:t>) reaches 0.98, indicating that there is a good linear relationship between the induced electromotive voltage and the angular velocity of the pendulum. The slope of the fitting line is 0.49, whereas the theoretical value is 0.53, meaning a relative error of 7.5%.</w:t>
      </w:r>
    </w:p>
    <w:p w14:paraId="4B9CBAB5" w14:textId="77777777" w:rsidR="00120A99" w:rsidRPr="00D41FC5" w:rsidRDefault="00120A99" w:rsidP="00120A99">
      <w:pPr>
        <w:pStyle w:val="IOPText"/>
        <w:spacing w:line="240" w:lineRule="auto"/>
        <w:ind w:firstLine="0"/>
        <w:jc w:val="right"/>
        <w:rPr>
          <w:rFonts w:cs="Times New Roman"/>
          <w:szCs w:val="21"/>
        </w:rPr>
      </w:pPr>
      <w:bookmarkStart w:id="50" w:name="_Hlk42502752"/>
      <w:bookmarkEnd w:id="49"/>
      <w:r w:rsidRPr="00D41FC5">
        <w:rPr>
          <w:rFonts w:cs="Times New Roman"/>
          <w:noProof/>
          <w:lang w:eastAsia="zh-CN"/>
        </w:rPr>
        <w:drawing>
          <wp:inline distT="0" distB="0" distL="0" distR="0" wp14:anchorId="67CCA2E2" wp14:editId="3091965D">
            <wp:extent cx="2855883" cy="1781298"/>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7699" cy="1851041"/>
                    </a:xfrm>
                    <a:prstGeom prst="rect">
                      <a:avLst/>
                    </a:prstGeom>
                    <a:noFill/>
                    <a:ln>
                      <a:noFill/>
                    </a:ln>
                  </pic:spPr>
                </pic:pic>
              </a:graphicData>
            </a:graphic>
          </wp:inline>
        </w:drawing>
      </w:r>
    </w:p>
    <w:p w14:paraId="56B390B0" w14:textId="77777777" w:rsidR="00120A99" w:rsidRPr="00D41FC5" w:rsidRDefault="00120A99" w:rsidP="00120A99">
      <w:pPr>
        <w:pStyle w:val="IOPText"/>
        <w:spacing w:line="240" w:lineRule="auto"/>
        <w:ind w:firstLine="0"/>
        <w:jc w:val="center"/>
        <w:rPr>
          <w:noProof/>
        </w:rPr>
      </w:pPr>
      <w:r w:rsidRPr="00D41FC5">
        <w:rPr>
          <w:rFonts w:cs="Times New Roman"/>
        </w:rPr>
        <w:t>(a)</w:t>
      </w:r>
    </w:p>
    <w:p w14:paraId="41C28F19" w14:textId="77777777" w:rsidR="00120A99" w:rsidRPr="00D41FC5" w:rsidRDefault="00120A99" w:rsidP="00120A99">
      <w:pPr>
        <w:pStyle w:val="IOPText"/>
        <w:spacing w:line="240" w:lineRule="auto"/>
        <w:ind w:firstLine="0"/>
        <w:jc w:val="right"/>
        <w:rPr>
          <w:rFonts w:cs="Times New Roman"/>
          <w:szCs w:val="21"/>
        </w:rPr>
      </w:pPr>
      <w:r w:rsidRPr="00D41FC5">
        <w:rPr>
          <w:rFonts w:cs="Times New Roman"/>
          <w:noProof/>
          <w:lang w:eastAsia="zh-CN"/>
        </w:rPr>
        <w:drawing>
          <wp:inline distT="0" distB="0" distL="0" distR="0" wp14:anchorId="5C423497" wp14:editId="7237FED6">
            <wp:extent cx="3132042" cy="1993889"/>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rotWithShape="1">
                    <a:blip r:embed="rId43">
                      <a:extLst>
                        <a:ext uri="{28A0092B-C50C-407E-A947-70E740481C1C}">
                          <a14:useLocalDpi xmlns:a14="http://schemas.microsoft.com/office/drawing/2010/main" val="0"/>
                        </a:ext>
                      </a:extLst>
                    </a:blip>
                    <a:srcRect r="959" b="388"/>
                    <a:stretch/>
                  </pic:blipFill>
                  <pic:spPr bwMode="auto">
                    <a:xfrm>
                      <a:off x="0" y="0"/>
                      <a:ext cx="3220854" cy="2050428"/>
                    </a:xfrm>
                    <a:prstGeom prst="rect">
                      <a:avLst/>
                    </a:prstGeom>
                    <a:noFill/>
                    <a:ln>
                      <a:noFill/>
                    </a:ln>
                    <a:extLst>
                      <a:ext uri="{53640926-AAD7-44D8-BBD7-CCE9431645EC}">
                        <a14:shadowObscured xmlns:a14="http://schemas.microsoft.com/office/drawing/2010/main"/>
                      </a:ext>
                    </a:extLst>
                  </pic:spPr>
                </pic:pic>
              </a:graphicData>
            </a:graphic>
          </wp:inline>
        </w:drawing>
      </w:r>
    </w:p>
    <w:p w14:paraId="5FF87FC8" w14:textId="77777777" w:rsidR="00120A99" w:rsidRPr="00D41FC5" w:rsidRDefault="00120A99" w:rsidP="00120A99">
      <w:pPr>
        <w:pStyle w:val="IOPText"/>
        <w:spacing w:line="240" w:lineRule="auto"/>
        <w:ind w:firstLine="0"/>
        <w:jc w:val="center"/>
        <w:rPr>
          <w:noProof/>
        </w:rPr>
      </w:pPr>
      <w:r w:rsidRPr="00D41FC5">
        <w:rPr>
          <w:rFonts w:cs="Times New Roman"/>
        </w:rPr>
        <w:t>(b)</w:t>
      </w:r>
    </w:p>
    <w:p w14:paraId="5B4B035B" w14:textId="77777777" w:rsidR="00120A99" w:rsidRPr="00D41FC5" w:rsidRDefault="00120A99" w:rsidP="00120A99">
      <w:pPr>
        <w:pStyle w:val="IOPText"/>
        <w:spacing w:line="240" w:lineRule="auto"/>
        <w:ind w:firstLine="0"/>
        <w:rPr>
          <w:rFonts w:cs="Times New Roman"/>
          <w:szCs w:val="21"/>
        </w:rPr>
      </w:pPr>
      <w:r w:rsidRPr="00D41FC5">
        <w:rPr>
          <w:rFonts w:cs="Times New Roman"/>
          <w:szCs w:val="21"/>
        </w:rPr>
        <w:t>Figure 15. Experimental verification of the theoretical model: (a) experimental setup; (b) relationship between the angular velocity and electromotive voltage</w:t>
      </w:r>
    </w:p>
    <w:bookmarkEnd w:id="50"/>
    <w:p w14:paraId="3B0A2F8D" w14:textId="3E345CF2" w:rsidR="004E5690" w:rsidRPr="00D41FC5" w:rsidRDefault="004F6B61" w:rsidP="004F6B61">
      <w:pPr>
        <w:pStyle w:val="IOPText"/>
        <w:rPr>
          <w:rFonts w:cs="Times New Roman"/>
          <w:szCs w:val="21"/>
        </w:rPr>
      </w:pPr>
      <w:r w:rsidRPr="00D41FC5">
        <w:rPr>
          <w:rFonts w:cs="Times New Roman"/>
          <w:szCs w:val="21"/>
        </w:rPr>
        <w:lastRenderedPageBreak/>
        <w:t>This study also compares the experimental and simulated angular velocities of the pendulum structure for validating the theoretical model. Table 2 shows the comparison results of the amplitudes of angular velocity under different cases. One can see from the table that the amplitude of angular velocity decreases with the increase of the magnet distance. The relative errors of most cases are less than 10% when the amplitude is 10 mm, and these increase when the</w:t>
      </w:r>
      <w:r w:rsidR="00297748" w:rsidRPr="00D41FC5">
        <w:rPr>
          <w:rFonts w:cs="Times New Roman"/>
          <w:szCs w:val="21"/>
        </w:rPr>
        <w:t xml:space="preserve"> </w:t>
      </w:r>
      <w:r w:rsidRPr="00D41FC5">
        <w:rPr>
          <w:rFonts w:cs="Times New Roman"/>
          <w:szCs w:val="21"/>
        </w:rPr>
        <w:t xml:space="preserve">amplitude increase to 15 mm. Nevertheless, sometimes more significant errors may occur in some instances, and the maximum relative error reaches 38%. </w:t>
      </w:r>
    </w:p>
    <w:p w14:paraId="164C5C7E" w14:textId="519E254F" w:rsidR="004F6B61" w:rsidRPr="00D41FC5" w:rsidRDefault="004F6B61" w:rsidP="004F6B61">
      <w:pPr>
        <w:pStyle w:val="IOPText"/>
        <w:rPr>
          <w:rFonts w:cs="Times New Roman"/>
          <w:szCs w:val="21"/>
        </w:rPr>
      </w:pPr>
      <w:r w:rsidRPr="00D41FC5">
        <w:rPr>
          <w:rFonts w:cs="Times New Roman"/>
          <w:szCs w:val="21"/>
        </w:rPr>
        <w:t>The errors may originate from the following sources:</w:t>
      </w:r>
    </w:p>
    <w:p w14:paraId="0A850154" w14:textId="1DAC0EB3" w:rsidR="004F6B61" w:rsidRPr="00D41FC5" w:rsidRDefault="004F6B61" w:rsidP="00EC39B6">
      <w:pPr>
        <w:pStyle w:val="IOPText"/>
        <w:rPr>
          <w:rFonts w:cs="Times New Roman"/>
          <w:szCs w:val="21"/>
        </w:rPr>
      </w:pPr>
      <w:r w:rsidRPr="00D41FC5">
        <w:rPr>
          <w:rFonts w:cs="Times New Roman"/>
          <w:szCs w:val="21"/>
        </w:rPr>
        <w:t xml:space="preserve">(1) Modelling errors. In establishing the theoretical model, the magnets are simplified as dipole moments; the components of the harvester are simplified as uniform-rigid bodies; the mechanical damping force is assumed </w:t>
      </w:r>
      <w:proofErr w:type="gramStart"/>
      <w:r w:rsidRPr="00D41FC5">
        <w:rPr>
          <w:rFonts w:cs="Times New Roman"/>
          <w:szCs w:val="21"/>
        </w:rPr>
        <w:t>to be proportional</w:t>
      </w:r>
      <w:proofErr w:type="gramEnd"/>
      <w:r w:rsidRPr="00D41FC5">
        <w:rPr>
          <w:rFonts w:cs="Times New Roman"/>
          <w:szCs w:val="21"/>
        </w:rPr>
        <w:t xml:space="preserve"> to the angular velocity of the system; Assuming this VEH usually works at low frequencies, the inductance of the DC generator is not considered. </w:t>
      </w:r>
      <w:r w:rsidR="004E5690" w:rsidRPr="00D41FC5">
        <w:rPr>
          <w:rFonts w:cs="Times New Roman"/>
          <w:szCs w:val="21"/>
        </w:rPr>
        <w:t>T</w:t>
      </w:r>
      <w:r w:rsidRPr="00D41FC5">
        <w:rPr>
          <w:rFonts w:cs="Times New Roman"/>
          <w:szCs w:val="21"/>
        </w:rPr>
        <w:t>hese simplifications should lead to errors.</w:t>
      </w:r>
    </w:p>
    <w:p w14:paraId="2B90A5CB" w14:textId="77777777" w:rsidR="004F6B61" w:rsidRPr="00D41FC5" w:rsidRDefault="004F6B61" w:rsidP="00EC39B6">
      <w:pPr>
        <w:pStyle w:val="IOPText"/>
        <w:rPr>
          <w:rFonts w:cs="Times New Roman"/>
          <w:szCs w:val="21"/>
        </w:rPr>
      </w:pPr>
      <w:r w:rsidRPr="00D41FC5">
        <w:rPr>
          <w:rFonts w:cs="Times New Roman"/>
          <w:szCs w:val="21"/>
        </w:rPr>
        <w:t>(2) Manufacturing and assembly errors. Errors may occur during the process of fabricating these components and assembling the harvester. These factors have influences on the dynamical behaviours of the system.</w:t>
      </w:r>
    </w:p>
    <w:p w14:paraId="67353203" w14:textId="77777777" w:rsidR="004F6B61" w:rsidRPr="00D41FC5" w:rsidRDefault="004F6B61" w:rsidP="00EC39B6">
      <w:pPr>
        <w:pStyle w:val="IOPText"/>
        <w:rPr>
          <w:rFonts w:cs="Times New Roman"/>
          <w:szCs w:val="21"/>
        </w:rPr>
      </w:pPr>
      <w:r w:rsidRPr="00D41FC5">
        <w:rPr>
          <w:rFonts w:cs="Times New Roman"/>
          <w:szCs w:val="21"/>
        </w:rPr>
        <w:t>(3) Disturbance from the shake table. During operation, the power supply to the shake table can generate a small but noticeable amount of unwanted vibration to the shake table, consequently providing additional small excitation to the VEH. This disturbance would increase with the amplitude of excitation.</w:t>
      </w:r>
    </w:p>
    <w:p w14:paraId="7ECC920D" w14:textId="77777777" w:rsidR="004F6B61" w:rsidRPr="00D41FC5" w:rsidRDefault="004F6B61" w:rsidP="00EC39B6">
      <w:pPr>
        <w:pStyle w:val="IOPText"/>
        <w:rPr>
          <w:rFonts w:cs="Times New Roman"/>
          <w:szCs w:val="21"/>
        </w:rPr>
      </w:pPr>
      <w:r w:rsidRPr="00D41FC5">
        <w:rPr>
          <w:rFonts w:cs="Times New Roman"/>
          <w:szCs w:val="21"/>
        </w:rPr>
        <w:t>(4) Measurement errors. Because of the limitation of sensors and interference from the environment, there inherent errors in the measured results.</w:t>
      </w:r>
    </w:p>
    <w:p w14:paraId="1212623B" w14:textId="77777777" w:rsidR="00EC39B6" w:rsidRPr="00D41FC5" w:rsidRDefault="004F6B61" w:rsidP="00EC39B6">
      <w:pPr>
        <w:pStyle w:val="IOPText"/>
        <w:rPr>
          <w:rFonts w:cs="Times New Roman"/>
          <w:szCs w:val="21"/>
        </w:rPr>
      </w:pPr>
      <w:r w:rsidRPr="00D41FC5">
        <w:rPr>
          <w:rFonts w:cs="Times New Roman"/>
          <w:szCs w:val="21"/>
        </w:rPr>
        <w:t xml:space="preserve">(5) The nonlinearity of the system. The system becomes more sensitive to the initial conditions of the system with the increase of nonlinearity, which explains why the errors increase with excitation amplitudes. </w:t>
      </w:r>
    </w:p>
    <w:p w14:paraId="49232E1C" w14:textId="6983B10F" w:rsidR="00EC39B6" w:rsidRPr="00D41FC5" w:rsidRDefault="00220067" w:rsidP="00EC39B6">
      <w:pPr>
        <w:pStyle w:val="IOPText"/>
        <w:ind w:firstLine="0"/>
        <w:rPr>
          <w:rFonts w:cs="Times New Roman"/>
          <w:szCs w:val="21"/>
        </w:rPr>
        <w:sectPr w:rsidR="00EC39B6" w:rsidRPr="00D41FC5" w:rsidSect="00E71A1B">
          <w:type w:val="continuous"/>
          <w:pgSz w:w="11906" w:h="16838" w:code="9"/>
          <w:pgMar w:top="1418" w:right="907" w:bottom="2041" w:left="907" w:header="709" w:footer="709" w:gutter="0"/>
          <w:cols w:num="2" w:space="227"/>
          <w:titlePg/>
          <w:docGrid w:linePitch="360"/>
        </w:sectPr>
      </w:pPr>
      <w:bookmarkStart w:id="51" w:name="_Hlk45406905"/>
      <w:r w:rsidRPr="00D41FC5">
        <w:rPr>
          <w:rFonts w:cs="Times New Roman"/>
          <w:kern w:val="2"/>
          <w:szCs w:val="20"/>
          <w:lang w:eastAsia="zh-CN"/>
        </w:rPr>
        <w:t xml:space="preserve">The RMS values of the instantaneous power in different experimental cases are calculated and presented in Table 2. It is clear from the table that this VEH reaches its maximum energy output of 16.3 </w:t>
      </w:r>
      <w:proofErr w:type="spellStart"/>
      <w:r w:rsidRPr="00D41FC5">
        <w:rPr>
          <w:rFonts w:cs="Times New Roman"/>
          <w:kern w:val="2"/>
          <w:szCs w:val="20"/>
          <w:lang w:eastAsia="zh-CN"/>
        </w:rPr>
        <w:t>mW</w:t>
      </w:r>
      <w:proofErr w:type="spellEnd"/>
      <w:r w:rsidRPr="00D41FC5">
        <w:rPr>
          <w:rFonts w:cs="Times New Roman"/>
          <w:kern w:val="2"/>
          <w:szCs w:val="20"/>
          <w:lang w:eastAsia="zh-CN"/>
        </w:rPr>
        <w:t xml:space="preserve"> at the magnet distance of 20 mm when subjected to excitation with an amplitude of 15 mm and a frequency of 10 Hz. In order to report the agreement between the experimental and simulation data, the results of two typical cases </w:t>
      </w:r>
      <w:proofErr w:type="gramStart"/>
      <w:r w:rsidRPr="00D41FC5">
        <w:rPr>
          <w:rFonts w:cs="Times New Roman"/>
          <w:kern w:val="2"/>
          <w:szCs w:val="20"/>
          <w:lang w:eastAsia="zh-CN"/>
        </w:rPr>
        <w:t>are presented</w:t>
      </w:r>
      <w:proofErr w:type="gramEnd"/>
      <w:r w:rsidRPr="00D41FC5">
        <w:rPr>
          <w:rFonts w:cs="Times New Roman"/>
          <w:kern w:val="2"/>
          <w:szCs w:val="20"/>
          <w:lang w:eastAsia="zh-CN"/>
        </w:rPr>
        <w:t xml:space="preserve"> in Figure 16. The results under a small excitation (amplitude: 10 mm; frequency: 5 Hz; </w:t>
      </w:r>
      <m:oMath>
        <m:r>
          <w:rPr>
            <w:rFonts w:ascii="Cambria Math" w:hAnsi="Cambria Math" w:cs="Times New Roman"/>
            <w:kern w:val="2"/>
            <w:szCs w:val="20"/>
            <w:lang w:eastAsia="zh-CN"/>
          </w:rPr>
          <m:t>D</m:t>
        </m:r>
      </m:oMath>
      <w:r w:rsidRPr="00D41FC5">
        <w:rPr>
          <w:rFonts w:cs="Times New Roman"/>
          <w:kern w:val="2"/>
          <w:szCs w:val="20"/>
          <w:lang w:eastAsia="zh-CN"/>
        </w:rPr>
        <w:t xml:space="preserve">= 30 mm) are presented in Figure 16(a). Figure 16 (b) corresponds to the results of an intense excitation (amplitude: 15 mm; frequency: 10 Hz; </w:t>
      </w:r>
      <m:oMath>
        <m:r>
          <w:rPr>
            <w:rFonts w:ascii="Cambria Math" w:hAnsi="Cambria Math" w:cs="Times New Roman"/>
            <w:kern w:val="2"/>
            <w:szCs w:val="20"/>
            <w:lang w:eastAsia="zh-CN"/>
          </w:rPr>
          <m:t>D</m:t>
        </m:r>
      </m:oMath>
      <w:r w:rsidRPr="00D41FC5">
        <w:rPr>
          <w:rFonts w:cs="Times New Roman"/>
          <w:kern w:val="2"/>
          <w:szCs w:val="20"/>
          <w:lang w:eastAsia="zh-CN"/>
        </w:rPr>
        <w:t xml:space="preserve">= 20 mm). The results indicate that the experimental data is in good agreement with the simulation data when the excitation is small. However, the amplitude of the dynamical response has a slight difference when the excitation is large. </w:t>
      </w:r>
      <w:proofErr w:type="gramStart"/>
      <w:r w:rsidRPr="00D41FC5">
        <w:rPr>
          <w:rFonts w:cs="Times New Roman"/>
          <w:kern w:val="2"/>
          <w:szCs w:val="20"/>
          <w:lang w:eastAsia="zh-CN"/>
        </w:rPr>
        <w:t>On the whole, the</w:t>
      </w:r>
      <w:proofErr w:type="gramEnd"/>
      <w:r w:rsidRPr="00D41FC5">
        <w:rPr>
          <w:rFonts w:cs="Times New Roman"/>
          <w:kern w:val="2"/>
          <w:szCs w:val="20"/>
          <w:lang w:eastAsia="zh-CN"/>
        </w:rPr>
        <w:t xml:space="preserve"> experimental and simulation data have similar waveforms, as shown in Figure 16(c). We also compare this harvester with some other state-of-the-art pendulum-based VEHs, as shown in Table 3, and the proposed pendulum-flywheel VEH </w:t>
      </w:r>
      <w:proofErr w:type="gramStart"/>
      <w:r w:rsidRPr="00D41FC5">
        <w:rPr>
          <w:rFonts w:cs="Times New Roman"/>
          <w:kern w:val="2"/>
          <w:szCs w:val="20"/>
          <w:lang w:eastAsia="zh-CN"/>
        </w:rPr>
        <w:t>is found</w:t>
      </w:r>
      <w:proofErr w:type="gramEnd"/>
      <w:r w:rsidRPr="00D41FC5">
        <w:rPr>
          <w:rFonts w:cs="Times New Roman"/>
          <w:kern w:val="2"/>
          <w:szCs w:val="20"/>
          <w:lang w:eastAsia="zh-CN"/>
        </w:rPr>
        <w:t xml:space="preserve"> to exhibit good performance in relation to piezoelectric and electromagnetic VEHs. However, it </w:t>
      </w:r>
      <w:proofErr w:type="gramStart"/>
      <w:r w:rsidRPr="00D41FC5">
        <w:rPr>
          <w:rFonts w:cs="Times New Roman"/>
          <w:kern w:val="2"/>
          <w:szCs w:val="20"/>
          <w:lang w:eastAsia="zh-CN"/>
        </w:rPr>
        <w:t>should be pointed out</w:t>
      </w:r>
      <w:proofErr w:type="gramEnd"/>
      <w:r w:rsidRPr="00D41FC5">
        <w:rPr>
          <w:rFonts w:cs="Times New Roman"/>
          <w:kern w:val="2"/>
          <w:szCs w:val="20"/>
          <w:lang w:eastAsia="zh-CN"/>
        </w:rPr>
        <w:t xml:space="preserve"> that the comparisons should be treated with care since other parameters such as the size and mass of the VEHs can be different, which influence the energy harvesting performance.</w:t>
      </w:r>
      <w:bookmarkEnd w:id="51"/>
    </w:p>
    <w:p w14:paraId="65ACC71B" w14:textId="77777777" w:rsidR="00EC39B6" w:rsidRPr="00D41FC5" w:rsidRDefault="00EC39B6" w:rsidP="00EC39B6">
      <w:pPr>
        <w:pStyle w:val="ListParagraph"/>
        <w:ind w:left="360" w:firstLineChars="0" w:firstLine="0"/>
        <w:jc w:val="center"/>
        <w:rPr>
          <w:rFonts w:ascii="Times New Roman" w:hAnsi="Times New Roman" w:cs="Times New Roman"/>
          <w:sz w:val="20"/>
          <w:szCs w:val="20"/>
        </w:rPr>
      </w:pPr>
      <w:r w:rsidRPr="00D41FC5">
        <w:rPr>
          <w:rFonts w:ascii="Times New Roman" w:hAnsi="Times New Roman" w:cs="Times New Roman"/>
          <w:sz w:val="20"/>
          <w:szCs w:val="20"/>
        </w:rPr>
        <w:t xml:space="preserve">Table 2. The comparison between the experimental and simulated angular velocity </w:t>
      </w:r>
    </w:p>
    <w:tbl>
      <w:tblPr>
        <w:tblStyle w:val="TableGrid"/>
        <w:tblW w:w="986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
        <w:gridCol w:w="52"/>
        <w:gridCol w:w="656"/>
        <w:gridCol w:w="999"/>
        <w:gridCol w:w="1151"/>
        <w:gridCol w:w="92"/>
        <w:gridCol w:w="678"/>
        <w:gridCol w:w="1228"/>
        <w:gridCol w:w="956"/>
        <w:gridCol w:w="186"/>
        <w:gridCol w:w="1092"/>
        <w:gridCol w:w="760"/>
        <w:gridCol w:w="1291"/>
        <w:gridCol w:w="22"/>
      </w:tblGrid>
      <w:tr w:rsidR="00D41FC5" w:rsidRPr="00D41FC5" w14:paraId="71071D3C" w14:textId="77777777" w:rsidTr="00D40B93">
        <w:trPr>
          <w:trHeight w:val="267"/>
          <w:jc w:val="center"/>
        </w:trPr>
        <w:tc>
          <w:tcPr>
            <w:tcW w:w="1414" w:type="dxa"/>
            <w:gridSpan w:val="3"/>
            <w:tcBorders>
              <w:top w:val="single" w:sz="12" w:space="0" w:color="auto"/>
              <w:left w:val="nil"/>
              <w:bottom w:val="nil"/>
              <w:right w:val="single" w:sz="4" w:space="0" w:color="auto"/>
            </w:tcBorders>
            <w:vAlign w:val="center"/>
          </w:tcPr>
          <w:p w14:paraId="305F35F8" w14:textId="77777777" w:rsidR="00EC39B6" w:rsidRPr="00D41FC5" w:rsidRDefault="00EC39B6" w:rsidP="00BA1CA6">
            <w:pPr>
              <w:jc w:val="center"/>
              <w:rPr>
                <w:rFonts w:ascii="Times New Roman" w:hAnsi="Times New Roman" w:cs="Times New Roman"/>
                <w:sz w:val="18"/>
                <w:szCs w:val="18"/>
                <w:lang w:val="en-GB"/>
              </w:rPr>
            </w:pPr>
          </w:p>
        </w:tc>
        <w:tc>
          <w:tcPr>
            <w:tcW w:w="4148" w:type="dxa"/>
            <w:gridSpan w:val="5"/>
            <w:tcBorders>
              <w:top w:val="single" w:sz="12" w:space="0" w:color="auto"/>
              <w:left w:val="single" w:sz="4" w:space="0" w:color="auto"/>
              <w:bottom w:val="nil"/>
              <w:right w:val="single" w:sz="4" w:space="0" w:color="auto"/>
            </w:tcBorders>
            <w:vAlign w:val="center"/>
            <w:hideMark/>
          </w:tcPr>
          <w:p w14:paraId="4FA638CB" w14:textId="77777777" w:rsidR="00EC39B6" w:rsidRPr="00D41FC5" w:rsidRDefault="00EC39B6" w:rsidP="00BA1CA6">
            <w:pPr>
              <w:jc w:val="center"/>
              <w:rPr>
                <w:rFonts w:ascii="Times New Roman" w:eastAsia="DengXian" w:hAnsi="Times New Roman" w:cs="Times New Roman"/>
                <w:sz w:val="18"/>
                <w:szCs w:val="18"/>
              </w:rPr>
            </w:pPr>
            <m:oMath>
              <m:r>
                <w:rPr>
                  <w:rFonts w:ascii="Cambria Math" w:hAnsi="Cambria Math" w:cs="Times New Roman"/>
                  <w:sz w:val="18"/>
                  <w:szCs w:val="18"/>
                </w:rPr>
                <m:t>A</m:t>
              </m:r>
            </m:oMath>
            <w:r w:rsidRPr="00D41FC5">
              <w:rPr>
                <w:rFonts w:ascii="Times New Roman" w:hAnsi="Times New Roman" w:cs="Times New Roman"/>
                <w:sz w:val="18"/>
                <w:szCs w:val="18"/>
              </w:rPr>
              <w:t>=10mm</w:t>
            </w:r>
          </w:p>
        </w:tc>
        <w:tc>
          <w:tcPr>
            <w:tcW w:w="4307" w:type="dxa"/>
            <w:gridSpan w:val="6"/>
            <w:tcBorders>
              <w:top w:val="single" w:sz="12" w:space="0" w:color="auto"/>
              <w:left w:val="single" w:sz="4" w:space="0" w:color="auto"/>
              <w:bottom w:val="nil"/>
              <w:right w:val="nil"/>
            </w:tcBorders>
            <w:vAlign w:val="center"/>
            <w:hideMark/>
          </w:tcPr>
          <w:p w14:paraId="36DDAB73" w14:textId="77777777" w:rsidR="00EC39B6" w:rsidRPr="00D41FC5" w:rsidRDefault="00EC39B6" w:rsidP="00BA1CA6">
            <w:pPr>
              <w:jc w:val="center"/>
              <w:rPr>
                <w:rFonts w:ascii="Times New Roman" w:eastAsia="DengXian" w:hAnsi="Times New Roman" w:cs="Times New Roman"/>
                <w:sz w:val="18"/>
                <w:szCs w:val="18"/>
              </w:rPr>
            </w:pPr>
            <m:oMath>
              <m:r>
                <w:rPr>
                  <w:rFonts w:ascii="Cambria Math" w:hAnsi="Cambria Math" w:cs="Times New Roman"/>
                  <w:sz w:val="18"/>
                  <w:szCs w:val="18"/>
                </w:rPr>
                <m:t>A</m:t>
              </m:r>
            </m:oMath>
            <w:r w:rsidRPr="00D41FC5">
              <w:rPr>
                <w:rFonts w:ascii="Times New Roman" w:hAnsi="Times New Roman" w:cs="Times New Roman"/>
                <w:sz w:val="18"/>
                <w:szCs w:val="18"/>
              </w:rPr>
              <w:t xml:space="preserve"> =15mm</w:t>
            </w:r>
          </w:p>
        </w:tc>
      </w:tr>
      <w:tr w:rsidR="00D41FC5" w:rsidRPr="00D41FC5" w14:paraId="5ABB88EE" w14:textId="77777777" w:rsidTr="00D40B93">
        <w:trPr>
          <w:gridAfter w:val="1"/>
          <w:wAfter w:w="22" w:type="dxa"/>
          <w:trHeight w:val="267"/>
          <w:jc w:val="center"/>
        </w:trPr>
        <w:tc>
          <w:tcPr>
            <w:tcW w:w="706" w:type="dxa"/>
            <w:tcBorders>
              <w:top w:val="nil"/>
              <w:left w:val="nil"/>
              <w:bottom w:val="single" w:sz="4" w:space="0" w:color="auto"/>
              <w:right w:val="nil"/>
            </w:tcBorders>
            <w:vAlign w:val="center"/>
            <w:hideMark/>
          </w:tcPr>
          <w:p w14:paraId="38F98B6C" w14:textId="77777777" w:rsidR="00EC39B6" w:rsidRPr="00D41FC5" w:rsidRDefault="00EC39B6" w:rsidP="00BA1CA6">
            <w:pPr>
              <w:snapToGrid w:val="0"/>
              <w:spacing w:line="200" w:lineRule="exact"/>
              <w:rPr>
                <w:rFonts w:ascii="Times New Roman" w:hAnsi="Times New Roman" w:cs="Times New Roman"/>
                <w:sz w:val="18"/>
                <w:szCs w:val="18"/>
              </w:rPr>
            </w:pPr>
            <w:r w:rsidRPr="00D41FC5">
              <w:rPr>
                <w:rFonts w:ascii="Times New Roman" w:hAnsi="Times New Roman" w:cs="Times New Roman"/>
                <w:sz w:val="18"/>
                <w:szCs w:val="18"/>
              </w:rPr>
              <w:t>(mm)</w:t>
            </w:r>
          </w:p>
        </w:tc>
        <w:tc>
          <w:tcPr>
            <w:tcW w:w="708" w:type="dxa"/>
            <w:gridSpan w:val="2"/>
            <w:tcBorders>
              <w:top w:val="nil"/>
              <w:left w:val="nil"/>
              <w:bottom w:val="single" w:sz="4" w:space="0" w:color="auto"/>
              <w:right w:val="single" w:sz="4" w:space="0" w:color="auto"/>
            </w:tcBorders>
            <w:vAlign w:val="center"/>
            <w:hideMark/>
          </w:tcPr>
          <w:p w14:paraId="58667531" w14:textId="77777777" w:rsidR="00EC39B6" w:rsidRPr="00D41FC5" w:rsidRDefault="00EC39B6" w:rsidP="00BA1CA6">
            <w:pPr>
              <w:spacing w:line="200" w:lineRule="exact"/>
              <w:jc w:val="center"/>
              <w:rPr>
                <w:rFonts w:ascii="Times New Roman" w:hAnsi="Times New Roman" w:cs="Times New Roman"/>
                <w:sz w:val="18"/>
                <w:szCs w:val="18"/>
              </w:rPr>
            </w:pPr>
            <w:r w:rsidRPr="00D41FC5">
              <w:rPr>
                <w:rFonts w:ascii="Times New Roman" w:hAnsi="Times New Roman" w:cs="Times New Roman"/>
                <w:sz w:val="18"/>
                <w:szCs w:val="18"/>
              </w:rPr>
              <w:t>(HZ)</w:t>
            </w:r>
          </w:p>
        </w:tc>
        <w:tc>
          <w:tcPr>
            <w:tcW w:w="999" w:type="dxa"/>
            <w:tcBorders>
              <w:top w:val="nil"/>
              <w:left w:val="single" w:sz="4" w:space="0" w:color="auto"/>
              <w:bottom w:val="single" w:sz="4" w:space="0" w:color="auto"/>
              <w:right w:val="nil"/>
            </w:tcBorders>
            <w:vAlign w:val="center"/>
            <w:hideMark/>
          </w:tcPr>
          <w:p w14:paraId="6DAAB329"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Simulated</w:t>
            </w:r>
          </w:p>
          <w:p w14:paraId="48A82E58"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(rad/s)</w:t>
            </w:r>
          </w:p>
        </w:tc>
        <w:tc>
          <w:tcPr>
            <w:tcW w:w="1243" w:type="dxa"/>
            <w:gridSpan w:val="2"/>
            <w:tcBorders>
              <w:top w:val="nil"/>
              <w:left w:val="nil"/>
              <w:bottom w:val="single" w:sz="4" w:space="0" w:color="auto"/>
              <w:right w:val="nil"/>
            </w:tcBorders>
            <w:vAlign w:val="center"/>
            <w:hideMark/>
          </w:tcPr>
          <w:p w14:paraId="7706C8F2"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Experimental</w:t>
            </w:r>
          </w:p>
          <w:p w14:paraId="5A57EA18"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(rad/s)</w:t>
            </w:r>
          </w:p>
        </w:tc>
        <w:tc>
          <w:tcPr>
            <w:tcW w:w="678" w:type="dxa"/>
            <w:tcBorders>
              <w:top w:val="nil"/>
              <w:left w:val="nil"/>
              <w:bottom w:val="single" w:sz="4" w:space="0" w:color="auto"/>
              <w:right w:val="nil"/>
            </w:tcBorders>
            <w:vAlign w:val="center"/>
            <w:hideMark/>
          </w:tcPr>
          <w:p w14:paraId="79BC700F"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Error</w:t>
            </w:r>
          </w:p>
          <w:p w14:paraId="4D23EB61"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rate</w:t>
            </w:r>
          </w:p>
        </w:tc>
        <w:tc>
          <w:tcPr>
            <w:tcW w:w="1228" w:type="dxa"/>
            <w:tcBorders>
              <w:top w:val="nil"/>
              <w:left w:val="nil"/>
              <w:bottom w:val="single" w:sz="4" w:space="0" w:color="auto"/>
              <w:right w:val="single" w:sz="4" w:space="0" w:color="auto"/>
            </w:tcBorders>
            <w:vAlign w:val="center"/>
            <w:hideMark/>
          </w:tcPr>
          <w:p w14:paraId="7609D2DC"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 xml:space="preserve">Experimental Power </w:t>
            </w:r>
          </w:p>
          <w:p w14:paraId="71EB2DF7"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 xml:space="preserve">(RMS, </w:t>
            </w:r>
            <w:proofErr w:type="spellStart"/>
            <w:r w:rsidRPr="00D41FC5">
              <w:rPr>
                <w:rFonts w:ascii="Times New Roman" w:hAnsi="Times New Roman" w:cs="Times New Roman"/>
                <w:sz w:val="18"/>
                <w:szCs w:val="18"/>
              </w:rPr>
              <w:t>mW</w:t>
            </w:r>
            <w:proofErr w:type="spellEnd"/>
            <w:r w:rsidRPr="00D41FC5">
              <w:rPr>
                <w:rFonts w:ascii="Times New Roman" w:hAnsi="Times New Roman" w:cs="Times New Roman"/>
                <w:sz w:val="18"/>
                <w:szCs w:val="18"/>
              </w:rPr>
              <w:t>)</w:t>
            </w:r>
          </w:p>
        </w:tc>
        <w:tc>
          <w:tcPr>
            <w:tcW w:w="956" w:type="dxa"/>
            <w:tcBorders>
              <w:top w:val="nil"/>
              <w:left w:val="single" w:sz="4" w:space="0" w:color="auto"/>
              <w:bottom w:val="single" w:sz="4" w:space="0" w:color="auto"/>
              <w:right w:val="nil"/>
            </w:tcBorders>
            <w:vAlign w:val="center"/>
            <w:hideMark/>
          </w:tcPr>
          <w:p w14:paraId="664F5A3C"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Simulated</w:t>
            </w:r>
          </w:p>
          <w:p w14:paraId="0D45933B"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(rad/s)</w:t>
            </w:r>
          </w:p>
        </w:tc>
        <w:tc>
          <w:tcPr>
            <w:tcW w:w="1278" w:type="dxa"/>
            <w:gridSpan w:val="2"/>
            <w:tcBorders>
              <w:top w:val="nil"/>
              <w:left w:val="nil"/>
              <w:bottom w:val="single" w:sz="4" w:space="0" w:color="auto"/>
              <w:right w:val="nil"/>
            </w:tcBorders>
            <w:vAlign w:val="center"/>
            <w:hideMark/>
          </w:tcPr>
          <w:p w14:paraId="412DF355"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Experimental (rad/s)</w:t>
            </w:r>
          </w:p>
        </w:tc>
        <w:tc>
          <w:tcPr>
            <w:tcW w:w="760" w:type="dxa"/>
            <w:tcBorders>
              <w:top w:val="nil"/>
              <w:left w:val="nil"/>
              <w:bottom w:val="single" w:sz="4" w:space="0" w:color="auto"/>
              <w:right w:val="nil"/>
            </w:tcBorders>
            <w:vAlign w:val="center"/>
            <w:hideMark/>
          </w:tcPr>
          <w:p w14:paraId="1ADCE6DD"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Error rate</w:t>
            </w:r>
          </w:p>
        </w:tc>
        <w:tc>
          <w:tcPr>
            <w:tcW w:w="1291" w:type="dxa"/>
            <w:tcBorders>
              <w:top w:val="nil"/>
              <w:left w:val="nil"/>
              <w:bottom w:val="single" w:sz="4" w:space="0" w:color="auto"/>
              <w:right w:val="nil"/>
            </w:tcBorders>
            <w:vAlign w:val="center"/>
            <w:hideMark/>
          </w:tcPr>
          <w:p w14:paraId="27915DBD"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Experimental Power</w:t>
            </w:r>
          </w:p>
          <w:p w14:paraId="0EC5F102" w14:textId="77777777" w:rsidR="00EC39B6" w:rsidRPr="00D41FC5" w:rsidRDefault="00EC39B6" w:rsidP="00BA1CA6">
            <w:pPr>
              <w:spacing w:line="200" w:lineRule="exact"/>
              <w:rPr>
                <w:rFonts w:ascii="Times New Roman" w:hAnsi="Times New Roman" w:cs="Times New Roman"/>
                <w:sz w:val="18"/>
                <w:szCs w:val="18"/>
              </w:rPr>
            </w:pPr>
            <w:r w:rsidRPr="00D41FC5">
              <w:rPr>
                <w:rFonts w:ascii="Times New Roman" w:hAnsi="Times New Roman" w:cs="Times New Roman"/>
                <w:sz w:val="18"/>
                <w:szCs w:val="18"/>
              </w:rPr>
              <w:t xml:space="preserve">(RMS, </w:t>
            </w:r>
            <w:proofErr w:type="spellStart"/>
            <w:r w:rsidRPr="00D41FC5">
              <w:rPr>
                <w:rFonts w:ascii="Times New Roman" w:hAnsi="Times New Roman" w:cs="Times New Roman"/>
                <w:sz w:val="18"/>
                <w:szCs w:val="18"/>
              </w:rPr>
              <w:t>mW</w:t>
            </w:r>
            <w:proofErr w:type="spellEnd"/>
            <w:r w:rsidRPr="00D41FC5">
              <w:rPr>
                <w:rFonts w:ascii="Times New Roman" w:hAnsi="Times New Roman" w:cs="Times New Roman"/>
                <w:sz w:val="18"/>
                <w:szCs w:val="18"/>
              </w:rPr>
              <w:t>)</w:t>
            </w:r>
          </w:p>
        </w:tc>
      </w:tr>
      <w:tr w:rsidR="00D41FC5" w:rsidRPr="00D41FC5" w14:paraId="08107CC9" w14:textId="77777777" w:rsidTr="00D40B93">
        <w:trPr>
          <w:gridAfter w:val="1"/>
          <w:wAfter w:w="22" w:type="dxa"/>
          <w:trHeight w:val="349"/>
          <w:jc w:val="center"/>
        </w:trPr>
        <w:tc>
          <w:tcPr>
            <w:tcW w:w="758" w:type="dxa"/>
            <w:gridSpan w:val="2"/>
            <w:vMerge w:val="restart"/>
            <w:tcBorders>
              <w:top w:val="single" w:sz="4" w:space="0" w:color="auto"/>
              <w:left w:val="nil"/>
              <w:bottom w:val="nil"/>
              <w:right w:val="nil"/>
            </w:tcBorders>
            <w:vAlign w:val="center"/>
            <w:hideMark/>
          </w:tcPr>
          <w:p w14:paraId="6780FCEF" w14:textId="1C90A64B" w:rsidR="00EC39B6" w:rsidRPr="00D41FC5" w:rsidRDefault="00EC39B6" w:rsidP="00BA1CA6">
            <w:pPr>
              <w:rPr>
                <w:rFonts w:ascii="Times New Roman" w:hAnsi="Times New Roman" w:cs="Times New Roman"/>
                <w:sz w:val="20"/>
                <w:szCs w:val="20"/>
              </w:rPr>
            </w:pPr>
            <m:oMath>
              <m:r>
                <w:rPr>
                  <w:rFonts w:ascii="Cambria Math" w:hAnsi="Cambria Math" w:cs="Times New Roman"/>
                  <w:sz w:val="20"/>
                  <w:szCs w:val="20"/>
                </w:rPr>
                <m:t>D</m:t>
              </m:r>
            </m:oMath>
            <w:r w:rsidRPr="00D41FC5">
              <w:rPr>
                <w:rFonts w:ascii="Times New Roman" w:hAnsi="Times New Roman" w:cs="Times New Roman"/>
                <w:sz w:val="20"/>
                <w:szCs w:val="20"/>
              </w:rPr>
              <w:t>=</w:t>
            </w:r>
            <w:r w:rsidR="007644DA" w:rsidRPr="00D41FC5">
              <w:rPr>
                <w:rFonts w:ascii="Times New Roman" w:hAnsi="Times New Roman" w:cs="Times New Roman"/>
                <w:sz w:val="20"/>
                <w:szCs w:val="20"/>
              </w:rPr>
              <w:t xml:space="preserve"> </w:t>
            </w:r>
            <w:r w:rsidRPr="00D41FC5">
              <w:rPr>
                <w:rFonts w:ascii="Times New Roman" w:hAnsi="Times New Roman" w:cs="Times New Roman"/>
                <w:sz w:val="20"/>
                <w:szCs w:val="20"/>
              </w:rPr>
              <w:t>20</w:t>
            </w:r>
          </w:p>
        </w:tc>
        <w:tc>
          <w:tcPr>
            <w:tcW w:w="656" w:type="dxa"/>
            <w:tcBorders>
              <w:top w:val="single" w:sz="4" w:space="0" w:color="auto"/>
              <w:left w:val="nil"/>
              <w:bottom w:val="nil"/>
              <w:right w:val="single" w:sz="4" w:space="0" w:color="auto"/>
            </w:tcBorders>
            <w:vAlign w:val="center"/>
            <w:hideMark/>
          </w:tcPr>
          <w:p w14:paraId="5A743AEF" w14:textId="053A7B83"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f=5</w:t>
            </w:r>
          </w:p>
        </w:tc>
        <w:tc>
          <w:tcPr>
            <w:tcW w:w="999" w:type="dxa"/>
            <w:tcBorders>
              <w:top w:val="single" w:sz="4" w:space="0" w:color="auto"/>
              <w:left w:val="single" w:sz="4" w:space="0" w:color="auto"/>
              <w:bottom w:val="nil"/>
              <w:right w:val="nil"/>
            </w:tcBorders>
            <w:vAlign w:val="center"/>
            <w:hideMark/>
          </w:tcPr>
          <w:p w14:paraId="3805C20F"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4.8</w:t>
            </w:r>
          </w:p>
        </w:tc>
        <w:tc>
          <w:tcPr>
            <w:tcW w:w="1151" w:type="dxa"/>
            <w:tcBorders>
              <w:top w:val="single" w:sz="4" w:space="0" w:color="auto"/>
              <w:left w:val="nil"/>
              <w:bottom w:val="nil"/>
              <w:right w:val="nil"/>
            </w:tcBorders>
            <w:vAlign w:val="center"/>
            <w:hideMark/>
          </w:tcPr>
          <w:p w14:paraId="4FF28E1E"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5.2</w:t>
            </w:r>
          </w:p>
        </w:tc>
        <w:tc>
          <w:tcPr>
            <w:tcW w:w="770" w:type="dxa"/>
            <w:gridSpan w:val="2"/>
            <w:tcBorders>
              <w:top w:val="single" w:sz="4" w:space="0" w:color="auto"/>
              <w:left w:val="nil"/>
              <w:bottom w:val="nil"/>
              <w:right w:val="nil"/>
            </w:tcBorders>
            <w:vAlign w:val="center"/>
            <w:hideMark/>
          </w:tcPr>
          <w:p w14:paraId="2742F87B"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7.6%</w:t>
            </w:r>
          </w:p>
        </w:tc>
        <w:tc>
          <w:tcPr>
            <w:tcW w:w="1228" w:type="dxa"/>
            <w:tcBorders>
              <w:top w:val="single" w:sz="4" w:space="0" w:color="auto"/>
              <w:left w:val="nil"/>
              <w:bottom w:val="nil"/>
              <w:right w:val="single" w:sz="4" w:space="0" w:color="auto"/>
            </w:tcBorders>
            <w:vAlign w:val="center"/>
            <w:hideMark/>
          </w:tcPr>
          <w:p w14:paraId="4F434985"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5.3 </w:t>
            </w:r>
          </w:p>
        </w:tc>
        <w:tc>
          <w:tcPr>
            <w:tcW w:w="1142" w:type="dxa"/>
            <w:gridSpan w:val="2"/>
            <w:tcBorders>
              <w:top w:val="single" w:sz="4" w:space="0" w:color="auto"/>
              <w:left w:val="single" w:sz="4" w:space="0" w:color="auto"/>
              <w:bottom w:val="nil"/>
              <w:right w:val="nil"/>
            </w:tcBorders>
            <w:vAlign w:val="center"/>
            <w:hideMark/>
          </w:tcPr>
          <w:p w14:paraId="63684E0D"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7.2</w:t>
            </w:r>
          </w:p>
        </w:tc>
        <w:tc>
          <w:tcPr>
            <w:tcW w:w="1092" w:type="dxa"/>
            <w:tcBorders>
              <w:top w:val="single" w:sz="4" w:space="0" w:color="auto"/>
              <w:left w:val="nil"/>
              <w:bottom w:val="nil"/>
              <w:right w:val="nil"/>
            </w:tcBorders>
            <w:vAlign w:val="center"/>
            <w:hideMark/>
          </w:tcPr>
          <w:p w14:paraId="338747A7"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6.4</w:t>
            </w:r>
          </w:p>
        </w:tc>
        <w:tc>
          <w:tcPr>
            <w:tcW w:w="760" w:type="dxa"/>
            <w:tcBorders>
              <w:top w:val="single" w:sz="4" w:space="0" w:color="auto"/>
              <w:left w:val="nil"/>
              <w:bottom w:val="nil"/>
              <w:right w:val="nil"/>
            </w:tcBorders>
            <w:vAlign w:val="center"/>
            <w:hideMark/>
          </w:tcPr>
          <w:p w14:paraId="67D49FF7"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12.5%</w:t>
            </w:r>
          </w:p>
        </w:tc>
        <w:tc>
          <w:tcPr>
            <w:tcW w:w="1291" w:type="dxa"/>
            <w:tcBorders>
              <w:top w:val="single" w:sz="4" w:space="0" w:color="auto"/>
              <w:left w:val="nil"/>
              <w:bottom w:val="nil"/>
              <w:right w:val="nil"/>
            </w:tcBorders>
            <w:vAlign w:val="center"/>
            <w:hideMark/>
          </w:tcPr>
          <w:p w14:paraId="6309BFD0"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7.9 </w:t>
            </w:r>
          </w:p>
        </w:tc>
      </w:tr>
      <w:tr w:rsidR="00D41FC5" w:rsidRPr="00D41FC5" w14:paraId="40786B55" w14:textId="77777777" w:rsidTr="00D40B93">
        <w:trPr>
          <w:gridAfter w:val="1"/>
          <w:wAfter w:w="22" w:type="dxa"/>
          <w:trHeight w:val="360"/>
          <w:jc w:val="center"/>
        </w:trPr>
        <w:tc>
          <w:tcPr>
            <w:tcW w:w="758" w:type="dxa"/>
            <w:gridSpan w:val="2"/>
            <w:vMerge/>
            <w:tcBorders>
              <w:top w:val="single" w:sz="4" w:space="0" w:color="auto"/>
              <w:left w:val="nil"/>
              <w:bottom w:val="nil"/>
              <w:right w:val="nil"/>
            </w:tcBorders>
            <w:vAlign w:val="center"/>
            <w:hideMark/>
          </w:tcPr>
          <w:p w14:paraId="7B8FE5E9" w14:textId="77777777" w:rsidR="00EC39B6" w:rsidRPr="00D41FC5" w:rsidRDefault="00EC39B6" w:rsidP="00BA1CA6">
            <w:pPr>
              <w:rPr>
                <w:rFonts w:ascii="Times New Roman" w:hAnsi="Times New Roman" w:cs="Times New Roman"/>
                <w:sz w:val="20"/>
                <w:szCs w:val="20"/>
              </w:rPr>
            </w:pPr>
          </w:p>
        </w:tc>
        <w:tc>
          <w:tcPr>
            <w:tcW w:w="656" w:type="dxa"/>
            <w:tcBorders>
              <w:top w:val="nil"/>
              <w:left w:val="nil"/>
              <w:bottom w:val="nil"/>
              <w:right w:val="single" w:sz="4" w:space="0" w:color="auto"/>
            </w:tcBorders>
            <w:vAlign w:val="center"/>
            <w:hideMark/>
          </w:tcPr>
          <w:p w14:paraId="5A741301" w14:textId="2FA0F48F"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f=7.5</w:t>
            </w:r>
          </w:p>
        </w:tc>
        <w:tc>
          <w:tcPr>
            <w:tcW w:w="999" w:type="dxa"/>
            <w:tcBorders>
              <w:top w:val="nil"/>
              <w:left w:val="single" w:sz="4" w:space="0" w:color="auto"/>
              <w:bottom w:val="nil"/>
              <w:right w:val="nil"/>
            </w:tcBorders>
            <w:vAlign w:val="center"/>
            <w:hideMark/>
          </w:tcPr>
          <w:p w14:paraId="3209F4D7"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10.0</w:t>
            </w:r>
          </w:p>
        </w:tc>
        <w:tc>
          <w:tcPr>
            <w:tcW w:w="1151" w:type="dxa"/>
            <w:vAlign w:val="center"/>
            <w:hideMark/>
          </w:tcPr>
          <w:p w14:paraId="4302B006"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10.2</w:t>
            </w:r>
          </w:p>
        </w:tc>
        <w:tc>
          <w:tcPr>
            <w:tcW w:w="770" w:type="dxa"/>
            <w:gridSpan w:val="2"/>
            <w:vAlign w:val="center"/>
            <w:hideMark/>
          </w:tcPr>
          <w:p w14:paraId="5927C0CD"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2.0%</w:t>
            </w:r>
          </w:p>
        </w:tc>
        <w:tc>
          <w:tcPr>
            <w:tcW w:w="1228" w:type="dxa"/>
            <w:tcBorders>
              <w:top w:val="nil"/>
              <w:left w:val="nil"/>
              <w:bottom w:val="nil"/>
              <w:right w:val="single" w:sz="4" w:space="0" w:color="auto"/>
            </w:tcBorders>
            <w:vAlign w:val="center"/>
            <w:hideMark/>
          </w:tcPr>
          <w:p w14:paraId="651C6484"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13.6</w:t>
            </w:r>
          </w:p>
        </w:tc>
        <w:tc>
          <w:tcPr>
            <w:tcW w:w="1142" w:type="dxa"/>
            <w:gridSpan w:val="2"/>
            <w:tcBorders>
              <w:top w:val="nil"/>
              <w:left w:val="single" w:sz="4" w:space="0" w:color="auto"/>
              <w:bottom w:val="nil"/>
              <w:right w:val="nil"/>
            </w:tcBorders>
            <w:vAlign w:val="center"/>
            <w:hideMark/>
          </w:tcPr>
          <w:p w14:paraId="0D491950"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14.1</w:t>
            </w:r>
          </w:p>
        </w:tc>
        <w:tc>
          <w:tcPr>
            <w:tcW w:w="1092" w:type="dxa"/>
            <w:vAlign w:val="center"/>
            <w:hideMark/>
          </w:tcPr>
          <w:p w14:paraId="485CC11E"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11.8</w:t>
            </w:r>
          </w:p>
        </w:tc>
        <w:tc>
          <w:tcPr>
            <w:tcW w:w="760" w:type="dxa"/>
            <w:vAlign w:val="center"/>
            <w:hideMark/>
          </w:tcPr>
          <w:p w14:paraId="29697870"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19.5%</w:t>
            </w:r>
          </w:p>
        </w:tc>
        <w:tc>
          <w:tcPr>
            <w:tcW w:w="1291" w:type="dxa"/>
            <w:vAlign w:val="center"/>
            <w:hideMark/>
          </w:tcPr>
          <w:p w14:paraId="4E3E20AD"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15.8 </w:t>
            </w:r>
          </w:p>
        </w:tc>
      </w:tr>
      <w:tr w:rsidR="00D41FC5" w:rsidRPr="00D41FC5" w14:paraId="467D4FC8" w14:textId="77777777" w:rsidTr="00D40B93">
        <w:trPr>
          <w:gridAfter w:val="1"/>
          <w:wAfter w:w="22" w:type="dxa"/>
          <w:trHeight w:val="360"/>
          <w:jc w:val="center"/>
        </w:trPr>
        <w:tc>
          <w:tcPr>
            <w:tcW w:w="758" w:type="dxa"/>
            <w:gridSpan w:val="2"/>
            <w:vMerge/>
            <w:tcBorders>
              <w:top w:val="single" w:sz="4" w:space="0" w:color="auto"/>
              <w:left w:val="nil"/>
              <w:bottom w:val="nil"/>
              <w:right w:val="nil"/>
            </w:tcBorders>
            <w:vAlign w:val="center"/>
            <w:hideMark/>
          </w:tcPr>
          <w:p w14:paraId="66BA7797" w14:textId="77777777" w:rsidR="00EC39B6" w:rsidRPr="00D41FC5" w:rsidRDefault="00EC39B6" w:rsidP="00BA1CA6">
            <w:pPr>
              <w:rPr>
                <w:rFonts w:ascii="Times New Roman" w:hAnsi="Times New Roman" w:cs="Times New Roman"/>
                <w:sz w:val="20"/>
                <w:szCs w:val="20"/>
              </w:rPr>
            </w:pPr>
          </w:p>
        </w:tc>
        <w:tc>
          <w:tcPr>
            <w:tcW w:w="656" w:type="dxa"/>
            <w:tcBorders>
              <w:top w:val="nil"/>
              <w:left w:val="nil"/>
              <w:bottom w:val="nil"/>
              <w:right w:val="single" w:sz="4" w:space="0" w:color="auto"/>
            </w:tcBorders>
            <w:vAlign w:val="center"/>
            <w:hideMark/>
          </w:tcPr>
          <w:p w14:paraId="1A8AC249" w14:textId="4CD2CC9E"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f=10</w:t>
            </w:r>
          </w:p>
        </w:tc>
        <w:tc>
          <w:tcPr>
            <w:tcW w:w="999" w:type="dxa"/>
            <w:tcBorders>
              <w:top w:val="nil"/>
              <w:left w:val="single" w:sz="4" w:space="0" w:color="auto"/>
              <w:bottom w:val="nil"/>
              <w:right w:val="nil"/>
            </w:tcBorders>
            <w:vAlign w:val="center"/>
            <w:hideMark/>
          </w:tcPr>
          <w:p w14:paraId="584C299C"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7.3</w:t>
            </w:r>
          </w:p>
        </w:tc>
        <w:tc>
          <w:tcPr>
            <w:tcW w:w="1151" w:type="dxa"/>
            <w:vAlign w:val="center"/>
            <w:hideMark/>
          </w:tcPr>
          <w:p w14:paraId="7CE51D42"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7.0</w:t>
            </w:r>
          </w:p>
        </w:tc>
        <w:tc>
          <w:tcPr>
            <w:tcW w:w="770" w:type="dxa"/>
            <w:gridSpan w:val="2"/>
            <w:vAlign w:val="center"/>
            <w:hideMark/>
          </w:tcPr>
          <w:p w14:paraId="7CA07A23"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4.2%</w:t>
            </w:r>
          </w:p>
        </w:tc>
        <w:tc>
          <w:tcPr>
            <w:tcW w:w="1228" w:type="dxa"/>
            <w:tcBorders>
              <w:top w:val="nil"/>
              <w:left w:val="nil"/>
              <w:bottom w:val="nil"/>
              <w:right w:val="single" w:sz="4" w:space="0" w:color="auto"/>
            </w:tcBorders>
            <w:vAlign w:val="center"/>
            <w:hideMark/>
          </w:tcPr>
          <w:p w14:paraId="337A9903"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8.7 </w:t>
            </w:r>
          </w:p>
        </w:tc>
        <w:tc>
          <w:tcPr>
            <w:tcW w:w="1142" w:type="dxa"/>
            <w:gridSpan w:val="2"/>
            <w:tcBorders>
              <w:top w:val="nil"/>
              <w:left w:val="single" w:sz="4" w:space="0" w:color="auto"/>
              <w:bottom w:val="nil"/>
              <w:right w:val="nil"/>
            </w:tcBorders>
            <w:vAlign w:val="center"/>
            <w:hideMark/>
          </w:tcPr>
          <w:p w14:paraId="014CCB28"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21.0</w:t>
            </w:r>
          </w:p>
        </w:tc>
        <w:tc>
          <w:tcPr>
            <w:tcW w:w="1092" w:type="dxa"/>
            <w:vAlign w:val="center"/>
            <w:hideMark/>
          </w:tcPr>
          <w:p w14:paraId="7A1A6072"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22.4</w:t>
            </w:r>
          </w:p>
        </w:tc>
        <w:tc>
          <w:tcPr>
            <w:tcW w:w="760" w:type="dxa"/>
            <w:vAlign w:val="center"/>
            <w:hideMark/>
          </w:tcPr>
          <w:p w14:paraId="60F2E7FB"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6.3%</w:t>
            </w:r>
          </w:p>
        </w:tc>
        <w:tc>
          <w:tcPr>
            <w:tcW w:w="1291" w:type="dxa"/>
            <w:vAlign w:val="center"/>
            <w:hideMark/>
          </w:tcPr>
          <w:p w14:paraId="61BA6338"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16.3 </w:t>
            </w:r>
          </w:p>
        </w:tc>
      </w:tr>
      <w:tr w:rsidR="00D41FC5" w:rsidRPr="00D41FC5" w14:paraId="7FAE678D" w14:textId="77777777" w:rsidTr="00D40B93">
        <w:trPr>
          <w:gridAfter w:val="1"/>
          <w:wAfter w:w="22" w:type="dxa"/>
          <w:trHeight w:val="349"/>
          <w:jc w:val="center"/>
        </w:trPr>
        <w:tc>
          <w:tcPr>
            <w:tcW w:w="758" w:type="dxa"/>
            <w:gridSpan w:val="2"/>
            <w:vMerge w:val="restart"/>
            <w:vAlign w:val="center"/>
            <w:hideMark/>
          </w:tcPr>
          <w:p w14:paraId="506A8FD6" w14:textId="65843921" w:rsidR="00EC39B6" w:rsidRPr="00D41FC5" w:rsidRDefault="00EC39B6" w:rsidP="00BA1CA6">
            <w:pPr>
              <w:rPr>
                <w:rFonts w:ascii="Times New Roman" w:hAnsi="Times New Roman" w:cs="Times New Roman"/>
                <w:sz w:val="20"/>
                <w:szCs w:val="20"/>
              </w:rPr>
            </w:pPr>
            <m:oMath>
              <m:r>
                <w:rPr>
                  <w:rFonts w:ascii="Cambria Math" w:hAnsi="Cambria Math" w:cs="Times New Roman"/>
                  <w:sz w:val="20"/>
                  <w:szCs w:val="20"/>
                </w:rPr>
                <m:t>D</m:t>
              </m:r>
            </m:oMath>
            <w:r w:rsidRPr="00D41FC5">
              <w:rPr>
                <w:rFonts w:ascii="Times New Roman" w:hAnsi="Times New Roman" w:cs="Times New Roman"/>
                <w:sz w:val="20"/>
                <w:szCs w:val="20"/>
              </w:rPr>
              <w:t>=</w:t>
            </w:r>
            <w:r w:rsidR="007644DA" w:rsidRPr="00D41FC5">
              <w:rPr>
                <w:rFonts w:ascii="Times New Roman" w:hAnsi="Times New Roman" w:cs="Times New Roman"/>
                <w:sz w:val="20"/>
                <w:szCs w:val="20"/>
              </w:rPr>
              <w:t xml:space="preserve"> </w:t>
            </w:r>
            <w:r w:rsidRPr="00D41FC5">
              <w:rPr>
                <w:rFonts w:ascii="Times New Roman" w:hAnsi="Times New Roman" w:cs="Times New Roman"/>
                <w:sz w:val="20"/>
                <w:szCs w:val="20"/>
              </w:rPr>
              <w:t>30</w:t>
            </w:r>
          </w:p>
        </w:tc>
        <w:tc>
          <w:tcPr>
            <w:tcW w:w="656" w:type="dxa"/>
            <w:tcBorders>
              <w:top w:val="nil"/>
              <w:left w:val="nil"/>
              <w:bottom w:val="nil"/>
              <w:right w:val="single" w:sz="4" w:space="0" w:color="auto"/>
            </w:tcBorders>
            <w:vAlign w:val="center"/>
            <w:hideMark/>
          </w:tcPr>
          <w:p w14:paraId="231CD8F7" w14:textId="4E00ABDB"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f=5</w:t>
            </w:r>
          </w:p>
        </w:tc>
        <w:tc>
          <w:tcPr>
            <w:tcW w:w="999" w:type="dxa"/>
            <w:tcBorders>
              <w:top w:val="nil"/>
              <w:left w:val="single" w:sz="4" w:space="0" w:color="auto"/>
              <w:bottom w:val="nil"/>
              <w:right w:val="nil"/>
            </w:tcBorders>
            <w:vAlign w:val="center"/>
            <w:hideMark/>
          </w:tcPr>
          <w:p w14:paraId="24BC3581"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3.5</w:t>
            </w:r>
          </w:p>
        </w:tc>
        <w:tc>
          <w:tcPr>
            <w:tcW w:w="1151" w:type="dxa"/>
            <w:vAlign w:val="center"/>
            <w:hideMark/>
          </w:tcPr>
          <w:p w14:paraId="635D4B0F"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3.8</w:t>
            </w:r>
          </w:p>
        </w:tc>
        <w:tc>
          <w:tcPr>
            <w:tcW w:w="770" w:type="dxa"/>
            <w:gridSpan w:val="2"/>
            <w:vAlign w:val="center"/>
            <w:hideMark/>
          </w:tcPr>
          <w:p w14:paraId="0D157D4E"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7.9%</w:t>
            </w:r>
          </w:p>
        </w:tc>
        <w:tc>
          <w:tcPr>
            <w:tcW w:w="1228" w:type="dxa"/>
            <w:tcBorders>
              <w:top w:val="nil"/>
              <w:left w:val="nil"/>
              <w:bottom w:val="nil"/>
              <w:right w:val="single" w:sz="4" w:space="0" w:color="auto"/>
            </w:tcBorders>
            <w:vAlign w:val="center"/>
            <w:hideMark/>
          </w:tcPr>
          <w:p w14:paraId="0C74E0AC"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3.5</w:t>
            </w:r>
          </w:p>
        </w:tc>
        <w:tc>
          <w:tcPr>
            <w:tcW w:w="1142" w:type="dxa"/>
            <w:gridSpan w:val="2"/>
            <w:tcBorders>
              <w:top w:val="nil"/>
              <w:left w:val="single" w:sz="4" w:space="0" w:color="auto"/>
              <w:bottom w:val="nil"/>
              <w:right w:val="nil"/>
            </w:tcBorders>
            <w:vAlign w:val="center"/>
            <w:hideMark/>
          </w:tcPr>
          <w:p w14:paraId="7ADBD6F6"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6.5</w:t>
            </w:r>
          </w:p>
        </w:tc>
        <w:tc>
          <w:tcPr>
            <w:tcW w:w="1092" w:type="dxa"/>
            <w:vAlign w:val="center"/>
            <w:hideMark/>
          </w:tcPr>
          <w:p w14:paraId="5ED28936"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5.3</w:t>
            </w:r>
          </w:p>
        </w:tc>
        <w:tc>
          <w:tcPr>
            <w:tcW w:w="760" w:type="dxa"/>
            <w:vAlign w:val="center"/>
            <w:hideMark/>
          </w:tcPr>
          <w:p w14:paraId="4DE6C18C"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22.6%</w:t>
            </w:r>
          </w:p>
        </w:tc>
        <w:tc>
          <w:tcPr>
            <w:tcW w:w="1291" w:type="dxa"/>
            <w:vAlign w:val="center"/>
            <w:hideMark/>
          </w:tcPr>
          <w:p w14:paraId="289BE50A"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5.5 </w:t>
            </w:r>
          </w:p>
        </w:tc>
      </w:tr>
      <w:tr w:rsidR="00D41FC5" w:rsidRPr="00D41FC5" w14:paraId="6D3B5C04" w14:textId="77777777" w:rsidTr="00D40B93">
        <w:trPr>
          <w:gridAfter w:val="1"/>
          <w:wAfter w:w="22" w:type="dxa"/>
          <w:trHeight w:val="360"/>
          <w:jc w:val="center"/>
        </w:trPr>
        <w:tc>
          <w:tcPr>
            <w:tcW w:w="758" w:type="dxa"/>
            <w:gridSpan w:val="2"/>
            <w:vMerge/>
            <w:vAlign w:val="center"/>
            <w:hideMark/>
          </w:tcPr>
          <w:p w14:paraId="60C791E5" w14:textId="77777777" w:rsidR="00EC39B6" w:rsidRPr="00D41FC5" w:rsidRDefault="00EC39B6" w:rsidP="00BA1CA6">
            <w:pPr>
              <w:rPr>
                <w:rFonts w:ascii="Times New Roman" w:hAnsi="Times New Roman" w:cs="Times New Roman"/>
                <w:sz w:val="20"/>
                <w:szCs w:val="20"/>
              </w:rPr>
            </w:pPr>
          </w:p>
        </w:tc>
        <w:tc>
          <w:tcPr>
            <w:tcW w:w="656" w:type="dxa"/>
            <w:tcBorders>
              <w:top w:val="nil"/>
              <w:left w:val="nil"/>
              <w:bottom w:val="nil"/>
              <w:right w:val="single" w:sz="4" w:space="0" w:color="auto"/>
            </w:tcBorders>
            <w:vAlign w:val="center"/>
            <w:hideMark/>
          </w:tcPr>
          <w:p w14:paraId="6334D9D4" w14:textId="0ACDBDF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f=7.5</w:t>
            </w:r>
          </w:p>
        </w:tc>
        <w:tc>
          <w:tcPr>
            <w:tcW w:w="999" w:type="dxa"/>
            <w:tcBorders>
              <w:top w:val="nil"/>
              <w:left w:val="single" w:sz="4" w:space="0" w:color="auto"/>
              <w:bottom w:val="nil"/>
              <w:right w:val="nil"/>
            </w:tcBorders>
            <w:vAlign w:val="center"/>
            <w:hideMark/>
          </w:tcPr>
          <w:p w14:paraId="7D957979"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3.7</w:t>
            </w:r>
          </w:p>
        </w:tc>
        <w:tc>
          <w:tcPr>
            <w:tcW w:w="1151" w:type="dxa"/>
            <w:vAlign w:val="center"/>
            <w:hideMark/>
          </w:tcPr>
          <w:p w14:paraId="6A620087"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6.0</w:t>
            </w:r>
          </w:p>
        </w:tc>
        <w:tc>
          <w:tcPr>
            <w:tcW w:w="770" w:type="dxa"/>
            <w:gridSpan w:val="2"/>
            <w:vAlign w:val="center"/>
            <w:hideMark/>
          </w:tcPr>
          <w:p w14:paraId="4CBB38B2"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38.3%</w:t>
            </w:r>
          </w:p>
        </w:tc>
        <w:tc>
          <w:tcPr>
            <w:tcW w:w="1228" w:type="dxa"/>
            <w:tcBorders>
              <w:top w:val="nil"/>
              <w:left w:val="nil"/>
              <w:bottom w:val="nil"/>
              <w:right w:val="single" w:sz="4" w:space="0" w:color="auto"/>
            </w:tcBorders>
            <w:vAlign w:val="center"/>
            <w:hideMark/>
          </w:tcPr>
          <w:p w14:paraId="457AF5F5"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5.6</w:t>
            </w:r>
          </w:p>
        </w:tc>
        <w:tc>
          <w:tcPr>
            <w:tcW w:w="1142" w:type="dxa"/>
            <w:gridSpan w:val="2"/>
            <w:tcBorders>
              <w:top w:val="nil"/>
              <w:left w:val="single" w:sz="4" w:space="0" w:color="auto"/>
              <w:bottom w:val="nil"/>
              <w:right w:val="nil"/>
            </w:tcBorders>
            <w:vAlign w:val="center"/>
            <w:hideMark/>
          </w:tcPr>
          <w:p w14:paraId="193A840F"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5.4</w:t>
            </w:r>
          </w:p>
        </w:tc>
        <w:tc>
          <w:tcPr>
            <w:tcW w:w="1092" w:type="dxa"/>
            <w:vAlign w:val="center"/>
            <w:hideMark/>
          </w:tcPr>
          <w:p w14:paraId="74E8F4EF"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7.7</w:t>
            </w:r>
          </w:p>
        </w:tc>
        <w:tc>
          <w:tcPr>
            <w:tcW w:w="760" w:type="dxa"/>
            <w:vAlign w:val="center"/>
            <w:hideMark/>
          </w:tcPr>
          <w:p w14:paraId="28096B96"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29.9%</w:t>
            </w:r>
          </w:p>
        </w:tc>
        <w:tc>
          <w:tcPr>
            <w:tcW w:w="1291" w:type="dxa"/>
            <w:vAlign w:val="center"/>
            <w:hideMark/>
          </w:tcPr>
          <w:p w14:paraId="0C712F97"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7.5 </w:t>
            </w:r>
          </w:p>
        </w:tc>
      </w:tr>
      <w:tr w:rsidR="00D41FC5" w:rsidRPr="00D41FC5" w14:paraId="046AE181" w14:textId="77777777" w:rsidTr="00D40B93">
        <w:trPr>
          <w:gridAfter w:val="1"/>
          <w:wAfter w:w="22" w:type="dxa"/>
          <w:trHeight w:val="360"/>
          <w:jc w:val="center"/>
        </w:trPr>
        <w:tc>
          <w:tcPr>
            <w:tcW w:w="758" w:type="dxa"/>
            <w:gridSpan w:val="2"/>
            <w:vMerge/>
            <w:vAlign w:val="center"/>
            <w:hideMark/>
          </w:tcPr>
          <w:p w14:paraId="1945ED15" w14:textId="77777777" w:rsidR="00EC39B6" w:rsidRPr="00D41FC5" w:rsidRDefault="00EC39B6" w:rsidP="00BA1CA6">
            <w:pPr>
              <w:rPr>
                <w:rFonts w:ascii="Times New Roman" w:hAnsi="Times New Roman" w:cs="Times New Roman"/>
                <w:sz w:val="20"/>
                <w:szCs w:val="20"/>
              </w:rPr>
            </w:pPr>
          </w:p>
        </w:tc>
        <w:tc>
          <w:tcPr>
            <w:tcW w:w="656" w:type="dxa"/>
            <w:tcBorders>
              <w:top w:val="nil"/>
              <w:left w:val="nil"/>
              <w:bottom w:val="nil"/>
              <w:right w:val="single" w:sz="4" w:space="0" w:color="auto"/>
            </w:tcBorders>
            <w:vAlign w:val="center"/>
            <w:hideMark/>
          </w:tcPr>
          <w:p w14:paraId="2AA4FA33" w14:textId="11FD5233"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f=10</w:t>
            </w:r>
          </w:p>
        </w:tc>
        <w:tc>
          <w:tcPr>
            <w:tcW w:w="999" w:type="dxa"/>
            <w:tcBorders>
              <w:top w:val="nil"/>
              <w:left w:val="single" w:sz="4" w:space="0" w:color="auto"/>
              <w:bottom w:val="nil"/>
              <w:right w:val="nil"/>
            </w:tcBorders>
            <w:vAlign w:val="center"/>
            <w:hideMark/>
          </w:tcPr>
          <w:p w14:paraId="161F3984"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4.6</w:t>
            </w:r>
          </w:p>
        </w:tc>
        <w:tc>
          <w:tcPr>
            <w:tcW w:w="1151" w:type="dxa"/>
            <w:vAlign w:val="center"/>
            <w:hideMark/>
          </w:tcPr>
          <w:p w14:paraId="46EE3F44"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4.7</w:t>
            </w:r>
          </w:p>
        </w:tc>
        <w:tc>
          <w:tcPr>
            <w:tcW w:w="770" w:type="dxa"/>
            <w:gridSpan w:val="2"/>
            <w:vAlign w:val="center"/>
            <w:hideMark/>
          </w:tcPr>
          <w:p w14:paraId="3CFDE407"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3.3%</w:t>
            </w:r>
          </w:p>
        </w:tc>
        <w:tc>
          <w:tcPr>
            <w:tcW w:w="1228" w:type="dxa"/>
            <w:tcBorders>
              <w:top w:val="nil"/>
              <w:left w:val="nil"/>
              <w:bottom w:val="nil"/>
              <w:right w:val="single" w:sz="4" w:space="0" w:color="auto"/>
            </w:tcBorders>
            <w:vAlign w:val="center"/>
            <w:hideMark/>
          </w:tcPr>
          <w:p w14:paraId="7321AF97"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7.4</w:t>
            </w:r>
          </w:p>
        </w:tc>
        <w:tc>
          <w:tcPr>
            <w:tcW w:w="1142" w:type="dxa"/>
            <w:gridSpan w:val="2"/>
            <w:tcBorders>
              <w:top w:val="nil"/>
              <w:left w:val="single" w:sz="4" w:space="0" w:color="auto"/>
              <w:bottom w:val="nil"/>
              <w:right w:val="nil"/>
            </w:tcBorders>
            <w:vAlign w:val="center"/>
            <w:hideMark/>
          </w:tcPr>
          <w:p w14:paraId="6E5A25E5"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6.7</w:t>
            </w:r>
          </w:p>
        </w:tc>
        <w:tc>
          <w:tcPr>
            <w:tcW w:w="1092" w:type="dxa"/>
            <w:vAlign w:val="center"/>
            <w:hideMark/>
          </w:tcPr>
          <w:p w14:paraId="136CADB7"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5.0</w:t>
            </w:r>
          </w:p>
        </w:tc>
        <w:tc>
          <w:tcPr>
            <w:tcW w:w="760" w:type="dxa"/>
            <w:vAlign w:val="center"/>
            <w:hideMark/>
          </w:tcPr>
          <w:p w14:paraId="4B511222"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34.0%</w:t>
            </w:r>
          </w:p>
        </w:tc>
        <w:tc>
          <w:tcPr>
            <w:tcW w:w="1291" w:type="dxa"/>
            <w:vAlign w:val="center"/>
            <w:hideMark/>
          </w:tcPr>
          <w:p w14:paraId="0031753A"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7.3 </w:t>
            </w:r>
          </w:p>
        </w:tc>
      </w:tr>
      <w:tr w:rsidR="00D41FC5" w:rsidRPr="00D41FC5" w14:paraId="49A0CDC9" w14:textId="77777777" w:rsidTr="00D40B93">
        <w:trPr>
          <w:gridAfter w:val="1"/>
          <w:wAfter w:w="22" w:type="dxa"/>
          <w:trHeight w:val="349"/>
          <w:jc w:val="center"/>
        </w:trPr>
        <w:tc>
          <w:tcPr>
            <w:tcW w:w="758" w:type="dxa"/>
            <w:gridSpan w:val="2"/>
            <w:vMerge w:val="restart"/>
            <w:tcBorders>
              <w:top w:val="nil"/>
              <w:left w:val="nil"/>
              <w:bottom w:val="single" w:sz="12" w:space="0" w:color="auto"/>
              <w:right w:val="nil"/>
            </w:tcBorders>
            <w:vAlign w:val="center"/>
            <w:hideMark/>
          </w:tcPr>
          <w:p w14:paraId="1359C485" w14:textId="36513C54" w:rsidR="00EC39B6" w:rsidRPr="00D41FC5" w:rsidRDefault="00EC39B6" w:rsidP="00BA1CA6">
            <w:pPr>
              <w:rPr>
                <w:rFonts w:ascii="Times New Roman" w:hAnsi="Times New Roman" w:cs="Times New Roman"/>
                <w:sz w:val="20"/>
                <w:szCs w:val="20"/>
              </w:rPr>
            </w:pPr>
            <m:oMath>
              <m:r>
                <w:rPr>
                  <w:rFonts w:ascii="Cambria Math" w:hAnsi="Cambria Math" w:cs="Times New Roman"/>
                  <w:sz w:val="20"/>
                  <w:szCs w:val="20"/>
                </w:rPr>
                <m:t>D</m:t>
              </m:r>
            </m:oMath>
            <w:r w:rsidRPr="00D41FC5">
              <w:rPr>
                <w:rFonts w:ascii="Times New Roman" w:hAnsi="Times New Roman" w:cs="Times New Roman"/>
                <w:sz w:val="20"/>
                <w:szCs w:val="20"/>
              </w:rPr>
              <w:t>=</w:t>
            </w:r>
            <w:r w:rsidR="007644DA" w:rsidRPr="00D41FC5">
              <w:rPr>
                <w:rFonts w:ascii="Times New Roman" w:hAnsi="Times New Roman" w:cs="Times New Roman"/>
                <w:sz w:val="20"/>
                <w:szCs w:val="20"/>
              </w:rPr>
              <w:t xml:space="preserve"> </w:t>
            </w:r>
            <w:r w:rsidRPr="00D41FC5">
              <w:rPr>
                <w:rFonts w:ascii="Times New Roman" w:hAnsi="Times New Roman" w:cs="Times New Roman"/>
                <w:sz w:val="20"/>
                <w:szCs w:val="20"/>
              </w:rPr>
              <w:t>40</w:t>
            </w:r>
          </w:p>
        </w:tc>
        <w:tc>
          <w:tcPr>
            <w:tcW w:w="656" w:type="dxa"/>
            <w:tcBorders>
              <w:top w:val="nil"/>
              <w:left w:val="nil"/>
              <w:bottom w:val="nil"/>
              <w:right w:val="single" w:sz="4" w:space="0" w:color="auto"/>
            </w:tcBorders>
            <w:vAlign w:val="center"/>
            <w:hideMark/>
          </w:tcPr>
          <w:p w14:paraId="75D4DC12" w14:textId="0DE81293"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f=5</w:t>
            </w:r>
          </w:p>
        </w:tc>
        <w:tc>
          <w:tcPr>
            <w:tcW w:w="999" w:type="dxa"/>
            <w:tcBorders>
              <w:top w:val="nil"/>
              <w:left w:val="single" w:sz="4" w:space="0" w:color="auto"/>
              <w:bottom w:val="nil"/>
              <w:right w:val="nil"/>
            </w:tcBorders>
            <w:vAlign w:val="center"/>
            <w:hideMark/>
          </w:tcPr>
          <w:p w14:paraId="020B8994"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2.7</w:t>
            </w:r>
          </w:p>
        </w:tc>
        <w:tc>
          <w:tcPr>
            <w:tcW w:w="1151" w:type="dxa"/>
            <w:vAlign w:val="center"/>
            <w:hideMark/>
          </w:tcPr>
          <w:p w14:paraId="0FA9A558"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2.7</w:t>
            </w:r>
          </w:p>
        </w:tc>
        <w:tc>
          <w:tcPr>
            <w:tcW w:w="770" w:type="dxa"/>
            <w:gridSpan w:val="2"/>
            <w:vAlign w:val="center"/>
            <w:hideMark/>
          </w:tcPr>
          <w:p w14:paraId="7A38EBBF"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0</w:t>
            </w:r>
          </w:p>
        </w:tc>
        <w:tc>
          <w:tcPr>
            <w:tcW w:w="1228" w:type="dxa"/>
            <w:tcBorders>
              <w:top w:val="nil"/>
              <w:left w:val="nil"/>
              <w:bottom w:val="nil"/>
              <w:right w:val="single" w:sz="4" w:space="0" w:color="auto"/>
            </w:tcBorders>
            <w:vAlign w:val="center"/>
            <w:hideMark/>
          </w:tcPr>
          <w:p w14:paraId="74B8F9DE"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2.5</w:t>
            </w:r>
          </w:p>
        </w:tc>
        <w:tc>
          <w:tcPr>
            <w:tcW w:w="1142" w:type="dxa"/>
            <w:gridSpan w:val="2"/>
            <w:tcBorders>
              <w:top w:val="nil"/>
              <w:left w:val="single" w:sz="4" w:space="0" w:color="auto"/>
              <w:bottom w:val="nil"/>
              <w:right w:val="nil"/>
            </w:tcBorders>
            <w:vAlign w:val="center"/>
            <w:hideMark/>
          </w:tcPr>
          <w:p w14:paraId="7756A0AC"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3.9</w:t>
            </w:r>
          </w:p>
        </w:tc>
        <w:tc>
          <w:tcPr>
            <w:tcW w:w="1092" w:type="dxa"/>
            <w:vAlign w:val="center"/>
            <w:hideMark/>
          </w:tcPr>
          <w:p w14:paraId="515EDD65"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4.1</w:t>
            </w:r>
          </w:p>
        </w:tc>
        <w:tc>
          <w:tcPr>
            <w:tcW w:w="760" w:type="dxa"/>
            <w:vAlign w:val="center"/>
            <w:hideMark/>
          </w:tcPr>
          <w:p w14:paraId="3F604FB9"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4.9%</w:t>
            </w:r>
          </w:p>
        </w:tc>
        <w:tc>
          <w:tcPr>
            <w:tcW w:w="1291" w:type="dxa"/>
            <w:vAlign w:val="center"/>
            <w:hideMark/>
          </w:tcPr>
          <w:p w14:paraId="6CDF327D"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4.2 </w:t>
            </w:r>
          </w:p>
        </w:tc>
      </w:tr>
      <w:tr w:rsidR="00D41FC5" w:rsidRPr="00D41FC5" w14:paraId="461F735F" w14:textId="77777777" w:rsidTr="00D40B93">
        <w:trPr>
          <w:gridAfter w:val="1"/>
          <w:wAfter w:w="22" w:type="dxa"/>
          <w:trHeight w:val="360"/>
          <w:jc w:val="center"/>
        </w:trPr>
        <w:tc>
          <w:tcPr>
            <w:tcW w:w="758" w:type="dxa"/>
            <w:gridSpan w:val="2"/>
            <w:vMerge/>
            <w:tcBorders>
              <w:top w:val="nil"/>
              <w:left w:val="nil"/>
              <w:bottom w:val="single" w:sz="12" w:space="0" w:color="auto"/>
              <w:right w:val="nil"/>
            </w:tcBorders>
            <w:vAlign w:val="center"/>
            <w:hideMark/>
          </w:tcPr>
          <w:p w14:paraId="390372E9" w14:textId="77777777" w:rsidR="00EC39B6" w:rsidRPr="00D41FC5" w:rsidRDefault="00EC39B6" w:rsidP="00BA1CA6">
            <w:pPr>
              <w:rPr>
                <w:rFonts w:ascii="Times New Roman" w:hAnsi="Times New Roman" w:cs="Times New Roman"/>
                <w:sz w:val="20"/>
                <w:szCs w:val="20"/>
              </w:rPr>
            </w:pPr>
          </w:p>
        </w:tc>
        <w:tc>
          <w:tcPr>
            <w:tcW w:w="656" w:type="dxa"/>
            <w:tcBorders>
              <w:top w:val="nil"/>
              <w:left w:val="nil"/>
              <w:bottom w:val="nil"/>
              <w:right w:val="single" w:sz="4" w:space="0" w:color="auto"/>
            </w:tcBorders>
            <w:vAlign w:val="center"/>
            <w:hideMark/>
          </w:tcPr>
          <w:p w14:paraId="545C14C8" w14:textId="1B1D3789"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f=7.5</w:t>
            </w:r>
          </w:p>
        </w:tc>
        <w:tc>
          <w:tcPr>
            <w:tcW w:w="999" w:type="dxa"/>
            <w:tcBorders>
              <w:top w:val="nil"/>
              <w:left w:val="single" w:sz="4" w:space="0" w:color="auto"/>
              <w:bottom w:val="nil"/>
              <w:right w:val="nil"/>
            </w:tcBorders>
            <w:vAlign w:val="center"/>
            <w:hideMark/>
          </w:tcPr>
          <w:p w14:paraId="6B962913"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3.5</w:t>
            </w:r>
          </w:p>
        </w:tc>
        <w:tc>
          <w:tcPr>
            <w:tcW w:w="1151" w:type="dxa"/>
            <w:vAlign w:val="center"/>
            <w:hideMark/>
          </w:tcPr>
          <w:p w14:paraId="7AB2B7BC"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3.3</w:t>
            </w:r>
          </w:p>
        </w:tc>
        <w:tc>
          <w:tcPr>
            <w:tcW w:w="770" w:type="dxa"/>
            <w:gridSpan w:val="2"/>
            <w:vAlign w:val="center"/>
            <w:hideMark/>
          </w:tcPr>
          <w:p w14:paraId="353F8EA0"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6.0%</w:t>
            </w:r>
          </w:p>
        </w:tc>
        <w:tc>
          <w:tcPr>
            <w:tcW w:w="1228" w:type="dxa"/>
            <w:tcBorders>
              <w:top w:val="nil"/>
              <w:left w:val="nil"/>
              <w:bottom w:val="nil"/>
              <w:right w:val="single" w:sz="4" w:space="0" w:color="auto"/>
            </w:tcBorders>
            <w:vAlign w:val="center"/>
            <w:hideMark/>
          </w:tcPr>
          <w:p w14:paraId="624F562E"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3.9</w:t>
            </w:r>
          </w:p>
        </w:tc>
        <w:tc>
          <w:tcPr>
            <w:tcW w:w="1142" w:type="dxa"/>
            <w:gridSpan w:val="2"/>
            <w:tcBorders>
              <w:top w:val="nil"/>
              <w:left w:val="single" w:sz="4" w:space="0" w:color="auto"/>
              <w:bottom w:val="nil"/>
              <w:right w:val="nil"/>
            </w:tcBorders>
            <w:vAlign w:val="center"/>
            <w:hideMark/>
          </w:tcPr>
          <w:p w14:paraId="18AA1C8C"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5.2</w:t>
            </w:r>
          </w:p>
        </w:tc>
        <w:tc>
          <w:tcPr>
            <w:tcW w:w="1092" w:type="dxa"/>
            <w:vAlign w:val="center"/>
            <w:hideMark/>
          </w:tcPr>
          <w:p w14:paraId="5115E7AC"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5.1</w:t>
            </w:r>
          </w:p>
        </w:tc>
        <w:tc>
          <w:tcPr>
            <w:tcW w:w="760" w:type="dxa"/>
            <w:vAlign w:val="center"/>
            <w:hideMark/>
          </w:tcPr>
          <w:p w14:paraId="50658FE5"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2.0%</w:t>
            </w:r>
          </w:p>
        </w:tc>
        <w:tc>
          <w:tcPr>
            <w:tcW w:w="1291" w:type="dxa"/>
            <w:vAlign w:val="center"/>
            <w:hideMark/>
          </w:tcPr>
          <w:p w14:paraId="634E18EF"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7.3 </w:t>
            </w:r>
          </w:p>
        </w:tc>
      </w:tr>
      <w:tr w:rsidR="00D41FC5" w:rsidRPr="00D41FC5" w14:paraId="3EADF9E0" w14:textId="77777777" w:rsidTr="00D40B93">
        <w:trPr>
          <w:gridAfter w:val="1"/>
          <w:wAfter w:w="22" w:type="dxa"/>
          <w:trHeight w:val="349"/>
          <w:jc w:val="center"/>
        </w:trPr>
        <w:tc>
          <w:tcPr>
            <w:tcW w:w="758" w:type="dxa"/>
            <w:gridSpan w:val="2"/>
            <w:vMerge/>
            <w:tcBorders>
              <w:top w:val="nil"/>
              <w:left w:val="nil"/>
              <w:bottom w:val="single" w:sz="12" w:space="0" w:color="auto"/>
              <w:right w:val="nil"/>
            </w:tcBorders>
            <w:vAlign w:val="center"/>
            <w:hideMark/>
          </w:tcPr>
          <w:p w14:paraId="3F99E897" w14:textId="77777777" w:rsidR="00EC39B6" w:rsidRPr="00D41FC5" w:rsidRDefault="00EC39B6" w:rsidP="00BA1CA6">
            <w:pPr>
              <w:rPr>
                <w:rFonts w:ascii="Times New Roman" w:hAnsi="Times New Roman" w:cs="Times New Roman"/>
                <w:sz w:val="20"/>
                <w:szCs w:val="20"/>
              </w:rPr>
            </w:pPr>
          </w:p>
        </w:tc>
        <w:tc>
          <w:tcPr>
            <w:tcW w:w="656" w:type="dxa"/>
            <w:tcBorders>
              <w:top w:val="nil"/>
              <w:left w:val="nil"/>
              <w:bottom w:val="single" w:sz="12" w:space="0" w:color="auto"/>
              <w:right w:val="single" w:sz="4" w:space="0" w:color="auto"/>
            </w:tcBorders>
            <w:vAlign w:val="center"/>
            <w:hideMark/>
          </w:tcPr>
          <w:p w14:paraId="0E7CC3F9" w14:textId="4AE83875"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f=10</w:t>
            </w:r>
          </w:p>
        </w:tc>
        <w:tc>
          <w:tcPr>
            <w:tcW w:w="999" w:type="dxa"/>
            <w:tcBorders>
              <w:top w:val="nil"/>
              <w:left w:val="single" w:sz="4" w:space="0" w:color="auto"/>
              <w:bottom w:val="single" w:sz="12" w:space="0" w:color="auto"/>
              <w:right w:val="nil"/>
            </w:tcBorders>
            <w:vAlign w:val="center"/>
            <w:hideMark/>
          </w:tcPr>
          <w:p w14:paraId="6376D623"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4.6</w:t>
            </w:r>
          </w:p>
        </w:tc>
        <w:tc>
          <w:tcPr>
            <w:tcW w:w="1151" w:type="dxa"/>
            <w:tcBorders>
              <w:top w:val="nil"/>
              <w:left w:val="nil"/>
              <w:bottom w:val="single" w:sz="12" w:space="0" w:color="auto"/>
              <w:right w:val="nil"/>
            </w:tcBorders>
            <w:vAlign w:val="center"/>
            <w:hideMark/>
          </w:tcPr>
          <w:p w14:paraId="6101DCC5"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4.2</w:t>
            </w:r>
          </w:p>
        </w:tc>
        <w:tc>
          <w:tcPr>
            <w:tcW w:w="770" w:type="dxa"/>
            <w:gridSpan w:val="2"/>
            <w:tcBorders>
              <w:top w:val="nil"/>
              <w:left w:val="nil"/>
              <w:bottom w:val="single" w:sz="12" w:space="0" w:color="auto"/>
              <w:right w:val="nil"/>
            </w:tcBorders>
            <w:vAlign w:val="center"/>
            <w:hideMark/>
          </w:tcPr>
          <w:p w14:paraId="1F7F6C87"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9.5%</w:t>
            </w:r>
          </w:p>
        </w:tc>
        <w:tc>
          <w:tcPr>
            <w:tcW w:w="1228" w:type="dxa"/>
            <w:tcBorders>
              <w:top w:val="nil"/>
              <w:left w:val="nil"/>
              <w:bottom w:val="single" w:sz="12" w:space="0" w:color="auto"/>
              <w:right w:val="single" w:sz="4" w:space="0" w:color="auto"/>
            </w:tcBorders>
            <w:vAlign w:val="center"/>
            <w:hideMark/>
          </w:tcPr>
          <w:p w14:paraId="76732D4A"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7.0</w:t>
            </w:r>
          </w:p>
        </w:tc>
        <w:tc>
          <w:tcPr>
            <w:tcW w:w="1142" w:type="dxa"/>
            <w:gridSpan w:val="2"/>
            <w:tcBorders>
              <w:top w:val="nil"/>
              <w:left w:val="single" w:sz="4" w:space="0" w:color="auto"/>
              <w:bottom w:val="single" w:sz="12" w:space="0" w:color="auto"/>
              <w:right w:val="nil"/>
            </w:tcBorders>
            <w:vAlign w:val="center"/>
            <w:hideMark/>
          </w:tcPr>
          <w:p w14:paraId="3B9D5D34"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6.7</w:t>
            </w:r>
          </w:p>
        </w:tc>
        <w:tc>
          <w:tcPr>
            <w:tcW w:w="1092" w:type="dxa"/>
            <w:tcBorders>
              <w:top w:val="nil"/>
              <w:left w:val="nil"/>
              <w:bottom w:val="single" w:sz="12" w:space="0" w:color="auto"/>
              <w:right w:val="nil"/>
            </w:tcBorders>
            <w:vAlign w:val="center"/>
            <w:hideMark/>
          </w:tcPr>
          <w:p w14:paraId="1F0D6E55"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5.7</w:t>
            </w:r>
          </w:p>
        </w:tc>
        <w:tc>
          <w:tcPr>
            <w:tcW w:w="760" w:type="dxa"/>
            <w:tcBorders>
              <w:top w:val="nil"/>
              <w:left w:val="nil"/>
              <w:bottom w:val="single" w:sz="12" w:space="0" w:color="auto"/>
              <w:right w:val="nil"/>
            </w:tcBorders>
            <w:vAlign w:val="center"/>
            <w:hideMark/>
          </w:tcPr>
          <w:p w14:paraId="614E6F92"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17.5%</w:t>
            </w:r>
          </w:p>
        </w:tc>
        <w:tc>
          <w:tcPr>
            <w:tcW w:w="1291" w:type="dxa"/>
            <w:tcBorders>
              <w:top w:val="nil"/>
              <w:left w:val="nil"/>
              <w:bottom w:val="single" w:sz="12" w:space="0" w:color="auto"/>
              <w:right w:val="nil"/>
            </w:tcBorders>
            <w:vAlign w:val="center"/>
            <w:hideMark/>
          </w:tcPr>
          <w:p w14:paraId="191B12D3" w14:textId="77777777" w:rsidR="00EC39B6" w:rsidRPr="00D41FC5" w:rsidRDefault="00EC39B6" w:rsidP="00BA1CA6">
            <w:pPr>
              <w:rPr>
                <w:rFonts w:ascii="Times New Roman" w:hAnsi="Times New Roman" w:cs="Times New Roman"/>
                <w:sz w:val="20"/>
                <w:szCs w:val="20"/>
              </w:rPr>
            </w:pPr>
            <w:r w:rsidRPr="00D41FC5">
              <w:rPr>
                <w:rFonts w:ascii="Times New Roman" w:hAnsi="Times New Roman" w:cs="Times New Roman"/>
                <w:sz w:val="20"/>
                <w:szCs w:val="20"/>
              </w:rPr>
              <w:t xml:space="preserve">10.6 </w:t>
            </w:r>
          </w:p>
        </w:tc>
      </w:tr>
    </w:tbl>
    <w:p w14:paraId="682B4A36" w14:textId="77777777" w:rsidR="005B54A6" w:rsidRPr="00D41FC5" w:rsidRDefault="005B54A6" w:rsidP="005B54A6">
      <w:pPr>
        <w:spacing w:after="0"/>
        <w:rPr>
          <w:noProof/>
        </w:rPr>
      </w:pPr>
      <w:bookmarkStart w:id="52" w:name="_Hlk45406932"/>
      <w:r w:rsidRPr="00D41FC5">
        <w:rPr>
          <w:noProof/>
          <w:lang w:eastAsia="zh-CN"/>
        </w:rPr>
        <w:lastRenderedPageBreak/>
        <w:drawing>
          <wp:inline distT="0" distB="0" distL="0" distR="0" wp14:anchorId="1ED17E5C" wp14:editId="18F0FB28">
            <wp:extent cx="3136605" cy="2018664"/>
            <wp:effectExtent l="0" t="0" r="698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733"/>
                    <a:stretch/>
                  </pic:blipFill>
                  <pic:spPr bwMode="auto">
                    <a:xfrm>
                      <a:off x="0" y="0"/>
                      <a:ext cx="3184592" cy="2049548"/>
                    </a:xfrm>
                    <a:prstGeom prst="rect">
                      <a:avLst/>
                    </a:prstGeom>
                    <a:ln>
                      <a:noFill/>
                    </a:ln>
                    <a:extLst>
                      <a:ext uri="{53640926-AAD7-44D8-BBD7-CCE9431645EC}">
                        <a14:shadowObscured xmlns:a14="http://schemas.microsoft.com/office/drawing/2010/main"/>
                      </a:ext>
                    </a:extLst>
                  </pic:spPr>
                </pic:pic>
              </a:graphicData>
            </a:graphic>
          </wp:inline>
        </w:drawing>
      </w:r>
      <w:r w:rsidRPr="00D41FC5">
        <w:rPr>
          <w:noProof/>
        </w:rPr>
        <w:t xml:space="preserve"> </w:t>
      </w:r>
      <w:r w:rsidRPr="00D41FC5">
        <w:rPr>
          <w:noProof/>
          <w:lang w:eastAsia="zh-CN"/>
        </w:rPr>
        <w:drawing>
          <wp:inline distT="0" distB="0" distL="0" distR="0" wp14:anchorId="4316C7F0" wp14:editId="60C92638">
            <wp:extent cx="3189768" cy="2036464"/>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83163" cy="2096091"/>
                    </a:xfrm>
                    <a:prstGeom prst="rect">
                      <a:avLst/>
                    </a:prstGeom>
                  </pic:spPr>
                </pic:pic>
              </a:graphicData>
            </a:graphic>
          </wp:inline>
        </w:drawing>
      </w:r>
    </w:p>
    <w:p w14:paraId="5FCAD7F3" w14:textId="77777777" w:rsidR="005B54A6" w:rsidRPr="00D41FC5" w:rsidRDefault="005B54A6" w:rsidP="005B54A6">
      <w:pPr>
        <w:spacing w:after="0"/>
        <w:jc w:val="center"/>
        <w:rPr>
          <w:rFonts w:ascii="Times New Roman" w:hAnsi="Times New Roman" w:cs="Times New Roman"/>
        </w:rPr>
      </w:pPr>
      <w:r w:rsidRPr="00D41FC5">
        <w:rPr>
          <w:rFonts w:ascii="Times New Roman" w:hAnsi="Times New Roman" w:cs="Times New Roman"/>
        </w:rPr>
        <w:t>(a)                                                                                              (</w:t>
      </w:r>
      <w:proofErr w:type="gramStart"/>
      <w:r w:rsidRPr="00D41FC5">
        <w:rPr>
          <w:rFonts w:ascii="Times New Roman" w:hAnsi="Times New Roman" w:cs="Times New Roman"/>
        </w:rPr>
        <w:t>b</w:t>
      </w:r>
      <w:proofErr w:type="gramEnd"/>
      <w:r w:rsidRPr="00D41FC5">
        <w:rPr>
          <w:rFonts w:ascii="Times New Roman" w:hAnsi="Times New Roman" w:cs="Times New Roman"/>
        </w:rPr>
        <w:t>)</w:t>
      </w:r>
    </w:p>
    <w:p w14:paraId="03CB796C" w14:textId="77777777" w:rsidR="005B54A6" w:rsidRPr="00D41FC5" w:rsidRDefault="005B54A6" w:rsidP="005B54A6">
      <w:pPr>
        <w:spacing w:after="0"/>
        <w:rPr>
          <w:rFonts w:ascii="Times New Roman" w:hAnsi="Times New Roman" w:cs="Times New Roman"/>
          <w:szCs w:val="21"/>
        </w:rPr>
      </w:pPr>
      <w:r w:rsidRPr="00D41FC5">
        <w:rPr>
          <w:rFonts w:ascii="Times New Roman" w:hAnsi="Times New Roman" w:cs="Times New Roman"/>
          <w:noProof/>
          <w:lang w:eastAsia="zh-CN"/>
        </w:rPr>
        <w:drawing>
          <wp:inline distT="0" distB="0" distL="0" distR="0" wp14:anchorId="337754E1" wp14:editId="21D02BEA">
            <wp:extent cx="3285461" cy="204799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 b="679"/>
                    <a:stretch/>
                  </pic:blipFill>
                  <pic:spPr bwMode="auto">
                    <a:xfrm>
                      <a:off x="0" y="0"/>
                      <a:ext cx="3329086" cy="2075186"/>
                    </a:xfrm>
                    <a:prstGeom prst="rect">
                      <a:avLst/>
                    </a:prstGeom>
                    <a:ln>
                      <a:noFill/>
                    </a:ln>
                    <a:extLst>
                      <a:ext uri="{53640926-AAD7-44D8-BBD7-CCE9431645EC}">
                        <a14:shadowObscured xmlns:a14="http://schemas.microsoft.com/office/drawing/2010/main"/>
                      </a:ext>
                    </a:extLst>
                  </pic:spPr>
                </pic:pic>
              </a:graphicData>
            </a:graphic>
          </wp:inline>
        </w:drawing>
      </w:r>
    </w:p>
    <w:p w14:paraId="2FFDC62E" w14:textId="77777777" w:rsidR="005B54A6" w:rsidRPr="00D41FC5" w:rsidRDefault="005B54A6" w:rsidP="005B54A6">
      <w:pPr>
        <w:spacing w:after="0"/>
        <w:ind w:firstLineChars="1050" w:firstLine="2310"/>
        <w:rPr>
          <w:rFonts w:ascii="Times New Roman" w:hAnsi="Times New Roman" w:cs="Times New Roman"/>
        </w:rPr>
      </w:pPr>
      <w:r w:rsidRPr="00D41FC5">
        <w:rPr>
          <w:rFonts w:ascii="Times New Roman" w:hAnsi="Times New Roman" w:cs="Times New Roman"/>
        </w:rPr>
        <w:t>(</w:t>
      </w:r>
      <w:r w:rsidRPr="00D41FC5">
        <w:rPr>
          <w:rFonts w:ascii="Times New Roman" w:hAnsi="Times New Roman" w:cs="Times New Roman"/>
          <w:lang w:eastAsia="zh-CN"/>
        </w:rPr>
        <w:t>c</w:t>
      </w:r>
      <w:r w:rsidRPr="00D41FC5">
        <w:rPr>
          <w:rFonts w:ascii="Times New Roman" w:hAnsi="Times New Roman" w:cs="Times New Roman"/>
        </w:rPr>
        <w:t xml:space="preserve">)          </w:t>
      </w:r>
    </w:p>
    <w:p w14:paraId="35A8910D" w14:textId="77777777" w:rsidR="005B54A6" w:rsidRPr="00D41FC5" w:rsidRDefault="005B54A6" w:rsidP="005B54A6">
      <w:pPr>
        <w:pStyle w:val="IOPText"/>
        <w:spacing w:line="240" w:lineRule="auto"/>
        <w:ind w:firstLine="0"/>
        <w:rPr>
          <w:rFonts w:cs="Times New Roman"/>
          <w:szCs w:val="21"/>
        </w:rPr>
      </w:pPr>
      <w:r w:rsidRPr="00D41FC5">
        <w:rPr>
          <w:rFonts w:cs="Times New Roman"/>
          <w:szCs w:val="21"/>
        </w:rPr>
        <w:t>Figure 16. Comparison between the simulated and experimental time-history data: (a) results under a small excitation; (b) results under a large excitation; (3) enlarged view of the waveforms in the black dashed wireframes</w:t>
      </w:r>
    </w:p>
    <w:p w14:paraId="741DFCFC" w14:textId="1ECF5B0B" w:rsidR="00120A99" w:rsidRPr="00D41FC5" w:rsidRDefault="00120A99">
      <w:pPr>
        <w:pStyle w:val="IOPText"/>
        <w:spacing w:line="240" w:lineRule="auto"/>
        <w:ind w:firstLine="0"/>
        <w:rPr>
          <w:rFonts w:cs="Times New Roman"/>
          <w:szCs w:val="21"/>
        </w:rPr>
      </w:pPr>
      <w:r w:rsidRPr="00D41FC5">
        <w:rPr>
          <w:rFonts w:cs="Times New Roman"/>
        </w:rPr>
        <w:t xml:space="preserve">             </w:t>
      </w:r>
    </w:p>
    <w:bookmarkEnd w:id="52"/>
    <w:p w14:paraId="3357DC52" w14:textId="0CBFEEA7" w:rsidR="00EC39B6" w:rsidRPr="00D41FC5" w:rsidRDefault="00EC39B6" w:rsidP="00A96B4E">
      <w:pPr>
        <w:spacing w:after="0"/>
        <w:jc w:val="center"/>
        <w:rPr>
          <w:rFonts w:ascii="Times New Roman" w:hAnsi="Times New Roman" w:cs="Times New Roman"/>
          <w:szCs w:val="21"/>
        </w:rPr>
      </w:pPr>
      <w:r w:rsidRPr="00D41FC5">
        <w:rPr>
          <w:rFonts w:ascii="Times New Roman" w:hAnsi="Times New Roman" w:cs="Times New Roman"/>
          <w:szCs w:val="21"/>
        </w:rPr>
        <w:t>Table 3. Comparison with the state-of-art pendulum-based VEHs</w:t>
      </w:r>
    </w:p>
    <w:tbl>
      <w:tblPr>
        <w:tblStyle w:val="TableGrid"/>
        <w:tblW w:w="99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7"/>
        <w:gridCol w:w="2147"/>
        <w:gridCol w:w="1559"/>
        <w:gridCol w:w="1182"/>
        <w:gridCol w:w="1317"/>
        <w:gridCol w:w="1169"/>
        <w:gridCol w:w="1216"/>
      </w:tblGrid>
      <w:tr w:rsidR="00D41FC5" w:rsidRPr="00D41FC5" w14:paraId="06BD8188" w14:textId="77777777" w:rsidTr="00085BA3">
        <w:trPr>
          <w:trHeight w:val="807"/>
          <w:jc w:val="center"/>
        </w:trPr>
        <w:tc>
          <w:tcPr>
            <w:tcW w:w="1397" w:type="dxa"/>
            <w:tcBorders>
              <w:top w:val="single" w:sz="12" w:space="0" w:color="auto"/>
              <w:left w:val="nil"/>
              <w:bottom w:val="single" w:sz="4" w:space="0" w:color="auto"/>
              <w:right w:val="nil"/>
            </w:tcBorders>
            <w:vAlign w:val="center"/>
            <w:hideMark/>
          </w:tcPr>
          <w:p w14:paraId="4CABF660" w14:textId="77777777" w:rsidR="00EC39B6" w:rsidRPr="00D41FC5" w:rsidRDefault="00EC39B6">
            <w:pPr>
              <w:rPr>
                <w:rFonts w:ascii="Times New Roman" w:hAnsi="Times New Roman" w:cs="Times New Roman"/>
                <w:sz w:val="20"/>
                <w:szCs w:val="20"/>
              </w:rPr>
            </w:pPr>
            <w:r w:rsidRPr="00D41FC5">
              <w:rPr>
                <w:rFonts w:ascii="Times New Roman" w:hAnsi="Times New Roman" w:cs="Times New Roman"/>
                <w:sz w:val="20"/>
                <w:szCs w:val="20"/>
              </w:rPr>
              <w:t>Authors/ year/ reference</w:t>
            </w:r>
          </w:p>
        </w:tc>
        <w:tc>
          <w:tcPr>
            <w:tcW w:w="2147" w:type="dxa"/>
            <w:tcBorders>
              <w:top w:val="single" w:sz="12" w:space="0" w:color="auto"/>
              <w:left w:val="nil"/>
              <w:bottom w:val="single" w:sz="4" w:space="0" w:color="auto"/>
              <w:right w:val="nil"/>
            </w:tcBorders>
            <w:vAlign w:val="center"/>
            <w:hideMark/>
          </w:tcPr>
          <w:p w14:paraId="7C17B0BD" w14:textId="77777777" w:rsidR="00EC39B6" w:rsidRPr="00D41FC5" w:rsidRDefault="00EC39B6">
            <w:pPr>
              <w:rPr>
                <w:rFonts w:ascii="Times New Roman" w:hAnsi="Times New Roman" w:cs="Times New Roman"/>
                <w:sz w:val="20"/>
                <w:szCs w:val="20"/>
              </w:rPr>
            </w:pPr>
            <w:r w:rsidRPr="00D41FC5">
              <w:rPr>
                <w:rFonts w:ascii="Times New Roman" w:hAnsi="Times New Roman" w:cs="Times New Roman"/>
                <w:sz w:val="20"/>
                <w:szCs w:val="20"/>
              </w:rPr>
              <w:t>Structural feature</w:t>
            </w:r>
          </w:p>
        </w:tc>
        <w:tc>
          <w:tcPr>
            <w:tcW w:w="1559" w:type="dxa"/>
            <w:tcBorders>
              <w:top w:val="single" w:sz="12" w:space="0" w:color="auto"/>
              <w:left w:val="nil"/>
              <w:bottom w:val="single" w:sz="4" w:space="0" w:color="auto"/>
              <w:right w:val="nil"/>
            </w:tcBorders>
            <w:vAlign w:val="center"/>
            <w:hideMark/>
          </w:tcPr>
          <w:p w14:paraId="33E44A22" w14:textId="77777777" w:rsidR="00EC39B6" w:rsidRPr="00D41FC5" w:rsidRDefault="00EC39B6">
            <w:pPr>
              <w:rPr>
                <w:rFonts w:ascii="Times New Roman" w:hAnsi="Times New Roman" w:cs="Times New Roman"/>
                <w:sz w:val="20"/>
                <w:szCs w:val="20"/>
              </w:rPr>
            </w:pPr>
            <w:r w:rsidRPr="00D41FC5">
              <w:rPr>
                <w:rFonts w:ascii="Times New Roman" w:hAnsi="Times New Roman" w:cs="Times New Roman"/>
                <w:sz w:val="20"/>
                <w:szCs w:val="20"/>
              </w:rPr>
              <w:t>Transducer</w:t>
            </w:r>
          </w:p>
        </w:tc>
        <w:tc>
          <w:tcPr>
            <w:tcW w:w="1182" w:type="dxa"/>
            <w:tcBorders>
              <w:top w:val="single" w:sz="12" w:space="0" w:color="auto"/>
              <w:left w:val="nil"/>
              <w:bottom w:val="single" w:sz="4" w:space="0" w:color="auto"/>
              <w:right w:val="nil"/>
            </w:tcBorders>
            <w:vAlign w:val="center"/>
            <w:hideMark/>
          </w:tcPr>
          <w:p w14:paraId="57FCBD69" w14:textId="77777777" w:rsidR="00EC39B6" w:rsidRPr="00D41FC5" w:rsidRDefault="00EC39B6">
            <w:pPr>
              <w:rPr>
                <w:rFonts w:ascii="Times New Roman" w:hAnsi="Times New Roman" w:cs="Times New Roman"/>
                <w:sz w:val="20"/>
                <w:szCs w:val="20"/>
              </w:rPr>
            </w:pPr>
            <w:r w:rsidRPr="00D41FC5">
              <w:rPr>
                <w:rFonts w:ascii="Times New Roman" w:hAnsi="Times New Roman" w:cs="Times New Roman"/>
                <w:sz w:val="20"/>
                <w:szCs w:val="20"/>
              </w:rPr>
              <w:t>Maximum size</w:t>
            </w:r>
          </w:p>
        </w:tc>
        <w:tc>
          <w:tcPr>
            <w:tcW w:w="1317" w:type="dxa"/>
            <w:tcBorders>
              <w:top w:val="single" w:sz="12" w:space="0" w:color="auto"/>
              <w:left w:val="nil"/>
              <w:bottom w:val="single" w:sz="4" w:space="0" w:color="auto"/>
              <w:right w:val="nil"/>
            </w:tcBorders>
            <w:vAlign w:val="center"/>
            <w:hideMark/>
          </w:tcPr>
          <w:p w14:paraId="15FB54CA" w14:textId="77777777" w:rsidR="00EC39B6" w:rsidRPr="00D41FC5" w:rsidRDefault="00EC39B6">
            <w:pPr>
              <w:rPr>
                <w:rFonts w:ascii="Times New Roman" w:hAnsi="Times New Roman" w:cs="Times New Roman"/>
                <w:sz w:val="20"/>
                <w:szCs w:val="20"/>
              </w:rPr>
            </w:pPr>
            <w:r w:rsidRPr="00D41FC5">
              <w:rPr>
                <w:rFonts w:ascii="Times New Roman" w:hAnsi="Times New Roman" w:cs="Times New Roman"/>
                <w:sz w:val="20"/>
                <w:szCs w:val="20"/>
              </w:rPr>
              <w:t>Excitation acceleration/ amplitude</w:t>
            </w:r>
          </w:p>
        </w:tc>
        <w:tc>
          <w:tcPr>
            <w:tcW w:w="1169" w:type="dxa"/>
            <w:tcBorders>
              <w:top w:val="single" w:sz="12" w:space="0" w:color="auto"/>
              <w:left w:val="nil"/>
              <w:bottom w:val="single" w:sz="4" w:space="0" w:color="auto"/>
              <w:right w:val="nil"/>
            </w:tcBorders>
            <w:vAlign w:val="center"/>
            <w:hideMark/>
          </w:tcPr>
          <w:p w14:paraId="65F09595" w14:textId="77777777" w:rsidR="00EC39B6" w:rsidRPr="00D41FC5" w:rsidRDefault="00EC39B6">
            <w:pPr>
              <w:rPr>
                <w:rFonts w:ascii="Times New Roman" w:hAnsi="Times New Roman" w:cs="Times New Roman"/>
                <w:sz w:val="20"/>
                <w:szCs w:val="20"/>
              </w:rPr>
            </w:pPr>
            <w:r w:rsidRPr="00D41FC5">
              <w:rPr>
                <w:rFonts w:ascii="Times New Roman" w:hAnsi="Times New Roman" w:cs="Times New Roman"/>
                <w:sz w:val="20"/>
                <w:szCs w:val="20"/>
              </w:rPr>
              <w:t>Excitation frequency</w:t>
            </w:r>
          </w:p>
        </w:tc>
        <w:tc>
          <w:tcPr>
            <w:tcW w:w="1216" w:type="dxa"/>
            <w:tcBorders>
              <w:top w:val="single" w:sz="12" w:space="0" w:color="auto"/>
              <w:left w:val="nil"/>
              <w:bottom w:val="single" w:sz="4" w:space="0" w:color="auto"/>
              <w:right w:val="nil"/>
            </w:tcBorders>
            <w:vAlign w:val="center"/>
            <w:hideMark/>
          </w:tcPr>
          <w:p w14:paraId="59A76AEA" w14:textId="77777777" w:rsidR="00EC39B6" w:rsidRPr="00D41FC5" w:rsidRDefault="00EC39B6">
            <w:pPr>
              <w:rPr>
                <w:rFonts w:ascii="Times New Roman" w:hAnsi="Times New Roman" w:cs="Times New Roman"/>
                <w:sz w:val="20"/>
                <w:szCs w:val="20"/>
              </w:rPr>
            </w:pPr>
            <w:r w:rsidRPr="00D41FC5">
              <w:rPr>
                <w:rFonts w:ascii="Times New Roman" w:hAnsi="Times New Roman" w:cs="Times New Roman"/>
                <w:sz w:val="20"/>
                <w:szCs w:val="20"/>
              </w:rPr>
              <w:t>Maximum power</w:t>
            </w:r>
          </w:p>
        </w:tc>
      </w:tr>
      <w:tr w:rsidR="00D41FC5" w:rsidRPr="00D41FC5" w14:paraId="619C1119" w14:textId="77777777" w:rsidTr="00085BA3">
        <w:trPr>
          <w:trHeight w:val="978"/>
          <w:jc w:val="center"/>
        </w:trPr>
        <w:tc>
          <w:tcPr>
            <w:tcW w:w="1397" w:type="dxa"/>
            <w:tcBorders>
              <w:top w:val="single" w:sz="4" w:space="0" w:color="auto"/>
              <w:left w:val="nil"/>
              <w:bottom w:val="nil"/>
              <w:right w:val="nil"/>
            </w:tcBorders>
            <w:vAlign w:val="center"/>
            <w:hideMark/>
          </w:tcPr>
          <w:p w14:paraId="2F1EEED0"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This work</w:t>
            </w:r>
          </w:p>
        </w:tc>
        <w:tc>
          <w:tcPr>
            <w:tcW w:w="2147" w:type="dxa"/>
            <w:tcBorders>
              <w:top w:val="single" w:sz="4" w:space="0" w:color="auto"/>
              <w:left w:val="nil"/>
              <w:bottom w:val="nil"/>
              <w:right w:val="nil"/>
            </w:tcBorders>
            <w:vAlign w:val="center"/>
            <w:hideMark/>
          </w:tcPr>
          <w:p w14:paraId="50BC6213"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Pendulum- flywheel</w:t>
            </w:r>
          </w:p>
        </w:tc>
        <w:tc>
          <w:tcPr>
            <w:tcW w:w="1559" w:type="dxa"/>
            <w:tcBorders>
              <w:top w:val="single" w:sz="4" w:space="0" w:color="auto"/>
              <w:left w:val="nil"/>
              <w:bottom w:val="nil"/>
              <w:right w:val="nil"/>
            </w:tcBorders>
            <w:vAlign w:val="center"/>
            <w:hideMark/>
          </w:tcPr>
          <w:p w14:paraId="660B5BCD"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Electromagnetic</w:t>
            </w:r>
          </w:p>
        </w:tc>
        <w:tc>
          <w:tcPr>
            <w:tcW w:w="1182" w:type="dxa"/>
            <w:tcBorders>
              <w:top w:val="single" w:sz="4" w:space="0" w:color="auto"/>
              <w:left w:val="nil"/>
              <w:bottom w:val="nil"/>
              <w:right w:val="nil"/>
            </w:tcBorders>
            <w:vAlign w:val="center"/>
            <w:hideMark/>
          </w:tcPr>
          <w:p w14:paraId="5CCDACB3"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154 mm</w:t>
            </w:r>
          </w:p>
        </w:tc>
        <w:tc>
          <w:tcPr>
            <w:tcW w:w="1317" w:type="dxa"/>
            <w:tcBorders>
              <w:top w:val="single" w:sz="4" w:space="0" w:color="auto"/>
              <w:left w:val="nil"/>
              <w:bottom w:val="nil"/>
              <w:right w:val="nil"/>
            </w:tcBorders>
            <w:vAlign w:val="center"/>
            <w:hideMark/>
          </w:tcPr>
          <w:p w14:paraId="59673813"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15 mm</w:t>
            </w:r>
          </w:p>
        </w:tc>
        <w:tc>
          <w:tcPr>
            <w:tcW w:w="1169" w:type="dxa"/>
            <w:tcBorders>
              <w:top w:val="single" w:sz="4" w:space="0" w:color="auto"/>
              <w:left w:val="nil"/>
              <w:bottom w:val="nil"/>
              <w:right w:val="nil"/>
            </w:tcBorders>
            <w:vAlign w:val="center"/>
            <w:hideMark/>
          </w:tcPr>
          <w:p w14:paraId="67DF2411"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10 Hz</w:t>
            </w:r>
          </w:p>
        </w:tc>
        <w:tc>
          <w:tcPr>
            <w:tcW w:w="1216" w:type="dxa"/>
            <w:tcBorders>
              <w:top w:val="single" w:sz="4" w:space="0" w:color="auto"/>
              <w:left w:val="nil"/>
              <w:bottom w:val="nil"/>
              <w:right w:val="nil"/>
            </w:tcBorders>
            <w:vAlign w:val="center"/>
            <w:hideMark/>
          </w:tcPr>
          <w:p w14:paraId="767780FB" w14:textId="77777777" w:rsidR="00EC39B6" w:rsidRPr="00D41FC5" w:rsidRDefault="00EC39B6">
            <w:pPr>
              <w:spacing w:beforeLines="20" w:before="48"/>
              <w:rPr>
                <w:rFonts w:ascii="Times New Roman" w:hAnsi="Times New Roman" w:cs="Times New Roman"/>
                <w:b/>
                <w:bCs/>
                <w:sz w:val="20"/>
                <w:szCs w:val="20"/>
              </w:rPr>
            </w:pPr>
            <w:r w:rsidRPr="00D41FC5">
              <w:rPr>
                <w:rFonts w:ascii="Times New Roman" w:hAnsi="Times New Roman" w:cs="Times New Roman"/>
                <w:b/>
                <w:bCs/>
                <w:sz w:val="20"/>
                <w:szCs w:val="20"/>
              </w:rPr>
              <w:t xml:space="preserve">16.3 </w:t>
            </w:r>
            <w:proofErr w:type="spellStart"/>
            <w:r w:rsidRPr="00D41FC5">
              <w:rPr>
                <w:rFonts w:ascii="Times New Roman" w:hAnsi="Times New Roman" w:cs="Times New Roman"/>
                <w:b/>
                <w:bCs/>
                <w:sz w:val="20"/>
                <w:szCs w:val="20"/>
              </w:rPr>
              <w:t>mW</w:t>
            </w:r>
            <w:proofErr w:type="spellEnd"/>
          </w:p>
        </w:tc>
      </w:tr>
      <w:tr w:rsidR="00D41FC5" w:rsidRPr="00D41FC5" w14:paraId="749D1522" w14:textId="77777777" w:rsidTr="00085BA3">
        <w:trPr>
          <w:trHeight w:val="423"/>
          <w:jc w:val="center"/>
        </w:trPr>
        <w:tc>
          <w:tcPr>
            <w:tcW w:w="1397" w:type="dxa"/>
            <w:vAlign w:val="center"/>
            <w:hideMark/>
          </w:tcPr>
          <w:p w14:paraId="3B48C5EC" w14:textId="1E2B63D3" w:rsidR="00EC39B6" w:rsidRPr="00D41FC5" w:rsidRDefault="00EC39B6">
            <w:pPr>
              <w:spacing w:beforeLines="20" w:before="48"/>
              <w:rPr>
                <w:rFonts w:ascii="Times New Roman" w:hAnsi="Times New Roman" w:cs="Times New Roman"/>
                <w:sz w:val="20"/>
                <w:szCs w:val="20"/>
              </w:rPr>
            </w:pPr>
            <w:proofErr w:type="spellStart"/>
            <w:r w:rsidRPr="00D41FC5">
              <w:rPr>
                <w:rFonts w:ascii="Times New Roman" w:hAnsi="Times New Roman" w:cs="Times New Roman"/>
                <w:sz w:val="20"/>
                <w:szCs w:val="20"/>
              </w:rPr>
              <w:t>Kuang</w:t>
            </w:r>
            <w:proofErr w:type="spellEnd"/>
            <w:r w:rsidRPr="00D41FC5">
              <w:rPr>
                <w:rFonts w:ascii="Times New Roman" w:hAnsi="Times New Roman" w:cs="Times New Roman"/>
                <w:sz w:val="20"/>
                <w:szCs w:val="20"/>
              </w:rPr>
              <w:t xml:space="preserve"> et al./ 2019/ </w:t>
            </w:r>
            <w:r w:rsidRPr="00D41FC5">
              <w:rPr>
                <w:rFonts w:ascii="Times New Roman" w:hAnsi="Times New Roman" w:cs="Times New Roman"/>
                <w:sz w:val="20"/>
                <w:szCs w:val="20"/>
              </w:rPr>
              <w:fldChar w:fldCharType="begin"/>
            </w:r>
            <w:r w:rsidR="00211226" w:rsidRPr="00D41FC5">
              <w:rPr>
                <w:rFonts w:ascii="Times New Roman" w:hAnsi="Times New Roman" w:cs="Times New Roman"/>
                <w:sz w:val="20"/>
                <w:szCs w:val="20"/>
              </w:rPr>
              <w:instrText xml:space="preserve"> ADDIN ZOTERO_ITEM CSL_CITATION {"citationID":"FAE7W6BW","properties":{"formattedCitation":"[53]","plainCitation":"[53]","noteIndex":0},"citationItems":[{"id":304,"uris":["http://zotero.org/users/5619602/items/FMXCI8FU"],"uri":["http://zotero.org/users/5619602/items/FMXCI8FU"],"itemData":{"id":304,"type":"article-journal","container-title":"Applied Physics Letters","DOI":"10.1063/1.5097552","ISSN":"0003-6951","issue":"20","journalAbbreviation":"Appl. Phys. Lett.","note":"publisher: American Institute of Physics","page":"203903","title":"Parametrically excited nonlinear magnetic rolling pendulum for broadband energy harvesting","volume":"114","author":[{"family":"Kuang","given":"Yang"},{"family":"Zhu","given":"Meiling"}],"issued":{"date-parts":[["2019"]]}}}],"schema":"https://github.com/citation-style-language/schema/raw/master/csl-citation.json"} </w:instrText>
            </w:r>
            <w:r w:rsidRPr="00D41FC5">
              <w:rPr>
                <w:rFonts w:ascii="Times New Roman" w:hAnsi="Times New Roman" w:cs="Times New Roman"/>
                <w:sz w:val="20"/>
                <w:szCs w:val="20"/>
              </w:rPr>
              <w:fldChar w:fldCharType="separate"/>
            </w:r>
            <w:r w:rsidR="00211226" w:rsidRPr="00D41FC5">
              <w:rPr>
                <w:rFonts w:ascii="Times New Roman" w:hAnsi="Times New Roman" w:cs="Times New Roman"/>
              </w:rPr>
              <w:t>[53]</w:t>
            </w:r>
            <w:r w:rsidRPr="00D41FC5">
              <w:rPr>
                <w:rFonts w:ascii="Times New Roman" w:hAnsi="Times New Roman" w:cs="Times New Roman"/>
                <w:sz w:val="20"/>
                <w:szCs w:val="20"/>
              </w:rPr>
              <w:fldChar w:fldCharType="end"/>
            </w:r>
          </w:p>
        </w:tc>
        <w:tc>
          <w:tcPr>
            <w:tcW w:w="2147" w:type="dxa"/>
            <w:vAlign w:val="center"/>
            <w:hideMark/>
          </w:tcPr>
          <w:p w14:paraId="71DDC067"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Magnetic rolling pendulum</w:t>
            </w:r>
          </w:p>
        </w:tc>
        <w:tc>
          <w:tcPr>
            <w:tcW w:w="1559" w:type="dxa"/>
            <w:vAlign w:val="center"/>
            <w:hideMark/>
          </w:tcPr>
          <w:p w14:paraId="632B2F2B"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Electromagnetic</w:t>
            </w:r>
          </w:p>
        </w:tc>
        <w:tc>
          <w:tcPr>
            <w:tcW w:w="1182" w:type="dxa"/>
            <w:vAlign w:val="center"/>
            <w:hideMark/>
          </w:tcPr>
          <w:p w14:paraId="0ABD794A"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50 mm</w:t>
            </w:r>
          </w:p>
        </w:tc>
        <w:tc>
          <w:tcPr>
            <w:tcW w:w="1317" w:type="dxa"/>
            <w:vAlign w:val="center"/>
            <w:hideMark/>
          </w:tcPr>
          <w:p w14:paraId="21E2B83E"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0.5g</w:t>
            </w:r>
          </w:p>
        </w:tc>
        <w:tc>
          <w:tcPr>
            <w:tcW w:w="1169" w:type="dxa"/>
            <w:vAlign w:val="center"/>
            <w:hideMark/>
          </w:tcPr>
          <w:p w14:paraId="11C2EA62"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4 Hz</w:t>
            </w:r>
          </w:p>
        </w:tc>
        <w:tc>
          <w:tcPr>
            <w:tcW w:w="1216" w:type="dxa"/>
            <w:vAlign w:val="center"/>
            <w:hideMark/>
          </w:tcPr>
          <w:p w14:paraId="7DA66C7E" w14:textId="77777777" w:rsidR="00EC39B6" w:rsidRPr="00D41FC5" w:rsidRDefault="00EC39B6">
            <w:pPr>
              <w:spacing w:beforeLines="20" w:before="48"/>
              <w:rPr>
                <w:rFonts w:ascii="Times New Roman" w:hAnsi="Times New Roman" w:cs="Times New Roman"/>
                <w:b/>
                <w:bCs/>
                <w:sz w:val="20"/>
                <w:szCs w:val="20"/>
              </w:rPr>
            </w:pPr>
            <w:r w:rsidRPr="00D41FC5">
              <w:rPr>
                <w:rFonts w:ascii="Times New Roman" w:hAnsi="Times New Roman" w:cs="Times New Roman"/>
                <w:b/>
                <w:bCs/>
                <w:sz w:val="20"/>
                <w:szCs w:val="20"/>
              </w:rPr>
              <w:t xml:space="preserve">3.6 </w:t>
            </w:r>
            <w:proofErr w:type="spellStart"/>
            <w:r w:rsidRPr="00D41FC5">
              <w:rPr>
                <w:rFonts w:ascii="Times New Roman" w:hAnsi="Times New Roman" w:cs="Times New Roman"/>
                <w:b/>
                <w:bCs/>
                <w:sz w:val="20"/>
                <w:szCs w:val="20"/>
              </w:rPr>
              <w:t>mW</w:t>
            </w:r>
            <w:proofErr w:type="spellEnd"/>
          </w:p>
        </w:tc>
      </w:tr>
      <w:tr w:rsidR="00D41FC5" w:rsidRPr="00D41FC5" w14:paraId="13620F96" w14:textId="77777777" w:rsidTr="00085BA3">
        <w:trPr>
          <w:trHeight w:val="423"/>
          <w:jc w:val="center"/>
        </w:trPr>
        <w:tc>
          <w:tcPr>
            <w:tcW w:w="1397" w:type="dxa"/>
            <w:vAlign w:val="center"/>
            <w:hideMark/>
          </w:tcPr>
          <w:p w14:paraId="4940A0D4" w14:textId="7F756664" w:rsidR="00EC39B6" w:rsidRPr="00D41FC5" w:rsidRDefault="00EC39B6">
            <w:pPr>
              <w:spacing w:beforeLines="20" w:before="48"/>
              <w:rPr>
                <w:rFonts w:ascii="Times New Roman" w:hAnsi="Times New Roman" w:cs="Times New Roman"/>
                <w:sz w:val="20"/>
                <w:szCs w:val="20"/>
              </w:rPr>
            </w:pPr>
            <w:proofErr w:type="spellStart"/>
            <w:r w:rsidRPr="00D41FC5">
              <w:rPr>
                <w:rFonts w:ascii="Times New Roman" w:hAnsi="Times New Roman" w:cs="Times New Roman"/>
                <w:sz w:val="20"/>
                <w:szCs w:val="20"/>
              </w:rPr>
              <w:t>Simeone</w:t>
            </w:r>
            <w:proofErr w:type="spellEnd"/>
            <w:r w:rsidRPr="00D41FC5">
              <w:rPr>
                <w:rFonts w:ascii="Times New Roman" w:hAnsi="Times New Roman" w:cs="Times New Roman"/>
                <w:sz w:val="20"/>
                <w:szCs w:val="20"/>
              </w:rPr>
              <w:t xml:space="preserve"> et al./ 2019/ </w:t>
            </w:r>
            <w:r w:rsidRPr="00D41FC5">
              <w:rPr>
                <w:rFonts w:ascii="Times New Roman" w:hAnsi="Times New Roman" w:cs="Times New Roman"/>
                <w:sz w:val="20"/>
                <w:szCs w:val="20"/>
              </w:rPr>
              <w:fldChar w:fldCharType="begin"/>
            </w:r>
            <w:r w:rsidR="00211226" w:rsidRPr="00D41FC5">
              <w:rPr>
                <w:rFonts w:ascii="Times New Roman" w:hAnsi="Times New Roman" w:cs="Times New Roman"/>
                <w:sz w:val="20"/>
                <w:szCs w:val="20"/>
              </w:rPr>
              <w:instrText xml:space="preserve"> ADDIN ZOTERO_ITEM CSL_CITATION {"citationID":"zuxkfql0","properties":{"formattedCitation":"[49]","plainCitation":"[49]","noteIndex":0},"citationItems":[{"id":200,"uris":["http://zotero.org/users/5619602/items/TGYWRUWH"],"uri":["http://zotero.org/users/5619602/items/TGYWRUWH"],"itemData":{"id":200,"type":"article-journal","container-title":"Mechanical Systems and Signal Processing","page":"244–254","title":"Level-dependent load in a pendulum like energy harvester","volume":"119","author":[{"family":"Simeone","given":"Luigi"},{"family":"Tehrani","given":"Maryam Ghandchi"},{"family":"Elliott","given":"Steve"}],"issued":{"date-parts":[["2019"]]}}}],"schema":"https://github.com/citation-style-language/schema/raw/master/csl-citation.json"} </w:instrText>
            </w:r>
            <w:r w:rsidRPr="00D41FC5">
              <w:rPr>
                <w:rFonts w:ascii="Times New Roman" w:hAnsi="Times New Roman" w:cs="Times New Roman"/>
                <w:sz w:val="20"/>
                <w:szCs w:val="20"/>
              </w:rPr>
              <w:fldChar w:fldCharType="separate"/>
            </w:r>
            <w:r w:rsidR="00211226" w:rsidRPr="00D41FC5">
              <w:rPr>
                <w:rFonts w:ascii="Times New Roman" w:hAnsi="Times New Roman" w:cs="Times New Roman"/>
              </w:rPr>
              <w:t>[49]</w:t>
            </w:r>
            <w:r w:rsidRPr="00D41FC5">
              <w:rPr>
                <w:rFonts w:ascii="Times New Roman" w:hAnsi="Times New Roman" w:cs="Times New Roman"/>
                <w:sz w:val="20"/>
                <w:szCs w:val="20"/>
              </w:rPr>
              <w:fldChar w:fldCharType="end"/>
            </w:r>
          </w:p>
        </w:tc>
        <w:tc>
          <w:tcPr>
            <w:tcW w:w="2147" w:type="dxa"/>
            <w:vAlign w:val="center"/>
            <w:hideMark/>
          </w:tcPr>
          <w:p w14:paraId="4F66B902"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Single pendulum</w:t>
            </w:r>
          </w:p>
        </w:tc>
        <w:tc>
          <w:tcPr>
            <w:tcW w:w="1559" w:type="dxa"/>
            <w:vAlign w:val="center"/>
            <w:hideMark/>
          </w:tcPr>
          <w:p w14:paraId="32D47352"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Electromagnetic</w:t>
            </w:r>
          </w:p>
        </w:tc>
        <w:tc>
          <w:tcPr>
            <w:tcW w:w="1182" w:type="dxa"/>
            <w:vAlign w:val="center"/>
            <w:hideMark/>
          </w:tcPr>
          <w:p w14:paraId="1B58D25B"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176mm</w:t>
            </w:r>
          </w:p>
        </w:tc>
        <w:tc>
          <w:tcPr>
            <w:tcW w:w="1317" w:type="dxa"/>
            <w:vAlign w:val="center"/>
            <w:hideMark/>
          </w:tcPr>
          <w:p w14:paraId="398A9E10"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197 mm</w:t>
            </w:r>
          </w:p>
        </w:tc>
        <w:tc>
          <w:tcPr>
            <w:tcW w:w="1169" w:type="dxa"/>
            <w:vAlign w:val="center"/>
            <w:hideMark/>
          </w:tcPr>
          <w:p w14:paraId="15DE9DB6"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7.5 Hz</w:t>
            </w:r>
          </w:p>
        </w:tc>
        <w:tc>
          <w:tcPr>
            <w:tcW w:w="1216" w:type="dxa"/>
            <w:vAlign w:val="center"/>
            <w:hideMark/>
          </w:tcPr>
          <w:p w14:paraId="1855170D" w14:textId="77777777" w:rsidR="00EC39B6" w:rsidRPr="00D41FC5" w:rsidRDefault="00EC39B6">
            <w:pPr>
              <w:spacing w:beforeLines="20" w:before="48"/>
              <w:rPr>
                <w:rFonts w:ascii="Times New Roman" w:hAnsi="Times New Roman" w:cs="Times New Roman"/>
                <w:b/>
                <w:bCs/>
                <w:sz w:val="20"/>
                <w:szCs w:val="20"/>
              </w:rPr>
            </w:pPr>
            <w:r w:rsidRPr="00D41FC5">
              <w:rPr>
                <w:rFonts w:ascii="Times New Roman" w:hAnsi="Times New Roman" w:cs="Times New Roman"/>
                <w:b/>
                <w:bCs/>
                <w:sz w:val="20"/>
                <w:szCs w:val="20"/>
              </w:rPr>
              <w:t xml:space="preserve">120 </w:t>
            </w:r>
            <w:proofErr w:type="spellStart"/>
            <w:r w:rsidRPr="00D41FC5">
              <w:rPr>
                <w:rFonts w:ascii="Times New Roman" w:hAnsi="Times New Roman" w:cs="Times New Roman"/>
                <w:b/>
                <w:bCs/>
                <w:sz w:val="20"/>
                <w:szCs w:val="20"/>
              </w:rPr>
              <w:t>mW</w:t>
            </w:r>
            <w:proofErr w:type="spellEnd"/>
          </w:p>
        </w:tc>
      </w:tr>
      <w:tr w:rsidR="00D41FC5" w:rsidRPr="00D41FC5" w14:paraId="3036C8DD" w14:textId="77777777" w:rsidTr="00085BA3">
        <w:trPr>
          <w:trHeight w:val="423"/>
          <w:jc w:val="center"/>
        </w:trPr>
        <w:tc>
          <w:tcPr>
            <w:tcW w:w="1397" w:type="dxa"/>
            <w:vAlign w:val="center"/>
            <w:hideMark/>
          </w:tcPr>
          <w:p w14:paraId="33FCBA5F" w14:textId="22915A2A" w:rsidR="00EC39B6" w:rsidRPr="00D41FC5" w:rsidRDefault="00EC39B6">
            <w:pPr>
              <w:spacing w:beforeLines="20" w:before="48"/>
              <w:rPr>
                <w:rFonts w:ascii="Times New Roman" w:hAnsi="Times New Roman" w:cs="Times New Roman"/>
                <w:sz w:val="20"/>
                <w:szCs w:val="20"/>
              </w:rPr>
            </w:pPr>
            <w:proofErr w:type="spellStart"/>
            <w:r w:rsidRPr="00D41FC5">
              <w:rPr>
                <w:rFonts w:ascii="Times New Roman" w:hAnsi="Times New Roman" w:cs="Times New Roman"/>
                <w:sz w:val="20"/>
                <w:szCs w:val="20"/>
              </w:rPr>
              <w:t>Izadgoshasb</w:t>
            </w:r>
            <w:proofErr w:type="spellEnd"/>
            <w:r w:rsidRPr="00D41FC5">
              <w:rPr>
                <w:rFonts w:ascii="Times New Roman" w:hAnsi="Times New Roman" w:cs="Times New Roman"/>
                <w:sz w:val="20"/>
                <w:szCs w:val="20"/>
              </w:rPr>
              <w:t xml:space="preserve"> et al./ 2019/ </w:t>
            </w:r>
            <w:r w:rsidRPr="00D41FC5">
              <w:rPr>
                <w:rFonts w:ascii="Times New Roman" w:hAnsi="Times New Roman" w:cs="Times New Roman"/>
                <w:sz w:val="20"/>
                <w:szCs w:val="20"/>
              </w:rPr>
              <w:fldChar w:fldCharType="begin"/>
            </w:r>
            <w:r w:rsidR="005018BB" w:rsidRPr="00D41FC5">
              <w:rPr>
                <w:rFonts w:ascii="Times New Roman" w:hAnsi="Times New Roman" w:cs="Times New Roman"/>
                <w:sz w:val="20"/>
                <w:szCs w:val="20"/>
              </w:rPr>
              <w:instrText xml:space="preserve"> ADDIN ZOTERO_ITEM CSL_CITATION {"citationID":"KF5E2aq1","properties":{"formattedCitation":"[54]","plainCitation":"[54]","noteIndex":0},"citationItems":[{"id":"oox98HD5/uVjuBMee","uris":["http://zotero.org/users/5619602/items/3994CRVR"],"uri":["http://zotero.org/users/5619602/items/3994CRVR"],"itemData":{"id":"hdmihXJm/fuzN7SyV","type":"article-journal","abstract":"Harvesting electrical energy from various human motions using piezoelectric energy harvesters (PEH) is gaining research attention in recent years. The energy harvested could potentially power hand held electronic devices and medical devices without the need of external power source for recharging batteries. In this study, an attempt is made to improve the efficiency of PEH to harvest energy from human motions by adopting a double pendulum system coupled with magnetic force interactions. For the purpose of comparison, three configurations of PEH which includes the conventional PEH with cantilever beam (PEHCB), the PEH with single pendulum system (PEHSP) and the PEH with double pendulum system (PEHDP) are experimentally studied. Excitations by both mechanical shaker and major human body parts during walking and jogging motions are investigated. The performance of each configuration, in terms of voltage and power produced as well as the idle time between each cycle, are analysed, compared and discussed. ANSYS© software is used to analyse the proposed model and MATLAB© software is used to calculate the output power. The results demonstrate that, with the use of the proposed double pendulum system, multiple impacts in each motion cycle is generated, thus producing higher voltage and power as compared to the conventional PEHCB. The idle time between each motion cycle is also effectively reduced. The efficiency of the PEH is thus significantly increased.","container-title":"Energy Conversion and Management","DOI":"10.1016/j.enconman.2019.02.001","ISSN":"0196-8904","journalAbbreviation":"Energy Conversion and Management","page":"559-570","title":"Improving efficiency of piezoelectric based energy harvesting from human motions using double pendulum system","volume":"184","author":[{"family":"Izadgoshasb","given":"Iman"},{"family":"Lim","given":"Yee Yan"},{"family":"Tang","given":"Lihua"},{"family":"Padilla","given":"Ricardo Vasquez"},{"family":"Tang","given":"Zi Sheng"},{"family":"Sedighi","given":"Mohammadreza"}],"issued":{"date-parts":[["2019"]]}}}],"schema":"https://github.com/citation-style-language/schema/raw/master/csl-citation.json"} </w:instrText>
            </w:r>
            <w:r w:rsidRPr="00D41FC5">
              <w:rPr>
                <w:rFonts w:ascii="Times New Roman" w:hAnsi="Times New Roman" w:cs="Times New Roman"/>
                <w:sz w:val="20"/>
                <w:szCs w:val="20"/>
              </w:rPr>
              <w:fldChar w:fldCharType="separate"/>
            </w:r>
            <w:r w:rsidR="00211226" w:rsidRPr="00D41FC5">
              <w:rPr>
                <w:rFonts w:ascii="Times New Roman" w:hAnsi="Times New Roman" w:cs="Times New Roman"/>
              </w:rPr>
              <w:t>[54]</w:t>
            </w:r>
            <w:r w:rsidRPr="00D41FC5">
              <w:rPr>
                <w:rFonts w:ascii="Times New Roman" w:hAnsi="Times New Roman" w:cs="Times New Roman"/>
                <w:sz w:val="20"/>
                <w:szCs w:val="20"/>
              </w:rPr>
              <w:fldChar w:fldCharType="end"/>
            </w:r>
          </w:p>
        </w:tc>
        <w:tc>
          <w:tcPr>
            <w:tcW w:w="2147" w:type="dxa"/>
            <w:vAlign w:val="center"/>
            <w:hideMark/>
          </w:tcPr>
          <w:p w14:paraId="01868FEE"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Cantilever beam-double pendulum</w:t>
            </w:r>
          </w:p>
        </w:tc>
        <w:tc>
          <w:tcPr>
            <w:tcW w:w="1559" w:type="dxa"/>
            <w:vAlign w:val="center"/>
            <w:hideMark/>
          </w:tcPr>
          <w:p w14:paraId="224C4088"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Piezoelectric</w:t>
            </w:r>
          </w:p>
        </w:tc>
        <w:tc>
          <w:tcPr>
            <w:tcW w:w="1182" w:type="dxa"/>
            <w:vAlign w:val="center"/>
            <w:hideMark/>
          </w:tcPr>
          <w:p w14:paraId="6254552E"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180 mm</w:t>
            </w:r>
          </w:p>
        </w:tc>
        <w:tc>
          <w:tcPr>
            <w:tcW w:w="1317" w:type="dxa"/>
            <w:vAlign w:val="center"/>
            <w:hideMark/>
          </w:tcPr>
          <w:p w14:paraId="5854BEC2"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 g</w:t>
            </w:r>
          </w:p>
        </w:tc>
        <w:tc>
          <w:tcPr>
            <w:tcW w:w="1169" w:type="dxa"/>
            <w:vAlign w:val="center"/>
            <w:hideMark/>
          </w:tcPr>
          <w:p w14:paraId="4626EFFE"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2 Hz</w:t>
            </w:r>
          </w:p>
        </w:tc>
        <w:tc>
          <w:tcPr>
            <w:tcW w:w="1216" w:type="dxa"/>
            <w:vAlign w:val="center"/>
            <w:hideMark/>
          </w:tcPr>
          <w:p w14:paraId="5ED1C31B" w14:textId="77777777" w:rsidR="00EC39B6" w:rsidRPr="00D41FC5" w:rsidRDefault="00EC39B6">
            <w:pPr>
              <w:spacing w:beforeLines="20" w:before="48"/>
              <w:rPr>
                <w:rFonts w:ascii="Times New Roman" w:hAnsi="Times New Roman" w:cs="Times New Roman"/>
                <w:b/>
                <w:bCs/>
                <w:sz w:val="20"/>
                <w:szCs w:val="20"/>
              </w:rPr>
            </w:pPr>
            <w:r w:rsidRPr="00D41FC5">
              <w:rPr>
                <w:rFonts w:ascii="Times New Roman" w:hAnsi="Times New Roman" w:cs="Times New Roman"/>
                <w:b/>
                <w:bCs/>
                <w:sz w:val="20"/>
                <w:szCs w:val="20"/>
              </w:rPr>
              <w:t xml:space="preserve">2 </w:t>
            </w:r>
            <w:proofErr w:type="spellStart"/>
            <w:r w:rsidRPr="00D41FC5">
              <w:rPr>
                <w:rFonts w:ascii="Times New Roman" w:hAnsi="Times New Roman" w:cs="Times New Roman"/>
                <w:b/>
                <w:bCs/>
                <w:sz w:val="20"/>
                <w:szCs w:val="20"/>
              </w:rPr>
              <w:t>mW</w:t>
            </w:r>
            <w:proofErr w:type="spellEnd"/>
          </w:p>
        </w:tc>
      </w:tr>
      <w:tr w:rsidR="00D41FC5" w:rsidRPr="00D41FC5" w14:paraId="227FC9E0" w14:textId="77777777" w:rsidTr="00085BA3">
        <w:trPr>
          <w:trHeight w:val="423"/>
          <w:jc w:val="center"/>
        </w:trPr>
        <w:tc>
          <w:tcPr>
            <w:tcW w:w="1397" w:type="dxa"/>
            <w:vAlign w:val="center"/>
            <w:hideMark/>
          </w:tcPr>
          <w:p w14:paraId="40C488E6"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 xml:space="preserve">Kumar et al./ 2019/  </w:t>
            </w:r>
            <w:r w:rsidRPr="00D41FC5">
              <w:rPr>
                <w:rFonts w:ascii="Times New Roman" w:hAnsi="Times New Roman" w:cs="Times New Roman"/>
                <w:sz w:val="20"/>
                <w:szCs w:val="20"/>
              </w:rPr>
              <w:fldChar w:fldCharType="begin"/>
            </w:r>
            <w:r w:rsidRPr="00D41FC5">
              <w:rPr>
                <w:rFonts w:ascii="Times New Roman" w:hAnsi="Times New Roman" w:cs="Times New Roman"/>
                <w:sz w:val="20"/>
                <w:szCs w:val="20"/>
              </w:rPr>
              <w:instrText xml:space="preserve"> ADDIN ZOTERO_ITEM CSL_CITATION {"citationID":"VIpJmQW2","properties":{"formattedCitation":"[32]","plainCitation":"[32]","noteIndex":0},"citationItems":[{"id":244,"uris":["http://zotero.org/users/5619602/items/5N87VZVK"],"uri":["http://zotero.org/users/5619602/items/5N87VZVK"],"itemData":{"id":244,"type":"article-journal","container-title":"Mechanical Systems and Signal Processing","page":"49–64","title":"Energy harvesting from chaos in base excited double pendulum","volume":"124","author":[{"family":"Kumar","given":"Rahul"},{"family":"Gupta","given":"Sayan"},{"family":"Ali","given":"Shaikh Faruque"}],"issued":{"date-parts":[["2019"]]}}}],"schema":"https://github.com/citation-style-language/schema/raw/master/csl-citation.json"} </w:instrText>
            </w:r>
            <w:r w:rsidRPr="00D41FC5">
              <w:rPr>
                <w:rFonts w:ascii="Times New Roman" w:hAnsi="Times New Roman" w:cs="Times New Roman"/>
                <w:sz w:val="20"/>
                <w:szCs w:val="20"/>
              </w:rPr>
              <w:fldChar w:fldCharType="separate"/>
            </w:r>
            <w:r w:rsidRPr="00D41FC5">
              <w:rPr>
                <w:rFonts w:ascii="Times New Roman" w:hAnsi="Times New Roman" w:cs="Times New Roman"/>
              </w:rPr>
              <w:t>[32]</w:t>
            </w:r>
            <w:r w:rsidRPr="00D41FC5">
              <w:rPr>
                <w:rFonts w:ascii="Times New Roman" w:hAnsi="Times New Roman" w:cs="Times New Roman"/>
                <w:sz w:val="20"/>
                <w:szCs w:val="20"/>
              </w:rPr>
              <w:fldChar w:fldCharType="end"/>
            </w:r>
          </w:p>
        </w:tc>
        <w:tc>
          <w:tcPr>
            <w:tcW w:w="2147" w:type="dxa"/>
            <w:vAlign w:val="center"/>
            <w:hideMark/>
          </w:tcPr>
          <w:p w14:paraId="4EC4A563"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Double pendulum</w:t>
            </w:r>
          </w:p>
        </w:tc>
        <w:tc>
          <w:tcPr>
            <w:tcW w:w="1559" w:type="dxa"/>
            <w:vAlign w:val="center"/>
            <w:hideMark/>
          </w:tcPr>
          <w:p w14:paraId="6909ABE4"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Electromagnetic</w:t>
            </w:r>
          </w:p>
        </w:tc>
        <w:tc>
          <w:tcPr>
            <w:tcW w:w="1182" w:type="dxa"/>
            <w:vAlign w:val="center"/>
            <w:hideMark/>
          </w:tcPr>
          <w:p w14:paraId="33143D5E"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140 mm</w:t>
            </w:r>
          </w:p>
        </w:tc>
        <w:tc>
          <w:tcPr>
            <w:tcW w:w="1317" w:type="dxa"/>
            <w:vAlign w:val="center"/>
            <w:hideMark/>
          </w:tcPr>
          <w:p w14:paraId="2A831C70"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15 mm</w:t>
            </w:r>
          </w:p>
        </w:tc>
        <w:tc>
          <w:tcPr>
            <w:tcW w:w="1169" w:type="dxa"/>
            <w:vAlign w:val="center"/>
            <w:hideMark/>
          </w:tcPr>
          <w:p w14:paraId="02E6ADA3"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7.9 Hz</w:t>
            </w:r>
          </w:p>
        </w:tc>
        <w:tc>
          <w:tcPr>
            <w:tcW w:w="1216" w:type="dxa"/>
            <w:vAlign w:val="center"/>
            <w:hideMark/>
          </w:tcPr>
          <w:p w14:paraId="669FFB7D" w14:textId="77777777" w:rsidR="00EC39B6" w:rsidRPr="00D41FC5" w:rsidRDefault="00EC39B6">
            <w:pPr>
              <w:spacing w:beforeLines="20" w:before="48"/>
              <w:rPr>
                <w:rFonts w:ascii="Times New Roman" w:hAnsi="Times New Roman" w:cs="Times New Roman"/>
                <w:b/>
                <w:bCs/>
                <w:sz w:val="20"/>
                <w:szCs w:val="20"/>
              </w:rPr>
            </w:pPr>
            <w:r w:rsidRPr="00D41FC5">
              <w:rPr>
                <w:rFonts w:ascii="Times New Roman" w:hAnsi="Times New Roman" w:cs="Times New Roman"/>
                <w:b/>
                <w:bCs/>
                <w:sz w:val="20"/>
                <w:szCs w:val="20"/>
              </w:rPr>
              <w:t xml:space="preserve">0.68 </w:t>
            </w:r>
            <w:proofErr w:type="spellStart"/>
            <w:r w:rsidRPr="00D41FC5">
              <w:rPr>
                <w:rFonts w:ascii="Times New Roman" w:hAnsi="Times New Roman" w:cs="Times New Roman"/>
                <w:b/>
                <w:bCs/>
                <w:sz w:val="20"/>
                <w:szCs w:val="20"/>
              </w:rPr>
              <w:t>mW</w:t>
            </w:r>
            <w:proofErr w:type="spellEnd"/>
          </w:p>
        </w:tc>
      </w:tr>
      <w:tr w:rsidR="00D41FC5" w:rsidRPr="00D41FC5" w14:paraId="0F41C2C7" w14:textId="77777777" w:rsidTr="00085BA3">
        <w:trPr>
          <w:trHeight w:val="423"/>
          <w:jc w:val="center"/>
        </w:trPr>
        <w:tc>
          <w:tcPr>
            <w:tcW w:w="1397" w:type="dxa"/>
            <w:vAlign w:val="center"/>
            <w:hideMark/>
          </w:tcPr>
          <w:p w14:paraId="1B704A3A" w14:textId="724364C4" w:rsidR="00EC39B6" w:rsidRPr="00D41FC5" w:rsidRDefault="00EC39B6">
            <w:pPr>
              <w:spacing w:beforeLines="20" w:before="48"/>
              <w:rPr>
                <w:rFonts w:ascii="Times New Roman" w:hAnsi="Times New Roman" w:cs="Times New Roman"/>
                <w:sz w:val="20"/>
                <w:szCs w:val="20"/>
              </w:rPr>
            </w:pPr>
            <w:proofErr w:type="spellStart"/>
            <w:r w:rsidRPr="00D41FC5">
              <w:rPr>
                <w:rFonts w:ascii="Times New Roman" w:hAnsi="Times New Roman" w:cs="Times New Roman"/>
                <w:sz w:val="20"/>
                <w:szCs w:val="20"/>
              </w:rPr>
              <w:t>Malaji</w:t>
            </w:r>
            <w:proofErr w:type="spellEnd"/>
            <w:r w:rsidRPr="00D41FC5">
              <w:rPr>
                <w:rFonts w:ascii="Times New Roman" w:hAnsi="Times New Roman" w:cs="Times New Roman"/>
                <w:sz w:val="20"/>
                <w:szCs w:val="20"/>
              </w:rPr>
              <w:t xml:space="preserve"> et al./ 2018/ </w:t>
            </w:r>
            <w:r w:rsidRPr="00D41FC5">
              <w:rPr>
                <w:rFonts w:ascii="Times New Roman" w:hAnsi="Times New Roman" w:cs="Times New Roman"/>
                <w:sz w:val="20"/>
                <w:szCs w:val="20"/>
              </w:rPr>
              <w:fldChar w:fldCharType="begin"/>
            </w:r>
            <w:r w:rsidR="00211226" w:rsidRPr="00D41FC5">
              <w:rPr>
                <w:rFonts w:ascii="Times New Roman" w:hAnsi="Times New Roman" w:cs="Times New Roman"/>
                <w:sz w:val="20"/>
                <w:szCs w:val="20"/>
              </w:rPr>
              <w:instrText xml:space="preserve"> ADDIN ZOTERO_ITEM CSL_CITATION {"citationID":"GYgTq3OH","properties":{"formattedCitation":"[55]","plainCitation":"[55]","noteIndex":0},"citationItems":[{"id":246,"uris":["http://zotero.org/users/5619602/items/2AZZKMCJ"],"uri":["http://zotero.org/users/5619602/items/2AZZKMCJ"],"itemData":{"id":246,"type":"article-journal","abstract":"Current trend in energy harvesting research is to increase the operating bandwidth of energy harvesters. Multiple harvesters, nonlinear harvesters and hybrid harvesters are suggested to address the issue. In this paper, a system consisting of two electromagnetic harvesters with magnetic and mechanical couplings subjected to harmonic support excitations is proposed. Two pendulums with close resonating frequencies are used to generate power over a broad range of frequencies. The pendulums behave nonlinearly under the influence of magnetic interaction. This nonlinear motion harvests power at broader bandwidth. A mathematical model of the proposed harvester is established. Experiments are performed to validate the theoretical results. It has been observed that the nonlinear responses due to both magnet and mechanical couplings improve individual harvester performance. This is advantageous over harvesters that have magnetically coupling only. Additionally, the dynamics of harvesting system is numerically studied where large amplitude chaotic motion, quasi-periodic oscillations and periodic motions are observed and reported.","container-title":"Mechanical Systems and Signal Processing","DOI":"10.1016/j.ymssp.2018.02.025","ISSN":"0888-3270","journalAbbreviation":"Mechanical Systems and Signal Processing","page":"304-316","title":"Analysis and experiment of magneto-mechanically coupled harvesters","volume":"108","author":[{"family":"Malaji","given":"P.V."},{"family":"Ali","given":"Shaikh Faruque"}],"issued":{"date-parts":[["2018"]]}}}],"schema":"https://github.com/citation-style-language/schema/raw/master/csl-citation.json"} </w:instrText>
            </w:r>
            <w:r w:rsidRPr="00D41FC5">
              <w:rPr>
                <w:rFonts w:ascii="Times New Roman" w:hAnsi="Times New Roman" w:cs="Times New Roman"/>
                <w:sz w:val="20"/>
                <w:szCs w:val="20"/>
              </w:rPr>
              <w:fldChar w:fldCharType="separate"/>
            </w:r>
            <w:r w:rsidR="00211226" w:rsidRPr="00D41FC5">
              <w:rPr>
                <w:rFonts w:ascii="Times New Roman" w:hAnsi="Times New Roman" w:cs="Times New Roman"/>
              </w:rPr>
              <w:t>[55]</w:t>
            </w:r>
            <w:r w:rsidRPr="00D41FC5">
              <w:rPr>
                <w:rFonts w:ascii="Times New Roman" w:hAnsi="Times New Roman" w:cs="Times New Roman"/>
                <w:sz w:val="20"/>
                <w:szCs w:val="20"/>
              </w:rPr>
              <w:fldChar w:fldCharType="end"/>
            </w:r>
          </w:p>
        </w:tc>
        <w:tc>
          <w:tcPr>
            <w:tcW w:w="2147" w:type="dxa"/>
            <w:vAlign w:val="center"/>
            <w:hideMark/>
          </w:tcPr>
          <w:p w14:paraId="3DDC6139"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Two mechanically coupled pendulums</w:t>
            </w:r>
          </w:p>
        </w:tc>
        <w:tc>
          <w:tcPr>
            <w:tcW w:w="1559" w:type="dxa"/>
            <w:vAlign w:val="center"/>
            <w:hideMark/>
          </w:tcPr>
          <w:p w14:paraId="4A8A8C7E"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Electromagnetic</w:t>
            </w:r>
          </w:p>
        </w:tc>
        <w:tc>
          <w:tcPr>
            <w:tcW w:w="1182" w:type="dxa"/>
            <w:vAlign w:val="center"/>
            <w:hideMark/>
          </w:tcPr>
          <w:p w14:paraId="403C8DDF"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60 mm</w:t>
            </w:r>
          </w:p>
        </w:tc>
        <w:tc>
          <w:tcPr>
            <w:tcW w:w="1317" w:type="dxa"/>
            <w:vAlign w:val="center"/>
            <w:hideMark/>
          </w:tcPr>
          <w:p w14:paraId="6E1B8484"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2.3 mm</w:t>
            </w:r>
          </w:p>
        </w:tc>
        <w:tc>
          <w:tcPr>
            <w:tcW w:w="1169" w:type="dxa"/>
            <w:vAlign w:val="center"/>
            <w:hideMark/>
          </w:tcPr>
          <w:p w14:paraId="30B7BA5C"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2.5 Hz</w:t>
            </w:r>
          </w:p>
        </w:tc>
        <w:tc>
          <w:tcPr>
            <w:tcW w:w="1216" w:type="dxa"/>
            <w:vAlign w:val="center"/>
            <w:hideMark/>
          </w:tcPr>
          <w:p w14:paraId="13751F63" w14:textId="77777777" w:rsidR="00EC39B6" w:rsidRPr="00D41FC5" w:rsidRDefault="00EC39B6">
            <w:pPr>
              <w:spacing w:beforeLines="20" w:before="48"/>
              <w:rPr>
                <w:rFonts w:ascii="Times New Roman" w:hAnsi="Times New Roman" w:cs="Times New Roman"/>
                <w:b/>
                <w:bCs/>
                <w:sz w:val="20"/>
                <w:szCs w:val="20"/>
              </w:rPr>
            </w:pPr>
            <w:r w:rsidRPr="00D41FC5">
              <w:rPr>
                <w:rFonts w:ascii="Times New Roman" w:hAnsi="Times New Roman" w:cs="Times New Roman"/>
                <w:b/>
                <w:bCs/>
                <w:sz w:val="20"/>
                <w:szCs w:val="20"/>
              </w:rPr>
              <w:t xml:space="preserve">0.25 </w:t>
            </w:r>
            <w:proofErr w:type="spellStart"/>
            <w:r w:rsidRPr="00D41FC5">
              <w:rPr>
                <w:rFonts w:ascii="Times New Roman" w:hAnsi="Times New Roman" w:cs="Times New Roman"/>
                <w:b/>
                <w:bCs/>
                <w:sz w:val="20"/>
                <w:szCs w:val="20"/>
              </w:rPr>
              <w:t>mW</w:t>
            </w:r>
            <w:proofErr w:type="spellEnd"/>
          </w:p>
        </w:tc>
      </w:tr>
      <w:tr w:rsidR="00D41FC5" w:rsidRPr="00D41FC5" w14:paraId="0664E393" w14:textId="77777777" w:rsidTr="00085BA3">
        <w:trPr>
          <w:trHeight w:val="423"/>
          <w:jc w:val="center"/>
        </w:trPr>
        <w:tc>
          <w:tcPr>
            <w:tcW w:w="1397" w:type="dxa"/>
            <w:tcBorders>
              <w:top w:val="nil"/>
              <w:left w:val="nil"/>
              <w:bottom w:val="single" w:sz="12" w:space="0" w:color="auto"/>
              <w:right w:val="nil"/>
            </w:tcBorders>
            <w:vAlign w:val="center"/>
            <w:hideMark/>
          </w:tcPr>
          <w:p w14:paraId="68DA0D67"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 xml:space="preserve">Wu et al./  2018/ </w:t>
            </w:r>
            <w:r w:rsidRPr="00D41FC5">
              <w:rPr>
                <w:rFonts w:ascii="Times New Roman" w:hAnsi="Times New Roman" w:cs="Times New Roman"/>
                <w:sz w:val="20"/>
                <w:szCs w:val="20"/>
              </w:rPr>
              <w:fldChar w:fldCharType="begin"/>
            </w:r>
            <w:r w:rsidRPr="00D41FC5">
              <w:rPr>
                <w:rFonts w:ascii="Times New Roman" w:hAnsi="Times New Roman" w:cs="Times New Roman"/>
                <w:sz w:val="20"/>
                <w:szCs w:val="20"/>
              </w:rPr>
              <w:instrText xml:space="preserve"> ADDIN ZOTERO_ITEM CSL_CITATION {"citationID":"QjvmuBJ6","properties":{"formattedCitation":"[1]","plainCitation":"[1]","noteIndex":0},"citationItems":[{"id":240,"uris":["http://zotero.org/users/5619602/items/LVU9YDKY"],"uri":["http://zotero.org/users/5619602/items/LVU9YDKY"],"itemData":{"id":240,"type":"article-journal","container-title":"Applied energy","page":"600–614","title":"A piezoelectric spring pendulum oscillator used for multi-directional and ultra-low frequency vibration energy harvesting","volume":"231","author":[{"family":"Wu","given":"Yipeng"},{"family":"Qiu","given":"Jinhao"},{"family":"Zhou","given":"Shengpeng"},{"family":"Ji","given":"Hongli"},{"family":"Chen","given":"Yang"},{"family":"Li","given":"Sen"}],"issued":{"date-parts":[["2018"]]}}}],"schema":"https://github.com/citation-style-language/schema/raw/master/csl-citation.json"} </w:instrText>
            </w:r>
            <w:r w:rsidRPr="00D41FC5">
              <w:rPr>
                <w:rFonts w:ascii="Times New Roman" w:hAnsi="Times New Roman" w:cs="Times New Roman"/>
                <w:sz w:val="20"/>
                <w:szCs w:val="20"/>
              </w:rPr>
              <w:fldChar w:fldCharType="separate"/>
            </w:r>
            <w:r w:rsidRPr="00D41FC5">
              <w:rPr>
                <w:rFonts w:ascii="Times New Roman" w:hAnsi="Times New Roman" w:cs="Times New Roman"/>
                <w:sz w:val="20"/>
              </w:rPr>
              <w:t>[1]</w:t>
            </w:r>
            <w:r w:rsidRPr="00D41FC5">
              <w:rPr>
                <w:rFonts w:ascii="Times New Roman" w:hAnsi="Times New Roman" w:cs="Times New Roman"/>
                <w:sz w:val="20"/>
                <w:szCs w:val="20"/>
              </w:rPr>
              <w:fldChar w:fldCharType="end"/>
            </w:r>
          </w:p>
        </w:tc>
        <w:tc>
          <w:tcPr>
            <w:tcW w:w="2147" w:type="dxa"/>
            <w:tcBorders>
              <w:top w:val="nil"/>
              <w:left w:val="nil"/>
              <w:bottom w:val="single" w:sz="12" w:space="0" w:color="auto"/>
              <w:right w:val="nil"/>
            </w:tcBorders>
            <w:vAlign w:val="center"/>
            <w:hideMark/>
          </w:tcPr>
          <w:p w14:paraId="104122B4"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Spring pendulum</w:t>
            </w:r>
          </w:p>
        </w:tc>
        <w:tc>
          <w:tcPr>
            <w:tcW w:w="1559" w:type="dxa"/>
            <w:tcBorders>
              <w:top w:val="nil"/>
              <w:left w:val="nil"/>
              <w:bottom w:val="single" w:sz="12" w:space="0" w:color="auto"/>
              <w:right w:val="nil"/>
            </w:tcBorders>
            <w:vAlign w:val="center"/>
            <w:hideMark/>
          </w:tcPr>
          <w:p w14:paraId="2DDD17A7"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Piezoelectric</w:t>
            </w:r>
          </w:p>
        </w:tc>
        <w:tc>
          <w:tcPr>
            <w:tcW w:w="1182" w:type="dxa"/>
            <w:tcBorders>
              <w:top w:val="nil"/>
              <w:left w:val="nil"/>
              <w:bottom w:val="single" w:sz="12" w:space="0" w:color="auto"/>
              <w:right w:val="nil"/>
            </w:tcBorders>
            <w:vAlign w:val="center"/>
            <w:hideMark/>
          </w:tcPr>
          <w:p w14:paraId="15E1275B"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112 mm</w:t>
            </w:r>
          </w:p>
        </w:tc>
        <w:tc>
          <w:tcPr>
            <w:tcW w:w="1317" w:type="dxa"/>
            <w:tcBorders>
              <w:top w:val="nil"/>
              <w:left w:val="nil"/>
              <w:bottom w:val="single" w:sz="12" w:space="0" w:color="auto"/>
              <w:right w:val="nil"/>
            </w:tcBorders>
            <w:vAlign w:val="center"/>
            <w:hideMark/>
          </w:tcPr>
          <w:p w14:paraId="79AF7EAF"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0.05 g</w:t>
            </w:r>
          </w:p>
        </w:tc>
        <w:tc>
          <w:tcPr>
            <w:tcW w:w="1169" w:type="dxa"/>
            <w:tcBorders>
              <w:top w:val="nil"/>
              <w:left w:val="nil"/>
              <w:bottom w:val="single" w:sz="12" w:space="0" w:color="auto"/>
              <w:right w:val="nil"/>
            </w:tcBorders>
            <w:vAlign w:val="center"/>
            <w:hideMark/>
          </w:tcPr>
          <w:p w14:paraId="5C9BFB5B" w14:textId="77777777" w:rsidR="00EC39B6" w:rsidRPr="00D41FC5" w:rsidRDefault="00EC39B6">
            <w:pPr>
              <w:spacing w:beforeLines="20" w:before="48"/>
              <w:rPr>
                <w:rFonts w:ascii="Times New Roman" w:hAnsi="Times New Roman" w:cs="Times New Roman"/>
                <w:sz w:val="20"/>
                <w:szCs w:val="20"/>
              </w:rPr>
            </w:pPr>
            <w:r w:rsidRPr="00D41FC5">
              <w:rPr>
                <w:rFonts w:ascii="Times New Roman" w:hAnsi="Times New Roman" w:cs="Times New Roman"/>
                <w:sz w:val="20"/>
                <w:szCs w:val="20"/>
              </w:rPr>
              <w:t>1.83</w:t>
            </w:r>
          </w:p>
        </w:tc>
        <w:tc>
          <w:tcPr>
            <w:tcW w:w="1216" w:type="dxa"/>
            <w:tcBorders>
              <w:top w:val="nil"/>
              <w:left w:val="nil"/>
              <w:bottom w:val="single" w:sz="12" w:space="0" w:color="auto"/>
              <w:right w:val="nil"/>
            </w:tcBorders>
            <w:vAlign w:val="center"/>
            <w:hideMark/>
          </w:tcPr>
          <w:p w14:paraId="6706AE98" w14:textId="77777777" w:rsidR="00EC39B6" w:rsidRPr="00D41FC5" w:rsidRDefault="00EC39B6">
            <w:pPr>
              <w:spacing w:beforeLines="20" w:before="48"/>
              <w:rPr>
                <w:rFonts w:ascii="Times New Roman" w:hAnsi="Times New Roman" w:cs="Times New Roman"/>
                <w:b/>
                <w:bCs/>
                <w:sz w:val="20"/>
                <w:szCs w:val="20"/>
              </w:rPr>
            </w:pPr>
            <w:r w:rsidRPr="00D41FC5">
              <w:rPr>
                <w:rFonts w:ascii="Times New Roman" w:hAnsi="Times New Roman" w:cs="Times New Roman"/>
                <w:b/>
                <w:bCs/>
                <w:sz w:val="20"/>
                <w:szCs w:val="20"/>
              </w:rPr>
              <w:t>13.29mW</w:t>
            </w:r>
          </w:p>
        </w:tc>
      </w:tr>
    </w:tbl>
    <w:p w14:paraId="2DD8F660" w14:textId="77777777" w:rsidR="00EC39B6" w:rsidRPr="00D41FC5" w:rsidRDefault="00EC39B6" w:rsidP="00EC39B6">
      <w:pPr>
        <w:pStyle w:val="IOPText"/>
        <w:ind w:firstLine="0"/>
        <w:rPr>
          <w:rFonts w:cs="Times New Roman"/>
          <w:szCs w:val="21"/>
        </w:rPr>
        <w:sectPr w:rsidR="00EC39B6" w:rsidRPr="00D41FC5" w:rsidSect="00EC39B6">
          <w:type w:val="continuous"/>
          <w:pgSz w:w="11906" w:h="16838" w:code="9"/>
          <w:pgMar w:top="1418" w:right="907" w:bottom="2041" w:left="907" w:header="709" w:footer="709" w:gutter="0"/>
          <w:cols w:space="227"/>
          <w:titlePg/>
          <w:docGrid w:linePitch="360"/>
        </w:sectPr>
      </w:pPr>
    </w:p>
    <w:p w14:paraId="2E9FCCDD" w14:textId="1FC6DFC9" w:rsidR="00FD2DEF" w:rsidRPr="00D41FC5" w:rsidRDefault="00FD2DEF" w:rsidP="00FD2DEF">
      <w:pPr>
        <w:pStyle w:val="IOPH1"/>
        <w:rPr>
          <w:lang w:eastAsia="zh-CN"/>
        </w:rPr>
      </w:pPr>
      <w:r w:rsidRPr="00D41FC5">
        <w:rPr>
          <w:lang w:eastAsia="zh-CN"/>
        </w:rPr>
        <w:lastRenderedPageBreak/>
        <w:t>Conclusion</w:t>
      </w:r>
    </w:p>
    <w:p w14:paraId="4A9EF752" w14:textId="77777777" w:rsidR="00FD2DEF" w:rsidRPr="00D41FC5" w:rsidRDefault="00FD2DEF" w:rsidP="00FD2DEF">
      <w:pPr>
        <w:pStyle w:val="IOPText"/>
        <w:rPr>
          <w:rFonts w:cs="Times New Roman"/>
          <w:szCs w:val="21"/>
        </w:rPr>
      </w:pPr>
      <w:r w:rsidRPr="00D41FC5">
        <w:rPr>
          <w:rFonts w:cs="Times New Roman"/>
          <w:szCs w:val="21"/>
        </w:rPr>
        <w:t xml:space="preserve">In this work, we propose a pendulum-flywheel device for harvesting vibration energy. This VEH has two work modes: the pendulum mode corresponding to weak base excitations and flywheel mode corresponding to intense excitations, which enable the </w:t>
      </w:r>
      <w:proofErr w:type="gramStart"/>
      <w:r w:rsidRPr="00D41FC5">
        <w:rPr>
          <w:rFonts w:cs="Times New Roman"/>
          <w:szCs w:val="21"/>
        </w:rPr>
        <w:t>harvester</w:t>
      </w:r>
      <w:proofErr w:type="gramEnd"/>
      <w:r w:rsidRPr="00D41FC5">
        <w:rPr>
          <w:rFonts w:cs="Times New Roman"/>
          <w:szCs w:val="21"/>
        </w:rPr>
        <w:t xml:space="preserve"> has strong adaptability to various excitations in nature. Magnetic force, generating a </w:t>
      </w:r>
      <w:proofErr w:type="spellStart"/>
      <w:r w:rsidRPr="00D41FC5">
        <w:rPr>
          <w:rFonts w:cs="Times New Roman"/>
          <w:szCs w:val="21"/>
        </w:rPr>
        <w:t>bistable</w:t>
      </w:r>
      <w:proofErr w:type="spellEnd"/>
      <w:r w:rsidRPr="00D41FC5">
        <w:rPr>
          <w:rFonts w:cs="Times New Roman"/>
          <w:szCs w:val="21"/>
        </w:rPr>
        <w:t xml:space="preserve"> potential well, </w:t>
      </w:r>
      <w:proofErr w:type="gramStart"/>
      <w:r w:rsidRPr="00D41FC5">
        <w:rPr>
          <w:rFonts w:cs="Times New Roman"/>
          <w:szCs w:val="21"/>
        </w:rPr>
        <w:t>is introduced</w:t>
      </w:r>
      <w:proofErr w:type="gramEnd"/>
      <w:r w:rsidRPr="00D41FC5">
        <w:rPr>
          <w:rFonts w:cs="Times New Roman"/>
          <w:szCs w:val="21"/>
        </w:rPr>
        <w:t xml:space="preserve"> to the system for increasing the system's nonlinearity and broadening its frequency band. </w:t>
      </w:r>
    </w:p>
    <w:p w14:paraId="4F82EF56" w14:textId="656C932C" w:rsidR="00FD2DEF" w:rsidRPr="00D41FC5" w:rsidRDefault="00FD2DEF" w:rsidP="00FD2DEF">
      <w:pPr>
        <w:pStyle w:val="IOPText"/>
        <w:rPr>
          <w:rFonts w:cs="Times New Roman"/>
          <w:szCs w:val="21"/>
        </w:rPr>
      </w:pPr>
      <w:r w:rsidRPr="00D41FC5">
        <w:rPr>
          <w:rFonts w:cs="Times New Roman"/>
          <w:szCs w:val="21"/>
        </w:rPr>
        <w:t xml:space="preserve">The simulation results indicate that reducing magnet distance can significantly enhance the system's nonlinearity, enlarging the amplitude of dynamic responses and broadening its frequency band. The results also show that the magnet distance influences the switch of the VEH’s motion modes. This characteristic provides us with an approach to control the performance of the harvester for adapting to different excitations. Besides, experiments </w:t>
      </w:r>
      <w:proofErr w:type="gramStart"/>
      <w:r w:rsidRPr="00D41FC5">
        <w:rPr>
          <w:rFonts w:cs="Times New Roman"/>
          <w:szCs w:val="21"/>
        </w:rPr>
        <w:t>are performed</w:t>
      </w:r>
      <w:proofErr w:type="gramEnd"/>
      <w:r w:rsidRPr="00D41FC5">
        <w:rPr>
          <w:rFonts w:cs="Times New Roman"/>
          <w:szCs w:val="21"/>
        </w:rPr>
        <w:t xml:space="preserve"> to verify the reasonability of the theoretical model. The experimental data verify the linear relationship between the induced electromotive voltage and the angular velocity of the pendulum structure with a coefficient of determination (</w:t>
      </w:r>
      <m:oMath>
        <m:sSup>
          <m:sSupPr>
            <m:ctrlPr>
              <w:rPr>
                <w:rFonts w:ascii="Cambria Math" w:hAnsi="Cambria Math" w:cs="Times New Roman"/>
                <w:szCs w:val="21"/>
              </w:rPr>
            </m:ctrlPr>
          </m:sSupPr>
          <m:e>
            <m:r>
              <w:rPr>
                <w:rFonts w:ascii="Cambria Math" w:hAnsi="Cambria Math" w:cs="Times New Roman"/>
                <w:szCs w:val="21"/>
              </w:rPr>
              <m:t>R</m:t>
            </m:r>
          </m:e>
          <m:sup>
            <m:r>
              <m:rPr>
                <m:sty m:val="p"/>
              </m:rPr>
              <w:rPr>
                <w:rFonts w:ascii="Cambria Math" w:hAnsi="Cambria Math" w:cs="Times New Roman"/>
                <w:szCs w:val="21"/>
              </w:rPr>
              <m:t>2</m:t>
            </m:r>
          </m:sup>
        </m:sSup>
      </m:oMath>
      <w:r w:rsidRPr="00D41FC5">
        <w:rPr>
          <w:rFonts w:cs="Times New Roman"/>
          <w:szCs w:val="21"/>
        </w:rPr>
        <w:t>) of 0.98 and a slop error rate of 7.5%. The angular velocity of the system obtained by simulations agrees well with the experimental data when the excitation displacement is small (the error rate of most cases is less than 10%). However, the error rate has an increase with the</w:t>
      </w:r>
      <w:r w:rsidR="00DF0126" w:rsidRPr="00D41FC5">
        <w:rPr>
          <w:rFonts w:cs="Times New Roman"/>
          <w:szCs w:val="21"/>
        </w:rPr>
        <w:t xml:space="preserve"> amplitude</w:t>
      </w:r>
      <w:r w:rsidRPr="00D41FC5">
        <w:rPr>
          <w:rFonts w:cs="Times New Roman"/>
          <w:szCs w:val="21"/>
        </w:rPr>
        <w:t xml:space="preserve"> because the nonlinearity of the system increases with the swing angle of the pendulum and makes the system more sensitive to the initial conditions. In experiments, this VEH reaches its maximum energy output of 16.3 </w:t>
      </w:r>
      <w:proofErr w:type="spellStart"/>
      <w:r w:rsidRPr="00D41FC5">
        <w:rPr>
          <w:rFonts w:cs="Times New Roman"/>
          <w:szCs w:val="21"/>
        </w:rPr>
        <w:t>mW</w:t>
      </w:r>
      <w:proofErr w:type="spellEnd"/>
      <w:r w:rsidRPr="00D41FC5">
        <w:rPr>
          <w:rFonts w:cs="Times New Roman"/>
          <w:szCs w:val="21"/>
        </w:rPr>
        <w:t>, which exhibits good performance in comparison with state-of-art pendulum</w:t>
      </w:r>
      <w:r w:rsidR="00DF0126" w:rsidRPr="00D41FC5">
        <w:rPr>
          <w:rFonts w:cs="Times New Roman"/>
          <w:szCs w:val="21"/>
        </w:rPr>
        <w:t>-</w:t>
      </w:r>
      <w:r w:rsidRPr="00D41FC5">
        <w:rPr>
          <w:rFonts w:cs="Times New Roman"/>
          <w:szCs w:val="21"/>
        </w:rPr>
        <w:t xml:space="preserve">based VEHs.  </w:t>
      </w:r>
    </w:p>
    <w:p w14:paraId="6D249B51" w14:textId="2B926697" w:rsidR="00FD2DEF" w:rsidRPr="00D41FC5" w:rsidRDefault="00FD2DEF" w:rsidP="00FD2DEF">
      <w:pPr>
        <w:pStyle w:val="IOPText"/>
        <w:rPr>
          <w:rFonts w:cs="Times New Roman"/>
          <w:szCs w:val="21"/>
        </w:rPr>
      </w:pPr>
      <w:r w:rsidRPr="00D41FC5">
        <w:rPr>
          <w:rFonts w:cs="Times New Roman"/>
          <w:szCs w:val="21"/>
        </w:rPr>
        <w:t xml:space="preserve">Next, we intend to investigate the influences of random excitation on the performance of the harvester and try to optimise its geometry. During establishing the theoretical model, a series of simplifications </w:t>
      </w:r>
      <w:proofErr w:type="gramStart"/>
      <w:r w:rsidRPr="00D41FC5">
        <w:rPr>
          <w:rFonts w:cs="Times New Roman"/>
          <w:szCs w:val="21"/>
        </w:rPr>
        <w:t>are made</w:t>
      </w:r>
      <w:proofErr w:type="gramEnd"/>
      <w:r w:rsidRPr="00D41FC5">
        <w:rPr>
          <w:rFonts w:cs="Times New Roman"/>
          <w:szCs w:val="21"/>
        </w:rPr>
        <w:t>. In a further study, we plan to investigate how these simplifications influence the fidelity of the theoretical model and improve it. Besides, we would also like to use the proposed harvester to establish a self-powered sensor node for condition monitoring of freight trains and test its performance in real scenery.</w:t>
      </w:r>
    </w:p>
    <w:p w14:paraId="2A766F98" w14:textId="77777777" w:rsidR="006A3E57" w:rsidRPr="00D41FC5" w:rsidRDefault="006A3E57" w:rsidP="00FD2DEF">
      <w:pPr>
        <w:pStyle w:val="IOPText"/>
        <w:rPr>
          <w:rFonts w:cs="Times New Roman"/>
          <w:szCs w:val="21"/>
        </w:rPr>
      </w:pPr>
    </w:p>
    <w:p w14:paraId="56FD6614" w14:textId="33DF6B69" w:rsidR="00FD2DEF" w:rsidRPr="00D41FC5" w:rsidRDefault="00FD2DEF" w:rsidP="00FD2DEF">
      <w:pPr>
        <w:pStyle w:val="IOPH1"/>
        <w:rPr>
          <w:lang w:eastAsia="zh-CN"/>
        </w:rPr>
      </w:pPr>
      <w:r w:rsidRPr="00D41FC5">
        <w:rPr>
          <w:lang w:eastAsia="zh-CN"/>
        </w:rPr>
        <w:t>Acknowledgements</w:t>
      </w:r>
    </w:p>
    <w:p w14:paraId="1EA465FA" w14:textId="77777777" w:rsidR="00FD2DEF" w:rsidRPr="00D41FC5" w:rsidRDefault="00FD2DEF" w:rsidP="00513E81">
      <w:pPr>
        <w:ind w:firstLineChars="100" w:firstLine="200"/>
        <w:jc w:val="both"/>
        <w:rPr>
          <w:rFonts w:ascii="Times New Roman" w:hAnsi="Times New Roman" w:cs="Times New Roman"/>
          <w:sz w:val="20"/>
          <w:szCs w:val="20"/>
        </w:rPr>
      </w:pPr>
      <w:bookmarkStart w:id="53" w:name="_Hlk42458921"/>
      <w:r w:rsidRPr="00D41FC5">
        <w:rPr>
          <w:rFonts w:ascii="Times New Roman" w:hAnsi="Times New Roman" w:cs="Times New Roman"/>
          <w:sz w:val="20"/>
          <w:szCs w:val="20"/>
        </w:rPr>
        <w:t xml:space="preserve">The main theoretical work is conducted by the first author during his visit to the University of Liverpool under the supervision of the </w:t>
      </w:r>
      <w:proofErr w:type="gramStart"/>
      <w:r w:rsidRPr="00D41FC5">
        <w:rPr>
          <w:rFonts w:ascii="Times New Roman" w:hAnsi="Times New Roman" w:cs="Times New Roman"/>
          <w:sz w:val="20"/>
          <w:szCs w:val="20"/>
        </w:rPr>
        <w:t>3rd</w:t>
      </w:r>
      <w:proofErr w:type="gramEnd"/>
      <w:r w:rsidRPr="00D41FC5">
        <w:rPr>
          <w:rFonts w:ascii="Times New Roman" w:hAnsi="Times New Roman" w:cs="Times New Roman"/>
          <w:sz w:val="20"/>
          <w:szCs w:val="20"/>
        </w:rPr>
        <w:t xml:space="preserve"> author and sponsored by China Scholarship Council. </w:t>
      </w:r>
      <w:proofErr w:type="gramStart"/>
      <w:r w:rsidRPr="00D41FC5">
        <w:rPr>
          <w:rFonts w:ascii="Times New Roman" w:hAnsi="Times New Roman" w:cs="Times New Roman"/>
          <w:sz w:val="20"/>
          <w:szCs w:val="20"/>
          <w:shd w:val="clear" w:color="auto" w:fill="FFFFFF"/>
        </w:rPr>
        <w:t>This research is also funded by the National Natural Science Foundation of China, grant number 51878576 and U1934214</w:t>
      </w:r>
      <w:proofErr w:type="gramEnd"/>
      <w:r w:rsidRPr="00D41FC5">
        <w:rPr>
          <w:rFonts w:ascii="Times New Roman" w:hAnsi="Times New Roman" w:cs="Times New Roman"/>
          <w:sz w:val="20"/>
          <w:szCs w:val="20"/>
          <w:shd w:val="clear" w:color="auto" w:fill="FFFFFF"/>
        </w:rPr>
        <w:t>.</w:t>
      </w:r>
      <w:r w:rsidRPr="00D41FC5">
        <w:rPr>
          <w:rFonts w:ascii="Times New Roman" w:hAnsi="Times New Roman" w:cs="Times New Roman"/>
          <w:sz w:val="20"/>
          <w:szCs w:val="20"/>
        </w:rPr>
        <w:t xml:space="preserve"> </w:t>
      </w:r>
    </w:p>
    <w:bookmarkEnd w:id="53"/>
    <w:p w14:paraId="58084EEE" w14:textId="77777777" w:rsidR="006228A2" w:rsidRPr="00D41FC5" w:rsidRDefault="006228A2" w:rsidP="006228A2">
      <w:pPr>
        <w:pStyle w:val="IOPH1"/>
      </w:pPr>
      <w:r w:rsidRPr="00D41FC5">
        <w:rPr>
          <w:noProof/>
        </w:rPr>
        <w:t>References</w:t>
      </w:r>
    </w:p>
    <w:p w14:paraId="27B84312" w14:textId="77777777" w:rsidR="005018BB" w:rsidRPr="00D41FC5" w:rsidRDefault="0033441F" w:rsidP="005018BB">
      <w:pPr>
        <w:pStyle w:val="Bibliography"/>
      </w:pPr>
      <w:r w:rsidRPr="00D41FC5">
        <w:fldChar w:fldCharType="begin"/>
      </w:r>
      <w:r w:rsidRPr="00D41FC5">
        <w:instrText xml:space="preserve"> ADDIN ZOTERO_BIBL {"uncited":[],"omitted":[],"custom":[]} CSL_BIBLIOGRAPHY </w:instrText>
      </w:r>
      <w:r w:rsidRPr="00D41FC5">
        <w:fldChar w:fldCharType="separate"/>
      </w:r>
      <w:r w:rsidR="005018BB" w:rsidRPr="00D41FC5">
        <w:t>[1]</w:t>
      </w:r>
      <w:r w:rsidR="005018BB" w:rsidRPr="00D41FC5">
        <w:tab/>
        <w:t xml:space="preserve"> Wu Y, Qiu J, Zhou S, Ji H, Chen Y and Li S 2018 A piezoelectric spring pendulum oscillator used for multi-directional and ultra-low frequency vibration energy harvesting </w:t>
      </w:r>
      <w:r w:rsidR="005018BB" w:rsidRPr="00D41FC5">
        <w:rPr>
          <w:i/>
          <w:iCs/>
        </w:rPr>
        <w:t>Applied energy</w:t>
      </w:r>
      <w:r w:rsidR="005018BB" w:rsidRPr="00D41FC5">
        <w:t xml:space="preserve"> </w:t>
      </w:r>
      <w:r w:rsidR="005018BB" w:rsidRPr="00D41FC5">
        <w:rPr>
          <w:b/>
          <w:bCs/>
        </w:rPr>
        <w:t>231</w:t>
      </w:r>
      <w:r w:rsidR="005018BB" w:rsidRPr="00D41FC5">
        <w:t xml:space="preserve"> 600–614</w:t>
      </w:r>
    </w:p>
    <w:p w14:paraId="62F1E2ED" w14:textId="77777777" w:rsidR="005018BB" w:rsidRPr="00D41FC5" w:rsidRDefault="005018BB" w:rsidP="005018BB">
      <w:pPr>
        <w:pStyle w:val="Bibliography"/>
      </w:pPr>
      <w:r w:rsidRPr="00D41FC5">
        <w:t>[2]</w:t>
      </w:r>
      <w:r w:rsidRPr="00D41FC5">
        <w:tab/>
        <w:t xml:space="preserve"> Ulianov C, Hadaš Z, Hyde P and Smilek J 2020 Novel Energy Harvesting Solutions for Powering Trackside Electronic Equipment </w:t>
      </w:r>
      <w:r w:rsidRPr="00D41FC5">
        <w:rPr>
          <w:i/>
          <w:iCs/>
        </w:rPr>
        <w:t>Sustainable Rail Transport</w:t>
      </w:r>
      <w:r w:rsidRPr="00D41FC5">
        <w:t xml:space="preserve"> ed M Marinov and J Piip (Cham: Springer International Publishing) pp 229–255</w:t>
      </w:r>
    </w:p>
    <w:p w14:paraId="749B92AF" w14:textId="77777777" w:rsidR="005018BB" w:rsidRPr="00D41FC5" w:rsidRDefault="005018BB" w:rsidP="005018BB">
      <w:pPr>
        <w:pStyle w:val="Bibliography"/>
      </w:pPr>
      <w:r w:rsidRPr="00D41FC5">
        <w:t>[3]</w:t>
      </w:r>
      <w:r w:rsidRPr="00D41FC5">
        <w:tab/>
        <w:t xml:space="preserve"> Kiziroglou M E and Yeatman E M 2012 Materials and techniques for energy harvesting </w:t>
      </w:r>
      <w:r w:rsidRPr="00D41FC5">
        <w:rPr>
          <w:i/>
          <w:iCs/>
        </w:rPr>
        <w:t>Functional Materials for Sustainable Energy Applications</w:t>
      </w:r>
      <w:r w:rsidRPr="00D41FC5">
        <w:t xml:space="preserve"> ed J A Kilner, S J Skinner, S J C Irvine and P P Edwards (Woodhead Publishing) pp 541–72</w:t>
      </w:r>
    </w:p>
    <w:p w14:paraId="0F5735B1" w14:textId="77777777" w:rsidR="005018BB" w:rsidRPr="00D41FC5" w:rsidRDefault="005018BB" w:rsidP="005018BB">
      <w:pPr>
        <w:pStyle w:val="Bibliography"/>
      </w:pPr>
      <w:r w:rsidRPr="00D41FC5">
        <w:t>[4]</w:t>
      </w:r>
      <w:r w:rsidRPr="00D41FC5">
        <w:tab/>
        <w:t xml:space="preserve"> Liang C, Wu Y and Zuo L 2016 Broadband pendulum energy harvester </w:t>
      </w:r>
      <w:r w:rsidRPr="00D41FC5">
        <w:rPr>
          <w:i/>
          <w:iCs/>
        </w:rPr>
        <w:t>Smart Materials and Structures</w:t>
      </w:r>
      <w:r w:rsidRPr="00D41FC5">
        <w:t xml:space="preserve"> </w:t>
      </w:r>
      <w:r w:rsidRPr="00D41FC5">
        <w:rPr>
          <w:b/>
          <w:bCs/>
        </w:rPr>
        <w:t>25</w:t>
      </w:r>
      <w:r w:rsidRPr="00D41FC5">
        <w:t xml:space="preserve"> 095042</w:t>
      </w:r>
    </w:p>
    <w:p w14:paraId="1FB3935B" w14:textId="77777777" w:rsidR="005018BB" w:rsidRPr="00D41FC5" w:rsidRDefault="005018BB" w:rsidP="005018BB">
      <w:pPr>
        <w:pStyle w:val="Bibliography"/>
      </w:pPr>
      <w:r w:rsidRPr="00D41FC5">
        <w:t>[5]</w:t>
      </w:r>
      <w:r w:rsidRPr="00D41FC5">
        <w:tab/>
        <w:t xml:space="preserve"> Zhou S, Yan B and Inman D J 2018 A novel nonlinear piezoelectric energy harvesting system based on linear-element coupling: design, modeling and dynamic analysis </w:t>
      </w:r>
      <w:r w:rsidRPr="00D41FC5">
        <w:rPr>
          <w:i/>
          <w:iCs/>
        </w:rPr>
        <w:t>Sensors</w:t>
      </w:r>
      <w:r w:rsidRPr="00D41FC5">
        <w:t xml:space="preserve"> </w:t>
      </w:r>
      <w:r w:rsidRPr="00D41FC5">
        <w:rPr>
          <w:b/>
          <w:bCs/>
        </w:rPr>
        <w:t>18</w:t>
      </w:r>
      <w:r w:rsidRPr="00D41FC5">
        <w:t xml:space="preserve"> 1492</w:t>
      </w:r>
    </w:p>
    <w:p w14:paraId="4728CB8C" w14:textId="77777777" w:rsidR="005018BB" w:rsidRPr="00D41FC5" w:rsidRDefault="005018BB" w:rsidP="005018BB">
      <w:pPr>
        <w:pStyle w:val="Bibliography"/>
      </w:pPr>
      <w:r w:rsidRPr="00D41FC5">
        <w:t>[6]</w:t>
      </w:r>
      <w:r w:rsidRPr="00D41FC5">
        <w:tab/>
        <w:t xml:space="preserve"> Erturk A and Inman D J 2011 </w:t>
      </w:r>
      <w:r w:rsidRPr="00D41FC5">
        <w:rPr>
          <w:i/>
          <w:iCs/>
        </w:rPr>
        <w:t>Piezoelectric energy harvesting</w:t>
      </w:r>
      <w:r w:rsidRPr="00D41FC5">
        <w:t xml:space="preserve"> (John Wiley &amp; Sons)</w:t>
      </w:r>
    </w:p>
    <w:p w14:paraId="03158A43" w14:textId="77777777" w:rsidR="005018BB" w:rsidRPr="00D41FC5" w:rsidRDefault="005018BB" w:rsidP="005018BB">
      <w:pPr>
        <w:pStyle w:val="Bibliography"/>
      </w:pPr>
      <w:r w:rsidRPr="00D41FC5">
        <w:t>[7]</w:t>
      </w:r>
      <w:r w:rsidRPr="00D41FC5">
        <w:tab/>
        <w:t xml:space="preserve"> Xu J and Tang J 2015 Multi-directional energy harvesting by piezoelectric cantilever-pendulum with internal resonance </w:t>
      </w:r>
      <w:r w:rsidRPr="00D41FC5">
        <w:rPr>
          <w:i/>
          <w:iCs/>
        </w:rPr>
        <w:t>Applied Physics Letters</w:t>
      </w:r>
      <w:r w:rsidRPr="00D41FC5">
        <w:t xml:space="preserve"> </w:t>
      </w:r>
      <w:r w:rsidRPr="00D41FC5">
        <w:rPr>
          <w:b/>
          <w:bCs/>
        </w:rPr>
        <w:t>107</w:t>
      </w:r>
      <w:r w:rsidRPr="00D41FC5">
        <w:t xml:space="preserve"> 213902</w:t>
      </w:r>
    </w:p>
    <w:p w14:paraId="6C65DBFE" w14:textId="77777777" w:rsidR="005018BB" w:rsidRPr="00D41FC5" w:rsidRDefault="005018BB" w:rsidP="005018BB">
      <w:pPr>
        <w:pStyle w:val="Bibliography"/>
      </w:pPr>
      <w:r w:rsidRPr="00D41FC5">
        <w:t>[8]</w:t>
      </w:r>
      <w:r w:rsidRPr="00D41FC5">
        <w:tab/>
        <w:t xml:space="preserve"> Izadgoshasb I, Lim Y Y, Tang L, Padilla R V, Tang Z S and Sedighi M 2019 Improving efficiency of piezoelectric based energy harvesting from human motions using double pendulum system </w:t>
      </w:r>
      <w:r w:rsidRPr="00D41FC5">
        <w:rPr>
          <w:i/>
          <w:iCs/>
        </w:rPr>
        <w:t>Energy Conversion and Management</w:t>
      </w:r>
      <w:r w:rsidRPr="00D41FC5">
        <w:t xml:space="preserve"> </w:t>
      </w:r>
      <w:r w:rsidRPr="00D41FC5">
        <w:rPr>
          <w:b/>
          <w:bCs/>
        </w:rPr>
        <w:t>184</w:t>
      </w:r>
      <w:r w:rsidRPr="00D41FC5">
        <w:t xml:space="preserve"> 559–70</w:t>
      </w:r>
    </w:p>
    <w:p w14:paraId="1AB58D33" w14:textId="77777777" w:rsidR="005018BB" w:rsidRPr="00D41FC5" w:rsidRDefault="005018BB" w:rsidP="005018BB">
      <w:pPr>
        <w:pStyle w:val="Bibliography"/>
      </w:pPr>
      <w:r w:rsidRPr="00D41FC5">
        <w:t>[9]</w:t>
      </w:r>
      <w:r w:rsidRPr="00D41FC5">
        <w:tab/>
        <w:t xml:space="preserve"> Ramezanpour R, Nahvi H and Ziaei-Rad S 2016 Electromechanical behavior of a pendulum-based piezoelectric frequency up-converting energy harvester </w:t>
      </w:r>
      <w:r w:rsidRPr="00D41FC5">
        <w:rPr>
          <w:i/>
          <w:iCs/>
        </w:rPr>
        <w:t>Journal of Sound and Vibration</w:t>
      </w:r>
      <w:r w:rsidRPr="00D41FC5">
        <w:t xml:space="preserve"> </w:t>
      </w:r>
      <w:r w:rsidRPr="00D41FC5">
        <w:rPr>
          <w:b/>
          <w:bCs/>
        </w:rPr>
        <w:t>370</w:t>
      </w:r>
      <w:r w:rsidRPr="00D41FC5">
        <w:t xml:space="preserve"> 280–305</w:t>
      </w:r>
    </w:p>
    <w:p w14:paraId="41F6938D" w14:textId="77777777" w:rsidR="005018BB" w:rsidRPr="00D41FC5" w:rsidRDefault="005018BB" w:rsidP="005018BB">
      <w:pPr>
        <w:pStyle w:val="Bibliography"/>
      </w:pPr>
      <w:r w:rsidRPr="00D41FC5">
        <w:t>[10]</w:t>
      </w:r>
      <w:r w:rsidRPr="00D41FC5">
        <w:tab/>
        <w:t xml:space="preserve"> Ramezanpour R, Nahvi H and Ziaei-Rad S 2015 A vibration-based energy harvester suitable for low-frequency, high-amplitude environments: </w:t>
      </w:r>
      <w:r w:rsidRPr="00D41FC5">
        <w:lastRenderedPageBreak/>
        <w:t xml:space="preserve">Theoretical and experimental investigations </w:t>
      </w:r>
      <w:r w:rsidRPr="00D41FC5">
        <w:rPr>
          <w:i/>
          <w:iCs/>
        </w:rPr>
        <w:t>Journal of Intelligent Material Systems and Structures</w:t>
      </w:r>
      <w:r w:rsidRPr="00D41FC5">
        <w:t xml:space="preserve"> </w:t>
      </w:r>
      <w:r w:rsidRPr="00D41FC5">
        <w:rPr>
          <w:b/>
          <w:bCs/>
        </w:rPr>
        <w:t>27</w:t>
      </w:r>
      <w:r w:rsidRPr="00D41FC5">
        <w:t xml:space="preserve"> 642–65</w:t>
      </w:r>
    </w:p>
    <w:p w14:paraId="2B8760A4" w14:textId="77777777" w:rsidR="005018BB" w:rsidRPr="00D41FC5" w:rsidRDefault="005018BB" w:rsidP="005018BB">
      <w:pPr>
        <w:pStyle w:val="Bibliography"/>
      </w:pPr>
      <w:r w:rsidRPr="00D41FC5">
        <w:t>[11]</w:t>
      </w:r>
      <w:r w:rsidRPr="00D41FC5">
        <w:tab/>
        <w:t xml:space="preserve"> Gao M, Wang P, Cao Y, Chen R and Cai D 2017 Design and Verification of a Rail-Borne Energy Harvester for Powering Wireless Sensor Networks in the Railway Industry </w:t>
      </w:r>
      <w:r w:rsidRPr="00D41FC5">
        <w:rPr>
          <w:i/>
          <w:iCs/>
        </w:rPr>
        <w:t>IEEE Transactions on Intelligent Transportation Systems</w:t>
      </w:r>
      <w:r w:rsidRPr="00D41FC5">
        <w:t xml:space="preserve"> </w:t>
      </w:r>
      <w:r w:rsidRPr="00D41FC5">
        <w:rPr>
          <w:b/>
          <w:bCs/>
        </w:rPr>
        <w:t>18</w:t>
      </w:r>
      <w:r w:rsidRPr="00D41FC5">
        <w:t xml:space="preserve"> 1596–609</w:t>
      </w:r>
    </w:p>
    <w:p w14:paraId="039333F2" w14:textId="77777777" w:rsidR="005018BB" w:rsidRPr="00D41FC5" w:rsidRDefault="005018BB" w:rsidP="005018BB">
      <w:pPr>
        <w:pStyle w:val="Bibliography"/>
      </w:pPr>
      <w:r w:rsidRPr="00D41FC5">
        <w:t>[12]</w:t>
      </w:r>
      <w:r w:rsidRPr="00D41FC5">
        <w:tab/>
        <w:t xml:space="preserve"> Malaji P V, Doddi S, Friswell M I and Adhikari S 2018 Analysis of pendulums coupled by torsional springs for energy harvesting </w:t>
      </w:r>
      <w:r w:rsidRPr="00D41FC5">
        <w:rPr>
          <w:i/>
          <w:iCs/>
        </w:rPr>
        <w:t>MATEC Web Conf.</w:t>
      </w:r>
      <w:r w:rsidRPr="00D41FC5">
        <w:t xml:space="preserve"> </w:t>
      </w:r>
      <w:r w:rsidRPr="00D41FC5">
        <w:rPr>
          <w:b/>
          <w:bCs/>
        </w:rPr>
        <w:t>211</w:t>
      </w:r>
    </w:p>
    <w:p w14:paraId="413C7F84" w14:textId="77777777" w:rsidR="005018BB" w:rsidRPr="00D41FC5" w:rsidRDefault="005018BB" w:rsidP="005018BB">
      <w:pPr>
        <w:pStyle w:val="Bibliography"/>
      </w:pPr>
      <w:r w:rsidRPr="00D41FC5">
        <w:t>[13]</w:t>
      </w:r>
      <w:r w:rsidRPr="00D41FC5">
        <w:tab/>
        <w:t xml:space="preserve"> Malaji P V and Ali S F 2017 Broadband energy harvesting with mechanically coupled harvesters </w:t>
      </w:r>
      <w:r w:rsidRPr="00D41FC5">
        <w:rPr>
          <w:i/>
          <w:iCs/>
        </w:rPr>
        <w:t>Sensors and Actuators A: Physical</w:t>
      </w:r>
      <w:r w:rsidRPr="00D41FC5">
        <w:t xml:space="preserve"> </w:t>
      </w:r>
      <w:r w:rsidRPr="00D41FC5">
        <w:rPr>
          <w:b/>
          <w:bCs/>
        </w:rPr>
        <w:t>255</w:t>
      </w:r>
      <w:r w:rsidRPr="00D41FC5">
        <w:t xml:space="preserve"> 1–9</w:t>
      </w:r>
    </w:p>
    <w:p w14:paraId="48F4B20F" w14:textId="77777777" w:rsidR="005018BB" w:rsidRPr="00D41FC5" w:rsidRDefault="005018BB" w:rsidP="005018BB">
      <w:pPr>
        <w:pStyle w:val="Bibliography"/>
      </w:pPr>
      <w:r w:rsidRPr="00D41FC5">
        <w:t>[14]</w:t>
      </w:r>
      <w:r w:rsidRPr="00D41FC5">
        <w:tab/>
        <w:t xml:space="preserve"> Malaji P V and Ali S F 2018 Analysis and experiment of magneto-mechanically coupled harvesters </w:t>
      </w:r>
      <w:r w:rsidRPr="00D41FC5">
        <w:rPr>
          <w:i/>
          <w:iCs/>
        </w:rPr>
        <w:t>Mechanical Systems and Signal Processing</w:t>
      </w:r>
      <w:r w:rsidRPr="00D41FC5">
        <w:t xml:space="preserve"> </w:t>
      </w:r>
      <w:r w:rsidRPr="00D41FC5">
        <w:rPr>
          <w:b/>
          <w:bCs/>
        </w:rPr>
        <w:t>108</w:t>
      </w:r>
      <w:r w:rsidRPr="00D41FC5">
        <w:t xml:space="preserve"> 304–16</w:t>
      </w:r>
    </w:p>
    <w:p w14:paraId="6E5FD1BF" w14:textId="77777777" w:rsidR="005018BB" w:rsidRPr="00D41FC5" w:rsidRDefault="005018BB" w:rsidP="005018BB">
      <w:pPr>
        <w:pStyle w:val="Bibliography"/>
      </w:pPr>
      <w:r w:rsidRPr="00D41FC5">
        <w:t>[15]</w:t>
      </w:r>
      <w:r w:rsidRPr="00D41FC5">
        <w:tab/>
        <w:t xml:space="preserve"> S. M. Tousif and Z. Çelik-Butler 2019 Array of Linear and Nonlinear Electrostatic Energy Harvesters for Broadband Energy Harvesting </w:t>
      </w:r>
      <w:r w:rsidRPr="00D41FC5">
        <w:rPr>
          <w:i/>
          <w:iCs/>
        </w:rPr>
        <w:t>2019 IEEE Sensors Applications Symposium (SAS)</w:t>
      </w:r>
      <w:r w:rsidRPr="00D41FC5">
        <w:t xml:space="preserve"> 2019 IEEE Sensors Applications Symposium (SAS) pp 1–6</w:t>
      </w:r>
    </w:p>
    <w:p w14:paraId="6CFE8698" w14:textId="77777777" w:rsidR="005018BB" w:rsidRPr="00D41FC5" w:rsidRDefault="005018BB" w:rsidP="005018BB">
      <w:pPr>
        <w:pStyle w:val="Bibliography"/>
      </w:pPr>
      <w:r w:rsidRPr="00D41FC5">
        <w:t>[16]</w:t>
      </w:r>
      <w:r w:rsidRPr="00D41FC5">
        <w:tab/>
        <w:t xml:space="preserve"> Thiago Seuaciuc-Osório and Mohammed F. Daqaq 2008 Effect of bias conditions on the optimal energy harvesting using magnetostrictive materials Proc.SPIE vol 6928</w:t>
      </w:r>
    </w:p>
    <w:p w14:paraId="7B7E58F2" w14:textId="77777777" w:rsidR="005018BB" w:rsidRPr="00D41FC5" w:rsidRDefault="005018BB" w:rsidP="005018BB">
      <w:pPr>
        <w:pStyle w:val="Bibliography"/>
      </w:pPr>
      <w:r w:rsidRPr="00D41FC5">
        <w:t>[17]</w:t>
      </w:r>
      <w:r w:rsidRPr="00D41FC5">
        <w:tab/>
        <w:t xml:space="preserve"> Fu Y, Ouyang H and Davis R B 2019 Triboelectric energy harvesting from the vibro-impact of three cantilevered beams </w:t>
      </w:r>
      <w:r w:rsidRPr="00D41FC5">
        <w:rPr>
          <w:i/>
          <w:iCs/>
        </w:rPr>
        <w:t>Mechanical Systems and Signal Processing</w:t>
      </w:r>
      <w:r w:rsidRPr="00D41FC5">
        <w:t xml:space="preserve"> </w:t>
      </w:r>
      <w:r w:rsidRPr="00D41FC5">
        <w:rPr>
          <w:b/>
          <w:bCs/>
        </w:rPr>
        <w:t>121</w:t>
      </w:r>
      <w:r w:rsidRPr="00D41FC5">
        <w:t xml:space="preserve"> 509–531</w:t>
      </w:r>
    </w:p>
    <w:p w14:paraId="39273320" w14:textId="77777777" w:rsidR="005018BB" w:rsidRPr="00D41FC5" w:rsidRDefault="005018BB" w:rsidP="005018BB">
      <w:pPr>
        <w:pStyle w:val="Bibliography"/>
      </w:pPr>
      <w:r w:rsidRPr="00D41FC5">
        <w:t>[18]</w:t>
      </w:r>
      <w:r w:rsidRPr="00D41FC5">
        <w:tab/>
        <w:t xml:space="preserve"> Friswell M I and Adhikari S 2010 Sensor shape design for piezoelectric cantilever beams to harvest vibration energy </w:t>
      </w:r>
      <w:r w:rsidRPr="00D41FC5">
        <w:rPr>
          <w:i/>
          <w:iCs/>
        </w:rPr>
        <w:t>Journal of Applied Physics</w:t>
      </w:r>
      <w:r w:rsidRPr="00D41FC5">
        <w:t xml:space="preserve"> </w:t>
      </w:r>
      <w:r w:rsidRPr="00D41FC5">
        <w:rPr>
          <w:b/>
          <w:bCs/>
        </w:rPr>
        <w:t>108</w:t>
      </w:r>
      <w:r w:rsidRPr="00D41FC5">
        <w:t xml:space="preserve"> 014901</w:t>
      </w:r>
    </w:p>
    <w:p w14:paraId="2FE12C2A" w14:textId="77777777" w:rsidR="005018BB" w:rsidRPr="00D41FC5" w:rsidRDefault="005018BB" w:rsidP="005018BB">
      <w:pPr>
        <w:pStyle w:val="Bibliography"/>
      </w:pPr>
      <w:r w:rsidRPr="00D41FC5">
        <w:t>[19]</w:t>
      </w:r>
      <w:r w:rsidRPr="00D41FC5">
        <w:tab/>
        <w:t xml:space="preserve"> Daqaq M F, Crespo R S and Ha S 2020 On the efficacy of charging a battery using a chaotic </w:t>
      </w:r>
      <w:r w:rsidRPr="00D41FC5">
        <w:t xml:space="preserve">energy harvester </w:t>
      </w:r>
      <w:r w:rsidRPr="00D41FC5">
        <w:rPr>
          <w:i/>
          <w:iCs/>
        </w:rPr>
        <w:t>Nonlinear Dynamics</w:t>
      </w:r>
      <w:r w:rsidRPr="00D41FC5">
        <w:t xml:space="preserve"> </w:t>
      </w:r>
      <w:r w:rsidRPr="00D41FC5">
        <w:rPr>
          <w:b/>
          <w:bCs/>
        </w:rPr>
        <w:t>99</w:t>
      </w:r>
      <w:r w:rsidRPr="00D41FC5">
        <w:t xml:space="preserve"> 1525–37</w:t>
      </w:r>
    </w:p>
    <w:p w14:paraId="6C68236B" w14:textId="77777777" w:rsidR="005018BB" w:rsidRPr="00D41FC5" w:rsidRDefault="005018BB" w:rsidP="005018BB">
      <w:pPr>
        <w:pStyle w:val="Bibliography"/>
      </w:pPr>
      <w:r w:rsidRPr="00D41FC5">
        <w:t>[20]</w:t>
      </w:r>
      <w:r w:rsidRPr="00D41FC5">
        <w:tab/>
        <w:t xml:space="preserve"> Fan K-Q, Xu C-H, Wang W-D and Fang Y 2014 Broadband energy harvesting via magnetic coupling between two movable magnets </w:t>
      </w:r>
      <w:r w:rsidRPr="00D41FC5">
        <w:rPr>
          <w:i/>
          <w:iCs/>
        </w:rPr>
        <w:t>Chinese Physics B</w:t>
      </w:r>
      <w:r w:rsidRPr="00D41FC5">
        <w:t xml:space="preserve"> </w:t>
      </w:r>
      <w:r w:rsidRPr="00D41FC5">
        <w:rPr>
          <w:b/>
          <w:bCs/>
        </w:rPr>
        <w:t>23</w:t>
      </w:r>
      <w:r w:rsidRPr="00D41FC5">
        <w:t xml:space="preserve"> 084501</w:t>
      </w:r>
    </w:p>
    <w:p w14:paraId="7223A9BE" w14:textId="77777777" w:rsidR="005018BB" w:rsidRPr="00D41FC5" w:rsidRDefault="005018BB" w:rsidP="005018BB">
      <w:pPr>
        <w:pStyle w:val="Bibliography"/>
      </w:pPr>
      <w:r w:rsidRPr="00D41FC5">
        <w:t>[21]</w:t>
      </w:r>
      <w:r w:rsidRPr="00D41FC5">
        <w:tab/>
        <w:t xml:space="preserve"> Beeby S P, Torah R N, Tudor M J, Glynne-Jones P, O’Donnell T, Saha C R and Roy S 2007 A micro electromagnetic generator for vibration energy harvesting </w:t>
      </w:r>
      <w:r w:rsidRPr="00D41FC5">
        <w:rPr>
          <w:i/>
          <w:iCs/>
        </w:rPr>
        <w:t>Journal of Micromechanics and Microengineering</w:t>
      </w:r>
      <w:r w:rsidRPr="00D41FC5">
        <w:t xml:space="preserve"> </w:t>
      </w:r>
      <w:r w:rsidRPr="00D41FC5">
        <w:rPr>
          <w:b/>
          <w:bCs/>
        </w:rPr>
        <w:t>17</w:t>
      </w:r>
      <w:r w:rsidRPr="00D41FC5">
        <w:t xml:space="preserve"> 1257–65</w:t>
      </w:r>
    </w:p>
    <w:p w14:paraId="5D33D130" w14:textId="77777777" w:rsidR="005018BB" w:rsidRPr="00D41FC5" w:rsidRDefault="005018BB" w:rsidP="005018BB">
      <w:pPr>
        <w:pStyle w:val="Bibliography"/>
      </w:pPr>
      <w:r w:rsidRPr="00D41FC5">
        <w:t>[22]</w:t>
      </w:r>
      <w:r w:rsidRPr="00D41FC5">
        <w:tab/>
        <w:t xml:space="preserve"> Zhang L B, Dai H L, Abdelkefi A, Lin S X and Wang L 2019 Theoretical modeling, wind tunnel measurements, and realistic environment testing of galloping-based electromagnetic energy harvesters </w:t>
      </w:r>
      <w:r w:rsidRPr="00D41FC5">
        <w:rPr>
          <w:i/>
          <w:iCs/>
        </w:rPr>
        <w:t>Applied Energy</w:t>
      </w:r>
      <w:r w:rsidRPr="00D41FC5">
        <w:t xml:space="preserve"> </w:t>
      </w:r>
      <w:r w:rsidRPr="00D41FC5">
        <w:rPr>
          <w:b/>
          <w:bCs/>
        </w:rPr>
        <w:t>254</w:t>
      </w:r>
      <w:r w:rsidRPr="00D41FC5">
        <w:t xml:space="preserve"> 113737</w:t>
      </w:r>
    </w:p>
    <w:p w14:paraId="27ECFF52" w14:textId="77777777" w:rsidR="005018BB" w:rsidRPr="00D41FC5" w:rsidRDefault="005018BB" w:rsidP="005018BB">
      <w:pPr>
        <w:pStyle w:val="Bibliography"/>
      </w:pPr>
      <w:r w:rsidRPr="00D41FC5">
        <w:t>[23]</w:t>
      </w:r>
      <w:r w:rsidRPr="00D41FC5">
        <w:tab/>
        <w:t xml:space="preserve"> Xie L and Du R 2014 Frequency tuning of a nonlinear electromagnetic energy harvester </w:t>
      </w:r>
      <w:r w:rsidRPr="00D41FC5">
        <w:rPr>
          <w:i/>
          <w:iCs/>
        </w:rPr>
        <w:t>Journal of Vibration and Acoustics</w:t>
      </w:r>
      <w:r w:rsidRPr="00D41FC5">
        <w:t xml:space="preserve"> </w:t>
      </w:r>
      <w:r w:rsidRPr="00D41FC5">
        <w:rPr>
          <w:b/>
          <w:bCs/>
        </w:rPr>
        <w:t>136</w:t>
      </w:r>
    </w:p>
    <w:p w14:paraId="4A0BC14F" w14:textId="77777777" w:rsidR="005018BB" w:rsidRPr="00D41FC5" w:rsidRDefault="005018BB" w:rsidP="005018BB">
      <w:pPr>
        <w:pStyle w:val="Bibliography"/>
      </w:pPr>
      <w:r w:rsidRPr="00D41FC5">
        <w:t>[24]</w:t>
      </w:r>
      <w:r w:rsidRPr="00D41FC5">
        <w:tab/>
        <w:t xml:space="preserve"> Kucab K, Górski G and Mizia J 2015 Energy harvesting in the nonlinear electromagnetic system </w:t>
      </w:r>
      <w:r w:rsidRPr="00D41FC5">
        <w:rPr>
          <w:i/>
          <w:iCs/>
        </w:rPr>
        <w:t>The European Physical Journal Special Topics</w:t>
      </w:r>
      <w:r w:rsidRPr="00D41FC5">
        <w:t xml:space="preserve"> </w:t>
      </w:r>
      <w:r w:rsidRPr="00D41FC5">
        <w:rPr>
          <w:b/>
          <w:bCs/>
        </w:rPr>
        <w:t>224</w:t>
      </w:r>
      <w:r w:rsidRPr="00D41FC5">
        <w:t xml:space="preserve"> 2909–2918</w:t>
      </w:r>
    </w:p>
    <w:p w14:paraId="4003C958" w14:textId="77777777" w:rsidR="005018BB" w:rsidRPr="00D41FC5" w:rsidRDefault="005018BB" w:rsidP="005018BB">
      <w:pPr>
        <w:pStyle w:val="Bibliography"/>
      </w:pPr>
      <w:r w:rsidRPr="00D41FC5">
        <w:t>[25]</w:t>
      </w:r>
      <w:r w:rsidRPr="00D41FC5">
        <w:tab/>
        <w:t xml:space="preserve"> Fan K, Tan Q, Liu H, Zhu Y, Wang W and Zhang D 2018 Hybrid piezoelectric-electromagnetic energy harvester for scavenging energy from low-frequency excitations </w:t>
      </w:r>
      <w:r w:rsidRPr="00D41FC5">
        <w:rPr>
          <w:i/>
          <w:iCs/>
        </w:rPr>
        <w:t>Smart Materials and Structures</w:t>
      </w:r>
      <w:r w:rsidRPr="00D41FC5">
        <w:t xml:space="preserve"> </w:t>
      </w:r>
      <w:r w:rsidRPr="00D41FC5">
        <w:rPr>
          <w:b/>
          <w:bCs/>
        </w:rPr>
        <w:t>27</w:t>
      </w:r>
      <w:r w:rsidRPr="00D41FC5">
        <w:t xml:space="preserve"> 085001</w:t>
      </w:r>
    </w:p>
    <w:p w14:paraId="6C50000B" w14:textId="77777777" w:rsidR="005018BB" w:rsidRPr="00D41FC5" w:rsidRDefault="005018BB" w:rsidP="005018BB">
      <w:pPr>
        <w:pStyle w:val="Bibliography"/>
      </w:pPr>
      <w:r w:rsidRPr="00D41FC5">
        <w:t>[26]</w:t>
      </w:r>
      <w:r w:rsidRPr="00D41FC5">
        <w:tab/>
        <w:t xml:space="preserve"> Javed U and Abdelkefi A 2019 Characteristics and comparative analysis of piezoelectric-electromagnetic energy harvesters from vortex-induced oscillations </w:t>
      </w:r>
      <w:r w:rsidRPr="00D41FC5">
        <w:rPr>
          <w:i/>
          <w:iCs/>
        </w:rPr>
        <w:t>Nonlinear Dynamics</w:t>
      </w:r>
      <w:r w:rsidRPr="00D41FC5">
        <w:t xml:space="preserve"> </w:t>
      </w:r>
      <w:r w:rsidRPr="00D41FC5">
        <w:rPr>
          <w:b/>
          <w:bCs/>
        </w:rPr>
        <w:t>95</w:t>
      </w:r>
      <w:r w:rsidRPr="00D41FC5">
        <w:t xml:space="preserve"> 3309–33</w:t>
      </w:r>
    </w:p>
    <w:p w14:paraId="541EA659" w14:textId="77777777" w:rsidR="005018BB" w:rsidRPr="00D41FC5" w:rsidRDefault="005018BB" w:rsidP="005018BB">
      <w:pPr>
        <w:pStyle w:val="Bibliography"/>
      </w:pPr>
      <w:r w:rsidRPr="00D41FC5">
        <w:t>[27]</w:t>
      </w:r>
      <w:r w:rsidRPr="00D41FC5">
        <w:tab/>
        <w:t xml:space="preserve"> Fan K, Liu S, Liu H, Zhu Y, Wang W and Zhang D 2018 Scavenging energy from ultra-low frequency mechanical excitations through a bi-directional hybrid energy harvester </w:t>
      </w:r>
      <w:r w:rsidRPr="00D41FC5">
        <w:rPr>
          <w:i/>
          <w:iCs/>
        </w:rPr>
        <w:t>Applied Energy</w:t>
      </w:r>
      <w:r w:rsidRPr="00D41FC5">
        <w:t xml:space="preserve"> </w:t>
      </w:r>
      <w:r w:rsidRPr="00D41FC5">
        <w:rPr>
          <w:b/>
          <w:bCs/>
        </w:rPr>
        <w:t>216</w:t>
      </w:r>
      <w:r w:rsidRPr="00D41FC5">
        <w:t xml:space="preserve"> 8–20</w:t>
      </w:r>
    </w:p>
    <w:p w14:paraId="36E08404" w14:textId="77777777" w:rsidR="005018BB" w:rsidRPr="00D41FC5" w:rsidRDefault="005018BB" w:rsidP="005018BB">
      <w:pPr>
        <w:pStyle w:val="Bibliography"/>
      </w:pPr>
      <w:r w:rsidRPr="00D41FC5">
        <w:t>[28]</w:t>
      </w:r>
      <w:r w:rsidRPr="00D41FC5">
        <w:tab/>
        <w:t xml:space="preserve"> Gao M, Cong J, Xiao J, He Q, Li S, Wang Y, Yao Y, Chen R and Wang P 2020 Dynamic modeling and experimental investigation of self-powered </w:t>
      </w:r>
      <w:r w:rsidRPr="00D41FC5">
        <w:lastRenderedPageBreak/>
        <w:t xml:space="preserve">sensor nodes for freight rail transport </w:t>
      </w:r>
      <w:r w:rsidRPr="00D41FC5">
        <w:rPr>
          <w:i/>
          <w:iCs/>
        </w:rPr>
        <w:t>Applied Energy</w:t>
      </w:r>
      <w:r w:rsidRPr="00D41FC5">
        <w:t xml:space="preserve"> </w:t>
      </w:r>
      <w:r w:rsidRPr="00D41FC5">
        <w:rPr>
          <w:b/>
          <w:bCs/>
        </w:rPr>
        <w:t>257</w:t>
      </w:r>
      <w:r w:rsidRPr="00D41FC5">
        <w:t xml:space="preserve"> 113969</w:t>
      </w:r>
    </w:p>
    <w:p w14:paraId="5E356591" w14:textId="77777777" w:rsidR="005018BB" w:rsidRPr="00D41FC5" w:rsidRDefault="005018BB" w:rsidP="005018BB">
      <w:pPr>
        <w:pStyle w:val="Bibliography"/>
      </w:pPr>
      <w:r w:rsidRPr="00D41FC5">
        <w:t>[29]</w:t>
      </w:r>
      <w:r w:rsidRPr="00D41FC5">
        <w:tab/>
        <w:t xml:space="preserve"> Bizon N, Tabatabaei N M, Blaabjerg F and Kurt E 2017 </w:t>
      </w:r>
      <w:r w:rsidRPr="00D41FC5">
        <w:rPr>
          <w:i/>
          <w:iCs/>
        </w:rPr>
        <w:t>Energy harvesting and energy efficiency</w:t>
      </w:r>
      <w:r w:rsidRPr="00D41FC5">
        <w:t xml:space="preserve"> (Springer)</w:t>
      </w:r>
    </w:p>
    <w:p w14:paraId="41865CE5" w14:textId="77777777" w:rsidR="005018BB" w:rsidRPr="00D41FC5" w:rsidRDefault="005018BB" w:rsidP="005018BB">
      <w:pPr>
        <w:pStyle w:val="Bibliography"/>
      </w:pPr>
      <w:r w:rsidRPr="00D41FC5">
        <w:t>[30]</w:t>
      </w:r>
      <w:r w:rsidRPr="00D41FC5">
        <w:tab/>
        <w:t xml:space="preserve"> Zhu D, Tudor M J and Beeby S P 2009 Strategies for increasing the operating frequency range of vibration energy harvesters: a review </w:t>
      </w:r>
      <w:r w:rsidRPr="00D41FC5">
        <w:rPr>
          <w:i/>
          <w:iCs/>
        </w:rPr>
        <w:t>Measurement Science and Technology</w:t>
      </w:r>
      <w:r w:rsidRPr="00D41FC5">
        <w:t xml:space="preserve"> </w:t>
      </w:r>
      <w:r w:rsidRPr="00D41FC5">
        <w:rPr>
          <w:b/>
          <w:bCs/>
        </w:rPr>
        <w:t>21</w:t>
      </w:r>
      <w:r w:rsidRPr="00D41FC5">
        <w:t xml:space="preserve"> 022001</w:t>
      </w:r>
    </w:p>
    <w:p w14:paraId="5AA68246" w14:textId="77777777" w:rsidR="005018BB" w:rsidRPr="00D41FC5" w:rsidRDefault="005018BB" w:rsidP="005018BB">
      <w:pPr>
        <w:pStyle w:val="Bibliography"/>
      </w:pPr>
      <w:r w:rsidRPr="00D41FC5">
        <w:t>[31]</w:t>
      </w:r>
      <w:r w:rsidRPr="00D41FC5">
        <w:tab/>
        <w:t xml:space="preserve"> Ramlan R, Brennan M J, Mace B R and Kovacic I 2010 Potential benefits of a non-linear stiffness in an energy harvesting device </w:t>
      </w:r>
      <w:r w:rsidRPr="00D41FC5">
        <w:rPr>
          <w:i/>
          <w:iCs/>
        </w:rPr>
        <w:t>Nonlinear Dynamics</w:t>
      </w:r>
      <w:r w:rsidRPr="00D41FC5">
        <w:t xml:space="preserve"> </w:t>
      </w:r>
      <w:r w:rsidRPr="00D41FC5">
        <w:rPr>
          <w:b/>
          <w:bCs/>
        </w:rPr>
        <w:t>59</w:t>
      </w:r>
      <w:r w:rsidRPr="00D41FC5">
        <w:t xml:space="preserve"> 545–58</w:t>
      </w:r>
    </w:p>
    <w:p w14:paraId="40E0A367" w14:textId="77777777" w:rsidR="005018BB" w:rsidRPr="00D41FC5" w:rsidRDefault="005018BB" w:rsidP="005018BB">
      <w:pPr>
        <w:pStyle w:val="Bibliography"/>
      </w:pPr>
      <w:r w:rsidRPr="00D41FC5">
        <w:t>[32]</w:t>
      </w:r>
      <w:r w:rsidRPr="00D41FC5">
        <w:tab/>
        <w:t xml:space="preserve"> Kumar R, Gupta S and Ali S F 2019 Energy harvesting from chaos in base excited double pendulum </w:t>
      </w:r>
      <w:r w:rsidRPr="00D41FC5">
        <w:rPr>
          <w:i/>
          <w:iCs/>
        </w:rPr>
        <w:t>Mechanical Systems and Signal Processing</w:t>
      </w:r>
      <w:r w:rsidRPr="00D41FC5">
        <w:t xml:space="preserve"> </w:t>
      </w:r>
      <w:r w:rsidRPr="00D41FC5">
        <w:rPr>
          <w:b/>
          <w:bCs/>
        </w:rPr>
        <w:t>124</w:t>
      </w:r>
      <w:r w:rsidRPr="00D41FC5">
        <w:t xml:space="preserve"> 49–64</w:t>
      </w:r>
    </w:p>
    <w:p w14:paraId="04E97672" w14:textId="77777777" w:rsidR="005018BB" w:rsidRPr="00D41FC5" w:rsidRDefault="005018BB" w:rsidP="005018BB">
      <w:pPr>
        <w:pStyle w:val="Bibliography"/>
      </w:pPr>
      <w:r w:rsidRPr="00D41FC5">
        <w:t>[33]</w:t>
      </w:r>
      <w:r w:rsidRPr="00D41FC5">
        <w:tab/>
        <w:t xml:space="preserve"> Castagnetti D and Dallari F 2017 Design and experimental assessment of an electromagnetic energy harvester based on slotted disc springs </w:t>
      </w:r>
      <w:r w:rsidRPr="00D41FC5">
        <w:rPr>
          <w:i/>
          <w:iCs/>
        </w:rPr>
        <w:t>Proceedings of the Institution of Mechanical Engineers, Part L: Journal of Materials: Design and Applications</w:t>
      </w:r>
      <w:r w:rsidRPr="00D41FC5">
        <w:t xml:space="preserve"> </w:t>
      </w:r>
      <w:r w:rsidRPr="00D41FC5">
        <w:rPr>
          <w:b/>
          <w:bCs/>
        </w:rPr>
        <w:t>231</w:t>
      </w:r>
      <w:r w:rsidRPr="00D41FC5">
        <w:t xml:space="preserve"> 89–99</w:t>
      </w:r>
    </w:p>
    <w:p w14:paraId="0B71A698" w14:textId="77777777" w:rsidR="005018BB" w:rsidRPr="00D41FC5" w:rsidRDefault="005018BB" w:rsidP="005018BB">
      <w:pPr>
        <w:pStyle w:val="Bibliography"/>
      </w:pPr>
      <w:r w:rsidRPr="00D41FC5">
        <w:t>[34]</w:t>
      </w:r>
      <w:r w:rsidRPr="00D41FC5">
        <w:tab/>
        <w:t xml:space="preserve"> E. Bonisoli, A. Canova, F. Freschi, S. Moos, M. Repetto and S. Tornincasa 2010 Dynamic Simulation of an Electromechanical Energy Scavenging Device </w:t>
      </w:r>
      <w:r w:rsidRPr="00D41FC5">
        <w:rPr>
          <w:i/>
          <w:iCs/>
        </w:rPr>
        <w:t>IEEE Transactions on Magnetics</w:t>
      </w:r>
      <w:r w:rsidRPr="00D41FC5">
        <w:t xml:space="preserve"> </w:t>
      </w:r>
      <w:r w:rsidRPr="00D41FC5">
        <w:rPr>
          <w:b/>
          <w:bCs/>
        </w:rPr>
        <w:t>46</w:t>
      </w:r>
      <w:r w:rsidRPr="00D41FC5">
        <w:t xml:space="preserve"> 2856–9</w:t>
      </w:r>
    </w:p>
    <w:p w14:paraId="2210CB05" w14:textId="77777777" w:rsidR="005018BB" w:rsidRPr="00D41FC5" w:rsidRDefault="005018BB" w:rsidP="005018BB">
      <w:pPr>
        <w:pStyle w:val="Bibliography"/>
      </w:pPr>
      <w:r w:rsidRPr="00D41FC5">
        <w:t>[35]</w:t>
      </w:r>
      <w:r w:rsidRPr="00D41FC5">
        <w:tab/>
        <w:t xml:space="preserve"> Gao M, Wang Y, Wang Y and Wang P 2018 Experimental investigation of non-linear multi-stable electromagnetic-induction energy harvesting mechanism by magnetic levitation oscillation </w:t>
      </w:r>
      <w:r w:rsidRPr="00D41FC5">
        <w:rPr>
          <w:i/>
          <w:iCs/>
        </w:rPr>
        <w:t>Applied Energy</w:t>
      </w:r>
      <w:r w:rsidRPr="00D41FC5">
        <w:t xml:space="preserve"> </w:t>
      </w:r>
      <w:r w:rsidRPr="00D41FC5">
        <w:rPr>
          <w:b/>
          <w:bCs/>
        </w:rPr>
        <w:t>220</w:t>
      </w:r>
      <w:r w:rsidRPr="00D41FC5">
        <w:t xml:space="preserve"> 856–75</w:t>
      </w:r>
    </w:p>
    <w:p w14:paraId="79494253" w14:textId="77777777" w:rsidR="005018BB" w:rsidRPr="00D41FC5" w:rsidRDefault="005018BB" w:rsidP="005018BB">
      <w:pPr>
        <w:pStyle w:val="Bibliography"/>
      </w:pPr>
      <w:r w:rsidRPr="00D41FC5">
        <w:t>[36]</w:t>
      </w:r>
      <w:r w:rsidRPr="00D41FC5">
        <w:tab/>
        <w:t xml:space="preserve"> Barton D A W, Burrow S G and Clare L R 2009 Energy Harvesting From Vibrations With a Nonlinear Oscillator </w:t>
      </w:r>
      <w:r w:rsidRPr="00D41FC5">
        <w:rPr>
          <w:i/>
          <w:iCs/>
        </w:rPr>
        <w:t>IDETC-CIE2009</w:t>
      </w:r>
      <w:r w:rsidRPr="00D41FC5">
        <w:t xml:space="preserve"> (Volume 1: 22nd Biennial Conference on Mechanical Vibration and Noise, Parts A and B) pp 427–36</w:t>
      </w:r>
    </w:p>
    <w:p w14:paraId="0A825D3F" w14:textId="77777777" w:rsidR="005018BB" w:rsidRPr="00D41FC5" w:rsidRDefault="005018BB" w:rsidP="005018BB">
      <w:pPr>
        <w:pStyle w:val="Bibliography"/>
      </w:pPr>
      <w:r w:rsidRPr="00D41FC5">
        <w:t>[37]</w:t>
      </w:r>
      <w:r w:rsidRPr="00D41FC5">
        <w:tab/>
        <w:t xml:space="preserve"> Malaji P and Ali S 2015 Analysis of energy harvesting from multiple pendulums with and </w:t>
      </w:r>
      <w:r w:rsidRPr="00D41FC5">
        <w:t xml:space="preserve">without mechanical coupling </w:t>
      </w:r>
      <w:r w:rsidRPr="00D41FC5">
        <w:rPr>
          <w:i/>
          <w:iCs/>
        </w:rPr>
        <w:t>The European Physical Journal Special Topics</w:t>
      </w:r>
      <w:r w:rsidRPr="00D41FC5">
        <w:t xml:space="preserve"> </w:t>
      </w:r>
      <w:r w:rsidRPr="00D41FC5">
        <w:rPr>
          <w:b/>
          <w:bCs/>
        </w:rPr>
        <w:t>224</w:t>
      </w:r>
      <w:r w:rsidRPr="00D41FC5">
        <w:t xml:space="preserve"> 2823–2838</w:t>
      </w:r>
    </w:p>
    <w:p w14:paraId="463FED5D" w14:textId="77777777" w:rsidR="005018BB" w:rsidRPr="00D41FC5" w:rsidRDefault="005018BB" w:rsidP="005018BB">
      <w:pPr>
        <w:pStyle w:val="Bibliography"/>
      </w:pPr>
      <w:r w:rsidRPr="00D41FC5">
        <w:t>[38]</w:t>
      </w:r>
      <w:r w:rsidRPr="00D41FC5">
        <w:tab/>
        <w:t xml:space="preserve"> Marszal M, Witkowski B, Jankowski K, Perlikowski P and Kapitaniak T 2017 Energy harvesting from pendulum oscillations </w:t>
      </w:r>
      <w:r w:rsidRPr="00D41FC5">
        <w:rPr>
          <w:i/>
          <w:iCs/>
        </w:rPr>
        <w:t>International Journal of Non-Linear Mechanics</w:t>
      </w:r>
      <w:r w:rsidRPr="00D41FC5">
        <w:t xml:space="preserve"> </w:t>
      </w:r>
      <w:r w:rsidRPr="00D41FC5">
        <w:rPr>
          <w:b/>
          <w:bCs/>
        </w:rPr>
        <w:t>94</w:t>
      </w:r>
      <w:r w:rsidRPr="00D41FC5">
        <w:t xml:space="preserve"> 251–6</w:t>
      </w:r>
    </w:p>
    <w:p w14:paraId="1D81DA76" w14:textId="77777777" w:rsidR="005018BB" w:rsidRPr="00D41FC5" w:rsidRDefault="005018BB" w:rsidP="005018BB">
      <w:pPr>
        <w:pStyle w:val="Bibliography"/>
      </w:pPr>
      <w:r w:rsidRPr="00D41FC5">
        <w:t>[39]</w:t>
      </w:r>
      <w:r w:rsidRPr="00D41FC5">
        <w:tab/>
        <w:t xml:space="preserve"> Yang K, Wang J and Yurchenko D 2019 A double-beam piezo-magneto-elastic wind energy harvester for improving the galloping-based energy harvesting </w:t>
      </w:r>
      <w:r w:rsidRPr="00D41FC5">
        <w:rPr>
          <w:i/>
          <w:iCs/>
        </w:rPr>
        <w:t>Applied Physics Letters</w:t>
      </w:r>
      <w:r w:rsidRPr="00D41FC5">
        <w:t xml:space="preserve"> </w:t>
      </w:r>
      <w:r w:rsidRPr="00D41FC5">
        <w:rPr>
          <w:b/>
          <w:bCs/>
        </w:rPr>
        <w:t>115</w:t>
      </w:r>
      <w:r w:rsidRPr="00D41FC5">
        <w:t xml:space="preserve"> 193901</w:t>
      </w:r>
    </w:p>
    <w:p w14:paraId="19A693E5" w14:textId="77777777" w:rsidR="005018BB" w:rsidRPr="00D41FC5" w:rsidRDefault="005018BB" w:rsidP="005018BB">
      <w:pPr>
        <w:pStyle w:val="Bibliography"/>
      </w:pPr>
      <w:r w:rsidRPr="00D41FC5">
        <w:t>[40]</w:t>
      </w:r>
      <w:r w:rsidRPr="00D41FC5">
        <w:tab/>
        <w:t xml:space="preserve"> Han N and Cao Q 2017 A parametrically excited pendulum with irrational nonlinearity </w:t>
      </w:r>
      <w:r w:rsidRPr="00D41FC5">
        <w:rPr>
          <w:i/>
          <w:iCs/>
        </w:rPr>
        <w:t>International Journal of Non-Linear Mechanics</w:t>
      </w:r>
      <w:r w:rsidRPr="00D41FC5">
        <w:t xml:space="preserve"> </w:t>
      </w:r>
      <w:r w:rsidRPr="00D41FC5">
        <w:rPr>
          <w:b/>
          <w:bCs/>
        </w:rPr>
        <w:t>88</w:t>
      </w:r>
      <w:r w:rsidRPr="00D41FC5">
        <w:t xml:space="preserve"> 122–34</w:t>
      </w:r>
    </w:p>
    <w:p w14:paraId="2684866B" w14:textId="77777777" w:rsidR="005018BB" w:rsidRPr="00D41FC5" w:rsidRDefault="005018BB" w:rsidP="005018BB">
      <w:pPr>
        <w:pStyle w:val="Bibliography"/>
      </w:pPr>
      <w:r w:rsidRPr="00D41FC5">
        <w:t>[41]</w:t>
      </w:r>
      <w:r w:rsidRPr="00D41FC5">
        <w:tab/>
        <w:t xml:space="preserve"> Fu H and Yeatman E M 2019 Rotational energy harvesting using bi-stability and frequency up-conversion for low-power sensing applications: Theoretical modelling and experimental validation </w:t>
      </w:r>
      <w:r w:rsidRPr="00D41FC5">
        <w:rPr>
          <w:i/>
          <w:iCs/>
        </w:rPr>
        <w:t>Mechanical Systems and Signal Processing</w:t>
      </w:r>
      <w:r w:rsidRPr="00D41FC5">
        <w:t xml:space="preserve"> </w:t>
      </w:r>
      <w:r w:rsidRPr="00D41FC5">
        <w:rPr>
          <w:b/>
          <w:bCs/>
        </w:rPr>
        <w:t>125</w:t>
      </w:r>
      <w:r w:rsidRPr="00D41FC5">
        <w:t xml:space="preserve"> 229–44</w:t>
      </w:r>
    </w:p>
    <w:p w14:paraId="452582A0" w14:textId="77777777" w:rsidR="005018BB" w:rsidRPr="00D41FC5" w:rsidRDefault="005018BB" w:rsidP="005018BB">
      <w:pPr>
        <w:pStyle w:val="Bibliography"/>
      </w:pPr>
      <w:r w:rsidRPr="00D41FC5">
        <w:t>[42]</w:t>
      </w:r>
      <w:r w:rsidRPr="00D41FC5">
        <w:tab/>
        <w:t xml:space="preserve"> Cao J, Wang W, Zhou S, Inman D J and Lin J 2015 Nonlinear time-varying potential bistable energy harvesting from human motion </w:t>
      </w:r>
      <w:r w:rsidRPr="00D41FC5">
        <w:rPr>
          <w:i/>
          <w:iCs/>
        </w:rPr>
        <w:t>Appl. Phys. Lett.</w:t>
      </w:r>
      <w:r w:rsidRPr="00D41FC5">
        <w:t xml:space="preserve"> </w:t>
      </w:r>
      <w:r w:rsidRPr="00D41FC5">
        <w:rPr>
          <w:b/>
          <w:bCs/>
        </w:rPr>
        <w:t>107</w:t>
      </w:r>
      <w:r w:rsidRPr="00D41FC5">
        <w:t xml:space="preserve"> 143904</w:t>
      </w:r>
    </w:p>
    <w:p w14:paraId="4B11001A" w14:textId="77777777" w:rsidR="005018BB" w:rsidRPr="00D41FC5" w:rsidRDefault="005018BB" w:rsidP="005018BB">
      <w:pPr>
        <w:pStyle w:val="Bibliography"/>
      </w:pPr>
      <w:r w:rsidRPr="00D41FC5">
        <w:t>[43]</w:t>
      </w:r>
      <w:r w:rsidRPr="00D41FC5">
        <w:tab/>
        <w:t xml:space="preserve"> Kim J, Dorin P and Wang K W 2020 Vibration energy harvesting enhancement exploiting magnetically coupled bistable and linear harvesters </w:t>
      </w:r>
      <w:r w:rsidRPr="00D41FC5">
        <w:rPr>
          <w:i/>
          <w:iCs/>
        </w:rPr>
        <w:t>Smart Materials and Structures</w:t>
      </w:r>
      <w:r w:rsidRPr="00D41FC5">
        <w:t xml:space="preserve"> </w:t>
      </w:r>
      <w:r w:rsidRPr="00D41FC5">
        <w:rPr>
          <w:b/>
          <w:bCs/>
        </w:rPr>
        <w:t>29</w:t>
      </w:r>
      <w:r w:rsidRPr="00D41FC5">
        <w:t xml:space="preserve"> 065006</w:t>
      </w:r>
    </w:p>
    <w:p w14:paraId="663DC653" w14:textId="77777777" w:rsidR="005018BB" w:rsidRPr="00D41FC5" w:rsidRDefault="005018BB" w:rsidP="005018BB">
      <w:pPr>
        <w:pStyle w:val="Bibliography"/>
      </w:pPr>
      <w:r w:rsidRPr="00D41FC5">
        <w:t>[44]</w:t>
      </w:r>
      <w:r w:rsidRPr="00D41FC5">
        <w:tab/>
        <w:t xml:space="preserve"> Cho J Y, Jeong S, Jabbar H, Song Y, Ahn J H, Kim J H, Jung H J, Yoo H H and Sung T H 2016 Piezoelectric energy harvesting system with magnetic pendulum movement for self-powered safety sensor of trains </w:t>
      </w:r>
      <w:r w:rsidRPr="00D41FC5">
        <w:rPr>
          <w:i/>
          <w:iCs/>
        </w:rPr>
        <w:t>Sensors and Actuators A: Physical</w:t>
      </w:r>
      <w:r w:rsidRPr="00D41FC5">
        <w:t xml:space="preserve"> </w:t>
      </w:r>
      <w:r w:rsidRPr="00D41FC5">
        <w:rPr>
          <w:b/>
          <w:bCs/>
        </w:rPr>
        <w:t>250</w:t>
      </w:r>
      <w:r w:rsidRPr="00D41FC5">
        <w:t xml:space="preserve"> 210–218</w:t>
      </w:r>
    </w:p>
    <w:p w14:paraId="6AEE5908" w14:textId="77777777" w:rsidR="005018BB" w:rsidRPr="00D41FC5" w:rsidRDefault="005018BB" w:rsidP="005018BB">
      <w:pPr>
        <w:pStyle w:val="Bibliography"/>
      </w:pPr>
      <w:r w:rsidRPr="00D41FC5">
        <w:t>[45]</w:t>
      </w:r>
      <w:r w:rsidRPr="00D41FC5">
        <w:tab/>
        <w:t xml:space="preserve"> Gassner A-L, Abonnenc M, Chen H-X, Morandini J, Josserand J, Rossier J S, Busnel J-M and Girault H H 2009 Magnetic forces produced by rectangular permanent magnets in static microsystems </w:t>
      </w:r>
      <w:r w:rsidRPr="00D41FC5">
        <w:rPr>
          <w:i/>
          <w:iCs/>
        </w:rPr>
        <w:t>Lab on a Chip</w:t>
      </w:r>
      <w:r w:rsidRPr="00D41FC5">
        <w:t xml:space="preserve"> </w:t>
      </w:r>
      <w:r w:rsidRPr="00D41FC5">
        <w:rPr>
          <w:b/>
          <w:bCs/>
        </w:rPr>
        <w:t>9</w:t>
      </w:r>
      <w:r w:rsidRPr="00D41FC5">
        <w:t xml:space="preserve"> 2356–2363</w:t>
      </w:r>
    </w:p>
    <w:p w14:paraId="54DA83E9" w14:textId="77777777" w:rsidR="005018BB" w:rsidRPr="00D41FC5" w:rsidRDefault="005018BB" w:rsidP="005018BB">
      <w:pPr>
        <w:pStyle w:val="Bibliography"/>
      </w:pPr>
      <w:r w:rsidRPr="00D41FC5">
        <w:lastRenderedPageBreak/>
        <w:t>[46]</w:t>
      </w:r>
      <w:r w:rsidRPr="00D41FC5">
        <w:tab/>
        <w:t xml:space="preserve"> Defrancesco S and Zanetti V 1983 Experiments on magnetic repulsion </w:t>
      </w:r>
      <w:r w:rsidRPr="00D41FC5">
        <w:rPr>
          <w:i/>
          <w:iCs/>
        </w:rPr>
        <w:t>American Journal of Physics</w:t>
      </w:r>
      <w:r w:rsidRPr="00D41FC5">
        <w:t xml:space="preserve"> </w:t>
      </w:r>
      <w:r w:rsidRPr="00D41FC5">
        <w:rPr>
          <w:b/>
          <w:bCs/>
        </w:rPr>
        <w:t>51</w:t>
      </w:r>
      <w:r w:rsidRPr="00D41FC5">
        <w:t xml:space="preserve"> 1023–1025</w:t>
      </w:r>
    </w:p>
    <w:p w14:paraId="5E037329" w14:textId="77777777" w:rsidR="005018BB" w:rsidRPr="00D41FC5" w:rsidRDefault="005018BB" w:rsidP="005018BB">
      <w:pPr>
        <w:pStyle w:val="Bibliography"/>
      </w:pPr>
      <w:r w:rsidRPr="00D41FC5">
        <w:t>[47]</w:t>
      </w:r>
      <w:r w:rsidRPr="00D41FC5">
        <w:tab/>
        <w:t xml:space="preserve"> Yung K W, Landecker P B and Villani D D 1998 An analytic solution for the force between two magnetic dipoles </w:t>
      </w:r>
      <w:r w:rsidRPr="00D41FC5">
        <w:rPr>
          <w:i/>
          <w:iCs/>
        </w:rPr>
        <w:t>Physical Separation in Science and Engineering</w:t>
      </w:r>
      <w:r w:rsidRPr="00D41FC5">
        <w:t xml:space="preserve"> </w:t>
      </w:r>
      <w:r w:rsidRPr="00D41FC5">
        <w:rPr>
          <w:b/>
          <w:bCs/>
        </w:rPr>
        <w:t>9</w:t>
      </w:r>
      <w:r w:rsidRPr="00D41FC5">
        <w:t xml:space="preserve"> 39–52</w:t>
      </w:r>
    </w:p>
    <w:p w14:paraId="4565CCDA" w14:textId="77777777" w:rsidR="005018BB" w:rsidRPr="00D41FC5" w:rsidRDefault="005018BB" w:rsidP="005018BB">
      <w:pPr>
        <w:pStyle w:val="Bibliography"/>
      </w:pPr>
      <w:r w:rsidRPr="00D41FC5">
        <w:t>[48]</w:t>
      </w:r>
      <w:r w:rsidRPr="00D41FC5">
        <w:tab/>
        <w:t xml:space="preserve"> Zorbas D 2014 </w:t>
      </w:r>
      <w:r w:rsidRPr="00D41FC5">
        <w:rPr>
          <w:i/>
          <w:iCs/>
        </w:rPr>
        <w:t>Electric Machines: principles, applications, and control schematics</w:t>
      </w:r>
      <w:r w:rsidRPr="00D41FC5">
        <w:t xml:space="preserve"> (Nelson Education)</w:t>
      </w:r>
    </w:p>
    <w:p w14:paraId="6D70A2AE" w14:textId="77777777" w:rsidR="005018BB" w:rsidRPr="00D41FC5" w:rsidRDefault="005018BB" w:rsidP="005018BB">
      <w:pPr>
        <w:pStyle w:val="Bibliography"/>
      </w:pPr>
      <w:r w:rsidRPr="00D41FC5">
        <w:t>[49]</w:t>
      </w:r>
      <w:r w:rsidRPr="00D41FC5">
        <w:tab/>
        <w:t xml:space="preserve"> Simeone L, Tehrani M G and Elliott S 2019 Level-dependent load in a pendulum like energy harvester </w:t>
      </w:r>
      <w:r w:rsidRPr="00D41FC5">
        <w:rPr>
          <w:i/>
          <w:iCs/>
        </w:rPr>
        <w:t>Mechanical Systems and Signal Processing</w:t>
      </w:r>
      <w:r w:rsidRPr="00D41FC5">
        <w:t xml:space="preserve"> </w:t>
      </w:r>
      <w:r w:rsidRPr="00D41FC5">
        <w:rPr>
          <w:b/>
          <w:bCs/>
        </w:rPr>
        <w:t>119</w:t>
      </w:r>
      <w:r w:rsidRPr="00D41FC5">
        <w:t xml:space="preserve"> 244–254</w:t>
      </w:r>
    </w:p>
    <w:p w14:paraId="151DE519" w14:textId="77777777" w:rsidR="005018BB" w:rsidRPr="00D41FC5" w:rsidRDefault="005018BB" w:rsidP="005018BB">
      <w:pPr>
        <w:pStyle w:val="Bibliography"/>
      </w:pPr>
      <w:r w:rsidRPr="00D41FC5">
        <w:t>[50]</w:t>
      </w:r>
      <w:r w:rsidRPr="00D41FC5">
        <w:tab/>
        <w:t xml:space="preserve"> Maharjan P, Bhatta T, Salauddin Rasel M, Salauddin Md, Toyabur Rahman M and Park J Y 2019 High-performance cycloid inspired wearable electromagnetic energy harvester for scavenging human motion energy </w:t>
      </w:r>
      <w:r w:rsidRPr="00D41FC5">
        <w:rPr>
          <w:i/>
          <w:iCs/>
        </w:rPr>
        <w:t>Applied Energy</w:t>
      </w:r>
      <w:r w:rsidRPr="00D41FC5">
        <w:t xml:space="preserve"> </w:t>
      </w:r>
      <w:r w:rsidRPr="00D41FC5">
        <w:rPr>
          <w:b/>
          <w:bCs/>
        </w:rPr>
        <w:t>256</w:t>
      </w:r>
      <w:r w:rsidRPr="00D41FC5">
        <w:t xml:space="preserve"> 113987</w:t>
      </w:r>
    </w:p>
    <w:p w14:paraId="36EABB89" w14:textId="77777777" w:rsidR="005018BB" w:rsidRPr="00D41FC5" w:rsidRDefault="005018BB" w:rsidP="005018BB">
      <w:pPr>
        <w:pStyle w:val="Bibliography"/>
      </w:pPr>
      <w:r w:rsidRPr="00D41FC5">
        <w:t>[51]</w:t>
      </w:r>
      <w:r w:rsidRPr="00D41FC5">
        <w:tab/>
        <w:t xml:space="preserve"> Petzold L 1983 Automatic Selection of Methods for Solving Stiff and Nonstiff Systems of Ordinary Differential Equations </w:t>
      </w:r>
      <w:r w:rsidRPr="00D41FC5">
        <w:rPr>
          <w:i/>
          <w:iCs/>
        </w:rPr>
        <w:t>SIAM J. Sci. and Stat. Comput.</w:t>
      </w:r>
      <w:r w:rsidRPr="00D41FC5">
        <w:t xml:space="preserve"> </w:t>
      </w:r>
      <w:r w:rsidRPr="00D41FC5">
        <w:rPr>
          <w:b/>
          <w:bCs/>
        </w:rPr>
        <w:t>4</w:t>
      </w:r>
      <w:r w:rsidRPr="00D41FC5">
        <w:t xml:space="preserve"> 136–48</w:t>
      </w:r>
    </w:p>
    <w:p w14:paraId="66294D3C" w14:textId="77777777" w:rsidR="005018BB" w:rsidRPr="00D41FC5" w:rsidRDefault="005018BB" w:rsidP="005018BB">
      <w:pPr>
        <w:pStyle w:val="Bibliography"/>
      </w:pPr>
      <w:r w:rsidRPr="00D41FC5">
        <w:t>[52]</w:t>
      </w:r>
      <w:r w:rsidRPr="00D41FC5">
        <w:tab/>
        <w:t xml:space="preserve"> Curtiss C F and Hirschfelder J O 1952 Integration of Stiff Equations </w:t>
      </w:r>
      <w:r w:rsidRPr="00D41FC5">
        <w:rPr>
          <w:i/>
          <w:iCs/>
        </w:rPr>
        <w:t>Proc Natl Acad Sci U S A</w:t>
      </w:r>
      <w:r w:rsidRPr="00D41FC5">
        <w:t xml:space="preserve"> </w:t>
      </w:r>
      <w:r w:rsidRPr="00D41FC5">
        <w:rPr>
          <w:b/>
          <w:bCs/>
        </w:rPr>
        <w:t>38</w:t>
      </w:r>
      <w:r w:rsidRPr="00D41FC5">
        <w:t xml:space="preserve"> 235–43</w:t>
      </w:r>
    </w:p>
    <w:p w14:paraId="5984E82A" w14:textId="77777777" w:rsidR="005018BB" w:rsidRPr="00D41FC5" w:rsidRDefault="005018BB" w:rsidP="005018BB">
      <w:pPr>
        <w:pStyle w:val="Bibliography"/>
      </w:pPr>
      <w:r w:rsidRPr="00D41FC5">
        <w:t>[53]</w:t>
      </w:r>
      <w:r w:rsidRPr="00D41FC5">
        <w:tab/>
        <w:t xml:space="preserve"> Kuang Y and Zhu M 2019 Parametrically excited nonlinear magnetic rolling pendulum for broadband energy harvesting </w:t>
      </w:r>
      <w:r w:rsidRPr="00D41FC5">
        <w:rPr>
          <w:i/>
          <w:iCs/>
        </w:rPr>
        <w:t>Appl. Phys. Lett.</w:t>
      </w:r>
      <w:r w:rsidRPr="00D41FC5">
        <w:t xml:space="preserve"> </w:t>
      </w:r>
      <w:r w:rsidRPr="00D41FC5">
        <w:rPr>
          <w:b/>
          <w:bCs/>
        </w:rPr>
        <w:t>114</w:t>
      </w:r>
      <w:r w:rsidRPr="00D41FC5">
        <w:t xml:space="preserve"> 203903</w:t>
      </w:r>
    </w:p>
    <w:p w14:paraId="5ACB6647" w14:textId="77777777" w:rsidR="005018BB" w:rsidRPr="00D41FC5" w:rsidRDefault="005018BB" w:rsidP="005018BB">
      <w:pPr>
        <w:pStyle w:val="Bibliography"/>
      </w:pPr>
      <w:r w:rsidRPr="00D41FC5">
        <w:t>[54]</w:t>
      </w:r>
      <w:r w:rsidRPr="00D41FC5">
        <w:tab/>
        <w:t xml:space="preserve"> Izadgoshasb I, Lim Y Y, Tang L, Padilla R V, Tang Z S and Sedighi M 2019 Improving efficiency of piezoelectric based energy harvesting from human motions using double pendulum system </w:t>
      </w:r>
      <w:r w:rsidRPr="00D41FC5">
        <w:rPr>
          <w:i/>
          <w:iCs/>
        </w:rPr>
        <w:t>Energy Conversion and Management</w:t>
      </w:r>
      <w:r w:rsidRPr="00D41FC5">
        <w:t xml:space="preserve"> </w:t>
      </w:r>
      <w:r w:rsidRPr="00D41FC5">
        <w:rPr>
          <w:b/>
          <w:bCs/>
        </w:rPr>
        <w:t>184</w:t>
      </w:r>
      <w:r w:rsidRPr="00D41FC5">
        <w:t xml:space="preserve"> 559–70</w:t>
      </w:r>
    </w:p>
    <w:p w14:paraId="481F9586" w14:textId="77777777" w:rsidR="005018BB" w:rsidRPr="00D41FC5" w:rsidRDefault="005018BB" w:rsidP="005018BB">
      <w:pPr>
        <w:pStyle w:val="Bibliography"/>
      </w:pPr>
      <w:r w:rsidRPr="00D41FC5">
        <w:t>[55]</w:t>
      </w:r>
      <w:r w:rsidRPr="00D41FC5">
        <w:tab/>
        <w:t xml:space="preserve"> Malaji P V and Ali S F 2018 Analysis and experiment of magneto-mechanically coupled harvesters </w:t>
      </w:r>
      <w:r w:rsidRPr="00D41FC5">
        <w:rPr>
          <w:i/>
          <w:iCs/>
        </w:rPr>
        <w:t>Mechanical Systems and Signal Processing</w:t>
      </w:r>
      <w:r w:rsidRPr="00D41FC5">
        <w:t xml:space="preserve"> </w:t>
      </w:r>
      <w:r w:rsidRPr="00D41FC5">
        <w:rPr>
          <w:b/>
          <w:bCs/>
        </w:rPr>
        <w:t>108</w:t>
      </w:r>
      <w:r w:rsidRPr="00D41FC5">
        <w:t xml:space="preserve"> 304–16</w:t>
      </w:r>
    </w:p>
    <w:p w14:paraId="58084EF1" w14:textId="45C0E09B" w:rsidR="00A21CD3" w:rsidRPr="00D41FC5" w:rsidRDefault="0033441F" w:rsidP="0033441F">
      <w:pPr>
        <w:pStyle w:val="IOPrefs0"/>
        <w:ind w:left="0" w:firstLine="0"/>
      </w:pPr>
      <w:r w:rsidRPr="00D41FC5">
        <w:fldChar w:fldCharType="end"/>
      </w:r>
      <w:bookmarkStart w:id="54" w:name="_GoBack"/>
      <w:bookmarkEnd w:id="54"/>
    </w:p>
    <w:p w14:paraId="58084EF2" w14:textId="77777777" w:rsidR="005223F4" w:rsidRPr="00D41FC5" w:rsidRDefault="005223F4" w:rsidP="006228A2">
      <w:pPr>
        <w:pStyle w:val="IOPText"/>
        <w:ind w:firstLine="0"/>
        <w:rPr>
          <w:noProof/>
        </w:rPr>
      </w:pPr>
    </w:p>
    <w:sectPr w:rsidR="005223F4" w:rsidRPr="00D41FC5" w:rsidSect="00EC39B6">
      <w:type w:val="continuous"/>
      <w:pgSz w:w="11906" w:h="16838" w:code="9"/>
      <w:pgMar w:top="1418" w:right="907" w:bottom="2041" w:left="907" w:header="709" w:footer="70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E5E6C" w14:textId="77777777" w:rsidR="00C34992" w:rsidRDefault="00C34992" w:rsidP="00927301">
      <w:pPr>
        <w:spacing w:after="0" w:line="240" w:lineRule="auto"/>
      </w:pPr>
      <w:r>
        <w:separator/>
      </w:r>
    </w:p>
  </w:endnote>
  <w:endnote w:type="continuationSeparator" w:id="0">
    <w:p w14:paraId="43292C56" w14:textId="77777777" w:rsidR="00C34992" w:rsidRDefault="00C34992" w:rsidP="0092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16301"/>
      <w:docPartObj>
        <w:docPartGallery w:val="Page Numbers (Bottom of Page)"/>
        <w:docPartUnique/>
      </w:docPartObj>
    </w:sdtPr>
    <w:sdtEndPr>
      <w:rPr>
        <w:noProof/>
      </w:rPr>
    </w:sdtEndPr>
    <w:sdtContent>
      <w:p w14:paraId="58084EFC" w14:textId="35B99047" w:rsidR="00513E81" w:rsidRDefault="00513E81">
        <w:pPr>
          <w:pStyle w:val="Footer"/>
          <w:jc w:val="center"/>
        </w:pP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1755F0">
          <w:rPr>
            <w:noProof/>
            <w:sz w:val="14"/>
            <w:szCs w:val="14"/>
          </w:rPr>
          <w:t>20</w:t>
        </w:r>
        <w:r w:rsidRPr="009536C0">
          <w:rPr>
            <w:noProof/>
            <w:sz w:val="14"/>
            <w:szCs w:val="14"/>
          </w:rPr>
          <w:fldChar w:fldCharType="end"/>
        </w:r>
        <w:r>
          <w:rPr>
            <w:noProof/>
            <w:sz w:val="14"/>
            <w:szCs w:val="14"/>
          </w:rPr>
          <w:ptab w:relativeTo="margin" w:alignment="right" w:leader="none"/>
        </w:r>
      </w:p>
    </w:sdtContent>
  </w:sdt>
  <w:p w14:paraId="58084EFD" w14:textId="77777777" w:rsidR="00513E81" w:rsidRDefault="00513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E8A68" w14:textId="77777777" w:rsidR="00C34992" w:rsidRDefault="00C34992" w:rsidP="00927301">
      <w:pPr>
        <w:spacing w:after="0" w:line="240" w:lineRule="auto"/>
      </w:pPr>
      <w:r>
        <w:separator/>
      </w:r>
    </w:p>
  </w:footnote>
  <w:footnote w:type="continuationSeparator" w:id="0">
    <w:p w14:paraId="7738599E" w14:textId="77777777" w:rsidR="00C34992" w:rsidRDefault="00C34992" w:rsidP="00927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4EFB" w14:textId="455D9B02" w:rsidR="00513E81" w:rsidRPr="001755F0" w:rsidRDefault="00513E81" w:rsidP="00175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B61AF"/>
    <w:multiLevelType w:val="hybridMultilevel"/>
    <w:tmpl w:val="F3407EF8"/>
    <w:lvl w:ilvl="0" w:tplc="65A6E954">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 w15:restartNumberingAfterBreak="0">
    <w:nsid w:val="16D11738"/>
    <w:multiLevelType w:val="hybridMultilevel"/>
    <w:tmpl w:val="44D28544"/>
    <w:lvl w:ilvl="0" w:tplc="4AD8C0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8C655E"/>
    <w:multiLevelType w:val="multilevel"/>
    <w:tmpl w:val="574EE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26F6A3E"/>
    <w:multiLevelType w:val="hybridMultilevel"/>
    <w:tmpl w:val="8B7A629C"/>
    <w:lvl w:ilvl="0" w:tplc="1986B198">
      <w:start w:val="1"/>
      <w:numFmt w:val="decimal"/>
      <w:lvlText w:val="(%1)"/>
      <w:lvlJc w:val="left"/>
      <w:pPr>
        <w:ind w:left="480" w:hanging="435"/>
      </w:pPr>
      <w:rPr>
        <w:rFonts w:hint="default"/>
      </w:rPr>
    </w:lvl>
    <w:lvl w:ilvl="1" w:tplc="04090019" w:tentative="1">
      <w:start w:val="1"/>
      <w:numFmt w:val="lowerLetter"/>
      <w:lvlText w:val="%2)"/>
      <w:lvlJc w:val="left"/>
      <w:pPr>
        <w:ind w:left="885" w:hanging="420"/>
      </w:pPr>
    </w:lvl>
    <w:lvl w:ilvl="2" w:tplc="0409001B" w:tentative="1">
      <w:start w:val="1"/>
      <w:numFmt w:val="lowerRoman"/>
      <w:lvlText w:val="%3."/>
      <w:lvlJc w:val="right"/>
      <w:pPr>
        <w:ind w:left="1305" w:hanging="420"/>
      </w:pPr>
    </w:lvl>
    <w:lvl w:ilvl="3" w:tplc="0409000F" w:tentative="1">
      <w:start w:val="1"/>
      <w:numFmt w:val="decimal"/>
      <w:lvlText w:val="%4."/>
      <w:lvlJc w:val="left"/>
      <w:pPr>
        <w:ind w:left="1725" w:hanging="420"/>
      </w:pPr>
    </w:lvl>
    <w:lvl w:ilvl="4" w:tplc="04090019" w:tentative="1">
      <w:start w:val="1"/>
      <w:numFmt w:val="lowerLetter"/>
      <w:lvlText w:val="%5)"/>
      <w:lvlJc w:val="left"/>
      <w:pPr>
        <w:ind w:left="2145" w:hanging="420"/>
      </w:pPr>
    </w:lvl>
    <w:lvl w:ilvl="5" w:tplc="0409001B" w:tentative="1">
      <w:start w:val="1"/>
      <w:numFmt w:val="lowerRoman"/>
      <w:lvlText w:val="%6."/>
      <w:lvlJc w:val="right"/>
      <w:pPr>
        <w:ind w:left="2565" w:hanging="420"/>
      </w:pPr>
    </w:lvl>
    <w:lvl w:ilvl="6" w:tplc="0409000F" w:tentative="1">
      <w:start w:val="1"/>
      <w:numFmt w:val="decimal"/>
      <w:lvlText w:val="%7."/>
      <w:lvlJc w:val="left"/>
      <w:pPr>
        <w:ind w:left="2985" w:hanging="420"/>
      </w:pPr>
    </w:lvl>
    <w:lvl w:ilvl="7" w:tplc="04090019" w:tentative="1">
      <w:start w:val="1"/>
      <w:numFmt w:val="lowerLetter"/>
      <w:lvlText w:val="%8)"/>
      <w:lvlJc w:val="left"/>
      <w:pPr>
        <w:ind w:left="3405" w:hanging="420"/>
      </w:pPr>
    </w:lvl>
    <w:lvl w:ilvl="8" w:tplc="0409001B" w:tentative="1">
      <w:start w:val="1"/>
      <w:numFmt w:val="lowerRoman"/>
      <w:lvlText w:val="%9."/>
      <w:lvlJc w:val="right"/>
      <w:pPr>
        <w:ind w:left="3825" w:hanging="420"/>
      </w:pPr>
    </w:lvl>
  </w:abstractNum>
  <w:abstractNum w:abstractNumId="5" w15:restartNumberingAfterBreak="0">
    <w:nsid w:val="51AB5876"/>
    <w:multiLevelType w:val="hybridMultilevel"/>
    <w:tmpl w:val="7168415A"/>
    <w:lvl w:ilvl="0" w:tplc="DDB28D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W0sDA0NjY0MTc2MjVT0lEKTi0uzszPAykwMqkFADxbj/8tAAAA"/>
  </w:docVars>
  <w:rsids>
    <w:rsidRoot w:val="000C6AD1"/>
    <w:rsid w:val="00023085"/>
    <w:rsid w:val="0004124C"/>
    <w:rsid w:val="00043895"/>
    <w:rsid w:val="00043FC7"/>
    <w:rsid w:val="00050A4A"/>
    <w:rsid w:val="00064738"/>
    <w:rsid w:val="00085BA3"/>
    <w:rsid w:val="00094B91"/>
    <w:rsid w:val="00095B6C"/>
    <w:rsid w:val="000A33FC"/>
    <w:rsid w:val="000A6452"/>
    <w:rsid w:val="000B10EA"/>
    <w:rsid w:val="000C6AD1"/>
    <w:rsid w:val="000D352F"/>
    <w:rsid w:val="000E0F68"/>
    <w:rsid w:val="0010389A"/>
    <w:rsid w:val="00114C34"/>
    <w:rsid w:val="00120A99"/>
    <w:rsid w:val="001212B6"/>
    <w:rsid w:val="00155323"/>
    <w:rsid w:val="001755F0"/>
    <w:rsid w:val="001C3ACA"/>
    <w:rsid w:val="001C488D"/>
    <w:rsid w:val="001E1F62"/>
    <w:rsid w:val="001E213D"/>
    <w:rsid w:val="001E50A8"/>
    <w:rsid w:val="001E5C75"/>
    <w:rsid w:val="001E7C3F"/>
    <w:rsid w:val="001F3EC9"/>
    <w:rsid w:val="002044EB"/>
    <w:rsid w:val="00211226"/>
    <w:rsid w:val="00212913"/>
    <w:rsid w:val="00220067"/>
    <w:rsid w:val="002200EC"/>
    <w:rsid w:val="00225527"/>
    <w:rsid w:val="00234F3E"/>
    <w:rsid w:val="002402B3"/>
    <w:rsid w:val="00246CD3"/>
    <w:rsid w:val="00255F12"/>
    <w:rsid w:val="002566A8"/>
    <w:rsid w:val="00257A87"/>
    <w:rsid w:val="00264599"/>
    <w:rsid w:val="00283514"/>
    <w:rsid w:val="002923DB"/>
    <w:rsid w:val="00297748"/>
    <w:rsid w:val="002A426B"/>
    <w:rsid w:val="002C4C64"/>
    <w:rsid w:val="002E2B18"/>
    <w:rsid w:val="002E7CD0"/>
    <w:rsid w:val="002F18B8"/>
    <w:rsid w:val="00300DCA"/>
    <w:rsid w:val="003206D1"/>
    <w:rsid w:val="00322803"/>
    <w:rsid w:val="00322C57"/>
    <w:rsid w:val="00332D8F"/>
    <w:rsid w:val="00333C71"/>
    <w:rsid w:val="0033441F"/>
    <w:rsid w:val="00343527"/>
    <w:rsid w:val="00343E48"/>
    <w:rsid w:val="00362158"/>
    <w:rsid w:val="00376496"/>
    <w:rsid w:val="00396087"/>
    <w:rsid w:val="003A5833"/>
    <w:rsid w:val="003A594F"/>
    <w:rsid w:val="003B0871"/>
    <w:rsid w:val="003D00F5"/>
    <w:rsid w:val="003E35B9"/>
    <w:rsid w:val="00416A41"/>
    <w:rsid w:val="0043785E"/>
    <w:rsid w:val="0044201E"/>
    <w:rsid w:val="004462AA"/>
    <w:rsid w:val="004A3755"/>
    <w:rsid w:val="004B342B"/>
    <w:rsid w:val="004D2C0F"/>
    <w:rsid w:val="004D2E4E"/>
    <w:rsid w:val="004E1BF3"/>
    <w:rsid w:val="004E31ED"/>
    <w:rsid w:val="004E32E0"/>
    <w:rsid w:val="004E5690"/>
    <w:rsid w:val="004F6B61"/>
    <w:rsid w:val="005018BB"/>
    <w:rsid w:val="00502A54"/>
    <w:rsid w:val="00513E81"/>
    <w:rsid w:val="005149A7"/>
    <w:rsid w:val="005223F4"/>
    <w:rsid w:val="005357A7"/>
    <w:rsid w:val="005522EE"/>
    <w:rsid w:val="0055274C"/>
    <w:rsid w:val="00554F59"/>
    <w:rsid w:val="00560445"/>
    <w:rsid w:val="00581B2A"/>
    <w:rsid w:val="005913DE"/>
    <w:rsid w:val="005B54A6"/>
    <w:rsid w:val="005C2BF7"/>
    <w:rsid w:val="005D087C"/>
    <w:rsid w:val="005F0811"/>
    <w:rsid w:val="00601FC5"/>
    <w:rsid w:val="00604E39"/>
    <w:rsid w:val="00614A59"/>
    <w:rsid w:val="006228A2"/>
    <w:rsid w:val="006243B6"/>
    <w:rsid w:val="00641F6A"/>
    <w:rsid w:val="00654D1E"/>
    <w:rsid w:val="00664BEC"/>
    <w:rsid w:val="00670329"/>
    <w:rsid w:val="00686818"/>
    <w:rsid w:val="006A3E57"/>
    <w:rsid w:val="006A5E8B"/>
    <w:rsid w:val="006B4042"/>
    <w:rsid w:val="006D6CC9"/>
    <w:rsid w:val="006E2190"/>
    <w:rsid w:val="00702AD7"/>
    <w:rsid w:val="007132A0"/>
    <w:rsid w:val="007144B0"/>
    <w:rsid w:val="0071695C"/>
    <w:rsid w:val="00721116"/>
    <w:rsid w:val="007277AD"/>
    <w:rsid w:val="00740618"/>
    <w:rsid w:val="00757B90"/>
    <w:rsid w:val="007644DA"/>
    <w:rsid w:val="00764FE8"/>
    <w:rsid w:val="00766394"/>
    <w:rsid w:val="00783DE3"/>
    <w:rsid w:val="007B65D7"/>
    <w:rsid w:val="007C4169"/>
    <w:rsid w:val="007D2855"/>
    <w:rsid w:val="007F0B5C"/>
    <w:rsid w:val="007F6163"/>
    <w:rsid w:val="008034A5"/>
    <w:rsid w:val="0081299E"/>
    <w:rsid w:val="0082584D"/>
    <w:rsid w:val="00837E5C"/>
    <w:rsid w:val="0084655D"/>
    <w:rsid w:val="00855DB0"/>
    <w:rsid w:val="0085699F"/>
    <w:rsid w:val="00863DBF"/>
    <w:rsid w:val="00866584"/>
    <w:rsid w:val="0087550C"/>
    <w:rsid w:val="008815E3"/>
    <w:rsid w:val="00881C0A"/>
    <w:rsid w:val="00881CF0"/>
    <w:rsid w:val="0089392A"/>
    <w:rsid w:val="008953F7"/>
    <w:rsid w:val="008A5256"/>
    <w:rsid w:val="008B1075"/>
    <w:rsid w:val="008B53FD"/>
    <w:rsid w:val="008B7044"/>
    <w:rsid w:val="008C2B33"/>
    <w:rsid w:val="008C487B"/>
    <w:rsid w:val="008C4BB0"/>
    <w:rsid w:val="008D1D0B"/>
    <w:rsid w:val="008D59E9"/>
    <w:rsid w:val="008E0D91"/>
    <w:rsid w:val="008E1F87"/>
    <w:rsid w:val="008F0541"/>
    <w:rsid w:val="00903349"/>
    <w:rsid w:val="00903ECC"/>
    <w:rsid w:val="00906C82"/>
    <w:rsid w:val="00911EB8"/>
    <w:rsid w:val="00927301"/>
    <w:rsid w:val="0093182F"/>
    <w:rsid w:val="00932A02"/>
    <w:rsid w:val="00946A63"/>
    <w:rsid w:val="009536C0"/>
    <w:rsid w:val="00955328"/>
    <w:rsid w:val="00985368"/>
    <w:rsid w:val="00985B49"/>
    <w:rsid w:val="009A3484"/>
    <w:rsid w:val="009B27F9"/>
    <w:rsid w:val="009B72F1"/>
    <w:rsid w:val="009E7254"/>
    <w:rsid w:val="009F0223"/>
    <w:rsid w:val="00A0125C"/>
    <w:rsid w:val="00A164E4"/>
    <w:rsid w:val="00A21CD3"/>
    <w:rsid w:val="00A40AFB"/>
    <w:rsid w:val="00A44F6F"/>
    <w:rsid w:val="00A45EB4"/>
    <w:rsid w:val="00A47007"/>
    <w:rsid w:val="00A53AD1"/>
    <w:rsid w:val="00A56CC8"/>
    <w:rsid w:val="00A60685"/>
    <w:rsid w:val="00A6461A"/>
    <w:rsid w:val="00A72447"/>
    <w:rsid w:val="00A8530C"/>
    <w:rsid w:val="00A92816"/>
    <w:rsid w:val="00A96B4E"/>
    <w:rsid w:val="00AD1D36"/>
    <w:rsid w:val="00AE60C4"/>
    <w:rsid w:val="00B31D49"/>
    <w:rsid w:val="00B374A8"/>
    <w:rsid w:val="00B41AD0"/>
    <w:rsid w:val="00B61CAA"/>
    <w:rsid w:val="00B7586C"/>
    <w:rsid w:val="00B77C40"/>
    <w:rsid w:val="00B80892"/>
    <w:rsid w:val="00B809B9"/>
    <w:rsid w:val="00B84D0C"/>
    <w:rsid w:val="00B86263"/>
    <w:rsid w:val="00B9736A"/>
    <w:rsid w:val="00BA1CA6"/>
    <w:rsid w:val="00BC5322"/>
    <w:rsid w:val="00C02EAB"/>
    <w:rsid w:val="00C1131B"/>
    <w:rsid w:val="00C164F5"/>
    <w:rsid w:val="00C34992"/>
    <w:rsid w:val="00C34DD9"/>
    <w:rsid w:val="00C36410"/>
    <w:rsid w:val="00C37216"/>
    <w:rsid w:val="00C42076"/>
    <w:rsid w:val="00C60252"/>
    <w:rsid w:val="00C833A6"/>
    <w:rsid w:val="00CB20FE"/>
    <w:rsid w:val="00CE17EF"/>
    <w:rsid w:val="00D03494"/>
    <w:rsid w:val="00D05AAC"/>
    <w:rsid w:val="00D144EC"/>
    <w:rsid w:val="00D30374"/>
    <w:rsid w:val="00D3189C"/>
    <w:rsid w:val="00D371E0"/>
    <w:rsid w:val="00D40B93"/>
    <w:rsid w:val="00D41FC5"/>
    <w:rsid w:val="00D43152"/>
    <w:rsid w:val="00D47C28"/>
    <w:rsid w:val="00D57E55"/>
    <w:rsid w:val="00D62BCD"/>
    <w:rsid w:val="00D74B07"/>
    <w:rsid w:val="00D86017"/>
    <w:rsid w:val="00D910C4"/>
    <w:rsid w:val="00DA12BA"/>
    <w:rsid w:val="00DA64AE"/>
    <w:rsid w:val="00DA6D36"/>
    <w:rsid w:val="00DB5FBC"/>
    <w:rsid w:val="00DD1C0C"/>
    <w:rsid w:val="00DF0126"/>
    <w:rsid w:val="00E05A9E"/>
    <w:rsid w:val="00E16E2C"/>
    <w:rsid w:val="00E20803"/>
    <w:rsid w:val="00E349A7"/>
    <w:rsid w:val="00E47E17"/>
    <w:rsid w:val="00E5050F"/>
    <w:rsid w:val="00E616A0"/>
    <w:rsid w:val="00E7166B"/>
    <w:rsid w:val="00E71A1B"/>
    <w:rsid w:val="00E801F8"/>
    <w:rsid w:val="00E814E2"/>
    <w:rsid w:val="00E839F9"/>
    <w:rsid w:val="00E86050"/>
    <w:rsid w:val="00EA3726"/>
    <w:rsid w:val="00EC39B6"/>
    <w:rsid w:val="00EF04EC"/>
    <w:rsid w:val="00F04957"/>
    <w:rsid w:val="00F2083F"/>
    <w:rsid w:val="00F23CE6"/>
    <w:rsid w:val="00F37A3C"/>
    <w:rsid w:val="00F53B00"/>
    <w:rsid w:val="00F74254"/>
    <w:rsid w:val="00F77775"/>
    <w:rsid w:val="00F9059A"/>
    <w:rsid w:val="00FA0A82"/>
    <w:rsid w:val="00FA3478"/>
    <w:rsid w:val="00FB41A5"/>
    <w:rsid w:val="00FD2DEF"/>
    <w:rsid w:val="00FF3C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84ED0"/>
  <w15:chartTrackingRefBased/>
  <w15:docId w15:val="{7FBC06AD-A4D6-4F74-B693-7320F2B59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1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paragraph" w:styleId="BalloonText">
    <w:name w:val="Balloon Text"/>
    <w:basedOn w:val="Normal"/>
    <w:link w:val="BalloonTextChar"/>
    <w:uiPriority w:val="99"/>
    <w:semiHidden/>
    <w:unhideWhenUsed/>
    <w:rsid w:val="00C833A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833A6"/>
    <w:rPr>
      <w:sz w:val="18"/>
      <w:szCs w:val="18"/>
    </w:rPr>
  </w:style>
  <w:style w:type="character" w:customStyle="1" w:styleId="fontstyle01">
    <w:name w:val="fontstyle01"/>
    <w:basedOn w:val="DefaultParagraphFont"/>
    <w:rsid w:val="00C36410"/>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unhideWhenUsed/>
    <w:rsid w:val="00C36410"/>
    <w:rPr>
      <w:color w:val="0563C1" w:themeColor="hyperlink"/>
      <w:u w:val="single"/>
    </w:rPr>
  </w:style>
  <w:style w:type="character" w:customStyle="1" w:styleId="1">
    <w:name w:val="未处理的提及1"/>
    <w:basedOn w:val="DefaultParagraphFont"/>
    <w:uiPriority w:val="99"/>
    <w:semiHidden/>
    <w:unhideWhenUsed/>
    <w:rsid w:val="00C36410"/>
    <w:rPr>
      <w:color w:val="605E5C"/>
      <w:shd w:val="clear" w:color="auto" w:fill="E1DFDD"/>
    </w:rPr>
  </w:style>
  <w:style w:type="paragraph" w:styleId="ListParagraph">
    <w:name w:val="List Paragraph"/>
    <w:basedOn w:val="Normal"/>
    <w:uiPriority w:val="34"/>
    <w:qFormat/>
    <w:rsid w:val="00C42076"/>
    <w:pPr>
      <w:ind w:firstLineChars="200" w:firstLine="420"/>
    </w:pPr>
  </w:style>
  <w:style w:type="paragraph" w:styleId="Revision">
    <w:name w:val="Revision"/>
    <w:uiPriority w:val="99"/>
    <w:semiHidden/>
    <w:rsid w:val="00C42076"/>
    <w:pPr>
      <w:spacing w:after="0" w:line="240" w:lineRule="auto"/>
    </w:pPr>
    <w:rPr>
      <w:kern w:val="2"/>
      <w:sz w:val="21"/>
      <w:lang w:val="en-US" w:eastAsia="zh-CN"/>
    </w:rPr>
  </w:style>
  <w:style w:type="table" w:styleId="TableGrid">
    <w:name w:val="Table Grid"/>
    <w:basedOn w:val="TableNormal"/>
    <w:uiPriority w:val="39"/>
    <w:rsid w:val="00283514"/>
    <w:pPr>
      <w:spacing w:after="0" w:line="240" w:lineRule="auto"/>
    </w:pPr>
    <w:rPr>
      <w:kern w:val="2"/>
      <w:sz w:val="21"/>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213D"/>
    <w:rPr>
      <w:sz w:val="21"/>
      <w:szCs w:val="21"/>
    </w:rPr>
  </w:style>
  <w:style w:type="paragraph" w:styleId="CommentText">
    <w:name w:val="annotation text"/>
    <w:basedOn w:val="Normal"/>
    <w:link w:val="CommentTextChar"/>
    <w:uiPriority w:val="99"/>
    <w:unhideWhenUsed/>
    <w:rsid w:val="001E213D"/>
    <w:pPr>
      <w:widowControl w:val="0"/>
      <w:spacing w:after="0" w:line="240" w:lineRule="auto"/>
    </w:pPr>
    <w:rPr>
      <w:kern w:val="2"/>
      <w:sz w:val="21"/>
      <w:lang w:eastAsia="zh-CN"/>
    </w:rPr>
  </w:style>
  <w:style w:type="character" w:customStyle="1" w:styleId="CommentTextChar">
    <w:name w:val="Comment Text Char"/>
    <w:basedOn w:val="DefaultParagraphFont"/>
    <w:link w:val="CommentText"/>
    <w:uiPriority w:val="99"/>
    <w:rsid w:val="001E213D"/>
    <w:rPr>
      <w:kern w:val="2"/>
      <w:sz w:val="21"/>
      <w:lang w:eastAsia="zh-CN"/>
    </w:rPr>
  </w:style>
  <w:style w:type="paragraph" w:styleId="Bibliography">
    <w:name w:val="Bibliography"/>
    <w:basedOn w:val="Normal"/>
    <w:next w:val="Normal"/>
    <w:uiPriority w:val="37"/>
    <w:unhideWhenUsed/>
    <w:rsid w:val="0033441F"/>
    <w:pPr>
      <w:tabs>
        <w:tab w:val="left" w:pos="504"/>
      </w:tabs>
      <w:spacing w:after="240" w:line="240" w:lineRule="auto"/>
      <w:ind w:left="504" w:hanging="504"/>
    </w:pPr>
  </w:style>
  <w:style w:type="paragraph" w:styleId="CommentSubject">
    <w:name w:val="annotation subject"/>
    <w:basedOn w:val="CommentText"/>
    <w:next w:val="CommentText"/>
    <w:link w:val="CommentSubjectChar"/>
    <w:uiPriority w:val="99"/>
    <w:semiHidden/>
    <w:unhideWhenUsed/>
    <w:rsid w:val="00866584"/>
    <w:pPr>
      <w:widowControl/>
      <w:spacing w:after="160" w:line="259" w:lineRule="auto"/>
    </w:pPr>
    <w:rPr>
      <w:b/>
      <w:bCs/>
      <w:kern w:val="0"/>
      <w:sz w:val="22"/>
      <w:lang w:eastAsia="en-US"/>
    </w:rPr>
  </w:style>
  <w:style w:type="character" w:customStyle="1" w:styleId="CommentSubjectChar">
    <w:name w:val="Comment Subject Char"/>
    <w:basedOn w:val="CommentTextChar"/>
    <w:link w:val="CommentSubject"/>
    <w:uiPriority w:val="99"/>
    <w:semiHidden/>
    <w:rsid w:val="00866584"/>
    <w:rPr>
      <w:b/>
      <w:bCs/>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754102">
      <w:bodyDiv w:val="1"/>
      <w:marLeft w:val="0"/>
      <w:marRight w:val="0"/>
      <w:marTop w:val="0"/>
      <w:marBottom w:val="0"/>
      <w:divBdr>
        <w:top w:val="none" w:sz="0" w:space="0" w:color="auto"/>
        <w:left w:val="none" w:sz="0" w:space="0" w:color="auto"/>
        <w:bottom w:val="none" w:sz="0" w:space="0" w:color="auto"/>
        <w:right w:val="none" w:sz="0" w:space="0" w:color="auto"/>
      </w:divBdr>
    </w:div>
    <w:div w:id="113896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4706A-0440-4460-9801-353883D16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IOPP-WordTemplateLarge.dotx</Template>
  <TotalTime>2</TotalTime>
  <Pages>21</Pages>
  <Words>25858</Words>
  <Characters>147391</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Eggleton</dc:creator>
  <cp:keywords/>
  <dc:description/>
  <cp:lastModifiedBy>Ouyang, Huajiang</cp:lastModifiedBy>
  <cp:revision>3</cp:revision>
  <cp:lastPrinted>2020-07-12T21:51:00Z</cp:lastPrinted>
  <dcterms:created xsi:type="dcterms:W3CDTF">2020-10-26T22:25:00Z</dcterms:created>
  <dcterms:modified xsi:type="dcterms:W3CDTF">2020-10-26T22:27:00Z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id="oox98HD5"/&gt;&lt;style id="http://www.zotero.org/styles/smart-materials-and-structures" hasBibliography="1" bibliographyStyleHasBeenSet="1"/&gt;&lt;prefs&gt;&lt;pref name="fieldType" value="Field"/&gt;&lt;/prefs&gt;&lt;/data</vt:lpwstr>
  </property>
  <property fmtid="{D5CDD505-2E9C-101B-9397-08002B2CF9AE}" pid="3" name="ZOTERO_PREF_2">
    <vt:lpwstr>&gt;</vt:lpwstr>
  </property>
</Properties>
</file>